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59E111" w14:textId="77777777" w:rsidR="00BF6C94" w:rsidRPr="00193BC1" w:rsidRDefault="006055EA" w:rsidP="006C14A6">
      <w:pPr>
        <w:pStyle w:val="1-MainHeading"/>
      </w:pPr>
      <w:bookmarkStart w:id="0" w:name="_Toc50399830"/>
      <w:r w:rsidRPr="00193BC1">
        <w:t>6.02</w:t>
      </w:r>
      <w:r w:rsidR="00163F66" w:rsidRPr="00193BC1">
        <w:tab/>
      </w:r>
      <w:r w:rsidR="006B2C94" w:rsidRPr="00193BC1">
        <w:t>DUPILUMAB</w:t>
      </w:r>
      <w:r w:rsidR="00163F66" w:rsidRPr="00193BC1">
        <w:t>,</w:t>
      </w:r>
      <w:r w:rsidR="00163F66" w:rsidRPr="00193BC1">
        <w:br/>
      </w:r>
      <w:r w:rsidRPr="00193BC1">
        <w:t xml:space="preserve">Injection 200 mg in 1.14 mL single dose pre-filled syringe, </w:t>
      </w:r>
      <w:r w:rsidR="007E1B7F" w:rsidRPr="00193BC1">
        <w:br/>
        <w:t>I</w:t>
      </w:r>
      <w:r w:rsidRPr="00193BC1">
        <w:t>njection 300 mg in 2 mL single dose pre-filled syringe</w:t>
      </w:r>
      <w:r w:rsidR="006B2C94" w:rsidRPr="00193BC1">
        <w:t xml:space="preserve">, </w:t>
      </w:r>
      <w:r w:rsidR="006B2C94" w:rsidRPr="00193BC1">
        <w:br/>
        <w:t xml:space="preserve">Dupixent®, </w:t>
      </w:r>
      <w:r w:rsidR="006B2C94" w:rsidRPr="00193BC1">
        <w:br/>
        <w:t>Sanofi-Aventis Australia Pty Ltd</w:t>
      </w:r>
      <w:r w:rsidR="00B60939" w:rsidRPr="00193BC1">
        <w:t>.</w:t>
      </w:r>
      <w:bookmarkEnd w:id="0"/>
    </w:p>
    <w:p w14:paraId="361C3A52" w14:textId="77777777" w:rsidR="00B50DB8" w:rsidRPr="00193BC1" w:rsidRDefault="00B50DB8" w:rsidP="004A6040">
      <w:pPr>
        <w:pStyle w:val="2-SectionHeading"/>
      </w:pPr>
      <w:bookmarkStart w:id="1" w:name="_Toc50399832"/>
      <w:r w:rsidRPr="00193BC1">
        <w:t xml:space="preserve">Purpose of </w:t>
      </w:r>
      <w:r w:rsidR="00CD7193" w:rsidRPr="00193BC1">
        <w:t>s</w:t>
      </w:r>
      <w:r w:rsidR="00BB3A45" w:rsidRPr="00193BC1">
        <w:t>ubmission</w:t>
      </w:r>
      <w:bookmarkEnd w:id="1"/>
    </w:p>
    <w:p w14:paraId="73F61A0D" w14:textId="77777777" w:rsidR="002C2775" w:rsidRPr="00193BC1" w:rsidRDefault="007170DA" w:rsidP="001716E0">
      <w:pPr>
        <w:pStyle w:val="3-BodyText"/>
      </w:pPr>
      <w:r w:rsidRPr="00193BC1">
        <w:t xml:space="preserve">The submission requested </w:t>
      </w:r>
      <w:r w:rsidR="00A82C7A" w:rsidRPr="00193BC1">
        <w:t xml:space="preserve">a </w:t>
      </w:r>
      <w:r w:rsidR="008B1757" w:rsidRPr="00193BC1">
        <w:t xml:space="preserve">Section 100, Authority Required listing for </w:t>
      </w:r>
      <w:r w:rsidR="00A82C7A" w:rsidRPr="00193BC1">
        <w:t xml:space="preserve">dupilumab </w:t>
      </w:r>
      <w:r w:rsidR="008B1757" w:rsidRPr="00193BC1">
        <w:t xml:space="preserve">for </w:t>
      </w:r>
      <w:r w:rsidR="0050174E" w:rsidRPr="00193BC1">
        <w:t xml:space="preserve">the </w:t>
      </w:r>
      <w:r w:rsidR="008B1757" w:rsidRPr="00193BC1">
        <w:t>treatment of</w:t>
      </w:r>
      <w:r w:rsidR="00A82C7A" w:rsidRPr="00193BC1">
        <w:t xml:space="preserve"> uncontrolled, severe type 2 asthma, both with and without oral corticosteroid (OCS) dependence. </w:t>
      </w:r>
      <w:r w:rsidR="00A82C7A" w:rsidRPr="00193BC1">
        <w:rPr>
          <w:iCs/>
        </w:rPr>
        <w:t>These populations have been previously considered by the PBAC for the listing of benralizumab, mepolizumab and omalizumab</w:t>
      </w:r>
      <w:r w:rsidR="008B1757" w:rsidRPr="00193BC1">
        <w:t xml:space="preserve">. </w:t>
      </w:r>
    </w:p>
    <w:p w14:paraId="435262C1" w14:textId="77777777" w:rsidR="00C2778B" w:rsidRPr="00193BC1" w:rsidRDefault="005750C5" w:rsidP="001716E0">
      <w:pPr>
        <w:pStyle w:val="3-BodyText"/>
      </w:pPr>
      <w:r w:rsidRPr="00193BC1">
        <w:t>Listing was requested on the basis of a cost-minimisation</w:t>
      </w:r>
      <w:r w:rsidR="009547B4" w:rsidRPr="00193BC1">
        <w:t xml:space="preserve"> </w:t>
      </w:r>
      <w:r w:rsidRPr="00193BC1">
        <w:t xml:space="preserve">analysis versus </w:t>
      </w:r>
      <w:r w:rsidR="009547B4" w:rsidRPr="00193BC1">
        <w:t>three comparators: benralizumab, mepolizumab and omalizumab</w:t>
      </w:r>
      <w:r w:rsidR="002F4B0C" w:rsidRPr="00193BC1">
        <w:t>. The key components of the clinical issues addressed by the submission are summarised below.</w:t>
      </w:r>
      <w:r w:rsidR="003F6A35" w:rsidRPr="00193BC1">
        <w:t xml:space="preserve"> </w:t>
      </w:r>
    </w:p>
    <w:p w14:paraId="4AA34DAB" w14:textId="77777777" w:rsidR="008B1757" w:rsidRPr="00193BC1" w:rsidRDefault="0001766A" w:rsidP="00E9172C">
      <w:pPr>
        <w:pStyle w:val="TableFigureHeading"/>
        <w:rPr>
          <w:rStyle w:val="CommentReference"/>
          <w:b/>
          <w:szCs w:val="24"/>
        </w:rPr>
      </w:pPr>
      <w:bookmarkStart w:id="2" w:name="_Ref50284285"/>
      <w:r w:rsidRPr="00193BC1">
        <w:t xml:space="preserve">Table </w:t>
      </w:r>
      <w:r w:rsidR="00797BC5" w:rsidRPr="00193BC1">
        <w:t>1</w:t>
      </w:r>
      <w:bookmarkEnd w:id="2"/>
      <w:r w:rsidR="008B1757" w:rsidRPr="00193BC1">
        <w:rPr>
          <w:rStyle w:val="CommentReference"/>
          <w:b/>
          <w:szCs w:val="24"/>
        </w:rPr>
        <w:t>:</w:t>
      </w:r>
      <w:r w:rsidR="00BC591F" w:rsidRPr="00193BC1">
        <w:rPr>
          <w:rStyle w:val="CommentReference"/>
          <w:b/>
          <w:szCs w:val="24"/>
        </w:rPr>
        <w:t xml:space="preserve"> </w:t>
      </w:r>
      <w:r w:rsidR="008B1757" w:rsidRPr="00193BC1">
        <w:rPr>
          <w:rStyle w:val="CommentReference"/>
          <w:b/>
          <w:szCs w:val="24"/>
        </w:rPr>
        <w:t>Key components of the clinical issue addressed by the submission</w:t>
      </w:r>
      <w:r w:rsidR="007170DA" w:rsidRPr="00193BC1">
        <w:rPr>
          <w:rStyle w:val="CommentReference"/>
          <w:b/>
          <w:szCs w:val="24"/>
        </w:rPr>
        <w:t xml:space="preserve"> (as stated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w:tblDescription w:val="Key components of the clinical issue addressed by the submission "/>
      </w:tblPr>
      <w:tblGrid>
        <w:gridCol w:w="1271"/>
        <w:gridCol w:w="7746"/>
      </w:tblGrid>
      <w:tr w:rsidR="006F2ADF" w:rsidRPr="00193BC1" w14:paraId="4FB449F7" w14:textId="77777777" w:rsidTr="009A1D42">
        <w:trPr>
          <w:cantSplit/>
        </w:trPr>
        <w:tc>
          <w:tcPr>
            <w:tcW w:w="705" w:type="pct"/>
            <w:shd w:val="clear" w:color="auto" w:fill="auto"/>
          </w:tcPr>
          <w:p w14:paraId="75E784DD" w14:textId="77777777" w:rsidR="008B1757" w:rsidRPr="00193BC1" w:rsidRDefault="008B1757" w:rsidP="00E9172C">
            <w:pPr>
              <w:pStyle w:val="In-tableHeading"/>
              <w:rPr>
                <w:szCs w:val="20"/>
                <w:lang w:val="en-AU"/>
              </w:rPr>
            </w:pPr>
            <w:r w:rsidRPr="00193BC1">
              <w:rPr>
                <w:lang w:val="en-AU"/>
              </w:rPr>
              <w:t>Component</w:t>
            </w:r>
          </w:p>
        </w:tc>
        <w:tc>
          <w:tcPr>
            <w:tcW w:w="4295" w:type="pct"/>
            <w:shd w:val="clear" w:color="auto" w:fill="auto"/>
          </w:tcPr>
          <w:p w14:paraId="4DE11A21" w14:textId="77777777" w:rsidR="008B1757" w:rsidRPr="00193BC1" w:rsidRDefault="008B1757" w:rsidP="00E9172C">
            <w:pPr>
              <w:pStyle w:val="In-tableHeading"/>
              <w:rPr>
                <w:lang w:val="en-AU"/>
              </w:rPr>
            </w:pPr>
            <w:r w:rsidRPr="00193BC1">
              <w:rPr>
                <w:lang w:val="en-AU"/>
              </w:rPr>
              <w:t>Description</w:t>
            </w:r>
          </w:p>
        </w:tc>
      </w:tr>
      <w:tr w:rsidR="006F2ADF" w:rsidRPr="00193BC1" w14:paraId="349F35C9" w14:textId="77777777" w:rsidTr="009A1D42">
        <w:trPr>
          <w:cantSplit/>
        </w:trPr>
        <w:tc>
          <w:tcPr>
            <w:tcW w:w="705" w:type="pct"/>
            <w:shd w:val="clear" w:color="auto" w:fill="auto"/>
          </w:tcPr>
          <w:p w14:paraId="52866ABC" w14:textId="77777777" w:rsidR="002F4B0C" w:rsidRPr="00193BC1" w:rsidRDefault="002F4B0C" w:rsidP="00E9172C">
            <w:pPr>
              <w:pStyle w:val="TableText0"/>
            </w:pPr>
            <w:r w:rsidRPr="00193BC1">
              <w:t>Population</w:t>
            </w:r>
          </w:p>
        </w:tc>
        <w:tc>
          <w:tcPr>
            <w:tcW w:w="4295" w:type="pct"/>
            <w:shd w:val="clear" w:color="auto" w:fill="auto"/>
            <w:vAlign w:val="center"/>
          </w:tcPr>
          <w:p w14:paraId="09B99E9E" w14:textId="77777777" w:rsidR="002F4B0C" w:rsidRPr="00193BC1" w:rsidRDefault="002F4B0C" w:rsidP="00E9172C">
            <w:pPr>
              <w:pStyle w:val="TableText0"/>
            </w:pPr>
            <w:r w:rsidRPr="00193BC1">
              <w:t>Patients aged ≥ 12 years with uncontrolled severe type 2 asthma.</w:t>
            </w:r>
          </w:p>
          <w:p w14:paraId="3106D197" w14:textId="77777777" w:rsidR="002F4B0C" w:rsidRPr="00193BC1" w:rsidRDefault="002F4B0C" w:rsidP="00E9172C">
            <w:pPr>
              <w:pStyle w:val="TableText0"/>
            </w:pPr>
            <w:r w:rsidRPr="00193BC1">
              <w:t>This includes:</w:t>
            </w:r>
          </w:p>
          <w:p w14:paraId="6DA35E8D" w14:textId="77777777" w:rsidR="002F4B0C" w:rsidRPr="00193BC1" w:rsidRDefault="002F4B0C" w:rsidP="00E9172C">
            <w:pPr>
              <w:pStyle w:val="TableText0"/>
            </w:pPr>
            <w:r w:rsidRPr="00193BC1">
              <w:t>Dupilumab 200 mg: Patients with severe type 2 asthma, without OCS dependence</w:t>
            </w:r>
          </w:p>
          <w:p w14:paraId="2F6F391D" w14:textId="77777777" w:rsidR="002F4B0C" w:rsidRPr="00193BC1" w:rsidRDefault="002F4B0C" w:rsidP="00E9172C">
            <w:pPr>
              <w:pStyle w:val="TableText0"/>
            </w:pPr>
            <w:r w:rsidRPr="00193BC1">
              <w:t>-</w:t>
            </w:r>
            <w:r w:rsidRPr="00193BC1">
              <w:tab/>
              <w:t>Submission subgroup 1a: Patients with severe eosinophilic asthma without OCS dependence</w:t>
            </w:r>
          </w:p>
          <w:p w14:paraId="58EEEAF8" w14:textId="77777777" w:rsidR="002F4B0C" w:rsidRPr="00193BC1" w:rsidRDefault="002F4B0C" w:rsidP="00E9172C">
            <w:pPr>
              <w:pStyle w:val="TableText0"/>
            </w:pPr>
            <w:r w:rsidRPr="00193BC1">
              <w:t>-</w:t>
            </w:r>
            <w:r w:rsidRPr="00193BC1">
              <w:tab/>
              <w:t xml:space="preserve">Submission subgroup 1b: Patients with severe allergic asthma without OCS dependence </w:t>
            </w:r>
          </w:p>
          <w:p w14:paraId="60B91956" w14:textId="77777777" w:rsidR="002F4B0C" w:rsidRPr="00193BC1" w:rsidRDefault="002F4B0C" w:rsidP="00E9172C">
            <w:pPr>
              <w:pStyle w:val="TableText0"/>
            </w:pPr>
            <w:r w:rsidRPr="00193BC1">
              <w:t>Dupilumab 300 mg: Patients with severe type 2 asthma, with OCS dependence</w:t>
            </w:r>
          </w:p>
          <w:p w14:paraId="380DF200" w14:textId="77777777" w:rsidR="002F4B0C" w:rsidRPr="00193BC1" w:rsidRDefault="002F4B0C" w:rsidP="00E9172C">
            <w:pPr>
              <w:pStyle w:val="TableText0"/>
            </w:pPr>
            <w:r w:rsidRPr="00193BC1">
              <w:t>-</w:t>
            </w:r>
            <w:r w:rsidRPr="00193BC1">
              <w:tab/>
              <w:t>Submission subgroup 2a: Patients with severe eosinophilic asthma and OCS dependence</w:t>
            </w:r>
          </w:p>
          <w:p w14:paraId="0A09CA36" w14:textId="77777777" w:rsidR="002F4B0C" w:rsidRPr="00193BC1" w:rsidRDefault="002F4B0C" w:rsidP="00E9172C">
            <w:pPr>
              <w:pStyle w:val="TableText0"/>
              <w:rPr>
                <w:szCs w:val="20"/>
              </w:rPr>
            </w:pPr>
            <w:r w:rsidRPr="00193BC1">
              <w:t>-</w:t>
            </w:r>
            <w:r w:rsidRPr="00193BC1">
              <w:tab/>
              <w:t>Submission subgroup 2b: Patients with severe allergic asthma and OCS dependence</w:t>
            </w:r>
            <w:r w:rsidR="006055EA" w:rsidRPr="00193BC1">
              <w:t>.</w:t>
            </w:r>
          </w:p>
        </w:tc>
      </w:tr>
      <w:tr w:rsidR="006F2ADF" w:rsidRPr="00193BC1" w14:paraId="114E5E19" w14:textId="77777777" w:rsidTr="009A1D42">
        <w:trPr>
          <w:cantSplit/>
        </w:trPr>
        <w:tc>
          <w:tcPr>
            <w:tcW w:w="705" w:type="pct"/>
            <w:shd w:val="clear" w:color="auto" w:fill="auto"/>
          </w:tcPr>
          <w:p w14:paraId="5ADF3463" w14:textId="77777777" w:rsidR="002F4B0C" w:rsidRPr="00193BC1" w:rsidRDefault="002F4B0C" w:rsidP="00E9172C">
            <w:pPr>
              <w:pStyle w:val="TableText0"/>
            </w:pPr>
            <w:r w:rsidRPr="00193BC1">
              <w:t>Intervention</w:t>
            </w:r>
          </w:p>
        </w:tc>
        <w:tc>
          <w:tcPr>
            <w:tcW w:w="4295" w:type="pct"/>
            <w:shd w:val="clear" w:color="auto" w:fill="auto"/>
            <w:vAlign w:val="center"/>
          </w:tcPr>
          <w:p w14:paraId="3FE9A809" w14:textId="77777777" w:rsidR="002F4B0C" w:rsidRPr="00193BC1" w:rsidRDefault="002F4B0C" w:rsidP="00E9172C">
            <w:pPr>
              <w:pStyle w:val="TableText0"/>
            </w:pPr>
            <w:r w:rsidRPr="00193BC1">
              <w:t xml:space="preserve">Population 1a and 1b: Dupilumab 400 mg loading dose followed by 200 mg Q2W; </w:t>
            </w:r>
          </w:p>
          <w:p w14:paraId="01E03498" w14:textId="77777777" w:rsidR="002F4B0C" w:rsidRPr="00193BC1" w:rsidRDefault="002F4B0C" w:rsidP="00E9172C">
            <w:pPr>
              <w:pStyle w:val="TableText0"/>
            </w:pPr>
            <w:r w:rsidRPr="00193BC1">
              <w:t>Population 2a and 2b: Dupilumab 600 mg loading dose followed by 300 mg Q2W</w:t>
            </w:r>
            <w:r w:rsidR="006055EA" w:rsidRPr="00193BC1">
              <w:t>.</w:t>
            </w:r>
          </w:p>
        </w:tc>
      </w:tr>
      <w:tr w:rsidR="006F2ADF" w:rsidRPr="00193BC1" w14:paraId="32137D93" w14:textId="77777777" w:rsidTr="009A1D42">
        <w:trPr>
          <w:cantSplit/>
        </w:trPr>
        <w:tc>
          <w:tcPr>
            <w:tcW w:w="705" w:type="pct"/>
            <w:shd w:val="clear" w:color="auto" w:fill="auto"/>
          </w:tcPr>
          <w:p w14:paraId="067CA560" w14:textId="77777777" w:rsidR="002F4B0C" w:rsidRPr="00193BC1" w:rsidRDefault="002F4B0C" w:rsidP="00172286">
            <w:pPr>
              <w:pStyle w:val="TableText0"/>
              <w:keepNext w:val="0"/>
            </w:pPr>
            <w:r w:rsidRPr="00193BC1">
              <w:t>Comparator</w:t>
            </w:r>
            <w:r w:rsidR="00D9246A" w:rsidRPr="00193BC1">
              <w:t>s</w:t>
            </w:r>
          </w:p>
        </w:tc>
        <w:tc>
          <w:tcPr>
            <w:tcW w:w="4295" w:type="pct"/>
            <w:shd w:val="clear" w:color="auto" w:fill="auto"/>
            <w:vAlign w:val="center"/>
          </w:tcPr>
          <w:p w14:paraId="76E11882" w14:textId="77777777" w:rsidR="002F4B0C" w:rsidRPr="00193BC1" w:rsidRDefault="002F4B0C" w:rsidP="00172286">
            <w:pPr>
              <w:pStyle w:val="TableText0"/>
              <w:keepNext w:val="0"/>
              <w:rPr>
                <w:iCs/>
              </w:rPr>
            </w:pPr>
            <w:r w:rsidRPr="00193BC1">
              <w:t xml:space="preserve">Subgroup 1a and 2a: Mepolizumab 100 mg SC injection Q4W and benralizumab 30 mg by SC injection Q4W for the first three doses, and then every eight weeks. </w:t>
            </w:r>
          </w:p>
          <w:p w14:paraId="34761BC1" w14:textId="77777777" w:rsidR="002F4B0C" w:rsidRPr="00193BC1" w:rsidRDefault="002F4B0C" w:rsidP="00172286">
            <w:pPr>
              <w:pStyle w:val="TableText0"/>
              <w:keepNext w:val="0"/>
            </w:pPr>
            <w:r w:rsidRPr="00193BC1">
              <w:t>Subgroup 1b and 2b: Omalizumab SC injection Q2W or Q4W (dose depends on patient weight and IgE levels) for patients with uncontrolled severe allergic asthma.</w:t>
            </w:r>
          </w:p>
        </w:tc>
      </w:tr>
      <w:tr w:rsidR="006F2ADF" w:rsidRPr="00193BC1" w14:paraId="47B89AC6" w14:textId="77777777" w:rsidTr="009A1D42">
        <w:trPr>
          <w:cantSplit/>
        </w:trPr>
        <w:tc>
          <w:tcPr>
            <w:tcW w:w="705" w:type="pct"/>
            <w:shd w:val="clear" w:color="auto" w:fill="auto"/>
          </w:tcPr>
          <w:p w14:paraId="30C54EAA" w14:textId="77777777" w:rsidR="002F4B0C" w:rsidRPr="00193BC1" w:rsidRDefault="002F4B0C" w:rsidP="00172286">
            <w:pPr>
              <w:pStyle w:val="TableText0"/>
              <w:keepNext w:val="0"/>
            </w:pPr>
            <w:r w:rsidRPr="00193BC1">
              <w:t>Outcomes</w:t>
            </w:r>
          </w:p>
        </w:tc>
        <w:tc>
          <w:tcPr>
            <w:tcW w:w="4295" w:type="pct"/>
            <w:shd w:val="clear" w:color="auto" w:fill="auto"/>
            <w:vAlign w:val="center"/>
          </w:tcPr>
          <w:p w14:paraId="1C679691" w14:textId="77777777" w:rsidR="002F4B0C" w:rsidRPr="00193BC1" w:rsidRDefault="002F4B0C" w:rsidP="00172286">
            <w:pPr>
              <w:pStyle w:val="TableText0"/>
              <w:keepNext w:val="0"/>
            </w:pPr>
            <w:r w:rsidRPr="00193BC1">
              <w:t>Key outcome: annual asthma exacerbation rate</w:t>
            </w:r>
          </w:p>
          <w:p w14:paraId="4D08051A" w14:textId="77777777" w:rsidR="002F4B0C" w:rsidRPr="00193BC1" w:rsidRDefault="002F4B0C" w:rsidP="00172286">
            <w:pPr>
              <w:pStyle w:val="TableText0"/>
              <w:keepNext w:val="0"/>
              <w:rPr>
                <w:rFonts w:eastAsia="Times New Roman" w:cs="Arial"/>
                <w:bCs w:val="0"/>
                <w:snapToGrid w:val="0"/>
                <w:szCs w:val="20"/>
              </w:rPr>
            </w:pPr>
            <w:r w:rsidRPr="00193BC1">
              <w:t>Secondary outcomes: change from baseline in FEV</w:t>
            </w:r>
            <w:r w:rsidRPr="00193BC1">
              <w:rPr>
                <w:vertAlign w:val="subscript"/>
              </w:rPr>
              <w:t>1</w:t>
            </w:r>
            <w:r w:rsidRPr="00193BC1">
              <w:t>, proportion reduction in OCS dose and safety.</w:t>
            </w:r>
          </w:p>
        </w:tc>
      </w:tr>
      <w:tr w:rsidR="006F2ADF" w:rsidRPr="00193BC1" w14:paraId="4604C0D7" w14:textId="77777777" w:rsidTr="009A1D42">
        <w:trPr>
          <w:cantSplit/>
        </w:trPr>
        <w:tc>
          <w:tcPr>
            <w:tcW w:w="705" w:type="pct"/>
            <w:shd w:val="clear" w:color="auto" w:fill="auto"/>
          </w:tcPr>
          <w:p w14:paraId="10168017" w14:textId="77777777" w:rsidR="002F4B0C" w:rsidRPr="00193BC1" w:rsidRDefault="002F4B0C" w:rsidP="00172286">
            <w:pPr>
              <w:pStyle w:val="TableText0"/>
              <w:keepNext w:val="0"/>
            </w:pPr>
            <w:r w:rsidRPr="00193BC1">
              <w:lastRenderedPageBreak/>
              <w:t>Clinical claim</w:t>
            </w:r>
          </w:p>
        </w:tc>
        <w:tc>
          <w:tcPr>
            <w:tcW w:w="4295" w:type="pct"/>
            <w:shd w:val="clear" w:color="auto" w:fill="auto"/>
            <w:vAlign w:val="center"/>
          </w:tcPr>
          <w:p w14:paraId="4A3CA3E2" w14:textId="77777777" w:rsidR="002F4B0C" w:rsidRPr="00193BC1" w:rsidRDefault="002F4B0C" w:rsidP="00172286">
            <w:pPr>
              <w:pStyle w:val="TableText0"/>
              <w:keepNext w:val="0"/>
            </w:pPr>
            <w:r w:rsidRPr="00193BC1">
              <w:t>In the treatment of patients aged ≥ 12 years with uncontrolled severe type 2 asthma, dupilumab is non-inferior in terms of efficacy and safety compared with omalizumab, mepolizumab and benralizumab</w:t>
            </w:r>
          </w:p>
          <w:p w14:paraId="1367F16B" w14:textId="77777777" w:rsidR="002F4B0C" w:rsidRPr="00193BC1" w:rsidRDefault="002F4B0C" w:rsidP="00172286">
            <w:pPr>
              <w:pStyle w:val="TableText0"/>
              <w:keepNext w:val="0"/>
            </w:pPr>
            <w:r w:rsidRPr="00193BC1">
              <w:t>More specifically,</w:t>
            </w:r>
          </w:p>
          <w:p w14:paraId="15A540F5" w14:textId="77777777" w:rsidR="002F4B0C" w:rsidRPr="00193BC1" w:rsidRDefault="002F4B0C" w:rsidP="00172286">
            <w:pPr>
              <w:pStyle w:val="TableText0"/>
              <w:keepNext w:val="0"/>
            </w:pPr>
            <w:r w:rsidRPr="00193BC1">
              <w:t>Dupilumab 200 mg has non-inferior efficacy and non-inferior safety compared to:</w:t>
            </w:r>
          </w:p>
          <w:p w14:paraId="7FB9BB7C" w14:textId="77777777" w:rsidR="002F4B0C" w:rsidRPr="00193BC1" w:rsidRDefault="002F4B0C" w:rsidP="00797BC5">
            <w:pPr>
              <w:pStyle w:val="TableText0"/>
              <w:keepNext w:val="0"/>
              <w:ind w:left="340" w:hanging="340"/>
            </w:pPr>
            <w:r w:rsidRPr="00193BC1">
              <w:t>-</w:t>
            </w:r>
            <w:r w:rsidRPr="00193BC1">
              <w:tab/>
              <w:t xml:space="preserve">Benralizumab and mepolizumab in patients aged ≥ 12 years in patients with severe </w:t>
            </w:r>
            <w:r w:rsidR="00797BC5" w:rsidRPr="00193BC1">
              <w:br/>
            </w:r>
            <w:r w:rsidRPr="00193BC1">
              <w:t>uncontrolled eosinophilic asthma without OCS dependence</w:t>
            </w:r>
          </w:p>
          <w:p w14:paraId="135A8500" w14:textId="77777777" w:rsidR="002F4B0C" w:rsidRPr="00193BC1" w:rsidRDefault="002F4B0C" w:rsidP="00797BC5">
            <w:pPr>
              <w:pStyle w:val="TableText0"/>
              <w:keepNext w:val="0"/>
              <w:ind w:left="340" w:hanging="340"/>
            </w:pPr>
            <w:r w:rsidRPr="00193BC1">
              <w:t>-</w:t>
            </w:r>
            <w:r w:rsidRPr="00193BC1">
              <w:tab/>
              <w:t>Omalizumab in patients aged ≥ 12 years in patients with severe uncontrolled allergic asthma without OCS dependence</w:t>
            </w:r>
          </w:p>
          <w:p w14:paraId="12AD1BB5" w14:textId="77777777" w:rsidR="002F4B0C" w:rsidRPr="00193BC1" w:rsidRDefault="002F4B0C" w:rsidP="00797BC5">
            <w:pPr>
              <w:pStyle w:val="TableText0"/>
              <w:keepNext w:val="0"/>
              <w:ind w:left="340" w:hanging="340"/>
            </w:pPr>
            <w:r w:rsidRPr="00193BC1">
              <w:t>Dupilumab 300 mg has non-inferior efficacy and non-inferior safety compared to:</w:t>
            </w:r>
          </w:p>
          <w:p w14:paraId="160CA5E7" w14:textId="77777777" w:rsidR="002F4B0C" w:rsidRPr="00193BC1" w:rsidRDefault="002F4B0C" w:rsidP="00797BC5">
            <w:pPr>
              <w:pStyle w:val="TableText0"/>
              <w:keepNext w:val="0"/>
              <w:ind w:left="340" w:hanging="340"/>
            </w:pPr>
            <w:r w:rsidRPr="00193BC1">
              <w:t>-</w:t>
            </w:r>
            <w:r w:rsidRPr="00193BC1">
              <w:tab/>
              <w:t>Benralizumab and mepolizumab in patients aged ≥ 12 years in patients with severe uncontrolled eosinophilic asthma with OCS dependence</w:t>
            </w:r>
          </w:p>
          <w:p w14:paraId="7E455CC4" w14:textId="77777777" w:rsidR="002F4B0C" w:rsidRPr="00193BC1" w:rsidRDefault="002F4B0C" w:rsidP="00797BC5">
            <w:pPr>
              <w:pStyle w:val="TableText0"/>
              <w:keepNext w:val="0"/>
              <w:ind w:left="340" w:hanging="340"/>
              <w:rPr>
                <w:rFonts w:eastAsia="Times New Roman" w:cs="Arial"/>
                <w:bCs w:val="0"/>
                <w:snapToGrid w:val="0"/>
                <w:szCs w:val="20"/>
              </w:rPr>
            </w:pPr>
            <w:r w:rsidRPr="00193BC1">
              <w:t>-</w:t>
            </w:r>
            <w:r w:rsidRPr="00193BC1">
              <w:tab/>
              <w:t>Omalizumab in patients aged ≥ 12 years in patients with severe uncontrolled allergic asthma with OCS dependence</w:t>
            </w:r>
          </w:p>
        </w:tc>
      </w:tr>
    </w:tbl>
    <w:p w14:paraId="3F66D8D7" w14:textId="77777777" w:rsidR="00C50E6E" w:rsidRPr="00193BC1" w:rsidRDefault="008B1757" w:rsidP="00580E2F">
      <w:pPr>
        <w:pStyle w:val="TableFigureFooter"/>
      </w:pPr>
      <w:r w:rsidRPr="00193BC1">
        <w:t>Source</w:t>
      </w:r>
      <w:r w:rsidR="00C50E6E" w:rsidRPr="00193BC1">
        <w:t>: Table 1.1 of the submission.</w:t>
      </w:r>
    </w:p>
    <w:p w14:paraId="679976B0" w14:textId="77777777" w:rsidR="004E43B2" w:rsidRPr="00193BC1" w:rsidRDefault="00F50664" w:rsidP="00580E2F">
      <w:pPr>
        <w:pStyle w:val="TableFigureFooter"/>
      </w:pPr>
      <w:r w:rsidRPr="00193BC1">
        <w:t>OCS = o</w:t>
      </w:r>
      <w:r w:rsidR="00C50E6E" w:rsidRPr="00193BC1">
        <w:t xml:space="preserve">ral corticosteroids; Q2W = every </w:t>
      </w:r>
      <w:r w:rsidRPr="00193BC1">
        <w:t>2</w:t>
      </w:r>
      <w:r w:rsidR="00C50E6E" w:rsidRPr="00193BC1">
        <w:t xml:space="preserve"> weeks; SC =</w:t>
      </w:r>
      <w:r w:rsidRPr="00193BC1">
        <w:t xml:space="preserve"> subcutaneous; IgE = i</w:t>
      </w:r>
      <w:r w:rsidR="00C50E6E" w:rsidRPr="00193BC1">
        <w:t>mmunoglobulin E.</w:t>
      </w:r>
    </w:p>
    <w:p w14:paraId="056B1BD4" w14:textId="77777777" w:rsidR="005C25FF" w:rsidRPr="00193BC1" w:rsidRDefault="005C25FF" w:rsidP="00580E2F">
      <w:pPr>
        <w:pStyle w:val="2-SectionHeading"/>
        <w:keepNext w:val="0"/>
      </w:pPr>
      <w:bookmarkStart w:id="3" w:name="_Toc50399833"/>
      <w:r w:rsidRPr="00193BC1">
        <w:t>Background</w:t>
      </w:r>
      <w:bookmarkEnd w:id="3"/>
    </w:p>
    <w:p w14:paraId="791737FA" w14:textId="77777777" w:rsidR="005C25FF" w:rsidRPr="00193BC1" w:rsidRDefault="005C25FF" w:rsidP="00580E2F">
      <w:pPr>
        <w:pStyle w:val="4-SubsectionHeading"/>
        <w:keepNext w:val="0"/>
      </w:pPr>
      <w:bookmarkStart w:id="4" w:name="_Toc22897638"/>
      <w:bookmarkStart w:id="5" w:name="_Toc50399834"/>
      <w:r w:rsidRPr="00193BC1">
        <w:t>Registration status</w:t>
      </w:r>
      <w:bookmarkEnd w:id="4"/>
      <w:bookmarkEnd w:id="5"/>
    </w:p>
    <w:p w14:paraId="0ACB7938" w14:textId="77777777" w:rsidR="004C29E8" w:rsidRPr="00193BC1" w:rsidRDefault="00411CAC" w:rsidP="001716E0">
      <w:pPr>
        <w:pStyle w:val="3-BodyText"/>
      </w:pPr>
      <w:bookmarkStart w:id="6" w:name="_Toc22897639"/>
      <w:r w:rsidRPr="00193BC1">
        <w:t xml:space="preserve">Dupilumab was approved by the TGA in May 2019 for the treatment of patients aged 12 years and older with moderate to severe asthma with type 2 inflammation (elevated eosinophils or elevated </w:t>
      </w:r>
      <w:r w:rsidR="002507C6" w:rsidRPr="00193BC1">
        <w:t>exhaled nitric oxide concentration (</w:t>
      </w:r>
      <w:r w:rsidRPr="00193BC1">
        <w:t>FeNO)</w:t>
      </w:r>
      <w:r w:rsidR="002507C6" w:rsidRPr="00193BC1">
        <w:t>)</w:t>
      </w:r>
      <w:r w:rsidRPr="00193BC1">
        <w:t>, as well as maintenance therapy for oral c</w:t>
      </w:r>
      <w:r w:rsidR="002942E7" w:rsidRPr="00193BC1">
        <w:t>orticosteroid dependent asthma.</w:t>
      </w:r>
    </w:p>
    <w:p w14:paraId="3AF61583" w14:textId="77777777" w:rsidR="004C29E8" w:rsidRPr="00193BC1" w:rsidRDefault="00E1645C" w:rsidP="001716E0">
      <w:pPr>
        <w:pStyle w:val="3-BodyText"/>
      </w:pPr>
      <w:r w:rsidRPr="00193BC1">
        <w:t>The TGA approved product information (PI) stated</w:t>
      </w:r>
      <w:r w:rsidR="00E0386F" w:rsidRPr="00193BC1">
        <w:t xml:space="preserve"> t</w:t>
      </w:r>
      <w:r w:rsidR="004C29E8" w:rsidRPr="00193BC1">
        <w:t xml:space="preserve">he recommended dose of </w:t>
      </w:r>
      <w:r w:rsidR="00371669" w:rsidRPr="00193BC1">
        <w:t>d</w:t>
      </w:r>
      <w:r w:rsidR="004C29E8" w:rsidRPr="00193BC1">
        <w:t>upi</w:t>
      </w:r>
      <w:r w:rsidR="00560B21" w:rsidRPr="00193BC1">
        <w:t>lumab</w:t>
      </w:r>
      <w:r w:rsidR="004C29E8" w:rsidRPr="00193BC1">
        <w:t xml:space="preserve"> for adults and adolescents (12 years of age and older)</w:t>
      </w:r>
      <w:r w:rsidR="00B9570A" w:rsidRPr="00193BC1">
        <w:t xml:space="preserve"> with moderate to severe asthma with type 2 inflammation</w:t>
      </w:r>
      <w:r w:rsidR="004C29E8" w:rsidRPr="00193BC1">
        <w:t xml:space="preserve"> is: </w:t>
      </w:r>
    </w:p>
    <w:p w14:paraId="0DA416F6" w14:textId="77777777" w:rsidR="004C29E8" w:rsidRPr="00193BC1" w:rsidRDefault="004C29E8" w:rsidP="005863D4">
      <w:pPr>
        <w:pStyle w:val="ListParagraph"/>
        <w:numPr>
          <w:ilvl w:val="0"/>
          <w:numId w:val="22"/>
        </w:numPr>
        <w:ind w:left="1134"/>
        <w:jc w:val="both"/>
        <w:rPr>
          <w:shd w:val="clear" w:color="auto" w:fill="FFFFFF"/>
        </w:rPr>
      </w:pPr>
      <w:r w:rsidRPr="00193BC1">
        <w:rPr>
          <w:shd w:val="clear" w:color="auto" w:fill="FFFFFF"/>
        </w:rPr>
        <w:t xml:space="preserve">Initial dose of 400 mg by subcutaneous injection (two 200 mg injections consecutively in different injection sites) followed by 200 mg given every other week. </w:t>
      </w:r>
    </w:p>
    <w:p w14:paraId="6B11A312" w14:textId="77777777" w:rsidR="004C29E8" w:rsidRPr="00193BC1" w:rsidRDefault="004C29E8" w:rsidP="005863D4">
      <w:pPr>
        <w:pStyle w:val="3-BodyText"/>
        <w:keepNext/>
        <w:numPr>
          <w:ilvl w:val="0"/>
          <w:numId w:val="0"/>
        </w:numPr>
        <w:ind w:left="720"/>
      </w:pPr>
      <w:r w:rsidRPr="00193BC1">
        <w:t>Patients with oral corticosteroids-dependent asthma</w:t>
      </w:r>
      <w:r w:rsidR="00D9246A" w:rsidRPr="00193BC1">
        <w:t>:</w:t>
      </w:r>
      <w:r w:rsidRPr="00193BC1">
        <w:t xml:space="preserve"> </w:t>
      </w:r>
    </w:p>
    <w:p w14:paraId="1EA9E33A" w14:textId="77777777" w:rsidR="00411CAC" w:rsidRPr="00193BC1" w:rsidRDefault="004C29E8" w:rsidP="005863D4">
      <w:pPr>
        <w:pStyle w:val="ListParagraph"/>
        <w:numPr>
          <w:ilvl w:val="0"/>
          <w:numId w:val="22"/>
        </w:numPr>
        <w:ind w:left="1134"/>
        <w:jc w:val="both"/>
      </w:pPr>
      <w:r w:rsidRPr="00193BC1">
        <w:t xml:space="preserve">Initial dose of 600 mg by subcutaneous injection (two 300 mg injections </w:t>
      </w:r>
      <w:r w:rsidRPr="005863D4">
        <w:rPr>
          <w:shd w:val="clear" w:color="auto" w:fill="FFFFFF"/>
        </w:rPr>
        <w:t>consecutively</w:t>
      </w:r>
      <w:r w:rsidRPr="00193BC1">
        <w:t xml:space="preserve"> in different injection sites) followed by 300 mg given every other week</w:t>
      </w:r>
      <w:r w:rsidR="00DC0DD8" w:rsidRPr="00193BC1">
        <w:t>.</w:t>
      </w:r>
    </w:p>
    <w:p w14:paraId="767EDAF2" w14:textId="77777777" w:rsidR="00411CAC" w:rsidRPr="00193BC1" w:rsidRDefault="00411CAC" w:rsidP="001716E0">
      <w:pPr>
        <w:pStyle w:val="3-BodyText"/>
      </w:pPr>
      <w:r w:rsidRPr="00193BC1">
        <w:t>A black triangle warning accompanied the TGA approval, which encourages the reporting of adverse events.</w:t>
      </w:r>
      <w:r w:rsidR="00631263" w:rsidRPr="00193BC1">
        <w:t xml:space="preserve"> The TGA delegate’s report proposed additional pharmacovigilance for the asthma indication, including ongoing paediatric studies, and expansion of the planned pregnancy registry study for atopic dermatitis to include asthma patients.</w:t>
      </w:r>
    </w:p>
    <w:p w14:paraId="7BA25C90" w14:textId="77777777" w:rsidR="00E61DBE" w:rsidRPr="00193BC1" w:rsidRDefault="00E0386F" w:rsidP="001716E0">
      <w:pPr>
        <w:pStyle w:val="3-BodyText"/>
      </w:pPr>
      <w:r w:rsidRPr="00193BC1">
        <w:t xml:space="preserve">The </w:t>
      </w:r>
      <w:r w:rsidR="00E61DBE" w:rsidRPr="00193BC1">
        <w:t>PI for the comparators is for narrower therapeutic indication</w:t>
      </w:r>
      <w:r w:rsidR="004B5A65" w:rsidRPr="00193BC1">
        <w:t>s, as follow</w:t>
      </w:r>
      <w:r w:rsidR="00E61DBE" w:rsidRPr="00193BC1">
        <w:t>:</w:t>
      </w:r>
    </w:p>
    <w:p w14:paraId="1EC5FAD3" w14:textId="77777777" w:rsidR="00E61DBE" w:rsidRPr="00193BC1" w:rsidRDefault="00E61DBE" w:rsidP="005863D4">
      <w:pPr>
        <w:pStyle w:val="ListParagraph"/>
        <w:numPr>
          <w:ilvl w:val="0"/>
          <w:numId w:val="22"/>
        </w:numPr>
        <w:ind w:left="1134"/>
        <w:jc w:val="both"/>
        <w:rPr>
          <w:shd w:val="clear" w:color="auto" w:fill="FFFFFF"/>
        </w:rPr>
      </w:pPr>
      <w:r w:rsidRPr="00193BC1">
        <w:rPr>
          <w:shd w:val="clear" w:color="auto" w:fill="FFFFFF"/>
        </w:rPr>
        <w:t>Benralizumab is indicated as add-on therapy in patients aged 12 years and over with severe eosinophilic asthma (blood eosinophil count ≥300 cells/μL or ≥150 cells/μL if on oral corticosteroid treatment).</w:t>
      </w:r>
    </w:p>
    <w:p w14:paraId="2C342388" w14:textId="77777777" w:rsidR="00E61DBE" w:rsidRPr="00193BC1" w:rsidRDefault="00E61DBE" w:rsidP="005863D4">
      <w:pPr>
        <w:pStyle w:val="ListParagraph"/>
        <w:numPr>
          <w:ilvl w:val="0"/>
          <w:numId w:val="22"/>
        </w:numPr>
        <w:ind w:left="1134"/>
        <w:jc w:val="both"/>
        <w:rPr>
          <w:shd w:val="clear" w:color="auto" w:fill="FFFFFF"/>
        </w:rPr>
      </w:pPr>
      <w:r w:rsidRPr="00193BC1">
        <w:rPr>
          <w:shd w:val="clear" w:color="auto" w:fill="FFFFFF"/>
        </w:rPr>
        <w:lastRenderedPageBreak/>
        <w:t>Mepolizumab is indicated as an add-on treatment for severe eosinophilic asthma in patients aged 12 years and over.</w:t>
      </w:r>
    </w:p>
    <w:p w14:paraId="6743D8B1" w14:textId="77777777" w:rsidR="00E61DBE" w:rsidRPr="00193BC1" w:rsidRDefault="00E61DBE" w:rsidP="005863D4">
      <w:pPr>
        <w:pStyle w:val="ListParagraph"/>
        <w:numPr>
          <w:ilvl w:val="0"/>
          <w:numId w:val="22"/>
        </w:numPr>
        <w:ind w:left="1134"/>
        <w:jc w:val="both"/>
        <w:rPr>
          <w:shd w:val="clear" w:color="auto" w:fill="FFFFFF"/>
        </w:rPr>
      </w:pPr>
      <w:r w:rsidRPr="00193BC1">
        <w:rPr>
          <w:shd w:val="clear" w:color="auto" w:fill="FFFFFF"/>
        </w:rPr>
        <w:t>Omalizumab is indicated as add-on therapy in children aged 6 to &lt;12 years, to improve asthma control in patients with severe allergic asthma who have documented exacerbations despite daily high dose inhaled corticosteroids, and who have immunoglobulin E levels corresponding to the recommended dose range. Omalizumab is indicated in adults and adolescents ≥ 12 years of age for the management of moderate to severe allergic asthma, who are already being treated with inhaled steroids, and who have serum immunoglobulin E levels corresponding to the recommended dose range.</w:t>
      </w:r>
    </w:p>
    <w:p w14:paraId="30DCF8A9" w14:textId="77777777" w:rsidR="00B805AB" w:rsidRPr="00193BC1" w:rsidRDefault="00B805AB" w:rsidP="00B805AB">
      <w:pPr>
        <w:tabs>
          <w:tab w:val="center" w:pos="4153"/>
          <w:tab w:val="right" w:pos="8306"/>
        </w:tabs>
        <w:autoSpaceDE w:val="0"/>
        <w:autoSpaceDN w:val="0"/>
        <w:adjustRightInd w:val="0"/>
        <w:rPr>
          <w:rFonts w:asciiTheme="minorHAnsi" w:hAnsiTheme="minorHAnsi" w:cstheme="minorHAnsi"/>
          <w:i/>
          <w:iCs/>
        </w:rPr>
      </w:pPr>
      <w:r w:rsidRPr="00193BC1">
        <w:rPr>
          <w:rFonts w:asciiTheme="minorHAnsi" w:hAnsiTheme="minorHAnsi" w:cstheme="minorHAnsi"/>
          <w:i/>
          <w:iCs/>
        </w:rPr>
        <w:t>For more detail on PBAC’s view, see section 7 PBAC outcome.</w:t>
      </w:r>
    </w:p>
    <w:p w14:paraId="283C36A0" w14:textId="77777777" w:rsidR="00B60939" w:rsidRPr="00193BC1" w:rsidRDefault="00B50DB8" w:rsidP="000D6C18">
      <w:pPr>
        <w:pStyle w:val="2-SectionHeading"/>
      </w:pPr>
      <w:bookmarkStart w:id="7" w:name="_Toc50399835"/>
      <w:bookmarkEnd w:id="6"/>
      <w:r w:rsidRPr="00193BC1">
        <w:t>Requested listing</w:t>
      </w:r>
      <w:bookmarkEnd w:id="7"/>
    </w:p>
    <w:p w14:paraId="290859B0" w14:textId="77777777" w:rsidR="00D42D5C" w:rsidRPr="00193BC1" w:rsidRDefault="00D42D5C" w:rsidP="0050551A">
      <w:pPr>
        <w:pStyle w:val="3-BodyText"/>
        <w:keepNext/>
      </w:pPr>
      <w:r w:rsidRPr="00193BC1">
        <w:t>An abridged version of the requested listing is provided below (Prescribing Instructions and Administrative Advice are not included)</w:t>
      </w:r>
      <w:r w:rsidR="00193BC1">
        <w:t xml:space="preserve">. </w:t>
      </w:r>
      <w:r w:rsidRPr="00193BC1">
        <w:t xml:space="preserve">Suggestions and additions proposed by the Secretariat are added in italics and suggested deletions are crossed out with strikethrough. </w:t>
      </w:r>
    </w:p>
    <w:p w14:paraId="40658C4E" w14:textId="77777777" w:rsidR="00D42D5C" w:rsidRPr="00193BC1" w:rsidRDefault="00D42D5C" w:rsidP="00D42D5C">
      <w:pPr>
        <w:keepNext/>
        <w:rPr>
          <w:rFonts w:ascii="Arial Narrow" w:hAnsi="Arial Narrow"/>
          <w:b/>
          <w:bCs/>
          <w:sz w:val="20"/>
          <w:szCs w:val="20"/>
        </w:rPr>
      </w:pPr>
      <w:r w:rsidRPr="00193BC1">
        <w:rPr>
          <w:rFonts w:ascii="Arial Narrow" w:hAnsi="Arial Narrow"/>
          <w:b/>
          <w:bCs/>
          <w:sz w:val="20"/>
          <w:szCs w:val="20"/>
        </w:rPr>
        <w:t>Treatment phase: Initial 1 and Initial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648"/>
        <w:gridCol w:w="973"/>
        <w:gridCol w:w="973"/>
        <w:gridCol w:w="800"/>
        <w:gridCol w:w="1461"/>
        <w:gridCol w:w="942"/>
        <w:gridCol w:w="1546"/>
      </w:tblGrid>
      <w:tr w:rsidR="00D42D5C" w:rsidRPr="00193BC1" w14:paraId="3696D840" w14:textId="77777777" w:rsidTr="00B57220">
        <w:tc>
          <w:tcPr>
            <w:tcW w:w="930" w:type="pct"/>
          </w:tcPr>
          <w:p w14:paraId="12C45E3C" w14:textId="77777777" w:rsidR="00D42D5C" w:rsidRPr="00193BC1" w:rsidRDefault="00D42D5C" w:rsidP="009C6858">
            <w:pPr>
              <w:pStyle w:val="Tabletext"/>
              <w:rPr>
                <w:b/>
                <w:bCs/>
                <w:szCs w:val="20"/>
              </w:rPr>
            </w:pPr>
            <w:r w:rsidRPr="00193BC1">
              <w:rPr>
                <w:b/>
                <w:szCs w:val="20"/>
              </w:rPr>
              <w:t>Name, restriction, manner of administration, form</w:t>
            </w:r>
          </w:p>
        </w:tc>
        <w:tc>
          <w:tcPr>
            <w:tcW w:w="361" w:type="pct"/>
          </w:tcPr>
          <w:p w14:paraId="125FEBBB" w14:textId="77777777" w:rsidR="00D42D5C" w:rsidRPr="00193BC1" w:rsidRDefault="00D42D5C" w:rsidP="009C6858">
            <w:pPr>
              <w:pStyle w:val="Tabletext"/>
              <w:jc w:val="center"/>
              <w:rPr>
                <w:b/>
                <w:szCs w:val="20"/>
              </w:rPr>
            </w:pPr>
            <w:r w:rsidRPr="00193BC1">
              <w:rPr>
                <w:b/>
                <w:szCs w:val="20"/>
              </w:rPr>
              <w:t>PBS item code</w:t>
            </w:r>
          </w:p>
        </w:tc>
        <w:tc>
          <w:tcPr>
            <w:tcW w:w="541" w:type="pct"/>
          </w:tcPr>
          <w:p w14:paraId="04E326CD" w14:textId="77777777" w:rsidR="00D42D5C" w:rsidRPr="00193BC1" w:rsidRDefault="00D42D5C" w:rsidP="009C6858">
            <w:pPr>
              <w:pStyle w:val="Tabletext"/>
              <w:jc w:val="center"/>
              <w:rPr>
                <w:b/>
                <w:bCs/>
                <w:szCs w:val="20"/>
              </w:rPr>
            </w:pPr>
            <w:r w:rsidRPr="00193BC1">
              <w:rPr>
                <w:b/>
                <w:szCs w:val="20"/>
              </w:rPr>
              <w:t>Maximum quantity (packs)</w:t>
            </w:r>
          </w:p>
        </w:tc>
        <w:tc>
          <w:tcPr>
            <w:tcW w:w="537" w:type="pct"/>
          </w:tcPr>
          <w:p w14:paraId="19542CFD" w14:textId="77777777" w:rsidR="00D42D5C" w:rsidRPr="00193BC1" w:rsidRDefault="00D42D5C" w:rsidP="009C6858">
            <w:pPr>
              <w:pStyle w:val="Tabletext"/>
              <w:jc w:val="center"/>
              <w:rPr>
                <w:b/>
                <w:bCs/>
                <w:szCs w:val="20"/>
              </w:rPr>
            </w:pPr>
            <w:r w:rsidRPr="00193BC1">
              <w:rPr>
                <w:b/>
                <w:szCs w:val="20"/>
              </w:rPr>
              <w:t>Maximum quantity (units)</w:t>
            </w:r>
          </w:p>
        </w:tc>
        <w:tc>
          <w:tcPr>
            <w:tcW w:w="441" w:type="pct"/>
          </w:tcPr>
          <w:p w14:paraId="4D4EA752" w14:textId="77777777" w:rsidR="00D42D5C" w:rsidRPr="00193BC1" w:rsidRDefault="00D42D5C" w:rsidP="009C6858">
            <w:pPr>
              <w:pStyle w:val="Tabletext"/>
              <w:rPr>
                <w:b/>
                <w:bCs/>
                <w:szCs w:val="20"/>
              </w:rPr>
            </w:pPr>
            <w:r w:rsidRPr="00193BC1">
              <w:rPr>
                <w:b/>
                <w:szCs w:val="20"/>
              </w:rPr>
              <w:t>No. of repeats</w:t>
            </w:r>
          </w:p>
        </w:tc>
        <w:tc>
          <w:tcPr>
            <w:tcW w:w="812" w:type="pct"/>
          </w:tcPr>
          <w:p w14:paraId="5D75E495" w14:textId="77777777" w:rsidR="00D42D5C" w:rsidRPr="00193BC1" w:rsidRDefault="00D42D5C" w:rsidP="009C6858">
            <w:pPr>
              <w:pStyle w:val="Tabletext"/>
              <w:rPr>
                <w:b/>
                <w:bCs/>
                <w:szCs w:val="20"/>
              </w:rPr>
            </w:pPr>
            <w:r w:rsidRPr="00193BC1">
              <w:rPr>
                <w:b/>
                <w:szCs w:val="20"/>
              </w:rPr>
              <w:t>Dispensed price for maximum quantity</w:t>
            </w:r>
          </w:p>
        </w:tc>
        <w:tc>
          <w:tcPr>
            <w:tcW w:w="1379" w:type="pct"/>
            <w:gridSpan w:val="2"/>
          </w:tcPr>
          <w:p w14:paraId="0ECF0245" w14:textId="77777777" w:rsidR="00D42D5C" w:rsidRPr="00193BC1" w:rsidRDefault="00D42D5C" w:rsidP="009C6858">
            <w:pPr>
              <w:pStyle w:val="Tabletext"/>
              <w:rPr>
                <w:b/>
                <w:bCs/>
                <w:szCs w:val="20"/>
              </w:rPr>
            </w:pPr>
            <w:r w:rsidRPr="00193BC1">
              <w:rPr>
                <w:b/>
                <w:szCs w:val="20"/>
              </w:rPr>
              <w:t>Proprietary name and manufacturer</w:t>
            </w:r>
          </w:p>
        </w:tc>
      </w:tr>
      <w:tr w:rsidR="00D42D5C" w:rsidRPr="00193BC1" w14:paraId="59EF6D20" w14:textId="77777777" w:rsidTr="00B57220">
        <w:tc>
          <w:tcPr>
            <w:tcW w:w="930" w:type="pct"/>
            <w:vAlign w:val="center"/>
          </w:tcPr>
          <w:p w14:paraId="53F2D828" w14:textId="77777777" w:rsidR="00D42D5C" w:rsidRPr="00193BC1" w:rsidRDefault="00D42D5C" w:rsidP="009C6858">
            <w:pPr>
              <w:pStyle w:val="Tabletext"/>
              <w:rPr>
                <w:szCs w:val="20"/>
              </w:rPr>
            </w:pPr>
            <w:r w:rsidRPr="00193BC1">
              <w:rPr>
                <w:szCs w:val="20"/>
              </w:rPr>
              <w:t>DUPILUMAB</w:t>
            </w:r>
          </w:p>
          <w:p w14:paraId="265B4642" w14:textId="77777777" w:rsidR="00D42D5C" w:rsidRPr="00193BC1" w:rsidRDefault="00D42D5C" w:rsidP="009C6858">
            <w:pPr>
              <w:pStyle w:val="Tabletext"/>
              <w:rPr>
                <w:szCs w:val="20"/>
              </w:rPr>
            </w:pPr>
            <w:r w:rsidRPr="00193BC1">
              <w:rPr>
                <w:szCs w:val="20"/>
              </w:rPr>
              <w:br/>
              <w:t>200 mg/1.14 mL injection, 2 x 1.14 mL syringes</w:t>
            </w:r>
          </w:p>
        </w:tc>
        <w:tc>
          <w:tcPr>
            <w:tcW w:w="361" w:type="pct"/>
            <w:vAlign w:val="center"/>
          </w:tcPr>
          <w:p w14:paraId="16A30FA5" w14:textId="77777777" w:rsidR="00D42D5C" w:rsidRPr="00193BC1" w:rsidRDefault="00D42D5C" w:rsidP="009C6858">
            <w:pPr>
              <w:pStyle w:val="Tabletext"/>
              <w:jc w:val="center"/>
              <w:rPr>
                <w:szCs w:val="20"/>
              </w:rPr>
            </w:pPr>
            <w:r w:rsidRPr="00193BC1">
              <w:rPr>
                <w:szCs w:val="20"/>
              </w:rPr>
              <w:t>NEW</w:t>
            </w:r>
          </w:p>
        </w:tc>
        <w:tc>
          <w:tcPr>
            <w:tcW w:w="541" w:type="pct"/>
            <w:vAlign w:val="center"/>
          </w:tcPr>
          <w:p w14:paraId="089BF33A" w14:textId="77777777" w:rsidR="00D42D5C" w:rsidRPr="00193BC1" w:rsidRDefault="00D42D5C" w:rsidP="009C6858">
            <w:pPr>
              <w:pStyle w:val="Tabletext"/>
              <w:jc w:val="center"/>
              <w:rPr>
                <w:rFonts w:ascii="Times" w:hAnsi="Times"/>
                <w:szCs w:val="20"/>
              </w:rPr>
            </w:pPr>
            <w:r w:rsidRPr="00193BC1">
              <w:rPr>
                <w:szCs w:val="20"/>
              </w:rPr>
              <w:t>1</w:t>
            </w:r>
          </w:p>
        </w:tc>
        <w:tc>
          <w:tcPr>
            <w:tcW w:w="537" w:type="pct"/>
            <w:vAlign w:val="center"/>
          </w:tcPr>
          <w:p w14:paraId="61CEBA15" w14:textId="77777777" w:rsidR="00D42D5C" w:rsidRPr="00193BC1" w:rsidRDefault="00D42D5C" w:rsidP="009C6858">
            <w:pPr>
              <w:pStyle w:val="Tabletext"/>
              <w:jc w:val="center"/>
              <w:rPr>
                <w:rFonts w:ascii="Times" w:hAnsi="Times"/>
                <w:szCs w:val="20"/>
              </w:rPr>
            </w:pPr>
            <w:r w:rsidRPr="00193BC1">
              <w:rPr>
                <w:szCs w:val="20"/>
              </w:rPr>
              <w:t>2</w:t>
            </w:r>
          </w:p>
        </w:tc>
        <w:tc>
          <w:tcPr>
            <w:tcW w:w="441" w:type="pct"/>
            <w:vAlign w:val="center"/>
          </w:tcPr>
          <w:p w14:paraId="52C59271" w14:textId="77777777" w:rsidR="00D42D5C" w:rsidRPr="00193BC1" w:rsidRDefault="00D42D5C" w:rsidP="009C6858">
            <w:pPr>
              <w:pStyle w:val="Tabletext"/>
              <w:jc w:val="center"/>
              <w:rPr>
                <w:rFonts w:ascii="Times" w:hAnsi="Times"/>
                <w:szCs w:val="20"/>
              </w:rPr>
            </w:pPr>
            <w:r w:rsidRPr="00193BC1">
              <w:rPr>
                <w:szCs w:val="20"/>
              </w:rPr>
              <w:t>8</w:t>
            </w:r>
          </w:p>
        </w:tc>
        <w:tc>
          <w:tcPr>
            <w:tcW w:w="812" w:type="pct"/>
            <w:vAlign w:val="center"/>
          </w:tcPr>
          <w:p w14:paraId="008FD897" w14:textId="77777777" w:rsidR="00D42D5C" w:rsidRPr="00193BC1" w:rsidRDefault="00D42D5C" w:rsidP="009C6858">
            <w:pPr>
              <w:pStyle w:val="Tabletext"/>
              <w:rPr>
                <w:szCs w:val="20"/>
              </w:rPr>
            </w:pPr>
            <w:r w:rsidRPr="00193BC1">
              <w:rPr>
                <w:szCs w:val="20"/>
              </w:rPr>
              <w:t>Public  =$</w:t>
            </w:r>
            <w:r w:rsidR="002F3D9C">
              <w:rPr>
                <w:noProof/>
                <w:color w:val="000000"/>
                <w:szCs w:val="20"/>
                <w:highlight w:val="black"/>
              </w:rPr>
              <w:t>'''''''''''''''''''''</w:t>
            </w:r>
          </w:p>
          <w:p w14:paraId="2974BCAC" w14:textId="77777777" w:rsidR="00D42D5C" w:rsidRPr="00193BC1" w:rsidRDefault="00D42D5C" w:rsidP="009C6858">
            <w:pPr>
              <w:pStyle w:val="Tabletext"/>
              <w:rPr>
                <w:szCs w:val="20"/>
              </w:rPr>
            </w:pPr>
            <w:r w:rsidRPr="00193BC1">
              <w:rPr>
                <w:szCs w:val="20"/>
              </w:rPr>
              <w:t>Private =$</w:t>
            </w:r>
            <w:r w:rsidR="002F3D9C">
              <w:rPr>
                <w:noProof/>
                <w:color w:val="000000"/>
                <w:szCs w:val="20"/>
                <w:highlight w:val="black"/>
              </w:rPr>
              <w:t>''''''''''''''''''''''</w:t>
            </w:r>
          </w:p>
          <w:p w14:paraId="7E76E594" w14:textId="77777777" w:rsidR="00D42D5C" w:rsidRPr="00193BC1" w:rsidRDefault="00D42D5C" w:rsidP="009C6858">
            <w:pPr>
              <w:pStyle w:val="Tabletext"/>
              <w:rPr>
                <w:rFonts w:ascii="Times" w:hAnsi="Times"/>
                <w:szCs w:val="20"/>
              </w:rPr>
            </w:pPr>
            <w:r w:rsidRPr="00193BC1">
              <w:rPr>
                <w:szCs w:val="20"/>
              </w:rPr>
              <w:t>[SPA TBD]</w:t>
            </w:r>
          </w:p>
        </w:tc>
        <w:tc>
          <w:tcPr>
            <w:tcW w:w="519" w:type="pct"/>
            <w:vAlign w:val="center"/>
          </w:tcPr>
          <w:p w14:paraId="325254F7" w14:textId="77777777" w:rsidR="00D42D5C" w:rsidRPr="00193BC1" w:rsidRDefault="00D42D5C" w:rsidP="009C6858">
            <w:pPr>
              <w:pStyle w:val="TableText0"/>
              <w:spacing w:line="276" w:lineRule="auto"/>
              <w:jc w:val="center"/>
              <w:rPr>
                <w:rFonts w:asciiTheme="minorHAnsi" w:hAnsiTheme="minorHAnsi" w:cstheme="minorHAnsi"/>
                <w:szCs w:val="20"/>
              </w:rPr>
            </w:pPr>
            <w:r w:rsidRPr="00193BC1">
              <w:rPr>
                <w:szCs w:val="20"/>
              </w:rPr>
              <w:t>Dupixent</w:t>
            </w:r>
            <w:r w:rsidRPr="00193BC1">
              <w:rPr>
                <w:szCs w:val="20"/>
                <w:vertAlign w:val="superscript"/>
              </w:rPr>
              <w:t>®</w:t>
            </w:r>
          </w:p>
        </w:tc>
        <w:tc>
          <w:tcPr>
            <w:tcW w:w="859" w:type="pct"/>
            <w:vAlign w:val="center"/>
          </w:tcPr>
          <w:p w14:paraId="1B926312" w14:textId="77777777" w:rsidR="00D42D5C" w:rsidRPr="00193BC1" w:rsidRDefault="00D42D5C" w:rsidP="009C6858">
            <w:pPr>
              <w:pStyle w:val="Tabletext"/>
              <w:jc w:val="center"/>
              <w:rPr>
                <w:rFonts w:ascii="Times" w:hAnsi="Times"/>
                <w:szCs w:val="20"/>
              </w:rPr>
            </w:pPr>
            <w:r w:rsidRPr="00193BC1">
              <w:rPr>
                <w:szCs w:val="20"/>
              </w:rPr>
              <w:t>Sanofi-Aventis Australia Pty Ltd</w:t>
            </w:r>
          </w:p>
        </w:tc>
      </w:tr>
    </w:tbl>
    <w:p w14:paraId="513A3852" w14:textId="77777777" w:rsidR="00D42D5C" w:rsidRPr="00193BC1" w:rsidRDefault="00D42D5C" w:rsidP="00D42D5C">
      <w:pPr>
        <w:pStyle w:val="TableFooter"/>
      </w:pPr>
    </w:p>
    <w:tbl>
      <w:tblPr>
        <w:tblW w:w="5000" w:type="pct"/>
        <w:tblLook w:val="0000" w:firstRow="0" w:lastRow="0" w:firstColumn="0" w:lastColumn="0" w:noHBand="0" w:noVBand="0"/>
      </w:tblPr>
      <w:tblGrid>
        <w:gridCol w:w="9017"/>
      </w:tblGrid>
      <w:tr w:rsidR="0050551A" w:rsidRPr="00193BC1" w14:paraId="6EC0BB4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18F7782" w14:textId="77777777" w:rsidR="0050551A" w:rsidRPr="00193BC1" w:rsidRDefault="0050551A" w:rsidP="009C6858">
            <w:pPr>
              <w:pStyle w:val="TableText0"/>
              <w:keepNext w:val="0"/>
            </w:pPr>
            <w:r w:rsidRPr="00193BC1">
              <w:rPr>
                <w:b/>
              </w:rPr>
              <w:t>Category / Program:</w:t>
            </w:r>
          </w:p>
          <w:p w14:paraId="37E88846" w14:textId="77777777" w:rsidR="0050551A" w:rsidRPr="00193BC1" w:rsidRDefault="0050551A" w:rsidP="009C6858">
            <w:pPr>
              <w:pStyle w:val="TableText0"/>
              <w:keepNext w:val="0"/>
            </w:pPr>
            <w:r w:rsidRPr="00193BC1">
              <w:t>Section 100 – Highly Specialised Drugs Program – public and private</w:t>
            </w:r>
          </w:p>
        </w:tc>
      </w:tr>
      <w:tr w:rsidR="0050551A" w:rsidRPr="00193BC1" w14:paraId="4874252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2DE3297" w14:textId="77777777" w:rsidR="0050551A" w:rsidRPr="00193BC1" w:rsidRDefault="0050551A" w:rsidP="009C6858">
            <w:pPr>
              <w:pStyle w:val="TableText0"/>
              <w:keepNext w:val="0"/>
            </w:pPr>
            <w:r w:rsidRPr="00193BC1">
              <w:rPr>
                <w:b/>
              </w:rPr>
              <w:t>Prescriber type:</w:t>
            </w:r>
          </w:p>
          <w:p w14:paraId="5147BEEB" w14:textId="77777777" w:rsidR="0050551A" w:rsidRPr="00193BC1" w:rsidRDefault="0050551A" w:rsidP="009C6858">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50551A" w:rsidRPr="00193BC1" w14:paraId="0188256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AC1EC3C" w14:textId="77777777" w:rsidR="0050551A" w:rsidRPr="00193BC1" w:rsidRDefault="0050551A" w:rsidP="009C6858">
            <w:pPr>
              <w:pStyle w:val="TableText0"/>
              <w:keepNext w:val="0"/>
            </w:pPr>
            <w:r w:rsidRPr="00193BC1">
              <w:rPr>
                <w:b/>
              </w:rPr>
              <w:t>Restriction:</w:t>
            </w:r>
          </w:p>
          <w:p w14:paraId="6C9093EF" w14:textId="77777777" w:rsidR="0050551A" w:rsidRPr="00193BC1" w:rsidRDefault="0050551A" w:rsidP="009C6858">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50551A" w:rsidRPr="00193BC1" w14:paraId="72B3A87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F0E7691" w14:textId="77777777" w:rsidR="0050551A" w:rsidRPr="00193BC1" w:rsidRDefault="0050551A" w:rsidP="009C6858">
            <w:pPr>
              <w:pStyle w:val="TableText0"/>
              <w:keepNext w:val="0"/>
            </w:pPr>
            <w:r w:rsidRPr="00193BC1">
              <w:rPr>
                <w:b/>
              </w:rPr>
              <w:t>Severity:</w:t>
            </w:r>
          </w:p>
          <w:p w14:paraId="48E77656" w14:textId="77777777" w:rsidR="0050551A" w:rsidRPr="00193BC1" w:rsidRDefault="0050551A" w:rsidP="009C6858">
            <w:pPr>
              <w:pStyle w:val="TableText0"/>
              <w:keepNext w:val="0"/>
            </w:pPr>
            <w:r w:rsidRPr="00193BC1">
              <w:rPr>
                <w:i/>
              </w:rPr>
              <w:t xml:space="preserve">Uncontrolled </w:t>
            </w:r>
            <w:r w:rsidRPr="00193BC1">
              <w:t>severe</w:t>
            </w:r>
          </w:p>
        </w:tc>
      </w:tr>
      <w:tr w:rsidR="0050551A" w:rsidRPr="00193BC1" w14:paraId="01859F4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153CF26" w14:textId="77777777" w:rsidR="0050551A" w:rsidRPr="00193BC1" w:rsidRDefault="0050551A" w:rsidP="009C6858">
            <w:pPr>
              <w:pStyle w:val="TableText0"/>
              <w:keepNext w:val="0"/>
            </w:pPr>
            <w:r w:rsidRPr="00193BC1">
              <w:rPr>
                <w:b/>
              </w:rPr>
              <w:t>Condition:</w:t>
            </w:r>
          </w:p>
          <w:p w14:paraId="373EDBDE" w14:textId="77777777" w:rsidR="0050551A" w:rsidRPr="00193BC1" w:rsidRDefault="0050551A" w:rsidP="009C6858">
            <w:pPr>
              <w:pStyle w:val="TableText0"/>
              <w:keepNext w:val="0"/>
              <w:rPr>
                <w:i/>
                <w:strike/>
              </w:rPr>
            </w:pPr>
            <w:r w:rsidRPr="00193BC1">
              <w:rPr>
                <w:rFonts w:eastAsiaTheme="minorHAnsi"/>
                <w:i/>
                <w:iCs/>
              </w:rPr>
              <w:t xml:space="preserve">eosinophilic or allergic </w:t>
            </w:r>
            <w:r w:rsidRPr="00193BC1">
              <w:rPr>
                <w:i/>
              </w:rPr>
              <w:t>asthma</w:t>
            </w:r>
          </w:p>
        </w:tc>
      </w:tr>
      <w:tr w:rsidR="0050551A" w:rsidRPr="00193BC1" w14:paraId="34B6CC2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E3B3EA7" w14:textId="77777777" w:rsidR="0050551A" w:rsidRPr="00193BC1" w:rsidRDefault="0050551A" w:rsidP="009C6858">
            <w:pPr>
              <w:pStyle w:val="TableText0"/>
              <w:keepNext w:val="0"/>
            </w:pPr>
            <w:r w:rsidRPr="00193BC1">
              <w:rPr>
                <w:b/>
              </w:rPr>
              <w:t>PBS Indication:</w:t>
            </w:r>
          </w:p>
          <w:p w14:paraId="41DF75CB" w14:textId="77777777" w:rsidR="0050551A" w:rsidRPr="00193BC1" w:rsidRDefault="0050551A" w:rsidP="009C6858">
            <w:pPr>
              <w:pStyle w:val="TableText0"/>
              <w:keepNext w:val="0"/>
            </w:pPr>
            <w:r w:rsidRPr="00193BC1">
              <w:t xml:space="preserve">Uncontrolled severe </w:t>
            </w:r>
            <w:r w:rsidRPr="00193BC1">
              <w:rPr>
                <w:rFonts w:eastAsiaTheme="minorHAnsi"/>
                <w:i/>
                <w:iCs/>
              </w:rPr>
              <w:t>eosinophilic or allergic</w:t>
            </w:r>
            <w:r w:rsidRPr="00193BC1">
              <w:t xml:space="preserve"> </w:t>
            </w:r>
            <w:r w:rsidRPr="00193BC1">
              <w:rPr>
                <w:strike/>
              </w:rPr>
              <w:t>type 2</w:t>
            </w:r>
            <w:r w:rsidRPr="00193BC1">
              <w:t xml:space="preserve"> asthma </w:t>
            </w:r>
            <w:r w:rsidRPr="00193BC1">
              <w:rPr>
                <w:strike/>
              </w:rPr>
              <w:t>without OCS dependence</w:t>
            </w:r>
          </w:p>
        </w:tc>
      </w:tr>
      <w:tr w:rsidR="0050551A" w:rsidRPr="00193BC1" w14:paraId="52957B8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3C1F098" w14:textId="77777777" w:rsidR="0050551A" w:rsidRPr="00193BC1" w:rsidRDefault="0050551A" w:rsidP="009C6858">
            <w:pPr>
              <w:pStyle w:val="TableText0"/>
              <w:keepNext w:val="0"/>
            </w:pPr>
            <w:r w:rsidRPr="00193BC1">
              <w:rPr>
                <w:b/>
              </w:rPr>
              <w:t>Treatment phase:</w:t>
            </w:r>
          </w:p>
          <w:p w14:paraId="2237D28F" w14:textId="77777777" w:rsidR="0050551A" w:rsidRPr="00193BC1" w:rsidRDefault="0050551A" w:rsidP="009C6858">
            <w:pPr>
              <w:pStyle w:val="TableText0"/>
              <w:keepNext w:val="0"/>
            </w:pPr>
            <w:r w:rsidRPr="00193BC1">
              <w:t xml:space="preserve">Initial treatment 1 – </w:t>
            </w:r>
            <w:r w:rsidRPr="00193BC1">
              <w:rPr>
                <w:i/>
              </w:rPr>
              <w:t>(</w:t>
            </w:r>
            <w:r w:rsidRPr="00193BC1">
              <w:t xml:space="preserve">New patient; or </w:t>
            </w:r>
            <w:r w:rsidRPr="00193BC1">
              <w:rPr>
                <w:i/>
              </w:rPr>
              <w:t xml:space="preserve">Recommencement of </w:t>
            </w:r>
            <w:r w:rsidRPr="00193BC1">
              <w:rPr>
                <w:strike/>
              </w:rPr>
              <w:t>patients recommencing</w:t>
            </w:r>
            <w:r w:rsidRPr="00193BC1">
              <w:t xml:space="preserve"> treatment </w:t>
            </w:r>
            <w:r w:rsidRPr="00193BC1">
              <w:rPr>
                <w:i/>
              </w:rPr>
              <w:t xml:space="preserve">in a new treatment cycle following a break in PBS subsidised biological medicine therapy) </w:t>
            </w:r>
            <w:r w:rsidRPr="00193BC1">
              <w:rPr>
                <w:strike/>
              </w:rPr>
              <w:t>after a break of more than 12 months, without OCS dependence.</w:t>
            </w:r>
          </w:p>
        </w:tc>
      </w:tr>
      <w:tr w:rsidR="0050551A" w:rsidRPr="00193BC1" w14:paraId="1AF3D85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BB10A77" w14:textId="77777777" w:rsidR="0050551A" w:rsidRPr="00193BC1" w:rsidRDefault="0050551A" w:rsidP="009C6858">
            <w:pPr>
              <w:pStyle w:val="TableText0"/>
              <w:keepNext w:val="0"/>
              <w:rPr>
                <w:rFonts w:cs="Arial"/>
              </w:rPr>
            </w:pPr>
            <w:r w:rsidRPr="00193BC1">
              <w:rPr>
                <w:b/>
              </w:rPr>
              <w:t>Treatment criteria:</w:t>
            </w:r>
          </w:p>
          <w:p w14:paraId="61EB4CF2" w14:textId="77777777" w:rsidR="0050551A" w:rsidRPr="00193BC1" w:rsidRDefault="0050551A" w:rsidP="009C6858">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50551A" w:rsidRPr="00193BC1" w14:paraId="0B8CA5C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7BEBE06" w14:textId="77777777" w:rsidR="0050551A" w:rsidRPr="00193BC1" w:rsidRDefault="0050551A" w:rsidP="009C6858">
            <w:pPr>
              <w:pStyle w:val="TableText0"/>
              <w:keepNext w:val="0"/>
              <w:rPr>
                <w:b/>
              </w:rPr>
            </w:pPr>
            <w:r w:rsidRPr="00193BC1">
              <w:rPr>
                <w:b/>
              </w:rPr>
              <w:t>AND</w:t>
            </w:r>
          </w:p>
        </w:tc>
      </w:tr>
      <w:tr w:rsidR="0050551A" w:rsidRPr="00193BC1" w14:paraId="7202DAD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DC1771A" w14:textId="77777777" w:rsidR="0050551A" w:rsidRPr="00193BC1" w:rsidRDefault="0050551A" w:rsidP="009C6858">
            <w:pPr>
              <w:pStyle w:val="TableText0"/>
              <w:keepNext w:val="0"/>
              <w:rPr>
                <w:b/>
              </w:rPr>
            </w:pPr>
            <w:r w:rsidRPr="00193BC1">
              <w:rPr>
                <w:b/>
              </w:rPr>
              <w:lastRenderedPageBreak/>
              <w:t>Clinical criteria:</w:t>
            </w:r>
          </w:p>
        </w:tc>
      </w:tr>
      <w:tr w:rsidR="0050551A" w:rsidRPr="00193BC1" w14:paraId="4AE43B4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2914A81" w14:textId="77777777" w:rsidR="0050551A" w:rsidRPr="00193BC1" w:rsidRDefault="0050551A" w:rsidP="009C6858">
            <w:pPr>
              <w:pStyle w:val="TableText0"/>
              <w:keepNext w:val="0"/>
            </w:pPr>
            <w:r w:rsidRPr="00193BC1">
              <w:t>Patient must be under the care of the same physician for at least 6 months; or</w:t>
            </w:r>
          </w:p>
        </w:tc>
      </w:tr>
      <w:tr w:rsidR="0050551A" w:rsidRPr="00193BC1" w14:paraId="29C45FF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0C251AE" w14:textId="77777777" w:rsidR="0050551A" w:rsidRPr="00193BC1" w:rsidRDefault="0050551A" w:rsidP="009C6858">
            <w:pPr>
              <w:pStyle w:val="TableText0"/>
              <w:keepNext w:val="0"/>
            </w:pPr>
            <w:r w:rsidRPr="00193BC1">
              <w:t>Patient must have been diagnosed by a multidisciplinary severe asthma clinic team.</w:t>
            </w:r>
          </w:p>
        </w:tc>
      </w:tr>
      <w:tr w:rsidR="0050551A" w:rsidRPr="00193BC1" w14:paraId="0FE8877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DA28C2D" w14:textId="77777777" w:rsidR="0050551A" w:rsidRPr="00193BC1" w:rsidRDefault="0050551A" w:rsidP="009C6858">
            <w:pPr>
              <w:pStyle w:val="TableText0"/>
              <w:keepNext w:val="0"/>
              <w:rPr>
                <w:b/>
              </w:rPr>
            </w:pPr>
            <w:r w:rsidRPr="00193BC1">
              <w:rPr>
                <w:b/>
              </w:rPr>
              <w:t>AND</w:t>
            </w:r>
          </w:p>
        </w:tc>
      </w:tr>
      <w:tr w:rsidR="0050551A" w:rsidRPr="00193BC1" w14:paraId="459F847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6A0E5DF" w14:textId="77777777" w:rsidR="0050551A" w:rsidRPr="00193BC1" w:rsidRDefault="0050551A" w:rsidP="009C6858">
            <w:pPr>
              <w:pStyle w:val="TableText0"/>
              <w:keepNext w:val="0"/>
              <w:rPr>
                <w:rFonts w:cs="Arial"/>
              </w:rPr>
            </w:pPr>
            <w:r w:rsidRPr="00193BC1">
              <w:rPr>
                <w:b/>
              </w:rPr>
              <w:t>Clinical criteria:</w:t>
            </w:r>
          </w:p>
        </w:tc>
      </w:tr>
      <w:tr w:rsidR="0050551A" w:rsidRPr="00193BC1" w14:paraId="6952AFB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3A984A7" w14:textId="77777777" w:rsidR="0050551A" w:rsidRPr="00193BC1" w:rsidRDefault="0050551A" w:rsidP="009C6858">
            <w:pPr>
              <w:pStyle w:val="TableText0"/>
              <w:keepNext w:val="0"/>
              <w:rPr>
                <w:rFonts w:cs="Arial"/>
              </w:rPr>
            </w:pPr>
            <w:r w:rsidRPr="00193BC1">
              <w:rPr>
                <w:rFonts w:cs="Arial"/>
              </w:rPr>
              <w:t>Patient must not have received PBS-subsidised treatment with a biological medicine for severe asthma; or</w:t>
            </w:r>
          </w:p>
        </w:tc>
      </w:tr>
      <w:tr w:rsidR="0050551A" w:rsidRPr="00193BC1" w14:paraId="44B248A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42BF066" w14:textId="77777777" w:rsidR="0050551A" w:rsidRPr="00193BC1" w:rsidRDefault="0050551A" w:rsidP="009C6858">
            <w:pPr>
              <w:pStyle w:val="TableText0"/>
              <w:keepNext w:val="0"/>
              <w:rPr>
                <w:rFonts w:cs="Arial"/>
              </w:rPr>
            </w:pPr>
            <w:r w:rsidRPr="00193BC1">
              <w:rPr>
                <w:rFonts w:cs="Arial"/>
              </w:rPr>
              <w:t>Patient must have had a break in treatment from the most recently approved PBS-subsidised biological medicine for severe asthma.</w:t>
            </w:r>
          </w:p>
        </w:tc>
      </w:tr>
      <w:tr w:rsidR="0050551A" w:rsidRPr="00193BC1" w14:paraId="3B3708A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6991E96" w14:textId="77777777" w:rsidR="0050551A" w:rsidRPr="00193BC1" w:rsidRDefault="0050551A" w:rsidP="009C6858">
            <w:pPr>
              <w:pStyle w:val="TableText0"/>
              <w:keepNext w:val="0"/>
              <w:rPr>
                <w:rFonts w:cs="Arial"/>
              </w:rPr>
            </w:pPr>
            <w:r w:rsidRPr="00193BC1">
              <w:rPr>
                <w:b/>
              </w:rPr>
              <w:t>AND</w:t>
            </w:r>
          </w:p>
        </w:tc>
      </w:tr>
      <w:tr w:rsidR="0050551A" w:rsidRPr="00193BC1" w14:paraId="3050DD1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953D64B" w14:textId="77777777" w:rsidR="0050551A" w:rsidRPr="00193BC1" w:rsidRDefault="0050551A" w:rsidP="009C6858">
            <w:pPr>
              <w:pStyle w:val="TableText0"/>
              <w:keepNext w:val="0"/>
              <w:rPr>
                <w:rFonts w:cs="Arial"/>
              </w:rPr>
            </w:pPr>
            <w:r w:rsidRPr="00193BC1">
              <w:rPr>
                <w:b/>
              </w:rPr>
              <w:t>Clinical criteria:</w:t>
            </w:r>
          </w:p>
        </w:tc>
      </w:tr>
      <w:tr w:rsidR="0050551A" w:rsidRPr="00193BC1" w14:paraId="73755B7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93F10D4" w14:textId="77777777" w:rsidR="0050551A" w:rsidRPr="00193BC1" w:rsidRDefault="0050551A" w:rsidP="009C6858">
            <w:pPr>
              <w:pStyle w:val="TableText0"/>
              <w:keepNext w:val="0"/>
              <w:rPr>
                <w:rFonts w:cs="Arial"/>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50551A" w:rsidRPr="00193BC1" w14:paraId="1B08243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8421AB9" w14:textId="77777777" w:rsidR="0050551A" w:rsidRPr="00193BC1" w:rsidRDefault="0050551A" w:rsidP="009C6858">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50551A" w:rsidRPr="00193BC1" w14:paraId="2D3D51A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262394F" w14:textId="77777777" w:rsidR="0050551A" w:rsidRPr="00193BC1" w:rsidRDefault="0050551A" w:rsidP="009C6858">
            <w:pPr>
              <w:pStyle w:val="TableText0"/>
              <w:keepNext w:val="0"/>
              <w:rPr>
                <w:rFonts w:cs="Arial"/>
              </w:rPr>
            </w:pPr>
            <w:r w:rsidRPr="00193BC1">
              <w:rPr>
                <w:b/>
              </w:rPr>
              <w:t>AND</w:t>
            </w:r>
          </w:p>
        </w:tc>
      </w:tr>
      <w:tr w:rsidR="0050551A" w:rsidRPr="00193BC1" w14:paraId="7C128B3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4737314" w14:textId="77777777" w:rsidR="0050551A" w:rsidRPr="00193BC1" w:rsidRDefault="0050551A" w:rsidP="009C6858">
            <w:pPr>
              <w:pStyle w:val="TableText0"/>
              <w:keepNext w:val="0"/>
              <w:rPr>
                <w:rFonts w:cs="Arial"/>
              </w:rPr>
            </w:pPr>
            <w:r w:rsidRPr="00193BC1">
              <w:rPr>
                <w:b/>
              </w:rPr>
              <w:t>Clinical criteria:</w:t>
            </w:r>
          </w:p>
        </w:tc>
      </w:tr>
      <w:tr w:rsidR="0050551A" w:rsidRPr="00193BC1" w14:paraId="4D0FC9A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E73018F" w14:textId="77777777" w:rsidR="0050551A" w:rsidRPr="00193BC1" w:rsidRDefault="0050551A" w:rsidP="009C6858">
            <w:pPr>
              <w:pStyle w:val="TableText0"/>
              <w:keepNext w:val="0"/>
              <w:rPr>
                <w:rFonts w:cs="Arial"/>
              </w:rPr>
            </w:pPr>
            <w:r w:rsidRPr="00193BC1">
              <w:rPr>
                <w:rFonts w:cs="Arial"/>
              </w:rPr>
              <w:t>Patient must have a duration of asthma of at least 1 year.</w:t>
            </w:r>
          </w:p>
        </w:tc>
      </w:tr>
      <w:tr w:rsidR="0050551A" w:rsidRPr="00193BC1" w14:paraId="37D2738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1B7EB80" w14:textId="77777777" w:rsidR="0050551A" w:rsidRPr="00193BC1" w:rsidRDefault="0050551A" w:rsidP="009C6858">
            <w:pPr>
              <w:pStyle w:val="TableText0"/>
              <w:keepNext w:val="0"/>
              <w:rPr>
                <w:rFonts w:cs="Arial"/>
              </w:rPr>
            </w:pPr>
            <w:r w:rsidRPr="00193BC1">
              <w:rPr>
                <w:b/>
              </w:rPr>
              <w:t>AND</w:t>
            </w:r>
          </w:p>
        </w:tc>
      </w:tr>
      <w:tr w:rsidR="0050551A" w:rsidRPr="00193BC1" w14:paraId="0417171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FA7D159" w14:textId="77777777" w:rsidR="0050551A" w:rsidRPr="00193BC1" w:rsidRDefault="0050551A" w:rsidP="009C6858">
            <w:pPr>
              <w:pStyle w:val="TableText0"/>
              <w:keepNext w:val="0"/>
              <w:rPr>
                <w:rFonts w:cs="Arial"/>
              </w:rPr>
            </w:pPr>
            <w:r w:rsidRPr="00193BC1">
              <w:rPr>
                <w:b/>
              </w:rPr>
              <w:t>Clinical criteria:</w:t>
            </w:r>
          </w:p>
        </w:tc>
      </w:tr>
      <w:tr w:rsidR="0050551A" w:rsidRPr="00193BC1" w14:paraId="58106F4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4DE1D23" w14:textId="77777777" w:rsidR="0050551A" w:rsidRPr="00193BC1" w:rsidRDefault="0050551A" w:rsidP="009C6858">
            <w:pPr>
              <w:pStyle w:val="TableText0"/>
              <w:keepNext w:val="0"/>
              <w:rPr>
                <w:rFonts w:cs="Arial"/>
              </w:rPr>
            </w:pPr>
            <w:r w:rsidRPr="00193BC1">
              <w:rPr>
                <w:rFonts w:cs="Arial"/>
              </w:rPr>
              <w:t>Patient must have blood eosinophil count greater than or equal to 300 cells per microlitre in the last 12 months, or</w:t>
            </w:r>
          </w:p>
        </w:tc>
      </w:tr>
      <w:tr w:rsidR="0050551A" w:rsidRPr="00193BC1" w14:paraId="068BAEB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989CD0A" w14:textId="77777777" w:rsidR="0050551A" w:rsidRPr="00193BC1" w:rsidRDefault="0050551A" w:rsidP="009C6858">
            <w:pPr>
              <w:pStyle w:val="TableText0"/>
              <w:keepNext w:val="0"/>
              <w:rPr>
                <w:rFonts w:cs="Arial"/>
                <w:i/>
              </w:rPr>
            </w:pPr>
            <w:r w:rsidRPr="00193BC1">
              <w:rPr>
                <w:rFonts w:cs="Arial"/>
                <w:i/>
              </w:rPr>
              <w:t>Patient must have blood eosinophil count greater than or equal to 150 cells per microlitre while receiving treatment with oral corticosteroids in the last 12 months, or</w:t>
            </w:r>
          </w:p>
        </w:tc>
      </w:tr>
      <w:tr w:rsidR="0050551A" w:rsidRPr="00193BC1" w14:paraId="2013D50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7BB1B51" w14:textId="77777777" w:rsidR="0050551A" w:rsidRPr="00193BC1" w:rsidRDefault="0050551A" w:rsidP="009C6858">
            <w:pPr>
              <w:pStyle w:val="TableText0"/>
              <w:keepNext w:val="0"/>
              <w:rPr>
                <w:rFonts w:cs="Arial"/>
              </w:rPr>
            </w:pPr>
            <w:r w:rsidRPr="00193BC1">
              <w:rPr>
                <w:rFonts w:cs="Arial"/>
              </w:rPr>
              <w:t xml:space="preserve">Patient must have total serum human immunoglobulin E greater than or equal to 30 IU/mL with past or current evidence of atopy, documented by skin prick testing or an in vitro measure of specific IgE </w:t>
            </w:r>
            <w:r w:rsidRPr="00193BC1">
              <w:rPr>
                <w:rFonts w:cs="Arial"/>
                <w:i/>
              </w:rPr>
              <w:t xml:space="preserve">in the last 12 months </w:t>
            </w:r>
            <w:r w:rsidRPr="00193BC1">
              <w:rPr>
                <w:rFonts w:cs="Arial"/>
                <w:strike/>
              </w:rPr>
              <w:t>that is no more than 1 year old</w:t>
            </w:r>
            <w:r w:rsidRPr="00193BC1">
              <w:rPr>
                <w:rFonts w:cs="Arial"/>
              </w:rPr>
              <w:t>.</w:t>
            </w:r>
          </w:p>
        </w:tc>
      </w:tr>
      <w:tr w:rsidR="0050551A" w:rsidRPr="00193BC1" w14:paraId="4418877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3E06F3F"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59AFDC6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C1200A6" w14:textId="77777777" w:rsidR="0050551A" w:rsidRPr="00193BC1" w:rsidRDefault="0050551A" w:rsidP="009C6858">
            <w:pPr>
              <w:pStyle w:val="TableText0"/>
              <w:keepNext w:val="0"/>
              <w:rPr>
                <w:rFonts w:cs="Arial"/>
              </w:rPr>
            </w:pPr>
            <w:r w:rsidRPr="00193BC1">
              <w:rPr>
                <w:b/>
              </w:rPr>
              <w:t>Clinical criteria:</w:t>
            </w:r>
          </w:p>
        </w:tc>
      </w:tr>
      <w:tr w:rsidR="0050551A" w:rsidRPr="00193BC1" w14:paraId="73890CF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AA69403" w14:textId="77777777" w:rsidR="0050551A" w:rsidRPr="00193BC1" w:rsidRDefault="0050551A" w:rsidP="009C6858">
            <w:pPr>
              <w:pStyle w:val="TableText0"/>
              <w:keepNext w:val="0"/>
              <w:rPr>
                <w:rFonts w:cs="Arial"/>
              </w:rPr>
            </w:pPr>
            <w:r w:rsidRPr="00193BC1">
              <w:rPr>
                <w:rFonts w:cs="Arial"/>
              </w:rPr>
              <w:t>Patient must have failed to achieve adequate control with optimised asthma therapy, despite formal assessment of and adherence to correct inhaler technique, which has been documented.</w:t>
            </w:r>
          </w:p>
        </w:tc>
      </w:tr>
      <w:tr w:rsidR="0050551A" w:rsidRPr="00193BC1" w14:paraId="30F0A19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BC2F2FC"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0CC7963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A74C573" w14:textId="77777777" w:rsidR="0050551A" w:rsidRPr="00193BC1" w:rsidRDefault="0050551A" w:rsidP="009C6858">
            <w:pPr>
              <w:pStyle w:val="TableText0"/>
              <w:keepNext w:val="0"/>
              <w:rPr>
                <w:rFonts w:cs="Arial"/>
              </w:rPr>
            </w:pPr>
            <w:r w:rsidRPr="00193BC1">
              <w:rPr>
                <w:b/>
              </w:rPr>
              <w:t>Clinical criteria:</w:t>
            </w:r>
          </w:p>
        </w:tc>
      </w:tr>
      <w:tr w:rsidR="0050551A" w:rsidRPr="00193BC1" w14:paraId="543E6ED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FDA4964" w14:textId="77777777" w:rsidR="0050551A" w:rsidRPr="00193BC1" w:rsidRDefault="0050551A" w:rsidP="009C6858">
            <w:pPr>
              <w:pStyle w:val="TableText0"/>
              <w:keepNext w:val="0"/>
              <w:rPr>
                <w:rFonts w:cs="Arial"/>
              </w:rPr>
            </w:pPr>
            <w:r w:rsidRPr="00193BC1">
              <w:rPr>
                <w:rFonts w:cs="Arial"/>
              </w:rPr>
              <w:t>Patient must not receive more than 32 weeks of treatment under this restriction.</w:t>
            </w:r>
          </w:p>
        </w:tc>
      </w:tr>
      <w:tr w:rsidR="0050551A" w:rsidRPr="00193BC1" w14:paraId="2A84A9E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A305047"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50084BD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E7600C5" w14:textId="77777777" w:rsidR="0050551A" w:rsidRPr="00193BC1" w:rsidRDefault="0050551A" w:rsidP="009C6858">
            <w:pPr>
              <w:pStyle w:val="TableText0"/>
              <w:keepNext w:val="0"/>
              <w:rPr>
                <w:rFonts w:cs="Arial"/>
              </w:rPr>
            </w:pPr>
            <w:r w:rsidRPr="00193BC1">
              <w:rPr>
                <w:b/>
              </w:rPr>
              <w:t>Clinical criteria:</w:t>
            </w:r>
          </w:p>
        </w:tc>
      </w:tr>
      <w:tr w:rsidR="0050551A" w:rsidRPr="00193BC1" w14:paraId="23A5481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952AC34" w14:textId="77777777" w:rsidR="0050551A" w:rsidRPr="00193BC1" w:rsidRDefault="0050551A" w:rsidP="009C6858">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50551A" w:rsidRPr="00193BC1" w14:paraId="0B9A71B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6CA93B6" w14:textId="77777777" w:rsidR="0050551A" w:rsidRPr="00193BC1" w:rsidRDefault="0050551A" w:rsidP="009C6858">
            <w:pPr>
              <w:pStyle w:val="TableText0"/>
              <w:keepNext w:val="0"/>
              <w:rPr>
                <w:rFonts w:cs="Arial"/>
              </w:rPr>
            </w:pPr>
            <w:r w:rsidRPr="00193BC1">
              <w:rPr>
                <w:b/>
              </w:rPr>
              <w:t>Population criteria:</w:t>
            </w:r>
          </w:p>
          <w:p w14:paraId="7491774B" w14:textId="77777777" w:rsidR="0050551A" w:rsidRPr="00193BC1" w:rsidRDefault="0050551A" w:rsidP="009C6858">
            <w:pPr>
              <w:pStyle w:val="TableText0"/>
              <w:keepNext w:val="0"/>
              <w:rPr>
                <w:rFonts w:cs="Arial"/>
              </w:rPr>
            </w:pPr>
            <w:r w:rsidRPr="00193BC1">
              <w:rPr>
                <w:rFonts w:cs="Arial"/>
              </w:rPr>
              <w:t>Patients must be aged 12 years or older.</w:t>
            </w:r>
          </w:p>
        </w:tc>
      </w:tr>
    </w:tbl>
    <w:p w14:paraId="3F08F12A" w14:textId="77777777" w:rsidR="00D42D5C" w:rsidRPr="00193BC1" w:rsidRDefault="00D42D5C" w:rsidP="00D42D5C">
      <w:pPr>
        <w:pStyle w:val="TableFigureFooter"/>
      </w:pPr>
    </w:p>
    <w:tbl>
      <w:tblPr>
        <w:tblW w:w="5000" w:type="pct"/>
        <w:tblLook w:val="0000" w:firstRow="0" w:lastRow="0" w:firstColumn="0" w:lastColumn="0" w:noHBand="0" w:noVBand="0"/>
      </w:tblPr>
      <w:tblGrid>
        <w:gridCol w:w="9017"/>
      </w:tblGrid>
      <w:tr w:rsidR="0050551A" w:rsidRPr="00193BC1" w14:paraId="7E87829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518ABE0" w14:textId="77777777" w:rsidR="0050551A" w:rsidRPr="00193BC1" w:rsidRDefault="0050551A" w:rsidP="005863D4">
            <w:pPr>
              <w:pStyle w:val="TableText0"/>
              <w:keepNext w:val="0"/>
            </w:pPr>
            <w:r w:rsidRPr="00193BC1">
              <w:rPr>
                <w:b/>
              </w:rPr>
              <w:t>Category / Program:</w:t>
            </w:r>
          </w:p>
          <w:p w14:paraId="2E86A57D" w14:textId="77777777" w:rsidR="0050551A" w:rsidRPr="00193BC1" w:rsidRDefault="0050551A" w:rsidP="005863D4">
            <w:pPr>
              <w:pStyle w:val="TableText0"/>
              <w:keepNext w:val="0"/>
            </w:pPr>
            <w:r w:rsidRPr="00193BC1">
              <w:t>Section 100 – Highly Specialised Drugs Program – public and private</w:t>
            </w:r>
          </w:p>
        </w:tc>
      </w:tr>
      <w:tr w:rsidR="0050551A" w:rsidRPr="00193BC1" w14:paraId="34DC60C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FA93D43" w14:textId="77777777" w:rsidR="0050551A" w:rsidRPr="00193BC1" w:rsidRDefault="0050551A" w:rsidP="005863D4">
            <w:pPr>
              <w:pStyle w:val="TableText0"/>
              <w:keepNext w:val="0"/>
            </w:pPr>
            <w:r w:rsidRPr="00193BC1">
              <w:rPr>
                <w:b/>
              </w:rPr>
              <w:t>Prescriber type:</w:t>
            </w:r>
          </w:p>
          <w:p w14:paraId="0A9FF08F" w14:textId="77777777" w:rsidR="0050551A" w:rsidRPr="00193BC1" w:rsidRDefault="0050551A" w:rsidP="005863D4">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50551A" w:rsidRPr="00193BC1" w14:paraId="5B0B344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579D9C3" w14:textId="77777777" w:rsidR="0050551A" w:rsidRPr="00193BC1" w:rsidRDefault="0050551A" w:rsidP="005863D4">
            <w:pPr>
              <w:pStyle w:val="TableText0"/>
              <w:keepNext w:val="0"/>
            </w:pPr>
            <w:r w:rsidRPr="00193BC1">
              <w:rPr>
                <w:b/>
              </w:rPr>
              <w:t>Restriction:</w:t>
            </w:r>
          </w:p>
          <w:p w14:paraId="2EA3C00B" w14:textId="77777777" w:rsidR="0050551A" w:rsidRPr="00193BC1" w:rsidRDefault="0050551A" w:rsidP="005863D4">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50551A" w:rsidRPr="00193BC1" w14:paraId="10BE6B8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7E21A54" w14:textId="77777777" w:rsidR="0050551A" w:rsidRPr="00193BC1" w:rsidRDefault="0050551A" w:rsidP="005863D4">
            <w:pPr>
              <w:pStyle w:val="TableText0"/>
              <w:keepNext w:val="0"/>
            </w:pPr>
            <w:r w:rsidRPr="00193BC1">
              <w:rPr>
                <w:b/>
              </w:rPr>
              <w:t>Severity:</w:t>
            </w:r>
          </w:p>
          <w:p w14:paraId="1818F6BD" w14:textId="77777777" w:rsidR="0050551A" w:rsidRPr="00193BC1" w:rsidRDefault="0050551A" w:rsidP="005863D4">
            <w:pPr>
              <w:pStyle w:val="TableText0"/>
              <w:keepNext w:val="0"/>
              <w:rPr>
                <w:i/>
              </w:rPr>
            </w:pPr>
            <w:r w:rsidRPr="00193BC1">
              <w:rPr>
                <w:i/>
              </w:rPr>
              <w:t>Uncontrolled severe</w:t>
            </w:r>
          </w:p>
        </w:tc>
      </w:tr>
      <w:tr w:rsidR="0050551A" w:rsidRPr="00193BC1" w14:paraId="5B7C8C5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430F795" w14:textId="77777777" w:rsidR="0050551A" w:rsidRPr="00193BC1" w:rsidRDefault="0050551A" w:rsidP="005863D4">
            <w:pPr>
              <w:pStyle w:val="TableText0"/>
              <w:keepNext w:val="0"/>
            </w:pPr>
            <w:r w:rsidRPr="00193BC1">
              <w:rPr>
                <w:b/>
              </w:rPr>
              <w:lastRenderedPageBreak/>
              <w:t>Condition:</w:t>
            </w:r>
          </w:p>
          <w:p w14:paraId="1596F688" w14:textId="77777777" w:rsidR="0050551A" w:rsidRPr="00193BC1" w:rsidRDefault="0050551A" w:rsidP="005863D4">
            <w:pPr>
              <w:pStyle w:val="TableText0"/>
              <w:keepNext w:val="0"/>
              <w:rPr>
                <w:i/>
              </w:rPr>
            </w:pPr>
            <w:r w:rsidRPr="00193BC1">
              <w:rPr>
                <w:rFonts w:eastAsiaTheme="minorHAnsi"/>
                <w:i/>
                <w:iCs/>
              </w:rPr>
              <w:t>eosinophilic or allergic asthma</w:t>
            </w:r>
          </w:p>
        </w:tc>
      </w:tr>
      <w:tr w:rsidR="0050551A" w:rsidRPr="00193BC1" w14:paraId="02FC8EF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4216DCD" w14:textId="77777777" w:rsidR="0050551A" w:rsidRPr="00193BC1" w:rsidRDefault="0050551A" w:rsidP="005863D4">
            <w:pPr>
              <w:pStyle w:val="TableText0"/>
              <w:keepNext w:val="0"/>
            </w:pPr>
            <w:r w:rsidRPr="00193BC1">
              <w:rPr>
                <w:b/>
              </w:rPr>
              <w:t>PBS Indication:</w:t>
            </w:r>
          </w:p>
          <w:p w14:paraId="217E3D26" w14:textId="77777777" w:rsidR="0050551A" w:rsidRPr="00193BC1" w:rsidRDefault="0050551A" w:rsidP="005863D4">
            <w:pPr>
              <w:pStyle w:val="TableText0"/>
              <w:keepNext w:val="0"/>
            </w:pPr>
            <w:r w:rsidRPr="00193BC1">
              <w:t xml:space="preserve">Uncontrolled severe </w:t>
            </w:r>
            <w:r w:rsidRPr="00193BC1">
              <w:rPr>
                <w:strike/>
              </w:rPr>
              <w:t>type 2</w:t>
            </w:r>
            <w:r w:rsidRPr="00193BC1">
              <w:t xml:space="preserve"> </w:t>
            </w:r>
            <w:r w:rsidRPr="00193BC1">
              <w:rPr>
                <w:rFonts w:eastAsiaTheme="minorHAnsi"/>
                <w:i/>
                <w:iCs/>
              </w:rPr>
              <w:t xml:space="preserve">eosinophilic or allergic </w:t>
            </w:r>
            <w:r w:rsidRPr="00193BC1">
              <w:t xml:space="preserve">asthma </w:t>
            </w:r>
            <w:r w:rsidRPr="00193BC1">
              <w:rPr>
                <w:strike/>
              </w:rPr>
              <w:t>without OCS dependence</w:t>
            </w:r>
          </w:p>
        </w:tc>
      </w:tr>
      <w:tr w:rsidR="0050551A" w:rsidRPr="00193BC1" w14:paraId="774B2BD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E0510AA" w14:textId="77777777" w:rsidR="0050551A" w:rsidRPr="00193BC1" w:rsidRDefault="0050551A" w:rsidP="005863D4">
            <w:pPr>
              <w:pStyle w:val="TableText0"/>
              <w:keepNext w:val="0"/>
            </w:pPr>
            <w:r w:rsidRPr="00193BC1">
              <w:rPr>
                <w:b/>
              </w:rPr>
              <w:t>Treatment phase:</w:t>
            </w:r>
          </w:p>
          <w:p w14:paraId="135D246D" w14:textId="77777777" w:rsidR="0050551A" w:rsidRPr="00193BC1" w:rsidRDefault="0050551A" w:rsidP="005863D4">
            <w:pPr>
              <w:pStyle w:val="TableText0"/>
              <w:keepNext w:val="0"/>
              <w:rPr>
                <w:i/>
              </w:rPr>
            </w:pPr>
            <w:r w:rsidRPr="00193BC1">
              <w:t xml:space="preserve">Initial treatment – Initial 2 </w:t>
            </w:r>
            <w:r w:rsidRPr="00193BC1">
              <w:rPr>
                <w:strike/>
              </w:rPr>
              <w:t xml:space="preserve">(change of treatment or patient recommencing after a break of less than 12 months) </w:t>
            </w:r>
            <w:r w:rsidRPr="00193BC1">
              <w:rPr>
                <w:i/>
              </w:rPr>
              <w:t>(Change of treatment)</w:t>
            </w:r>
          </w:p>
        </w:tc>
      </w:tr>
      <w:tr w:rsidR="0050551A" w:rsidRPr="00193BC1" w14:paraId="3DC13CC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9DD7A1A" w14:textId="77777777" w:rsidR="0050551A" w:rsidRPr="00193BC1" w:rsidRDefault="0050551A" w:rsidP="005863D4">
            <w:pPr>
              <w:pStyle w:val="TableText0"/>
              <w:keepNext w:val="0"/>
              <w:rPr>
                <w:rFonts w:cs="Arial"/>
              </w:rPr>
            </w:pPr>
            <w:r w:rsidRPr="00193BC1">
              <w:rPr>
                <w:b/>
              </w:rPr>
              <w:t>Treatment criteria:</w:t>
            </w:r>
          </w:p>
          <w:p w14:paraId="60A1E453" w14:textId="77777777" w:rsidR="0050551A" w:rsidRPr="00193BC1" w:rsidRDefault="0050551A" w:rsidP="005863D4">
            <w:pPr>
              <w:pStyle w:val="TableText0"/>
              <w:keepNext w:val="0"/>
            </w:pPr>
            <w:r w:rsidRPr="00193BC1">
              <w:rPr>
                <w:rFonts w:cs="Arial"/>
              </w:rPr>
              <w:t>Must be treated by a respiratory physician, clinical immunologist, allergist or general physician experienced in the management of patients with severe asthma.</w:t>
            </w:r>
          </w:p>
        </w:tc>
      </w:tr>
      <w:tr w:rsidR="0050551A" w:rsidRPr="00193BC1" w14:paraId="4727A05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945D5CB" w14:textId="77777777" w:rsidR="0050551A" w:rsidRPr="00193BC1" w:rsidRDefault="0050551A" w:rsidP="005863D4">
            <w:pPr>
              <w:pStyle w:val="TableText0"/>
              <w:keepNext w:val="0"/>
            </w:pPr>
            <w:r w:rsidRPr="00193BC1">
              <w:rPr>
                <w:b/>
              </w:rPr>
              <w:t>AND</w:t>
            </w:r>
          </w:p>
        </w:tc>
      </w:tr>
      <w:tr w:rsidR="0050551A" w:rsidRPr="00193BC1" w14:paraId="7108C1B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64004E6" w14:textId="77777777" w:rsidR="0050551A" w:rsidRPr="00193BC1" w:rsidRDefault="0050551A" w:rsidP="005863D4">
            <w:pPr>
              <w:pStyle w:val="TableText0"/>
              <w:keepNext w:val="0"/>
            </w:pPr>
            <w:r w:rsidRPr="00193BC1">
              <w:rPr>
                <w:b/>
              </w:rPr>
              <w:t>Clinical criteria:</w:t>
            </w:r>
          </w:p>
        </w:tc>
      </w:tr>
      <w:tr w:rsidR="0050551A" w:rsidRPr="00193BC1" w14:paraId="3353D59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7FCABB2" w14:textId="77777777" w:rsidR="0050551A" w:rsidRPr="00193BC1" w:rsidRDefault="0050551A" w:rsidP="005863D4">
            <w:pPr>
              <w:pStyle w:val="TableText0"/>
              <w:keepNext w:val="0"/>
            </w:pPr>
            <w:r w:rsidRPr="00193BC1">
              <w:t>Patient must be under the care of the same physician for at least 6 months; or</w:t>
            </w:r>
          </w:p>
        </w:tc>
      </w:tr>
      <w:tr w:rsidR="0050551A" w:rsidRPr="00193BC1" w14:paraId="708929D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2368496" w14:textId="77777777" w:rsidR="0050551A" w:rsidRPr="00193BC1" w:rsidRDefault="0050551A" w:rsidP="005863D4">
            <w:pPr>
              <w:pStyle w:val="TableText0"/>
              <w:keepNext w:val="0"/>
            </w:pPr>
            <w:r w:rsidRPr="00193BC1">
              <w:t>Patient must have been diagnosed by a multidisciplinary severe asthma clinic team.</w:t>
            </w:r>
          </w:p>
        </w:tc>
      </w:tr>
      <w:tr w:rsidR="0050551A" w:rsidRPr="00193BC1" w14:paraId="5A7DBF3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916CB2F" w14:textId="77777777" w:rsidR="0050551A" w:rsidRPr="00193BC1" w:rsidRDefault="0050551A" w:rsidP="005863D4">
            <w:pPr>
              <w:pStyle w:val="TableText0"/>
              <w:keepNext w:val="0"/>
            </w:pPr>
            <w:r w:rsidRPr="00193BC1">
              <w:rPr>
                <w:b/>
              </w:rPr>
              <w:t>AND</w:t>
            </w:r>
          </w:p>
        </w:tc>
      </w:tr>
      <w:tr w:rsidR="0050551A" w:rsidRPr="00193BC1" w14:paraId="4E3291C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51C6A9B" w14:textId="77777777" w:rsidR="0050551A" w:rsidRPr="00193BC1" w:rsidRDefault="0050551A" w:rsidP="005863D4">
            <w:pPr>
              <w:pStyle w:val="TableText0"/>
              <w:keepNext w:val="0"/>
            </w:pPr>
            <w:r w:rsidRPr="00193BC1">
              <w:rPr>
                <w:b/>
              </w:rPr>
              <w:t>Clinical criteria:</w:t>
            </w:r>
          </w:p>
        </w:tc>
      </w:tr>
      <w:tr w:rsidR="0050551A" w:rsidRPr="00193BC1" w14:paraId="5CCC810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51048FB" w14:textId="77777777" w:rsidR="0050551A" w:rsidRPr="00193BC1" w:rsidRDefault="0050551A" w:rsidP="005863D4">
            <w:pPr>
              <w:pStyle w:val="TableText0"/>
              <w:keepNext w:val="0"/>
            </w:pPr>
            <w:r w:rsidRPr="00193BC1">
              <w:t>Patient must have received prior PBS-subsidised treatment with a biological medicine for severe asthma in this treatment cycle.</w:t>
            </w:r>
          </w:p>
        </w:tc>
      </w:tr>
      <w:tr w:rsidR="0050551A" w:rsidRPr="00193BC1" w14:paraId="3959625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C7FAE95" w14:textId="77777777" w:rsidR="0050551A" w:rsidRPr="00193BC1" w:rsidRDefault="0050551A" w:rsidP="005863D4">
            <w:pPr>
              <w:pStyle w:val="TableText0"/>
              <w:keepNext w:val="0"/>
            </w:pPr>
            <w:r w:rsidRPr="00193BC1">
              <w:rPr>
                <w:b/>
              </w:rPr>
              <w:t>AND</w:t>
            </w:r>
          </w:p>
        </w:tc>
      </w:tr>
      <w:tr w:rsidR="0050551A" w:rsidRPr="00193BC1" w14:paraId="4FCD08F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51DB59D" w14:textId="77777777" w:rsidR="0050551A" w:rsidRPr="00193BC1" w:rsidRDefault="0050551A" w:rsidP="005863D4">
            <w:pPr>
              <w:pStyle w:val="TableText0"/>
              <w:keepNext w:val="0"/>
            </w:pPr>
            <w:r w:rsidRPr="00193BC1">
              <w:rPr>
                <w:b/>
              </w:rPr>
              <w:t>Clinical criteria:</w:t>
            </w:r>
          </w:p>
        </w:tc>
      </w:tr>
      <w:tr w:rsidR="0050551A" w:rsidRPr="00193BC1" w14:paraId="12B5320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7DF0AFD" w14:textId="77777777" w:rsidR="0050551A" w:rsidRPr="00193BC1" w:rsidRDefault="0050551A" w:rsidP="005863D4">
            <w:pPr>
              <w:pStyle w:val="TableText0"/>
              <w:keepNext w:val="0"/>
            </w:pPr>
            <w:r w:rsidRPr="00193BC1">
              <w:t>Patient must not have failed, or ceased to respond to, PBS-subsidised treatment with this drug for severe asthma during the current treatment cycle.</w:t>
            </w:r>
          </w:p>
        </w:tc>
      </w:tr>
      <w:tr w:rsidR="0050551A" w:rsidRPr="00193BC1" w14:paraId="62D6C81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C4DE1A8" w14:textId="77777777" w:rsidR="0050551A" w:rsidRPr="00193BC1" w:rsidRDefault="0050551A" w:rsidP="005863D4">
            <w:pPr>
              <w:pStyle w:val="TableText0"/>
              <w:keepNext w:val="0"/>
            </w:pPr>
            <w:r w:rsidRPr="00193BC1">
              <w:rPr>
                <w:b/>
              </w:rPr>
              <w:t>AND</w:t>
            </w:r>
          </w:p>
        </w:tc>
      </w:tr>
      <w:tr w:rsidR="0050551A" w:rsidRPr="00193BC1" w14:paraId="1CD823D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C60C70" w14:textId="77777777" w:rsidR="0050551A" w:rsidRPr="00193BC1" w:rsidRDefault="0050551A" w:rsidP="005863D4">
            <w:pPr>
              <w:pStyle w:val="TableText0"/>
              <w:keepNext w:val="0"/>
            </w:pPr>
            <w:r w:rsidRPr="00193BC1">
              <w:rPr>
                <w:b/>
              </w:rPr>
              <w:t>Clinical criteria:</w:t>
            </w:r>
          </w:p>
        </w:tc>
      </w:tr>
      <w:tr w:rsidR="0050551A" w:rsidRPr="00193BC1" w14:paraId="01080D6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AE3D250" w14:textId="77777777" w:rsidR="0050551A" w:rsidRPr="00193BC1" w:rsidRDefault="0050551A" w:rsidP="005863D4">
            <w:pPr>
              <w:pStyle w:val="TableText0"/>
              <w:keepNext w:val="0"/>
              <w:rPr>
                <w:rFonts w:cs="Arial"/>
              </w:rPr>
            </w:pPr>
            <w:r w:rsidRPr="00193BC1">
              <w:rPr>
                <w:rFonts w:cs="Arial"/>
                <w:strike/>
              </w:rPr>
              <w:t>Patient must have blood eosinophil count greater than or equal to 300 cells per microlitre in the last 12 months</w:t>
            </w:r>
            <w:r w:rsidRPr="00193BC1">
              <w:rPr>
                <w:rFonts w:cs="Arial"/>
              </w:rPr>
              <w:t xml:space="preserve">, </w:t>
            </w:r>
            <w:r w:rsidRPr="00193BC1">
              <w:rPr>
                <w:rFonts w:cs="Arial"/>
                <w:i/>
              </w:rPr>
              <w:t xml:space="preserve">Patient must have had a blood eosinophil count greater than or equal to 300 cells per microlitre measured </w:t>
            </w:r>
            <w:r w:rsidRPr="00193BC1">
              <w:rPr>
                <w:rFonts w:cs="Arial"/>
                <w:strike/>
              </w:rPr>
              <w:t>is</w:t>
            </w:r>
            <w:r w:rsidRPr="00193BC1">
              <w:rPr>
                <w:rFonts w:cs="Arial"/>
                <w:i/>
              </w:rPr>
              <w:t xml:space="preserve"> no </w:t>
            </w:r>
            <w:r w:rsidRPr="00193BC1">
              <w:rPr>
                <w:rFonts w:cs="Arial"/>
                <w:strike/>
              </w:rPr>
              <w:t>older</w:t>
            </w:r>
            <w:r w:rsidRPr="00193BC1">
              <w:rPr>
                <w:rFonts w:cs="Arial"/>
                <w:i/>
              </w:rPr>
              <w:t>more than 12 months immediately prior to commencing PBS-subsidised biological medicine treatment for severe asthma</w:t>
            </w:r>
            <w:r w:rsidRPr="00193BC1">
              <w:rPr>
                <w:rFonts w:cs="Arial"/>
              </w:rPr>
              <w:t xml:space="preserve">; or </w:t>
            </w:r>
          </w:p>
        </w:tc>
      </w:tr>
      <w:tr w:rsidR="0050551A" w:rsidRPr="00193BC1" w14:paraId="355661A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CF7B137" w14:textId="77777777" w:rsidR="0050551A" w:rsidRPr="00193BC1" w:rsidRDefault="0050551A" w:rsidP="005863D4">
            <w:pPr>
              <w:pStyle w:val="TableText0"/>
              <w:keepNext w:val="0"/>
              <w:rPr>
                <w:rFonts w:cs="Arial"/>
                <w:i/>
              </w:rPr>
            </w:pPr>
            <w:r w:rsidRPr="00193BC1">
              <w:rPr>
                <w:rFonts w:cs="Arial"/>
                <w:i/>
              </w:rP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p>
        </w:tc>
      </w:tr>
      <w:tr w:rsidR="0050551A" w:rsidRPr="00193BC1" w14:paraId="656A997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DEDEEE5" w14:textId="77777777" w:rsidR="0050551A" w:rsidRPr="00193BC1" w:rsidRDefault="0050551A" w:rsidP="005863D4">
            <w:pPr>
              <w:pStyle w:val="TableText0"/>
              <w:keepNext w:val="0"/>
              <w:rPr>
                <w:rFonts w:cs="Arial"/>
              </w:rPr>
            </w:pPr>
            <w:r w:rsidRPr="00193BC1">
              <w:rPr>
                <w:rFonts w:cs="Arial"/>
              </w:rPr>
              <w:t>OR</w:t>
            </w:r>
          </w:p>
          <w:p w14:paraId="3BF29C7F" w14:textId="77777777" w:rsidR="0050551A" w:rsidRPr="00193BC1" w:rsidRDefault="0050551A" w:rsidP="005863D4">
            <w:pPr>
              <w:pStyle w:val="TableText0"/>
              <w:keepNext w:val="0"/>
            </w:pPr>
            <w:r w:rsidRPr="00193BC1">
              <w:rPr>
                <w:rFonts w:cs="Arial"/>
              </w:rPr>
              <w:t xml:space="preserve">Patient must have </w:t>
            </w:r>
            <w:r w:rsidRPr="00193BC1">
              <w:rPr>
                <w:rFonts w:cs="Arial"/>
                <w:i/>
              </w:rPr>
              <w:t xml:space="preserve"> had a </w:t>
            </w:r>
            <w:r w:rsidRPr="00193BC1">
              <w:rPr>
                <w:rFonts w:cs="Arial"/>
              </w:rPr>
              <w:t xml:space="preserve">total serum human immunoglobulin E greater than or equal to 30 IU/mL </w:t>
            </w:r>
            <w:r w:rsidRPr="00193BC1">
              <w:rPr>
                <w:rFonts w:cs="Arial"/>
                <w:i/>
              </w:rPr>
              <w:t xml:space="preserve"> with a </w:t>
            </w:r>
            <w:r w:rsidRPr="00193BC1">
              <w:rPr>
                <w:rFonts w:cs="Arial"/>
              </w:rPr>
              <w:t xml:space="preserve">past or current evidence of atopy, documented by skin prick testing or an in vitro measure of specific IgE </w:t>
            </w:r>
            <w:r w:rsidRPr="00193BC1">
              <w:rPr>
                <w:rFonts w:cs="Arial"/>
                <w:i/>
              </w:rPr>
              <w:t xml:space="preserve"> no more than 12 months prior to initiating PBS-subsidised treatment with a biological medicine for severe asthma</w:t>
            </w:r>
            <w:r w:rsidRPr="00193BC1">
              <w:rPr>
                <w:rFonts w:cs="Arial"/>
              </w:rPr>
              <w:t>.</w:t>
            </w:r>
          </w:p>
        </w:tc>
      </w:tr>
      <w:tr w:rsidR="0050551A" w:rsidRPr="00193BC1" w14:paraId="58EAE16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58D4DB5" w14:textId="77777777" w:rsidR="0050551A" w:rsidRPr="00193BC1" w:rsidRDefault="0050551A" w:rsidP="005863D4">
            <w:pPr>
              <w:pStyle w:val="TableText0"/>
              <w:keepNext w:val="0"/>
            </w:pPr>
            <w:r w:rsidRPr="00193BC1">
              <w:rPr>
                <w:rFonts w:cs="Arial"/>
                <w:b/>
              </w:rPr>
              <w:t>AND</w:t>
            </w:r>
          </w:p>
        </w:tc>
      </w:tr>
      <w:tr w:rsidR="0050551A" w:rsidRPr="00193BC1" w14:paraId="6DD2854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5D74082" w14:textId="77777777" w:rsidR="0050551A" w:rsidRPr="00193BC1" w:rsidRDefault="0050551A" w:rsidP="005863D4">
            <w:pPr>
              <w:pStyle w:val="TableText0"/>
              <w:keepNext w:val="0"/>
            </w:pPr>
            <w:r w:rsidRPr="00193BC1">
              <w:rPr>
                <w:b/>
              </w:rPr>
              <w:t>Clinical criteria:</w:t>
            </w:r>
          </w:p>
        </w:tc>
      </w:tr>
      <w:tr w:rsidR="0050551A" w:rsidRPr="00193BC1" w14:paraId="30DEDD5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04EFA23" w14:textId="77777777" w:rsidR="0050551A" w:rsidRPr="00193BC1" w:rsidRDefault="0050551A" w:rsidP="005863D4">
            <w:pPr>
              <w:pStyle w:val="TableText0"/>
              <w:keepNext w:val="0"/>
            </w:pPr>
            <w:r w:rsidRPr="00193BC1">
              <w:rPr>
                <w:rFonts w:cs="Arial"/>
              </w:rPr>
              <w:t>Patient must not receive more than 32 weeks of treatment under this restriction.</w:t>
            </w:r>
          </w:p>
        </w:tc>
      </w:tr>
      <w:tr w:rsidR="0050551A" w:rsidRPr="00193BC1" w14:paraId="3D8EBF9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0DF3204" w14:textId="77777777" w:rsidR="0050551A" w:rsidRPr="00193BC1" w:rsidRDefault="0050551A" w:rsidP="005863D4">
            <w:pPr>
              <w:pStyle w:val="TableText0"/>
              <w:keepNext w:val="0"/>
            </w:pPr>
            <w:r w:rsidRPr="00193BC1">
              <w:rPr>
                <w:rFonts w:cs="Arial"/>
                <w:b/>
              </w:rPr>
              <w:t>AND</w:t>
            </w:r>
          </w:p>
        </w:tc>
      </w:tr>
      <w:tr w:rsidR="0050551A" w:rsidRPr="00193BC1" w14:paraId="10DFBD8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8599CC3" w14:textId="77777777" w:rsidR="0050551A" w:rsidRPr="00193BC1" w:rsidRDefault="0050551A" w:rsidP="005863D4">
            <w:pPr>
              <w:pStyle w:val="TableText0"/>
              <w:keepNext w:val="0"/>
            </w:pPr>
            <w:r w:rsidRPr="00193BC1">
              <w:rPr>
                <w:b/>
              </w:rPr>
              <w:t>Clinical criteria:</w:t>
            </w:r>
          </w:p>
        </w:tc>
      </w:tr>
      <w:tr w:rsidR="0050551A" w:rsidRPr="00193BC1" w14:paraId="78F9852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277CCD2" w14:textId="77777777" w:rsidR="0050551A" w:rsidRPr="00193BC1" w:rsidRDefault="0050551A" w:rsidP="005863D4">
            <w:pPr>
              <w:pStyle w:val="TableText0"/>
              <w:keepNext w:val="0"/>
            </w:pPr>
            <w:r w:rsidRPr="00193BC1">
              <w:rPr>
                <w:rFonts w:cs="Arial"/>
              </w:rPr>
              <w:t>The treatment must not be used in combination with and within 4 weeks of another PBS-subsidised biological medicine prescribed for severe asthma.</w:t>
            </w:r>
          </w:p>
        </w:tc>
      </w:tr>
      <w:tr w:rsidR="0050551A" w:rsidRPr="00193BC1" w14:paraId="335D0C2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775321C" w14:textId="77777777" w:rsidR="0050551A" w:rsidRPr="00193BC1" w:rsidRDefault="0050551A" w:rsidP="005863D4">
            <w:pPr>
              <w:pStyle w:val="TableText0"/>
              <w:keepNext w:val="0"/>
              <w:rPr>
                <w:rFonts w:cs="Arial"/>
              </w:rPr>
            </w:pPr>
            <w:r w:rsidRPr="00193BC1">
              <w:rPr>
                <w:b/>
              </w:rPr>
              <w:t>Population criteria:</w:t>
            </w:r>
          </w:p>
          <w:p w14:paraId="06101E0A" w14:textId="77777777" w:rsidR="0050551A" w:rsidRPr="00193BC1" w:rsidRDefault="0050551A" w:rsidP="005863D4">
            <w:pPr>
              <w:pStyle w:val="TableText0"/>
              <w:keepNext w:val="0"/>
            </w:pPr>
            <w:r w:rsidRPr="00193BC1">
              <w:rPr>
                <w:rFonts w:cs="Arial"/>
              </w:rPr>
              <w:t>Patients must be aged 12 years or older.</w:t>
            </w:r>
          </w:p>
        </w:tc>
      </w:tr>
    </w:tbl>
    <w:p w14:paraId="13A7CF38" w14:textId="620F8380" w:rsidR="009A1D42" w:rsidRDefault="009A1D42" w:rsidP="00D42D5C">
      <w:pPr>
        <w:pStyle w:val="TableFigureFooter"/>
      </w:pPr>
    </w:p>
    <w:p w14:paraId="0834B0E0" w14:textId="77777777" w:rsidR="009A1D42" w:rsidRDefault="009A1D42">
      <w:pPr>
        <w:jc w:val="left"/>
        <w:rPr>
          <w:rFonts w:ascii="Arial Narrow" w:hAnsi="Arial Narrow"/>
          <w:snapToGrid w:val="0"/>
          <w:sz w:val="18"/>
          <w:szCs w:val="22"/>
        </w:rPr>
      </w:pPr>
      <w:r>
        <w:br w:type="page"/>
      </w:r>
    </w:p>
    <w:p w14:paraId="47BE13EF" w14:textId="77777777" w:rsidR="00D42D5C" w:rsidRPr="00193BC1" w:rsidRDefault="00D42D5C" w:rsidP="00D42D5C">
      <w:pPr>
        <w:pStyle w:val="TableFigureFooter"/>
      </w:pPr>
    </w:p>
    <w:p w14:paraId="27C560C6" w14:textId="77777777" w:rsidR="00D42D5C" w:rsidRPr="00193BC1" w:rsidRDefault="00D42D5C" w:rsidP="00D42D5C">
      <w:pPr>
        <w:keepNext/>
        <w:rPr>
          <w:sz w:val="20"/>
          <w:szCs w:val="20"/>
        </w:rPr>
      </w:pPr>
      <w:r w:rsidRPr="00193BC1">
        <w:rPr>
          <w:rFonts w:ascii="Arial Narrow" w:hAnsi="Arial Narrow"/>
          <w:b/>
          <w:bCs/>
          <w:sz w:val="20"/>
          <w:szCs w:val="20"/>
        </w:rPr>
        <w:t>Treatment phase: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4"/>
        <w:gridCol w:w="743"/>
        <w:gridCol w:w="973"/>
        <w:gridCol w:w="973"/>
        <w:gridCol w:w="800"/>
        <w:gridCol w:w="1248"/>
        <w:gridCol w:w="942"/>
        <w:gridCol w:w="1424"/>
      </w:tblGrid>
      <w:tr w:rsidR="0050551A" w:rsidRPr="00193BC1" w14:paraId="3F077D8E" w14:textId="77777777" w:rsidTr="00B57220">
        <w:tc>
          <w:tcPr>
            <w:tcW w:w="1064" w:type="pct"/>
          </w:tcPr>
          <w:p w14:paraId="5A1E6611" w14:textId="77777777" w:rsidR="0050551A" w:rsidRPr="00193BC1" w:rsidRDefault="0050551A" w:rsidP="0050551A">
            <w:pPr>
              <w:pStyle w:val="Tabletext"/>
              <w:rPr>
                <w:b/>
                <w:bCs/>
              </w:rPr>
            </w:pPr>
            <w:r w:rsidRPr="00193BC1">
              <w:rPr>
                <w:b/>
              </w:rPr>
              <w:t>Name, restriction, manner of administration, form</w:t>
            </w:r>
          </w:p>
        </w:tc>
        <w:tc>
          <w:tcPr>
            <w:tcW w:w="415" w:type="pct"/>
          </w:tcPr>
          <w:p w14:paraId="5B3E87B8" w14:textId="77777777" w:rsidR="0050551A" w:rsidRPr="00193BC1" w:rsidRDefault="0050551A" w:rsidP="0050551A">
            <w:pPr>
              <w:pStyle w:val="Tabletext"/>
              <w:rPr>
                <w:b/>
                <w:bCs/>
              </w:rPr>
            </w:pPr>
            <w:r w:rsidRPr="00193BC1">
              <w:rPr>
                <w:b/>
              </w:rPr>
              <w:t>PBS item code</w:t>
            </w:r>
          </w:p>
        </w:tc>
        <w:tc>
          <w:tcPr>
            <w:tcW w:w="537" w:type="pct"/>
          </w:tcPr>
          <w:p w14:paraId="08E98D1E" w14:textId="77777777" w:rsidR="0050551A" w:rsidRPr="00193BC1" w:rsidRDefault="0050551A" w:rsidP="0050551A">
            <w:pPr>
              <w:pStyle w:val="Tabletext"/>
              <w:rPr>
                <w:b/>
                <w:bCs/>
              </w:rPr>
            </w:pPr>
            <w:r w:rsidRPr="00193BC1">
              <w:rPr>
                <w:b/>
              </w:rPr>
              <w:t>Maximum quantity (packs)</w:t>
            </w:r>
          </w:p>
        </w:tc>
        <w:tc>
          <w:tcPr>
            <w:tcW w:w="537" w:type="pct"/>
          </w:tcPr>
          <w:p w14:paraId="02D76143" w14:textId="77777777" w:rsidR="0050551A" w:rsidRPr="00193BC1" w:rsidRDefault="0050551A" w:rsidP="0050551A">
            <w:pPr>
              <w:pStyle w:val="Tabletext"/>
              <w:jc w:val="center"/>
            </w:pPr>
            <w:r w:rsidRPr="00193BC1">
              <w:rPr>
                <w:b/>
              </w:rPr>
              <w:t>Maximum quantity (units)</w:t>
            </w:r>
          </w:p>
        </w:tc>
        <w:tc>
          <w:tcPr>
            <w:tcW w:w="441" w:type="pct"/>
          </w:tcPr>
          <w:p w14:paraId="1BBB0502" w14:textId="77777777" w:rsidR="0050551A" w:rsidRPr="00193BC1" w:rsidRDefault="0050551A" w:rsidP="0050551A">
            <w:pPr>
              <w:pStyle w:val="Tabletext"/>
              <w:jc w:val="center"/>
            </w:pPr>
            <w:r w:rsidRPr="00193BC1">
              <w:rPr>
                <w:b/>
              </w:rPr>
              <w:t>No. of repeats</w:t>
            </w:r>
          </w:p>
        </w:tc>
        <w:tc>
          <w:tcPr>
            <w:tcW w:w="695" w:type="pct"/>
          </w:tcPr>
          <w:p w14:paraId="70BBE402" w14:textId="77777777" w:rsidR="0050551A" w:rsidRPr="00193BC1" w:rsidRDefault="0050551A" w:rsidP="0050551A">
            <w:pPr>
              <w:pStyle w:val="Tabletext"/>
              <w:jc w:val="center"/>
            </w:pPr>
            <w:r w:rsidRPr="00193BC1">
              <w:rPr>
                <w:b/>
              </w:rPr>
              <w:t>Dispensed price for maximum quantity</w:t>
            </w:r>
          </w:p>
        </w:tc>
        <w:tc>
          <w:tcPr>
            <w:tcW w:w="1312" w:type="pct"/>
            <w:gridSpan w:val="2"/>
          </w:tcPr>
          <w:p w14:paraId="7327201A" w14:textId="77777777" w:rsidR="0050551A" w:rsidRPr="00193BC1" w:rsidRDefault="0050551A" w:rsidP="0050551A">
            <w:pPr>
              <w:pStyle w:val="Tabletext"/>
              <w:jc w:val="center"/>
            </w:pPr>
            <w:r w:rsidRPr="00193BC1">
              <w:rPr>
                <w:b/>
              </w:rPr>
              <w:t>Proprietary name and manufacturer</w:t>
            </w:r>
          </w:p>
        </w:tc>
      </w:tr>
      <w:tr w:rsidR="0050551A" w:rsidRPr="00193BC1" w14:paraId="71096851" w14:textId="77777777" w:rsidTr="00B57220">
        <w:tc>
          <w:tcPr>
            <w:tcW w:w="1064" w:type="pct"/>
            <w:vAlign w:val="center"/>
          </w:tcPr>
          <w:p w14:paraId="1D689105" w14:textId="77777777" w:rsidR="0050551A" w:rsidRPr="00193BC1" w:rsidRDefault="0050551A" w:rsidP="0050551A">
            <w:pPr>
              <w:pStyle w:val="Tabletext"/>
            </w:pPr>
            <w:r w:rsidRPr="00193BC1">
              <w:t>DUPILUMAB</w:t>
            </w:r>
          </w:p>
          <w:p w14:paraId="4F903DE3" w14:textId="77777777" w:rsidR="0050551A" w:rsidRPr="00193BC1" w:rsidRDefault="0050551A" w:rsidP="0050551A">
            <w:pPr>
              <w:pStyle w:val="Tabletext"/>
              <w:rPr>
                <w:b/>
                <w:bCs/>
              </w:rPr>
            </w:pPr>
            <w:r w:rsidRPr="00193BC1">
              <w:br/>
              <w:t>200 mg/1.14 mL injection, 2 x 1.14 mL syringes</w:t>
            </w:r>
          </w:p>
        </w:tc>
        <w:tc>
          <w:tcPr>
            <w:tcW w:w="415" w:type="pct"/>
            <w:vAlign w:val="center"/>
          </w:tcPr>
          <w:p w14:paraId="6BA31BD5" w14:textId="77777777" w:rsidR="0050551A" w:rsidRPr="00193BC1" w:rsidRDefault="0050551A" w:rsidP="0050551A">
            <w:pPr>
              <w:pStyle w:val="Tabletext"/>
              <w:jc w:val="center"/>
            </w:pPr>
            <w:r w:rsidRPr="00193BC1">
              <w:t>NEW</w:t>
            </w:r>
          </w:p>
        </w:tc>
        <w:tc>
          <w:tcPr>
            <w:tcW w:w="537" w:type="pct"/>
            <w:vAlign w:val="center"/>
          </w:tcPr>
          <w:p w14:paraId="6B6FA992" w14:textId="77777777" w:rsidR="0050551A" w:rsidRPr="00193BC1" w:rsidRDefault="0050551A" w:rsidP="0050551A">
            <w:pPr>
              <w:pStyle w:val="Tabletext"/>
              <w:jc w:val="center"/>
              <w:rPr>
                <w:rFonts w:ascii="Times" w:hAnsi="Times"/>
              </w:rPr>
            </w:pPr>
            <w:r w:rsidRPr="00193BC1">
              <w:t>1</w:t>
            </w:r>
          </w:p>
        </w:tc>
        <w:tc>
          <w:tcPr>
            <w:tcW w:w="537" w:type="pct"/>
            <w:vAlign w:val="center"/>
          </w:tcPr>
          <w:p w14:paraId="35C93529" w14:textId="77777777" w:rsidR="0050551A" w:rsidRPr="00193BC1" w:rsidRDefault="0050551A" w:rsidP="0050551A">
            <w:pPr>
              <w:pStyle w:val="Tabletext"/>
              <w:jc w:val="center"/>
              <w:rPr>
                <w:rFonts w:ascii="Times" w:hAnsi="Times"/>
              </w:rPr>
            </w:pPr>
            <w:r w:rsidRPr="00193BC1">
              <w:t>2</w:t>
            </w:r>
          </w:p>
        </w:tc>
        <w:tc>
          <w:tcPr>
            <w:tcW w:w="441" w:type="pct"/>
            <w:vAlign w:val="center"/>
          </w:tcPr>
          <w:p w14:paraId="030927C3" w14:textId="77777777" w:rsidR="0050551A" w:rsidRPr="00193BC1" w:rsidRDefault="0050551A" w:rsidP="0050551A">
            <w:pPr>
              <w:pStyle w:val="Tabletext"/>
              <w:jc w:val="center"/>
              <w:rPr>
                <w:rFonts w:ascii="Times" w:hAnsi="Times"/>
              </w:rPr>
            </w:pPr>
            <w:r w:rsidRPr="00193BC1">
              <w:t>5</w:t>
            </w:r>
          </w:p>
        </w:tc>
        <w:tc>
          <w:tcPr>
            <w:tcW w:w="695" w:type="pct"/>
            <w:vAlign w:val="center"/>
          </w:tcPr>
          <w:p w14:paraId="11470A5B" w14:textId="77777777" w:rsidR="0050551A" w:rsidRPr="00FB2FF3" w:rsidRDefault="0050551A" w:rsidP="009C6858">
            <w:pPr>
              <w:pStyle w:val="Tabletext"/>
              <w:rPr>
                <w:szCs w:val="20"/>
              </w:rPr>
            </w:pPr>
            <w:r w:rsidRPr="00FB2FF3">
              <w:rPr>
                <w:szCs w:val="20"/>
              </w:rPr>
              <w:t>Public  =$</w:t>
            </w:r>
            <w:r w:rsidR="002F3D9C">
              <w:rPr>
                <w:noProof/>
                <w:color w:val="000000"/>
                <w:szCs w:val="20"/>
                <w:highlight w:val="black"/>
              </w:rPr>
              <w:t>''''''''''''''''''''''</w:t>
            </w:r>
          </w:p>
          <w:p w14:paraId="6D650679" w14:textId="77777777" w:rsidR="0050551A" w:rsidRPr="00193BC1" w:rsidRDefault="0050551A" w:rsidP="009C6858">
            <w:pPr>
              <w:pStyle w:val="Tabletext"/>
              <w:rPr>
                <w:szCs w:val="20"/>
              </w:rPr>
            </w:pPr>
            <w:r w:rsidRPr="00FB2FF3">
              <w:rPr>
                <w:szCs w:val="20"/>
              </w:rPr>
              <w:t>Private =$</w:t>
            </w:r>
            <w:r w:rsidR="002F3D9C">
              <w:rPr>
                <w:noProof/>
                <w:color w:val="000000"/>
                <w:szCs w:val="20"/>
                <w:highlight w:val="black"/>
              </w:rPr>
              <w:t>'''''''''''''''''''</w:t>
            </w:r>
          </w:p>
          <w:p w14:paraId="57B63063" w14:textId="77777777" w:rsidR="0050551A" w:rsidRPr="00193BC1" w:rsidRDefault="0050551A" w:rsidP="009C6858">
            <w:pPr>
              <w:pStyle w:val="Tabletext"/>
              <w:rPr>
                <w:rFonts w:ascii="Times" w:hAnsi="Times"/>
                <w:szCs w:val="20"/>
              </w:rPr>
            </w:pPr>
            <w:r w:rsidRPr="00193BC1">
              <w:rPr>
                <w:szCs w:val="20"/>
              </w:rPr>
              <w:t>[SPA TBD]</w:t>
            </w:r>
          </w:p>
        </w:tc>
        <w:tc>
          <w:tcPr>
            <w:tcW w:w="519" w:type="pct"/>
            <w:vAlign w:val="center"/>
          </w:tcPr>
          <w:p w14:paraId="036B3D7B" w14:textId="77777777" w:rsidR="0050551A" w:rsidRPr="00193BC1" w:rsidRDefault="0050551A" w:rsidP="0050551A">
            <w:pPr>
              <w:pStyle w:val="TableText0"/>
              <w:spacing w:line="276" w:lineRule="auto"/>
              <w:jc w:val="center"/>
              <w:rPr>
                <w:rFonts w:asciiTheme="minorHAnsi" w:hAnsiTheme="minorHAnsi" w:cstheme="minorHAnsi"/>
                <w:sz w:val="18"/>
                <w:szCs w:val="18"/>
              </w:rPr>
            </w:pPr>
            <w:r w:rsidRPr="00193BC1">
              <w:t>Dupixent</w:t>
            </w:r>
            <w:r w:rsidRPr="00193BC1">
              <w:rPr>
                <w:vertAlign w:val="superscript"/>
              </w:rPr>
              <w:t>®</w:t>
            </w:r>
          </w:p>
        </w:tc>
        <w:tc>
          <w:tcPr>
            <w:tcW w:w="793" w:type="pct"/>
            <w:vAlign w:val="center"/>
          </w:tcPr>
          <w:p w14:paraId="4422404B" w14:textId="77777777" w:rsidR="0050551A" w:rsidRPr="00193BC1" w:rsidRDefault="0050551A" w:rsidP="0050551A">
            <w:pPr>
              <w:pStyle w:val="Tabletext"/>
              <w:jc w:val="center"/>
              <w:rPr>
                <w:rFonts w:ascii="Times" w:hAnsi="Times"/>
              </w:rPr>
            </w:pPr>
            <w:r w:rsidRPr="00193BC1">
              <w:t>Sanofi-Aventis Australia Pty Ltd</w:t>
            </w:r>
          </w:p>
        </w:tc>
      </w:tr>
      <w:tr w:rsidR="0050551A" w:rsidRPr="00193BC1" w14:paraId="48559459" w14:textId="77777777" w:rsidTr="00B57220">
        <w:tc>
          <w:tcPr>
            <w:tcW w:w="1064" w:type="pct"/>
            <w:vAlign w:val="center"/>
          </w:tcPr>
          <w:p w14:paraId="10F3DAEC" w14:textId="77777777" w:rsidR="0050551A" w:rsidRPr="00193BC1" w:rsidRDefault="0050551A" w:rsidP="009C6858">
            <w:pPr>
              <w:pStyle w:val="Tabletext"/>
            </w:pPr>
            <w:r w:rsidRPr="00193BC1">
              <w:t>300 mg/2 mL injection, 2 x 2 mL syringes</w:t>
            </w:r>
          </w:p>
        </w:tc>
        <w:tc>
          <w:tcPr>
            <w:tcW w:w="415" w:type="pct"/>
            <w:vAlign w:val="center"/>
          </w:tcPr>
          <w:p w14:paraId="76224DFF" w14:textId="77777777" w:rsidR="0050551A" w:rsidRPr="00193BC1" w:rsidRDefault="0050551A" w:rsidP="009C6858">
            <w:pPr>
              <w:pStyle w:val="Tabletext"/>
              <w:jc w:val="center"/>
            </w:pPr>
            <w:r w:rsidRPr="00193BC1">
              <w:t>NEW</w:t>
            </w:r>
          </w:p>
        </w:tc>
        <w:tc>
          <w:tcPr>
            <w:tcW w:w="537" w:type="pct"/>
            <w:vAlign w:val="center"/>
          </w:tcPr>
          <w:p w14:paraId="1D172DAB" w14:textId="77777777" w:rsidR="0050551A" w:rsidRPr="00193BC1" w:rsidRDefault="0050551A" w:rsidP="009C6858">
            <w:pPr>
              <w:pStyle w:val="Tabletext"/>
              <w:jc w:val="center"/>
            </w:pPr>
            <w:r w:rsidRPr="00193BC1">
              <w:t>1</w:t>
            </w:r>
          </w:p>
        </w:tc>
        <w:tc>
          <w:tcPr>
            <w:tcW w:w="537" w:type="pct"/>
            <w:vAlign w:val="center"/>
          </w:tcPr>
          <w:p w14:paraId="1D3FC0AE" w14:textId="77777777" w:rsidR="0050551A" w:rsidRPr="00193BC1" w:rsidRDefault="0050551A" w:rsidP="009C6858">
            <w:pPr>
              <w:pStyle w:val="Tabletext"/>
              <w:jc w:val="center"/>
            </w:pPr>
            <w:r w:rsidRPr="00193BC1">
              <w:t>2</w:t>
            </w:r>
          </w:p>
        </w:tc>
        <w:tc>
          <w:tcPr>
            <w:tcW w:w="441" w:type="pct"/>
            <w:vAlign w:val="center"/>
          </w:tcPr>
          <w:p w14:paraId="31CF9899" w14:textId="77777777" w:rsidR="0050551A" w:rsidRPr="00193BC1" w:rsidRDefault="0050551A" w:rsidP="009C6858">
            <w:pPr>
              <w:pStyle w:val="Tabletext"/>
              <w:jc w:val="center"/>
            </w:pPr>
            <w:r w:rsidRPr="00193BC1">
              <w:t>5</w:t>
            </w:r>
          </w:p>
        </w:tc>
        <w:tc>
          <w:tcPr>
            <w:tcW w:w="695" w:type="pct"/>
            <w:vAlign w:val="center"/>
          </w:tcPr>
          <w:p w14:paraId="041DE0B4" w14:textId="77777777" w:rsidR="0050551A" w:rsidRPr="00193BC1" w:rsidRDefault="0050551A" w:rsidP="009C6858">
            <w:pPr>
              <w:pStyle w:val="Tabletext"/>
              <w:rPr>
                <w:szCs w:val="20"/>
              </w:rPr>
            </w:pPr>
            <w:r w:rsidRPr="00193BC1">
              <w:rPr>
                <w:szCs w:val="20"/>
              </w:rPr>
              <w:t>Public  =$</w:t>
            </w:r>
            <w:r w:rsidR="002F3D9C">
              <w:rPr>
                <w:noProof/>
                <w:color w:val="000000"/>
                <w:szCs w:val="20"/>
                <w:highlight w:val="black"/>
              </w:rPr>
              <w:t>'''''''''''''''''''</w:t>
            </w:r>
          </w:p>
          <w:p w14:paraId="094218EF" w14:textId="77777777" w:rsidR="0050551A" w:rsidRPr="00193BC1" w:rsidRDefault="0050551A" w:rsidP="009C6858">
            <w:pPr>
              <w:pStyle w:val="Tabletext"/>
              <w:rPr>
                <w:szCs w:val="20"/>
              </w:rPr>
            </w:pPr>
            <w:r w:rsidRPr="00193BC1">
              <w:rPr>
                <w:szCs w:val="20"/>
              </w:rPr>
              <w:t>Private =$</w:t>
            </w:r>
            <w:r w:rsidR="002F3D9C">
              <w:rPr>
                <w:noProof/>
                <w:color w:val="000000"/>
                <w:szCs w:val="20"/>
                <w:highlight w:val="black"/>
              </w:rPr>
              <w:t>''''''''''''''''''''''</w:t>
            </w:r>
          </w:p>
          <w:p w14:paraId="47C33D80" w14:textId="77777777" w:rsidR="0050551A" w:rsidRPr="00193BC1" w:rsidRDefault="0050551A" w:rsidP="009C6858">
            <w:pPr>
              <w:pStyle w:val="Tabletext"/>
              <w:rPr>
                <w:szCs w:val="20"/>
              </w:rPr>
            </w:pPr>
            <w:r w:rsidRPr="00193BC1">
              <w:rPr>
                <w:szCs w:val="20"/>
              </w:rPr>
              <w:t>[SPA TBD]</w:t>
            </w:r>
          </w:p>
        </w:tc>
        <w:tc>
          <w:tcPr>
            <w:tcW w:w="519" w:type="pct"/>
            <w:vAlign w:val="center"/>
          </w:tcPr>
          <w:p w14:paraId="281B2594" w14:textId="77777777" w:rsidR="0050551A" w:rsidRPr="00193BC1" w:rsidRDefault="0050551A" w:rsidP="009C6858">
            <w:pPr>
              <w:pStyle w:val="TableText0"/>
              <w:spacing w:line="276" w:lineRule="auto"/>
              <w:jc w:val="center"/>
            </w:pPr>
            <w:r w:rsidRPr="00193BC1">
              <w:t>Dupixent</w:t>
            </w:r>
            <w:r w:rsidRPr="00193BC1">
              <w:rPr>
                <w:vertAlign w:val="superscript"/>
              </w:rPr>
              <w:t>®</w:t>
            </w:r>
          </w:p>
        </w:tc>
        <w:tc>
          <w:tcPr>
            <w:tcW w:w="793" w:type="pct"/>
            <w:vAlign w:val="center"/>
          </w:tcPr>
          <w:p w14:paraId="347D5C95" w14:textId="77777777" w:rsidR="0050551A" w:rsidRPr="00193BC1" w:rsidRDefault="0050551A" w:rsidP="009C6858">
            <w:pPr>
              <w:pStyle w:val="Tabletext"/>
              <w:jc w:val="center"/>
            </w:pPr>
            <w:r w:rsidRPr="00193BC1">
              <w:t>Sanofi-Aventis Australia Pty Ltd</w:t>
            </w:r>
          </w:p>
        </w:tc>
      </w:tr>
    </w:tbl>
    <w:p w14:paraId="1628FA78" w14:textId="77777777" w:rsidR="00D42D5C" w:rsidRPr="00193BC1" w:rsidRDefault="00D42D5C" w:rsidP="00D42D5C">
      <w:pPr>
        <w:pStyle w:val="TableFigureFooter"/>
      </w:pPr>
    </w:p>
    <w:tbl>
      <w:tblPr>
        <w:tblW w:w="5000" w:type="pct"/>
        <w:tblLook w:val="0000" w:firstRow="0" w:lastRow="0" w:firstColumn="0" w:lastColumn="0" w:noHBand="0" w:noVBand="0"/>
      </w:tblPr>
      <w:tblGrid>
        <w:gridCol w:w="9017"/>
      </w:tblGrid>
      <w:tr w:rsidR="0050551A" w:rsidRPr="00193BC1" w14:paraId="290AB17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D1D82CB" w14:textId="77777777" w:rsidR="0050551A" w:rsidRPr="00193BC1" w:rsidRDefault="0050551A" w:rsidP="009C6858">
            <w:pPr>
              <w:pStyle w:val="TableText0"/>
              <w:keepNext w:val="0"/>
            </w:pPr>
            <w:r w:rsidRPr="00193BC1">
              <w:rPr>
                <w:b/>
              </w:rPr>
              <w:t>Category / Program:</w:t>
            </w:r>
          </w:p>
          <w:p w14:paraId="302F7E3D" w14:textId="77777777" w:rsidR="0050551A" w:rsidRPr="00193BC1" w:rsidRDefault="0050551A" w:rsidP="009C6858">
            <w:pPr>
              <w:pStyle w:val="TableText0"/>
              <w:keepNext w:val="0"/>
            </w:pPr>
            <w:r w:rsidRPr="00193BC1">
              <w:t>Section 100 – Highly Specialised Drugs Program – public and private</w:t>
            </w:r>
          </w:p>
        </w:tc>
      </w:tr>
      <w:tr w:rsidR="0050551A" w:rsidRPr="00193BC1" w14:paraId="69E1AD8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A48059E" w14:textId="77777777" w:rsidR="0050551A" w:rsidRPr="00193BC1" w:rsidRDefault="0050551A" w:rsidP="009C6858">
            <w:pPr>
              <w:pStyle w:val="TableText0"/>
              <w:keepNext w:val="0"/>
            </w:pPr>
            <w:r w:rsidRPr="00193BC1">
              <w:rPr>
                <w:b/>
              </w:rPr>
              <w:t>Prescriber type:</w:t>
            </w:r>
          </w:p>
          <w:p w14:paraId="580C45E1" w14:textId="77777777" w:rsidR="0050551A" w:rsidRPr="00193BC1" w:rsidRDefault="0050551A" w:rsidP="009C6858">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50551A" w:rsidRPr="00193BC1" w14:paraId="001AC61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1CA868F" w14:textId="77777777" w:rsidR="0050551A" w:rsidRPr="00193BC1" w:rsidRDefault="0050551A" w:rsidP="009C6858">
            <w:pPr>
              <w:pStyle w:val="TableText0"/>
              <w:keepNext w:val="0"/>
            </w:pPr>
            <w:r w:rsidRPr="00193BC1">
              <w:rPr>
                <w:b/>
              </w:rPr>
              <w:t>Restriction:</w:t>
            </w:r>
          </w:p>
          <w:p w14:paraId="2198DB1E" w14:textId="77777777" w:rsidR="0050551A" w:rsidRPr="00193BC1" w:rsidRDefault="0050551A" w:rsidP="009C6858">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50551A" w:rsidRPr="00193BC1" w14:paraId="6FADCDA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E2E6967" w14:textId="77777777" w:rsidR="0050551A" w:rsidRPr="00193BC1" w:rsidRDefault="0050551A" w:rsidP="009C6858">
            <w:pPr>
              <w:pStyle w:val="TableText0"/>
              <w:keepNext w:val="0"/>
            </w:pPr>
            <w:r w:rsidRPr="00193BC1">
              <w:rPr>
                <w:b/>
              </w:rPr>
              <w:t>Severity:</w:t>
            </w:r>
          </w:p>
          <w:p w14:paraId="758E505C" w14:textId="77777777" w:rsidR="0050551A" w:rsidRPr="00193BC1" w:rsidRDefault="0050551A" w:rsidP="009C6858">
            <w:pPr>
              <w:pStyle w:val="TableText0"/>
              <w:keepNext w:val="0"/>
              <w:rPr>
                <w:i/>
              </w:rPr>
            </w:pPr>
            <w:r w:rsidRPr="00193BC1">
              <w:rPr>
                <w:i/>
              </w:rPr>
              <w:t>Uncontrolled severe</w:t>
            </w:r>
          </w:p>
        </w:tc>
      </w:tr>
      <w:tr w:rsidR="0050551A" w:rsidRPr="00193BC1" w14:paraId="140EA51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9B6B590" w14:textId="77777777" w:rsidR="0050551A" w:rsidRPr="00193BC1" w:rsidRDefault="0050551A" w:rsidP="009C6858">
            <w:pPr>
              <w:pStyle w:val="TableText0"/>
              <w:keepNext w:val="0"/>
            </w:pPr>
            <w:r w:rsidRPr="00193BC1">
              <w:rPr>
                <w:b/>
              </w:rPr>
              <w:t>Condition:</w:t>
            </w:r>
          </w:p>
          <w:p w14:paraId="71603CF0" w14:textId="77777777" w:rsidR="0050551A" w:rsidRPr="00193BC1" w:rsidRDefault="0050551A" w:rsidP="009C6858">
            <w:pPr>
              <w:pStyle w:val="TableText0"/>
              <w:keepNext w:val="0"/>
              <w:rPr>
                <w:i/>
              </w:rPr>
            </w:pPr>
            <w:r w:rsidRPr="00193BC1">
              <w:rPr>
                <w:rFonts w:eastAsiaTheme="minorHAnsi"/>
                <w:i/>
                <w:iCs/>
              </w:rPr>
              <w:t>eosinophilic or allergic asthma</w:t>
            </w:r>
          </w:p>
        </w:tc>
      </w:tr>
      <w:tr w:rsidR="0050551A" w:rsidRPr="00193BC1" w14:paraId="3861048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0E15953" w14:textId="77777777" w:rsidR="0050551A" w:rsidRPr="00193BC1" w:rsidRDefault="0050551A" w:rsidP="009C6858">
            <w:pPr>
              <w:pStyle w:val="TableText0"/>
              <w:keepNext w:val="0"/>
            </w:pPr>
            <w:r w:rsidRPr="00193BC1">
              <w:rPr>
                <w:b/>
              </w:rPr>
              <w:t>PBS Indication:</w:t>
            </w:r>
          </w:p>
          <w:p w14:paraId="302C8E6F" w14:textId="77777777" w:rsidR="0050551A" w:rsidRPr="00193BC1" w:rsidRDefault="0050551A" w:rsidP="009C6858">
            <w:pPr>
              <w:pStyle w:val="TableText0"/>
              <w:keepNext w:val="0"/>
            </w:pPr>
            <w:r w:rsidRPr="00193BC1">
              <w:t xml:space="preserve">Uncontrolled severe </w:t>
            </w:r>
            <w:r w:rsidRPr="00193BC1">
              <w:rPr>
                <w:strike/>
              </w:rPr>
              <w:t xml:space="preserve">type 2 </w:t>
            </w:r>
            <w:r w:rsidRPr="00193BC1">
              <w:rPr>
                <w:rFonts w:eastAsiaTheme="minorHAnsi"/>
                <w:i/>
                <w:iCs/>
              </w:rPr>
              <w:t xml:space="preserve">eosinophilic or allergic </w:t>
            </w:r>
            <w:r w:rsidRPr="00193BC1">
              <w:t>asthma</w:t>
            </w:r>
            <w:r w:rsidRPr="00193BC1">
              <w:rPr>
                <w:strike/>
              </w:rPr>
              <w:t xml:space="preserve"> without oral corticosteroid OCS dependence</w:t>
            </w:r>
          </w:p>
        </w:tc>
      </w:tr>
      <w:tr w:rsidR="0050551A" w:rsidRPr="00193BC1" w14:paraId="5EA0619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CF77E77" w14:textId="77777777" w:rsidR="0050551A" w:rsidRPr="00193BC1" w:rsidRDefault="0050551A" w:rsidP="009C6858">
            <w:pPr>
              <w:pStyle w:val="TableText0"/>
              <w:keepNext w:val="0"/>
            </w:pPr>
            <w:r w:rsidRPr="00193BC1">
              <w:rPr>
                <w:b/>
              </w:rPr>
              <w:t>Treatment phase:</w:t>
            </w:r>
          </w:p>
          <w:p w14:paraId="3DBB89C0" w14:textId="77777777" w:rsidR="0050551A" w:rsidRPr="00193BC1" w:rsidRDefault="0050551A" w:rsidP="009C6858">
            <w:pPr>
              <w:pStyle w:val="TableText0"/>
              <w:keepNext w:val="0"/>
              <w:rPr>
                <w:i/>
              </w:rPr>
            </w:pPr>
            <w:r w:rsidRPr="00193BC1">
              <w:t>Continuing treatment</w:t>
            </w:r>
          </w:p>
        </w:tc>
      </w:tr>
      <w:tr w:rsidR="0050551A" w:rsidRPr="00193BC1" w14:paraId="766DA27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9CCCBB3" w14:textId="77777777" w:rsidR="0050551A" w:rsidRPr="00193BC1" w:rsidRDefault="0050551A" w:rsidP="009C6858">
            <w:pPr>
              <w:pStyle w:val="TableText0"/>
              <w:keepNext w:val="0"/>
              <w:rPr>
                <w:rFonts w:cs="Arial"/>
              </w:rPr>
            </w:pPr>
            <w:r w:rsidRPr="00193BC1">
              <w:rPr>
                <w:b/>
              </w:rPr>
              <w:t>Treatment criteria:</w:t>
            </w:r>
          </w:p>
          <w:p w14:paraId="50AF76CE" w14:textId="77777777" w:rsidR="0050551A" w:rsidRPr="00193BC1" w:rsidRDefault="0050551A" w:rsidP="009C6858">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50551A" w:rsidRPr="00193BC1" w14:paraId="275F849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6FD8837" w14:textId="77777777" w:rsidR="0050551A" w:rsidRPr="00193BC1" w:rsidRDefault="0050551A" w:rsidP="009C6858">
            <w:pPr>
              <w:pStyle w:val="TableText0"/>
              <w:keepNext w:val="0"/>
              <w:rPr>
                <w:rFonts w:cs="Arial"/>
              </w:rPr>
            </w:pPr>
            <w:r w:rsidRPr="00193BC1">
              <w:rPr>
                <w:b/>
              </w:rPr>
              <w:t>AND</w:t>
            </w:r>
          </w:p>
        </w:tc>
      </w:tr>
      <w:tr w:rsidR="0050551A" w:rsidRPr="00193BC1" w14:paraId="4A766BC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66F64B0" w14:textId="77777777" w:rsidR="0050551A" w:rsidRPr="00193BC1" w:rsidRDefault="0050551A" w:rsidP="009C6858">
            <w:pPr>
              <w:pStyle w:val="TableText0"/>
              <w:keepNext w:val="0"/>
              <w:rPr>
                <w:rFonts w:cs="Arial"/>
              </w:rPr>
            </w:pPr>
            <w:r w:rsidRPr="00193BC1">
              <w:rPr>
                <w:b/>
              </w:rPr>
              <w:t>Clinical criteria:</w:t>
            </w:r>
          </w:p>
        </w:tc>
      </w:tr>
      <w:tr w:rsidR="0050551A" w:rsidRPr="00193BC1" w14:paraId="6D2EFEC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C10D7AE" w14:textId="77777777" w:rsidR="0050551A" w:rsidRPr="00193BC1" w:rsidRDefault="0050551A" w:rsidP="009C6858">
            <w:pPr>
              <w:pStyle w:val="TableText0"/>
              <w:keepNext w:val="0"/>
              <w:rPr>
                <w:rFonts w:cs="Arial"/>
              </w:rPr>
            </w:pPr>
            <w:r w:rsidRPr="00193BC1">
              <w:rPr>
                <w:rFonts w:cs="Arial"/>
              </w:rPr>
              <w:t>Patient must have demonstrated or sustained an adequate response to PBS-subsidised treatment with this drug for this condition.</w:t>
            </w:r>
          </w:p>
        </w:tc>
      </w:tr>
      <w:tr w:rsidR="0050551A" w:rsidRPr="00193BC1" w14:paraId="214B2DC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EF03C6E" w14:textId="77777777" w:rsidR="0050551A" w:rsidRPr="00193BC1" w:rsidRDefault="0050551A" w:rsidP="009C6858">
            <w:pPr>
              <w:pStyle w:val="TableText0"/>
              <w:keepNext w:val="0"/>
              <w:rPr>
                <w:b/>
              </w:rPr>
            </w:pPr>
            <w:r w:rsidRPr="00193BC1">
              <w:rPr>
                <w:rFonts w:cs="Arial"/>
                <w:b/>
              </w:rPr>
              <w:t>AND</w:t>
            </w:r>
          </w:p>
        </w:tc>
      </w:tr>
      <w:tr w:rsidR="0050551A" w:rsidRPr="00193BC1" w14:paraId="16BB9E5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C287273" w14:textId="77777777" w:rsidR="0050551A" w:rsidRPr="00193BC1" w:rsidRDefault="0050551A" w:rsidP="009C6858">
            <w:pPr>
              <w:pStyle w:val="TableText0"/>
              <w:keepNext w:val="0"/>
              <w:rPr>
                <w:b/>
              </w:rPr>
            </w:pPr>
            <w:r w:rsidRPr="00193BC1">
              <w:rPr>
                <w:b/>
              </w:rPr>
              <w:t>Clinical criteria:</w:t>
            </w:r>
          </w:p>
        </w:tc>
      </w:tr>
      <w:tr w:rsidR="0050551A" w:rsidRPr="00193BC1" w14:paraId="05EAFD1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6B62D0C" w14:textId="77777777" w:rsidR="0050551A" w:rsidRPr="00193BC1" w:rsidRDefault="0050551A" w:rsidP="009C6858">
            <w:pPr>
              <w:pStyle w:val="TableText0"/>
              <w:keepNext w:val="0"/>
              <w:rPr>
                <w:b/>
              </w:rPr>
            </w:pPr>
            <w:r w:rsidRPr="00193BC1">
              <w:rPr>
                <w:rFonts w:cs="Arial"/>
              </w:rPr>
              <w:t>The treatment must not be used in combination with and within 4 weeks of another PBS-subsidised biological medicine prescribed for severe asthma.</w:t>
            </w:r>
          </w:p>
        </w:tc>
      </w:tr>
      <w:tr w:rsidR="0050551A" w:rsidRPr="00193BC1" w14:paraId="5018FDF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2FC9CD3" w14:textId="77777777" w:rsidR="0050551A" w:rsidRPr="00193BC1" w:rsidRDefault="0050551A" w:rsidP="009C6858">
            <w:pPr>
              <w:pStyle w:val="TableText0"/>
              <w:keepNext w:val="0"/>
              <w:rPr>
                <w:b/>
              </w:rPr>
            </w:pPr>
            <w:r w:rsidRPr="00193BC1">
              <w:rPr>
                <w:rFonts w:cs="Arial"/>
                <w:b/>
              </w:rPr>
              <w:t>AND</w:t>
            </w:r>
          </w:p>
        </w:tc>
      </w:tr>
      <w:tr w:rsidR="0050551A" w:rsidRPr="00193BC1" w14:paraId="10249E0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9D449EB" w14:textId="77777777" w:rsidR="0050551A" w:rsidRPr="00193BC1" w:rsidRDefault="0050551A" w:rsidP="009C6858">
            <w:pPr>
              <w:pStyle w:val="TableText0"/>
              <w:keepNext w:val="0"/>
              <w:rPr>
                <w:b/>
              </w:rPr>
            </w:pPr>
            <w:r w:rsidRPr="00193BC1">
              <w:rPr>
                <w:b/>
              </w:rPr>
              <w:t>Clinical criteria:</w:t>
            </w:r>
          </w:p>
        </w:tc>
      </w:tr>
      <w:tr w:rsidR="0050551A" w:rsidRPr="00193BC1" w14:paraId="72595FE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7CE59D6" w14:textId="77777777" w:rsidR="0050551A" w:rsidRPr="00193BC1" w:rsidRDefault="0050551A" w:rsidP="009C6858">
            <w:pPr>
              <w:pStyle w:val="TableText0"/>
              <w:keepNext w:val="0"/>
              <w:rPr>
                <w:b/>
              </w:rPr>
            </w:pPr>
            <w:r w:rsidRPr="00193BC1">
              <w:rPr>
                <w:rFonts w:cs="Arial"/>
              </w:rPr>
              <w:t>Patient must not receive more than 24 weeks of treatment under this restriction.</w:t>
            </w:r>
          </w:p>
        </w:tc>
      </w:tr>
      <w:tr w:rsidR="0050551A" w:rsidRPr="00193BC1" w14:paraId="65C9DB4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9C0EFBE" w14:textId="77777777" w:rsidR="0050551A" w:rsidRPr="00193BC1" w:rsidRDefault="0050551A" w:rsidP="009C6858">
            <w:pPr>
              <w:pStyle w:val="TableText0"/>
              <w:keepNext w:val="0"/>
              <w:rPr>
                <w:rFonts w:cs="Arial"/>
              </w:rPr>
            </w:pPr>
            <w:r w:rsidRPr="00193BC1">
              <w:rPr>
                <w:b/>
              </w:rPr>
              <w:t>Population criteria:</w:t>
            </w:r>
          </w:p>
          <w:p w14:paraId="29BA2929" w14:textId="77777777" w:rsidR="0050551A" w:rsidRPr="00193BC1" w:rsidRDefault="0050551A" w:rsidP="009C6858">
            <w:pPr>
              <w:pStyle w:val="TableText0"/>
              <w:keepNext w:val="0"/>
              <w:rPr>
                <w:b/>
              </w:rPr>
            </w:pPr>
            <w:r w:rsidRPr="00193BC1">
              <w:rPr>
                <w:rFonts w:cs="Arial"/>
              </w:rPr>
              <w:t>Patients must be aged 12 years or older</w:t>
            </w:r>
          </w:p>
        </w:tc>
      </w:tr>
    </w:tbl>
    <w:p w14:paraId="0BEDA396" w14:textId="6055B96D" w:rsidR="009A1D42" w:rsidRDefault="009A1D42" w:rsidP="00D42D5C">
      <w:pPr>
        <w:pStyle w:val="TableFigureFooter"/>
      </w:pPr>
    </w:p>
    <w:p w14:paraId="53B779DE" w14:textId="77777777" w:rsidR="009A1D42" w:rsidRDefault="009A1D42">
      <w:pPr>
        <w:jc w:val="left"/>
        <w:rPr>
          <w:rFonts w:ascii="Arial Narrow" w:hAnsi="Arial Narrow"/>
          <w:snapToGrid w:val="0"/>
          <w:sz w:val="18"/>
          <w:szCs w:val="22"/>
        </w:rPr>
      </w:pPr>
      <w:r>
        <w:br w:type="page"/>
      </w:r>
    </w:p>
    <w:p w14:paraId="1E4F394B" w14:textId="77777777" w:rsidR="00D42D5C" w:rsidRPr="00193BC1" w:rsidRDefault="00D42D5C" w:rsidP="00D42D5C">
      <w:pPr>
        <w:pStyle w:val="TableFigureFooter"/>
      </w:pPr>
    </w:p>
    <w:p w14:paraId="36A969D7" w14:textId="77777777" w:rsidR="00D42D5C" w:rsidRPr="00193BC1" w:rsidRDefault="00D42D5C" w:rsidP="00D42D5C">
      <w:r w:rsidRPr="00193BC1">
        <w:rPr>
          <w:rFonts w:ascii="Arial Narrow" w:hAnsi="Arial Narrow"/>
          <w:b/>
          <w:bCs/>
          <w:sz w:val="20"/>
          <w:szCs w:val="20"/>
        </w:rPr>
        <w:t>Treatment phase: Initial 1 and Initial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6"/>
        <w:gridCol w:w="763"/>
        <w:gridCol w:w="973"/>
        <w:gridCol w:w="973"/>
        <w:gridCol w:w="866"/>
        <w:gridCol w:w="1046"/>
        <w:gridCol w:w="942"/>
        <w:gridCol w:w="1468"/>
      </w:tblGrid>
      <w:tr w:rsidR="0050551A" w:rsidRPr="00193BC1" w14:paraId="05C66EB8" w14:textId="77777777" w:rsidTr="00B57220">
        <w:tc>
          <w:tcPr>
            <w:tcW w:w="1104" w:type="pct"/>
          </w:tcPr>
          <w:p w14:paraId="1C4E275D" w14:textId="77777777" w:rsidR="0050551A" w:rsidRPr="00193BC1" w:rsidRDefault="0050551A" w:rsidP="0050551A">
            <w:pPr>
              <w:pStyle w:val="Tabletext"/>
              <w:rPr>
                <w:b/>
                <w:bCs/>
              </w:rPr>
            </w:pPr>
            <w:r w:rsidRPr="00193BC1">
              <w:rPr>
                <w:b/>
              </w:rPr>
              <w:t>Name, restriction, manner of administration, form</w:t>
            </w:r>
          </w:p>
        </w:tc>
        <w:tc>
          <w:tcPr>
            <w:tcW w:w="426" w:type="pct"/>
          </w:tcPr>
          <w:p w14:paraId="7D48CE7B" w14:textId="77777777" w:rsidR="0050551A" w:rsidRPr="00193BC1" w:rsidRDefault="0050551A" w:rsidP="0050551A">
            <w:pPr>
              <w:pStyle w:val="Tabletext"/>
              <w:jc w:val="center"/>
              <w:rPr>
                <w:b/>
              </w:rPr>
            </w:pPr>
            <w:r w:rsidRPr="00193BC1">
              <w:rPr>
                <w:b/>
              </w:rPr>
              <w:t>PBS item code</w:t>
            </w:r>
          </w:p>
        </w:tc>
        <w:tc>
          <w:tcPr>
            <w:tcW w:w="537" w:type="pct"/>
          </w:tcPr>
          <w:p w14:paraId="6D26519F" w14:textId="77777777" w:rsidR="0050551A" w:rsidRPr="00193BC1" w:rsidRDefault="0050551A" w:rsidP="0050551A">
            <w:pPr>
              <w:pStyle w:val="Tabletext"/>
              <w:jc w:val="center"/>
              <w:rPr>
                <w:b/>
                <w:bCs/>
              </w:rPr>
            </w:pPr>
            <w:r w:rsidRPr="00193BC1">
              <w:rPr>
                <w:b/>
              </w:rPr>
              <w:t>Maximum quantity (packs)</w:t>
            </w:r>
          </w:p>
        </w:tc>
        <w:tc>
          <w:tcPr>
            <w:tcW w:w="537" w:type="pct"/>
          </w:tcPr>
          <w:p w14:paraId="72163439" w14:textId="77777777" w:rsidR="0050551A" w:rsidRPr="00193BC1" w:rsidRDefault="0050551A" w:rsidP="0050551A">
            <w:pPr>
              <w:pStyle w:val="Tabletext"/>
              <w:jc w:val="center"/>
              <w:rPr>
                <w:b/>
                <w:bCs/>
              </w:rPr>
            </w:pPr>
            <w:r w:rsidRPr="00193BC1">
              <w:rPr>
                <w:b/>
              </w:rPr>
              <w:t>Maximum quantity (units)</w:t>
            </w:r>
          </w:p>
        </w:tc>
        <w:tc>
          <w:tcPr>
            <w:tcW w:w="483" w:type="pct"/>
          </w:tcPr>
          <w:p w14:paraId="58DE6B76" w14:textId="77777777" w:rsidR="0050551A" w:rsidRPr="00193BC1" w:rsidRDefault="0050551A" w:rsidP="0050551A">
            <w:pPr>
              <w:pStyle w:val="Tabletext"/>
              <w:rPr>
                <w:b/>
                <w:bCs/>
              </w:rPr>
            </w:pPr>
            <w:r w:rsidRPr="00193BC1">
              <w:rPr>
                <w:b/>
              </w:rPr>
              <w:t>No. of repeats</w:t>
            </w:r>
          </w:p>
        </w:tc>
        <w:tc>
          <w:tcPr>
            <w:tcW w:w="577" w:type="pct"/>
          </w:tcPr>
          <w:p w14:paraId="67CD7857" w14:textId="77777777" w:rsidR="0050551A" w:rsidRPr="00193BC1" w:rsidRDefault="0050551A" w:rsidP="0050551A">
            <w:pPr>
              <w:pStyle w:val="Tabletext"/>
              <w:rPr>
                <w:b/>
              </w:rPr>
            </w:pPr>
            <w:r w:rsidRPr="00193BC1">
              <w:rPr>
                <w:b/>
              </w:rPr>
              <w:t>Dispensed price for maximum quantity</w:t>
            </w:r>
          </w:p>
        </w:tc>
        <w:tc>
          <w:tcPr>
            <w:tcW w:w="1337" w:type="pct"/>
            <w:gridSpan w:val="2"/>
          </w:tcPr>
          <w:p w14:paraId="508E7FB7" w14:textId="77777777" w:rsidR="0050551A" w:rsidRPr="00193BC1" w:rsidRDefault="0050551A" w:rsidP="0050551A">
            <w:pPr>
              <w:pStyle w:val="Tabletext"/>
              <w:rPr>
                <w:b/>
                <w:bCs/>
              </w:rPr>
            </w:pPr>
            <w:r w:rsidRPr="00193BC1">
              <w:rPr>
                <w:b/>
              </w:rPr>
              <w:t>Proprietary name and manufacturer</w:t>
            </w:r>
          </w:p>
        </w:tc>
      </w:tr>
      <w:tr w:rsidR="0050551A" w:rsidRPr="00193BC1" w14:paraId="1BFF4AF0" w14:textId="77777777" w:rsidTr="00B57220">
        <w:tc>
          <w:tcPr>
            <w:tcW w:w="1104" w:type="pct"/>
            <w:vAlign w:val="center"/>
          </w:tcPr>
          <w:p w14:paraId="28923727" w14:textId="77777777" w:rsidR="0050551A" w:rsidRPr="00193BC1" w:rsidRDefault="0050551A" w:rsidP="0050551A">
            <w:pPr>
              <w:pStyle w:val="Tabletext"/>
            </w:pPr>
            <w:r w:rsidRPr="00193BC1">
              <w:t>300 mg/2 mL injection, 2 x 2 mL syringes</w:t>
            </w:r>
          </w:p>
        </w:tc>
        <w:tc>
          <w:tcPr>
            <w:tcW w:w="426" w:type="pct"/>
            <w:vAlign w:val="center"/>
          </w:tcPr>
          <w:p w14:paraId="0C5A9063" w14:textId="77777777" w:rsidR="0050551A" w:rsidRPr="00193BC1" w:rsidRDefault="0050551A" w:rsidP="0050551A">
            <w:pPr>
              <w:pStyle w:val="Tabletext"/>
              <w:jc w:val="center"/>
            </w:pPr>
            <w:r w:rsidRPr="00193BC1">
              <w:t>NEW</w:t>
            </w:r>
          </w:p>
        </w:tc>
        <w:tc>
          <w:tcPr>
            <w:tcW w:w="537" w:type="pct"/>
            <w:vAlign w:val="center"/>
          </w:tcPr>
          <w:p w14:paraId="0961E8CE" w14:textId="77777777" w:rsidR="0050551A" w:rsidRPr="00193BC1" w:rsidRDefault="0050551A" w:rsidP="0050551A">
            <w:pPr>
              <w:pStyle w:val="Tabletext"/>
              <w:jc w:val="center"/>
            </w:pPr>
            <w:r w:rsidRPr="00193BC1">
              <w:t>1</w:t>
            </w:r>
          </w:p>
        </w:tc>
        <w:tc>
          <w:tcPr>
            <w:tcW w:w="537" w:type="pct"/>
            <w:vAlign w:val="center"/>
          </w:tcPr>
          <w:p w14:paraId="0C2CDB37" w14:textId="77777777" w:rsidR="0050551A" w:rsidRPr="00193BC1" w:rsidRDefault="0050551A" w:rsidP="0050551A">
            <w:pPr>
              <w:pStyle w:val="Tabletext"/>
              <w:jc w:val="center"/>
            </w:pPr>
            <w:r w:rsidRPr="00193BC1">
              <w:t>2</w:t>
            </w:r>
          </w:p>
        </w:tc>
        <w:tc>
          <w:tcPr>
            <w:tcW w:w="483" w:type="pct"/>
            <w:vAlign w:val="center"/>
          </w:tcPr>
          <w:p w14:paraId="2FE27F2F" w14:textId="77777777" w:rsidR="0050551A" w:rsidRPr="00193BC1" w:rsidRDefault="0050551A" w:rsidP="0050551A">
            <w:pPr>
              <w:pStyle w:val="Tabletext"/>
              <w:jc w:val="center"/>
            </w:pPr>
            <w:r w:rsidRPr="00193BC1">
              <w:t>8</w:t>
            </w:r>
          </w:p>
        </w:tc>
        <w:tc>
          <w:tcPr>
            <w:tcW w:w="577" w:type="pct"/>
          </w:tcPr>
          <w:p w14:paraId="1F35FC60" w14:textId="77777777" w:rsidR="0050551A" w:rsidRPr="00193BC1" w:rsidRDefault="0050551A" w:rsidP="0050551A">
            <w:pPr>
              <w:pStyle w:val="Tabletext"/>
              <w:rPr>
                <w:szCs w:val="20"/>
              </w:rPr>
            </w:pPr>
            <w:r w:rsidRPr="00193BC1">
              <w:rPr>
                <w:szCs w:val="20"/>
              </w:rPr>
              <w:t>Public  =$</w:t>
            </w:r>
            <w:r w:rsidR="002F3D9C">
              <w:rPr>
                <w:noProof/>
                <w:color w:val="000000"/>
                <w:szCs w:val="20"/>
                <w:highlight w:val="black"/>
              </w:rPr>
              <w:t>''''''''''''''''''''</w:t>
            </w:r>
          </w:p>
          <w:p w14:paraId="751FC198" w14:textId="77777777" w:rsidR="0050551A" w:rsidRPr="00193BC1" w:rsidRDefault="0050551A" w:rsidP="0050551A">
            <w:pPr>
              <w:pStyle w:val="Tabletext"/>
              <w:rPr>
                <w:szCs w:val="20"/>
              </w:rPr>
            </w:pPr>
            <w:r w:rsidRPr="00193BC1">
              <w:rPr>
                <w:szCs w:val="20"/>
              </w:rPr>
              <w:t>Private =$</w:t>
            </w:r>
            <w:r w:rsidR="002F3D9C">
              <w:rPr>
                <w:noProof/>
                <w:color w:val="000000"/>
                <w:szCs w:val="20"/>
                <w:highlight w:val="black"/>
              </w:rPr>
              <w:t>''''''''''''''''''''</w:t>
            </w:r>
          </w:p>
          <w:p w14:paraId="5E52D270" w14:textId="77777777" w:rsidR="0050551A" w:rsidRPr="00193BC1" w:rsidRDefault="0050551A" w:rsidP="0050551A">
            <w:pPr>
              <w:pStyle w:val="Tabletext"/>
              <w:jc w:val="center"/>
            </w:pPr>
            <w:r w:rsidRPr="00193BC1">
              <w:rPr>
                <w:szCs w:val="20"/>
              </w:rPr>
              <w:t>[SPA TBD]</w:t>
            </w:r>
          </w:p>
        </w:tc>
        <w:tc>
          <w:tcPr>
            <w:tcW w:w="519" w:type="pct"/>
            <w:vAlign w:val="center"/>
          </w:tcPr>
          <w:p w14:paraId="2A5FF405" w14:textId="77777777" w:rsidR="0050551A" w:rsidRPr="00193BC1" w:rsidRDefault="0050551A" w:rsidP="0050551A">
            <w:pPr>
              <w:pStyle w:val="TableText0"/>
              <w:spacing w:line="276" w:lineRule="auto"/>
              <w:jc w:val="center"/>
            </w:pPr>
            <w:r w:rsidRPr="00193BC1">
              <w:t>Dupixent</w:t>
            </w:r>
            <w:r w:rsidRPr="00193BC1">
              <w:rPr>
                <w:vertAlign w:val="superscript"/>
              </w:rPr>
              <w:t>®</w:t>
            </w:r>
          </w:p>
        </w:tc>
        <w:tc>
          <w:tcPr>
            <w:tcW w:w="818" w:type="pct"/>
            <w:vAlign w:val="center"/>
          </w:tcPr>
          <w:p w14:paraId="3E213BC8" w14:textId="77777777" w:rsidR="0050551A" w:rsidRPr="00193BC1" w:rsidRDefault="0050551A" w:rsidP="0050551A">
            <w:pPr>
              <w:pStyle w:val="Tabletext"/>
              <w:jc w:val="center"/>
            </w:pPr>
            <w:r w:rsidRPr="00193BC1">
              <w:t>Sanofi-Aventis Australia Pty Ltd</w:t>
            </w:r>
          </w:p>
        </w:tc>
      </w:tr>
    </w:tbl>
    <w:p w14:paraId="2BEAA684" w14:textId="77777777" w:rsidR="00D42D5C" w:rsidRPr="00193BC1" w:rsidRDefault="00D42D5C" w:rsidP="00D42D5C">
      <w:pPr>
        <w:pStyle w:val="TableFigureFooter"/>
      </w:pPr>
    </w:p>
    <w:tbl>
      <w:tblPr>
        <w:tblW w:w="5000" w:type="pct"/>
        <w:tblLook w:val="0000" w:firstRow="0" w:lastRow="0" w:firstColumn="0" w:lastColumn="0" w:noHBand="0" w:noVBand="0"/>
      </w:tblPr>
      <w:tblGrid>
        <w:gridCol w:w="9017"/>
      </w:tblGrid>
      <w:tr w:rsidR="0050551A" w:rsidRPr="00193BC1" w14:paraId="499CE0E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02DACF" w14:textId="77777777" w:rsidR="0050551A" w:rsidRPr="00193BC1" w:rsidRDefault="0050551A" w:rsidP="009C6858">
            <w:pPr>
              <w:pStyle w:val="TableText0"/>
              <w:keepNext w:val="0"/>
            </w:pPr>
            <w:r w:rsidRPr="00193BC1">
              <w:rPr>
                <w:b/>
              </w:rPr>
              <w:t>Category / Program:</w:t>
            </w:r>
          </w:p>
          <w:p w14:paraId="5C9134A1" w14:textId="77777777" w:rsidR="0050551A" w:rsidRPr="00193BC1" w:rsidRDefault="0050551A" w:rsidP="009C6858">
            <w:pPr>
              <w:pStyle w:val="TableText0"/>
              <w:keepNext w:val="0"/>
            </w:pPr>
            <w:r w:rsidRPr="00193BC1">
              <w:t>Section 100 – Highly Specialised Drugs Program – public and private</w:t>
            </w:r>
          </w:p>
        </w:tc>
      </w:tr>
      <w:tr w:rsidR="0050551A" w:rsidRPr="00193BC1" w14:paraId="734DDA2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26BC9CB" w14:textId="77777777" w:rsidR="0050551A" w:rsidRPr="00193BC1" w:rsidRDefault="0050551A" w:rsidP="009C6858">
            <w:pPr>
              <w:pStyle w:val="TableText0"/>
              <w:keepNext w:val="0"/>
            </w:pPr>
            <w:r w:rsidRPr="00193BC1">
              <w:rPr>
                <w:b/>
              </w:rPr>
              <w:t>Prescriber type:</w:t>
            </w:r>
          </w:p>
          <w:p w14:paraId="1C29311D" w14:textId="77777777" w:rsidR="0050551A" w:rsidRPr="00193BC1" w:rsidRDefault="0050551A" w:rsidP="009C6858">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50551A" w:rsidRPr="00193BC1" w14:paraId="1B31639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CB637D3" w14:textId="77777777" w:rsidR="0050551A" w:rsidRPr="00193BC1" w:rsidRDefault="0050551A" w:rsidP="009C6858">
            <w:pPr>
              <w:pStyle w:val="TableText0"/>
              <w:keepNext w:val="0"/>
            </w:pPr>
            <w:r w:rsidRPr="00193BC1">
              <w:rPr>
                <w:b/>
              </w:rPr>
              <w:t>Restriction:</w:t>
            </w:r>
          </w:p>
          <w:p w14:paraId="45885BAA" w14:textId="77777777" w:rsidR="0050551A" w:rsidRPr="00193BC1" w:rsidRDefault="0050551A" w:rsidP="009C6858">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50551A" w:rsidRPr="00193BC1" w14:paraId="0E26C33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0C5B792" w14:textId="77777777" w:rsidR="0050551A" w:rsidRPr="00193BC1" w:rsidRDefault="0050551A" w:rsidP="009C6858">
            <w:pPr>
              <w:pStyle w:val="TableText0"/>
              <w:keepNext w:val="0"/>
            </w:pPr>
            <w:r w:rsidRPr="00193BC1">
              <w:rPr>
                <w:b/>
              </w:rPr>
              <w:t>Severity:</w:t>
            </w:r>
          </w:p>
          <w:p w14:paraId="4C204C95" w14:textId="77777777" w:rsidR="0050551A" w:rsidRPr="00193BC1" w:rsidRDefault="0050551A" w:rsidP="009C6858">
            <w:pPr>
              <w:pStyle w:val="TableText0"/>
              <w:keepNext w:val="0"/>
              <w:rPr>
                <w:i/>
              </w:rPr>
            </w:pPr>
            <w:r w:rsidRPr="00193BC1">
              <w:rPr>
                <w:i/>
              </w:rPr>
              <w:t>Uncontrolled severe</w:t>
            </w:r>
          </w:p>
        </w:tc>
      </w:tr>
      <w:tr w:rsidR="0050551A" w:rsidRPr="00193BC1" w14:paraId="594CBB3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01C4C69" w14:textId="77777777" w:rsidR="0050551A" w:rsidRPr="00193BC1" w:rsidRDefault="0050551A" w:rsidP="009C6858">
            <w:pPr>
              <w:pStyle w:val="TableText0"/>
              <w:keepNext w:val="0"/>
            </w:pPr>
            <w:r w:rsidRPr="00193BC1">
              <w:rPr>
                <w:b/>
              </w:rPr>
              <w:t>Condition:</w:t>
            </w:r>
          </w:p>
          <w:p w14:paraId="58ABFE6F" w14:textId="77777777" w:rsidR="0050551A" w:rsidRPr="00193BC1" w:rsidRDefault="0050551A" w:rsidP="009C6858">
            <w:pPr>
              <w:pStyle w:val="TableText0"/>
              <w:keepNext w:val="0"/>
              <w:rPr>
                <w:i/>
              </w:rPr>
            </w:pPr>
            <w:r w:rsidRPr="00193BC1">
              <w:rPr>
                <w:rFonts w:eastAsiaTheme="minorHAnsi"/>
                <w:i/>
                <w:iCs/>
              </w:rPr>
              <w:t>eosinophilic or allergic asthma</w:t>
            </w:r>
          </w:p>
        </w:tc>
      </w:tr>
      <w:tr w:rsidR="0050551A" w:rsidRPr="00193BC1" w14:paraId="0F121E9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FB65157" w14:textId="77777777" w:rsidR="0050551A" w:rsidRPr="00193BC1" w:rsidRDefault="0050551A" w:rsidP="009C6858">
            <w:pPr>
              <w:pStyle w:val="TableText0"/>
              <w:keepNext w:val="0"/>
            </w:pPr>
            <w:r w:rsidRPr="00193BC1">
              <w:rPr>
                <w:b/>
              </w:rPr>
              <w:t>PBS Indication:</w:t>
            </w:r>
          </w:p>
          <w:p w14:paraId="405B7130" w14:textId="77777777" w:rsidR="0050551A" w:rsidRPr="00193BC1" w:rsidRDefault="0050551A" w:rsidP="009C6858">
            <w:pPr>
              <w:pStyle w:val="TableText0"/>
              <w:keepNext w:val="0"/>
            </w:pPr>
            <w:r w:rsidRPr="00193BC1">
              <w:t xml:space="preserve">Uncontrolled severe </w:t>
            </w:r>
            <w:r w:rsidRPr="00193BC1">
              <w:rPr>
                <w:strike/>
              </w:rPr>
              <w:t>type 2</w:t>
            </w:r>
            <w:r w:rsidRPr="00193BC1">
              <w:t xml:space="preserve">  </w:t>
            </w:r>
            <w:r w:rsidRPr="00193BC1">
              <w:rPr>
                <w:rFonts w:eastAsiaTheme="minorHAnsi"/>
                <w:i/>
                <w:iCs/>
              </w:rPr>
              <w:t xml:space="preserve">eosinophilic or allergic </w:t>
            </w:r>
            <w:r w:rsidRPr="00193BC1">
              <w:t xml:space="preserve">asthma </w:t>
            </w:r>
            <w:r w:rsidRPr="00193BC1">
              <w:rPr>
                <w:strike/>
              </w:rPr>
              <w:t>with OCS dependence</w:t>
            </w:r>
          </w:p>
        </w:tc>
      </w:tr>
      <w:tr w:rsidR="0050551A" w:rsidRPr="00193BC1" w14:paraId="300E7E0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52BA29A" w14:textId="77777777" w:rsidR="0050551A" w:rsidRPr="00193BC1" w:rsidRDefault="0050551A" w:rsidP="009C6858">
            <w:pPr>
              <w:pStyle w:val="TableText0"/>
              <w:keepNext w:val="0"/>
            </w:pPr>
            <w:r w:rsidRPr="00193BC1">
              <w:rPr>
                <w:b/>
              </w:rPr>
              <w:t>Treatment phase:</w:t>
            </w:r>
          </w:p>
          <w:p w14:paraId="3609C670" w14:textId="77777777" w:rsidR="0050551A" w:rsidRPr="00193BC1" w:rsidRDefault="0050551A" w:rsidP="009C6858">
            <w:pPr>
              <w:pStyle w:val="TableText0"/>
              <w:keepNext w:val="0"/>
            </w:pPr>
            <w:r w:rsidRPr="00193BC1">
              <w:t xml:space="preserve">Initial treatment 1 – </w:t>
            </w:r>
            <w:r w:rsidRPr="00193BC1">
              <w:rPr>
                <w:i/>
              </w:rPr>
              <w:t>(</w:t>
            </w:r>
            <w:r w:rsidRPr="00193BC1">
              <w:t xml:space="preserve">New patients; or </w:t>
            </w:r>
            <w:r w:rsidRPr="00193BC1">
              <w:rPr>
                <w:i/>
              </w:rPr>
              <w:t xml:space="preserve">Recommencement of </w:t>
            </w:r>
            <w:r w:rsidRPr="00193BC1">
              <w:rPr>
                <w:strike/>
              </w:rPr>
              <w:t>patients recommencing</w:t>
            </w:r>
            <w:r w:rsidRPr="00193BC1">
              <w:t xml:space="preserve"> treatment </w:t>
            </w:r>
            <w:r w:rsidRPr="00193BC1">
              <w:rPr>
                <w:i/>
              </w:rPr>
              <w:t xml:space="preserve">in a new treatment cycle following a break in PBS subsidised biological medicine therapy) </w:t>
            </w:r>
            <w:r w:rsidRPr="00193BC1">
              <w:rPr>
                <w:strike/>
              </w:rPr>
              <w:t>treatment with an asthma biologic after a break of more than 12 months, with OCS dependence</w:t>
            </w:r>
          </w:p>
        </w:tc>
      </w:tr>
      <w:tr w:rsidR="0050551A" w:rsidRPr="00193BC1" w14:paraId="6C03242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7055CA9" w14:textId="77777777" w:rsidR="0050551A" w:rsidRPr="00193BC1" w:rsidRDefault="0050551A" w:rsidP="009C6858">
            <w:pPr>
              <w:pStyle w:val="TableText0"/>
              <w:keepNext w:val="0"/>
              <w:rPr>
                <w:rFonts w:cs="Arial"/>
              </w:rPr>
            </w:pPr>
            <w:r w:rsidRPr="00193BC1">
              <w:rPr>
                <w:b/>
              </w:rPr>
              <w:t>Treatment criteria:</w:t>
            </w:r>
          </w:p>
          <w:p w14:paraId="63C086E0" w14:textId="77777777" w:rsidR="0050551A" w:rsidRPr="00193BC1" w:rsidRDefault="0050551A" w:rsidP="009C6858">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50551A" w:rsidRPr="00193BC1" w14:paraId="3512581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F8ED1C5" w14:textId="77777777" w:rsidR="0050551A" w:rsidRPr="00193BC1" w:rsidRDefault="0050551A" w:rsidP="009C6858">
            <w:pPr>
              <w:pStyle w:val="TableText0"/>
              <w:keepNext w:val="0"/>
              <w:rPr>
                <w:b/>
              </w:rPr>
            </w:pPr>
            <w:r w:rsidRPr="00193BC1">
              <w:rPr>
                <w:b/>
              </w:rPr>
              <w:t>AND</w:t>
            </w:r>
          </w:p>
        </w:tc>
      </w:tr>
      <w:tr w:rsidR="0050551A" w:rsidRPr="00193BC1" w14:paraId="401BD97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BCA6F48" w14:textId="77777777" w:rsidR="0050551A" w:rsidRPr="00193BC1" w:rsidRDefault="0050551A" w:rsidP="009C6858">
            <w:pPr>
              <w:pStyle w:val="TableText0"/>
              <w:keepNext w:val="0"/>
              <w:rPr>
                <w:b/>
              </w:rPr>
            </w:pPr>
            <w:r w:rsidRPr="00193BC1">
              <w:rPr>
                <w:b/>
              </w:rPr>
              <w:t>Clinical criteria:</w:t>
            </w:r>
          </w:p>
        </w:tc>
      </w:tr>
      <w:tr w:rsidR="0050551A" w:rsidRPr="00193BC1" w14:paraId="5C05C52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772D944" w14:textId="77777777" w:rsidR="0050551A" w:rsidRPr="00193BC1" w:rsidRDefault="0050551A" w:rsidP="009C6858">
            <w:pPr>
              <w:pStyle w:val="TableText0"/>
              <w:keepNext w:val="0"/>
            </w:pPr>
            <w:r w:rsidRPr="00193BC1">
              <w:t>Patient must be under the care of the same physician for at least 6 months; or</w:t>
            </w:r>
          </w:p>
        </w:tc>
      </w:tr>
      <w:tr w:rsidR="0050551A" w:rsidRPr="00193BC1" w14:paraId="4B5E167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69D6B0" w14:textId="77777777" w:rsidR="0050551A" w:rsidRPr="00193BC1" w:rsidRDefault="0050551A" w:rsidP="009C6858">
            <w:pPr>
              <w:pStyle w:val="TableText0"/>
              <w:keepNext w:val="0"/>
            </w:pPr>
            <w:r w:rsidRPr="00193BC1">
              <w:t>Patient must have been diagnosed by a multidisciplinary severe asthma clinic team.</w:t>
            </w:r>
          </w:p>
        </w:tc>
      </w:tr>
      <w:tr w:rsidR="0050551A" w:rsidRPr="00193BC1" w14:paraId="3FC89A4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391E9F0" w14:textId="77777777" w:rsidR="0050551A" w:rsidRPr="00193BC1" w:rsidRDefault="0050551A" w:rsidP="009C6858">
            <w:pPr>
              <w:pStyle w:val="TableText0"/>
              <w:keepNext w:val="0"/>
              <w:rPr>
                <w:b/>
              </w:rPr>
            </w:pPr>
            <w:r w:rsidRPr="00193BC1">
              <w:rPr>
                <w:b/>
              </w:rPr>
              <w:t>AND</w:t>
            </w:r>
          </w:p>
        </w:tc>
      </w:tr>
      <w:tr w:rsidR="0050551A" w:rsidRPr="00193BC1" w14:paraId="18B8765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DD3FDB3" w14:textId="77777777" w:rsidR="0050551A" w:rsidRPr="00193BC1" w:rsidRDefault="0050551A" w:rsidP="009C6858">
            <w:pPr>
              <w:pStyle w:val="TableText0"/>
              <w:keepNext w:val="0"/>
              <w:rPr>
                <w:rFonts w:cs="Arial"/>
              </w:rPr>
            </w:pPr>
            <w:r w:rsidRPr="00193BC1">
              <w:rPr>
                <w:b/>
              </w:rPr>
              <w:t>Clinical criteria:</w:t>
            </w:r>
          </w:p>
        </w:tc>
      </w:tr>
      <w:tr w:rsidR="0050551A" w:rsidRPr="00193BC1" w14:paraId="523CFA3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7A00DC3" w14:textId="77777777" w:rsidR="0050551A" w:rsidRPr="00193BC1" w:rsidRDefault="0050551A" w:rsidP="009C6858">
            <w:pPr>
              <w:pStyle w:val="TableText0"/>
              <w:keepNext w:val="0"/>
              <w:rPr>
                <w:rFonts w:cs="Arial"/>
              </w:rPr>
            </w:pPr>
            <w:r w:rsidRPr="00193BC1">
              <w:rPr>
                <w:rFonts w:cs="Arial"/>
              </w:rPr>
              <w:t>Patient must not have received PBS-subsidised treatment with a biological medicine for severe asthma; or</w:t>
            </w:r>
          </w:p>
        </w:tc>
      </w:tr>
      <w:tr w:rsidR="0050551A" w:rsidRPr="00193BC1" w14:paraId="2790CC9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857B393" w14:textId="77777777" w:rsidR="0050551A" w:rsidRPr="00193BC1" w:rsidRDefault="0050551A" w:rsidP="009C6858">
            <w:pPr>
              <w:pStyle w:val="TableText0"/>
              <w:keepNext w:val="0"/>
              <w:rPr>
                <w:rFonts w:cs="Arial"/>
              </w:rPr>
            </w:pPr>
            <w:r w:rsidRPr="00193BC1">
              <w:rPr>
                <w:rFonts w:cs="Arial"/>
              </w:rPr>
              <w:t>Patient must have had a break in treatment from the most recently approved PBS-subsidised biological medicine for severe asthma.</w:t>
            </w:r>
          </w:p>
        </w:tc>
      </w:tr>
      <w:tr w:rsidR="0050551A" w:rsidRPr="00193BC1" w14:paraId="6AD409E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905B3EA" w14:textId="77777777" w:rsidR="0050551A" w:rsidRPr="00193BC1" w:rsidRDefault="0050551A" w:rsidP="009C6858">
            <w:pPr>
              <w:pStyle w:val="TableText0"/>
              <w:keepNext w:val="0"/>
              <w:rPr>
                <w:rFonts w:cs="Arial"/>
              </w:rPr>
            </w:pPr>
            <w:r w:rsidRPr="00193BC1">
              <w:rPr>
                <w:b/>
              </w:rPr>
              <w:t>AND</w:t>
            </w:r>
          </w:p>
        </w:tc>
      </w:tr>
      <w:tr w:rsidR="0050551A" w:rsidRPr="00193BC1" w14:paraId="23FC6C3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38C99FD" w14:textId="77777777" w:rsidR="0050551A" w:rsidRPr="00193BC1" w:rsidRDefault="0050551A" w:rsidP="009C6858">
            <w:pPr>
              <w:pStyle w:val="TableText0"/>
              <w:keepNext w:val="0"/>
              <w:rPr>
                <w:b/>
              </w:rPr>
            </w:pPr>
            <w:r w:rsidRPr="00193BC1">
              <w:rPr>
                <w:b/>
              </w:rPr>
              <w:t>Clinical criteria:</w:t>
            </w:r>
          </w:p>
        </w:tc>
      </w:tr>
      <w:tr w:rsidR="0050551A" w:rsidRPr="00193BC1" w14:paraId="5B3F873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5D0EDCD" w14:textId="77777777" w:rsidR="0050551A" w:rsidRPr="00193BC1" w:rsidRDefault="0050551A" w:rsidP="009C6858">
            <w:pPr>
              <w:pStyle w:val="TableText0"/>
              <w:keepNext w:val="0"/>
              <w:rPr>
                <w:b/>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50551A" w:rsidRPr="00193BC1" w14:paraId="3C68BF6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F326C12" w14:textId="77777777" w:rsidR="0050551A" w:rsidRPr="00193BC1" w:rsidRDefault="0050551A" w:rsidP="009C6858">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50551A" w:rsidRPr="00193BC1" w14:paraId="5466DB2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983126F" w14:textId="77777777" w:rsidR="0050551A" w:rsidRPr="00193BC1" w:rsidRDefault="0050551A" w:rsidP="009C6858">
            <w:pPr>
              <w:pStyle w:val="TableText0"/>
              <w:keepNext w:val="0"/>
              <w:rPr>
                <w:rFonts w:cs="Arial"/>
              </w:rPr>
            </w:pPr>
            <w:r w:rsidRPr="00193BC1">
              <w:rPr>
                <w:b/>
              </w:rPr>
              <w:t>AND</w:t>
            </w:r>
          </w:p>
        </w:tc>
      </w:tr>
      <w:tr w:rsidR="0050551A" w:rsidRPr="00193BC1" w14:paraId="53B9F89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8F2552B" w14:textId="77777777" w:rsidR="0050551A" w:rsidRPr="00193BC1" w:rsidRDefault="0050551A" w:rsidP="009C6858">
            <w:pPr>
              <w:pStyle w:val="TableText0"/>
              <w:keepNext w:val="0"/>
              <w:rPr>
                <w:rFonts w:cs="Arial"/>
              </w:rPr>
            </w:pPr>
            <w:r w:rsidRPr="00193BC1">
              <w:rPr>
                <w:b/>
              </w:rPr>
              <w:t>Clinical criteria:</w:t>
            </w:r>
          </w:p>
        </w:tc>
      </w:tr>
      <w:tr w:rsidR="0050551A" w:rsidRPr="00193BC1" w14:paraId="6988572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0835609" w14:textId="77777777" w:rsidR="0050551A" w:rsidRPr="00193BC1" w:rsidRDefault="0050551A" w:rsidP="009C6858">
            <w:pPr>
              <w:pStyle w:val="TableText0"/>
              <w:keepNext w:val="0"/>
              <w:rPr>
                <w:rFonts w:cs="Arial"/>
              </w:rPr>
            </w:pPr>
            <w:r w:rsidRPr="00193BC1">
              <w:rPr>
                <w:rFonts w:cs="Arial"/>
              </w:rPr>
              <w:lastRenderedPageBreak/>
              <w:t>Patient must have a duration of asthma of at least 1 year.</w:t>
            </w:r>
          </w:p>
        </w:tc>
      </w:tr>
      <w:tr w:rsidR="0050551A" w:rsidRPr="00193BC1" w14:paraId="522FE9B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E857D98" w14:textId="77777777" w:rsidR="0050551A" w:rsidRPr="00193BC1" w:rsidRDefault="0050551A" w:rsidP="009C6858">
            <w:pPr>
              <w:pStyle w:val="TableText0"/>
              <w:keepNext w:val="0"/>
              <w:rPr>
                <w:rFonts w:cs="Arial"/>
              </w:rPr>
            </w:pPr>
            <w:r w:rsidRPr="00193BC1">
              <w:rPr>
                <w:b/>
              </w:rPr>
              <w:t>AND</w:t>
            </w:r>
          </w:p>
        </w:tc>
      </w:tr>
      <w:tr w:rsidR="0050551A" w:rsidRPr="00193BC1" w14:paraId="0A57D4E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324EAFE" w14:textId="77777777" w:rsidR="0050551A" w:rsidRPr="00193BC1" w:rsidRDefault="0050551A" w:rsidP="009C6858">
            <w:pPr>
              <w:pStyle w:val="TableText0"/>
              <w:keepNext w:val="0"/>
              <w:rPr>
                <w:rFonts w:cs="Arial"/>
              </w:rPr>
            </w:pPr>
            <w:r w:rsidRPr="00193BC1">
              <w:rPr>
                <w:b/>
              </w:rPr>
              <w:t>Clinical criteria:</w:t>
            </w:r>
          </w:p>
        </w:tc>
      </w:tr>
      <w:tr w:rsidR="0050551A" w:rsidRPr="00193BC1" w14:paraId="0F8D1E8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68ECE4C" w14:textId="77777777" w:rsidR="0050551A" w:rsidRPr="00193BC1" w:rsidRDefault="0050551A" w:rsidP="009C6858">
            <w:pPr>
              <w:pStyle w:val="TableText0"/>
              <w:keepNext w:val="0"/>
              <w:rPr>
                <w:i/>
              </w:rPr>
            </w:pPr>
            <w:r w:rsidRPr="00193BC1">
              <w:rPr>
                <w:i/>
              </w:rPr>
              <w:t xml:space="preserve">Patient must have been receiving regular maintenance oral corticosteroids (OCS) in the last 6 months with a stable daily OCS dose of 5 to 35 mg/day of prednisolone or equivalent over the 4 weeks prior to treatment initiation. </w:t>
            </w:r>
          </w:p>
        </w:tc>
      </w:tr>
      <w:tr w:rsidR="0050551A" w:rsidRPr="00193BC1" w14:paraId="3576F0F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3D9614F" w14:textId="77777777" w:rsidR="0050551A" w:rsidRPr="00193BC1" w:rsidRDefault="0050551A" w:rsidP="009C6858">
            <w:pPr>
              <w:pStyle w:val="TableText0"/>
              <w:keepNext w:val="0"/>
              <w:rPr>
                <w:b/>
              </w:rPr>
            </w:pPr>
            <w:r w:rsidRPr="00193BC1">
              <w:rPr>
                <w:b/>
              </w:rPr>
              <w:t>AND</w:t>
            </w:r>
          </w:p>
        </w:tc>
      </w:tr>
      <w:tr w:rsidR="0050551A" w:rsidRPr="00193BC1" w14:paraId="5A30F73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F07D2DB" w14:textId="77777777" w:rsidR="0050551A" w:rsidRPr="00193BC1" w:rsidRDefault="0050551A" w:rsidP="009C6858">
            <w:pPr>
              <w:pStyle w:val="TableText0"/>
              <w:keepNext w:val="0"/>
              <w:rPr>
                <w:rFonts w:cs="Arial"/>
              </w:rPr>
            </w:pPr>
            <w:r w:rsidRPr="00193BC1">
              <w:rPr>
                <w:rFonts w:cs="Arial"/>
              </w:rPr>
              <w:t>Patient must have blood eosinophil count greater than or equal to 150 cells per microlitre while receiving treatment with oral corticosteroid in the last 12 months, or</w:t>
            </w:r>
          </w:p>
        </w:tc>
      </w:tr>
      <w:tr w:rsidR="0050551A" w:rsidRPr="00193BC1" w14:paraId="3725755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38818A0" w14:textId="77777777" w:rsidR="0050551A" w:rsidRPr="00193BC1" w:rsidRDefault="0050551A" w:rsidP="009C6858">
            <w:pPr>
              <w:pStyle w:val="TableText0"/>
              <w:keepNext w:val="0"/>
              <w:rPr>
                <w:rFonts w:cs="Arial"/>
              </w:rPr>
            </w:pPr>
            <w:r w:rsidRPr="00193BC1">
              <w:rPr>
                <w:rFonts w:cs="Arial"/>
              </w:rPr>
              <w:t>Patient must have total serum human immunoglobulin E greater than or equal to 30 IU/mL with past or current evidence of atopy, documented by skin prick testing or an in vitro measure of specific IgE, that is no more than 1 year old.</w:t>
            </w:r>
          </w:p>
        </w:tc>
      </w:tr>
      <w:tr w:rsidR="0050551A" w:rsidRPr="00193BC1" w14:paraId="03DCE1D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3133B76"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11EDE2E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BD05230" w14:textId="77777777" w:rsidR="0050551A" w:rsidRPr="00193BC1" w:rsidRDefault="0050551A" w:rsidP="009C6858">
            <w:pPr>
              <w:pStyle w:val="TableText0"/>
              <w:keepNext w:val="0"/>
              <w:rPr>
                <w:rFonts w:cs="Arial"/>
              </w:rPr>
            </w:pPr>
            <w:r w:rsidRPr="00193BC1">
              <w:rPr>
                <w:b/>
              </w:rPr>
              <w:t>Clinical criteria:</w:t>
            </w:r>
          </w:p>
        </w:tc>
      </w:tr>
      <w:tr w:rsidR="0050551A" w:rsidRPr="00193BC1" w14:paraId="690EB4B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E26FEED" w14:textId="77777777" w:rsidR="0050551A" w:rsidRPr="00193BC1" w:rsidRDefault="0050551A" w:rsidP="009C6858">
            <w:pPr>
              <w:pStyle w:val="TableText0"/>
              <w:keepNext w:val="0"/>
              <w:rPr>
                <w:rFonts w:cs="Arial"/>
              </w:rPr>
            </w:pPr>
            <w:r w:rsidRPr="00193BC1">
              <w:rPr>
                <w:rFonts w:cs="Arial"/>
              </w:rPr>
              <w:t>Patient must have failed to achieve adequate control with optimised asthma therapy, despite formal assessment of and adherence to correct inhaler technique, which has been documented.</w:t>
            </w:r>
          </w:p>
        </w:tc>
      </w:tr>
      <w:tr w:rsidR="0050551A" w:rsidRPr="00193BC1" w14:paraId="1F0AFBB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437E2F6"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0F4C383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36686C0" w14:textId="77777777" w:rsidR="0050551A" w:rsidRPr="00193BC1" w:rsidRDefault="0050551A" w:rsidP="009C6858">
            <w:pPr>
              <w:pStyle w:val="TableText0"/>
              <w:keepNext w:val="0"/>
              <w:rPr>
                <w:rFonts w:cs="Arial"/>
              </w:rPr>
            </w:pPr>
            <w:r w:rsidRPr="00193BC1">
              <w:rPr>
                <w:b/>
              </w:rPr>
              <w:t>Clinical criteria:</w:t>
            </w:r>
          </w:p>
        </w:tc>
      </w:tr>
      <w:tr w:rsidR="0050551A" w:rsidRPr="00193BC1" w14:paraId="404B109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A163062" w14:textId="77777777" w:rsidR="0050551A" w:rsidRPr="00193BC1" w:rsidRDefault="0050551A" w:rsidP="009C6858">
            <w:pPr>
              <w:pStyle w:val="TableText0"/>
              <w:keepNext w:val="0"/>
              <w:rPr>
                <w:rFonts w:cs="Arial"/>
              </w:rPr>
            </w:pPr>
            <w:r w:rsidRPr="00193BC1">
              <w:rPr>
                <w:rFonts w:cs="Arial"/>
              </w:rPr>
              <w:t>Patient must not receive more than 32 weeks of treatment under this restriction.</w:t>
            </w:r>
          </w:p>
        </w:tc>
      </w:tr>
      <w:tr w:rsidR="0050551A" w:rsidRPr="00193BC1" w14:paraId="1627A3D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AC86DC3" w14:textId="77777777" w:rsidR="0050551A" w:rsidRPr="00193BC1" w:rsidRDefault="0050551A" w:rsidP="009C6858">
            <w:pPr>
              <w:pStyle w:val="TableText0"/>
              <w:keepNext w:val="0"/>
              <w:rPr>
                <w:rFonts w:cs="Arial"/>
                <w:b/>
              </w:rPr>
            </w:pPr>
            <w:r w:rsidRPr="00193BC1">
              <w:rPr>
                <w:rFonts w:cs="Arial"/>
                <w:b/>
              </w:rPr>
              <w:t>AND</w:t>
            </w:r>
          </w:p>
        </w:tc>
      </w:tr>
      <w:tr w:rsidR="0050551A" w:rsidRPr="00193BC1" w14:paraId="46AA5FF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9C43177" w14:textId="77777777" w:rsidR="0050551A" w:rsidRPr="00193BC1" w:rsidRDefault="0050551A" w:rsidP="009C6858">
            <w:pPr>
              <w:pStyle w:val="TableText0"/>
              <w:keepNext w:val="0"/>
              <w:rPr>
                <w:rFonts w:cs="Arial"/>
              </w:rPr>
            </w:pPr>
            <w:r w:rsidRPr="00193BC1">
              <w:rPr>
                <w:b/>
              </w:rPr>
              <w:t>Clinical criteria:</w:t>
            </w:r>
          </w:p>
        </w:tc>
      </w:tr>
      <w:tr w:rsidR="0050551A" w:rsidRPr="00193BC1" w14:paraId="1192240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130A0B6" w14:textId="77777777" w:rsidR="0050551A" w:rsidRPr="00193BC1" w:rsidRDefault="0050551A" w:rsidP="009C6858">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50551A" w:rsidRPr="00193BC1" w14:paraId="54BE07C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E7C3BEA" w14:textId="77777777" w:rsidR="0050551A" w:rsidRPr="00193BC1" w:rsidRDefault="0050551A" w:rsidP="009C6858">
            <w:pPr>
              <w:pStyle w:val="TableText0"/>
              <w:keepNext w:val="0"/>
              <w:rPr>
                <w:rFonts w:cs="Arial"/>
              </w:rPr>
            </w:pPr>
            <w:r w:rsidRPr="00193BC1">
              <w:rPr>
                <w:b/>
              </w:rPr>
              <w:t>Population criteria:</w:t>
            </w:r>
          </w:p>
          <w:p w14:paraId="6F135C04" w14:textId="77777777" w:rsidR="0050551A" w:rsidRPr="00193BC1" w:rsidRDefault="0050551A" w:rsidP="009C6858">
            <w:pPr>
              <w:pStyle w:val="TableText0"/>
              <w:keepNext w:val="0"/>
              <w:rPr>
                <w:rFonts w:cs="Arial"/>
              </w:rPr>
            </w:pPr>
            <w:r w:rsidRPr="00193BC1">
              <w:rPr>
                <w:rFonts w:cs="Arial"/>
              </w:rPr>
              <w:t>Patients must be aged 12 years or older.</w:t>
            </w:r>
          </w:p>
        </w:tc>
      </w:tr>
    </w:tbl>
    <w:p w14:paraId="193C4C29" w14:textId="77777777" w:rsidR="00D42D5C" w:rsidRPr="00193BC1" w:rsidRDefault="00D42D5C" w:rsidP="00D42D5C">
      <w:pPr>
        <w:pStyle w:val="TableFigureFooter"/>
      </w:pPr>
    </w:p>
    <w:tbl>
      <w:tblPr>
        <w:tblW w:w="5000" w:type="pct"/>
        <w:tblLook w:val="0000" w:firstRow="0" w:lastRow="0" w:firstColumn="0" w:lastColumn="0" w:noHBand="0" w:noVBand="0"/>
      </w:tblPr>
      <w:tblGrid>
        <w:gridCol w:w="9017"/>
      </w:tblGrid>
      <w:tr w:rsidR="0050551A" w:rsidRPr="00193BC1" w14:paraId="49A1636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9427A97" w14:textId="77777777" w:rsidR="0050551A" w:rsidRPr="00193BC1" w:rsidRDefault="0050551A" w:rsidP="009C6858">
            <w:pPr>
              <w:pStyle w:val="TableText0"/>
              <w:keepNext w:val="0"/>
            </w:pPr>
            <w:r w:rsidRPr="00193BC1">
              <w:rPr>
                <w:b/>
              </w:rPr>
              <w:t>Category / Program:</w:t>
            </w:r>
          </w:p>
          <w:p w14:paraId="4665C773" w14:textId="77777777" w:rsidR="0050551A" w:rsidRPr="00193BC1" w:rsidRDefault="0050551A" w:rsidP="009C6858">
            <w:pPr>
              <w:pStyle w:val="TableText0"/>
              <w:keepNext w:val="0"/>
            </w:pPr>
            <w:r w:rsidRPr="00193BC1">
              <w:t>Section 100 – Highly Specialised Drugs Program – public and private</w:t>
            </w:r>
          </w:p>
        </w:tc>
      </w:tr>
      <w:tr w:rsidR="0050551A" w:rsidRPr="00193BC1" w14:paraId="5E11263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F6EBA49" w14:textId="77777777" w:rsidR="0050551A" w:rsidRPr="00193BC1" w:rsidRDefault="0050551A" w:rsidP="009C6858">
            <w:pPr>
              <w:pStyle w:val="TableText0"/>
              <w:keepNext w:val="0"/>
            </w:pPr>
            <w:r w:rsidRPr="00193BC1">
              <w:rPr>
                <w:b/>
              </w:rPr>
              <w:t>Prescriber type:</w:t>
            </w:r>
          </w:p>
          <w:p w14:paraId="65ED5CE2" w14:textId="77777777" w:rsidR="0050551A" w:rsidRPr="00193BC1" w:rsidRDefault="0050551A" w:rsidP="009C6858">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50551A" w:rsidRPr="00193BC1" w14:paraId="5F2B9D6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2F2E258" w14:textId="77777777" w:rsidR="0050551A" w:rsidRPr="00193BC1" w:rsidRDefault="0050551A" w:rsidP="009C6858">
            <w:pPr>
              <w:pStyle w:val="TableText0"/>
              <w:keepNext w:val="0"/>
            </w:pPr>
            <w:r w:rsidRPr="00193BC1">
              <w:rPr>
                <w:b/>
              </w:rPr>
              <w:t>Restriction:</w:t>
            </w:r>
          </w:p>
          <w:p w14:paraId="4AE21AD1" w14:textId="77777777" w:rsidR="0050551A" w:rsidRPr="00193BC1" w:rsidRDefault="0050551A" w:rsidP="009C6858">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50551A" w:rsidRPr="00193BC1" w14:paraId="6D56DF6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741DA86" w14:textId="77777777" w:rsidR="0050551A" w:rsidRPr="00193BC1" w:rsidRDefault="0050551A" w:rsidP="009C6858">
            <w:pPr>
              <w:pStyle w:val="TableText0"/>
              <w:keepNext w:val="0"/>
            </w:pPr>
            <w:r w:rsidRPr="00193BC1">
              <w:rPr>
                <w:b/>
              </w:rPr>
              <w:t>Severity:</w:t>
            </w:r>
          </w:p>
          <w:p w14:paraId="24690E50" w14:textId="77777777" w:rsidR="0050551A" w:rsidRPr="00193BC1" w:rsidRDefault="0050551A" w:rsidP="009C6858">
            <w:pPr>
              <w:pStyle w:val="TableText0"/>
              <w:keepNext w:val="0"/>
              <w:rPr>
                <w:i/>
              </w:rPr>
            </w:pPr>
            <w:r w:rsidRPr="00193BC1">
              <w:rPr>
                <w:i/>
              </w:rPr>
              <w:t>Uncontrolled severe</w:t>
            </w:r>
          </w:p>
        </w:tc>
      </w:tr>
      <w:tr w:rsidR="0050551A" w:rsidRPr="00193BC1" w14:paraId="26B6AF5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8C5C2DF" w14:textId="77777777" w:rsidR="0050551A" w:rsidRPr="00193BC1" w:rsidRDefault="0050551A" w:rsidP="009C6858">
            <w:pPr>
              <w:pStyle w:val="TableText0"/>
              <w:keepNext w:val="0"/>
            </w:pPr>
            <w:r w:rsidRPr="00193BC1">
              <w:rPr>
                <w:b/>
              </w:rPr>
              <w:t>Condition:</w:t>
            </w:r>
          </w:p>
          <w:p w14:paraId="15D1A514" w14:textId="77777777" w:rsidR="0050551A" w:rsidRPr="00193BC1" w:rsidRDefault="0050551A" w:rsidP="009C6858">
            <w:pPr>
              <w:pStyle w:val="TableText0"/>
              <w:keepNext w:val="0"/>
              <w:rPr>
                <w:i/>
              </w:rPr>
            </w:pPr>
            <w:r w:rsidRPr="00193BC1">
              <w:rPr>
                <w:rFonts w:eastAsiaTheme="minorHAnsi"/>
                <w:i/>
                <w:iCs/>
              </w:rPr>
              <w:t>eosinophilic or allergic asthma</w:t>
            </w:r>
          </w:p>
        </w:tc>
      </w:tr>
      <w:tr w:rsidR="0050551A" w:rsidRPr="00193BC1" w14:paraId="24796DB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9720DA6" w14:textId="77777777" w:rsidR="0050551A" w:rsidRPr="00193BC1" w:rsidRDefault="0050551A" w:rsidP="009C6858">
            <w:pPr>
              <w:pStyle w:val="TableText0"/>
              <w:keepNext w:val="0"/>
            </w:pPr>
            <w:r w:rsidRPr="00193BC1">
              <w:rPr>
                <w:b/>
              </w:rPr>
              <w:t>PBS Indication:</w:t>
            </w:r>
          </w:p>
          <w:p w14:paraId="3782801B" w14:textId="77777777" w:rsidR="0050551A" w:rsidRPr="00193BC1" w:rsidRDefault="0050551A" w:rsidP="009C6858">
            <w:pPr>
              <w:pStyle w:val="TableText0"/>
              <w:keepNext w:val="0"/>
            </w:pPr>
            <w:r w:rsidRPr="00193BC1">
              <w:t xml:space="preserve">Uncontrolled severe </w:t>
            </w:r>
            <w:r w:rsidRPr="00193BC1">
              <w:rPr>
                <w:strike/>
              </w:rPr>
              <w:t>type 2</w:t>
            </w:r>
            <w:r w:rsidRPr="00193BC1">
              <w:t xml:space="preserve"> </w:t>
            </w:r>
            <w:r w:rsidRPr="00193BC1">
              <w:rPr>
                <w:rFonts w:eastAsiaTheme="minorHAnsi"/>
                <w:i/>
                <w:iCs/>
              </w:rPr>
              <w:t xml:space="preserve">eosinophilic or allergic </w:t>
            </w:r>
            <w:r w:rsidRPr="00193BC1">
              <w:t xml:space="preserve">asthma </w:t>
            </w:r>
            <w:r w:rsidRPr="00193BC1">
              <w:rPr>
                <w:strike/>
              </w:rPr>
              <w:t>with OCS dependence</w:t>
            </w:r>
          </w:p>
        </w:tc>
      </w:tr>
      <w:tr w:rsidR="0050551A" w:rsidRPr="00193BC1" w14:paraId="57F9BDB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173D502" w14:textId="77777777" w:rsidR="0050551A" w:rsidRPr="00193BC1" w:rsidRDefault="0050551A" w:rsidP="009C6858">
            <w:pPr>
              <w:pStyle w:val="TableText0"/>
              <w:keepNext w:val="0"/>
            </w:pPr>
            <w:r w:rsidRPr="00193BC1">
              <w:rPr>
                <w:b/>
              </w:rPr>
              <w:t>Treatment phase:</w:t>
            </w:r>
          </w:p>
          <w:p w14:paraId="33BF9667" w14:textId="77777777" w:rsidR="0050551A" w:rsidRPr="00193BC1" w:rsidRDefault="0050551A" w:rsidP="009C6858">
            <w:pPr>
              <w:pStyle w:val="TableText0"/>
              <w:keepNext w:val="0"/>
              <w:rPr>
                <w:i/>
              </w:rPr>
            </w:pPr>
            <w:r w:rsidRPr="00193BC1">
              <w:t xml:space="preserve">Initial treatment – Initial 2 </w:t>
            </w:r>
            <w:r w:rsidRPr="00193BC1">
              <w:rPr>
                <w:strike/>
              </w:rPr>
              <w:t xml:space="preserve">(change of treatment or patient recommencing after a break of less than 12 months) </w:t>
            </w:r>
            <w:r w:rsidRPr="00193BC1">
              <w:rPr>
                <w:i/>
              </w:rPr>
              <w:t>(Change of treatment)</w:t>
            </w:r>
          </w:p>
        </w:tc>
      </w:tr>
      <w:tr w:rsidR="0050551A" w:rsidRPr="00193BC1" w14:paraId="6243E62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2F0F113" w14:textId="77777777" w:rsidR="0050551A" w:rsidRPr="00193BC1" w:rsidRDefault="0050551A" w:rsidP="009C6858">
            <w:pPr>
              <w:pStyle w:val="TableText0"/>
              <w:keepNext w:val="0"/>
              <w:rPr>
                <w:rFonts w:cs="Arial"/>
              </w:rPr>
            </w:pPr>
            <w:r w:rsidRPr="00193BC1">
              <w:rPr>
                <w:b/>
              </w:rPr>
              <w:t>Treatment criteria:</w:t>
            </w:r>
          </w:p>
          <w:p w14:paraId="105D3195" w14:textId="77777777" w:rsidR="0050551A" w:rsidRPr="00193BC1" w:rsidRDefault="0050551A" w:rsidP="009C6858">
            <w:pPr>
              <w:pStyle w:val="TableText0"/>
              <w:keepNext w:val="0"/>
            </w:pPr>
            <w:r w:rsidRPr="00193BC1">
              <w:rPr>
                <w:rFonts w:cs="Arial"/>
              </w:rPr>
              <w:t>Must be treated by a respiratory physician, clinical immunologist, allergist or general physician experienced in the management of patients with severe asthma.</w:t>
            </w:r>
          </w:p>
        </w:tc>
      </w:tr>
      <w:tr w:rsidR="0050551A" w:rsidRPr="00193BC1" w14:paraId="040EB3F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1E0B1B7" w14:textId="77777777" w:rsidR="0050551A" w:rsidRPr="00193BC1" w:rsidRDefault="0050551A" w:rsidP="009C6858">
            <w:pPr>
              <w:pStyle w:val="TableText0"/>
              <w:keepNext w:val="0"/>
            </w:pPr>
            <w:r w:rsidRPr="00193BC1">
              <w:rPr>
                <w:b/>
              </w:rPr>
              <w:t>AND</w:t>
            </w:r>
          </w:p>
        </w:tc>
      </w:tr>
      <w:tr w:rsidR="0050551A" w:rsidRPr="00193BC1" w14:paraId="1C241A9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31BCA13" w14:textId="77777777" w:rsidR="0050551A" w:rsidRPr="00193BC1" w:rsidRDefault="0050551A" w:rsidP="009C6858">
            <w:pPr>
              <w:pStyle w:val="TableText0"/>
              <w:keepNext w:val="0"/>
            </w:pPr>
            <w:r w:rsidRPr="00193BC1">
              <w:rPr>
                <w:b/>
              </w:rPr>
              <w:t>Clinical criteria:</w:t>
            </w:r>
          </w:p>
        </w:tc>
      </w:tr>
      <w:tr w:rsidR="0050551A" w:rsidRPr="00193BC1" w14:paraId="5AAF5F8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01CC49C" w14:textId="77777777" w:rsidR="0050551A" w:rsidRPr="00193BC1" w:rsidRDefault="0050551A" w:rsidP="009C6858">
            <w:pPr>
              <w:pStyle w:val="TableText0"/>
              <w:keepNext w:val="0"/>
            </w:pPr>
            <w:r w:rsidRPr="00193BC1">
              <w:t>Patient must be under the care of the same physician for at least 6 months; or</w:t>
            </w:r>
          </w:p>
        </w:tc>
      </w:tr>
      <w:tr w:rsidR="0050551A" w:rsidRPr="00193BC1" w14:paraId="69E34E9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4F08321" w14:textId="77777777" w:rsidR="0050551A" w:rsidRPr="00193BC1" w:rsidRDefault="0050551A" w:rsidP="009C6858">
            <w:pPr>
              <w:pStyle w:val="TableText0"/>
              <w:keepNext w:val="0"/>
            </w:pPr>
            <w:r w:rsidRPr="00193BC1">
              <w:t>Patient must have been diagnosed by a multidisciplinary severe asthma clinic team.</w:t>
            </w:r>
          </w:p>
        </w:tc>
      </w:tr>
      <w:tr w:rsidR="0050551A" w:rsidRPr="00193BC1" w14:paraId="6B3BFAD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04B139B" w14:textId="77777777" w:rsidR="0050551A" w:rsidRPr="00193BC1" w:rsidRDefault="0050551A" w:rsidP="009C6858">
            <w:pPr>
              <w:pStyle w:val="TableText0"/>
              <w:keepNext w:val="0"/>
            </w:pPr>
            <w:r w:rsidRPr="00193BC1">
              <w:rPr>
                <w:b/>
              </w:rPr>
              <w:t>AND</w:t>
            </w:r>
          </w:p>
        </w:tc>
      </w:tr>
      <w:tr w:rsidR="0050551A" w:rsidRPr="00193BC1" w14:paraId="3698244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71332FE" w14:textId="77777777" w:rsidR="0050551A" w:rsidRPr="00193BC1" w:rsidRDefault="0050551A" w:rsidP="009C6858">
            <w:pPr>
              <w:pStyle w:val="TableText0"/>
              <w:keepNext w:val="0"/>
            </w:pPr>
            <w:r w:rsidRPr="00193BC1">
              <w:rPr>
                <w:b/>
              </w:rPr>
              <w:t>Clinical criteria:</w:t>
            </w:r>
          </w:p>
        </w:tc>
      </w:tr>
      <w:tr w:rsidR="0050551A" w:rsidRPr="00193BC1" w14:paraId="1824F8E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5B5525A" w14:textId="77777777" w:rsidR="0050551A" w:rsidRPr="00193BC1" w:rsidRDefault="0050551A" w:rsidP="009C6858">
            <w:pPr>
              <w:pStyle w:val="TableText0"/>
              <w:keepNext w:val="0"/>
            </w:pPr>
            <w:r w:rsidRPr="00193BC1">
              <w:t>Patient must have received prior PBS-subsidised treatment with a biological medicine for severe asthma in this treatment cycle.</w:t>
            </w:r>
          </w:p>
        </w:tc>
      </w:tr>
      <w:tr w:rsidR="0050551A" w:rsidRPr="00193BC1" w14:paraId="47B66D4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D6D5DDA" w14:textId="77777777" w:rsidR="0050551A" w:rsidRPr="00193BC1" w:rsidRDefault="0050551A" w:rsidP="009C6858">
            <w:pPr>
              <w:pStyle w:val="TableText0"/>
              <w:keepNext w:val="0"/>
            </w:pPr>
            <w:r w:rsidRPr="00193BC1">
              <w:rPr>
                <w:b/>
              </w:rPr>
              <w:t>AND</w:t>
            </w:r>
          </w:p>
        </w:tc>
      </w:tr>
      <w:tr w:rsidR="0050551A" w:rsidRPr="00193BC1" w14:paraId="41FDF35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C8B2B03" w14:textId="77777777" w:rsidR="0050551A" w:rsidRPr="00193BC1" w:rsidRDefault="0050551A" w:rsidP="009C6858">
            <w:pPr>
              <w:pStyle w:val="TableText0"/>
              <w:keepNext w:val="0"/>
            </w:pPr>
            <w:r w:rsidRPr="00193BC1">
              <w:rPr>
                <w:b/>
              </w:rPr>
              <w:t>Clinical criteria:</w:t>
            </w:r>
          </w:p>
        </w:tc>
      </w:tr>
      <w:tr w:rsidR="0050551A" w:rsidRPr="00193BC1" w14:paraId="6F2E73E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66D6E54" w14:textId="77777777" w:rsidR="0050551A" w:rsidRPr="00193BC1" w:rsidRDefault="0050551A" w:rsidP="009C6858">
            <w:pPr>
              <w:pStyle w:val="TableText0"/>
              <w:keepNext w:val="0"/>
            </w:pPr>
            <w:r w:rsidRPr="00193BC1">
              <w:lastRenderedPageBreak/>
              <w:t>Patient must not have failed, or ceased to respond to, PBS-subsidised treatment with this drug for severe asthma during the current treatment cycle.</w:t>
            </w:r>
          </w:p>
        </w:tc>
      </w:tr>
      <w:tr w:rsidR="0050551A" w:rsidRPr="00193BC1" w14:paraId="7F81F79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21CB52" w14:textId="77777777" w:rsidR="0050551A" w:rsidRPr="00193BC1" w:rsidRDefault="0050551A" w:rsidP="009C6858">
            <w:pPr>
              <w:pStyle w:val="TableText0"/>
              <w:keepNext w:val="0"/>
            </w:pPr>
            <w:r w:rsidRPr="00193BC1">
              <w:rPr>
                <w:b/>
              </w:rPr>
              <w:t>AND</w:t>
            </w:r>
          </w:p>
        </w:tc>
      </w:tr>
      <w:tr w:rsidR="0050551A" w:rsidRPr="00193BC1" w14:paraId="2F432BD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804E7F3" w14:textId="77777777" w:rsidR="0050551A" w:rsidRPr="00193BC1" w:rsidRDefault="0050551A" w:rsidP="009C6858">
            <w:pPr>
              <w:pStyle w:val="TableText0"/>
              <w:keepNext w:val="0"/>
            </w:pPr>
            <w:r w:rsidRPr="00193BC1">
              <w:rPr>
                <w:b/>
              </w:rPr>
              <w:t>Clinical criteria:</w:t>
            </w:r>
          </w:p>
        </w:tc>
      </w:tr>
      <w:tr w:rsidR="0050551A" w:rsidRPr="00193BC1" w14:paraId="54A57E3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EF4E943" w14:textId="77777777" w:rsidR="0050551A" w:rsidRPr="00193BC1" w:rsidRDefault="0050551A" w:rsidP="009C6858">
            <w:pPr>
              <w:pStyle w:val="TableText0"/>
              <w:keepNext w:val="0"/>
              <w:rPr>
                <w:rFonts w:cs="Arial"/>
              </w:rPr>
            </w:pPr>
            <w:r w:rsidRPr="00193BC1">
              <w:rPr>
                <w:rFonts w:cs="Arial"/>
                <w:strike/>
              </w:rPr>
              <w:t>Patient must have blood eosinophil count greater than or equal to 150 cells per microlitre in the last 12 months</w:t>
            </w:r>
            <w:r w:rsidRPr="00193BC1">
              <w:rPr>
                <w:rFonts w:cs="Arial"/>
              </w:rPr>
              <w:t xml:space="preserve">, </w:t>
            </w:r>
            <w:r w:rsidRPr="00193BC1">
              <w:rPr>
                <w:rFonts w:cs="Arial"/>
                <w:i/>
              </w:rP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p>
        </w:tc>
      </w:tr>
      <w:tr w:rsidR="0050551A" w:rsidRPr="00193BC1" w14:paraId="5D3DD3F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BE8CE43" w14:textId="77777777" w:rsidR="0050551A" w:rsidRPr="00193BC1" w:rsidRDefault="0050551A" w:rsidP="009C6858">
            <w:pPr>
              <w:pStyle w:val="TableText0"/>
              <w:keepNext w:val="0"/>
            </w:pPr>
            <w:r w:rsidRPr="00193BC1">
              <w:rPr>
                <w:rFonts w:cs="Arial"/>
              </w:rPr>
              <w:t>Patient must have each of</w:t>
            </w:r>
            <w:r w:rsidRPr="00193BC1">
              <w:rPr>
                <w:rFonts w:cs="Arial"/>
                <w:i/>
              </w:rPr>
              <w:t xml:space="preserve">: i) </w:t>
            </w:r>
            <w:r w:rsidRPr="00193BC1">
              <w:rPr>
                <w:rFonts w:cs="Arial"/>
              </w:rPr>
              <w:t xml:space="preserve">total serum human immunoglobulin E greater than or equal to 30 IU/mL </w:t>
            </w:r>
            <w:r w:rsidRPr="00193BC1">
              <w:rPr>
                <w:rFonts w:cs="Arial"/>
                <w:i/>
              </w:rPr>
              <w:t xml:space="preserve">measured no more than 12 months prior to initiating PBS-subsidised treatment with a biological medicine for severe asthma, ii) </w:t>
            </w:r>
            <w:r w:rsidRPr="00193BC1">
              <w:rPr>
                <w:rFonts w:cs="Arial"/>
              </w:rPr>
              <w:t xml:space="preserve">past or current evidence of atopy, documented by skin prick testing or an in vitro measure of specific IgE </w:t>
            </w:r>
            <w:r w:rsidRPr="00193BC1">
              <w:rPr>
                <w:rFonts w:cs="Arial"/>
                <w:i/>
              </w:rPr>
              <w:t>in the past 12 months or in the 12 months prior to initiating PBS-subsidised treatment with a biological medicine for severe asthma</w:t>
            </w:r>
            <w:r w:rsidRPr="00193BC1">
              <w:rPr>
                <w:rFonts w:cs="Arial"/>
              </w:rPr>
              <w:t>.</w:t>
            </w:r>
          </w:p>
        </w:tc>
      </w:tr>
      <w:tr w:rsidR="0050551A" w:rsidRPr="00193BC1" w14:paraId="1AB2DB4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7F91BF9" w14:textId="77777777" w:rsidR="0050551A" w:rsidRPr="00193BC1" w:rsidRDefault="0050551A" w:rsidP="009C6858">
            <w:pPr>
              <w:pStyle w:val="TableText0"/>
              <w:keepNext w:val="0"/>
              <w:rPr>
                <w:rFonts w:cs="Arial"/>
              </w:rPr>
            </w:pPr>
            <w:r w:rsidRPr="00193BC1">
              <w:rPr>
                <w:b/>
              </w:rPr>
              <w:t>AND</w:t>
            </w:r>
          </w:p>
        </w:tc>
      </w:tr>
      <w:tr w:rsidR="0050551A" w:rsidRPr="00193BC1" w14:paraId="2DCF876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A91FE24" w14:textId="77777777" w:rsidR="0050551A" w:rsidRPr="00193BC1" w:rsidRDefault="0050551A" w:rsidP="009C6858">
            <w:pPr>
              <w:pStyle w:val="TableText0"/>
              <w:keepNext w:val="0"/>
              <w:rPr>
                <w:rFonts w:cs="Arial"/>
              </w:rPr>
            </w:pPr>
            <w:r w:rsidRPr="00193BC1">
              <w:rPr>
                <w:b/>
              </w:rPr>
              <w:t>Clinical criteria:</w:t>
            </w:r>
          </w:p>
        </w:tc>
      </w:tr>
      <w:tr w:rsidR="0050551A" w:rsidRPr="00193BC1" w14:paraId="5999C2E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D89D8C7" w14:textId="77777777" w:rsidR="0050551A" w:rsidRPr="00193BC1" w:rsidRDefault="0050551A" w:rsidP="009C6858">
            <w:pPr>
              <w:pStyle w:val="TableText0"/>
              <w:keepNext w:val="0"/>
              <w:rPr>
                <w:strike/>
              </w:rPr>
            </w:pPr>
            <w:r w:rsidRPr="00193BC1">
              <w:rPr>
                <w:strike/>
              </w:rPr>
              <w:t>Patient must have received daily oral corticosteroids for at least 6 weeks</w:t>
            </w:r>
          </w:p>
          <w:p w14:paraId="7C4E0EC6" w14:textId="77777777" w:rsidR="0050551A" w:rsidRPr="00193BC1" w:rsidRDefault="0050551A" w:rsidP="009C6858">
            <w:pPr>
              <w:pStyle w:val="TableText0"/>
              <w:keepNext w:val="0"/>
              <w:rPr>
                <w:rFonts w:cs="Arial"/>
                <w:strike/>
              </w:rPr>
            </w:pPr>
            <w:r w:rsidRPr="00193BC1">
              <w:rPr>
                <w:i/>
              </w:rPr>
              <w:t>Patient must have received regular maintenance oral corticosteroids (OCS) in the last 6 months with a stable daily OCS dose of 5 to 35 mg/day of prednisolone or equivalent over the 4 weeks prior to treatment initiation.</w:t>
            </w:r>
          </w:p>
        </w:tc>
      </w:tr>
      <w:tr w:rsidR="0050551A" w:rsidRPr="00193BC1" w14:paraId="0402165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AD622CD" w14:textId="77777777" w:rsidR="0050551A" w:rsidRPr="00193BC1" w:rsidRDefault="0050551A" w:rsidP="009C6858">
            <w:pPr>
              <w:pStyle w:val="TableText0"/>
              <w:keepNext w:val="0"/>
            </w:pPr>
            <w:r w:rsidRPr="00193BC1">
              <w:rPr>
                <w:rFonts w:cs="Arial"/>
                <w:b/>
              </w:rPr>
              <w:t>AND</w:t>
            </w:r>
          </w:p>
        </w:tc>
      </w:tr>
      <w:tr w:rsidR="0050551A" w:rsidRPr="00193BC1" w14:paraId="6ECC345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F20222E" w14:textId="77777777" w:rsidR="0050551A" w:rsidRPr="00193BC1" w:rsidRDefault="0050551A" w:rsidP="009C6858">
            <w:pPr>
              <w:pStyle w:val="TableText0"/>
              <w:keepNext w:val="0"/>
            </w:pPr>
            <w:r w:rsidRPr="00193BC1">
              <w:rPr>
                <w:b/>
              </w:rPr>
              <w:t>Clinical criteria:</w:t>
            </w:r>
          </w:p>
        </w:tc>
      </w:tr>
      <w:tr w:rsidR="0050551A" w:rsidRPr="00193BC1" w14:paraId="6472621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B011AEB" w14:textId="77777777" w:rsidR="0050551A" w:rsidRPr="00193BC1" w:rsidRDefault="0050551A" w:rsidP="009C6858">
            <w:pPr>
              <w:pStyle w:val="TableText0"/>
              <w:keepNext w:val="0"/>
            </w:pPr>
            <w:r w:rsidRPr="00193BC1">
              <w:rPr>
                <w:rFonts w:cs="Arial"/>
              </w:rPr>
              <w:t>Patient must not receive more than 32 weeks of treatment under this restriction.</w:t>
            </w:r>
          </w:p>
        </w:tc>
      </w:tr>
      <w:tr w:rsidR="0050551A" w:rsidRPr="00193BC1" w14:paraId="4C539C9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329F974" w14:textId="77777777" w:rsidR="0050551A" w:rsidRPr="00193BC1" w:rsidRDefault="0050551A" w:rsidP="009C6858">
            <w:pPr>
              <w:pStyle w:val="TableText0"/>
              <w:keepNext w:val="0"/>
            </w:pPr>
            <w:r w:rsidRPr="00193BC1">
              <w:rPr>
                <w:rFonts w:cs="Arial"/>
                <w:b/>
              </w:rPr>
              <w:t>AND</w:t>
            </w:r>
          </w:p>
        </w:tc>
      </w:tr>
      <w:tr w:rsidR="0050551A" w:rsidRPr="00193BC1" w14:paraId="54A84EB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EAB8208" w14:textId="77777777" w:rsidR="0050551A" w:rsidRPr="00193BC1" w:rsidRDefault="0050551A" w:rsidP="009C6858">
            <w:pPr>
              <w:pStyle w:val="TableText0"/>
              <w:keepNext w:val="0"/>
            </w:pPr>
            <w:r w:rsidRPr="00193BC1">
              <w:rPr>
                <w:b/>
              </w:rPr>
              <w:t>Clinical criteria:</w:t>
            </w:r>
          </w:p>
        </w:tc>
      </w:tr>
      <w:tr w:rsidR="0050551A" w:rsidRPr="00193BC1" w14:paraId="36D7F44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7DF9159" w14:textId="77777777" w:rsidR="0050551A" w:rsidRPr="00193BC1" w:rsidRDefault="0050551A" w:rsidP="009C6858">
            <w:pPr>
              <w:pStyle w:val="TableText0"/>
              <w:keepNext w:val="0"/>
            </w:pPr>
            <w:r w:rsidRPr="00193BC1">
              <w:rPr>
                <w:rFonts w:cs="Arial"/>
              </w:rPr>
              <w:t>The treatment must not be used in combination with and within 4 weeks of another PBS-subsidised biological medicine prescribed for severe asthma.</w:t>
            </w:r>
          </w:p>
        </w:tc>
      </w:tr>
      <w:tr w:rsidR="0050551A" w:rsidRPr="00193BC1" w14:paraId="60436BE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5C20AD4" w14:textId="77777777" w:rsidR="0050551A" w:rsidRPr="00193BC1" w:rsidRDefault="0050551A" w:rsidP="009C6858">
            <w:pPr>
              <w:pStyle w:val="TableText0"/>
              <w:keepNext w:val="0"/>
              <w:rPr>
                <w:rFonts w:cs="Arial"/>
              </w:rPr>
            </w:pPr>
            <w:r w:rsidRPr="00193BC1">
              <w:rPr>
                <w:b/>
              </w:rPr>
              <w:t>Population criteria:</w:t>
            </w:r>
          </w:p>
          <w:p w14:paraId="502616BF" w14:textId="77777777" w:rsidR="0050551A" w:rsidRPr="00193BC1" w:rsidRDefault="0050551A" w:rsidP="009C6858">
            <w:pPr>
              <w:pStyle w:val="TableText0"/>
              <w:keepNext w:val="0"/>
            </w:pPr>
            <w:r w:rsidRPr="00193BC1">
              <w:rPr>
                <w:rFonts w:cs="Arial"/>
              </w:rPr>
              <w:t>Patients must be aged 12 years or older.</w:t>
            </w:r>
          </w:p>
        </w:tc>
      </w:tr>
    </w:tbl>
    <w:p w14:paraId="158FB146" w14:textId="77777777" w:rsidR="00074572" w:rsidRPr="00193BC1" w:rsidRDefault="00074572" w:rsidP="00D42D5C">
      <w:pPr>
        <w:rPr>
          <w:rFonts w:ascii="Arial Narrow" w:hAnsi="Arial Narrow"/>
          <w:snapToGrid w:val="0"/>
          <w:sz w:val="18"/>
          <w:szCs w:val="22"/>
        </w:rPr>
      </w:pPr>
    </w:p>
    <w:p w14:paraId="449085EC" w14:textId="77777777" w:rsidR="00D42D5C" w:rsidRPr="00193BC1" w:rsidRDefault="00D42D5C" w:rsidP="00D42D5C">
      <w:r w:rsidRPr="00193BC1">
        <w:rPr>
          <w:rFonts w:ascii="Arial Narrow" w:hAnsi="Arial Narrow"/>
          <w:b/>
          <w:bCs/>
          <w:sz w:val="20"/>
          <w:szCs w:val="20"/>
        </w:rPr>
        <w:t>Treatment phase: Grandfather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7"/>
        <w:gridCol w:w="746"/>
        <w:gridCol w:w="1000"/>
        <w:gridCol w:w="987"/>
        <w:gridCol w:w="845"/>
        <w:gridCol w:w="1184"/>
        <w:gridCol w:w="942"/>
        <w:gridCol w:w="1406"/>
      </w:tblGrid>
      <w:tr w:rsidR="0050551A" w:rsidRPr="00193BC1" w14:paraId="71E82996" w14:textId="77777777" w:rsidTr="00B57220">
        <w:tc>
          <w:tcPr>
            <w:tcW w:w="1058" w:type="pct"/>
          </w:tcPr>
          <w:p w14:paraId="776E911D" w14:textId="77777777" w:rsidR="0050551A" w:rsidRPr="00193BC1" w:rsidRDefault="0050551A" w:rsidP="009C6858">
            <w:pPr>
              <w:pStyle w:val="Tabletext"/>
              <w:rPr>
                <w:b/>
                <w:bCs/>
              </w:rPr>
            </w:pPr>
            <w:r w:rsidRPr="00193BC1">
              <w:rPr>
                <w:b/>
              </w:rPr>
              <w:t>Name, restriction, manner of administration, form</w:t>
            </w:r>
          </w:p>
        </w:tc>
        <w:tc>
          <w:tcPr>
            <w:tcW w:w="414" w:type="pct"/>
          </w:tcPr>
          <w:p w14:paraId="67C1F254" w14:textId="77777777" w:rsidR="0050551A" w:rsidRPr="00193BC1" w:rsidRDefault="0050551A" w:rsidP="009C6858">
            <w:pPr>
              <w:pStyle w:val="Tabletext"/>
              <w:rPr>
                <w:b/>
                <w:bCs/>
              </w:rPr>
            </w:pPr>
            <w:r w:rsidRPr="00193BC1">
              <w:rPr>
                <w:b/>
              </w:rPr>
              <w:t>PBS item code</w:t>
            </w:r>
          </w:p>
        </w:tc>
        <w:tc>
          <w:tcPr>
            <w:tcW w:w="555" w:type="pct"/>
          </w:tcPr>
          <w:p w14:paraId="167A76D5" w14:textId="77777777" w:rsidR="0050551A" w:rsidRPr="00193BC1" w:rsidRDefault="0050551A" w:rsidP="009C6858">
            <w:pPr>
              <w:pStyle w:val="Tabletext"/>
              <w:rPr>
                <w:b/>
                <w:bCs/>
              </w:rPr>
            </w:pPr>
            <w:r w:rsidRPr="00193BC1">
              <w:rPr>
                <w:b/>
              </w:rPr>
              <w:t>Maximum quantity (packs)</w:t>
            </w:r>
          </w:p>
        </w:tc>
        <w:tc>
          <w:tcPr>
            <w:tcW w:w="548" w:type="pct"/>
          </w:tcPr>
          <w:p w14:paraId="732D7595" w14:textId="77777777" w:rsidR="0050551A" w:rsidRPr="00193BC1" w:rsidRDefault="0050551A" w:rsidP="009C6858">
            <w:pPr>
              <w:pStyle w:val="Tabletext"/>
              <w:jc w:val="center"/>
            </w:pPr>
            <w:r w:rsidRPr="00193BC1">
              <w:rPr>
                <w:b/>
              </w:rPr>
              <w:t>Maximum quantity (units)</w:t>
            </w:r>
          </w:p>
        </w:tc>
        <w:tc>
          <w:tcPr>
            <w:tcW w:w="469" w:type="pct"/>
          </w:tcPr>
          <w:p w14:paraId="3204DBC7" w14:textId="77777777" w:rsidR="0050551A" w:rsidRPr="00193BC1" w:rsidRDefault="0050551A" w:rsidP="009C6858">
            <w:pPr>
              <w:pStyle w:val="Tabletext"/>
              <w:jc w:val="center"/>
            </w:pPr>
            <w:r w:rsidRPr="00193BC1">
              <w:rPr>
                <w:b/>
              </w:rPr>
              <w:t>No. of repeats</w:t>
            </w:r>
          </w:p>
        </w:tc>
        <w:tc>
          <w:tcPr>
            <w:tcW w:w="657" w:type="pct"/>
          </w:tcPr>
          <w:p w14:paraId="7F702480" w14:textId="77777777" w:rsidR="0050551A" w:rsidRPr="00193BC1" w:rsidRDefault="0050551A" w:rsidP="009C6858">
            <w:pPr>
              <w:pStyle w:val="Tabletext"/>
              <w:jc w:val="center"/>
            </w:pPr>
            <w:r w:rsidRPr="00193BC1">
              <w:rPr>
                <w:b/>
              </w:rPr>
              <w:t>Dispensed price for maximum quantity</w:t>
            </w:r>
          </w:p>
        </w:tc>
        <w:tc>
          <w:tcPr>
            <w:tcW w:w="1301" w:type="pct"/>
            <w:gridSpan w:val="2"/>
          </w:tcPr>
          <w:p w14:paraId="0C354015" w14:textId="77777777" w:rsidR="0050551A" w:rsidRPr="00193BC1" w:rsidRDefault="0050551A" w:rsidP="009C6858">
            <w:pPr>
              <w:pStyle w:val="Tabletext"/>
              <w:jc w:val="center"/>
            </w:pPr>
            <w:r w:rsidRPr="00193BC1">
              <w:rPr>
                <w:b/>
              </w:rPr>
              <w:t>Proprietary name and manufacturer</w:t>
            </w:r>
          </w:p>
        </w:tc>
      </w:tr>
      <w:tr w:rsidR="0050551A" w:rsidRPr="00193BC1" w14:paraId="5BD802A3" w14:textId="77777777" w:rsidTr="00B57220">
        <w:tc>
          <w:tcPr>
            <w:tcW w:w="1058" w:type="pct"/>
            <w:vAlign w:val="center"/>
          </w:tcPr>
          <w:p w14:paraId="72905607" w14:textId="77777777" w:rsidR="0050551A" w:rsidRPr="00193BC1" w:rsidRDefault="0050551A" w:rsidP="009C6858">
            <w:pPr>
              <w:pStyle w:val="Tabletext"/>
            </w:pPr>
            <w:r w:rsidRPr="00193BC1">
              <w:t>DUPILUMAB</w:t>
            </w:r>
          </w:p>
          <w:p w14:paraId="2641322C" w14:textId="77777777" w:rsidR="0050551A" w:rsidRPr="00193BC1" w:rsidRDefault="0050551A" w:rsidP="009C6858">
            <w:pPr>
              <w:pStyle w:val="Tabletext"/>
              <w:rPr>
                <w:b/>
                <w:bCs/>
              </w:rPr>
            </w:pPr>
            <w:r w:rsidRPr="00193BC1">
              <w:br/>
              <w:t>300 mg/2 mL injection, 2 x 2 mL syringes</w:t>
            </w:r>
          </w:p>
        </w:tc>
        <w:tc>
          <w:tcPr>
            <w:tcW w:w="414" w:type="pct"/>
            <w:vAlign w:val="center"/>
          </w:tcPr>
          <w:p w14:paraId="2E2E7D8E" w14:textId="77777777" w:rsidR="0050551A" w:rsidRPr="00193BC1" w:rsidRDefault="0050551A" w:rsidP="009C6858">
            <w:pPr>
              <w:pStyle w:val="Tabletext"/>
              <w:jc w:val="center"/>
            </w:pPr>
            <w:r w:rsidRPr="00193BC1">
              <w:t>NEW</w:t>
            </w:r>
          </w:p>
        </w:tc>
        <w:tc>
          <w:tcPr>
            <w:tcW w:w="555" w:type="pct"/>
            <w:vAlign w:val="center"/>
          </w:tcPr>
          <w:p w14:paraId="48937392" w14:textId="77777777" w:rsidR="0050551A" w:rsidRPr="00193BC1" w:rsidRDefault="0050551A" w:rsidP="009C6858">
            <w:pPr>
              <w:pStyle w:val="Tabletext"/>
              <w:jc w:val="center"/>
              <w:rPr>
                <w:rFonts w:ascii="Times" w:hAnsi="Times"/>
              </w:rPr>
            </w:pPr>
            <w:r w:rsidRPr="00193BC1">
              <w:t>1</w:t>
            </w:r>
          </w:p>
        </w:tc>
        <w:tc>
          <w:tcPr>
            <w:tcW w:w="548" w:type="pct"/>
            <w:vAlign w:val="center"/>
          </w:tcPr>
          <w:p w14:paraId="5BC590B6" w14:textId="77777777" w:rsidR="0050551A" w:rsidRPr="00193BC1" w:rsidRDefault="0050551A" w:rsidP="009C6858">
            <w:pPr>
              <w:pStyle w:val="Tabletext"/>
              <w:jc w:val="center"/>
              <w:rPr>
                <w:rFonts w:ascii="Times" w:hAnsi="Times"/>
              </w:rPr>
            </w:pPr>
            <w:r w:rsidRPr="00193BC1">
              <w:t>2</w:t>
            </w:r>
          </w:p>
        </w:tc>
        <w:tc>
          <w:tcPr>
            <w:tcW w:w="469" w:type="pct"/>
            <w:vAlign w:val="center"/>
          </w:tcPr>
          <w:p w14:paraId="454D8CCE" w14:textId="77777777" w:rsidR="0050551A" w:rsidRPr="00193BC1" w:rsidRDefault="0050551A" w:rsidP="009C6858">
            <w:pPr>
              <w:pStyle w:val="Tabletext"/>
              <w:jc w:val="center"/>
              <w:rPr>
                <w:rFonts w:ascii="Times" w:hAnsi="Times"/>
              </w:rPr>
            </w:pPr>
            <w:r w:rsidRPr="00193BC1">
              <w:t>5</w:t>
            </w:r>
          </w:p>
        </w:tc>
        <w:tc>
          <w:tcPr>
            <w:tcW w:w="657" w:type="pct"/>
            <w:vAlign w:val="center"/>
          </w:tcPr>
          <w:p w14:paraId="4B1F89E3" w14:textId="77777777" w:rsidR="0050551A" w:rsidRPr="00193BC1" w:rsidRDefault="0050551A" w:rsidP="009C6858">
            <w:pPr>
              <w:pStyle w:val="Tabletext"/>
              <w:rPr>
                <w:szCs w:val="20"/>
              </w:rPr>
            </w:pPr>
            <w:r w:rsidRPr="00193BC1">
              <w:rPr>
                <w:szCs w:val="20"/>
              </w:rPr>
              <w:t>Public  =$</w:t>
            </w:r>
            <w:r w:rsidR="002F3D9C">
              <w:rPr>
                <w:noProof/>
                <w:color w:val="000000"/>
                <w:szCs w:val="20"/>
                <w:highlight w:val="black"/>
              </w:rPr>
              <w:t>'''''''''''''''''''''''</w:t>
            </w:r>
          </w:p>
          <w:p w14:paraId="13F99525" w14:textId="77777777" w:rsidR="0050551A" w:rsidRPr="00193BC1" w:rsidRDefault="0050551A" w:rsidP="009C6858">
            <w:pPr>
              <w:pStyle w:val="Tabletext"/>
              <w:rPr>
                <w:szCs w:val="20"/>
              </w:rPr>
            </w:pPr>
            <w:r w:rsidRPr="00193BC1">
              <w:rPr>
                <w:szCs w:val="20"/>
              </w:rPr>
              <w:t>Private =$</w:t>
            </w:r>
            <w:r w:rsidR="002F3D9C">
              <w:rPr>
                <w:noProof/>
                <w:color w:val="000000"/>
                <w:szCs w:val="20"/>
                <w:highlight w:val="black"/>
              </w:rPr>
              <w:t>'''''''''''''''''''''''</w:t>
            </w:r>
          </w:p>
          <w:p w14:paraId="68DB7173" w14:textId="77777777" w:rsidR="0050551A" w:rsidRPr="00193BC1" w:rsidRDefault="0050551A" w:rsidP="009C6858">
            <w:pPr>
              <w:pStyle w:val="Tabletext"/>
              <w:rPr>
                <w:rFonts w:ascii="Times" w:hAnsi="Times"/>
              </w:rPr>
            </w:pPr>
            <w:r w:rsidRPr="00193BC1">
              <w:rPr>
                <w:szCs w:val="20"/>
              </w:rPr>
              <w:t>[SPA TBD]</w:t>
            </w:r>
          </w:p>
        </w:tc>
        <w:tc>
          <w:tcPr>
            <w:tcW w:w="519" w:type="pct"/>
            <w:vAlign w:val="center"/>
          </w:tcPr>
          <w:p w14:paraId="459C2DC8" w14:textId="77777777" w:rsidR="0050551A" w:rsidRPr="00193BC1" w:rsidRDefault="0050551A" w:rsidP="009C6858">
            <w:pPr>
              <w:pStyle w:val="TableText0"/>
              <w:spacing w:line="276" w:lineRule="auto"/>
              <w:jc w:val="center"/>
              <w:rPr>
                <w:rFonts w:asciiTheme="minorHAnsi" w:hAnsiTheme="minorHAnsi" w:cstheme="minorHAnsi"/>
                <w:sz w:val="18"/>
                <w:szCs w:val="18"/>
              </w:rPr>
            </w:pPr>
            <w:r w:rsidRPr="00193BC1">
              <w:t>Dupixent</w:t>
            </w:r>
            <w:r w:rsidRPr="00193BC1">
              <w:rPr>
                <w:vertAlign w:val="superscript"/>
              </w:rPr>
              <w:t>®</w:t>
            </w:r>
          </w:p>
        </w:tc>
        <w:tc>
          <w:tcPr>
            <w:tcW w:w="781" w:type="pct"/>
            <w:vAlign w:val="center"/>
          </w:tcPr>
          <w:p w14:paraId="139525CE" w14:textId="77777777" w:rsidR="0050551A" w:rsidRPr="00193BC1" w:rsidRDefault="0050551A" w:rsidP="009C6858">
            <w:pPr>
              <w:pStyle w:val="Tabletext"/>
              <w:jc w:val="center"/>
              <w:rPr>
                <w:rFonts w:ascii="Times" w:hAnsi="Times"/>
              </w:rPr>
            </w:pPr>
            <w:r w:rsidRPr="00193BC1">
              <w:t>Sanofi-Aventis Australia Pty Ltd</w:t>
            </w:r>
          </w:p>
        </w:tc>
      </w:tr>
    </w:tbl>
    <w:p w14:paraId="08EA06E7" w14:textId="77777777" w:rsidR="00D42D5C" w:rsidRPr="00193BC1" w:rsidRDefault="00D42D5C" w:rsidP="00D42D5C">
      <w:pPr>
        <w:pStyle w:val="TableFigureFooter"/>
      </w:pPr>
    </w:p>
    <w:tbl>
      <w:tblPr>
        <w:tblW w:w="5000" w:type="pct"/>
        <w:tblLook w:val="0000" w:firstRow="0" w:lastRow="0" w:firstColumn="0" w:lastColumn="0" w:noHBand="0" w:noVBand="0"/>
      </w:tblPr>
      <w:tblGrid>
        <w:gridCol w:w="9017"/>
      </w:tblGrid>
      <w:tr w:rsidR="00074572" w:rsidRPr="00193BC1" w14:paraId="5B5CA0B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5177DAC" w14:textId="77777777" w:rsidR="00074572" w:rsidRPr="00193BC1" w:rsidRDefault="00074572" w:rsidP="009C6858">
            <w:pPr>
              <w:pStyle w:val="TableText0"/>
              <w:keepNext w:val="0"/>
            </w:pPr>
            <w:r w:rsidRPr="00193BC1">
              <w:rPr>
                <w:b/>
              </w:rPr>
              <w:t>Category / Program:</w:t>
            </w:r>
          </w:p>
          <w:p w14:paraId="413CFA57" w14:textId="77777777" w:rsidR="00074572" w:rsidRPr="00193BC1" w:rsidRDefault="00074572" w:rsidP="009C6858">
            <w:pPr>
              <w:pStyle w:val="TableText0"/>
              <w:keepNext w:val="0"/>
            </w:pPr>
            <w:r w:rsidRPr="00193BC1">
              <w:t>Section 100 – Highly Specialised Drugs Program – public and private</w:t>
            </w:r>
          </w:p>
        </w:tc>
      </w:tr>
      <w:tr w:rsidR="00074572" w:rsidRPr="00193BC1" w14:paraId="60210EA9"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B8D6BEA" w14:textId="77777777" w:rsidR="00074572" w:rsidRPr="00193BC1" w:rsidRDefault="00074572" w:rsidP="009C6858">
            <w:pPr>
              <w:pStyle w:val="TableText0"/>
              <w:keepNext w:val="0"/>
            </w:pPr>
            <w:r w:rsidRPr="00193BC1">
              <w:rPr>
                <w:b/>
              </w:rPr>
              <w:t>Prescriber type:</w:t>
            </w:r>
          </w:p>
          <w:p w14:paraId="4B7199AB" w14:textId="77777777" w:rsidR="00074572" w:rsidRPr="00193BC1" w:rsidRDefault="00074572" w:rsidP="009C6858">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074572" w:rsidRPr="00193BC1" w14:paraId="5A1375A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F3C458E" w14:textId="77777777" w:rsidR="00074572" w:rsidRPr="00193BC1" w:rsidRDefault="00074572" w:rsidP="009C6858">
            <w:pPr>
              <w:pStyle w:val="TableText0"/>
              <w:keepNext w:val="0"/>
            </w:pPr>
            <w:r w:rsidRPr="00193BC1">
              <w:rPr>
                <w:b/>
              </w:rPr>
              <w:t>Restriction:</w:t>
            </w:r>
          </w:p>
          <w:p w14:paraId="76454275" w14:textId="77777777" w:rsidR="00074572" w:rsidRPr="00193BC1" w:rsidRDefault="00074572" w:rsidP="009C6858">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074572" w:rsidRPr="00193BC1" w14:paraId="3E4317B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7960201" w14:textId="77777777" w:rsidR="00074572" w:rsidRPr="00193BC1" w:rsidRDefault="00074572" w:rsidP="009C6858">
            <w:pPr>
              <w:pStyle w:val="TableText0"/>
              <w:keepNext w:val="0"/>
            </w:pPr>
            <w:r w:rsidRPr="00193BC1">
              <w:rPr>
                <w:b/>
              </w:rPr>
              <w:t>Severity:</w:t>
            </w:r>
          </w:p>
          <w:p w14:paraId="10D7B4E3" w14:textId="77777777" w:rsidR="00074572" w:rsidRPr="00193BC1" w:rsidRDefault="00074572" w:rsidP="009C6858">
            <w:pPr>
              <w:pStyle w:val="TableText0"/>
              <w:keepNext w:val="0"/>
              <w:rPr>
                <w:i/>
              </w:rPr>
            </w:pPr>
            <w:r w:rsidRPr="00193BC1">
              <w:rPr>
                <w:i/>
              </w:rPr>
              <w:t>Uncontrolled severe</w:t>
            </w:r>
          </w:p>
        </w:tc>
      </w:tr>
      <w:tr w:rsidR="00074572" w:rsidRPr="00193BC1" w14:paraId="164283F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EF2C577" w14:textId="77777777" w:rsidR="00074572" w:rsidRPr="00193BC1" w:rsidRDefault="00074572" w:rsidP="009C6858">
            <w:pPr>
              <w:pStyle w:val="TableText0"/>
              <w:keepNext w:val="0"/>
            </w:pPr>
            <w:r w:rsidRPr="00193BC1">
              <w:rPr>
                <w:b/>
              </w:rPr>
              <w:t>Condition:</w:t>
            </w:r>
          </w:p>
          <w:p w14:paraId="328E4038" w14:textId="77777777" w:rsidR="00074572" w:rsidRPr="00193BC1" w:rsidRDefault="00074572" w:rsidP="009C6858">
            <w:pPr>
              <w:pStyle w:val="TableText0"/>
              <w:keepNext w:val="0"/>
              <w:rPr>
                <w:i/>
              </w:rPr>
            </w:pPr>
            <w:r w:rsidRPr="00193BC1">
              <w:rPr>
                <w:rFonts w:eastAsiaTheme="minorHAnsi"/>
                <w:i/>
                <w:iCs/>
              </w:rPr>
              <w:t>eosinophilic or allergic asthma</w:t>
            </w:r>
          </w:p>
        </w:tc>
      </w:tr>
      <w:tr w:rsidR="00074572" w:rsidRPr="00193BC1" w14:paraId="6ABF8A2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0CCF8CB" w14:textId="77777777" w:rsidR="00074572" w:rsidRPr="00193BC1" w:rsidRDefault="00074572" w:rsidP="009C6858">
            <w:pPr>
              <w:pStyle w:val="TableText0"/>
              <w:keepNext w:val="0"/>
            </w:pPr>
            <w:r w:rsidRPr="00193BC1">
              <w:rPr>
                <w:b/>
              </w:rPr>
              <w:t>PBS Indication:</w:t>
            </w:r>
          </w:p>
          <w:p w14:paraId="22712C5C" w14:textId="77777777" w:rsidR="00074572" w:rsidRPr="00193BC1" w:rsidRDefault="00074572" w:rsidP="009C6858">
            <w:pPr>
              <w:pStyle w:val="TableText0"/>
              <w:keepNext w:val="0"/>
            </w:pPr>
            <w:r w:rsidRPr="00193BC1">
              <w:t xml:space="preserve">Uncontrolled severe </w:t>
            </w:r>
            <w:r w:rsidRPr="00193BC1">
              <w:rPr>
                <w:strike/>
              </w:rPr>
              <w:t>type 2</w:t>
            </w:r>
            <w:r w:rsidRPr="00193BC1">
              <w:t xml:space="preserve"> </w:t>
            </w:r>
            <w:r w:rsidRPr="00193BC1">
              <w:rPr>
                <w:rFonts w:eastAsiaTheme="minorHAnsi"/>
                <w:i/>
                <w:iCs/>
              </w:rPr>
              <w:t xml:space="preserve">eosinophilic or allergic </w:t>
            </w:r>
            <w:r w:rsidRPr="00193BC1">
              <w:t xml:space="preserve">asthma </w:t>
            </w:r>
            <w:r w:rsidRPr="00193BC1">
              <w:rPr>
                <w:strike/>
              </w:rPr>
              <w:t>with OCS dependence</w:t>
            </w:r>
          </w:p>
        </w:tc>
      </w:tr>
      <w:tr w:rsidR="00074572" w:rsidRPr="00193BC1" w14:paraId="668056B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123037B" w14:textId="77777777" w:rsidR="00074572" w:rsidRPr="00193BC1" w:rsidRDefault="00074572" w:rsidP="009C6858">
            <w:pPr>
              <w:pStyle w:val="TableText0"/>
              <w:keepNext w:val="0"/>
            </w:pPr>
            <w:r w:rsidRPr="00193BC1">
              <w:rPr>
                <w:b/>
              </w:rPr>
              <w:t>Treatment phase:</w:t>
            </w:r>
          </w:p>
          <w:p w14:paraId="47496A50" w14:textId="77777777" w:rsidR="00074572" w:rsidRPr="00193BC1" w:rsidRDefault="00074572" w:rsidP="009C6858">
            <w:pPr>
              <w:pStyle w:val="TableText0"/>
              <w:keepNext w:val="0"/>
            </w:pPr>
            <w:r w:rsidRPr="00193BC1">
              <w:rPr>
                <w:strike/>
              </w:rPr>
              <w:t xml:space="preserve">Continuing treatment (grandfathered patients) </w:t>
            </w:r>
            <w:r w:rsidRPr="00193BC1">
              <w:t>Grandfather treatment</w:t>
            </w:r>
          </w:p>
        </w:tc>
      </w:tr>
      <w:tr w:rsidR="00074572" w:rsidRPr="00193BC1" w14:paraId="56E35A3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8C0B57" w14:textId="77777777" w:rsidR="00074572" w:rsidRPr="00193BC1" w:rsidRDefault="00074572" w:rsidP="009C6858">
            <w:pPr>
              <w:pStyle w:val="TableText0"/>
              <w:keepNext w:val="0"/>
              <w:rPr>
                <w:rFonts w:cs="Arial"/>
              </w:rPr>
            </w:pPr>
            <w:r w:rsidRPr="00193BC1">
              <w:rPr>
                <w:b/>
              </w:rPr>
              <w:lastRenderedPageBreak/>
              <w:t>Treatment criteria:</w:t>
            </w:r>
          </w:p>
          <w:p w14:paraId="6B9BE66A" w14:textId="77777777" w:rsidR="00074572" w:rsidRPr="00193BC1" w:rsidRDefault="00074572" w:rsidP="009C6858">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074572" w:rsidRPr="00193BC1" w14:paraId="63E7327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B096EA9" w14:textId="77777777" w:rsidR="00074572" w:rsidRPr="00193BC1" w:rsidRDefault="00074572" w:rsidP="009C6858">
            <w:pPr>
              <w:pStyle w:val="TableText0"/>
              <w:keepNext w:val="0"/>
              <w:rPr>
                <w:rFonts w:cs="Arial"/>
              </w:rPr>
            </w:pPr>
            <w:r w:rsidRPr="00193BC1">
              <w:rPr>
                <w:b/>
              </w:rPr>
              <w:t>AND</w:t>
            </w:r>
          </w:p>
        </w:tc>
      </w:tr>
      <w:tr w:rsidR="00074572" w:rsidRPr="00193BC1" w14:paraId="52F23A8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7870C5E" w14:textId="77777777" w:rsidR="00074572" w:rsidRPr="00193BC1" w:rsidRDefault="00074572" w:rsidP="009C6858">
            <w:pPr>
              <w:pStyle w:val="TableText0"/>
              <w:keepNext w:val="0"/>
              <w:rPr>
                <w:b/>
              </w:rPr>
            </w:pPr>
            <w:r w:rsidRPr="00193BC1">
              <w:rPr>
                <w:b/>
              </w:rPr>
              <w:t>Clinical criteria:</w:t>
            </w:r>
          </w:p>
        </w:tc>
      </w:tr>
      <w:tr w:rsidR="00074572" w:rsidRPr="00193BC1" w14:paraId="1CD89EF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1BC38B7" w14:textId="77777777" w:rsidR="00074572" w:rsidRPr="00193BC1" w:rsidRDefault="00074572" w:rsidP="009C6858">
            <w:pPr>
              <w:pStyle w:val="TableText0"/>
              <w:keepNext w:val="0"/>
              <w:rPr>
                <w:b/>
              </w:rPr>
            </w:pPr>
            <w:r w:rsidRPr="00193BC1">
              <w:rPr>
                <w:rFonts w:cs="Arial"/>
              </w:rPr>
              <w:t>Patient must have received non-PBS-subsidised</w:t>
            </w:r>
            <w:r w:rsidRPr="00193BC1">
              <w:rPr>
                <w:rFonts w:cs="Arial"/>
                <w:strike/>
              </w:rPr>
              <w:t xml:space="preserve"> </w:t>
            </w:r>
            <w:r w:rsidRPr="00193BC1">
              <w:rPr>
                <w:rFonts w:cs="Arial"/>
              </w:rPr>
              <w:t>treatment with this biological medicine</w:t>
            </w:r>
            <w:r w:rsidRPr="00193BC1">
              <w:rPr>
                <w:rFonts w:cs="Arial"/>
                <w:strike/>
              </w:rPr>
              <w:t xml:space="preserve">'s pre-filled syringe or pen device </w:t>
            </w:r>
            <w:r w:rsidRPr="00193BC1">
              <w:rPr>
                <w:rFonts w:cs="Arial"/>
              </w:rPr>
              <w:t xml:space="preserve">for this </w:t>
            </w:r>
            <w:r w:rsidRPr="00193BC1">
              <w:rPr>
                <w:rFonts w:cs="Arial"/>
                <w:strike/>
              </w:rPr>
              <w:t>PBS-</w:t>
            </w:r>
            <w:r w:rsidRPr="00193BC1">
              <w:rPr>
                <w:rFonts w:cs="Arial"/>
                <w:i/>
                <w:strike/>
              </w:rPr>
              <w:t>indica</w:t>
            </w:r>
            <w:r w:rsidRPr="00193BC1">
              <w:rPr>
                <w:rFonts w:cs="Arial"/>
                <w:i/>
              </w:rPr>
              <w:t>condi</w:t>
            </w:r>
            <w:r w:rsidRPr="00193BC1">
              <w:rPr>
                <w:rFonts w:cs="Arial"/>
              </w:rPr>
              <w:t xml:space="preserve">tion prior to </w:t>
            </w:r>
            <w:r w:rsidRPr="00193BC1">
              <w:rPr>
                <w:rFonts w:cs="Arial"/>
                <w:strike/>
              </w:rPr>
              <w:t>1 June 2020</w:t>
            </w:r>
            <w:r w:rsidRPr="00193BC1">
              <w:rPr>
                <w:rFonts w:cs="Arial"/>
                <w:i/>
              </w:rPr>
              <w:t>[listing date]</w:t>
            </w:r>
            <w:r w:rsidRPr="00193BC1">
              <w:rPr>
                <w:rFonts w:cs="Arial"/>
              </w:rPr>
              <w:t>.</w:t>
            </w:r>
          </w:p>
        </w:tc>
      </w:tr>
      <w:tr w:rsidR="00074572" w:rsidRPr="00193BC1" w14:paraId="02731E47"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D58604C" w14:textId="77777777" w:rsidR="00074572" w:rsidRPr="00193BC1" w:rsidRDefault="00074572" w:rsidP="009C6858">
            <w:pPr>
              <w:pStyle w:val="TableText0"/>
              <w:keepNext w:val="0"/>
              <w:rPr>
                <w:b/>
              </w:rPr>
            </w:pPr>
            <w:r w:rsidRPr="00193BC1">
              <w:rPr>
                <w:b/>
              </w:rPr>
              <w:t>AND</w:t>
            </w:r>
          </w:p>
        </w:tc>
      </w:tr>
      <w:tr w:rsidR="00074572" w:rsidRPr="00193BC1" w14:paraId="33C81FF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55D3508" w14:textId="77777777" w:rsidR="00074572" w:rsidRPr="00193BC1" w:rsidRDefault="00074572" w:rsidP="009C6858">
            <w:pPr>
              <w:pStyle w:val="TableText0"/>
              <w:keepNext w:val="0"/>
              <w:rPr>
                <w:b/>
              </w:rPr>
            </w:pPr>
            <w:r w:rsidRPr="00193BC1">
              <w:rPr>
                <w:b/>
              </w:rPr>
              <w:t>Clinical criteria:</w:t>
            </w:r>
          </w:p>
        </w:tc>
      </w:tr>
      <w:tr w:rsidR="00074572" w:rsidRPr="00193BC1" w14:paraId="6D6457F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F7F3015" w14:textId="77777777" w:rsidR="00074572" w:rsidRPr="00193BC1" w:rsidRDefault="00074572" w:rsidP="009C6858">
            <w:pPr>
              <w:pStyle w:val="TableText0"/>
              <w:keepNext w:val="0"/>
              <w:rPr>
                <w:b/>
              </w:rPr>
            </w:pPr>
            <w:r w:rsidRPr="00193BC1">
              <w:rPr>
                <w:rFonts w:cs="Arial"/>
              </w:rPr>
              <w:t>Patient must have demonstrated or sustained an adequate response to treatment with this drug if the patient has received at least the week 28 dose of this biological medicine.</w:t>
            </w:r>
          </w:p>
        </w:tc>
      </w:tr>
      <w:tr w:rsidR="00074572" w:rsidRPr="00193BC1" w14:paraId="2025C86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D8E88E0" w14:textId="77777777" w:rsidR="00074572" w:rsidRPr="00193BC1" w:rsidRDefault="00074572" w:rsidP="009C6858">
            <w:pPr>
              <w:pStyle w:val="TableText0"/>
              <w:keepNext w:val="0"/>
              <w:rPr>
                <w:b/>
              </w:rPr>
            </w:pPr>
            <w:r w:rsidRPr="00193BC1">
              <w:rPr>
                <w:b/>
              </w:rPr>
              <w:t>AND</w:t>
            </w:r>
          </w:p>
        </w:tc>
      </w:tr>
      <w:tr w:rsidR="00074572" w:rsidRPr="00193BC1" w14:paraId="21E46DCE"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486C946" w14:textId="77777777" w:rsidR="00074572" w:rsidRPr="00193BC1" w:rsidRDefault="00074572" w:rsidP="009C6858">
            <w:pPr>
              <w:pStyle w:val="TableText0"/>
              <w:keepNext w:val="0"/>
              <w:rPr>
                <w:b/>
              </w:rPr>
            </w:pPr>
            <w:r w:rsidRPr="00193BC1">
              <w:rPr>
                <w:b/>
              </w:rPr>
              <w:t>Clinical criteria:</w:t>
            </w:r>
          </w:p>
        </w:tc>
      </w:tr>
      <w:tr w:rsidR="00074572" w:rsidRPr="00193BC1" w14:paraId="0717BA7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355367A" w14:textId="77777777" w:rsidR="00074572" w:rsidRPr="00193BC1" w:rsidRDefault="00074572" w:rsidP="009C6858">
            <w:pPr>
              <w:pStyle w:val="TableText0"/>
              <w:keepNext w:val="0"/>
              <w:rPr>
                <w:b/>
              </w:rPr>
            </w:pPr>
            <w:r w:rsidRPr="00193BC1">
              <w:rPr>
                <w:rFonts w:cs="Arial"/>
              </w:rPr>
              <w:t>Patient must be receiving treatment with this drug for this condition at the time of application.</w:t>
            </w:r>
          </w:p>
        </w:tc>
      </w:tr>
      <w:tr w:rsidR="00074572" w:rsidRPr="00193BC1" w14:paraId="5F08426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4594065" w14:textId="77777777" w:rsidR="00074572" w:rsidRPr="00193BC1" w:rsidRDefault="00074572" w:rsidP="009C6858">
            <w:pPr>
              <w:pStyle w:val="TableText0"/>
              <w:keepNext w:val="0"/>
              <w:rPr>
                <w:b/>
              </w:rPr>
            </w:pPr>
            <w:r w:rsidRPr="00193BC1">
              <w:rPr>
                <w:b/>
              </w:rPr>
              <w:t>AND</w:t>
            </w:r>
          </w:p>
        </w:tc>
      </w:tr>
      <w:tr w:rsidR="00074572" w:rsidRPr="00193BC1" w14:paraId="72E8BF2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AE734FD" w14:textId="77777777" w:rsidR="00074572" w:rsidRPr="00193BC1" w:rsidRDefault="00074572" w:rsidP="009C6858">
            <w:pPr>
              <w:pStyle w:val="TableText0"/>
              <w:keepNext w:val="0"/>
              <w:rPr>
                <w:b/>
              </w:rPr>
            </w:pPr>
            <w:r w:rsidRPr="00193BC1">
              <w:rPr>
                <w:b/>
              </w:rPr>
              <w:t>Clinical criteria:</w:t>
            </w:r>
          </w:p>
        </w:tc>
      </w:tr>
      <w:tr w:rsidR="00074572" w:rsidRPr="00193BC1" w14:paraId="206A10A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5F91A12" w14:textId="77777777" w:rsidR="00074572" w:rsidRPr="00193BC1" w:rsidRDefault="00074572" w:rsidP="009C6858">
            <w:pPr>
              <w:pStyle w:val="TableText0"/>
              <w:keepNext w:val="0"/>
              <w:rPr>
                <w:b/>
              </w:rPr>
            </w:pPr>
            <w:r w:rsidRPr="00193BC1">
              <w:t>Patient must be under the care of the same physician for at least 6 months; or</w:t>
            </w:r>
          </w:p>
        </w:tc>
      </w:tr>
      <w:tr w:rsidR="00074572" w:rsidRPr="00193BC1" w14:paraId="5456D15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00E015B" w14:textId="77777777" w:rsidR="00074572" w:rsidRPr="00193BC1" w:rsidRDefault="00074572" w:rsidP="009C6858">
            <w:pPr>
              <w:pStyle w:val="TableText0"/>
              <w:keepNext w:val="0"/>
              <w:rPr>
                <w:rFonts w:cs="Arial"/>
              </w:rPr>
            </w:pPr>
            <w:r w:rsidRPr="00193BC1">
              <w:t>Patient must have been diagnosed with severe asthma by a multidisciplinary severe asthma clinic team.</w:t>
            </w:r>
          </w:p>
        </w:tc>
      </w:tr>
      <w:tr w:rsidR="00074572" w:rsidRPr="00193BC1" w14:paraId="222348ED"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1AA6CF9" w14:textId="77777777" w:rsidR="00074572" w:rsidRPr="00193BC1" w:rsidRDefault="00074572" w:rsidP="009C6858">
            <w:pPr>
              <w:pStyle w:val="TableText0"/>
              <w:keepNext w:val="0"/>
              <w:rPr>
                <w:b/>
              </w:rPr>
            </w:pPr>
            <w:r w:rsidRPr="00193BC1">
              <w:rPr>
                <w:b/>
              </w:rPr>
              <w:t>AND</w:t>
            </w:r>
          </w:p>
        </w:tc>
      </w:tr>
      <w:tr w:rsidR="00074572" w:rsidRPr="00193BC1" w14:paraId="3907D568"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3EB175FA" w14:textId="77777777" w:rsidR="00074572" w:rsidRPr="00193BC1" w:rsidRDefault="00074572" w:rsidP="009C6858">
            <w:pPr>
              <w:pStyle w:val="TableText0"/>
              <w:keepNext w:val="0"/>
              <w:rPr>
                <w:b/>
              </w:rPr>
            </w:pPr>
            <w:r w:rsidRPr="00193BC1">
              <w:rPr>
                <w:b/>
              </w:rPr>
              <w:t>Clinical criteria:</w:t>
            </w:r>
          </w:p>
        </w:tc>
      </w:tr>
      <w:tr w:rsidR="00074572" w:rsidRPr="00193BC1" w14:paraId="26999E1A"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C92CB99" w14:textId="77777777" w:rsidR="00074572" w:rsidRPr="00193BC1" w:rsidRDefault="00074572" w:rsidP="009C6858">
            <w:pPr>
              <w:pStyle w:val="TableText0"/>
              <w:keepNext w:val="0"/>
              <w:rPr>
                <w:b/>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074572" w:rsidRPr="00193BC1" w14:paraId="021E68FF"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E53061D" w14:textId="77777777" w:rsidR="00074572" w:rsidRPr="00193BC1" w:rsidRDefault="00074572" w:rsidP="009C6858">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074572" w:rsidRPr="00193BC1" w14:paraId="3E1C696B"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3AEA5D3" w14:textId="77777777" w:rsidR="00074572" w:rsidRPr="00193BC1" w:rsidRDefault="00074572" w:rsidP="009C6858">
            <w:pPr>
              <w:pStyle w:val="TableText0"/>
              <w:keepNext w:val="0"/>
              <w:rPr>
                <w:rFonts w:cs="Arial"/>
              </w:rPr>
            </w:pPr>
            <w:r w:rsidRPr="00193BC1">
              <w:rPr>
                <w:b/>
              </w:rPr>
              <w:t>AND</w:t>
            </w:r>
          </w:p>
        </w:tc>
      </w:tr>
      <w:tr w:rsidR="00074572" w:rsidRPr="00193BC1" w14:paraId="5433753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63050F93" w14:textId="77777777" w:rsidR="00074572" w:rsidRPr="00193BC1" w:rsidRDefault="00074572" w:rsidP="009C6858">
            <w:pPr>
              <w:pStyle w:val="TableText0"/>
              <w:keepNext w:val="0"/>
              <w:rPr>
                <w:rFonts w:cs="Arial"/>
              </w:rPr>
            </w:pPr>
            <w:r w:rsidRPr="00193BC1">
              <w:rPr>
                <w:b/>
              </w:rPr>
              <w:t>Clinical criteria:</w:t>
            </w:r>
          </w:p>
        </w:tc>
      </w:tr>
      <w:tr w:rsidR="00074572" w:rsidRPr="00193BC1" w14:paraId="709B7771"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5524674A" w14:textId="77777777" w:rsidR="00074572" w:rsidRPr="00193BC1" w:rsidRDefault="00074572" w:rsidP="009C6858">
            <w:pPr>
              <w:pStyle w:val="TableText0"/>
              <w:keepNext w:val="0"/>
              <w:rPr>
                <w:rFonts w:cs="Arial"/>
              </w:rPr>
            </w:pPr>
            <w:r w:rsidRPr="00193BC1">
              <w:rPr>
                <w:rFonts w:cs="Arial"/>
              </w:rPr>
              <w:t xml:space="preserve">Patient must have had a </w:t>
            </w:r>
            <w:r w:rsidRPr="00193BC1">
              <w:rPr>
                <w:rFonts w:cs="Arial"/>
                <w:i/>
              </w:rPr>
              <w:t>documented</w:t>
            </w:r>
            <w:r w:rsidRPr="00193BC1">
              <w:rPr>
                <w:rFonts w:cs="Arial"/>
              </w:rPr>
              <w:t xml:space="preserve"> blood eosinophil count greater than or equal to 150 cells per microlitre while receiving treatment with oral corticosteroids prior to </w:t>
            </w:r>
            <w:r w:rsidRPr="00193BC1">
              <w:rPr>
                <w:rFonts w:cs="Arial"/>
                <w:strike/>
              </w:rPr>
              <w:t>commencement</w:t>
            </w:r>
            <w:r w:rsidRPr="00193BC1">
              <w:rPr>
                <w:rFonts w:cs="Arial"/>
              </w:rPr>
              <w:t xml:space="preserve"> </w:t>
            </w:r>
            <w:r w:rsidRPr="00193BC1">
              <w:rPr>
                <w:rFonts w:cs="Arial"/>
                <w:i/>
              </w:rPr>
              <w:t>initiating</w:t>
            </w:r>
            <w:r w:rsidRPr="00193BC1">
              <w:rPr>
                <w:rFonts w:cs="Arial"/>
              </w:rPr>
              <w:t xml:space="preserve"> </w:t>
            </w:r>
            <w:r w:rsidRPr="00193BC1">
              <w:rPr>
                <w:rFonts w:cs="Arial"/>
                <w:strike/>
              </w:rPr>
              <w:t>of a biological medicine treatment</w:t>
            </w:r>
            <w:r w:rsidRPr="00193BC1">
              <w:rPr>
                <w:rFonts w:cs="Arial"/>
              </w:rPr>
              <w:t xml:space="preserve"> </w:t>
            </w:r>
            <w:r w:rsidRPr="00193BC1">
              <w:rPr>
                <w:rFonts w:cs="Arial"/>
                <w:i/>
              </w:rPr>
              <w:t>non-PBS subsidised treatment of this drug</w:t>
            </w:r>
            <w:r w:rsidRPr="00193BC1">
              <w:rPr>
                <w:rFonts w:cs="Arial"/>
              </w:rPr>
              <w:t xml:space="preserve"> for severe asthma; </w:t>
            </w:r>
            <w:r w:rsidRPr="00193BC1">
              <w:rPr>
                <w:rFonts w:cs="Arial"/>
                <w:i/>
              </w:rPr>
              <w:t>or</w:t>
            </w:r>
          </w:p>
        </w:tc>
      </w:tr>
      <w:tr w:rsidR="00074572" w:rsidRPr="00193BC1" w14:paraId="605331AC" w14:textId="77777777" w:rsidTr="00B57220">
        <w:trPr>
          <w:cantSplit/>
          <w:trHeight w:val="1012"/>
        </w:trPr>
        <w:tc>
          <w:tcPr>
            <w:tcW w:w="5000" w:type="pct"/>
            <w:tcBorders>
              <w:top w:val="single" w:sz="4" w:space="0" w:color="auto"/>
              <w:left w:val="single" w:sz="4" w:space="0" w:color="auto"/>
              <w:bottom w:val="single" w:sz="4" w:space="0" w:color="auto"/>
              <w:right w:val="single" w:sz="4" w:space="0" w:color="auto"/>
            </w:tcBorders>
          </w:tcPr>
          <w:p w14:paraId="17422A08" w14:textId="77777777" w:rsidR="00074572" w:rsidRPr="00193BC1" w:rsidRDefault="00074572" w:rsidP="009C6858">
            <w:pPr>
              <w:pStyle w:val="TableText0"/>
              <w:keepNext w:val="0"/>
              <w:rPr>
                <w:rFonts w:cs="Arial"/>
                <w:i/>
              </w:rPr>
            </w:pPr>
            <w:r w:rsidRPr="00193BC1">
              <w:rPr>
                <w:rFonts w:cs="Arial"/>
                <w:i/>
              </w:rPr>
              <w:t xml:space="preserve">Patient must have had a documented total serum human immunoglobulin E greater than or equal to 30 IU/mL measured no more than 12 months prior to initiating non-PBS-subsidised treatment with a biological medicine for severe asthma, with past or current evidence of atopy, documented by skin prick testing or an in vitro measure of specific IgE no more than 12 months prior to initiating PBS-subsidised treatment with this </w:t>
            </w:r>
            <w:r w:rsidR="003F5570" w:rsidRPr="00193BC1">
              <w:rPr>
                <w:rFonts w:cs="Arial"/>
                <w:i/>
              </w:rPr>
              <w:t>drug for</w:t>
            </w:r>
            <w:r w:rsidRPr="00193BC1">
              <w:rPr>
                <w:rFonts w:cs="Arial"/>
                <w:i/>
              </w:rPr>
              <w:t xml:space="preserve"> severe asthma.</w:t>
            </w:r>
          </w:p>
        </w:tc>
      </w:tr>
      <w:tr w:rsidR="00074572" w:rsidRPr="00193BC1" w14:paraId="5128E64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2A5793C" w14:textId="77777777" w:rsidR="00074572" w:rsidRPr="00193BC1" w:rsidRDefault="00074572" w:rsidP="009C6858">
            <w:pPr>
              <w:pStyle w:val="TableText0"/>
              <w:keepNext w:val="0"/>
              <w:rPr>
                <w:b/>
              </w:rPr>
            </w:pPr>
            <w:r w:rsidRPr="00193BC1">
              <w:rPr>
                <w:rFonts w:cs="Arial"/>
                <w:b/>
                <w:i/>
              </w:rPr>
              <w:t>AND</w:t>
            </w:r>
          </w:p>
        </w:tc>
      </w:tr>
      <w:tr w:rsidR="00074572" w:rsidRPr="00193BC1" w14:paraId="5CA2E655"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9166EBC" w14:textId="77777777" w:rsidR="00074572" w:rsidRPr="00193BC1" w:rsidRDefault="00074572" w:rsidP="009C6858">
            <w:pPr>
              <w:pStyle w:val="TableText0"/>
              <w:keepNext w:val="0"/>
              <w:rPr>
                <w:b/>
              </w:rPr>
            </w:pPr>
            <w:r w:rsidRPr="00193BC1">
              <w:rPr>
                <w:b/>
              </w:rPr>
              <w:t>Clinical criteria:</w:t>
            </w:r>
          </w:p>
        </w:tc>
      </w:tr>
      <w:tr w:rsidR="00074572" w:rsidRPr="00193BC1" w14:paraId="5904FD2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706B2205" w14:textId="77777777" w:rsidR="00074572" w:rsidRPr="00193BC1" w:rsidRDefault="00074572" w:rsidP="009C6858">
            <w:pPr>
              <w:pStyle w:val="TableText0"/>
              <w:keepNext w:val="0"/>
              <w:rPr>
                <w:b/>
              </w:rPr>
            </w:pPr>
            <w:r w:rsidRPr="00193BC1">
              <w:rPr>
                <w:i/>
              </w:rPr>
              <w:t>Patient must have received regular maintenance oral corticosteroids (OCS) in the last 6 months with a stable daily OCS dose of 5 to 35 mg/day of prednisolone or equivalent over the 4 weeks prior to commencement of a biological medicine treatment for severe asthma.</w:t>
            </w:r>
          </w:p>
        </w:tc>
      </w:tr>
      <w:tr w:rsidR="00074572" w:rsidRPr="00193BC1" w14:paraId="29E72BA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F71556E" w14:textId="77777777" w:rsidR="00074572" w:rsidRPr="00193BC1" w:rsidRDefault="00074572" w:rsidP="009C6858">
            <w:pPr>
              <w:pStyle w:val="TableText0"/>
              <w:keepNext w:val="0"/>
              <w:rPr>
                <w:rFonts w:cs="Arial"/>
              </w:rPr>
            </w:pPr>
            <w:r w:rsidRPr="00193BC1">
              <w:rPr>
                <w:b/>
              </w:rPr>
              <w:t>AND</w:t>
            </w:r>
          </w:p>
        </w:tc>
      </w:tr>
      <w:tr w:rsidR="00074572" w:rsidRPr="00193BC1" w14:paraId="24CB4B20"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481DB6B" w14:textId="77777777" w:rsidR="00074572" w:rsidRPr="00193BC1" w:rsidRDefault="00074572" w:rsidP="009C6858">
            <w:pPr>
              <w:pStyle w:val="TableText0"/>
              <w:keepNext w:val="0"/>
              <w:rPr>
                <w:rFonts w:cs="Arial"/>
              </w:rPr>
            </w:pPr>
            <w:r w:rsidRPr="00193BC1">
              <w:rPr>
                <w:b/>
              </w:rPr>
              <w:t>Clinical criteria:</w:t>
            </w:r>
          </w:p>
        </w:tc>
      </w:tr>
      <w:tr w:rsidR="00074572" w:rsidRPr="00193BC1" w14:paraId="79A72D14"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60DC765" w14:textId="77777777" w:rsidR="00074572" w:rsidRPr="00193BC1" w:rsidRDefault="00074572" w:rsidP="009C6858">
            <w:pPr>
              <w:pStyle w:val="TableText0"/>
              <w:keepNext w:val="0"/>
              <w:rPr>
                <w:rFonts w:cs="Arial"/>
              </w:rPr>
            </w:pPr>
            <w:r w:rsidRPr="00193BC1">
              <w:rPr>
                <w:rFonts w:cs="Arial"/>
              </w:rPr>
              <w:t xml:space="preserve">Patient must have </w:t>
            </w:r>
            <w:r w:rsidRPr="00193BC1">
              <w:rPr>
                <w:rFonts w:cs="Arial"/>
                <w:i/>
              </w:rPr>
              <w:t>a documented</w:t>
            </w:r>
            <w:r w:rsidRPr="00193BC1">
              <w:rPr>
                <w:rFonts w:cs="Arial"/>
              </w:rPr>
              <w:t xml:space="preserve"> a duration of asthma of at least 1 year prior to commencement of this biological medicine.</w:t>
            </w:r>
          </w:p>
        </w:tc>
      </w:tr>
      <w:tr w:rsidR="00074572" w:rsidRPr="00193BC1" w14:paraId="515B1B53"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D794BBC" w14:textId="77777777" w:rsidR="00074572" w:rsidRPr="00193BC1" w:rsidRDefault="00074572" w:rsidP="009C6858">
            <w:pPr>
              <w:pStyle w:val="TableText0"/>
              <w:keepNext w:val="0"/>
              <w:rPr>
                <w:rFonts w:cs="Arial"/>
                <w:b/>
              </w:rPr>
            </w:pPr>
            <w:r w:rsidRPr="00193BC1">
              <w:rPr>
                <w:rFonts w:cs="Arial"/>
                <w:b/>
              </w:rPr>
              <w:t>AND</w:t>
            </w:r>
          </w:p>
        </w:tc>
      </w:tr>
      <w:tr w:rsidR="00074572" w:rsidRPr="00193BC1" w14:paraId="7F2ADD5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F34298D" w14:textId="77777777" w:rsidR="00074572" w:rsidRPr="00193BC1" w:rsidRDefault="00074572" w:rsidP="009C6858">
            <w:pPr>
              <w:pStyle w:val="TableText0"/>
              <w:keepNext w:val="0"/>
              <w:rPr>
                <w:rFonts w:cs="Arial"/>
              </w:rPr>
            </w:pPr>
            <w:r w:rsidRPr="00193BC1">
              <w:rPr>
                <w:b/>
              </w:rPr>
              <w:t>Clinical criteria:</w:t>
            </w:r>
          </w:p>
        </w:tc>
      </w:tr>
      <w:tr w:rsidR="00074572" w:rsidRPr="00193BC1" w14:paraId="4FF36586"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2A7B1C24" w14:textId="77777777" w:rsidR="00074572" w:rsidRPr="00193BC1" w:rsidRDefault="00074572" w:rsidP="009C6858">
            <w:pPr>
              <w:pStyle w:val="TableText0"/>
              <w:keepNext w:val="0"/>
              <w:rPr>
                <w:rFonts w:cs="Arial"/>
              </w:rPr>
            </w:pPr>
            <w:r w:rsidRPr="00193BC1">
              <w:rPr>
                <w:rFonts w:cs="Arial"/>
              </w:rPr>
              <w:t xml:space="preserve">Patient must have </w:t>
            </w:r>
            <w:r w:rsidRPr="00193BC1">
              <w:rPr>
                <w:rFonts w:cs="Arial"/>
                <w:i/>
              </w:rPr>
              <w:t>documented a failure</w:t>
            </w:r>
            <w:r w:rsidRPr="00193BC1">
              <w:rPr>
                <w:rFonts w:cs="Arial"/>
              </w:rPr>
              <w:t xml:space="preserve">  </w:t>
            </w:r>
            <w:r w:rsidRPr="00193BC1">
              <w:rPr>
                <w:rFonts w:cs="Arial"/>
                <w:strike/>
              </w:rPr>
              <w:t>failed</w:t>
            </w:r>
            <w:r w:rsidRPr="00193BC1">
              <w:rPr>
                <w:rFonts w:cs="Arial"/>
              </w:rPr>
              <w:t xml:space="preserve"> to achieve adequate control with optimised asthma therapy, despite formal assessment of and adherence to correct inhaler technique, </w:t>
            </w:r>
            <w:r w:rsidRPr="00193BC1">
              <w:rPr>
                <w:rFonts w:cs="Arial"/>
                <w:i/>
              </w:rPr>
              <w:t>prior to initiating non-PBS subsidised treatment with this drug for this condition</w:t>
            </w:r>
            <w:r w:rsidRPr="00193BC1">
              <w:rPr>
                <w:rFonts w:cs="Arial"/>
              </w:rPr>
              <w:t xml:space="preserve">. </w:t>
            </w:r>
            <w:r w:rsidRPr="00193BC1">
              <w:rPr>
                <w:rFonts w:cs="Arial"/>
                <w:strike/>
              </w:rPr>
              <w:t>which has been documented.</w:t>
            </w:r>
          </w:p>
        </w:tc>
      </w:tr>
      <w:tr w:rsidR="00074572" w:rsidRPr="00193BC1" w14:paraId="2A6A364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78A945B" w14:textId="77777777" w:rsidR="00074572" w:rsidRPr="00193BC1" w:rsidRDefault="00074572" w:rsidP="009C6858">
            <w:pPr>
              <w:pStyle w:val="TableText0"/>
              <w:keepNext w:val="0"/>
              <w:rPr>
                <w:rFonts w:cs="Arial"/>
              </w:rPr>
            </w:pPr>
            <w:r w:rsidRPr="00193BC1">
              <w:rPr>
                <w:rFonts w:cs="Arial"/>
                <w:b/>
              </w:rPr>
              <w:t>AND</w:t>
            </w:r>
          </w:p>
        </w:tc>
      </w:tr>
      <w:tr w:rsidR="00074572" w:rsidRPr="00193BC1" w14:paraId="53B692FC"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47B05B97" w14:textId="77777777" w:rsidR="00074572" w:rsidRPr="00193BC1" w:rsidRDefault="00074572" w:rsidP="009C6858">
            <w:pPr>
              <w:pStyle w:val="TableText0"/>
              <w:keepNext w:val="0"/>
              <w:rPr>
                <w:rFonts w:cs="Arial"/>
              </w:rPr>
            </w:pPr>
            <w:r w:rsidRPr="00193BC1">
              <w:rPr>
                <w:b/>
              </w:rPr>
              <w:lastRenderedPageBreak/>
              <w:t>Clinical criteria:</w:t>
            </w:r>
          </w:p>
        </w:tc>
      </w:tr>
      <w:tr w:rsidR="00074572" w:rsidRPr="00193BC1" w14:paraId="73B85E1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1E31B34D" w14:textId="77777777" w:rsidR="00074572" w:rsidRPr="00193BC1" w:rsidRDefault="00074572" w:rsidP="009C6858">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074572" w:rsidRPr="00193BC1" w14:paraId="44FC8F32" w14:textId="77777777" w:rsidTr="00B57220">
        <w:trPr>
          <w:cantSplit/>
        </w:trPr>
        <w:tc>
          <w:tcPr>
            <w:tcW w:w="5000" w:type="pct"/>
            <w:tcBorders>
              <w:top w:val="single" w:sz="4" w:space="0" w:color="auto"/>
              <w:left w:val="single" w:sz="4" w:space="0" w:color="auto"/>
              <w:bottom w:val="single" w:sz="4" w:space="0" w:color="auto"/>
              <w:right w:val="single" w:sz="4" w:space="0" w:color="auto"/>
            </w:tcBorders>
          </w:tcPr>
          <w:p w14:paraId="02FDD539" w14:textId="77777777" w:rsidR="00074572" w:rsidRPr="00193BC1" w:rsidRDefault="00074572" w:rsidP="009C6858">
            <w:pPr>
              <w:pStyle w:val="TableText0"/>
              <w:keepNext w:val="0"/>
              <w:rPr>
                <w:rFonts w:cs="Arial"/>
              </w:rPr>
            </w:pPr>
            <w:r w:rsidRPr="00193BC1">
              <w:rPr>
                <w:b/>
              </w:rPr>
              <w:t>Population criteria:</w:t>
            </w:r>
          </w:p>
          <w:p w14:paraId="5EE9A8C6" w14:textId="77777777" w:rsidR="00074572" w:rsidRPr="00193BC1" w:rsidRDefault="00074572" w:rsidP="009C6858">
            <w:pPr>
              <w:pStyle w:val="TableText0"/>
              <w:keepNext w:val="0"/>
              <w:rPr>
                <w:rFonts w:cs="Arial"/>
              </w:rPr>
            </w:pPr>
            <w:r w:rsidRPr="00193BC1">
              <w:rPr>
                <w:rFonts w:cs="Arial"/>
              </w:rPr>
              <w:t>Patients must be aged 12 years or older.</w:t>
            </w:r>
          </w:p>
        </w:tc>
      </w:tr>
    </w:tbl>
    <w:p w14:paraId="280E44C9" w14:textId="77777777" w:rsidR="00591957" w:rsidRPr="00193BC1" w:rsidRDefault="00F628A4" w:rsidP="005863D4">
      <w:pPr>
        <w:pStyle w:val="3-BodyText"/>
        <w:spacing w:before="120"/>
      </w:pPr>
      <w:r w:rsidRPr="00193BC1">
        <w:t>The submission proposed a special pricing arrangement (SPA), which would be agreed upon after the confidential comparator prices are revealed to the sponsor.</w:t>
      </w:r>
    </w:p>
    <w:p w14:paraId="4671A1C5" w14:textId="77777777" w:rsidR="00D76ABE" w:rsidRPr="00193BC1" w:rsidRDefault="00D9246A" w:rsidP="00D76ABE">
      <w:pPr>
        <w:pStyle w:val="3-BodyText"/>
      </w:pPr>
      <w:r w:rsidRPr="00193BC1">
        <w:t>T</w:t>
      </w:r>
      <w:r w:rsidR="00D76ABE" w:rsidRPr="00193BC1">
        <w:t>he requested restriction is narrower than the TGA-approved indication, which included moderate asthma as well as severe asthma.</w:t>
      </w:r>
    </w:p>
    <w:p w14:paraId="1057D8BD" w14:textId="77777777" w:rsidR="00EB2488" w:rsidRPr="00193BC1" w:rsidRDefault="00EB2488" w:rsidP="00EB2488">
      <w:pPr>
        <w:pStyle w:val="3-BodyText"/>
      </w:pPr>
      <w:r w:rsidRPr="00193BC1">
        <w:t xml:space="preserve">The submission requested listing for severe asthma with type 2 inflammation. Type 2 inflammation is defined as raised blood eosinophils (EOS) and/or raised FeNO. The requested initial restriction proposed the same measure of IgE (of more than or equal to 30IU/mL) as that in the omalizumab initial restriction for uncontrolled severe allergic asthma. It also proposed the same measures for EOS (of more than or equal to 150 cells per microlitre in patients </w:t>
      </w:r>
      <w:r w:rsidR="00F612F5" w:rsidRPr="00193BC1">
        <w:t xml:space="preserve">receiving </w:t>
      </w:r>
      <w:r w:rsidRPr="00193BC1">
        <w:t>OCS; or more than or equal to 300 cells per microlitre) as that in the mepolizumab and benralizumab</w:t>
      </w:r>
      <w:r w:rsidR="00DC0DD8" w:rsidRPr="00193BC1">
        <w:t xml:space="preserve"> initial restrictions</w:t>
      </w:r>
      <w:r w:rsidRPr="00193BC1">
        <w:t xml:space="preserve">. </w:t>
      </w:r>
      <w:r w:rsidR="00164741" w:rsidRPr="00193BC1">
        <w:t xml:space="preserve">As the </w:t>
      </w:r>
      <w:r w:rsidR="00B9570A" w:rsidRPr="00193BC1">
        <w:t xml:space="preserve">requested restriction for dupilumab is consistent with that of </w:t>
      </w:r>
      <w:r w:rsidRPr="00193BC1">
        <w:t xml:space="preserve">omalizumab, benralizumab and mepolizumab </w:t>
      </w:r>
      <w:r w:rsidR="00164741" w:rsidRPr="00193BC1">
        <w:t xml:space="preserve">it would be appropriate to use the same terminology </w:t>
      </w:r>
      <w:r w:rsidRPr="00193BC1">
        <w:t>i.e. uncontrolled severe allergic or eosinophi</w:t>
      </w:r>
      <w:r w:rsidR="00AE1789" w:rsidRPr="00193BC1">
        <w:t>li</w:t>
      </w:r>
      <w:r w:rsidR="00164741" w:rsidRPr="00193BC1">
        <w:t>c asthma.</w:t>
      </w:r>
      <w:r w:rsidRPr="00193BC1">
        <w:t xml:space="preserve"> The Pre-Sub-Committee Response (PSCR</w:t>
      </w:r>
      <w:r w:rsidR="003F5570" w:rsidRPr="00193BC1">
        <w:t>)</w:t>
      </w:r>
      <w:r w:rsidRPr="00193BC1">
        <w:t xml:space="preserve"> stated that dupilumab represents an evolution in the treatment of uncontrolled severe asthma patients and argued that this is reflected in the breadth of the TGA restriction, which encompasses both allergic and eosinophilic asthma patients under the umbrella of type 2 asthma. The PSCR argued </w:t>
      </w:r>
      <w:r w:rsidR="00DC0DD8" w:rsidRPr="00193BC1">
        <w:t>th</w:t>
      </w:r>
      <w:r w:rsidRPr="00193BC1">
        <w:t xml:space="preserve">is terminology is routinely used in clinical practice and </w:t>
      </w:r>
      <w:r w:rsidR="00DC0DD8" w:rsidRPr="00193BC1">
        <w:t xml:space="preserve">is </w:t>
      </w:r>
      <w:r w:rsidRPr="00193BC1">
        <w:t>consistent with the latest GINA guidelines. For the</w:t>
      </w:r>
      <w:r w:rsidR="00DC0DD8" w:rsidRPr="00193BC1">
        <w:t>se reasons, the PSCR stated</w:t>
      </w:r>
      <w:r w:rsidRPr="00193BC1">
        <w:t xml:space="preserve"> that </w:t>
      </w:r>
      <w:r w:rsidR="00E51ACF" w:rsidRPr="00193BC1">
        <w:t>the sponsor considered</w:t>
      </w:r>
      <w:r w:rsidR="00DC0DD8" w:rsidRPr="00193BC1">
        <w:t xml:space="preserve"> it </w:t>
      </w:r>
      <w:r w:rsidRPr="00193BC1">
        <w:t xml:space="preserve">important that the type 2 endotype diagnosis is explicitly reflected in the PBS restriction. The ESC noted that the submission stated that dupilumab is not expected to increase the size of the asthma biologic market more than would otherwise be expected. </w:t>
      </w:r>
      <w:r w:rsidR="00CA01FF" w:rsidRPr="00193BC1">
        <w:t>As such, t</w:t>
      </w:r>
      <w:r w:rsidRPr="00193BC1">
        <w:t xml:space="preserve">he ESC considered that it may be appropriate to amend the PBS indication to ‘uncontrolled severe eosinophilic or allergic asthma’ with reference to oral corticosteroid dependence reserved for the clinical criteria of the 300 mg formulation. </w:t>
      </w:r>
    </w:p>
    <w:p w14:paraId="152279CB" w14:textId="77777777" w:rsidR="00E16ECD" w:rsidRPr="00193BC1" w:rsidRDefault="00E16ECD" w:rsidP="001716E0">
      <w:pPr>
        <w:pStyle w:val="3-BodyText"/>
      </w:pPr>
      <w:r w:rsidRPr="00193BC1">
        <w:t xml:space="preserve">The proposed definition of OCS dependence was drawn from the definition used by currently listed biologic therapies: </w:t>
      </w:r>
      <w:r w:rsidR="00D66D88" w:rsidRPr="00193BC1">
        <w:t xml:space="preserve">patients </w:t>
      </w:r>
      <w:r w:rsidR="002A6792" w:rsidRPr="00193BC1">
        <w:t>who</w:t>
      </w:r>
      <w:r w:rsidRPr="00193BC1">
        <w:t xml:space="preserve"> received daily OCS for at least six weeks</w:t>
      </w:r>
      <w:r w:rsidR="001651A9" w:rsidRPr="00193BC1">
        <w:t>, whilst also on maximal inhaled therapy for at least 12 months</w:t>
      </w:r>
      <w:r w:rsidRPr="00193BC1">
        <w:t>.</w:t>
      </w:r>
      <w:r w:rsidR="00E2744D" w:rsidRPr="00193BC1">
        <w:t xml:space="preserve"> This is </w:t>
      </w:r>
      <w:r w:rsidR="00524A5C" w:rsidRPr="00193BC1">
        <w:t>distinguished</w:t>
      </w:r>
      <w:r w:rsidR="00E2744D" w:rsidRPr="00193BC1">
        <w:t xml:space="preserve"> from the non-OCS dependent group, who may have had a cumulative dose of OCS of at least 500mg prednisolone equivalent in the previous 12 months, unless contraindicated or not tolerated.</w:t>
      </w:r>
      <w:r w:rsidR="0040763D" w:rsidRPr="00193BC1">
        <w:t xml:space="preserve"> </w:t>
      </w:r>
      <w:r w:rsidR="00EB2488" w:rsidRPr="00193BC1">
        <w:t>The PSCR considered that clarification of the meaning of OCS dependence by including the definition used in VENTURE may be appropriate. The ESC noted that this would involve the inclusion of the following clinical criterion in the dupilumab 300 mg restriction ‘Patient must have received regular ma</w:t>
      </w:r>
      <w:r w:rsidR="00E51ACF" w:rsidRPr="00193BC1">
        <w:t>intenance OCS</w:t>
      </w:r>
      <w:r w:rsidR="00EB2488" w:rsidRPr="00193BC1">
        <w:t xml:space="preserve"> in the last 6 months with a stable daily OCS dose of 5 to 35 mg/day of prednisolone or equivalent over the 4 weeks prior to treatment initiation’.</w:t>
      </w:r>
    </w:p>
    <w:p w14:paraId="66A71DE3" w14:textId="77777777" w:rsidR="00D957A5" w:rsidRPr="00193BC1" w:rsidRDefault="00EB2488" w:rsidP="00EB2488">
      <w:pPr>
        <w:pStyle w:val="3-BodyText"/>
      </w:pPr>
      <w:r w:rsidRPr="00193BC1">
        <w:lastRenderedPageBreak/>
        <w:t xml:space="preserve">The PSCR clarified that the ACQ-5 tool will be provided to prescribers in a manner consistent with current practice and hence the restrictions should include the following administrative advice ‘For copies of the ACQ, please contact Sanofi Medical Information on 1800 818 806’. </w:t>
      </w:r>
    </w:p>
    <w:p w14:paraId="34326FB2" w14:textId="77777777" w:rsidR="00B805AB" w:rsidRPr="00193BC1" w:rsidRDefault="00B805AB" w:rsidP="00B805AB">
      <w:pPr>
        <w:tabs>
          <w:tab w:val="center" w:pos="4153"/>
          <w:tab w:val="right" w:pos="8306"/>
        </w:tabs>
        <w:autoSpaceDE w:val="0"/>
        <w:autoSpaceDN w:val="0"/>
        <w:adjustRightInd w:val="0"/>
        <w:rPr>
          <w:rFonts w:asciiTheme="minorHAnsi" w:hAnsiTheme="minorHAnsi" w:cstheme="minorHAnsi"/>
          <w:i/>
          <w:iCs/>
        </w:rPr>
      </w:pPr>
      <w:r w:rsidRPr="00193BC1">
        <w:rPr>
          <w:rFonts w:asciiTheme="minorHAnsi" w:hAnsiTheme="minorHAnsi" w:cstheme="minorHAnsi"/>
          <w:i/>
          <w:iCs/>
        </w:rPr>
        <w:t>For more detail on PBAC’s view, see section 7 PBAC outcome.</w:t>
      </w:r>
    </w:p>
    <w:p w14:paraId="0DF3DE87" w14:textId="77777777" w:rsidR="00B50DB8" w:rsidRPr="00193BC1" w:rsidRDefault="00203181" w:rsidP="00580E2F">
      <w:pPr>
        <w:pStyle w:val="2-SectionHeading"/>
        <w:keepNext w:val="0"/>
      </w:pPr>
      <w:bookmarkStart w:id="8" w:name="_Toc50399836"/>
      <w:r w:rsidRPr="00193BC1">
        <w:t xml:space="preserve">Population and </w:t>
      </w:r>
      <w:r w:rsidR="008E0D3C" w:rsidRPr="00193BC1">
        <w:t>d</w:t>
      </w:r>
      <w:r w:rsidRPr="00193BC1">
        <w:t>isease</w:t>
      </w:r>
      <w:bookmarkEnd w:id="8"/>
    </w:p>
    <w:p w14:paraId="5FAC92DE" w14:textId="77777777" w:rsidR="006D3DBE" w:rsidRPr="00193BC1" w:rsidRDefault="007D6167" w:rsidP="001716E0">
      <w:pPr>
        <w:pStyle w:val="3-BodyText"/>
      </w:pPr>
      <w:r w:rsidRPr="00193BC1">
        <w:t xml:space="preserve">Asthma is a </w:t>
      </w:r>
      <w:r w:rsidR="006F2211" w:rsidRPr="00193BC1">
        <w:t>heterogeneous</w:t>
      </w:r>
      <w:r w:rsidRPr="00193BC1">
        <w:t xml:space="preserve"> disease characterised by chronic airway inflammation, which can lead to obstruction. The disease is characterised by respiratory wheeze, shortness of breath, chest tightness and cough that vary over time in intensity, together with variable airflow limitation which may become persistent. About 2.9 million people in Australia (11% of the total population) have asthma, based on self-reported data from 2017-18</w:t>
      </w:r>
      <w:r w:rsidR="00014DEA" w:rsidRPr="00193BC1">
        <w:rPr>
          <w:rStyle w:val="FootnoteReference"/>
        </w:rPr>
        <w:footnoteReference w:id="1"/>
      </w:r>
      <w:r w:rsidRPr="00193BC1">
        <w:t>.</w:t>
      </w:r>
    </w:p>
    <w:p w14:paraId="7A8B46D5" w14:textId="77777777" w:rsidR="000E590E" w:rsidRPr="00193BC1" w:rsidRDefault="006D3DBE" w:rsidP="001716E0">
      <w:pPr>
        <w:pStyle w:val="3-BodyText"/>
      </w:pPr>
      <w:r w:rsidRPr="00193BC1">
        <w:t xml:space="preserve">The target population </w:t>
      </w:r>
      <w:r w:rsidR="0001766A" w:rsidRPr="00193BC1">
        <w:t xml:space="preserve">for dupilumab </w:t>
      </w:r>
      <w:r w:rsidR="007E760F" w:rsidRPr="00193BC1">
        <w:t>has</w:t>
      </w:r>
      <w:r w:rsidRPr="00193BC1">
        <w:t xml:space="preserve"> ‘severe refractory’ asthma, where the disease remains uncontrolled despite adherence to high-dose inhaled corticosteroids (ICS) in combination with a second controller such as a long-acting beta agonist</w:t>
      </w:r>
      <w:r w:rsidR="0046216A" w:rsidRPr="00193BC1">
        <w:t>,</w:t>
      </w:r>
      <w:r w:rsidRPr="00193BC1">
        <w:t xml:space="preserve"> and/or systemic corticosteroids, or whose asthma control deteriorates when these treatments are stepped down</w:t>
      </w:r>
      <w:r w:rsidR="00014DEA" w:rsidRPr="00193BC1">
        <w:rPr>
          <w:rStyle w:val="FootnoteReference"/>
        </w:rPr>
        <w:footnoteReference w:id="2"/>
      </w:r>
      <w:r w:rsidRPr="00193BC1">
        <w:t xml:space="preserve">. </w:t>
      </w:r>
      <w:r w:rsidR="000E590E" w:rsidRPr="00193BC1">
        <w:t xml:space="preserve">The ESC considered the target population to be appropriate. </w:t>
      </w:r>
    </w:p>
    <w:p w14:paraId="4C2940B4" w14:textId="77777777" w:rsidR="006D3DBE" w:rsidRPr="00193BC1" w:rsidRDefault="006D3DBE" w:rsidP="001716E0">
      <w:pPr>
        <w:pStyle w:val="3-BodyText"/>
      </w:pPr>
      <w:r w:rsidRPr="00193BC1">
        <w:t>Between 3% and 10% of all individuals with asthma are thought to have severe disease</w:t>
      </w:r>
      <w:r w:rsidR="007E760F" w:rsidRPr="00193BC1">
        <w:t>, and a</w:t>
      </w:r>
      <w:r w:rsidRPr="00193BC1">
        <w:t xml:space="preserve">bout 50% of </w:t>
      </w:r>
      <w:r w:rsidR="007E760F" w:rsidRPr="00193BC1">
        <w:t>these are</w:t>
      </w:r>
      <w:r w:rsidRPr="00193BC1">
        <w:t xml:space="preserve"> associated with persistent elevation in markers of type 2 inflammation</w:t>
      </w:r>
      <w:r w:rsidR="00014DEA" w:rsidRPr="00193BC1">
        <w:rPr>
          <w:rStyle w:val="FootnoteReference"/>
        </w:rPr>
        <w:footnoteReference w:id="3"/>
      </w:r>
      <w:r w:rsidRPr="00193BC1">
        <w:t>.</w:t>
      </w:r>
      <w:r w:rsidR="001D53B9" w:rsidRPr="00193BC1">
        <w:t xml:space="preserve"> A multicentre study found 26% of Australian severe asthma patients were receiving background OCS therapy</w:t>
      </w:r>
      <w:r w:rsidR="001D53B9" w:rsidRPr="00193BC1">
        <w:rPr>
          <w:rStyle w:val="FootnoteReference"/>
        </w:rPr>
        <w:footnoteReference w:id="4"/>
      </w:r>
      <w:r w:rsidR="001D53B9" w:rsidRPr="00193BC1">
        <w:t>.</w:t>
      </w:r>
      <w:r w:rsidR="000E590E" w:rsidRPr="00193BC1">
        <w:t xml:space="preserve"> </w:t>
      </w:r>
    </w:p>
    <w:p w14:paraId="65A425CF" w14:textId="77777777" w:rsidR="00835E68" w:rsidRPr="00193BC1" w:rsidRDefault="00835E68" w:rsidP="001716E0">
      <w:pPr>
        <w:pStyle w:val="3-BodyText"/>
      </w:pPr>
      <w:r w:rsidRPr="00193BC1">
        <w:t xml:space="preserve">Severe asthma is associated with a substantial burden. A study in the UK found </w:t>
      </w:r>
      <w:r w:rsidR="00BB104B" w:rsidRPr="00193BC1">
        <w:t xml:space="preserve">around </w:t>
      </w:r>
      <w:r w:rsidRPr="00193BC1">
        <w:t>2/3 individuals with severe asthma were unable to maintain full-time employment</w:t>
      </w:r>
      <w:r w:rsidRPr="00193BC1">
        <w:rPr>
          <w:rStyle w:val="FootnoteReference"/>
        </w:rPr>
        <w:footnoteReference w:id="5"/>
      </w:r>
      <w:r w:rsidRPr="00193BC1">
        <w:t>, and in Australia, 73% of individuals with severe asthma reported being impaired at work due to their health in the previous week</w:t>
      </w:r>
      <w:r w:rsidRPr="00193BC1">
        <w:rPr>
          <w:rStyle w:val="FootnoteReference"/>
        </w:rPr>
        <w:footnoteReference w:id="6"/>
      </w:r>
      <w:r w:rsidRPr="00193BC1">
        <w:t xml:space="preserve">. The requirement </w:t>
      </w:r>
      <w:r w:rsidR="0001766A" w:rsidRPr="00193BC1">
        <w:t>to use</w:t>
      </w:r>
      <w:r w:rsidRPr="00193BC1">
        <w:t xml:space="preserve"> OCS represents further cumulative burden on current and future health</w:t>
      </w:r>
      <w:r w:rsidRPr="00193BC1">
        <w:rPr>
          <w:rStyle w:val="FootnoteReference"/>
        </w:rPr>
        <w:footnoteReference w:id="7"/>
      </w:r>
      <w:r w:rsidRPr="00193BC1">
        <w:t>.</w:t>
      </w:r>
    </w:p>
    <w:p w14:paraId="654B7008" w14:textId="77777777" w:rsidR="00E134B2" w:rsidRPr="00193BC1" w:rsidRDefault="00E134B2" w:rsidP="001716E0">
      <w:pPr>
        <w:pStyle w:val="3-BodyText"/>
      </w:pPr>
      <w:r w:rsidRPr="00193BC1">
        <w:t xml:space="preserve">Dupilumab was proposed as an advanced therapy for </w:t>
      </w:r>
      <w:r w:rsidR="00350BFE" w:rsidRPr="00193BC1">
        <w:t>both OCS-</w:t>
      </w:r>
      <w:r w:rsidR="00722B23" w:rsidRPr="00193BC1">
        <w:t>dependent</w:t>
      </w:r>
      <w:r w:rsidR="00350BFE" w:rsidRPr="00193BC1">
        <w:t xml:space="preserve"> and non-OCS dependent </w:t>
      </w:r>
      <w:r w:rsidRPr="00193BC1">
        <w:t>severe refractory type 2 asthma</w:t>
      </w:r>
      <w:r w:rsidR="00244B7D" w:rsidRPr="00193BC1">
        <w:t xml:space="preserve">, where it could be used as an alternative to benralizumab or mepolizumab in patients with eosinophilic asthma, and </w:t>
      </w:r>
      <w:r w:rsidR="00715424" w:rsidRPr="00193BC1">
        <w:lastRenderedPageBreak/>
        <w:t xml:space="preserve">an alternative </w:t>
      </w:r>
      <w:r w:rsidR="00244B7D" w:rsidRPr="00193BC1">
        <w:t>to omalizumab in patients with allergic asthma</w:t>
      </w:r>
      <w:r w:rsidRPr="00193BC1">
        <w:t xml:space="preserve">. It works through the dual inhibition of the interleukin- (IL) 4 and IL-13 pathways, which are common </w:t>
      </w:r>
      <w:r w:rsidR="00A810F3" w:rsidRPr="00193BC1">
        <w:t>signalling pathways</w:t>
      </w:r>
      <w:r w:rsidRPr="00193BC1">
        <w:t xml:space="preserve"> </w:t>
      </w:r>
      <w:r w:rsidR="00715424" w:rsidRPr="00193BC1">
        <w:t>in</w:t>
      </w:r>
      <w:r w:rsidR="0092571A" w:rsidRPr="00193BC1">
        <w:t xml:space="preserve"> </w:t>
      </w:r>
      <w:r w:rsidRPr="00193BC1">
        <w:t>both eosinophilic and allergic (IgE-mediated) subtypes of asthma.</w:t>
      </w:r>
    </w:p>
    <w:p w14:paraId="1A15CA16" w14:textId="77777777" w:rsidR="00B805AB" w:rsidRPr="00193BC1" w:rsidRDefault="00B805AB" w:rsidP="00B805AB">
      <w:pPr>
        <w:tabs>
          <w:tab w:val="center" w:pos="4153"/>
          <w:tab w:val="right" w:pos="8306"/>
        </w:tabs>
        <w:autoSpaceDE w:val="0"/>
        <w:autoSpaceDN w:val="0"/>
        <w:adjustRightInd w:val="0"/>
        <w:rPr>
          <w:rFonts w:asciiTheme="minorHAnsi" w:hAnsiTheme="minorHAnsi" w:cstheme="minorHAnsi"/>
          <w:i/>
          <w:iCs/>
        </w:rPr>
      </w:pPr>
      <w:r w:rsidRPr="00193BC1">
        <w:rPr>
          <w:rFonts w:asciiTheme="minorHAnsi" w:hAnsiTheme="minorHAnsi" w:cstheme="minorHAnsi"/>
          <w:i/>
          <w:iCs/>
        </w:rPr>
        <w:t>For more detail on PBAC’s view, see section 7 PBAC outcome.</w:t>
      </w:r>
    </w:p>
    <w:p w14:paraId="50F6660A" w14:textId="77777777" w:rsidR="00B50DB8" w:rsidRPr="00193BC1" w:rsidRDefault="00B50DB8" w:rsidP="00580E2F">
      <w:pPr>
        <w:pStyle w:val="2-SectionHeading"/>
        <w:keepNext w:val="0"/>
      </w:pPr>
      <w:bookmarkStart w:id="9" w:name="_Toc50399837"/>
      <w:r w:rsidRPr="00193BC1">
        <w:t>Comparator</w:t>
      </w:r>
      <w:bookmarkEnd w:id="9"/>
    </w:p>
    <w:p w14:paraId="17B56261" w14:textId="77777777" w:rsidR="002C2775" w:rsidRPr="00193BC1" w:rsidRDefault="00AF261C" w:rsidP="001716E0">
      <w:pPr>
        <w:pStyle w:val="3-BodyText"/>
      </w:pPr>
      <w:r w:rsidRPr="00193BC1">
        <w:t xml:space="preserve">The submission nominated three comparators: benralizumab, mepolizumab and omalizumab. </w:t>
      </w:r>
      <w:r w:rsidRPr="00193BC1">
        <w:rPr>
          <w:iCs/>
        </w:rPr>
        <w:t xml:space="preserve">These comparators </w:t>
      </w:r>
      <w:r w:rsidR="00531515" w:rsidRPr="00193BC1">
        <w:rPr>
          <w:iCs/>
        </w:rPr>
        <w:t xml:space="preserve">represent </w:t>
      </w:r>
      <w:r w:rsidR="00715424" w:rsidRPr="00193BC1">
        <w:rPr>
          <w:iCs/>
        </w:rPr>
        <w:t>the</w:t>
      </w:r>
      <w:r w:rsidR="00531515" w:rsidRPr="00193BC1">
        <w:rPr>
          <w:iCs/>
        </w:rPr>
        <w:t xml:space="preserve"> current treatment options </w:t>
      </w:r>
      <w:r w:rsidRPr="00193BC1">
        <w:rPr>
          <w:iCs/>
        </w:rPr>
        <w:t>for the target population</w:t>
      </w:r>
      <w:r w:rsidR="008F0C1E" w:rsidRPr="00193BC1">
        <w:rPr>
          <w:iCs/>
        </w:rPr>
        <w:t>.</w:t>
      </w:r>
      <w:r w:rsidR="00E61DBE" w:rsidRPr="00193BC1">
        <w:rPr>
          <w:iCs/>
        </w:rPr>
        <w:t xml:space="preserve"> </w:t>
      </w:r>
      <w:r w:rsidR="000E590E" w:rsidRPr="00193BC1">
        <w:rPr>
          <w:iCs/>
        </w:rPr>
        <w:t>The ESC considered the nominated comparators appropriate.</w:t>
      </w:r>
    </w:p>
    <w:p w14:paraId="248BE76D" w14:textId="77777777" w:rsidR="00B805AB" w:rsidRPr="005863D4" w:rsidRDefault="00B805AB" w:rsidP="005863D4">
      <w:pPr>
        <w:tabs>
          <w:tab w:val="center" w:pos="4153"/>
          <w:tab w:val="right" w:pos="8306"/>
        </w:tabs>
        <w:autoSpaceDE w:val="0"/>
        <w:autoSpaceDN w:val="0"/>
        <w:adjustRightInd w:val="0"/>
        <w:rPr>
          <w:rFonts w:asciiTheme="minorHAnsi" w:hAnsiTheme="minorHAnsi" w:cstheme="minorHAnsi"/>
          <w:i/>
          <w:iCs/>
        </w:rPr>
      </w:pPr>
      <w:r w:rsidRPr="00193BC1">
        <w:rPr>
          <w:rFonts w:asciiTheme="minorHAnsi" w:hAnsiTheme="minorHAnsi" w:cstheme="minorHAnsi"/>
          <w:i/>
          <w:iCs/>
        </w:rPr>
        <w:t>For more detail on PBAC’s view, see section 7 PBAC outcome.</w:t>
      </w:r>
    </w:p>
    <w:p w14:paraId="2639FF51" w14:textId="77777777" w:rsidR="00223D5A" w:rsidRPr="00193BC1" w:rsidRDefault="00223D5A" w:rsidP="001716E0">
      <w:pPr>
        <w:pStyle w:val="2-SectionHeading"/>
      </w:pPr>
      <w:bookmarkStart w:id="10" w:name="_Toc50399838"/>
      <w:bookmarkStart w:id="11" w:name="_Toc22897640"/>
      <w:r w:rsidRPr="00193BC1">
        <w:t>Consideration of the evidence</w:t>
      </w:r>
      <w:bookmarkEnd w:id="10"/>
    </w:p>
    <w:p w14:paraId="1A047B2E" w14:textId="77777777" w:rsidR="006E7D29" w:rsidRPr="00193BC1" w:rsidRDefault="006E7D29" w:rsidP="006E7D29">
      <w:pPr>
        <w:pStyle w:val="4-SubsectionHeading"/>
      </w:pPr>
      <w:r w:rsidRPr="00193BC1">
        <w:t>Sponsor hearing</w:t>
      </w:r>
    </w:p>
    <w:p w14:paraId="38F64264" w14:textId="77777777" w:rsidR="006E7D29" w:rsidRPr="00193BC1" w:rsidRDefault="006E7D29" w:rsidP="00CD56E6">
      <w:pPr>
        <w:pStyle w:val="3-BodyText"/>
        <w:rPr>
          <w:iCs/>
        </w:rPr>
      </w:pPr>
      <w:r w:rsidRPr="00193BC1">
        <w:rPr>
          <w:iCs/>
        </w:rPr>
        <w:t>The</w:t>
      </w:r>
      <w:r w:rsidR="00CD56E6" w:rsidRPr="00193BC1">
        <w:rPr>
          <w:iCs/>
        </w:rPr>
        <w:t>re was no hearing for this item</w:t>
      </w:r>
      <w:r w:rsidRPr="00193BC1">
        <w:rPr>
          <w:iCs/>
        </w:rPr>
        <w:t>.</w:t>
      </w:r>
    </w:p>
    <w:p w14:paraId="5A5DD663" w14:textId="77777777" w:rsidR="006E7D29" w:rsidRPr="00193BC1" w:rsidRDefault="006E7D29" w:rsidP="006E7D29">
      <w:pPr>
        <w:pStyle w:val="4-SubsectionHeading"/>
      </w:pPr>
      <w:r w:rsidRPr="00193BC1">
        <w:t>Consumer comments</w:t>
      </w:r>
    </w:p>
    <w:p w14:paraId="5CF6688F" w14:textId="77777777" w:rsidR="006E7D29" w:rsidRPr="00193BC1" w:rsidRDefault="006E7D29" w:rsidP="00CD56E6">
      <w:pPr>
        <w:pStyle w:val="3-BodyText"/>
        <w:rPr>
          <w:iCs/>
        </w:rPr>
      </w:pPr>
      <w:r w:rsidRPr="00193BC1">
        <w:rPr>
          <w:iCs/>
        </w:rPr>
        <w:t>The PBAC noted and welcom</w:t>
      </w:r>
      <w:r w:rsidR="00CD56E6" w:rsidRPr="00193BC1">
        <w:rPr>
          <w:iCs/>
        </w:rPr>
        <w:t>ed the input from individuals (7), health care professionals (3) and organisations (5</w:t>
      </w:r>
      <w:r w:rsidRPr="00193BC1">
        <w:rPr>
          <w:iCs/>
        </w:rPr>
        <w:t>) via the Consumer Comments facility on the PBS website</w:t>
      </w:r>
      <w:r w:rsidR="00193BC1">
        <w:rPr>
          <w:iCs/>
        </w:rPr>
        <w:t xml:space="preserve">. </w:t>
      </w:r>
      <w:r w:rsidRPr="00193BC1">
        <w:rPr>
          <w:iCs/>
        </w:rPr>
        <w:t xml:space="preserve">The comments described a range of benefits of treatment with </w:t>
      </w:r>
      <w:r w:rsidR="004A2ECF" w:rsidRPr="00193BC1">
        <w:rPr>
          <w:iCs/>
        </w:rPr>
        <w:t xml:space="preserve">dupilumab including a reduction in asthma exacerbations and hospitalisations and improvements in quality of life. </w:t>
      </w:r>
    </w:p>
    <w:p w14:paraId="7416128F" w14:textId="77777777" w:rsidR="00B60939" w:rsidRPr="00193BC1" w:rsidRDefault="00B60939" w:rsidP="00580E2F">
      <w:pPr>
        <w:pStyle w:val="4-SubsectionHeading"/>
        <w:keepNext w:val="0"/>
      </w:pPr>
      <w:bookmarkStart w:id="12" w:name="_Toc50399839"/>
      <w:r w:rsidRPr="00193BC1">
        <w:t>Clinical trials</w:t>
      </w:r>
      <w:bookmarkEnd w:id="11"/>
      <w:bookmarkEnd w:id="12"/>
    </w:p>
    <w:p w14:paraId="0DD2E546" w14:textId="77777777" w:rsidR="00862502" w:rsidRPr="00193BC1" w:rsidRDefault="00477A8B" w:rsidP="001716E0">
      <w:pPr>
        <w:pStyle w:val="3-BodyText"/>
      </w:pPr>
      <w:r w:rsidRPr="00193BC1">
        <w:t xml:space="preserve">Details of the trials presented in the submission are provided in </w:t>
      </w:r>
      <w:r w:rsidR="00797BC5" w:rsidRPr="00193BC1">
        <w:t>Table 2</w:t>
      </w:r>
      <w:r w:rsidRPr="00193BC1">
        <w:t xml:space="preserve"> below.</w:t>
      </w:r>
    </w:p>
    <w:p w14:paraId="6EB26281" w14:textId="77777777" w:rsidR="008E0D3C" w:rsidRPr="00193BC1" w:rsidRDefault="0008369F" w:rsidP="00E9172C">
      <w:pPr>
        <w:pStyle w:val="TableFigureHeading"/>
        <w:rPr>
          <w:rStyle w:val="CommentReference"/>
          <w:b/>
          <w:szCs w:val="24"/>
        </w:rPr>
      </w:pPr>
      <w:bookmarkStart w:id="13" w:name="_Ref49792318"/>
      <w:r w:rsidRPr="00193BC1">
        <w:lastRenderedPageBreak/>
        <w:t xml:space="preserve">Table </w:t>
      </w:r>
      <w:r w:rsidR="00797BC5" w:rsidRPr="00193BC1">
        <w:t>2</w:t>
      </w:r>
      <w:bookmarkEnd w:id="13"/>
      <w:r w:rsidR="008E0D3C" w:rsidRPr="00193BC1">
        <w:rPr>
          <w:rStyle w:val="CommentReference"/>
          <w:b/>
          <w:szCs w:val="24"/>
        </w:rPr>
        <w:t>:</w:t>
      </w:r>
      <w:r w:rsidR="00BC591F" w:rsidRPr="00193BC1">
        <w:rPr>
          <w:rStyle w:val="CommentReference"/>
          <w:b/>
          <w:szCs w:val="24"/>
        </w:rPr>
        <w:t xml:space="preserve"> </w:t>
      </w:r>
      <w:r w:rsidR="008E0D3C" w:rsidRPr="00193BC1">
        <w:rPr>
          <w:rStyle w:val="CommentReference"/>
          <w:b/>
          <w:szCs w:val="24"/>
        </w:rPr>
        <w:t>Trials</w:t>
      </w:r>
      <w:r w:rsidR="00477A8B" w:rsidRPr="00193BC1">
        <w:rPr>
          <w:rStyle w:val="CommentReference"/>
          <w:b/>
          <w:szCs w:val="24"/>
        </w:rPr>
        <w:t xml:space="preserve"> </w:t>
      </w:r>
      <w:r w:rsidR="008E0D3C" w:rsidRPr="00193BC1">
        <w:rPr>
          <w:rStyle w:val="CommentReference"/>
          <w:b/>
          <w:szCs w:val="24"/>
        </w:rPr>
        <w:t>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223"/>
        <w:gridCol w:w="2359"/>
      </w:tblGrid>
      <w:tr w:rsidR="006F2ADF" w:rsidRPr="00B57220" w14:paraId="47EE23FD" w14:textId="77777777" w:rsidTr="00B57220">
        <w:trPr>
          <w:cantSplit/>
          <w:tblHeader/>
        </w:trPr>
        <w:tc>
          <w:tcPr>
            <w:tcW w:w="796" w:type="pct"/>
            <w:vAlign w:val="center"/>
          </w:tcPr>
          <w:p w14:paraId="4C79D1EB" w14:textId="77777777" w:rsidR="008E0D3C" w:rsidRPr="00B57220" w:rsidRDefault="008E0D3C" w:rsidP="00E9172C">
            <w:pPr>
              <w:pStyle w:val="In-tableHeading"/>
              <w:rPr>
                <w:szCs w:val="20"/>
                <w:lang w:val="en-AU"/>
              </w:rPr>
            </w:pPr>
            <w:r w:rsidRPr="00B57220">
              <w:rPr>
                <w:szCs w:val="20"/>
                <w:lang w:val="en-AU"/>
              </w:rPr>
              <w:t>Trial ID</w:t>
            </w:r>
            <w:r w:rsidR="004C313F" w:rsidRPr="00B57220">
              <w:rPr>
                <w:szCs w:val="20"/>
                <w:lang w:val="en-AU"/>
              </w:rPr>
              <w:t>/ author</w:t>
            </w:r>
          </w:p>
        </w:tc>
        <w:tc>
          <w:tcPr>
            <w:tcW w:w="2896" w:type="pct"/>
            <w:tcBorders>
              <w:bottom w:val="single" w:sz="4" w:space="0" w:color="auto"/>
            </w:tcBorders>
            <w:vAlign w:val="center"/>
          </w:tcPr>
          <w:p w14:paraId="7877034D" w14:textId="77777777" w:rsidR="008E0D3C" w:rsidRPr="00B57220" w:rsidRDefault="008E0D3C" w:rsidP="00E9172C">
            <w:pPr>
              <w:pStyle w:val="In-tableHeading"/>
              <w:rPr>
                <w:szCs w:val="20"/>
                <w:lang w:val="en-AU"/>
              </w:rPr>
            </w:pPr>
            <w:r w:rsidRPr="00B57220">
              <w:rPr>
                <w:szCs w:val="20"/>
                <w:lang w:val="en-AU"/>
              </w:rPr>
              <w:t>Protocol title/ Publication title</w:t>
            </w:r>
          </w:p>
        </w:tc>
        <w:tc>
          <w:tcPr>
            <w:tcW w:w="1308" w:type="pct"/>
            <w:tcBorders>
              <w:bottom w:val="single" w:sz="4" w:space="0" w:color="auto"/>
            </w:tcBorders>
            <w:vAlign w:val="center"/>
          </w:tcPr>
          <w:p w14:paraId="08C6A680" w14:textId="77777777" w:rsidR="008E0D3C" w:rsidRPr="00B57220" w:rsidRDefault="008E0D3C" w:rsidP="00E9172C">
            <w:pPr>
              <w:pStyle w:val="In-tableHeading"/>
              <w:rPr>
                <w:szCs w:val="20"/>
                <w:lang w:val="en-AU"/>
              </w:rPr>
            </w:pPr>
            <w:r w:rsidRPr="00B57220">
              <w:rPr>
                <w:szCs w:val="20"/>
                <w:lang w:val="en-AU"/>
              </w:rPr>
              <w:t>Publication citation</w:t>
            </w:r>
          </w:p>
        </w:tc>
      </w:tr>
      <w:tr w:rsidR="006F2ADF" w:rsidRPr="00B57220" w14:paraId="39B914EE" w14:textId="77777777" w:rsidTr="00B57220">
        <w:tc>
          <w:tcPr>
            <w:tcW w:w="796" w:type="pct"/>
            <w:vMerge w:val="restart"/>
          </w:tcPr>
          <w:p w14:paraId="15E77030" w14:textId="77777777" w:rsidR="0080145F" w:rsidRPr="00B57220" w:rsidRDefault="0080145F" w:rsidP="00E9172C">
            <w:pPr>
              <w:pStyle w:val="TableText0"/>
              <w:rPr>
                <w:szCs w:val="20"/>
              </w:rPr>
            </w:pPr>
            <w:r w:rsidRPr="00B57220">
              <w:rPr>
                <w:szCs w:val="20"/>
              </w:rPr>
              <w:t>QUEST</w:t>
            </w:r>
          </w:p>
          <w:p w14:paraId="6AC79BA8" w14:textId="77777777" w:rsidR="0080145F" w:rsidRPr="00B57220" w:rsidRDefault="0080145F" w:rsidP="00E9172C">
            <w:pPr>
              <w:pStyle w:val="TableText0"/>
              <w:rPr>
                <w:szCs w:val="20"/>
              </w:rPr>
            </w:pPr>
            <w:r w:rsidRPr="00B57220">
              <w:rPr>
                <w:szCs w:val="20"/>
              </w:rPr>
              <w:t>EFC13579</w:t>
            </w:r>
          </w:p>
          <w:p w14:paraId="06AB5B0B" w14:textId="77777777" w:rsidR="0080145F" w:rsidRPr="00B57220" w:rsidRDefault="0080145F" w:rsidP="00E9172C">
            <w:pPr>
              <w:pStyle w:val="TableText0"/>
              <w:rPr>
                <w:szCs w:val="20"/>
              </w:rPr>
            </w:pPr>
            <w:r w:rsidRPr="00B57220">
              <w:rPr>
                <w:szCs w:val="20"/>
              </w:rPr>
              <w:t>NCT02528214</w:t>
            </w:r>
          </w:p>
          <w:p w14:paraId="76D074C2" w14:textId="77777777" w:rsidR="0080145F" w:rsidRPr="00B57220" w:rsidRDefault="0080145F" w:rsidP="00E9172C">
            <w:pPr>
              <w:pStyle w:val="TableText0"/>
              <w:rPr>
                <w:szCs w:val="20"/>
              </w:rPr>
            </w:pPr>
          </w:p>
          <w:p w14:paraId="361C266C" w14:textId="77777777" w:rsidR="0080145F" w:rsidRPr="00B57220" w:rsidRDefault="0080145F" w:rsidP="00E9172C">
            <w:pPr>
              <w:pStyle w:val="TableText0"/>
              <w:rPr>
                <w:szCs w:val="20"/>
              </w:rPr>
            </w:pPr>
          </w:p>
        </w:tc>
        <w:tc>
          <w:tcPr>
            <w:tcW w:w="2896" w:type="pct"/>
            <w:tcBorders>
              <w:bottom w:val="nil"/>
            </w:tcBorders>
          </w:tcPr>
          <w:p w14:paraId="70FABF18" w14:textId="77777777" w:rsidR="0080145F" w:rsidRPr="00B57220" w:rsidRDefault="0080145F" w:rsidP="00E9172C">
            <w:pPr>
              <w:pStyle w:val="In-tableHeading"/>
              <w:rPr>
                <w:b w:val="0"/>
                <w:bCs/>
                <w:szCs w:val="20"/>
                <w:lang w:val="en-AU"/>
              </w:rPr>
            </w:pPr>
            <w:r w:rsidRPr="00B57220">
              <w:rPr>
                <w:b w:val="0"/>
                <w:bCs/>
                <w:szCs w:val="20"/>
                <w:lang w:val="en-AU"/>
              </w:rPr>
              <w:t>A randomised, double blind, placebo-controlled, parallel group study to evaluate the efficacy and safety of dupilumab in patients with persistent asthma. Clinical study report.</w:t>
            </w:r>
          </w:p>
        </w:tc>
        <w:tc>
          <w:tcPr>
            <w:tcW w:w="1308" w:type="pct"/>
            <w:tcBorders>
              <w:bottom w:val="nil"/>
            </w:tcBorders>
          </w:tcPr>
          <w:p w14:paraId="5E81EEF5" w14:textId="77777777" w:rsidR="0080145F" w:rsidRPr="00B57220" w:rsidRDefault="0080145F" w:rsidP="00E9172C">
            <w:pPr>
              <w:pStyle w:val="TableText0"/>
              <w:rPr>
                <w:szCs w:val="20"/>
              </w:rPr>
            </w:pPr>
            <w:r w:rsidRPr="00B57220">
              <w:rPr>
                <w:szCs w:val="20"/>
              </w:rPr>
              <w:t>November 2017</w:t>
            </w:r>
          </w:p>
        </w:tc>
      </w:tr>
      <w:tr w:rsidR="006F2ADF" w:rsidRPr="00B57220" w14:paraId="58970D62" w14:textId="77777777" w:rsidTr="00B57220">
        <w:tc>
          <w:tcPr>
            <w:tcW w:w="796" w:type="pct"/>
            <w:vMerge/>
          </w:tcPr>
          <w:p w14:paraId="0C64C5D5" w14:textId="77777777" w:rsidR="0080145F" w:rsidRPr="00B57220" w:rsidRDefault="0080145F" w:rsidP="00E9172C">
            <w:pPr>
              <w:pStyle w:val="TableText0"/>
              <w:rPr>
                <w:szCs w:val="20"/>
              </w:rPr>
            </w:pPr>
          </w:p>
        </w:tc>
        <w:tc>
          <w:tcPr>
            <w:tcW w:w="2896" w:type="pct"/>
            <w:tcBorders>
              <w:top w:val="nil"/>
              <w:bottom w:val="nil"/>
            </w:tcBorders>
          </w:tcPr>
          <w:p w14:paraId="110627EA" w14:textId="77777777" w:rsidR="0080145F" w:rsidRPr="00B57220" w:rsidRDefault="007C18A5" w:rsidP="00E9172C">
            <w:pPr>
              <w:pStyle w:val="In-tableHeading"/>
              <w:rPr>
                <w:b w:val="0"/>
                <w:bCs/>
                <w:szCs w:val="20"/>
                <w:lang w:val="en-AU"/>
              </w:rPr>
            </w:pPr>
            <w:r w:rsidRPr="00B57220">
              <w:rPr>
                <w:b w:val="0"/>
                <w:bCs/>
                <w:szCs w:val="20"/>
                <w:lang w:val="en-AU"/>
              </w:rPr>
              <w:t>Busse W, Maspero J</w:t>
            </w:r>
            <w:r w:rsidR="0080145F" w:rsidRPr="00B57220">
              <w:rPr>
                <w:b w:val="0"/>
                <w:bCs/>
                <w:szCs w:val="20"/>
                <w:lang w:val="en-AU"/>
              </w:rPr>
              <w:t xml:space="preserve">, </w:t>
            </w:r>
            <w:r w:rsidRPr="00B57220">
              <w:rPr>
                <w:b w:val="0"/>
                <w:bCs/>
                <w:szCs w:val="20"/>
                <w:lang w:val="en-AU"/>
              </w:rPr>
              <w:t>Rabe K</w:t>
            </w:r>
            <w:r w:rsidR="0064750A" w:rsidRPr="00B57220">
              <w:rPr>
                <w:b w:val="0"/>
                <w:bCs/>
                <w:szCs w:val="20"/>
                <w:lang w:val="en-AU"/>
              </w:rPr>
              <w:t xml:space="preserve">, </w:t>
            </w:r>
            <w:r w:rsidR="0080145F" w:rsidRPr="00B57220">
              <w:rPr>
                <w:b w:val="0"/>
                <w:bCs/>
                <w:szCs w:val="20"/>
                <w:lang w:val="en-AU"/>
              </w:rPr>
              <w:t>et al. Liberty asthma QUEST: Phase 3 randomised, double-blind, placebo-controlled, parallel-group study to evaluate dupilumab efficacy/safety in patients with uncontrolled, moderate-to-severe asthma.</w:t>
            </w:r>
          </w:p>
        </w:tc>
        <w:tc>
          <w:tcPr>
            <w:tcW w:w="1308" w:type="pct"/>
            <w:tcBorders>
              <w:top w:val="nil"/>
              <w:bottom w:val="nil"/>
            </w:tcBorders>
          </w:tcPr>
          <w:p w14:paraId="343603F1" w14:textId="77777777" w:rsidR="0080145F" w:rsidRPr="00B57220" w:rsidRDefault="0064750A" w:rsidP="00E9172C">
            <w:pPr>
              <w:pStyle w:val="In-tableHeading"/>
              <w:rPr>
                <w:b w:val="0"/>
                <w:bCs/>
                <w:szCs w:val="20"/>
                <w:lang w:val="en-AU"/>
              </w:rPr>
            </w:pPr>
            <w:r w:rsidRPr="00B57220">
              <w:rPr>
                <w:b w:val="0"/>
                <w:bCs/>
                <w:i/>
                <w:szCs w:val="20"/>
                <w:lang w:val="en-AU"/>
              </w:rPr>
              <w:t>Adv Ther</w:t>
            </w:r>
            <w:r w:rsidR="0080145F" w:rsidRPr="00B57220">
              <w:rPr>
                <w:b w:val="0"/>
                <w:bCs/>
                <w:szCs w:val="20"/>
                <w:lang w:val="en-AU"/>
              </w:rPr>
              <w:t xml:space="preserve"> 2018; 35(5):737-748</w:t>
            </w:r>
          </w:p>
          <w:p w14:paraId="1741F66A" w14:textId="77777777" w:rsidR="0080145F" w:rsidRPr="00B57220" w:rsidRDefault="0080145F" w:rsidP="00E9172C">
            <w:pPr>
              <w:pStyle w:val="In-tableHeading"/>
              <w:rPr>
                <w:b w:val="0"/>
                <w:bCs/>
                <w:szCs w:val="20"/>
                <w:lang w:val="en-AU"/>
              </w:rPr>
            </w:pPr>
          </w:p>
        </w:tc>
      </w:tr>
      <w:tr w:rsidR="006F2ADF" w:rsidRPr="00B57220" w14:paraId="14391586" w14:textId="77777777" w:rsidTr="00B57220">
        <w:tc>
          <w:tcPr>
            <w:tcW w:w="796" w:type="pct"/>
            <w:vMerge/>
            <w:tcBorders>
              <w:bottom w:val="single" w:sz="4" w:space="0" w:color="auto"/>
            </w:tcBorders>
          </w:tcPr>
          <w:p w14:paraId="35E95061" w14:textId="77777777" w:rsidR="0080145F" w:rsidRPr="00B57220" w:rsidRDefault="0080145F" w:rsidP="00E9172C">
            <w:pPr>
              <w:pStyle w:val="TableText0"/>
              <w:rPr>
                <w:szCs w:val="20"/>
              </w:rPr>
            </w:pPr>
          </w:p>
        </w:tc>
        <w:tc>
          <w:tcPr>
            <w:tcW w:w="2896" w:type="pct"/>
            <w:tcBorders>
              <w:top w:val="nil"/>
              <w:bottom w:val="single" w:sz="4" w:space="0" w:color="auto"/>
            </w:tcBorders>
          </w:tcPr>
          <w:p w14:paraId="52BD62AB" w14:textId="77777777" w:rsidR="0080145F" w:rsidRPr="00B57220" w:rsidRDefault="0080145F" w:rsidP="00E9172C">
            <w:pPr>
              <w:pStyle w:val="In-tableHeading"/>
              <w:rPr>
                <w:b w:val="0"/>
                <w:bCs/>
                <w:szCs w:val="20"/>
                <w:lang w:val="en-AU"/>
              </w:rPr>
            </w:pPr>
            <w:r w:rsidRPr="00B57220">
              <w:rPr>
                <w:b w:val="0"/>
                <w:szCs w:val="20"/>
                <w:lang w:val="en-AU"/>
              </w:rPr>
              <w:t>Corren</w:t>
            </w:r>
            <w:r w:rsidR="0064750A" w:rsidRPr="00B57220">
              <w:rPr>
                <w:b w:val="0"/>
                <w:szCs w:val="20"/>
                <w:lang w:val="en-AU"/>
              </w:rPr>
              <w:t xml:space="preserve"> J, Castro M</w:t>
            </w:r>
            <w:r w:rsidRPr="00B57220">
              <w:rPr>
                <w:b w:val="0"/>
                <w:szCs w:val="20"/>
                <w:lang w:val="en-AU"/>
              </w:rPr>
              <w:t xml:space="preserve">, </w:t>
            </w:r>
            <w:r w:rsidR="00556132" w:rsidRPr="00B57220">
              <w:rPr>
                <w:b w:val="0"/>
                <w:szCs w:val="20"/>
                <w:lang w:val="en-AU"/>
              </w:rPr>
              <w:t>O’Riordan T</w:t>
            </w:r>
            <w:r w:rsidR="0064750A" w:rsidRPr="00B57220">
              <w:rPr>
                <w:b w:val="0"/>
                <w:szCs w:val="20"/>
                <w:lang w:val="en-AU"/>
              </w:rPr>
              <w:t xml:space="preserve">, </w:t>
            </w:r>
            <w:r w:rsidRPr="00B57220">
              <w:rPr>
                <w:b w:val="0"/>
                <w:szCs w:val="20"/>
                <w:lang w:val="en-AU"/>
              </w:rPr>
              <w:t xml:space="preserve">et al. </w:t>
            </w:r>
            <w:r w:rsidRPr="00B57220">
              <w:rPr>
                <w:b w:val="0"/>
                <w:bCs/>
                <w:szCs w:val="20"/>
                <w:lang w:val="en-AU"/>
              </w:rPr>
              <w:t>Dupilumab efficacy in patients with uncontrolled, moderate-to-severe allergic a</w:t>
            </w:r>
            <w:r w:rsidR="0064750A" w:rsidRPr="00B57220">
              <w:rPr>
                <w:b w:val="0"/>
                <w:bCs/>
                <w:szCs w:val="20"/>
                <w:lang w:val="en-AU"/>
              </w:rPr>
              <w:t>sthma.</w:t>
            </w:r>
          </w:p>
        </w:tc>
        <w:tc>
          <w:tcPr>
            <w:tcW w:w="1308" w:type="pct"/>
            <w:tcBorders>
              <w:top w:val="nil"/>
              <w:bottom w:val="single" w:sz="4" w:space="0" w:color="auto"/>
            </w:tcBorders>
          </w:tcPr>
          <w:p w14:paraId="467F1442" w14:textId="77777777" w:rsidR="0080145F" w:rsidRPr="00B57220" w:rsidRDefault="0064750A" w:rsidP="00E9172C">
            <w:pPr>
              <w:pStyle w:val="In-tableHeading"/>
              <w:rPr>
                <w:b w:val="0"/>
                <w:bCs/>
                <w:szCs w:val="20"/>
                <w:lang w:val="en-AU"/>
              </w:rPr>
            </w:pPr>
            <w:r w:rsidRPr="00B57220">
              <w:rPr>
                <w:b w:val="0"/>
                <w:i/>
                <w:szCs w:val="20"/>
                <w:lang w:val="en-AU"/>
              </w:rPr>
              <w:t xml:space="preserve">J Allergy Clin Immunol Pract </w:t>
            </w:r>
            <w:r w:rsidR="0080145F" w:rsidRPr="00B57220">
              <w:rPr>
                <w:b w:val="0"/>
                <w:szCs w:val="20"/>
                <w:lang w:val="en-AU"/>
              </w:rPr>
              <w:t>2020; 8(</w:t>
            </w:r>
            <w:r w:rsidRPr="00B57220">
              <w:rPr>
                <w:b w:val="0"/>
                <w:szCs w:val="20"/>
                <w:lang w:val="en-AU"/>
              </w:rPr>
              <w:t>2):</w:t>
            </w:r>
            <w:r w:rsidR="0080145F" w:rsidRPr="00B57220">
              <w:rPr>
                <w:b w:val="0"/>
                <w:szCs w:val="20"/>
                <w:lang w:val="en-AU"/>
              </w:rPr>
              <w:t>516-526.</w:t>
            </w:r>
          </w:p>
        </w:tc>
      </w:tr>
      <w:tr w:rsidR="006F2ADF" w:rsidRPr="00B57220" w14:paraId="2194DC0A" w14:textId="77777777" w:rsidTr="00B57220">
        <w:tc>
          <w:tcPr>
            <w:tcW w:w="796" w:type="pct"/>
            <w:tcBorders>
              <w:bottom w:val="nil"/>
            </w:tcBorders>
          </w:tcPr>
          <w:p w14:paraId="6CFB7E95" w14:textId="77777777" w:rsidR="0064750A" w:rsidRPr="00B57220" w:rsidRDefault="0064750A" w:rsidP="00E9172C">
            <w:pPr>
              <w:pStyle w:val="TableText0"/>
              <w:rPr>
                <w:szCs w:val="20"/>
              </w:rPr>
            </w:pPr>
            <w:r w:rsidRPr="00B57220">
              <w:rPr>
                <w:szCs w:val="20"/>
              </w:rPr>
              <w:t>DRI2544</w:t>
            </w:r>
          </w:p>
          <w:p w14:paraId="07341038" w14:textId="77777777" w:rsidR="0064750A" w:rsidRPr="00B57220" w:rsidRDefault="0064750A" w:rsidP="00E9172C">
            <w:pPr>
              <w:pStyle w:val="TableText0"/>
              <w:rPr>
                <w:szCs w:val="20"/>
              </w:rPr>
            </w:pPr>
          </w:p>
        </w:tc>
        <w:tc>
          <w:tcPr>
            <w:tcW w:w="2896" w:type="pct"/>
            <w:tcBorders>
              <w:bottom w:val="nil"/>
            </w:tcBorders>
          </w:tcPr>
          <w:p w14:paraId="735EF202" w14:textId="77777777" w:rsidR="0064750A" w:rsidRPr="00B57220" w:rsidRDefault="0064750A" w:rsidP="00E9172C">
            <w:pPr>
              <w:pStyle w:val="TableText0"/>
              <w:rPr>
                <w:szCs w:val="20"/>
              </w:rPr>
            </w:pPr>
            <w:r w:rsidRPr="00B57220">
              <w:rPr>
                <w:szCs w:val="20"/>
              </w:rPr>
              <w:t>A randomised, double blind, placebo-controlled, dose-ranging study to evaluate dupilumab in patients with moderate to severe uncontrolled asthma. Clinical study report.</w:t>
            </w:r>
          </w:p>
        </w:tc>
        <w:tc>
          <w:tcPr>
            <w:tcW w:w="1308" w:type="pct"/>
            <w:tcBorders>
              <w:bottom w:val="nil"/>
            </w:tcBorders>
          </w:tcPr>
          <w:p w14:paraId="1C772360" w14:textId="77777777" w:rsidR="0064750A" w:rsidRPr="00B57220" w:rsidRDefault="0064750A" w:rsidP="00E9172C">
            <w:pPr>
              <w:pStyle w:val="TableText0"/>
              <w:rPr>
                <w:szCs w:val="20"/>
              </w:rPr>
            </w:pPr>
            <w:r w:rsidRPr="00B57220">
              <w:rPr>
                <w:szCs w:val="20"/>
              </w:rPr>
              <w:t>February 2016</w:t>
            </w:r>
          </w:p>
        </w:tc>
      </w:tr>
      <w:tr w:rsidR="006F2ADF" w:rsidRPr="00B57220" w14:paraId="7DD9544E" w14:textId="77777777" w:rsidTr="00B57220">
        <w:tc>
          <w:tcPr>
            <w:tcW w:w="796" w:type="pct"/>
            <w:tcBorders>
              <w:top w:val="nil"/>
              <w:bottom w:val="single" w:sz="4" w:space="0" w:color="auto"/>
            </w:tcBorders>
          </w:tcPr>
          <w:p w14:paraId="66CA2E04" w14:textId="77777777" w:rsidR="00976903" w:rsidRPr="00B57220" w:rsidRDefault="00976903" w:rsidP="00E9172C">
            <w:pPr>
              <w:pStyle w:val="TableText0"/>
              <w:rPr>
                <w:szCs w:val="20"/>
              </w:rPr>
            </w:pPr>
          </w:p>
          <w:p w14:paraId="75544D1B" w14:textId="77777777" w:rsidR="00976903" w:rsidRPr="00B57220" w:rsidRDefault="00976903" w:rsidP="00E9172C">
            <w:pPr>
              <w:pStyle w:val="TableText0"/>
              <w:rPr>
                <w:szCs w:val="20"/>
              </w:rPr>
            </w:pPr>
          </w:p>
        </w:tc>
        <w:tc>
          <w:tcPr>
            <w:tcW w:w="2896" w:type="pct"/>
            <w:tcBorders>
              <w:top w:val="nil"/>
              <w:bottom w:val="single" w:sz="4" w:space="0" w:color="auto"/>
            </w:tcBorders>
          </w:tcPr>
          <w:p w14:paraId="3E1EF61A" w14:textId="77777777" w:rsidR="00976903" w:rsidRPr="00B57220" w:rsidRDefault="0064750A" w:rsidP="00E9172C">
            <w:pPr>
              <w:pStyle w:val="TableText0"/>
              <w:rPr>
                <w:szCs w:val="20"/>
              </w:rPr>
            </w:pPr>
            <w:r w:rsidRPr="00B57220">
              <w:rPr>
                <w:szCs w:val="20"/>
              </w:rPr>
              <w:t>Wenzel</w:t>
            </w:r>
            <w:r w:rsidR="00556132" w:rsidRPr="00B57220">
              <w:rPr>
                <w:szCs w:val="20"/>
              </w:rPr>
              <w:t xml:space="preserve"> S, Castro M</w:t>
            </w:r>
            <w:r w:rsidRPr="00B57220">
              <w:rPr>
                <w:szCs w:val="20"/>
              </w:rPr>
              <w:t xml:space="preserve">, </w:t>
            </w:r>
            <w:r w:rsidR="00556132" w:rsidRPr="00B57220">
              <w:rPr>
                <w:szCs w:val="20"/>
              </w:rPr>
              <w:t xml:space="preserve">Corren J, </w:t>
            </w:r>
            <w:r w:rsidRPr="00B57220">
              <w:rPr>
                <w:szCs w:val="20"/>
              </w:rPr>
              <w:t xml:space="preserve">et al. </w:t>
            </w:r>
            <w:r w:rsidR="00976903" w:rsidRPr="00B57220">
              <w:rPr>
                <w:szCs w:val="20"/>
              </w:rPr>
              <w:t>Dupilumab efficacy and safety in adults with uncontrolled persistent asthma despite use of medium-to-high-dose inhaled corticosteroids plus a long-acting ß</w:t>
            </w:r>
            <w:r w:rsidR="00976903" w:rsidRPr="00B57220">
              <w:rPr>
                <w:szCs w:val="20"/>
                <w:vertAlign w:val="subscript"/>
              </w:rPr>
              <w:t>2</w:t>
            </w:r>
            <w:r w:rsidR="00976903" w:rsidRPr="00B57220">
              <w:rPr>
                <w:szCs w:val="20"/>
              </w:rPr>
              <w:t xml:space="preserve"> agonist: a randomised double-blind placebo-controlled pivotal phase 2b dose-ranging trial.</w:t>
            </w:r>
          </w:p>
        </w:tc>
        <w:tc>
          <w:tcPr>
            <w:tcW w:w="1308" w:type="pct"/>
            <w:tcBorders>
              <w:top w:val="nil"/>
              <w:bottom w:val="single" w:sz="4" w:space="0" w:color="auto"/>
            </w:tcBorders>
          </w:tcPr>
          <w:p w14:paraId="44D40F7F" w14:textId="77777777" w:rsidR="00976903" w:rsidRPr="00B57220" w:rsidRDefault="00976903" w:rsidP="00E9172C">
            <w:pPr>
              <w:pStyle w:val="TableText0"/>
              <w:rPr>
                <w:szCs w:val="20"/>
              </w:rPr>
            </w:pPr>
            <w:r w:rsidRPr="00B57220">
              <w:rPr>
                <w:i/>
                <w:szCs w:val="20"/>
              </w:rPr>
              <w:t>Lancet</w:t>
            </w:r>
            <w:r w:rsidR="0064750A" w:rsidRPr="00B57220">
              <w:rPr>
                <w:i/>
                <w:szCs w:val="20"/>
              </w:rPr>
              <w:t xml:space="preserve"> </w:t>
            </w:r>
            <w:r w:rsidR="0064750A" w:rsidRPr="00B57220">
              <w:rPr>
                <w:szCs w:val="20"/>
              </w:rPr>
              <w:t>2016; 388:</w:t>
            </w:r>
            <w:r w:rsidRPr="00B57220">
              <w:rPr>
                <w:szCs w:val="20"/>
              </w:rPr>
              <w:t>31-44.</w:t>
            </w:r>
          </w:p>
          <w:p w14:paraId="166362FD" w14:textId="77777777" w:rsidR="00976903" w:rsidRPr="00B57220" w:rsidRDefault="00976903" w:rsidP="00E9172C">
            <w:pPr>
              <w:pStyle w:val="TableText0"/>
              <w:rPr>
                <w:szCs w:val="20"/>
              </w:rPr>
            </w:pPr>
          </w:p>
        </w:tc>
      </w:tr>
      <w:tr w:rsidR="006F2ADF" w:rsidRPr="00B57220" w14:paraId="569BD18B" w14:textId="77777777" w:rsidTr="00B57220">
        <w:tc>
          <w:tcPr>
            <w:tcW w:w="796" w:type="pct"/>
            <w:tcBorders>
              <w:top w:val="single" w:sz="4" w:space="0" w:color="auto"/>
              <w:bottom w:val="nil"/>
            </w:tcBorders>
          </w:tcPr>
          <w:p w14:paraId="158430B8" w14:textId="77777777" w:rsidR="0064750A" w:rsidRPr="00B57220" w:rsidRDefault="0064750A" w:rsidP="00E9172C">
            <w:pPr>
              <w:pStyle w:val="TableText0"/>
              <w:rPr>
                <w:szCs w:val="20"/>
              </w:rPr>
            </w:pPr>
            <w:r w:rsidRPr="00B57220">
              <w:rPr>
                <w:szCs w:val="20"/>
              </w:rPr>
              <w:t>VENTURE</w:t>
            </w:r>
          </w:p>
          <w:p w14:paraId="0B4DCA67" w14:textId="77777777" w:rsidR="0064750A" w:rsidRPr="00B57220" w:rsidRDefault="0064750A" w:rsidP="00E9172C">
            <w:pPr>
              <w:pStyle w:val="TableText0"/>
              <w:rPr>
                <w:szCs w:val="20"/>
              </w:rPr>
            </w:pPr>
            <w:r w:rsidRPr="00B57220">
              <w:rPr>
                <w:szCs w:val="20"/>
              </w:rPr>
              <w:t>EFC13691</w:t>
            </w:r>
          </w:p>
        </w:tc>
        <w:tc>
          <w:tcPr>
            <w:tcW w:w="2896" w:type="pct"/>
            <w:tcBorders>
              <w:top w:val="single" w:sz="4" w:space="0" w:color="auto"/>
              <w:bottom w:val="nil"/>
            </w:tcBorders>
          </w:tcPr>
          <w:p w14:paraId="425A96CD" w14:textId="77777777" w:rsidR="0064750A" w:rsidRPr="00B57220" w:rsidRDefault="0064750A" w:rsidP="00E9172C">
            <w:pPr>
              <w:pStyle w:val="TableText0"/>
              <w:rPr>
                <w:szCs w:val="20"/>
              </w:rPr>
            </w:pPr>
            <w:r w:rsidRPr="00B57220">
              <w:rPr>
                <w:szCs w:val="20"/>
              </w:rPr>
              <w:t>A randomised, double-blind, placebo-controlled study to evaluate the efficacy and safety of dupilumab in patients with severe steroid dependent asthma. Clinical study report.</w:t>
            </w:r>
          </w:p>
        </w:tc>
        <w:tc>
          <w:tcPr>
            <w:tcW w:w="1308" w:type="pct"/>
            <w:tcBorders>
              <w:top w:val="single" w:sz="4" w:space="0" w:color="auto"/>
              <w:bottom w:val="nil"/>
            </w:tcBorders>
          </w:tcPr>
          <w:p w14:paraId="285817F5" w14:textId="77777777" w:rsidR="0064750A" w:rsidRPr="00B57220" w:rsidRDefault="0064750A" w:rsidP="00E9172C">
            <w:pPr>
              <w:pStyle w:val="TableText0"/>
              <w:rPr>
                <w:iCs/>
                <w:szCs w:val="20"/>
              </w:rPr>
            </w:pPr>
            <w:r w:rsidRPr="00B57220">
              <w:rPr>
                <w:iCs/>
                <w:szCs w:val="20"/>
              </w:rPr>
              <w:t>December 2017</w:t>
            </w:r>
          </w:p>
        </w:tc>
      </w:tr>
      <w:tr w:rsidR="006F2ADF" w:rsidRPr="00B57220" w14:paraId="21FC779A" w14:textId="77777777" w:rsidTr="00B57220">
        <w:tc>
          <w:tcPr>
            <w:tcW w:w="796" w:type="pct"/>
            <w:tcBorders>
              <w:top w:val="nil"/>
              <w:bottom w:val="single" w:sz="4" w:space="0" w:color="auto"/>
            </w:tcBorders>
          </w:tcPr>
          <w:p w14:paraId="32C29C89" w14:textId="77777777" w:rsidR="008741BD" w:rsidRPr="00B57220" w:rsidRDefault="008741BD" w:rsidP="00E9172C">
            <w:pPr>
              <w:pStyle w:val="TableText0"/>
              <w:rPr>
                <w:szCs w:val="20"/>
              </w:rPr>
            </w:pPr>
          </w:p>
        </w:tc>
        <w:tc>
          <w:tcPr>
            <w:tcW w:w="2896" w:type="pct"/>
            <w:tcBorders>
              <w:top w:val="nil"/>
              <w:bottom w:val="single" w:sz="4" w:space="0" w:color="auto"/>
            </w:tcBorders>
          </w:tcPr>
          <w:p w14:paraId="6EFC01D8" w14:textId="77777777" w:rsidR="008741BD" w:rsidRPr="00B57220" w:rsidRDefault="00556132" w:rsidP="00E9172C">
            <w:pPr>
              <w:pStyle w:val="TableText0"/>
              <w:rPr>
                <w:szCs w:val="20"/>
              </w:rPr>
            </w:pPr>
            <w:r w:rsidRPr="00B57220">
              <w:rPr>
                <w:szCs w:val="20"/>
              </w:rPr>
              <w:t>Rabe K, Nair P, Brusselle G</w:t>
            </w:r>
            <w:r w:rsidR="0064750A" w:rsidRPr="00B57220">
              <w:rPr>
                <w:szCs w:val="20"/>
              </w:rPr>
              <w:t xml:space="preserve">, et al. </w:t>
            </w:r>
            <w:r w:rsidR="008741BD" w:rsidRPr="00B57220">
              <w:rPr>
                <w:szCs w:val="20"/>
              </w:rPr>
              <w:t>Efficacy and safety of dupilumab in glucocort</w:t>
            </w:r>
            <w:r w:rsidRPr="00B57220">
              <w:rPr>
                <w:szCs w:val="20"/>
              </w:rPr>
              <w:t xml:space="preserve">icoid-dependent severe asthma. </w:t>
            </w:r>
          </w:p>
        </w:tc>
        <w:tc>
          <w:tcPr>
            <w:tcW w:w="1308" w:type="pct"/>
            <w:tcBorders>
              <w:top w:val="nil"/>
              <w:bottom w:val="single" w:sz="4" w:space="0" w:color="auto"/>
            </w:tcBorders>
          </w:tcPr>
          <w:p w14:paraId="54DF9FA6" w14:textId="77777777" w:rsidR="008741BD" w:rsidRPr="00B57220" w:rsidRDefault="008741BD" w:rsidP="00E9172C">
            <w:pPr>
              <w:pStyle w:val="TableText0"/>
              <w:rPr>
                <w:iCs/>
                <w:szCs w:val="20"/>
              </w:rPr>
            </w:pPr>
            <w:r w:rsidRPr="00B57220">
              <w:rPr>
                <w:i/>
                <w:iCs/>
                <w:szCs w:val="20"/>
              </w:rPr>
              <w:t>N Engl J Med</w:t>
            </w:r>
            <w:r w:rsidR="0064750A" w:rsidRPr="00B57220">
              <w:rPr>
                <w:i/>
                <w:iCs/>
                <w:szCs w:val="20"/>
              </w:rPr>
              <w:t xml:space="preserve"> </w:t>
            </w:r>
            <w:r w:rsidR="0064750A" w:rsidRPr="00B57220">
              <w:rPr>
                <w:iCs/>
                <w:szCs w:val="20"/>
              </w:rPr>
              <w:t>2018</w:t>
            </w:r>
            <w:r w:rsidR="00556132" w:rsidRPr="00B57220">
              <w:rPr>
                <w:iCs/>
                <w:szCs w:val="20"/>
              </w:rPr>
              <w:t>;</w:t>
            </w:r>
            <w:r w:rsidRPr="00B57220">
              <w:rPr>
                <w:i/>
                <w:iCs/>
                <w:szCs w:val="20"/>
              </w:rPr>
              <w:t xml:space="preserve"> </w:t>
            </w:r>
            <w:r w:rsidRPr="00B57220">
              <w:rPr>
                <w:szCs w:val="20"/>
              </w:rPr>
              <w:t>378</w:t>
            </w:r>
            <w:r w:rsidR="00556132" w:rsidRPr="00B57220">
              <w:rPr>
                <w:szCs w:val="20"/>
              </w:rPr>
              <w:t>:</w:t>
            </w:r>
            <w:r w:rsidRPr="00B57220">
              <w:rPr>
                <w:szCs w:val="20"/>
              </w:rPr>
              <w:t>2475-85.</w:t>
            </w:r>
          </w:p>
        </w:tc>
      </w:tr>
      <w:tr w:rsidR="006F2ADF" w:rsidRPr="00B57220" w14:paraId="34E00F13" w14:textId="77777777" w:rsidTr="00B57220">
        <w:trPr>
          <w:trHeight w:val="1132"/>
        </w:trPr>
        <w:tc>
          <w:tcPr>
            <w:tcW w:w="796" w:type="pct"/>
            <w:tcBorders>
              <w:top w:val="single" w:sz="4" w:space="0" w:color="auto"/>
            </w:tcBorders>
          </w:tcPr>
          <w:p w14:paraId="6D850FAE" w14:textId="77777777" w:rsidR="008741BD" w:rsidRPr="00B57220" w:rsidRDefault="008741BD" w:rsidP="00E9172C">
            <w:pPr>
              <w:pStyle w:val="TableText0"/>
              <w:rPr>
                <w:szCs w:val="20"/>
              </w:rPr>
            </w:pPr>
            <w:r w:rsidRPr="00B57220">
              <w:rPr>
                <w:szCs w:val="20"/>
              </w:rPr>
              <w:t>SIROCCO</w:t>
            </w:r>
          </w:p>
          <w:p w14:paraId="24B78404" w14:textId="77777777" w:rsidR="00AD7B70" w:rsidRPr="00B57220" w:rsidRDefault="00AD7B70" w:rsidP="00E9172C">
            <w:pPr>
              <w:pStyle w:val="TableText0"/>
              <w:rPr>
                <w:szCs w:val="20"/>
              </w:rPr>
            </w:pPr>
          </w:p>
        </w:tc>
        <w:tc>
          <w:tcPr>
            <w:tcW w:w="2896" w:type="pct"/>
            <w:tcBorders>
              <w:top w:val="single" w:sz="4" w:space="0" w:color="auto"/>
            </w:tcBorders>
          </w:tcPr>
          <w:p w14:paraId="2F506665" w14:textId="77777777" w:rsidR="008741BD" w:rsidRPr="00B57220" w:rsidRDefault="00556132" w:rsidP="00E9172C">
            <w:pPr>
              <w:pStyle w:val="TableText0"/>
              <w:rPr>
                <w:szCs w:val="20"/>
              </w:rPr>
            </w:pPr>
            <w:r w:rsidRPr="00B57220">
              <w:rPr>
                <w:szCs w:val="20"/>
              </w:rPr>
              <w:t xml:space="preserve">Bleecker E, FitzGerald J, Chanez P, et al. </w:t>
            </w:r>
            <w:r w:rsidR="00AD7B70" w:rsidRPr="00B57220">
              <w:rPr>
                <w:szCs w:val="20"/>
              </w:rPr>
              <w:t>Efficacy and safety of benralizumab for patients with severe asthma uncontrolled with high-dosage inhaled corticosteroids and long-acting β2-agonists (SIROCCO): a randomised, multicentre, placebo-controlled phase 3 trial.</w:t>
            </w:r>
          </w:p>
        </w:tc>
        <w:tc>
          <w:tcPr>
            <w:tcW w:w="1308" w:type="pct"/>
            <w:tcBorders>
              <w:top w:val="single" w:sz="4" w:space="0" w:color="auto"/>
            </w:tcBorders>
          </w:tcPr>
          <w:p w14:paraId="3A74FB78" w14:textId="77777777" w:rsidR="008741BD" w:rsidRPr="00B57220" w:rsidRDefault="008741BD" w:rsidP="00E9172C">
            <w:pPr>
              <w:pStyle w:val="TableText0"/>
              <w:rPr>
                <w:iCs/>
                <w:szCs w:val="20"/>
              </w:rPr>
            </w:pPr>
            <w:r w:rsidRPr="00B57220">
              <w:rPr>
                <w:i/>
                <w:iCs/>
                <w:szCs w:val="20"/>
              </w:rPr>
              <w:t>Lancet</w:t>
            </w:r>
            <w:r w:rsidR="00556132" w:rsidRPr="00B57220">
              <w:rPr>
                <w:i/>
                <w:iCs/>
                <w:szCs w:val="20"/>
              </w:rPr>
              <w:t xml:space="preserve"> </w:t>
            </w:r>
            <w:r w:rsidR="00556132" w:rsidRPr="00B57220">
              <w:rPr>
                <w:iCs/>
                <w:szCs w:val="20"/>
              </w:rPr>
              <w:t>2016</w:t>
            </w:r>
            <w:r w:rsidRPr="00B57220">
              <w:rPr>
                <w:i/>
                <w:iCs/>
                <w:szCs w:val="20"/>
              </w:rPr>
              <w:t>; 388</w:t>
            </w:r>
            <w:r w:rsidR="00556132" w:rsidRPr="00B57220">
              <w:rPr>
                <w:szCs w:val="20"/>
              </w:rPr>
              <w:t>:</w:t>
            </w:r>
            <w:r w:rsidRPr="00B57220">
              <w:rPr>
                <w:szCs w:val="20"/>
              </w:rPr>
              <w:t>2115-27.</w:t>
            </w:r>
          </w:p>
        </w:tc>
      </w:tr>
      <w:tr w:rsidR="006F2ADF" w:rsidRPr="00B57220" w14:paraId="2F2CB07B" w14:textId="77777777" w:rsidTr="00B57220">
        <w:tc>
          <w:tcPr>
            <w:tcW w:w="796" w:type="pct"/>
            <w:tcBorders>
              <w:top w:val="nil"/>
              <w:bottom w:val="single" w:sz="4" w:space="0" w:color="auto"/>
            </w:tcBorders>
          </w:tcPr>
          <w:p w14:paraId="12AF15A3" w14:textId="77777777" w:rsidR="00477A8B" w:rsidRPr="00B57220" w:rsidRDefault="00477A8B" w:rsidP="00E9172C">
            <w:pPr>
              <w:pStyle w:val="TableText0"/>
              <w:rPr>
                <w:szCs w:val="20"/>
              </w:rPr>
            </w:pPr>
            <w:r w:rsidRPr="00B57220">
              <w:rPr>
                <w:szCs w:val="20"/>
              </w:rPr>
              <w:t>CALIMA</w:t>
            </w:r>
          </w:p>
          <w:p w14:paraId="61DDB780" w14:textId="77777777" w:rsidR="00AD7B70" w:rsidRPr="00B57220" w:rsidRDefault="00AD7B70" w:rsidP="00E9172C">
            <w:pPr>
              <w:pStyle w:val="TableText0"/>
              <w:rPr>
                <w:szCs w:val="20"/>
              </w:rPr>
            </w:pPr>
          </w:p>
        </w:tc>
        <w:tc>
          <w:tcPr>
            <w:tcW w:w="2896" w:type="pct"/>
            <w:tcBorders>
              <w:top w:val="nil"/>
              <w:bottom w:val="single" w:sz="4" w:space="0" w:color="auto"/>
            </w:tcBorders>
          </w:tcPr>
          <w:p w14:paraId="11D58690" w14:textId="77777777" w:rsidR="00477A8B" w:rsidRPr="00B57220" w:rsidRDefault="00556132" w:rsidP="00E9172C">
            <w:pPr>
              <w:pStyle w:val="TableText0"/>
              <w:rPr>
                <w:szCs w:val="20"/>
              </w:rPr>
            </w:pPr>
            <w:r w:rsidRPr="00B57220">
              <w:rPr>
                <w:szCs w:val="20"/>
              </w:rPr>
              <w:t xml:space="preserve">FitzGerald J, Bleecker E, Nair, P, et al. </w:t>
            </w:r>
            <w:r w:rsidR="00AD7B70" w:rsidRPr="00B57220">
              <w:rPr>
                <w:szCs w:val="20"/>
              </w:rPr>
              <w:t xml:space="preserve">Benralizumab, an anti-interleukin-5 receptor α monoclonal antibody, as add-on treatment for patients with severe, uncontrolled, eosinophilic asthma (CALIMA): a </w:t>
            </w:r>
            <w:r w:rsidR="0084063A" w:rsidRPr="00B57220">
              <w:rPr>
                <w:szCs w:val="20"/>
              </w:rPr>
              <w:t>randomised, double</w:t>
            </w:r>
            <w:r w:rsidR="00AD7B70" w:rsidRPr="00B57220">
              <w:rPr>
                <w:szCs w:val="20"/>
              </w:rPr>
              <w:t>-blind, placebo-controlled phase 3 trial.</w:t>
            </w:r>
          </w:p>
        </w:tc>
        <w:tc>
          <w:tcPr>
            <w:tcW w:w="1308" w:type="pct"/>
            <w:tcBorders>
              <w:top w:val="nil"/>
              <w:bottom w:val="single" w:sz="4" w:space="0" w:color="auto"/>
            </w:tcBorders>
          </w:tcPr>
          <w:p w14:paraId="47980CB7" w14:textId="77777777" w:rsidR="00477A8B" w:rsidRPr="00B57220" w:rsidRDefault="00477A8B" w:rsidP="00E9172C">
            <w:pPr>
              <w:pStyle w:val="TableText0"/>
              <w:rPr>
                <w:iCs/>
                <w:szCs w:val="20"/>
              </w:rPr>
            </w:pPr>
            <w:r w:rsidRPr="00B57220">
              <w:rPr>
                <w:i/>
                <w:iCs/>
                <w:szCs w:val="20"/>
              </w:rPr>
              <w:t>Lancet</w:t>
            </w:r>
            <w:r w:rsidR="00556132" w:rsidRPr="00B57220">
              <w:rPr>
                <w:i/>
                <w:iCs/>
                <w:szCs w:val="20"/>
              </w:rPr>
              <w:t xml:space="preserve"> </w:t>
            </w:r>
            <w:r w:rsidR="00556132" w:rsidRPr="00B57220">
              <w:rPr>
                <w:iCs/>
                <w:szCs w:val="20"/>
              </w:rPr>
              <w:t>2016</w:t>
            </w:r>
            <w:r w:rsidRPr="00B57220">
              <w:rPr>
                <w:i/>
                <w:iCs/>
                <w:szCs w:val="20"/>
              </w:rPr>
              <w:t>; 388</w:t>
            </w:r>
            <w:r w:rsidR="00556132" w:rsidRPr="00B57220">
              <w:rPr>
                <w:szCs w:val="20"/>
              </w:rPr>
              <w:t>:</w:t>
            </w:r>
            <w:r w:rsidRPr="00B57220">
              <w:rPr>
                <w:szCs w:val="20"/>
              </w:rPr>
              <w:t>2128-41</w:t>
            </w:r>
          </w:p>
        </w:tc>
      </w:tr>
      <w:tr w:rsidR="006F2ADF" w:rsidRPr="00B57220" w14:paraId="6A20B81B" w14:textId="77777777" w:rsidTr="00B57220">
        <w:tc>
          <w:tcPr>
            <w:tcW w:w="796" w:type="pct"/>
            <w:tcBorders>
              <w:top w:val="nil"/>
              <w:bottom w:val="single" w:sz="4" w:space="0" w:color="auto"/>
            </w:tcBorders>
          </w:tcPr>
          <w:p w14:paraId="607B3D04" w14:textId="77777777" w:rsidR="00477A8B" w:rsidRPr="00B57220" w:rsidRDefault="00477A8B" w:rsidP="00E9172C">
            <w:pPr>
              <w:pStyle w:val="TableText0"/>
              <w:rPr>
                <w:szCs w:val="20"/>
              </w:rPr>
            </w:pPr>
            <w:r w:rsidRPr="00B57220">
              <w:rPr>
                <w:szCs w:val="20"/>
              </w:rPr>
              <w:t>ZONDA</w:t>
            </w:r>
          </w:p>
          <w:p w14:paraId="72E0B697" w14:textId="77777777" w:rsidR="000F2B4B" w:rsidRPr="00B57220" w:rsidRDefault="000F2B4B" w:rsidP="00E9172C">
            <w:pPr>
              <w:pStyle w:val="TableText0"/>
              <w:rPr>
                <w:szCs w:val="20"/>
              </w:rPr>
            </w:pPr>
          </w:p>
        </w:tc>
        <w:tc>
          <w:tcPr>
            <w:tcW w:w="2896" w:type="pct"/>
            <w:tcBorders>
              <w:top w:val="nil"/>
              <w:bottom w:val="single" w:sz="4" w:space="0" w:color="auto"/>
            </w:tcBorders>
          </w:tcPr>
          <w:p w14:paraId="31C9AD87" w14:textId="77777777" w:rsidR="00477A8B" w:rsidRPr="00B57220" w:rsidRDefault="00556132" w:rsidP="00E9172C">
            <w:pPr>
              <w:pStyle w:val="TableText0"/>
              <w:rPr>
                <w:szCs w:val="20"/>
              </w:rPr>
            </w:pPr>
            <w:r w:rsidRPr="00B57220">
              <w:rPr>
                <w:szCs w:val="20"/>
              </w:rPr>
              <w:t>Nair P, Wenzel S, Rabe K, et al. Oral glucocorticoid–sparing effect of benralizumab in severe a</w:t>
            </w:r>
            <w:r w:rsidR="000F2B4B" w:rsidRPr="00B57220">
              <w:rPr>
                <w:szCs w:val="20"/>
              </w:rPr>
              <w:t>sthma.</w:t>
            </w:r>
          </w:p>
        </w:tc>
        <w:tc>
          <w:tcPr>
            <w:tcW w:w="1308" w:type="pct"/>
            <w:tcBorders>
              <w:top w:val="nil"/>
              <w:bottom w:val="single" w:sz="4" w:space="0" w:color="auto"/>
            </w:tcBorders>
          </w:tcPr>
          <w:p w14:paraId="2112D276" w14:textId="77777777" w:rsidR="00477A8B" w:rsidRPr="00B57220" w:rsidRDefault="00477A8B" w:rsidP="00E9172C">
            <w:pPr>
              <w:pStyle w:val="TableText0"/>
              <w:rPr>
                <w:iCs/>
                <w:szCs w:val="20"/>
              </w:rPr>
            </w:pPr>
            <w:r w:rsidRPr="00B57220">
              <w:rPr>
                <w:i/>
                <w:iCs/>
                <w:szCs w:val="20"/>
              </w:rPr>
              <w:t>N Engl J Med</w:t>
            </w:r>
            <w:r w:rsidR="00556132" w:rsidRPr="00B57220">
              <w:rPr>
                <w:i/>
                <w:iCs/>
                <w:szCs w:val="20"/>
              </w:rPr>
              <w:t xml:space="preserve"> </w:t>
            </w:r>
            <w:r w:rsidR="00556132" w:rsidRPr="00B57220">
              <w:rPr>
                <w:iCs/>
                <w:szCs w:val="20"/>
              </w:rPr>
              <w:t>2017</w:t>
            </w:r>
            <w:r w:rsidRPr="00B57220">
              <w:rPr>
                <w:iCs/>
                <w:szCs w:val="20"/>
              </w:rPr>
              <w:t>; 376</w:t>
            </w:r>
            <w:r w:rsidR="00556132" w:rsidRPr="00B57220">
              <w:rPr>
                <w:szCs w:val="20"/>
              </w:rPr>
              <w:t>:</w:t>
            </w:r>
            <w:r w:rsidRPr="00B57220">
              <w:rPr>
                <w:szCs w:val="20"/>
              </w:rPr>
              <w:t>2448-58</w:t>
            </w:r>
          </w:p>
        </w:tc>
      </w:tr>
      <w:tr w:rsidR="006F2ADF" w:rsidRPr="00B57220" w14:paraId="7EB32AC8" w14:textId="77777777" w:rsidTr="00B57220">
        <w:tc>
          <w:tcPr>
            <w:tcW w:w="796" w:type="pct"/>
            <w:tcBorders>
              <w:top w:val="nil"/>
              <w:bottom w:val="single" w:sz="4" w:space="0" w:color="auto"/>
            </w:tcBorders>
          </w:tcPr>
          <w:p w14:paraId="0443C957" w14:textId="77777777" w:rsidR="00477A8B" w:rsidRPr="00B57220" w:rsidRDefault="00477A8B" w:rsidP="00E9172C">
            <w:pPr>
              <w:pStyle w:val="TableText0"/>
              <w:rPr>
                <w:szCs w:val="20"/>
              </w:rPr>
            </w:pPr>
            <w:r w:rsidRPr="00B57220">
              <w:rPr>
                <w:szCs w:val="20"/>
              </w:rPr>
              <w:t>MENSA</w:t>
            </w:r>
          </w:p>
          <w:p w14:paraId="378FC6CD" w14:textId="77777777" w:rsidR="00AB21B9" w:rsidRPr="00B57220" w:rsidRDefault="00AB21B9" w:rsidP="00E9172C">
            <w:pPr>
              <w:pStyle w:val="TableText0"/>
              <w:rPr>
                <w:szCs w:val="20"/>
              </w:rPr>
            </w:pPr>
          </w:p>
        </w:tc>
        <w:tc>
          <w:tcPr>
            <w:tcW w:w="2896" w:type="pct"/>
            <w:tcBorders>
              <w:top w:val="nil"/>
              <w:bottom w:val="single" w:sz="4" w:space="0" w:color="auto"/>
            </w:tcBorders>
          </w:tcPr>
          <w:p w14:paraId="21CA8928" w14:textId="77777777" w:rsidR="00477A8B" w:rsidRPr="00B57220" w:rsidRDefault="007C18A5" w:rsidP="00E9172C">
            <w:pPr>
              <w:pStyle w:val="TableText0"/>
              <w:rPr>
                <w:szCs w:val="20"/>
              </w:rPr>
            </w:pPr>
            <w:r w:rsidRPr="00B57220">
              <w:rPr>
                <w:szCs w:val="20"/>
              </w:rPr>
              <w:t xml:space="preserve">Ortega H, Liu M, Pavord I, et al. Mepolizumab Treatment in Patients with Severe Eosinophilic Asthma. </w:t>
            </w:r>
          </w:p>
        </w:tc>
        <w:tc>
          <w:tcPr>
            <w:tcW w:w="1308" w:type="pct"/>
            <w:tcBorders>
              <w:top w:val="nil"/>
              <w:bottom w:val="single" w:sz="4" w:space="0" w:color="auto"/>
            </w:tcBorders>
          </w:tcPr>
          <w:p w14:paraId="71FC7F79" w14:textId="77777777" w:rsidR="00477A8B" w:rsidRPr="00B57220" w:rsidRDefault="007C18A5" w:rsidP="00E9172C">
            <w:pPr>
              <w:pStyle w:val="TableText0"/>
              <w:rPr>
                <w:szCs w:val="20"/>
              </w:rPr>
            </w:pPr>
            <w:r w:rsidRPr="00B57220">
              <w:rPr>
                <w:i/>
                <w:szCs w:val="20"/>
              </w:rPr>
              <w:t>N Engl J Med</w:t>
            </w:r>
            <w:r w:rsidRPr="00B57220">
              <w:rPr>
                <w:szCs w:val="20"/>
              </w:rPr>
              <w:t xml:space="preserve"> 2014; 371:1198-207.</w:t>
            </w:r>
          </w:p>
        </w:tc>
      </w:tr>
      <w:tr w:rsidR="006F2ADF" w:rsidRPr="00B57220" w14:paraId="38520035" w14:textId="77777777" w:rsidTr="00B57220">
        <w:tc>
          <w:tcPr>
            <w:tcW w:w="796" w:type="pct"/>
            <w:tcBorders>
              <w:top w:val="nil"/>
              <w:bottom w:val="single" w:sz="4" w:space="0" w:color="auto"/>
            </w:tcBorders>
          </w:tcPr>
          <w:p w14:paraId="3A7D352A" w14:textId="77777777" w:rsidR="007C18A5" w:rsidRPr="00B57220" w:rsidRDefault="007C18A5" w:rsidP="00E9172C">
            <w:pPr>
              <w:pStyle w:val="TableText0"/>
              <w:rPr>
                <w:szCs w:val="20"/>
              </w:rPr>
            </w:pPr>
            <w:r w:rsidRPr="00B57220">
              <w:rPr>
                <w:szCs w:val="20"/>
              </w:rPr>
              <w:t>MUSCA</w:t>
            </w:r>
            <w:r w:rsidRPr="00B57220">
              <w:rPr>
                <w:szCs w:val="20"/>
              </w:rPr>
              <w:tab/>
            </w:r>
          </w:p>
          <w:p w14:paraId="706D657F" w14:textId="77777777" w:rsidR="007C18A5" w:rsidRPr="00B57220" w:rsidRDefault="007C18A5" w:rsidP="00E9172C">
            <w:pPr>
              <w:pStyle w:val="TableText0"/>
              <w:rPr>
                <w:szCs w:val="20"/>
              </w:rPr>
            </w:pPr>
          </w:p>
        </w:tc>
        <w:tc>
          <w:tcPr>
            <w:tcW w:w="2896" w:type="pct"/>
            <w:tcBorders>
              <w:top w:val="nil"/>
              <w:bottom w:val="single" w:sz="4" w:space="0" w:color="auto"/>
            </w:tcBorders>
          </w:tcPr>
          <w:p w14:paraId="2FDB9FCA" w14:textId="77777777" w:rsidR="007C18A5" w:rsidRPr="00B57220" w:rsidRDefault="007C18A5" w:rsidP="00E9172C">
            <w:pPr>
              <w:pStyle w:val="TableText0"/>
              <w:rPr>
                <w:szCs w:val="20"/>
              </w:rPr>
            </w:pPr>
            <w:r w:rsidRPr="00B57220">
              <w:rPr>
                <w:szCs w:val="20"/>
              </w:rPr>
              <w:t xml:space="preserve">Chupp G, Bradford E, Albers F, et al. Efficacy of mepolizumab add-on therapy on health-related quality of life and markers of asthma control in severe eosinophilic asthma (MUSCA): a randomised, double-blind, placebo-controlled, parallel-group, multicentre, phase 3b trial. </w:t>
            </w:r>
          </w:p>
        </w:tc>
        <w:tc>
          <w:tcPr>
            <w:tcW w:w="1308" w:type="pct"/>
            <w:tcBorders>
              <w:top w:val="nil"/>
              <w:bottom w:val="single" w:sz="4" w:space="0" w:color="auto"/>
            </w:tcBorders>
          </w:tcPr>
          <w:p w14:paraId="178DDC88" w14:textId="77777777" w:rsidR="007C18A5" w:rsidRPr="00B57220" w:rsidRDefault="007C18A5" w:rsidP="00E9172C">
            <w:pPr>
              <w:pStyle w:val="TableText0"/>
              <w:rPr>
                <w:i/>
                <w:iCs/>
                <w:szCs w:val="20"/>
              </w:rPr>
            </w:pPr>
            <w:r w:rsidRPr="00B57220">
              <w:rPr>
                <w:i/>
                <w:szCs w:val="20"/>
              </w:rPr>
              <w:t xml:space="preserve">Lancet Respir Med </w:t>
            </w:r>
            <w:r w:rsidRPr="00B57220">
              <w:rPr>
                <w:szCs w:val="20"/>
              </w:rPr>
              <w:t>2017; 5:390-400.</w:t>
            </w:r>
          </w:p>
        </w:tc>
      </w:tr>
      <w:tr w:rsidR="006F2ADF" w:rsidRPr="00B57220" w14:paraId="29F06413" w14:textId="77777777" w:rsidTr="00B57220">
        <w:tc>
          <w:tcPr>
            <w:tcW w:w="796" w:type="pct"/>
            <w:tcBorders>
              <w:top w:val="nil"/>
              <w:bottom w:val="single" w:sz="4" w:space="0" w:color="auto"/>
            </w:tcBorders>
          </w:tcPr>
          <w:p w14:paraId="3CDED0F0" w14:textId="77777777" w:rsidR="00477A8B" w:rsidRPr="00B57220" w:rsidRDefault="00477A8B" w:rsidP="00E9172C">
            <w:pPr>
              <w:pStyle w:val="TableText0"/>
              <w:rPr>
                <w:szCs w:val="20"/>
              </w:rPr>
            </w:pPr>
            <w:r w:rsidRPr="00B57220">
              <w:rPr>
                <w:szCs w:val="20"/>
              </w:rPr>
              <w:t>SIRIUS</w:t>
            </w:r>
          </w:p>
          <w:p w14:paraId="4B025F4E" w14:textId="77777777" w:rsidR="00AB21B9" w:rsidRPr="00B57220" w:rsidRDefault="00AB21B9" w:rsidP="00E9172C">
            <w:pPr>
              <w:pStyle w:val="TableText0"/>
              <w:rPr>
                <w:szCs w:val="20"/>
              </w:rPr>
            </w:pPr>
            <w:r w:rsidRPr="00B57220">
              <w:rPr>
                <w:szCs w:val="20"/>
              </w:rPr>
              <w:t xml:space="preserve"> </w:t>
            </w:r>
          </w:p>
        </w:tc>
        <w:tc>
          <w:tcPr>
            <w:tcW w:w="2896" w:type="pct"/>
            <w:tcBorders>
              <w:top w:val="nil"/>
              <w:bottom w:val="single" w:sz="4" w:space="0" w:color="auto"/>
            </w:tcBorders>
          </w:tcPr>
          <w:p w14:paraId="350EFE31" w14:textId="77777777" w:rsidR="00477A8B" w:rsidRPr="00B57220" w:rsidRDefault="007C18A5" w:rsidP="00E9172C">
            <w:pPr>
              <w:pStyle w:val="TableText0"/>
              <w:rPr>
                <w:rFonts w:cs="Arial"/>
                <w:szCs w:val="20"/>
              </w:rPr>
            </w:pPr>
            <w:r w:rsidRPr="00B57220">
              <w:rPr>
                <w:rFonts w:cs="Arial"/>
                <w:szCs w:val="20"/>
              </w:rPr>
              <w:t>Bel E, Wenzel S</w:t>
            </w:r>
            <w:r w:rsidR="00556132" w:rsidRPr="00B57220">
              <w:rPr>
                <w:rFonts w:cs="Arial"/>
                <w:szCs w:val="20"/>
              </w:rPr>
              <w:t>, Thompson</w:t>
            </w:r>
            <w:r w:rsidRPr="00B57220">
              <w:rPr>
                <w:rFonts w:cs="Arial"/>
                <w:szCs w:val="20"/>
              </w:rPr>
              <w:t xml:space="preserve"> P</w:t>
            </w:r>
            <w:r w:rsidR="00556132" w:rsidRPr="00B57220">
              <w:rPr>
                <w:rFonts w:cs="Arial"/>
                <w:szCs w:val="20"/>
              </w:rPr>
              <w:t xml:space="preserve">, et al. </w:t>
            </w:r>
            <w:r w:rsidR="00AB21B9" w:rsidRPr="00B57220">
              <w:rPr>
                <w:rFonts w:cs="Arial"/>
                <w:szCs w:val="20"/>
              </w:rPr>
              <w:t>Oral glucocorticoid-sparing effect of mepolizumab in eosinophilic asthma.</w:t>
            </w:r>
          </w:p>
        </w:tc>
        <w:tc>
          <w:tcPr>
            <w:tcW w:w="1308" w:type="pct"/>
            <w:tcBorders>
              <w:top w:val="nil"/>
              <w:bottom w:val="single" w:sz="4" w:space="0" w:color="auto"/>
            </w:tcBorders>
          </w:tcPr>
          <w:p w14:paraId="1B3A62E3" w14:textId="77777777" w:rsidR="00477A8B" w:rsidRPr="00B57220" w:rsidRDefault="00477A8B" w:rsidP="00E9172C">
            <w:pPr>
              <w:pStyle w:val="TableText0"/>
              <w:rPr>
                <w:iCs/>
                <w:szCs w:val="20"/>
              </w:rPr>
            </w:pPr>
            <w:r w:rsidRPr="00B57220">
              <w:rPr>
                <w:i/>
                <w:iCs/>
                <w:szCs w:val="20"/>
              </w:rPr>
              <w:t>N Engl J Med</w:t>
            </w:r>
            <w:r w:rsidR="00556132" w:rsidRPr="00B57220">
              <w:rPr>
                <w:i/>
                <w:iCs/>
                <w:szCs w:val="20"/>
              </w:rPr>
              <w:t xml:space="preserve"> </w:t>
            </w:r>
            <w:r w:rsidR="00556132" w:rsidRPr="00B57220">
              <w:rPr>
                <w:iCs/>
                <w:szCs w:val="20"/>
              </w:rPr>
              <w:t>2014</w:t>
            </w:r>
            <w:r w:rsidRPr="00B57220">
              <w:rPr>
                <w:i/>
                <w:iCs/>
                <w:szCs w:val="20"/>
              </w:rPr>
              <w:t>;</w:t>
            </w:r>
            <w:r w:rsidRPr="00B57220">
              <w:rPr>
                <w:iCs/>
                <w:szCs w:val="20"/>
              </w:rPr>
              <w:t xml:space="preserve"> 371</w:t>
            </w:r>
            <w:r w:rsidR="00556132" w:rsidRPr="00B57220">
              <w:rPr>
                <w:szCs w:val="20"/>
              </w:rPr>
              <w:t>:</w:t>
            </w:r>
            <w:r w:rsidRPr="00B57220">
              <w:rPr>
                <w:szCs w:val="20"/>
              </w:rPr>
              <w:t xml:space="preserve">1189-97. </w:t>
            </w:r>
          </w:p>
        </w:tc>
      </w:tr>
      <w:tr w:rsidR="006F2ADF" w:rsidRPr="00B57220" w14:paraId="007E0C7B" w14:textId="77777777" w:rsidTr="00B57220">
        <w:tc>
          <w:tcPr>
            <w:tcW w:w="796" w:type="pct"/>
            <w:tcBorders>
              <w:top w:val="nil"/>
              <w:bottom w:val="single" w:sz="4" w:space="0" w:color="auto"/>
            </w:tcBorders>
          </w:tcPr>
          <w:p w14:paraId="063BFCEE" w14:textId="77777777" w:rsidR="00976903" w:rsidRPr="00B57220" w:rsidRDefault="00976903" w:rsidP="00E9172C">
            <w:pPr>
              <w:pStyle w:val="TableText0"/>
              <w:rPr>
                <w:szCs w:val="20"/>
              </w:rPr>
            </w:pPr>
            <w:r w:rsidRPr="00B57220">
              <w:rPr>
                <w:szCs w:val="20"/>
              </w:rPr>
              <w:t>EXTRA</w:t>
            </w:r>
          </w:p>
          <w:p w14:paraId="4662E9A3" w14:textId="77777777" w:rsidR="00976903" w:rsidRPr="00B57220" w:rsidRDefault="00976903" w:rsidP="00E9172C">
            <w:pPr>
              <w:pStyle w:val="TableText0"/>
              <w:rPr>
                <w:szCs w:val="20"/>
              </w:rPr>
            </w:pPr>
          </w:p>
        </w:tc>
        <w:tc>
          <w:tcPr>
            <w:tcW w:w="2896" w:type="pct"/>
            <w:tcBorders>
              <w:top w:val="nil"/>
              <w:bottom w:val="single" w:sz="4" w:space="0" w:color="auto"/>
            </w:tcBorders>
          </w:tcPr>
          <w:p w14:paraId="5BA9EE60" w14:textId="77777777" w:rsidR="00976903" w:rsidRPr="00B57220" w:rsidRDefault="00556132" w:rsidP="00E9172C">
            <w:pPr>
              <w:pStyle w:val="TableText0"/>
              <w:rPr>
                <w:szCs w:val="20"/>
              </w:rPr>
            </w:pPr>
            <w:r w:rsidRPr="00B57220">
              <w:rPr>
                <w:szCs w:val="20"/>
              </w:rPr>
              <w:t>Hanania N, Alpan O, Hamilos D</w:t>
            </w:r>
            <w:r w:rsidR="00976903" w:rsidRPr="00B57220">
              <w:rPr>
                <w:szCs w:val="20"/>
              </w:rPr>
              <w:t>, et al.</w:t>
            </w:r>
            <w:r w:rsidRPr="00B57220">
              <w:rPr>
                <w:szCs w:val="20"/>
              </w:rPr>
              <w:t xml:space="preserve"> Omalizumab in severe allergic asthma inadequately controlled with standard t</w:t>
            </w:r>
            <w:r w:rsidR="00976903" w:rsidRPr="00B57220">
              <w:rPr>
                <w:szCs w:val="20"/>
              </w:rPr>
              <w:t>herapy.</w:t>
            </w:r>
          </w:p>
        </w:tc>
        <w:tc>
          <w:tcPr>
            <w:tcW w:w="1308" w:type="pct"/>
            <w:tcBorders>
              <w:top w:val="nil"/>
              <w:bottom w:val="single" w:sz="4" w:space="0" w:color="auto"/>
            </w:tcBorders>
          </w:tcPr>
          <w:p w14:paraId="212AC2C0" w14:textId="77777777" w:rsidR="00976903" w:rsidRPr="00B57220" w:rsidRDefault="00976903" w:rsidP="00E9172C">
            <w:pPr>
              <w:pStyle w:val="TableText0"/>
              <w:rPr>
                <w:iCs/>
                <w:szCs w:val="20"/>
              </w:rPr>
            </w:pPr>
            <w:r w:rsidRPr="00B57220">
              <w:rPr>
                <w:i/>
                <w:iCs/>
                <w:szCs w:val="20"/>
              </w:rPr>
              <w:t>Ann Intern</w:t>
            </w:r>
            <w:r w:rsidR="00941738" w:rsidRPr="00B57220">
              <w:rPr>
                <w:i/>
                <w:iCs/>
                <w:szCs w:val="20"/>
              </w:rPr>
              <w:t xml:space="preserve"> Med</w:t>
            </w:r>
            <w:r w:rsidR="00556132" w:rsidRPr="00B57220">
              <w:rPr>
                <w:i/>
                <w:iCs/>
                <w:szCs w:val="20"/>
              </w:rPr>
              <w:t xml:space="preserve"> </w:t>
            </w:r>
            <w:r w:rsidR="00556132" w:rsidRPr="00B57220">
              <w:rPr>
                <w:iCs/>
                <w:szCs w:val="20"/>
              </w:rPr>
              <w:t>2011</w:t>
            </w:r>
            <w:r w:rsidRPr="00B57220">
              <w:rPr>
                <w:iCs/>
                <w:szCs w:val="20"/>
              </w:rPr>
              <w:t>; 154</w:t>
            </w:r>
            <w:r w:rsidR="00556132" w:rsidRPr="00B57220">
              <w:rPr>
                <w:szCs w:val="20"/>
              </w:rPr>
              <w:t>:</w:t>
            </w:r>
            <w:r w:rsidRPr="00B57220">
              <w:rPr>
                <w:szCs w:val="20"/>
              </w:rPr>
              <w:t>573-582.</w:t>
            </w:r>
          </w:p>
        </w:tc>
      </w:tr>
      <w:tr w:rsidR="006F2ADF" w:rsidRPr="00B57220" w14:paraId="00FD6035" w14:textId="77777777" w:rsidTr="00B57220">
        <w:tc>
          <w:tcPr>
            <w:tcW w:w="796" w:type="pct"/>
            <w:tcBorders>
              <w:top w:val="nil"/>
              <w:bottom w:val="single" w:sz="4" w:space="0" w:color="auto"/>
            </w:tcBorders>
          </w:tcPr>
          <w:p w14:paraId="7EB17E28" w14:textId="77777777" w:rsidR="00477A8B" w:rsidRPr="00B57220" w:rsidRDefault="00477A8B" w:rsidP="00580E2F">
            <w:pPr>
              <w:pStyle w:val="TableText0"/>
              <w:keepNext w:val="0"/>
              <w:rPr>
                <w:szCs w:val="20"/>
              </w:rPr>
            </w:pPr>
            <w:r w:rsidRPr="00B57220">
              <w:rPr>
                <w:szCs w:val="20"/>
              </w:rPr>
              <w:t>INNOVATE</w:t>
            </w:r>
          </w:p>
          <w:p w14:paraId="7A41BC90" w14:textId="77777777" w:rsidR="00976903" w:rsidRPr="00B57220" w:rsidRDefault="00976903" w:rsidP="00580E2F">
            <w:pPr>
              <w:pStyle w:val="TableText0"/>
              <w:keepNext w:val="0"/>
              <w:rPr>
                <w:szCs w:val="20"/>
              </w:rPr>
            </w:pPr>
          </w:p>
        </w:tc>
        <w:tc>
          <w:tcPr>
            <w:tcW w:w="2896" w:type="pct"/>
            <w:tcBorders>
              <w:top w:val="nil"/>
              <w:bottom w:val="single" w:sz="4" w:space="0" w:color="auto"/>
            </w:tcBorders>
          </w:tcPr>
          <w:p w14:paraId="46EBEB9B" w14:textId="77777777" w:rsidR="00477A8B" w:rsidRPr="00B57220" w:rsidRDefault="007C18A5" w:rsidP="00580E2F">
            <w:pPr>
              <w:pStyle w:val="TableText0"/>
              <w:keepNext w:val="0"/>
              <w:rPr>
                <w:szCs w:val="20"/>
              </w:rPr>
            </w:pPr>
            <w:r w:rsidRPr="00B57220">
              <w:rPr>
                <w:szCs w:val="20"/>
              </w:rPr>
              <w:t>Humbert M, Beasley R, Ayres J</w:t>
            </w:r>
            <w:r w:rsidR="00556132" w:rsidRPr="00B57220">
              <w:rPr>
                <w:szCs w:val="20"/>
              </w:rPr>
              <w:t xml:space="preserve">, et al. </w:t>
            </w:r>
            <w:r w:rsidR="00976903" w:rsidRPr="00B57220">
              <w:rPr>
                <w:szCs w:val="20"/>
              </w:rPr>
              <w:t>Benefits of omalizumab as add</w:t>
            </w:r>
            <w:r w:rsidR="00976903" w:rsidRPr="00B57220">
              <w:rPr>
                <w:rFonts w:ascii="Cambria Math" w:hAnsi="Cambria Math" w:cs="Cambria Math"/>
                <w:szCs w:val="20"/>
              </w:rPr>
              <w:t>‐</w:t>
            </w:r>
            <w:r w:rsidR="00976903" w:rsidRPr="00B57220">
              <w:rPr>
                <w:szCs w:val="20"/>
              </w:rPr>
              <w:t xml:space="preserve">on therapy in patients with severe persistent asthma who are inadequately controlled despite best available therapy (GINA 2002 step 4 treatment): INNOVATE </w:t>
            </w:r>
          </w:p>
        </w:tc>
        <w:tc>
          <w:tcPr>
            <w:tcW w:w="1308" w:type="pct"/>
            <w:tcBorders>
              <w:top w:val="nil"/>
              <w:bottom w:val="single" w:sz="4" w:space="0" w:color="auto"/>
            </w:tcBorders>
          </w:tcPr>
          <w:p w14:paraId="63BA668F" w14:textId="77777777" w:rsidR="00477A8B" w:rsidRPr="00B57220" w:rsidRDefault="00477A8B" w:rsidP="007C18A5">
            <w:pPr>
              <w:pStyle w:val="TableText0"/>
              <w:keepNext w:val="0"/>
              <w:rPr>
                <w:iCs/>
                <w:szCs w:val="20"/>
              </w:rPr>
            </w:pPr>
            <w:r w:rsidRPr="00B57220">
              <w:rPr>
                <w:i/>
                <w:iCs/>
                <w:szCs w:val="20"/>
              </w:rPr>
              <w:t>Allergy</w:t>
            </w:r>
            <w:r w:rsidR="007C18A5" w:rsidRPr="00B57220">
              <w:rPr>
                <w:i/>
                <w:iCs/>
                <w:szCs w:val="20"/>
              </w:rPr>
              <w:t xml:space="preserve"> </w:t>
            </w:r>
            <w:r w:rsidR="007C18A5" w:rsidRPr="00B57220">
              <w:rPr>
                <w:iCs/>
                <w:szCs w:val="20"/>
              </w:rPr>
              <w:t>2005</w:t>
            </w:r>
            <w:r w:rsidR="00976903" w:rsidRPr="00B57220">
              <w:rPr>
                <w:iCs/>
                <w:szCs w:val="20"/>
              </w:rPr>
              <w:t xml:space="preserve">; </w:t>
            </w:r>
            <w:r w:rsidRPr="00B57220">
              <w:rPr>
                <w:iCs/>
                <w:szCs w:val="20"/>
              </w:rPr>
              <w:t>60</w:t>
            </w:r>
            <w:r w:rsidR="007C18A5" w:rsidRPr="00B57220">
              <w:rPr>
                <w:szCs w:val="20"/>
              </w:rPr>
              <w:t>:</w:t>
            </w:r>
            <w:r w:rsidRPr="00B57220">
              <w:rPr>
                <w:szCs w:val="20"/>
              </w:rPr>
              <w:t>309-16.</w:t>
            </w:r>
          </w:p>
        </w:tc>
      </w:tr>
    </w:tbl>
    <w:p w14:paraId="13608615" w14:textId="77777777" w:rsidR="008E0D3C" w:rsidRPr="00193BC1" w:rsidRDefault="008E0D3C" w:rsidP="00580E2F">
      <w:pPr>
        <w:pStyle w:val="TableFigureFooter"/>
        <w:rPr>
          <w:sz w:val="20"/>
        </w:rPr>
      </w:pPr>
      <w:r w:rsidRPr="00193BC1">
        <w:t xml:space="preserve">Source: </w:t>
      </w:r>
      <w:r w:rsidR="00477A8B" w:rsidRPr="00193BC1">
        <w:t>Table 2.7, pp 54 – 55 of the submission.</w:t>
      </w:r>
    </w:p>
    <w:p w14:paraId="79048947" w14:textId="77777777" w:rsidR="007F1017" w:rsidRPr="00193BC1" w:rsidRDefault="008F120A" w:rsidP="001716E0">
      <w:pPr>
        <w:pStyle w:val="3-BodyText"/>
      </w:pPr>
      <w:r w:rsidRPr="00193BC1">
        <w:t xml:space="preserve">The key features of the </w:t>
      </w:r>
      <w:r w:rsidR="00A924E3" w:rsidRPr="00193BC1">
        <w:t>trials</w:t>
      </w:r>
      <w:r w:rsidRPr="00193BC1">
        <w:t xml:space="preserve"> are summarised in </w:t>
      </w:r>
      <w:r w:rsidR="00797BC5" w:rsidRPr="00193BC1">
        <w:t>Table 3</w:t>
      </w:r>
      <w:r w:rsidR="0008369F" w:rsidRPr="00193BC1">
        <w:t xml:space="preserve"> </w:t>
      </w:r>
      <w:r w:rsidRPr="00193BC1">
        <w:t>below.</w:t>
      </w:r>
      <w:r w:rsidR="00CC7701" w:rsidRPr="00193BC1">
        <w:t xml:space="preserve"> Both QUEST and DRI12544 studied a patient population of moderate-to-severe uncontrolled asthma</w:t>
      </w:r>
      <w:r w:rsidR="002A3C2C" w:rsidRPr="00193BC1">
        <w:t xml:space="preserve"> vs placebo</w:t>
      </w:r>
      <w:r w:rsidR="00CC7701" w:rsidRPr="00193BC1">
        <w:t xml:space="preserve">, which is different to the ‘severe uncontrolled asthma’ populations of the </w:t>
      </w:r>
      <w:r w:rsidR="00CC7701" w:rsidRPr="00193BC1">
        <w:lastRenderedPageBreak/>
        <w:t>comparator studies.</w:t>
      </w:r>
      <w:r w:rsidR="000B1DED" w:rsidRPr="00193BC1">
        <w:t xml:space="preserve"> Efficacy </w:t>
      </w:r>
      <w:r w:rsidR="002A3C2C" w:rsidRPr="00193BC1">
        <w:t xml:space="preserve">for dupilumab </w:t>
      </w:r>
      <w:r w:rsidR="000B1DED" w:rsidRPr="00193BC1">
        <w:t>should not be compared to placebo in patients who have moderate uncontrolled asthma; the appropriate compar</w:t>
      </w:r>
      <w:r w:rsidR="00D3174E" w:rsidRPr="00193BC1">
        <w:t>ator</w:t>
      </w:r>
      <w:r w:rsidR="000B1DED" w:rsidRPr="00193BC1">
        <w:t xml:space="preserve"> </w:t>
      </w:r>
      <w:r w:rsidR="003526F5" w:rsidRPr="00193BC1">
        <w:t>for this population in the Australian setting would</w:t>
      </w:r>
      <w:r w:rsidR="000B1DED" w:rsidRPr="00193BC1">
        <w:t xml:space="preserve"> be optimised asthma therapy, which </w:t>
      </w:r>
      <w:r w:rsidR="003526F5" w:rsidRPr="00193BC1">
        <w:t xml:space="preserve">consists of increasing the doses of inhaled therapies, with the addition of </w:t>
      </w:r>
      <w:r w:rsidR="00044251" w:rsidRPr="00193BC1">
        <w:t>OCS</w:t>
      </w:r>
      <w:r w:rsidR="003526F5" w:rsidRPr="00193BC1">
        <w:t xml:space="preserve"> (unless contraindicated or not tolerated).</w:t>
      </w:r>
      <w:r w:rsidR="007F4941" w:rsidRPr="00193BC1">
        <w:t xml:space="preserve"> A proportion of patients may gain control with these measures; it is only </w:t>
      </w:r>
      <w:r w:rsidR="00480D18" w:rsidRPr="00193BC1">
        <w:t xml:space="preserve">in </w:t>
      </w:r>
      <w:r w:rsidR="007F4941" w:rsidRPr="00193BC1">
        <w:t>patients whose asthma remain</w:t>
      </w:r>
      <w:r w:rsidR="005A38ED" w:rsidRPr="00193BC1">
        <w:t>ed</w:t>
      </w:r>
      <w:r w:rsidR="007F4941" w:rsidRPr="00193BC1">
        <w:t xml:space="preserve"> uncontrolled despite optimised asthma therapy where</w:t>
      </w:r>
      <w:r w:rsidR="003526F5" w:rsidRPr="00193BC1">
        <w:t xml:space="preserve"> </w:t>
      </w:r>
      <w:r w:rsidR="005A38ED" w:rsidRPr="00193BC1">
        <w:t>placebo was the appropriate comparator at the time the trials were designed</w:t>
      </w:r>
      <w:r w:rsidR="0065703D" w:rsidRPr="00193BC1">
        <w:t xml:space="preserve"> – this is the popula</w:t>
      </w:r>
      <w:r w:rsidR="00446405" w:rsidRPr="00193BC1">
        <w:t>tion studied in the comparator</w:t>
      </w:r>
      <w:r w:rsidR="00BD00E3" w:rsidRPr="00193BC1">
        <w:t xml:space="preserve"> trials</w:t>
      </w:r>
      <w:r w:rsidR="00BA405F" w:rsidRPr="00193BC1">
        <w:t>.</w:t>
      </w:r>
    </w:p>
    <w:p w14:paraId="3E13503B" w14:textId="77777777" w:rsidR="007F1017" w:rsidRPr="00193BC1" w:rsidRDefault="0008369F" w:rsidP="00E9172C">
      <w:pPr>
        <w:pStyle w:val="TableFigureHeading"/>
        <w:rPr>
          <w:rStyle w:val="CommentReference"/>
          <w:b/>
          <w:szCs w:val="24"/>
        </w:rPr>
      </w:pPr>
      <w:bookmarkStart w:id="14" w:name="_Ref49792344"/>
      <w:r w:rsidRPr="00193BC1">
        <w:lastRenderedPageBreak/>
        <w:t xml:space="preserve">Table </w:t>
      </w:r>
      <w:r w:rsidR="00797BC5" w:rsidRPr="00193BC1">
        <w:t>3</w:t>
      </w:r>
      <w:bookmarkEnd w:id="14"/>
      <w:r w:rsidR="007F1017" w:rsidRPr="00193BC1">
        <w:rPr>
          <w:rStyle w:val="CommentReference"/>
          <w:b/>
          <w:szCs w:val="24"/>
        </w:rPr>
        <w:t>: Key features of the included evidence</w:t>
      </w:r>
      <w:r w:rsidR="006C1C7A" w:rsidRPr="00193BC1">
        <w:rPr>
          <w:rStyle w:val="CommentReference"/>
          <w:b/>
          <w:szCs w:val="24"/>
        </w:rPr>
        <w:t xml:space="preserve"> in the</w:t>
      </w:r>
      <w:r w:rsidR="003759D8" w:rsidRPr="00193BC1">
        <w:rPr>
          <w:rStyle w:val="CommentReference"/>
          <w:b/>
          <w:szCs w:val="24"/>
        </w:rPr>
        <w:t xml:space="preserve"> indirect comparison</w:t>
      </w:r>
      <w:r w:rsidR="006C1C7A" w:rsidRPr="00193BC1">
        <w:rPr>
          <w:rStyle w:val="CommentReference"/>
          <w:b/>
          <w:szCs w:val="24"/>
        </w:rPr>
        <w: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88"/>
        <w:gridCol w:w="1845"/>
        <w:gridCol w:w="851"/>
        <w:gridCol w:w="992"/>
        <w:gridCol w:w="2552"/>
        <w:gridCol w:w="1789"/>
      </w:tblGrid>
      <w:tr w:rsidR="006F2ADF" w:rsidRPr="00B57220" w14:paraId="5650DC78" w14:textId="77777777" w:rsidTr="00B57220">
        <w:trPr>
          <w:cantSplit/>
        </w:trPr>
        <w:tc>
          <w:tcPr>
            <w:tcW w:w="548" w:type="pct"/>
            <w:shd w:val="clear" w:color="auto" w:fill="auto"/>
            <w:vAlign w:val="center"/>
          </w:tcPr>
          <w:p w14:paraId="05F9CB2B" w14:textId="77777777" w:rsidR="007F0AB2" w:rsidRPr="00B57220" w:rsidRDefault="007F0AB2" w:rsidP="00E9172C">
            <w:pPr>
              <w:pStyle w:val="In-tableHeading"/>
              <w:rPr>
                <w:szCs w:val="20"/>
                <w:lang w:val="en-AU"/>
              </w:rPr>
            </w:pPr>
            <w:r w:rsidRPr="00B57220">
              <w:rPr>
                <w:szCs w:val="20"/>
                <w:lang w:val="en-AU"/>
              </w:rPr>
              <w:t>Trial</w:t>
            </w:r>
          </w:p>
        </w:tc>
        <w:tc>
          <w:tcPr>
            <w:tcW w:w="1023" w:type="pct"/>
            <w:shd w:val="clear" w:color="auto" w:fill="auto"/>
            <w:vAlign w:val="center"/>
          </w:tcPr>
          <w:p w14:paraId="5AF3DB07" w14:textId="77777777" w:rsidR="007F0AB2" w:rsidRPr="00B57220" w:rsidRDefault="007F0AB2" w:rsidP="00E9172C">
            <w:pPr>
              <w:pStyle w:val="In-tableHeading"/>
              <w:jc w:val="center"/>
              <w:rPr>
                <w:szCs w:val="20"/>
                <w:lang w:val="en-AU"/>
              </w:rPr>
            </w:pPr>
            <w:r w:rsidRPr="00B57220">
              <w:rPr>
                <w:szCs w:val="20"/>
                <w:lang w:val="en-AU"/>
              </w:rPr>
              <w:t>N</w:t>
            </w:r>
          </w:p>
        </w:tc>
        <w:tc>
          <w:tcPr>
            <w:tcW w:w="472" w:type="pct"/>
            <w:shd w:val="clear" w:color="auto" w:fill="auto"/>
            <w:vAlign w:val="center"/>
          </w:tcPr>
          <w:p w14:paraId="58269467" w14:textId="77777777" w:rsidR="007F0AB2" w:rsidRPr="00B57220" w:rsidRDefault="007F0AB2" w:rsidP="00E9172C">
            <w:pPr>
              <w:pStyle w:val="In-tableHeading"/>
              <w:jc w:val="center"/>
              <w:rPr>
                <w:szCs w:val="20"/>
                <w:lang w:val="en-AU"/>
              </w:rPr>
            </w:pPr>
            <w:r w:rsidRPr="00B57220">
              <w:rPr>
                <w:szCs w:val="20"/>
                <w:lang w:val="en-AU"/>
              </w:rPr>
              <w:t>Design/ duration</w:t>
            </w:r>
          </w:p>
        </w:tc>
        <w:tc>
          <w:tcPr>
            <w:tcW w:w="550" w:type="pct"/>
            <w:shd w:val="clear" w:color="auto" w:fill="auto"/>
            <w:vAlign w:val="center"/>
          </w:tcPr>
          <w:p w14:paraId="5B180CBB" w14:textId="77777777" w:rsidR="007F0AB2" w:rsidRPr="00B57220" w:rsidRDefault="007F0AB2" w:rsidP="00E9172C">
            <w:pPr>
              <w:pStyle w:val="In-tableHeading"/>
              <w:jc w:val="center"/>
              <w:rPr>
                <w:szCs w:val="20"/>
                <w:vertAlign w:val="superscript"/>
                <w:lang w:val="en-AU"/>
              </w:rPr>
            </w:pPr>
            <w:r w:rsidRPr="00B57220">
              <w:rPr>
                <w:szCs w:val="20"/>
                <w:lang w:val="en-AU"/>
              </w:rPr>
              <w:t>Risk of bias</w:t>
            </w:r>
            <w:r w:rsidR="008F0C1E" w:rsidRPr="00B57220">
              <w:rPr>
                <w:szCs w:val="20"/>
                <w:vertAlign w:val="superscript"/>
                <w:lang w:val="en-AU"/>
              </w:rPr>
              <w:t>e</w:t>
            </w:r>
          </w:p>
        </w:tc>
        <w:tc>
          <w:tcPr>
            <w:tcW w:w="1415" w:type="pct"/>
            <w:shd w:val="clear" w:color="auto" w:fill="auto"/>
            <w:vAlign w:val="center"/>
          </w:tcPr>
          <w:p w14:paraId="44AD4F8E" w14:textId="77777777" w:rsidR="007F0AB2" w:rsidRPr="00B57220" w:rsidRDefault="007F0AB2" w:rsidP="00E9172C">
            <w:pPr>
              <w:pStyle w:val="In-tableHeading"/>
              <w:jc w:val="center"/>
              <w:rPr>
                <w:szCs w:val="20"/>
                <w:lang w:val="en-AU"/>
              </w:rPr>
            </w:pPr>
            <w:r w:rsidRPr="00B57220">
              <w:rPr>
                <w:szCs w:val="20"/>
                <w:lang w:val="en-AU"/>
              </w:rPr>
              <w:t>Patient population</w:t>
            </w:r>
          </w:p>
        </w:tc>
        <w:tc>
          <w:tcPr>
            <w:tcW w:w="992" w:type="pct"/>
            <w:shd w:val="clear" w:color="auto" w:fill="auto"/>
            <w:vAlign w:val="center"/>
          </w:tcPr>
          <w:p w14:paraId="47D1CA76" w14:textId="77777777" w:rsidR="007F0AB2" w:rsidRPr="00B57220" w:rsidRDefault="007F0AB2" w:rsidP="00E9172C">
            <w:pPr>
              <w:pStyle w:val="In-tableHeading"/>
              <w:jc w:val="center"/>
              <w:rPr>
                <w:szCs w:val="20"/>
                <w:lang w:val="en-AU"/>
              </w:rPr>
            </w:pPr>
            <w:r w:rsidRPr="00B57220">
              <w:rPr>
                <w:szCs w:val="20"/>
                <w:lang w:val="en-AU"/>
              </w:rPr>
              <w:t>Outcome(s)</w:t>
            </w:r>
          </w:p>
        </w:tc>
      </w:tr>
      <w:tr w:rsidR="006F2ADF" w:rsidRPr="00B57220" w14:paraId="266CDEC3" w14:textId="77777777" w:rsidTr="00B57220">
        <w:trPr>
          <w:cantSplit/>
        </w:trPr>
        <w:tc>
          <w:tcPr>
            <w:tcW w:w="5000" w:type="pct"/>
            <w:gridSpan w:val="6"/>
            <w:shd w:val="clear" w:color="auto" w:fill="auto"/>
            <w:vAlign w:val="center"/>
          </w:tcPr>
          <w:p w14:paraId="7726CBFF" w14:textId="77777777" w:rsidR="007F0AB2" w:rsidRPr="00B57220" w:rsidRDefault="007F0AB2" w:rsidP="00E9172C">
            <w:pPr>
              <w:pStyle w:val="In-tableHeading"/>
              <w:rPr>
                <w:szCs w:val="20"/>
                <w:lang w:val="en-AU"/>
              </w:rPr>
            </w:pPr>
            <w:r w:rsidRPr="00B57220">
              <w:rPr>
                <w:szCs w:val="20"/>
                <w:lang w:val="en-AU"/>
              </w:rPr>
              <w:t>Dupilumab versus placebo</w:t>
            </w:r>
          </w:p>
        </w:tc>
      </w:tr>
      <w:tr w:rsidR="006F2ADF" w:rsidRPr="00B57220" w14:paraId="0408FBD6" w14:textId="77777777" w:rsidTr="00B57220">
        <w:trPr>
          <w:cantSplit/>
        </w:trPr>
        <w:tc>
          <w:tcPr>
            <w:tcW w:w="548" w:type="pct"/>
            <w:shd w:val="clear" w:color="auto" w:fill="auto"/>
            <w:vAlign w:val="center"/>
          </w:tcPr>
          <w:p w14:paraId="39AAB2AF" w14:textId="77777777" w:rsidR="007F0AB2" w:rsidRPr="00B57220" w:rsidRDefault="007F0AB2" w:rsidP="00E9172C">
            <w:pPr>
              <w:pStyle w:val="In-tableHeading"/>
              <w:rPr>
                <w:b w:val="0"/>
                <w:bCs/>
                <w:szCs w:val="20"/>
                <w:lang w:val="en-AU"/>
              </w:rPr>
            </w:pPr>
            <w:r w:rsidRPr="00B57220">
              <w:rPr>
                <w:b w:val="0"/>
                <w:bCs/>
                <w:szCs w:val="20"/>
                <w:lang w:val="en-AU"/>
              </w:rPr>
              <w:t>QUEST</w:t>
            </w:r>
          </w:p>
        </w:tc>
        <w:tc>
          <w:tcPr>
            <w:tcW w:w="1023" w:type="pct"/>
            <w:shd w:val="clear" w:color="auto" w:fill="auto"/>
            <w:vAlign w:val="center"/>
          </w:tcPr>
          <w:p w14:paraId="6495C73A" w14:textId="77777777" w:rsidR="007F0AB2" w:rsidRPr="00B57220" w:rsidRDefault="007F0AB2" w:rsidP="00E9172C">
            <w:pPr>
              <w:pStyle w:val="In-tableHeading"/>
              <w:jc w:val="center"/>
              <w:rPr>
                <w:b w:val="0"/>
                <w:bCs/>
                <w:szCs w:val="20"/>
                <w:lang w:val="en-AU"/>
              </w:rPr>
            </w:pPr>
            <w:r w:rsidRPr="00B57220">
              <w:rPr>
                <w:b w:val="0"/>
                <w:bCs/>
                <w:szCs w:val="20"/>
                <w:lang w:val="en-AU"/>
              </w:rPr>
              <w:t>952</w:t>
            </w:r>
          </w:p>
        </w:tc>
        <w:tc>
          <w:tcPr>
            <w:tcW w:w="472" w:type="pct"/>
            <w:shd w:val="clear" w:color="auto" w:fill="auto"/>
            <w:vAlign w:val="center"/>
          </w:tcPr>
          <w:p w14:paraId="6108EC3C" w14:textId="77777777" w:rsidR="007F0AB2" w:rsidRPr="00B57220" w:rsidRDefault="007F0AB2" w:rsidP="00E9172C">
            <w:pPr>
              <w:pStyle w:val="In-tableHeading"/>
              <w:jc w:val="center"/>
              <w:rPr>
                <w:b w:val="0"/>
                <w:bCs/>
                <w:szCs w:val="20"/>
                <w:lang w:val="en-AU"/>
              </w:rPr>
            </w:pPr>
            <w:r w:rsidRPr="00B57220">
              <w:rPr>
                <w:b w:val="0"/>
                <w:bCs/>
                <w:szCs w:val="20"/>
                <w:lang w:val="en-AU"/>
              </w:rPr>
              <w:t>R, DB, MC</w:t>
            </w:r>
          </w:p>
          <w:p w14:paraId="2E5BB6C7" w14:textId="77777777" w:rsidR="007F0AB2" w:rsidRPr="00B57220" w:rsidRDefault="007F0AB2" w:rsidP="00E9172C">
            <w:pPr>
              <w:pStyle w:val="In-tableHeading"/>
              <w:jc w:val="center"/>
              <w:rPr>
                <w:b w:val="0"/>
                <w:bCs/>
                <w:szCs w:val="20"/>
                <w:lang w:val="en-AU"/>
              </w:rPr>
            </w:pPr>
            <w:r w:rsidRPr="00B57220">
              <w:rPr>
                <w:b w:val="0"/>
                <w:bCs/>
                <w:szCs w:val="20"/>
                <w:lang w:val="en-AU"/>
              </w:rPr>
              <w:t>52 weeks</w:t>
            </w:r>
          </w:p>
        </w:tc>
        <w:tc>
          <w:tcPr>
            <w:tcW w:w="550" w:type="pct"/>
            <w:shd w:val="clear" w:color="auto" w:fill="auto"/>
            <w:vAlign w:val="center"/>
          </w:tcPr>
          <w:p w14:paraId="0F7FC93C" w14:textId="77777777" w:rsidR="007F0AB2" w:rsidRPr="00B57220" w:rsidRDefault="00E61115" w:rsidP="00E9172C">
            <w:pPr>
              <w:pStyle w:val="In-tableHeading"/>
              <w:jc w:val="center"/>
              <w:rPr>
                <w:b w:val="0"/>
                <w:bCs/>
                <w:szCs w:val="20"/>
                <w:lang w:val="en-AU"/>
              </w:rPr>
            </w:pPr>
            <w:r w:rsidRPr="00B57220">
              <w:rPr>
                <w:b w:val="0"/>
                <w:bCs/>
                <w:szCs w:val="20"/>
                <w:lang w:val="en-AU"/>
              </w:rPr>
              <w:t>Low</w:t>
            </w:r>
          </w:p>
        </w:tc>
        <w:tc>
          <w:tcPr>
            <w:tcW w:w="1415" w:type="pct"/>
            <w:shd w:val="clear" w:color="auto" w:fill="auto"/>
            <w:vAlign w:val="center"/>
          </w:tcPr>
          <w:p w14:paraId="3457CD94" w14:textId="77777777" w:rsidR="007F0AB2" w:rsidRPr="00B57220" w:rsidRDefault="007F0AB2" w:rsidP="00E9172C">
            <w:pPr>
              <w:pStyle w:val="In-tableHeading"/>
              <w:jc w:val="center"/>
              <w:rPr>
                <w:b w:val="0"/>
                <w:bCs/>
                <w:szCs w:val="20"/>
                <w:lang w:val="en-AU"/>
              </w:rPr>
            </w:pPr>
            <w:r w:rsidRPr="00B57220">
              <w:rPr>
                <w:b w:val="0"/>
                <w:bCs/>
                <w:szCs w:val="20"/>
                <w:lang w:val="en-AU"/>
              </w:rPr>
              <w:t>Moderate-to-severe uncontrolled asthma with medium-to-high dose ICS plus up to two additional controllers</w:t>
            </w:r>
          </w:p>
        </w:tc>
        <w:tc>
          <w:tcPr>
            <w:tcW w:w="992" w:type="pct"/>
            <w:shd w:val="clear" w:color="auto" w:fill="auto"/>
            <w:vAlign w:val="center"/>
          </w:tcPr>
          <w:p w14:paraId="277664E2" w14:textId="77777777" w:rsidR="007F0AB2" w:rsidRPr="00B57220" w:rsidRDefault="007D21BB" w:rsidP="00E9172C">
            <w:pPr>
              <w:pStyle w:val="In-tableHeading"/>
              <w:jc w:val="center"/>
              <w:rPr>
                <w:b w:val="0"/>
                <w:bCs/>
                <w:szCs w:val="20"/>
                <w:lang w:val="en-AU"/>
              </w:rPr>
            </w:pPr>
            <w:r w:rsidRPr="00B57220">
              <w:rPr>
                <w:b w:val="0"/>
                <w:bCs/>
                <w:szCs w:val="20"/>
                <w:lang w:val="en-AU"/>
              </w:rPr>
              <w:t>Annualised rate of severe exacerbation events, FEV</w:t>
            </w:r>
            <w:r w:rsidRPr="00B57220">
              <w:rPr>
                <w:b w:val="0"/>
                <w:bCs/>
                <w:szCs w:val="20"/>
                <w:vertAlign w:val="subscript"/>
                <w:lang w:val="en-AU"/>
              </w:rPr>
              <w:t>1</w:t>
            </w:r>
            <w:r w:rsidRPr="00B57220">
              <w:rPr>
                <w:b w:val="0"/>
                <w:bCs/>
                <w:szCs w:val="20"/>
                <w:lang w:val="en-AU"/>
              </w:rPr>
              <w:t xml:space="preserve"> change from baseline at week 12</w:t>
            </w:r>
          </w:p>
        </w:tc>
      </w:tr>
      <w:tr w:rsidR="006F2ADF" w:rsidRPr="00B57220" w14:paraId="7992A074" w14:textId="77777777" w:rsidTr="00B57220">
        <w:trPr>
          <w:cantSplit/>
        </w:trPr>
        <w:tc>
          <w:tcPr>
            <w:tcW w:w="548" w:type="pct"/>
            <w:shd w:val="clear" w:color="auto" w:fill="auto"/>
            <w:vAlign w:val="center"/>
          </w:tcPr>
          <w:p w14:paraId="67B1EA07" w14:textId="77777777" w:rsidR="007F0AB2" w:rsidRPr="00B57220" w:rsidRDefault="007F0AB2" w:rsidP="00E9172C">
            <w:pPr>
              <w:pStyle w:val="In-tableHeading"/>
              <w:rPr>
                <w:b w:val="0"/>
                <w:bCs/>
                <w:szCs w:val="20"/>
                <w:lang w:val="en-AU"/>
              </w:rPr>
            </w:pPr>
            <w:r w:rsidRPr="00B57220">
              <w:rPr>
                <w:b w:val="0"/>
                <w:bCs/>
                <w:szCs w:val="20"/>
                <w:lang w:val="en-AU"/>
              </w:rPr>
              <w:t>DRI12544</w:t>
            </w:r>
          </w:p>
        </w:tc>
        <w:tc>
          <w:tcPr>
            <w:tcW w:w="1023" w:type="pct"/>
            <w:shd w:val="clear" w:color="auto" w:fill="auto"/>
            <w:vAlign w:val="center"/>
          </w:tcPr>
          <w:p w14:paraId="2F6BEB9B" w14:textId="77777777" w:rsidR="007F0AB2" w:rsidRPr="00B57220" w:rsidRDefault="007F0AB2" w:rsidP="00E9172C">
            <w:pPr>
              <w:pStyle w:val="In-tableHeading"/>
              <w:jc w:val="center"/>
              <w:rPr>
                <w:b w:val="0"/>
                <w:bCs/>
                <w:szCs w:val="20"/>
                <w:lang w:val="en-AU"/>
              </w:rPr>
            </w:pPr>
            <w:r w:rsidRPr="00B57220">
              <w:rPr>
                <w:b w:val="0"/>
                <w:bCs/>
                <w:szCs w:val="20"/>
                <w:lang w:val="en-AU"/>
              </w:rPr>
              <w:t>308</w:t>
            </w:r>
          </w:p>
        </w:tc>
        <w:tc>
          <w:tcPr>
            <w:tcW w:w="472" w:type="pct"/>
            <w:shd w:val="clear" w:color="auto" w:fill="auto"/>
            <w:vAlign w:val="center"/>
          </w:tcPr>
          <w:p w14:paraId="5A3A63B6" w14:textId="77777777" w:rsidR="007F0AB2" w:rsidRPr="00B57220" w:rsidRDefault="007F0AB2" w:rsidP="00E9172C">
            <w:pPr>
              <w:pStyle w:val="In-tableHeading"/>
              <w:jc w:val="center"/>
              <w:rPr>
                <w:b w:val="0"/>
                <w:bCs/>
                <w:szCs w:val="20"/>
                <w:lang w:val="en-AU"/>
              </w:rPr>
            </w:pPr>
            <w:r w:rsidRPr="00B57220">
              <w:rPr>
                <w:b w:val="0"/>
                <w:bCs/>
                <w:szCs w:val="20"/>
                <w:lang w:val="en-AU"/>
              </w:rPr>
              <w:t>R, DB, MC</w:t>
            </w:r>
          </w:p>
          <w:p w14:paraId="0D10251F" w14:textId="77777777" w:rsidR="007F0AB2" w:rsidRPr="00B57220" w:rsidRDefault="007F0AB2" w:rsidP="00E9172C">
            <w:pPr>
              <w:pStyle w:val="In-tableHeading"/>
              <w:jc w:val="center"/>
              <w:rPr>
                <w:b w:val="0"/>
                <w:bCs/>
                <w:szCs w:val="20"/>
                <w:lang w:val="en-AU"/>
              </w:rPr>
            </w:pPr>
            <w:r w:rsidRPr="00B57220">
              <w:rPr>
                <w:b w:val="0"/>
                <w:bCs/>
                <w:szCs w:val="20"/>
                <w:lang w:val="en-AU"/>
              </w:rPr>
              <w:t>24 weeks</w:t>
            </w:r>
          </w:p>
        </w:tc>
        <w:tc>
          <w:tcPr>
            <w:tcW w:w="550" w:type="pct"/>
            <w:shd w:val="clear" w:color="auto" w:fill="auto"/>
            <w:vAlign w:val="center"/>
          </w:tcPr>
          <w:p w14:paraId="3F6CCE3C" w14:textId="77777777" w:rsidR="007F0AB2" w:rsidRPr="00B57220" w:rsidRDefault="00E61115" w:rsidP="00E9172C">
            <w:pPr>
              <w:pStyle w:val="In-tableHeading"/>
              <w:jc w:val="center"/>
              <w:rPr>
                <w:b w:val="0"/>
                <w:bCs/>
                <w:szCs w:val="20"/>
                <w:lang w:val="en-AU"/>
              </w:rPr>
            </w:pPr>
            <w:r w:rsidRPr="00B57220">
              <w:rPr>
                <w:b w:val="0"/>
                <w:bCs/>
                <w:szCs w:val="20"/>
                <w:lang w:val="en-AU"/>
              </w:rPr>
              <w:t>Low</w:t>
            </w:r>
          </w:p>
        </w:tc>
        <w:tc>
          <w:tcPr>
            <w:tcW w:w="1415" w:type="pct"/>
            <w:shd w:val="clear" w:color="auto" w:fill="auto"/>
            <w:vAlign w:val="center"/>
          </w:tcPr>
          <w:p w14:paraId="4C30A192" w14:textId="77777777" w:rsidR="007F0AB2" w:rsidRPr="00B57220" w:rsidRDefault="007D21BB" w:rsidP="00E9172C">
            <w:pPr>
              <w:pStyle w:val="In-tableHeading"/>
              <w:jc w:val="center"/>
              <w:rPr>
                <w:b w:val="0"/>
                <w:bCs/>
                <w:szCs w:val="20"/>
                <w:lang w:val="en-AU"/>
              </w:rPr>
            </w:pPr>
            <w:r w:rsidRPr="00B57220">
              <w:rPr>
                <w:b w:val="0"/>
                <w:bCs/>
                <w:szCs w:val="20"/>
                <w:lang w:val="en-AU"/>
              </w:rPr>
              <w:t>Moderate-to-severe uncontrolled asthma</w:t>
            </w:r>
          </w:p>
        </w:tc>
        <w:tc>
          <w:tcPr>
            <w:tcW w:w="992" w:type="pct"/>
            <w:shd w:val="clear" w:color="auto" w:fill="auto"/>
            <w:vAlign w:val="center"/>
          </w:tcPr>
          <w:p w14:paraId="00B34CB6" w14:textId="77777777" w:rsidR="007F0AB2" w:rsidRPr="00B57220" w:rsidRDefault="007F0AB2" w:rsidP="00E9172C">
            <w:pPr>
              <w:pStyle w:val="In-tableHeading"/>
              <w:jc w:val="center"/>
              <w:rPr>
                <w:b w:val="0"/>
                <w:bCs/>
                <w:szCs w:val="20"/>
                <w:lang w:val="en-AU"/>
              </w:rPr>
            </w:pPr>
            <w:r w:rsidRPr="00B57220">
              <w:rPr>
                <w:b w:val="0"/>
                <w:bCs/>
                <w:szCs w:val="20"/>
                <w:lang w:val="en-AU"/>
              </w:rPr>
              <w:t>FEV</w:t>
            </w:r>
            <w:r w:rsidRPr="00B57220">
              <w:rPr>
                <w:b w:val="0"/>
                <w:bCs/>
                <w:szCs w:val="20"/>
                <w:vertAlign w:val="subscript"/>
                <w:lang w:val="en-AU"/>
              </w:rPr>
              <w:t>1</w:t>
            </w:r>
            <w:r w:rsidRPr="00B57220">
              <w:rPr>
                <w:b w:val="0"/>
                <w:bCs/>
                <w:szCs w:val="20"/>
                <w:lang w:val="en-AU"/>
              </w:rPr>
              <w:t xml:space="preserve"> change from baseline at Week 12, annual</w:t>
            </w:r>
            <w:r w:rsidR="007D21BB" w:rsidRPr="00B57220">
              <w:rPr>
                <w:b w:val="0"/>
                <w:bCs/>
                <w:szCs w:val="20"/>
                <w:lang w:val="en-AU"/>
              </w:rPr>
              <w:t>ised</w:t>
            </w:r>
            <w:r w:rsidRPr="00B57220">
              <w:rPr>
                <w:b w:val="0"/>
                <w:bCs/>
                <w:szCs w:val="20"/>
                <w:lang w:val="en-AU"/>
              </w:rPr>
              <w:t xml:space="preserve"> asthma exacerbation rate</w:t>
            </w:r>
          </w:p>
        </w:tc>
      </w:tr>
      <w:tr w:rsidR="006F2ADF" w:rsidRPr="00B57220" w14:paraId="4D7999A5" w14:textId="77777777" w:rsidTr="00B57220">
        <w:trPr>
          <w:cantSplit/>
        </w:trPr>
        <w:tc>
          <w:tcPr>
            <w:tcW w:w="548" w:type="pct"/>
            <w:shd w:val="clear" w:color="auto" w:fill="auto"/>
            <w:vAlign w:val="center"/>
          </w:tcPr>
          <w:p w14:paraId="09228725" w14:textId="77777777" w:rsidR="007F0AB2" w:rsidRPr="00B57220" w:rsidRDefault="007F0AB2" w:rsidP="00E9172C">
            <w:pPr>
              <w:pStyle w:val="In-tableHeading"/>
              <w:rPr>
                <w:b w:val="0"/>
                <w:bCs/>
                <w:szCs w:val="20"/>
                <w:lang w:val="en-AU"/>
              </w:rPr>
            </w:pPr>
            <w:r w:rsidRPr="00B57220">
              <w:rPr>
                <w:b w:val="0"/>
                <w:bCs/>
                <w:szCs w:val="20"/>
                <w:lang w:val="en-AU"/>
              </w:rPr>
              <w:t>VENTURE</w:t>
            </w:r>
          </w:p>
        </w:tc>
        <w:tc>
          <w:tcPr>
            <w:tcW w:w="1023" w:type="pct"/>
            <w:shd w:val="clear" w:color="auto" w:fill="auto"/>
            <w:vAlign w:val="center"/>
          </w:tcPr>
          <w:p w14:paraId="0CA73EFB" w14:textId="77777777" w:rsidR="007F0AB2" w:rsidRPr="00B57220" w:rsidRDefault="007F0AB2" w:rsidP="00E9172C">
            <w:pPr>
              <w:pStyle w:val="In-tableHeading"/>
              <w:jc w:val="center"/>
              <w:rPr>
                <w:b w:val="0"/>
                <w:bCs/>
                <w:szCs w:val="20"/>
                <w:lang w:val="en-AU"/>
              </w:rPr>
            </w:pPr>
            <w:r w:rsidRPr="00B57220">
              <w:rPr>
                <w:b w:val="0"/>
                <w:bCs/>
                <w:szCs w:val="20"/>
                <w:lang w:val="en-AU"/>
              </w:rPr>
              <w:t>150</w:t>
            </w:r>
          </w:p>
        </w:tc>
        <w:tc>
          <w:tcPr>
            <w:tcW w:w="472" w:type="pct"/>
            <w:shd w:val="clear" w:color="auto" w:fill="auto"/>
            <w:vAlign w:val="center"/>
          </w:tcPr>
          <w:p w14:paraId="0727E0EE" w14:textId="77777777" w:rsidR="007F0AB2" w:rsidRPr="00B57220" w:rsidRDefault="007F0AB2" w:rsidP="00E9172C">
            <w:pPr>
              <w:pStyle w:val="In-tableHeading"/>
              <w:jc w:val="center"/>
              <w:rPr>
                <w:b w:val="0"/>
                <w:bCs/>
                <w:szCs w:val="20"/>
                <w:lang w:val="en-AU"/>
              </w:rPr>
            </w:pPr>
            <w:r w:rsidRPr="00B57220">
              <w:rPr>
                <w:b w:val="0"/>
                <w:bCs/>
                <w:szCs w:val="20"/>
                <w:lang w:val="en-AU"/>
              </w:rPr>
              <w:t>R, DB, MC</w:t>
            </w:r>
          </w:p>
          <w:p w14:paraId="1FECB15A" w14:textId="77777777" w:rsidR="007F0AB2" w:rsidRPr="00B57220" w:rsidRDefault="007F0AB2" w:rsidP="00E9172C">
            <w:pPr>
              <w:pStyle w:val="In-tableHeading"/>
              <w:jc w:val="center"/>
              <w:rPr>
                <w:b w:val="0"/>
                <w:bCs/>
                <w:szCs w:val="20"/>
                <w:lang w:val="en-AU"/>
              </w:rPr>
            </w:pPr>
            <w:r w:rsidRPr="00B57220">
              <w:rPr>
                <w:b w:val="0"/>
                <w:bCs/>
                <w:szCs w:val="20"/>
                <w:lang w:val="en-AU"/>
              </w:rPr>
              <w:t>24 weeks</w:t>
            </w:r>
          </w:p>
        </w:tc>
        <w:tc>
          <w:tcPr>
            <w:tcW w:w="550" w:type="pct"/>
            <w:shd w:val="clear" w:color="auto" w:fill="auto"/>
            <w:vAlign w:val="center"/>
          </w:tcPr>
          <w:p w14:paraId="565C8796" w14:textId="77777777" w:rsidR="007F0AB2" w:rsidRPr="00B57220" w:rsidRDefault="00E61115" w:rsidP="00E9172C">
            <w:pPr>
              <w:pStyle w:val="In-tableHeading"/>
              <w:jc w:val="center"/>
              <w:rPr>
                <w:b w:val="0"/>
                <w:bCs/>
                <w:szCs w:val="20"/>
                <w:lang w:val="en-AU"/>
              </w:rPr>
            </w:pPr>
            <w:r w:rsidRPr="00B57220">
              <w:rPr>
                <w:b w:val="0"/>
                <w:bCs/>
                <w:szCs w:val="20"/>
                <w:lang w:val="en-AU"/>
              </w:rPr>
              <w:t>Low</w:t>
            </w:r>
          </w:p>
        </w:tc>
        <w:tc>
          <w:tcPr>
            <w:tcW w:w="1415" w:type="pct"/>
            <w:shd w:val="clear" w:color="auto" w:fill="auto"/>
            <w:vAlign w:val="center"/>
          </w:tcPr>
          <w:p w14:paraId="36CA60AE" w14:textId="77777777" w:rsidR="007F0AB2" w:rsidRPr="00B57220" w:rsidRDefault="0039009C" w:rsidP="00E9172C">
            <w:pPr>
              <w:pStyle w:val="In-tableHeading"/>
              <w:jc w:val="center"/>
              <w:rPr>
                <w:b w:val="0"/>
                <w:bCs/>
                <w:szCs w:val="20"/>
                <w:lang w:val="en-AU"/>
              </w:rPr>
            </w:pPr>
            <w:r w:rsidRPr="00B57220">
              <w:rPr>
                <w:b w:val="0"/>
                <w:bCs/>
                <w:szCs w:val="20"/>
                <w:lang w:val="en-AU"/>
              </w:rPr>
              <w:t>Patients who had been receiving asthma treatment with regular OCS in the previous 6 months (5-35mg per day of prednisone or equivalent)</w:t>
            </w:r>
          </w:p>
        </w:tc>
        <w:tc>
          <w:tcPr>
            <w:tcW w:w="992" w:type="pct"/>
            <w:shd w:val="clear" w:color="auto" w:fill="auto"/>
            <w:vAlign w:val="center"/>
          </w:tcPr>
          <w:p w14:paraId="0CEBCF3A" w14:textId="77777777" w:rsidR="007F0AB2" w:rsidRPr="00B57220" w:rsidRDefault="0039009C" w:rsidP="00E9172C">
            <w:pPr>
              <w:pStyle w:val="In-tableHeading"/>
              <w:jc w:val="center"/>
              <w:rPr>
                <w:b w:val="0"/>
                <w:bCs/>
                <w:szCs w:val="20"/>
                <w:lang w:val="en-AU"/>
              </w:rPr>
            </w:pPr>
            <w:r w:rsidRPr="00B57220">
              <w:rPr>
                <w:b w:val="0"/>
                <w:bCs/>
                <w:szCs w:val="20"/>
                <w:lang w:val="en-AU"/>
              </w:rPr>
              <w:t>Percentage reduction in OCS dose at week 24, annualised severe exacerbation rates</w:t>
            </w:r>
          </w:p>
        </w:tc>
      </w:tr>
      <w:tr w:rsidR="006F2ADF" w:rsidRPr="00B57220" w14:paraId="4C567ABC" w14:textId="77777777" w:rsidTr="00B57220">
        <w:trPr>
          <w:cantSplit/>
        </w:trPr>
        <w:tc>
          <w:tcPr>
            <w:tcW w:w="5000" w:type="pct"/>
            <w:gridSpan w:val="6"/>
            <w:shd w:val="clear" w:color="auto" w:fill="auto"/>
            <w:vAlign w:val="center"/>
          </w:tcPr>
          <w:p w14:paraId="4D0823E9" w14:textId="77777777" w:rsidR="007F1017" w:rsidRPr="00B57220" w:rsidRDefault="00CB34E8" w:rsidP="00E9172C">
            <w:pPr>
              <w:pStyle w:val="In-tableHeading"/>
              <w:rPr>
                <w:szCs w:val="20"/>
                <w:lang w:val="en-AU"/>
              </w:rPr>
            </w:pPr>
            <w:r w:rsidRPr="00B57220">
              <w:rPr>
                <w:szCs w:val="20"/>
                <w:lang w:val="en-AU"/>
              </w:rPr>
              <w:t>Benralizumab versus placebo</w:t>
            </w:r>
          </w:p>
        </w:tc>
      </w:tr>
      <w:tr w:rsidR="006F2ADF" w:rsidRPr="00B57220" w14:paraId="30F40A82" w14:textId="77777777" w:rsidTr="00B57220">
        <w:trPr>
          <w:cantSplit/>
        </w:trPr>
        <w:tc>
          <w:tcPr>
            <w:tcW w:w="548" w:type="pct"/>
            <w:shd w:val="clear" w:color="auto" w:fill="auto"/>
            <w:vAlign w:val="center"/>
          </w:tcPr>
          <w:p w14:paraId="2CAF5703" w14:textId="77777777" w:rsidR="007F0AB2" w:rsidRPr="00B57220" w:rsidRDefault="007F0AB2" w:rsidP="00E9172C">
            <w:pPr>
              <w:pStyle w:val="TableText0"/>
              <w:rPr>
                <w:szCs w:val="20"/>
              </w:rPr>
            </w:pPr>
            <w:r w:rsidRPr="00B57220">
              <w:rPr>
                <w:szCs w:val="20"/>
              </w:rPr>
              <w:t>CALIMA</w:t>
            </w:r>
          </w:p>
        </w:tc>
        <w:tc>
          <w:tcPr>
            <w:tcW w:w="1023" w:type="pct"/>
            <w:shd w:val="clear" w:color="auto" w:fill="auto"/>
            <w:vAlign w:val="center"/>
          </w:tcPr>
          <w:p w14:paraId="5DA9EA53" w14:textId="77777777" w:rsidR="007F0AB2" w:rsidRPr="00B57220" w:rsidRDefault="007F0AB2" w:rsidP="00E9172C">
            <w:pPr>
              <w:pStyle w:val="TableText0"/>
              <w:jc w:val="center"/>
              <w:rPr>
                <w:szCs w:val="20"/>
              </w:rPr>
            </w:pPr>
            <w:r w:rsidRPr="00B57220">
              <w:rPr>
                <w:szCs w:val="20"/>
              </w:rPr>
              <w:t>Total trial: 1,306</w:t>
            </w:r>
          </w:p>
          <w:p w14:paraId="5A8F62FE" w14:textId="77777777" w:rsidR="007F0AB2" w:rsidRPr="00B57220" w:rsidRDefault="007F0AB2" w:rsidP="00E9172C">
            <w:pPr>
              <w:pStyle w:val="TableText0"/>
              <w:jc w:val="center"/>
              <w:rPr>
                <w:szCs w:val="20"/>
                <w:vertAlign w:val="superscript"/>
              </w:rPr>
            </w:pPr>
            <w:r w:rsidRPr="00B57220">
              <w:rPr>
                <w:szCs w:val="20"/>
              </w:rPr>
              <w:t>Efficacy population: 728</w:t>
            </w:r>
            <w:r w:rsidR="00E61115" w:rsidRPr="00B57220">
              <w:rPr>
                <w:szCs w:val="20"/>
                <w:vertAlign w:val="superscript"/>
              </w:rPr>
              <w:t>a</w:t>
            </w:r>
          </w:p>
        </w:tc>
        <w:tc>
          <w:tcPr>
            <w:tcW w:w="472" w:type="pct"/>
            <w:shd w:val="clear" w:color="auto" w:fill="auto"/>
            <w:vAlign w:val="center"/>
          </w:tcPr>
          <w:p w14:paraId="49D5993E" w14:textId="77777777" w:rsidR="007F0AB2" w:rsidRPr="00B57220" w:rsidRDefault="007F0AB2" w:rsidP="00E9172C">
            <w:pPr>
              <w:pStyle w:val="TableText0"/>
              <w:jc w:val="center"/>
              <w:rPr>
                <w:szCs w:val="20"/>
              </w:rPr>
            </w:pPr>
            <w:r w:rsidRPr="00B57220">
              <w:rPr>
                <w:szCs w:val="20"/>
              </w:rPr>
              <w:t>R, DB, MC</w:t>
            </w:r>
          </w:p>
          <w:p w14:paraId="2264B9BD" w14:textId="77777777" w:rsidR="007F0AB2" w:rsidRPr="00B57220" w:rsidRDefault="007F0AB2" w:rsidP="00E9172C">
            <w:pPr>
              <w:pStyle w:val="TableText0"/>
              <w:jc w:val="center"/>
              <w:rPr>
                <w:szCs w:val="20"/>
              </w:rPr>
            </w:pPr>
            <w:r w:rsidRPr="00B57220">
              <w:rPr>
                <w:szCs w:val="20"/>
              </w:rPr>
              <w:t>56 weeks</w:t>
            </w:r>
          </w:p>
        </w:tc>
        <w:tc>
          <w:tcPr>
            <w:tcW w:w="550" w:type="pct"/>
            <w:shd w:val="clear" w:color="auto" w:fill="auto"/>
            <w:vAlign w:val="center"/>
          </w:tcPr>
          <w:p w14:paraId="0D3655D0" w14:textId="77777777" w:rsidR="007F0AB2" w:rsidRPr="00B57220" w:rsidRDefault="007F0AB2" w:rsidP="00E9172C">
            <w:pPr>
              <w:pStyle w:val="TableText0"/>
              <w:jc w:val="center"/>
              <w:rPr>
                <w:iCs/>
                <w:szCs w:val="20"/>
              </w:rPr>
            </w:pPr>
            <w:r w:rsidRPr="00B57220">
              <w:rPr>
                <w:iCs/>
                <w:szCs w:val="20"/>
              </w:rPr>
              <w:t>Low</w:t>
            </w:r>
          </w:p>
        </w:tc>
        <w:tc>
          <w:tcPr>
            <w:tcW w:w="1415" w:type="pct"/>
            <w:shd w:val="clear" w:color="auto" w:fill="auto"/>
            <w:vAlign w:val="center"/>
          </w:tcPr>
          <w:p w14:paraId="7886D158" w14:textId="77777777" w:rsidR="007F0AB2" w:rsidRPr="00B57220" w:rsidRDefault="007F0AB2" w:rsidP="00E9172C">
            <w:pPr>
              <w:pStyle w:val="TableText0"/>
              <w:jc w:val="center"/>
              <w:rPr>
                <w:szCs w:val="20"/>
              </w:rPr>
            </w:pPr>
            <w:r w:rsidRPr="00B57220">
              <w:rPr>
                <w:szCs w:val="20"/>
              </w:rPr>
              <w:t>Total trial: Severe uncontrolled asthma</w:t>
            </w:r>
          </w:p>
          <w:p w14:paraId="671A136E" w14:textId="77777777" w:rsidR="007F0AB2" w:rsidRPr="00B57220" w:rsidRDefault="007F0AB2" w:rsidP="00E9172C">
            <w:pPr>
              <w:pStyle w:val="TableText0"/>
              <w:jc w:val="center"/>
              <w:rPr>
                <w:szCs w:val="20"/>
              </w:rPr>
            </w:pPr>
            <w:r w:rsidRPr="00B57220">
              <w:rPr>
                <w:szCs w:val="20"/>
              </w:rPr>
              <w:t>Efficacy population: EOS ≥ 300 cells/µL + high-dose ICS</w:t>
            </w:r>
          </w:p>
        </w:tc>
        <w:tc>
          <w:tcPr>
            <w:tcW w:w="992" w:type="pct"/>
            <w:shd w:val="clear" w:color="auto" w:fill="auto"/>
            <w:vAlign w:val="center"/>
          </w:tcPr>
          <w:p w14:paraId="6E68438A" w14:textId="77777777" w:rsidR="007F0AB2" w:rsidRPr="00B57220" w:rsidRDefault="007F0AB2" w:rsidP="00E9172C">
            <w:pPr>
              <w:pStyle w:val="TableText0"/>
              <w:jc w:val="center"/>
              <w:rPr>
                <w:szCs w:val="20"/>
              </w:rPr>
            </w:pPr>
            <w:r w:rsidRPr="00B57220">
              <w:rPr>
                <w:szCs w:val="20"/>
              </w:rPr>
              <w:t>Annual asthma exacerbation rate, ACQ</w:t>
            </w:r>
          </w:p>
        </w:tc>
      </w:tr>
      <w:tr w:rsidR="006F2ADF" w:rsidRPr="00B57220" w14:paraId="4E51F1E7" w14:textId="77777777" w:rsidTr="00B57220">
        <w:trPr>
          <w:cantSplit/>
        </w:trPr>
        <w:tc>
          <w:tcPr>
            <w:tcW w:w="548" w:type="pct"/>
            <w:shd w:val="clear" w:color="auto" w:fill="auto"/>
            <w:vAlign w:val="center"/>
          </w:tcPr>
          <w:p w14:paraId="1D43DCFE" w14:textId="77777777" w:rsidR="007F0AB2" w:rsidRPr="00B57220" w:rsidRDefault="007F0AB2" w:rsidP="00E9172C">
            <w:pPr>
              <w:pStyle w:val="TableText0"/>
              <w:rPr>
                <w:szCs w:val="20"/>
              </w:rPr>
            </w:pPr>
            <w:r w:rsidRPr="00B57220">
              <w:rPr>
                <w:szCs w:val="20"/>
              </w:rPr>
              <w:t>SIROCCO</w:t>
            </w:r>
          </w:p>
        </w:tc>
        <w:tc>
          <w:tcPr>
            <w:tcW w:w="1023" w:type="pct"/>
            <w:shd w:val="clear" w:color="auto" w:fill="auto"/>
            <w:vAlign w:val="center"/>
          </w:tcPr>
          <w:p w14:paraId="4F81C5DA" w14:textId="77777777" w:rsidR="007F0AB2" w:rsidRPr="00B57220" w:rsidRDefault="007F0AB2" w:rsidP="00E9172C">
            <w:pPr>
              <w:pStyle w:val="TableText0"/>
              <w:jc w:val="center"/>
              <w:rPr>
                <w:szCs w:val="20"/>
              </w:rPr>
            </w:pPr>
            <w:r w:rsidRPr="00B57220">
              <w:rPr>
                <w:szCs w:val="20"/>
              </w:rPr>
              <w:t>Total trial: 1,205</w:t>
            </w:r>
          </w:p>
          <w:p w14:paraId="40902445" w14:textId="77777777" w:rsidR="007F0AB2" w:rsidRPr="00B57220" w:rsidRDefault="007F0AB2" w:rsidP="00E9172C">
            <w:pPr>
              <w:pStyle w:val="TableText0"/>
              <w:jc w:val="center"/>
              <w:rPr>
                <w:szCs w:val="20"/>
              </w:rPr>
            </w:pPr>
            <w:r w:rsidRPr="00B57220">
              <w:rPr>
                <w:szCs w:val="20"/>
              </w:rPr>
              <w:t>Efficacy population: 809</w:t>
            </w:r>
            <w:r w:rsidR="00E61115" w:rsidRPr="00B57220">
              <w:rPr>
                <w:szCs w:val="20"/>
                <w:vertAlign w:val="superscript"/>
              </w:rPr>
              <w:t>a</w:t>
            </w:r>
          </w:p>
        </w:tc>
        <w:tc>
          <w:tcPr>
            <w:tcW w:w="472" w:type="pct"/>
            <w:shd w:val="clear" w:color="auto" w:fill="auto"/>
            <w:vAlign w:val="center"/>
          </w:tcPr>
          <w:p w14:paraId="74CC505E" w14:textId="77777777" w:rsidR="007F0AB2" w:rsidRPr="00B57220" w:rsidRDefault="007F0AB2" w:rsidP="00E9172C">
            <w:pPr>
              <w:pStyle w:val="TableText0"/>
              <w:jc w:val="center"/>
              <w:rPr>
                <w:szCs w:val="20"/>
              </w:rPr>
            </w:pPr>
            <w:r w:rsidRPr="00B57220">
              <w:rPr>
                <w:szCs w:val="20"/>
              </w:rPr>
              <w:t>R, DB, MC</w:t>
            </w:r>
          </w:p>
          <w:p w14:paraId="5D34162A" w14:textId="77777777" w:rsidR="007F0AB2" w:rsidRPr="00B57220" w:rsidRDefault="007F0AB2" w:rsidP="00E9172C">
            <w:pPr>
              <w:pStyle w:val="TableText0"/>
              <w:jc w:val="center"/>
              <w:rPr>
                <w:szCs w:val="20"/>
              </w:rPr>
            </w:pPr>
            <w:r w:rsidRPr="00B57220">
              <w:rPr>
                <w:szCs w:val="20"/>
              </w:rPr>
              <w:t>48 weeks</w:t>
            </w:r>
          </w:p>
        </w:tc>
        <w:tc>
          <w:tcPr>
            <w:tcW w:w="550" w:type="pct"/>
            <w:shd w:val="clear" w:color="auto" w:fill="auto"/>
            <w:vAlign w:val="center"/>
          </w:tcPr>
          <w:p w14:paraId="32433861" w14:textId="77777777" w:rsidR="007F0AB2" w:rsidRPr="00B57220" w:rsidRDefault="007F0AB2" w:rsidP="00E9172C">
            <w:pPr>
              <w:pStyle w:val="TableText0"/>
              <w:jc w:val="center"/>
              <w:rPr>
                <w:szCs w:val="20"/>
              </w:rPr>
            </w:pPr>
            <w:r w:rsidRPr="00B57220">
              <w:rPr>
                <w:szCs w:val="20"/>
              </w:rPr>
              <w:t>Low</w:t>
            </w:r>
          </w:p>
        </w:tc>
        <w:tc>
          <w:tcPr>
            <w:tcW w:w="1415" w:type="pct"/>
            <w:shd w:val="clear" w:color="auto" w:fill="auto"/>
            <w:vAlign w:val="center"/>
          </w:tcPr>
          <w:p w14:paraId="57D6A306" w14:textId="77777777" w:rsidR="007F0AB2" w:rsidRPr="00B57220" w:rsidRDefault="007F0AB2" w:rsidP="00E9172C">
            <w:pPr>
              <w:pStyle w:val="TableText0"/>
              <w:jc w:val="center"/>
              <w:rPr>
                <w:szCs w:val="20"/>
              </w:rPr>
            </w:pPr>
            <w:r w:rsidRPr="00B57220">
              <w:rPr>
                <w:szCs w:val="20"/>
              </w:rPr>
              <w:t>Total trial: Severe uncontrolled asthma, on high-dose ICS</w:t>
            </w:r>
          </w:p>
          <w:p w14:paraId="60390973" w14:textId="77777777" w:rsidR="007F0AB2" w:rsidRPr="00B57220" w:rsidRDefault="007F0AB2" w:rsidP="00E9172C">
            <w:pPr>
              <w:pStyle w:val="TableText0"/>
              <w:jc w:val="center"/>
              <w:rPr>
                <w:szCs w:val="20"/>
              </w:rPr>
            </w:pPr>
            <w:r w:rsidRPr="00B57220">
              <w:rPr>
                <w:szCs w:val="20"/>
              </w:rPr>
              <w:t xml:space="preserve">Efficacy population: EOS ≥ 300 cells/µL </w:t>
            </w:r>
          </w:p>
        </w:tc>
        <w:tc>
          <w:tcPr>
            <w:tcW w:w="992" w:type="pct"/>
            <w:shd w:val="clear" w:color="auto" w:fill="auto"/>
            <w:vAlign w:val="center"/>
          </w:tcPr>
          <w:p w14:paraId="072C6CAE" w14:textId="77777777" w:rsidR="007F0AB2" w:rsidRPr="00B57220" w:rsidRDefault="007F0AB2" w:rsidP="00E9172C">
            <w:pPr>
              <w:pStyle w:val="TableText0"/>
              <w:jc w:val="center"/>
              <w:rPr>
                <w:szCs w:val="20"/>
              </w:rPr>
            </w:pPr>
            <w:r w:rsidRPr="00B57220">
              <w:rPr>
                <w:szCs w:val="20"/>
              </w:rPr>
              <w:t>Annual asthma exacerbation rate, ACQ</w:t>
            </w:r>
          </w:p>
        </w:tc>
      </w:tr>
      <w:tr w:rsidR="006F2ADF" w:rsidRPr="00B57220" w14:paraId="7DAA2241" w14:textId="77777777" w:rsidTr="00B57220">
        <w:trPr>
          <w:cantSplit/>
        </w:trPr>
        <w:tc>
          <w:tcPr>
            <w:tcW w:w="548" w:type="pct"/>
            <w:shd w:val="clear" w:color="auto" w:fill="auto"/>
            <w:vAlign w:val="center"/>
          </w:tcPr>
          <w:p w14:paraId="38BA0894" w14:textId="77777777" w:rsidR="00127CD4" w:rsidRPr="00B57220" w:rsidRDefault="00127CD4" w:rsidP="00E9172C">
            <w:pPr>
              <w:pStyle w:val="TableText0"/>
              <w:rPr>
                <w:szCs w:val="20"/>
              </w:rPr>
            </w:pPr>
            <w:r w:rsidRPr="00B57220">
              <w:rPr>
                <w:szCs w:val="20"/>
              </w:rPr>
              <w:t>ZONDA</w:t>
            </w:r>
          </w:p>
        </w:tc>
        <w:tc>
          <w:tcPr>
            <w:tcW w:w="1023" w:type="pct"/>
            <w:shd w:val="clear" w:color="auto" w:fill="auto"/>
            <w:vAlign w:val="center"/>
          </w:tcPr>
          <w:p w14:paraId="53E7F18D" w14:textId="77777777" w:rsidR="00127CD4" w:rsidRPr="00B57220" w:rsidRDefault="00127CD4" w:rsidP="00E9172C">
            <w:pPr>
              <w:pStyle w:val="TableText0"/>
              <w:jc w:val="center"/>
              <w:rPr>
                <w:szCs w:val="20"/>
              </w:rPr>
            </w:pPr>
            <w:r w:rsidRPr="00B57220">
              <w:rPr>
                <w:szCs w:val="20"/>
              </w:rPr>
              <w:t>Total trial: 220 patients</w:t>
            </w:r>
          </w:p>
          <w:p w14:paraId="042A9B9F" w14:textId="77777777" w:rsidR="00127CD4" w:rsidRPr="00B57220" w:rsidRDefault="00127CD4" w:rsidP="00E9172C">
            <w:pPr>
              <w:pStyle w:val="TableText0"/>
              <w:jc w:val="center"/>
              <w:rPr>
                <w:szCs w:val="20"/>
              </w:rPr>
            </w:pPr>
            <w:r w:rsidRPr="00B57220">
              <w:rPr>
                <w:szCs w:val="20"/>
              </w:rPr>
              <w:t>Efficacy population: 148</w:t>
            </w:r>
          </w:p>
        </w:tc>
        <w:tc>
          <w:tcPr>
            <w:tcW w:w="472" w:type="pct"/>
            <w:shd w:val="clear" w:color="auto" w:fill="auto"/>
            <w:vAlign w:val="center"/>
          </w:tcPr>
          <w:p w14:paraId="71A0DDBA" w14:textId="77777777" w:rsidR="00127CD4" w:rsidRPr="00B57220" w:rsidRDefault="00127CD4" w:rsidP="00E9172C">
            <w:pPr>
              <w:pStyle w:val="TableText0"/>
              <w:jc w:val="center"/>
              <w:rPr>
                <w:szCs w:val="20"/>
              </w:rPr>
            </w:pPr>
            <w:r w:rsidRPr="00B57220">
              <w:rPr>
                <w:szCs w:val="20"/>
              </w:rPr>
              <w:t>R, DB, MC</w:t>
            </w:r>
          </w:p>
          <w:p w14:paraId="436726E6" w14:textId="77777777" w:rsidR="00127CD4" w:rsidRPr="00B57220" w:rsidRDefault="00127CD4" w:rsidP="00E9172C">
            <w:pPr>
              <w:pStyle w:val="TableText0"/>
              <w:jc w:val="center"/>
              <w:rPr>
                <w:szCs w:val="20"/>
              </w:rPr>
            </w:pPr>
            <w:r w:rsidRPr="00B57220">
              <w:rPr>
                <w:szCs w:val="20"/>
              </w:rPr>
              <w:t>28 weeks</w:t>
            </w:r>
          </w:p>
        </w:tc>
        <w:tc>
          <w:tcPr>
            <w:tcW w:w="550" w:type="pct"/>
            <w:shd w:val="clear" w:color="auto" w:fill="auto"/>
            <w:vAlign w:val="center"/>
          </w:tcPr>
          <w:p w14:paraId="674C28FC" w14:textId="77777777" w:rsidR="00127CD4" w:rsidRPr="00B57220" w:rsidRDefault="00127CD4" w:rsidP="00E9172C">
            <w:pPr>
              <w:pStyle w:val="TableText0"/>
              <w:jc w:val="center"/>
              <w:rPr>
                <w:i/>
                <w:szCs w:val="20"/>
              </w:rPr>
            </w:pPr>
            <w:r w:rsidRPr="00B57220">
              <w:rPr>
                <w:szCs w:val="20"/>
              </w:rPr>
              <w:t>Low</w:t>
            </w:r>
          </w:p>
        </w:tc>
        <w:tc>
          <w:tcPr>
            <w:tcW w:w="1415" w:type="pct"/>
            <w:shd w:val="clear" w:color="auto" w:fill="auto"/>
            <w:vAlign w:val="center"/>
          </w:tcPr>
          <w:p w14:paraId="6FCD26CF" w14:textId="77777777" w:rsidR="00127CD4" w:rsidRPr="00B57220" w:rsidRDefault="00127CD4" w:rsidP="00E9172C">
            <w:pPr>
              <w:pStyle w:val="TableText0"/>
              <w:jc w:val="center"/>
              <w:rPr>
                <w:szCs w:val="20"/>
              </w:rPr>
            </w:pPr>
            <w:r w:rsidRPr="00B57220">
              <w:rPr>
                <w:szCs w:val="20"/>
              </w:rPr>
              <w:t>Total trial: Severe uncontrolled asthma on OCS</w:t>
            </w:r>
          </w:p>
          <w:p w14:paraId="2C56B62E" w14:textId="77777777" w:rsidR="00127CD4" w:rsidRPr="00B57220" w:rsidRDefault="00127CD4" w:rsidP="00E9172C">
            <w:pPr>
              <w:pStyle w:val="TableText0"/>
              <w:jc w:val="center"/>
              <w:rPr>
                <w:szCs w:val="20"/>
              </w:rPr>
            </w:pPr>
            <w:r w:rsidRPr="00B57220">
              <w:rPr>
                <w:szCs w:val="20"/>
              </w:rPr>
              <w:t>Efficacy population: Benralizumab Q8W</w:t>
            </w:r>
          </w:p>
        </w:tc>
        <w:tc>
          <w:tcPr>
            <w:tcW w:w="992" w:type="pct"/>
            <w:shd w:val="clear" w:color="auto" w:fill="auto"/>
            <w:vAlign w:val="center"/>
          </w:tcPr>
          <w:p w14:paraId="1597DA9B" w14:textId="77777777" w:rsidR="00127CD4" w:rsidRPr="00B57220" w:rsidRDefault="00127CD4" w:rsidP="00E9172C">
            <w:pPr>
              <w:pStyle w:val="TableText0"/>
              <w:jc w:val="center"/>
              <w:rPr>
                <w:szCs w:val="20"/>
              </w:rPr>
            </w:pPr>
            <w:r w:rsidRPr="00B57220">
              <w:rPr>
                <w:szCs w:val="20"/>
              </w:rPr>
              <w:t>Percentage reduction in OCS dose, annualized severe asthma exacerbations</w:t>
            </w:r>
            <w:r w:rsidR="00B83D0B" w:rsidRPr="00B57220">
              <w:rPr>
                <w:szCs w:val="20"/>
                <w:vertAlign w:val="superscript"/>
              </w:rPr>
              <w:t>d</w:t>
            </w:r>
          </w:p>
        </w:tc>
      </w:tr>
      <w:tr w:rsidR="006F2ADF" w:rsidRPr="00B57220" w14:paraId="74E98D27" w14:textId="77777777" w:rsidTr="00B57220">
        <w:trPr>
          <w:cantSplit/>
        </w:trPr>
        <w:tc>
          <w:tcPr>
            <w:tcW w:w="5000" w:type="pct"/>
            <w:gridSpan w:val="6"/>
            <w:shd w:val="clear" w:color="auto" w:fill="auto"/>
            <w:vAlign w:val="center"/>
          </w:tcPr>
          <w:p w14:paraId="02F10F6D" w14:textId="77777777" w:rsidR="00592777" w:rsidRPr="00B57220" w:rsidRDefault="00592777" w:rsidP="00E9172C">
            <w:pPr>
              <w:pStyle w:val="TableText0"/>
              <w:rPr>
                <w:b/>
                <w:bCs w:val="0"/>
                <w:szCs w:val="20"/>
              </w:rPr>
            </w:pPr>
            <w:r w:rsidRPr="00B57220">
              <w:rPr>
                <w:b/>
                <w:bCs w:val="0"/>
                <w:szCs w:val="20"/>
              </w:rPr>
              <w:t>Mepolizumab versus placebo</w:t>
            </w:r>
          </w:p>
        </w:tc>
      </w:tr>
      <w:tr w:rsidR="006F2ADF" w:rsidRPr="00B57220" w14:paraId="4918BACF" w14:textId="77777777" w:rsidTr="00B57220">
        <w:trPr>
          <w:cantSplit/>
        </w:trPr>
        <w:tc>
          <w:tcPr>
            <w:tcW w:w="548" w:type="pct"/>
            <w:shd w:val="clear" w:color="auto" w:fill="auto"/>
            <w:vAlign w:val="center"/>
          </w:tcPr>
          <w:p w14:paraId="3ED91917" w14:textId="77777777" w:rsidR="007F0AB2" w:rsidRPr="00B57220" w:rsidRDefault="007F0AB2" w:rsidP="00E9172C">
            <w:pPr>
              <w:pStyle w:val="TableText0"/>
              <w:rPr>
                <w:szCs w:val="20"/>
              </w:rPr>
            </w:pPr>
            <w:r w:rsidRPr="00B57220">
              <w:rPr>
                <w:szCs w:val="20"/>
              </w:rPr>
              <w:t>MENSA</w:t>
            </w:r>
          </w:p>
        </w:tc>
        <w:tc>
          <w:tcPr>
            <w:tcW w:w="1023" w:type="pct"/>
            <w:shd w:val="clear" w:color="auto" w:fill="auto"/>
            <w:vAlign w:val="center"/>
          </w:tcPr>
          <w:p w14:paraId="29A464F1" w14:textId="77777777" w:rsidR="007F0AB2" w:rsidRPr="00B57220" w:rsidRDefault="007F0AB2" w:rsidP="00E9172C">
            <w:pPr>
              <w:pStyle w:val="TableText0"/>
              <w:jc w:val="center"/>
              <w:rPr>
                <w:szCs w:val="20"/>
              </w:rPr>
            </w:pPr>
            <w:r w:rsidRPr="00B57220">
              <w:rPr>
                <w:szCs w:val="20"/>
              </w:rPr>
              <w:t>576</w:t>
            </w:r>
            <w:r w:rsidR="00E61115" w:rsidRPr="00B57220">
              <w:rPr>
                <w:szCs w:val="20"/>
                <w:vertAlign w:val="superscript"/>
              </w:rPr>
              <w:t xml:space="preserve"> a</w:t>
            </w:r>
          </w:p>
        </w:tc>
        <w:tc>
          <w:tcPr>
            <w:tcW w:w="472" w:type="pct"/>
            <w:shd w:val="clear" w:color="auto" w:fill="auto"/>
            <w:vAlign w:val="center"/>
          </w:tcPr>
          <w:p w14:paraId="22C1465F" w14:textId="77777777" w:rsidR="007F0AB2" w:rsidRPr="00B57220" w:rsidRDefault="007F0AB2" w:rsidP="00E9172C">
            <w:pPr>
              <w:pStyle w:val="TableText0"/>
              <w:jc w:val="center"/>
              <w:rPr>
                <w:szCs w:val="20"/>
              </w:rPr>
            </w:pPr>
            <w:r w:rsidRPr="00B57220">
              <w:rPr>
                <w:szCs w:val="20"/>
              </w:rPr>
              <w:t>R, DB, MC</w:t>
            </w:r>
          </w:p>
          <w:p w14:paraId="6BB575AA" w14:textId="77777777" w:rsidR="007F0AB2" w:rsidRPr="00B57220" w:rsidRDefault="007F0AB2" w:rsidP="00E9172C">
            <w:pPr>
              <w:pStyle w:val="TableText0"/>
              <w:jc w:val="center"/>
              <w:rPr>
                <w:szCs w:val="20"/>
              </w:rPr>
            </w:pPr>
            <w:r w:rsidRPr="00B57220">
              <w:rPr>
                <w:szCs w:val="20"/>
              </w:rPr>
              <w:t>32 weeks</w:t>
            </w:r>
          </w:p>
        </w:tc>
        <w:tc>
          <w:tcPr>
            <w:tcW w:w="550" w:type="pct"/>
            <w:shd w:val="clear" w:color="auto" w:fill="auto"/>
            <w:vAlign w:val="center"/>
          </w:tcPr>
          <w:p w14:paraId="2B6FDBB7" w14:textId="77777777" w:rsidR="007F0AB2" w:rsidRPr="00B57220" w:rsidRDefault="007F0AB2" w:rsidP="00E9172C">
            <w:pPr>
              <w:pStyle w:val="TableText0"/>
              <w:jc w:val="center"/>
              <w:rPr>
                <w:szCs w:val="20"/>
              </w:rPr>
            </w:pPr>
            <w:r w:rsidRPr="00B57220">
              <w:rPr>
                <w:szCs w:val="20"/>
              </w:rPr>
              <w:t>Low</w:t>
            </w:r>
          </w:p>
        </w:tc>
        <w:tc>
          <w:tcPr>
            <w:tcW w:w="1415" w:type="pct"/>
            <w:shd w:val="clear" w:color="auto" w:fill="auto"/>
            <w:vAlign w:val="center"/>
          </w:tcPr>
          <w:p w14:paraId="7D4CD71D" w14:textId="77777777" w:rsidR="007F0AB2" w:rsidRPr="00B57220" w:rsidRDefault="007F0AB2" w:rsidP="00E9172C">
            <w:pPr>
              <w:pStyle w:val="TableText0"/>
              <w:jc w:val="center"/>
              <w:rPr>
                <w:szCs w:val="20"/>
              </w:rPr>
            </w:pPr>
            <w:r w:rsidRPr="00B57220">
              <w:rPr>
                <w:szCs w:val="20"/>
              </w:rPr>
              <w:t>Severe uncontrolled refractory asthma, on high-dose ICS</w:t>
            </w:r>
          </w:p>
          <w:p w14:paraId="07E5795C" w14:textId="77777777" w:rsidR="007F0AB2" w:rsidRPr="00B57220" w:rsidRDefault="007F0AB2" w:rsidP="00E9172C">
            <w:pPr>
              <w:pStyle w:val="TableText0"/>
              <w:jc w:val="center"/>
              <w:rPr>
                <w:szCs w:val="20"/>
              </w:rPr>
            </w:pPr>
            <w:r w:rsidRPr="00B57220">
              <w:rPr>
                <w:szCs w:val="20"/>
              </w:rPr>
              <w:t xml:space="preserve">Efficacy population: EOS ≥ 150 cells/µL at screening </w:t>
            </w:r>
          </w:p>
        </w:tc>
        <w:tc>
          <w:tcPr>
            <w:tcW w:w="992" w:type="pct"/>
            <w:shd w:val="clear" w:color="auto" w:fill="auto"/>
            <w:vAlign w:val="center"/>
          </w:tcPr>
          <w:p w14:paraId="096D81C9" w14:textId="77777777" w:rsidR="007F0AB2" w:rsidRPr="00B57220" w:rsidRDefault="007F0AB2" w:rsidP="00E9172C">
            <w:pPr>
              <w:pStyle w:val="TableText0"/>
              <w:jc w:val="center"/>
              <w:rPr>
                <w:szCs w:val="20"/>
              </w:rPr>
            </w:pPr>
            <w:r w:rsidRPr="00B57220">
              <w:rPr>
                <w:szCs w:val="20"/>
              </w:rPr>
              <w:t>Annual asthma exacerbation rate, ACQ</w:t>
            </w:r>
          </w:p>
        </w:tc>
      </w:tr>
      <w:tr w:rsidR="006F2ADF" w:rsidRPr="00B57220" w14:paraId="7D96D6C4" w14:textId="77777777" w:rsidTr="00B57220">
        <w:trPr>
          <w:cantSplit/>
        </w:trPr>
        <w:tc>
          <w:tcPr>
            <w:tcW w:w="548" w:type="pct"/>
            <w:shd w:val="clear" w:color="auto" w:fill="auto"/>
            <w:vAlign w:val="center"/>
          </w:tcPr>
          <w:p w14:paraId="54C37948" w14:textId="77777777" w:rsidR="00127CD4" w:rsidRPr="00B57220" w:rsidRDefault="00127CD4" w:rsidP="00E9172C">
            <w:pPr>
              <w:pStyle w:val="TableText0"/>
              <w:rPr>
                <w:szCs w:val="20"/>
              </w:rPr>
            </w:pPr>
            <w:r w:rsidRPr="00B57220">
              <w:rPr>
                <w:szCs w:val="20"/>
              </w:rPr>
              <w:t>MUSCA</w:t>
            </w:r>
          </w:p>
        </w:tc>
        <w:tc>
          <w:tcPr>
            <w:tcW w:w="1023" w:type="pct"/>
            <w:shd w:val="clear" w:color="auto" w:fill="auto"/>
            <w:vAlign w:val="center"/>
          </w:tcPr>
          <w:p w14:paraId="6A109014" w14:textId="77777777" w:rsidR="00127CD4" w:rsidRPr="00B57220" w:rsidRDefault="00127CD4" w:rsidP="00E9172C">
            <w:pPr>
              <w:pStyle w:val="TableText0"/>
              <w:jc w:val="center"/>
              <w:rPr>
                <w:szCs w:val="20"/>
              </w:rPr>
            </w:pPr>
            <w:r w:rsidRPr="00B57220">
              <w:rPr>
                <w:szCs w:val="20"/>
              </w:rPr>
              <w:t>551</w:t>
            </w:r>
          </w:p>
        </w:tc>
        <w:tc>
          <w:tcPr>
            <w:tcW w:w="472" w:type="pct"/>
            <w:shd w:val="clear" w:color="auto" w:fill="auto"/>
            <w:vAlign w:val="center"/>
          </w:tcPr>
          <w:p w14:paraId="18742FB3" w14:textId="77777777" w:rsidR="00127CD4" w:rsidRPr="00B57220" w:rsidRDefault="00127CD4" w:rsidP="00E9172C">
            <w:pPr>
              <w:pStyle w:val="TableText0"/>
              <w:jc w:val="center"/>
              <w:rPr>
                <w:szCs w:val="20"/>
              </w:rPr>
            </w:pPr>
            <w:r w:rsidRPr="00B57220">
              <w:rPr>
                <w:szCs w:val="20"/>
              </w:rPr>
              <w:t>R, DB, MC</w:t>
            </w:r>
          </w:p>
          <w:p w14:paraId="3C56B71A" w14:textId="77777777" w:rsidR="00127CD4" w:rsidRPr="00B57220" w:rsidRDefault="00127CD4" w:rsidP="00E9172C">
            <w:pPr>
              <w:pStyle w:val="TableText0"/>
              <w:jc w:val="center"/>
              <w:rPr>
                <w:szCs w:val="20"/>
              </w:rPr>
            </w:pPr>
            <w:r w:rsidRPr="00B57220">
              <w:rPr>
                <w:szCs w:val="20"/>
              </w:rPr>
              <w:t>28 weeks</w:t>
            </w:r>
          </w:p>
        </w:tc>
        <w:tc>
          <w:tcPr>
            <w:tcW w:w="550" w:type="pct"/>
            <w:shd w:val="clear" w:color="auto" w:fill="auto"/>
            <w:vAlign w:val="center"/>
          </w:tcPr>
          <w:p w14:paraId="65BB2873" w14:textId="77777777" w:rsidR="00127CD4" w:rsidRPr="00B57220" w:rsidRDefault="00127CD4" w:rsidP="00E9172C">
            <w:pPr>
              <w:pStyle w:val="TableText0"/>
              <w:jc w:val="center"/>
              <w:rPr>
                <w:i/>
                <w:szCs w:val="20"/>
              </w:rPr>
            </w:pPr>
            <w:r w:rsidRPr="00B57220">
              <w:rPr>
                <w:szCs w:val="20"/>
              </w:rPr>
              <w:t>Low</w:t>
            </w:r>
          </w:p>
        </w:tc>
        <w:tc>
          <w:tcPr>
            <w:tcW w:w="1415" w:type="pct"/>
            <w:shd w:val="clear" w:color="auto" w:fill="auto"/>
            <w:vAlign w:val="center"/>
          </w:tcPr>
          <w:p w14:paraId="580BB2F8" w14:textId="77777777" w:rsidR="00127CD4" w:rsidRPr="00B57220" w:rsidRDefault="00127CD4" w:rsidP="00E9172C">
            <w:pPr>
              <w:pStyle w:val="TableText0"/>
              <w:jc w:val="center"/>
              <w:rPr>
                <w:szCs w:val="20"/>
              </w:rPr>
            </w:pPr>
            <w:r w:rsidRPr="00B57220">
              <w:rPr>
                <w:szCs w:val="20"/>
              </w:rPr>
              <w:t>Severe uncontrolled eosinophilic asthma</w:t>
            </w:r>
          </w:p>
        </w:tc>
        <w:tc>
          <w:tcPr>
            <w:tcW w:w="992" w:type="pct"/>
            <w:shd w:val="clear" w:color="auto" w:fill="auto"/>
            <w:vAlign w:val="center"/>
          </w:tcPr>
          <w:p w14:paraId="53DDC336" w14:textId="77777777" w:rsidR="00127CD4" w:rsidRPr="00B57220" w:rsidRDefault="00127CD4" w:rsidP="00E9172C">
            <w:pPr>
              <w:pStyle w:val="TableText0"/>
              <w:jc w:val="center"/>
              <w:rPr>
                <w:szCs w:val="20"/>
              </w:rPr>
            </w:pPr>
            <w:r w:rsidRPr="00B57220">
              <w:rPr>
                <w:szCs w:val="20"/>
              </w:rPr>
              <w:t>Mean change from baseline SGRQ, annualised severe exacerbations</w:t>
            </w:r>
          </w:p>
        </w:tc>
      </w:tr>
      <w:tr w:rsidR="006F2ADF" w:rsidRPr="00B57220" w14:paraId="039F9555" w14:textId="77777777" w:rsidTr="00B57220">
        <w:trPr>
          <w:cantSplit/>
        </w:trPr>
        <w:tc>
          <w:tcPr>
            <w:tcW w:w="548" w:type="pct"/>
            <w:shd w:val="clear" w:color="auto" w:fill="auto"/>
            <w:vAlign w:val="center"/>
          </w:tcPr>
          <w:p w14:paraId="1EBA097A" w14:textId="77777777" w:rsidR="00127CD4" w:rsidRPr="00B57220" w:rsidRDefault="00127CD4" w:rsidP="00E9172C">
            <w:pPr>
              <w:pStyle w:val="TableText0"/>
              <w:rPr>
                <w:szCs w:val="20"/>
              </w:rPr>
            </w:pPr>
            <w:r w:rsidRPr="00B57220">
              <w:rPr>
                <w:szCs w:val="20"/>
              </w:rPr>
              <w:t>SIRIUS</w:t>
            </w:r>
          </w:p>
        </w:tc>
        <w:tc>
          <w:tcPr>
            <w:tcW w:w="1023" w:type="pct"/>
            <w:shd w:val="clear" w:color="auto" w:fill="auto"/>
            <w:vAlign w:val="center"/>
          </w:tcPr>
          <w:p w14:paraId="620A52ED" w14:textId="77777777" w:rsidR="00127CD4" w:rsidRPr="00B57220" w:rsidRDefault="00127CD4" w:rsidP="00E9172C">
            <w:pPr>
              <w:pStyle w:val="TableText0"/>
              <w:jc w:val="center"/>
              <w:rPr>
                <w:szCs w:val="20"/>
              </w:rPr>
            </w:pPr>
            <w:r w:rsidRPr="00B57220">
              <w:rPr>
                <w:szCs w:val="20"/>
              </w:rPr>
              <w:t>135</w:t>
            </w:r>
          </w:p>
        </w:tc>
        <w:tc>
          <w:tcPr>
            <w:tcW w:w="472" w:type="pct"/>
            <w:shd w:val="clear" w:color="auto" w:fill="auto"/>
            <w:vAlign w:val="center"/>
          </w:tcPr>
          <w:p w14:paraId="411C447C" w14:textId="77777777" w:rsidR="00127CD4" w:rsidRPr="00B57220" w:rsidRDefault="00127CD4" w:rsidP="00E9172C">
            <w:pPr>
              <w:pStyle w:val="TableText0"/>
              <w:jc w:val="center"/>
              <w:rPr>
                <w:szCs w:val="20"/>
              </w:rPr>
            </w:pPr>
            <w:r w:rsidRPr="00B57220">
              <w:rPr>
                <w:szCs w:val="20"/>
              </w:rPr>
              <w:t>R, DB, MC</w:t>
            </w:r>
          </w:p>
          <w:p w14:paraId="747C2295" w14:textId="77777777" w:rsidR="00127CD4" w:rsidRPr="00B57220" w:rsidRDefault="00127CD4" w:rsidP="00E9172C">
            <w:pPr>
              <w:pStyle w:val="TableText0"/>
              <w:jc w:val="center"/>
              <w:rPr>
                <w:szCs w:val="20"/>
              </w:rPr>
            </w:pPr>
            <w:r w:rsidRPr="00B57220">
              <w:rPr>
                <w:szCs w:val="20"/>
              </w:rPr>
              <w:t>32 weeks</w:t>
            </w:r>
          </w:p>
        </w:tc>
        <w:tc>
          <w:tcPr>
            <w:tcW w:w="550" w:type="pct"/>
            <w:shd w:val="clear" w:color="auto" w:fill="auto"/>
            <w:vAlign w:val="center"/>
          </w:tcPr>
          <w:p w14:paraId="5947B0A7" w14:textId="77777777" w:rsidR="00127CD4" w:rsidRPr="00B57220" w:rsidRDefault="00127CD4" w:rsidP="00E9172C">
            <w:pPr>
              <w:pStyle w:val="TableText0"/>
              <w:jc w:val="center"/>
              <w:rPr>
                <w:i/>
                <w:szCs w:val="20"/>
              </w:rPr>
            </w:pPr>
            <w:r w:rsidRPr="00B57220">
              <w:rPr>
                <w:szCs w:val="20"/>
              </w:rPr>
              <w:t>Low</w:t>
            </w:r>
          </w:p>
        </w:tc>
        <w:tc>
          <w:tcPr>
            <w:tcW w:w="1415" w:type="pct"/>
            <w:shd w:val="clear" w:color="auto" w:fill="auto"/>
            <w:vAlign w:val="center"/>
          </w:tcPr>
          <w:p w14:paraId="2E50E0B1" w14:textId="77777777" w:rsidR="00127CD4" w:rsidRPr="00B57220" w:rsidRDefault="00127CD4" w:rsidP="00E9172C">
            <w:pPr>
              <w:pStyle w:val="TableText0"/>
              <w:jc w:val="center"/>
              <w:rPr>
                <w:szCs w:val="20"/>
              </w:rPr>
            </w:pPr>
            <w:r w:rsidRPr="00B57220">
              <w:rPr>
                <w:szCs w:val="20"/>
              </w:rPr>
              <w:t>Severe uncontrolled eosinophilic asthma with OCS dependence</w:t>
            </w:r>
          </w:p>
        </w:tc>
        <w:tc>
          <w:tcPr>
            <w:tcW w:w="992" w:type="pct"/>
            <w:shd w:val="clear" w:color="auto" w:fill="auto"/>
            <w:vAlign w:val="center"/>
          </w:tcPr>
          <w:p w14:paraId="6FC8C0F6" w14:textId="77777777" w:rsidR="00127CD4" w:rsidRPr="00B57220" w:rsidRDefault="00127CD4" w:rsidP="00E9172C">
            <w:pPr>
              <w:pStyle w:val="TableText0"/>
              <w:jc w:val="center"/>
              <w:rPr>
                <w:szCs w:val="20"/>
              </w:rPr>
            </w:pPr>
            <w:r w:rsidRPr="00B57220">
              <w:rPr>
                <w:szCs w:val="20"/>
              </w:rPr>
              <w:t>Reduction in OCS dose, annualised severe exacerbations</w:t>
            </w:r>
          </w:p>
        </w:tc>
      </w:tr>
      <w:tr w:rsidR="006F2ADF" w:rsidRPr="00B57220" w14:paraId="0D2B6E68" w14:textId="77777777" w:rsidTr="00B57220">
        <w:trPr>
          <w:cantSplit/>
        </w:trPr>
        <w:tc>
          <w:tcPr>
            <w:tcW w:w="5000" w:type="pct"/>
            <w:gridSpan w:val="6"/>
            <w:shd w:val="clear" w:color="auto" w:fill="auto"/>
            <w:vAlign w:val="center"/>
          </w:tcPr>
          <w:p w14:paraId="1C308A04" w14:textId="77777777" w:rsidR="007F0AB2" w:rsidRPr="00B57220" w:rsidRDefault="007F0AB2" w:rsidP="00E9172C">
            <w:pPr>
              <w:pStyle w:val="TableText0"/>
              <w:rPr>
                <w:b/>
                <w:bCs w:val="0"/>
                <w:szCs w:val="20"/>
              </w:rPr>
            </w:pPr>
            <w:r w:rsidRPr="00B57220">
              <w:rPr>
                <w:b/>
                <w:bCs w:val="0"/>
                <w:szCs w:val="20"/>
              </w:rPr>
              <w:t>Omalizumab versus placebo</w:t>
            </w:r>
          </w:p>
        </w:tc>
      </w:tr>
      <w:tr w:rsidR="006F2ADF" w:rsidRPr="00B57220" w14:paraId="14280F86" w14:textId="77777777" w:rsidTr="00B57220">
        <w:trPr>
          <w:cantSplit/>
        </w:trPr>
        <w:tc>
          <w:tcPr>
            <w:tcW w:w="548" w:type="pct"/>
            <w:shd w:val="clear" w:color="auto" w:fill="auto"/>
            <w:vAlign w:val="center"/>
          </w:tcPr>
          <w:p w14:paraId="56375309" w14:textId="77777777" w:rsidR="007F0AB2" w:rsidRPr="00B57220" w:rsidRDefault="007F0AB2" w:rsidP="00E9172C">
            <w:pPr>
              <w:pStyle w:val="TableText0"/>
              <w:rPr>
                <w:szCs w:val="20"/>
              </w:rPr>
            </w:pPr>
            <w:r w:rsidRPr="00B57220">
              <w:rPr>
                <w:szCs w:val="20"/>
              </w:rPr>
              <w:t>INNOVATE</w:t>
            </w:r>
          </w:p>
        </w:tc>
        <w:tc>
          <w:tcPr>
            <w:tcW w:w="1023" w:type="pct"/>
            <w:shd w:val="clear" w:color="auto" w:fill="auto"/>
            <w:vAlign w:val="center"/>
          </w:tcPr>
          <w:p w14:paraId="23797682" w14:textId="77777777" w:rsidR="007F0AB2" w:rsidRPr="00B57220" w:rsidRDefault="007F0AB2" w:rsidP="00E9172C">
            <w:pPr>
              <w:pStyle w:val="TableText0"/>
              <w:jc w:val="center"/>
              <w:rPr>
                <w:szCs w:val="20"/>
              </w:rPr>
            </w:pPr>
            <w:r w:rsidRPr="00B57220">
              <w:rPr>
                <w:szCs w:val="20"/>
              </w:rPr>
              <w:t>419</w:t>
            </w:r>
            <w:r w:rsidR="00BE6B81" w:rsidRPr="00B57220">
              <w:rPr>
                <w:szCs w:val="20"/>
                <w:vertAlign w:val="superscript"/>
              </w:rPr>
              <w:t xml:space="preserve"> </w:t>
            </w:r>
            <w:r w:rsidR="00B83D0B" w:rsidRPr="00B57220">
              <w:rPr>
                <w:szCs w:val="20"/>
                <w:vertAlign w:val="superscript"/>
              </w:rPr>
              <w:t>b</w:t>
            </w:r>
          </w:p>
        </w:tc>
        <w:tc>
          <w:tcPr>
            <w:tcW w:w="472" w:type="pct"/>
            <w:shd w:val="clear" w:color="auto" w:fill="auto"/>
            <w:vAlign w:val="center"/>
          </w:tcPr>
          <w:p w14:paraId="05C424D5" w14:textId="77777777" w:rsidR="007F0AB2" w:rsidRPr="00B57220" w:rsidRDefault="007F0AB2" w:rsidP="00E9172C">
            <w:pPr>
              <w:pStyle w:val="TableText0"/>
              <w:jc w:val="center"/>
              <w:rPr>
                <w:szCs w:val="20"/>
              </w:rPr>
            </w:pPr>
            <w:r w:rsidRPr="00B57220">
              <w:rPr>
                <w:szCs w:val="20"/>
              </w:rPr>
              <w:t>R, DB, MC</w:t>
            </w:r>
          </w:p>
          <w:p w14:paraId="50C5BD6B" w14:textId="77777777" w:rsidR="007F0AB2" w:rsidRPr="00B57220" w:rsidRDefault="007F0AB2" w:rsidP="00E9172C">
            <w:pPr>
              <w:pStyle w:val="TableText0"/>
              <w:jc w:val="center"/>
              <w:rPr>
                <w:szCs w:val="20"/>
              </w:rPr>
            </w:pPr>
            <w:r w:rsidRPr="00B57220">
              <w:rPr>
                <w:szCs w:val="20"/>
              </w:rPr>
              <w:t>28 weeks</w:t>
            </w:r>
          </w:p>
        </w:tc>
        <w:tc>
          <w:tcPr>
            <w:tcW w:w="550" w:type="pct"/>
            <w:shd w:val="clear" w:color="auto" w:fill="auto"/>
            <w:vAlign w:val="center"/>
          </w:tcPr>
          <w:p w14:paraId="4D009AFF" w14:textId="77777777" w:rsidR="007F0AB2" w:rsidRPr="00B57220" w:rsidRDefault="007F0AB2" w:rsidP="00E9172C">
            <w:pPr>
              <w:pStyle w:val="TableText0"/>
              <w:jc w:val="center"/>
              <w:rPr>
                <w:szCs w:val="20"/>
              </w:rPr>
            </w:pPr>
            <w:r w:rsidRPr="00B57220">
              <w:rPr>
                <w:szCs w:val="20"/>
              </w:rPr>
              <w:t>Unclear</w:t>
            </w:r>
            <w:r w:rsidR="00B83D0B" w:rsidRPr="00B57220">
              <w:rPr>
                <w:szCs w:val="20"/>
                <w:vertAlign w:val="superscript"/>
              </w:rPr>
              <w:t>c</w:t>
            </w:r>
          </w:p>
        </w:tc>
        <w:tc>
          <w:tcPr>
            <w:tcW w:w="1415" w:type="pct"/>
            <w:shd w:val="clear" w:color="auto" w:fill="auto"/>
            <w:vAlign w:val="center"/>
          </w:tcPr>
          <w:p w14:paraId="2B46FC68" w14:textId="77777777" w:rsidR="007F0AB2" w:rsidRPr="00B57220" w:rsidRDefault="007F0AB2" w:rsidP="00E9172C">
            <w:pPr>
              <w:pStyle w:val="TableText0"/>
              <w:jc w:val="center"/>
              <w:rPr>
                <w:szCs w:val="20"/>
              </w:rPr>
            </w:pPr>
            <w:r w:rsidRPr="00B57220">
              <w:rPr>
                <w:szCs w:val="20"/>
              </w:rPr>
              <w:t>Severe persistent allergic asthma</w:t>
            </w:r>
          </w:p>
        </w:tc>
        <w:tc>
          <w:tcPr>
            <w:tcW w:w="992" w:type="pct"/>
            <w:shd w:val="clear" w:color="auto" w:fill="auto"/>
            <w:vAlign w:val="center"/>
          </w:tcPr>
          <w:p w14:paraId="5D4DFE77" w14:textId="77777777" w:rsidR="007F0AB2" w:rsidRPr="00B57220" w:rsidRDefault="007F0AB2" w:rsidP="00E9172C">
            <w:pPr>
              <w:pStyle w:val="TableText0"/>
              <w:jc w:val="center"/>
              <w:rPr>
                <w:szCs w:val="20"/>
              </w:rPr>
            </w:pPr>
            <w:r w:rsidRPr="00B57220">
              <w:rPr>
                <w:szCs w:val="20"/>
              </w:rPr>
              <w:t>Exacerbation rate per 28 weeks, ACQ</w:t>
            </w:r>
          </w:p>
        </w:tc>
      </w:tr>
      <w:tr w:rsidR="006F2ADF" w:rsidRPr="00B57220" w14:paraId="4B4DF374" w14:textId="77777777" w:rsidTr="00B57220">
        <w:trPr>
          <w:cantSplit/>
        </w:trPr>
        <w:tc>
          <w:tcPr>
            <w:tcW w:w="548" w:type="pct"/>
            <w:shd w:val="clear" w:color="auto" w:fill="auto"/>
            <w:vAlign w:val="center"/>
          </w:tcPr>
          <w:p w14:paraId="5FE8378F" w14:textId="77777777" w:rsidR="007F0AB2" w:rsidRPr="00B57220" w:rsidRDefault="007F0AB2" w:rsidP="00E9172C">
            <w:pPr>
              <w:pStyle w:val="TableText0"/>
              <w:rPr>
                <w:szCs w:val="20"/>
              </w:rPr>
            </w:pPr>
            <w:r w:rsidRPr="00B57220">
              <w:rPr>
                <w:szCs w:val="20"/>
              </w:rPr>
              <w:t>EXTRA</w:t>
            </w:r>
          </w:p>
        </w:tc>
        <w:tc>
          <w:tcPr>
            <w:tcW w:w="1023" w:type="pct"/>
            <w:shd w:val="clear" w:color="auto" w:fill="auto"/>
            <w:vAlign w:val="center"/>
          </w:tcPr>
          <w:p w14:paraId="6AA84569" w14:textId="77777777" w:rsidR="007F0AB2" w:rsidRPr="00B57220" w:rsidRDefault="007F0AB2" w:rsidP="00E9172C">
            <w:pPr>
              <w:pStyle w:val="TableText0"/>
              <w:jc w:val="center"/>
              <w:rPr>
                <w:szCs w:val="20"/>
              </w:rPr>
            </w:pPr>
            <w:r w:rsidRPr="00B57220">
              <w:rPr>
                <w:szCs w:val="20"/>
              </w:rPr>
              <w:t>848</w:t>
            </w:r>
          </w:p>
        </w:tc>
        <w:tc>
          <w:tcPr>
            <w:tcW w:w="472" w:type="pct"/>
            <w:shd w:val="clear" w:color="auto" w:fill="auto"/>
            <w:vAlign w:val="center"/>
          </w:tcPr>
          <w:p w14:paraId="547BAC87" w14:textId="77777777" w:rsidR="007F0AB2" w:rsidRPr="00B57220" w:rsidRDefault="007F0AB2" w:rsidP="00E9172C">
            <w:pPr>
              <w:pStyle w:val="TableText0"/>
              <w:jc w:val="center"/>
              <w:rPr>
                <w:szCs w:val="20"/>
              </w:rPr>
            </w:pPr>
            <w:r w:rsidRPr="00B57220">
              <w:rPr>
                <w:szCs w:val="20"/>
              </w:rPr>
              <w:t>R, DB, MC</w:t>
            </w:r>
          </w:p>
          <w:p w14:paraId="279699A7" w14:textId="77777777" w:rsidR="007F0AB2" w:rsidRPr="00B57220" w:rsidRDefault="007F0AB2" w:rsidP="00E9172C">
            <w:pPr>
              <w:pStyle w:val="TableText0"/>
              <w:jc w:val="center"/>
              <w:rPr>
                <w:szCs w:val="20"/>
              </w:rPr>
            </w:pPr>
            <w:r w:rsidRPr="00B57220">
              <w:rPr>
                <w:szCs w:val="20"/>
              </w:rPr>
              <w:t>48 weeks</w:t>
            </w:r>
          </w:p>
        </w:tc>
        <w:tc>
          <w:tcPr>
            <w:tcW w:w="550" w:type="pct"/>
            <w:shd w:val="clear" w:color="auto" w:fill="auto"/>
            <w:vAlign w:val="center"/>
          </w:tcPr>
          <w:p w14:paraId="579150A4" w14:textId="77777777" w:rsidR="007F0AB2" w:rsidRPr="00B57220" w:rsidRDefault="007F0AB2" w:rsidP="00E9172C">
            <w:pPr>
              <w:pStyle w:val="TableText0"/>
              <w:jc w:val="center"/>
              <w:rPr>
                <w:szCs w:val="20"/>
              </w:rPr>
            </w:pPr>
            <w:r w:rsidRPr="00B57220">
              <w:rPr>
                <w:szCs w:val="20"/>
              </w:rPr>
              <w:t>Lo</w:t>
            </w:r>
            <w:r w:rsidR="001818EF" w:rsidRPr="00B57220">
              <w:rPr>
                <w:szCs w:val="20"/>
              </w:rPr>
              <w:t>w</w:t>
            </w:r>
          </w:p>
        </w:tc>
        <w:tc>
          <w:tcPr>
            <w:tcW w:w="1415" w:type="pct"/>
            <w:shd w:val="clear" w:color="auto" w:fill="auto"/>
            <w:vAlign w:val="center"/>
          </w:tcPr>
          <w:p w14:paraId="7CCF8D86" w14:textId="77777777" w:rsidR="007F0AB2" w:rsidRPr="00B57220" w:rsidRDefault="007F0AB2" w:rsidP="00E9172C">
            <w:pPr>
              <w:pStyle w:val="TableText0"/>
              <w:jc w:val="center"/>
              <w:rPr>
                <w:szCs w:val="20"/>
              </w:rPr>
            </w:pPr>
            <w:r w:rsidRPr="00B57220">
              <w:rPr>
                <w:szCs w:val="20"/>
              </w:rPr>
              <w:t>Severe uncontrolled allergic asthma</w:t>
            </w:r>
          </w:p>
        </w:tc>
        <w:tc>
          <w:tcPr>
            <w:tcW w:w="992" w:type="pct"/>
            <w:shd w:val="clear" w:color="auto" w:fill="auto"/>
            <w:vAlign w:val="center"/>
          </w:tcPr>
          <w:p w14:paraId="417547BD" w14:textId="77777777" w:rsidR="007F0AB2" w:rsidRPr="00B57220" w:rsidRDefault="007F0AB2" w:rsidP="00E9172C">
            <w:pPr>
              <w:pStyle w:val="TableText0"/>
              <w:jc w:val="center"/>
              <w:rPr>
                <w:szCs w:val="20"/>
              </w:rPr>
            </w:pPr>
            <w:r w:rsidRPr="00B57220">
              <w:rPr>
                <w:szCs w:val="20"/>
              </w:rPr>
              <w:t>Exacerbation rate per 48 weeks, ACQ</w:t>
            </w:r>
          </w:p>
        </w:tc>
      </w:tr>
    </w:tbl>
    <w:p w14:paraId="08818229" w14:textId="77777777" w:rsidR="00045017" w:rsidRPr="00193BC1" w:rsidRDefault="00045017" w:rsidP="00580E2F">
      <w:pPr>
        <w:pStyle w:val="TableFigureFooter"/>
      </w:pPr>
      <w:r w:rsidRPr="00193BC1">
        <w:t xml:space="preserve">Source: </w:t>
      </w:r>
      <w:r w:rsidR="00E61115" w:rsidRPr="00193BC1">
        <w:t xml:space="preserve">Data extracted from Table 2.20, p 109; Table 2.26, pp 121 – 127; Table 2.8, pp 62 – 64 of the submission, and Table 3, p 9 of the benralizumab March 2018 </w:t>
      </w:r>
      <w:r w:rsidR="002D2DBD" w:rsidRPr="00193BC1">
        <w:t>public summary document</w:t>
      </w:r>
      <w:r w:rsidR="00E61115" w:rsidRPr="00193BC1">
        <w:t>.</w:t>
      </w:r>
    </w:p>
    <w:p w14:paraId="6B6B0A47" w14:textId="77777777" w:rsidR="00620C25" w:rsidRPr="00193BC1" w:rsidRDefault="00CB34E8" w:rsidP="00580E2F">
      <w:pPr>
        <w:pStyle w:val="TableFigureFooter"/>
      </w:pPr>
      <w:r w:rsidRPr="00193BC1">
        <w:t xml:space="preserve">ACQ = Asthma control questionnaire; </w:t>
      </w:r>
      <w:r w:rsidR="00620C25" w:rsidRPr="00193BC1">
        <w:t xml:space="preserve">DB = double blind; </w:t>
      </w:r>
      <w:r w:rsidR="00C65571" w:rsidRPr="00193BC1">
        <w:t xml:space="preserve">EOS = eosinophils; </w:t>
      </w:r>
      <w:r w:rsidR="006E4EFD" w:rsidRPr="00193BC1">
        <w:t>FEV</w:t>
      </w:r>
      <w:r w:rsidR="006E4EFD" w:rsidRPr="00193BC1">
        <w:rPr>
          <w:vertAlign w:val="subscript"/>
        </w:rPr>
        <w:t>1</w:t>
      </w:r>
      <w:r w:rsidR="006E4EFD" w:rsidRPr="00193BC1">
        <w:t xml:space="preserve"> = forced expiratory volume in the first second; </w:t>
      </w:r>
      <w:r w:rsidR="00C65571" w:rsidRPr="00193BC1">
        <w:t>ICS = i</w:t>
      </w:r>
      <w:r w:rsidRPr="00193BC1">
        <w:t xml:space="preserve">nhaled corticosteroids; </w:t>
      </w:r>
      <w:r w:rsidR="00620C25" w:rsidRPr="00193BC1">
        <w:t xml:space="preserve">MC = multi-centre; </w:t>
      </w:r>
      <w:r w:rsidR="005B2837" w:rsidRPr="00193BC1">
        <w:t xml:space="preserve">OCS = oral corticosteroids; </w:t>
      </w:r>
      <w:r w:rsidR="00620C25" w:rsidRPr="00193BC1">
        <w:t>OL = open label;</w:t>
      </w:r>
      <w:r w:rsidR="005B2837" w:rsidRPr="00193BC1">
        <w:t xml:space="preserve"> Q8W = every 8 weeks; </w:t>
      </w:r>
      <w:r w:rsidR="00620C25" w:rsidRPr="00193BC1">
        <w:t>R = randomised</w:t>
      </w:r>
      <w:r w:rsidR="005B2837" w:rsidRPr="00193BC1">
        <w:t>; SGRQ = St. George’s Respiratory Questionnaire</w:t>
      </w:r>
      <w:r w:rsidR="00620C25" w:rsidRPr="00193BC1">
        <w:t>.</w:t>
      </w:r>
    </w:p>
    <w:p w14:paraId="04762628" w14:textId="77777777" w:rsidR="00452074" w:rsidRPr="00193BC1" w:rsidRDefault="00452074" w:rsidP="00580E2F">
      <w:pPr>
        <w:pStyle w:val="TableFigureFooter"/>
      </w:pPr>
      <w:r w:rsidRPr="00193BC1">
        <w:rPr>
          <w:vertAlign w:val="superscript"/>
        </w:rPr>
        <w:t>a</w:t>
      </w:r>
      <w:r w:rsidRPr="00193BC1">
        <w:t xml:space="preserve"> Includes patients in all arms of the trial. For CALIMA and SIROCCO, this includes the q4w arm. For MENSA, this includes the 75mg intravenous arm, which is not registered in Australia (the N for patients in the relevant arms was 385).</w:t>
      </w:r>
    </w:p>
    <w:p w14:paraId="43A2706C" w14:textId="77777777" w:rsidR="00452074" w:rsidRPr="00193BC1" w:rsidRDefault="00B83D0B" w:rsidP="00580E2F">
      <w:pPr>
        <w:pStyle w:val="TableFigureFooter"/>
        <w:rPr>
          <w:szCs w:val="18"/>
        </w:rPr>
      </w:pPr>
      <w:r w:rsidRPr="00193BC1">
        <w:rPr>
          <w:vertAlign w:val="superscript"/>
        </w:rPr>
        <w:lastRenderedPageBreak/>
        <w:t>b</w:t>
      </w:r>
      <w:r w:rsidR="00BE6B81" w:rsidRPr="00193BC1">
        <w:t xml:space="preserve"> </w:t>
      </w:r>
      <w:r w:rsidR="00452074" w:rsidRPr="00193BC1">
        <w:rPr>
          <w:szCs w:val="18"/>
        </w:rPr>
        <w:t>INNOVATE enrolled 482 patients, but only 419 were included in the primary intention-to-treat population, which comprised patients randomised after a protocol amendment that adjusted for differences in pre-treatment exacerbation history.</w:t>
      </w:r>
    </w:p>
    <w:p w14:paraId="49BFB94C" w14:textId="77777777" w:rsidR="00452074" w:rsidRPr="00193BC1" w:rsidRDefault="00B83D0B" w:rsidP="00580E2F">
      <w:pPr>
        <w:pStyle w:val="TableFigureFooter"/>
        <w:rPr>
          <w:szCs w:val="18"/>
        </w:rPr>
      </w:pPr>
      <w:r w:rsidRPr="00193BC1">
        <w:rPr>
          <w:szCs w:val="18"/>
          <w:vertAlign w:val="superscript"/>
        </w:rPr>
        <w:t>c</w:t>
      </w:r>
      <w:r w:rsidR="00452074" w:rsidRPr="00193BC1">
        <w:rPr>
          <w:szCs w:val="18"/>
        </w:rPr>
        <w:t xml:space="preserve"> INNOVATE was considered during evaluation to have an unclear risk of selection bias because the method of randomisation was not reported and primary outcome was adjusted post hoc to account for differences in pre-treatment exacerbation history.</w:t>
      </w:r>
    </w:p>
    <w:p w14:paraId="5B347F2F" w14:textId="77777777" w:rsidR="00BE6B81" w:rsidRPr="00193BC1" w:rsidRDefault="00B83D0B" w:rsidP="00580E2F">
      <w:pPr>
        <w:pStyle w:val="TableFigureFooter"/>
        <w:rPr>
          <w:szCs w:val="18"/>
        </w:rPr>
      </w:pPr>
      <w:r w:rsidRPr="00193BC1">
        <w:rPr>
          <w:szCs w:val="18"/>
          <w:vertAlign w:val="superscript"/>
        </w:rPr>
        <w:t>d</w:t>
      </w:r>
      <w:r w:rsidR="00C20CFF" w:rsidRPr="00193BC1">
        <w:rPr>
          <w:szCs w:val="18"/>
        </w:rPr>
        <w:t xml:space="preserve"> ZONDA was not powered to assess secondary endpoints related to asthma exacerbations.</w:t>
      </w:r>
    </w:p>
    <w:p w14:paraId="08002178" w14:textId="77777777" w:rsidR="006C1C7A" w:rsidRPr="00193BC1" w:rsidRDefault="008F0C1E" w:rsidP="00580E2F">
      <w:pPr>
        <w:pStyle w:val="TableFigureFooter"/>
        <w:rPr>
          <w:sz w:val="20"/>
        </w:rPr>
      </w:pPr>
      <w:r w:rsidRPr="00193BC1">
        <w:rPr>
          <w:szCs w:val="18"/>
          <w:vertAlign w:val="superscript"/>
        </w:rPr>
        <w:t>e</w:t>
      </w:r>
      <w:r w:rsidRPr="00193BC1">
        <w:rPr>
          <w:szCs w:val="18"/>
        </w:rPr>
        <w:t xml:space="preserve"> Although the risk of bias within each trial was considered low (except for INNOVATE), there was potential for bias in the indirect comparison, given issues with transitivity of the trials</w:t>
      </w:r>
      <w:r w:rsidR="001716E0" w:rsidRPr="00193BC1">
        <w:rPr>
          <w:sz w:val="20"/>
        </w:rPr>
        <w:t>.</w:t>
      </w:r>
    </w:p>
    <w:p w14:paraId="0810A195" w14:textId="77777777" w:rsidR="006C1C7A" w:rsidRPr="00193BC1" w:rsidRDefault="006C1C7A" w:rsidP="001716E0">
      <w:pPr>
        <w:pStyle w:val="3-BodyText"/>
      </w:pPr>
      <w:r w:rsidRPr="00193BC1">
        <w:t xml:space="preserve">As there were no head-to-head RCTs comparing dupilumab (the intervention) with benralizumab, mepolizumab and omalizumab (the comparators), the submission performed an indirect treatment comparison (ITC) of the primary efficacy and safety outcomes. Six comparisons were performed, to assess multiple comparators across the four nominated subgroups of the target population, as shown in </w:t>
      </w:r>
      <w:r w:rsidR="00797BC5" w:rsidRPr="00193BC1">
        <w:t>Table 4</w:t>
      </w:r>
      <w:r w:rsidR="00A56434" w:rsidRPr="00193BC1">
        <w:t xml:space="preserve"> </w:t>
      </w:r>
      <w:r w:rsidRPr="00193BC1">
        <w:t>below.</w:t>
      </w:r>
      <w:r w:rsidR="006E309C" w:rsidRPr="00193BC1">
        <w:t xml:space="preserve"> </w:t>
      </w:r>
    </w:p>
    <w:p w14:paraId="01139252" w14:textId="77777777" w:rsidR="006C1C7A" w:rsidRPr="00193BC1" w:rsidRDefault="006C1C7A" w:rsidP="006C1C7A">
      <w:pPr>
        <w:pStyle w:val="TableFigureHeading"/>
      </w:pPr>
      <w:bookmarkStart w:id="15" w:name="_Ref50284284"/>
      <w:r w:rsidRPr="00193BC1">
        <w:t xml:space="preserve">Table </w:t>
      </w:r>
      <w:r w:rsidR="00797BC5" w:rsidRPr="00193BC1">
        <w:t>4</w:t>
      </w:r>
      <w:bookmarkEnd w:id="15"/>
      <w:r w:rsidRPr="00193BC1">
        <w:t>: Approach used in the submission for</w:t>
      </w:r>
      <w:r w:rsidR="00E238CC" w:rsidRPr="00193BC1">
        <w:t xml:space="preserve"> indirect treatment comparisons</w:t>
      </w:r>
    </w:p>
    <w:tbl>
      <w:tblPr>
        <w:tblStyle w:val="TableGrid"/>
        <w:tblW w:w="5072" w:type="pct"/>
        <w:tblLook w:val="04A0" w:firstRow="1" w:lastRow="0" w:firstColumn="1" w:lastColumn="0" w:noHBand="0" w:noVBand="1"/>
        <w:tblCaption w:val="Table 4: Approach used in the submission for indirect treatment comparisons"/>
        <w:tblDescription w:val="Table 4: Approach used in the submission for indirect treatment comparisons"/>
      </w:tblPr>
      <w:tblGrid>
        <w:gridCol w:w="1146"/>
        <w:gridCol w:w="946"/>
        <w:gridCol w:w="1174"/>
        <w:gridCol w:w="1092"/>
        <w:gridCol w:w="1155"/>
        <w:gridCol w:w="1000"/>
        <w:gridCol w:w="1219"/>
        <w:gridCol w:w="1055"/>
        <w:gridCol w:w="481"/>
      </w:tblGrid>
      <w:tr w:rsidR="00B57220" w:rsidRPr="00B57220" w14:paraId="226960E9" w14:textId="77777777" w:rsidTr="00B57220">
        <w:trPr>
          <w:tblHeader/>
        </w:trPr>
        <w:tc>
          <w:tcPr>
            <w:tcW w:w="626" w:type="pct"/>
          </w:tcPr>
          <w:p w14:paraId="66E10850" w14:textId="77777777" w:rsidR="006C1C7A" w:rsidRPr="00B57220" w:rsidRDefault="006C1C7A" w:rsidP="00F52EC1">
            <w:pPr>
              <w:pStyle w:val="TableText0"/>
              <w:keepNext w:val="0"/>
              <w:ind w:right="-57"/>
              <w:rPr>
                <w:szCs w:val="20"/>
              </w:rPr>
            </w:pPr>
            <w:r w:rsidRPr="00B57220">
              <w:rPr>
                <w:b/>
                <w:szCs w:val="20"/>
              </w:rPr>
              <w:t>Submission subgroup</w:t>
            </w:r>
          </w:p>
        </w:tc>
        <w:tc>
          <w:tcPr>
            <w:tcW w:w="517" w:type="pct"/>
          </w:tcPr>
          <w:p w14:paraId="6208CB90" w14:textId="77777777" w:rsidR="006C1C7A" w:rsidRPr="00B57220" w:rsidRDefault="006C1C7A" w:rsidP="00F52EC1">
            <w:pPr>
              <w:pStyle w:val="TableText0"/>
              <w:keepNext w:val="0"/>
              <w:rPr>
                <w:szCs w:val="20"/>
              </w:rPr>
            </w:pPr>
            <w:r w:rsidRPr="00B57220">
              <w:rPr>
                <w:b/>
                <w:szCs w:val="20"/>
              </w:rPr>
              <w:t>Asthma endotype</w:t>
            </w:r>
          </w:p>
        </w:tc>
        <w:tc>
          <w:tcPr>
            <w:tcW w:w="642" w:type="pct"/>
          </w:tcPr>
          <w:p w14:paraId="06764B34" w14:textId="77777777" w:rsidR="006C1C7A" w:rsidRPr="00B57220" w:rsidRDefault="006C1C7A" w:rsidP="00F52EC1">
            <w:pPr>
              <w:pStyle w:val="TableText0"/>
              <w:keepNext w:val="0"/>
              <w:ind w:right="-57"/>
              <w:rPr>
                <w:szCs w:val="20"/>
              </w:rPr>
            </w:pPr>
            <w:r w:rsidRPr="00B57220">
              <w:rPr>
                <w:b/>
                <w:szCs w:val="20"/>
              </w:rPr>
              <w:t>OCS dependence</w:t>
            </w:r>
          </w:p>
        </w:tc>
        <w:tc>
          <w:tcPr>
            <w:tcW w:w="597" w:type="pct"/>
          </w:tcPr>
          <w:p w14:paraId="032FAEFC" w14:textId="77777777" w:rsidR="006C1C7A" w:rsidRPr="00B57220" w:rsidRDefault="006C1C7A" w:rsidP="00F52EC1">
            <w:pPr>
              <w:pStyle w:val="TableText0"/>
              <w:keepNext w:val="0"/>
              <w:rPr>
                <w:szCs w:val="20"/>
              </w:rPr>
            </w:pPr>
            <w:r w:rsidRPr="00B57220">
              <w:rPr>
                <w:b/>
                <w:szCs w:val="20"/>
              </w:rPr>
              <w:t>Asthma phenotype</w:t>
            </w:r>
          </w:p>
        </w:tc>
        <w:tc>
          <w:tcPr>
            <w:tcW w:w="631" w:type="pct"/>
          </w:tcPr>
          <w:p w14:paraId="5758A9A6" w14:textId="77777777" w:rsidR="006C1C7A" w:rsidRPr="00B57220" w:rsidRDefault="006C1C7A" w:rsidP="00F52EC1">
            <w:pPr>
              <w:pStyle w:val="TableText0"/>
              <w:keepNext w:val="0"/>
              <w:ind w:right="-57"/>
              <w:rPr>
                <w:szCs w:val="20"/>
              </w:rPr>
            </w:pPr>
            <w:r w:rsidRPr="00B57220">
              <w:rPr>
                <w:b/>
                <w:szCs w:val="20"/>
              </w:rPr>
              <w:t>Intervention</w:t>
            </w:r>
          </w:p>
        </w:tc>
        <w:tc>
          <w:tcPr>
            <w:tcW w:w="547" w:type="pct"/>
          </w:tcPr>
          <w:p w14:paraId="7F7136AC" w14:textId="77777777" w:rsidR="006C1C7A" w:rsidRPr="00B57220" w:rsidRDefault="006C1C7A" w:rsidP="00F52EC1">
            <w:pPr>
              <w:pStyle w:val="TableText0"/>
              <w:keepNext w:val="0"/>
              <w:rPr>
                <w:szCs w:val="20"/>
              </w:rPr>
            </w:pPr>
            <w:r w:rsidRPr="00B57220">
              <w:rPr>
                <w:b/>
                <w:szCs w:val="20"/>
              </w:rPr>
              <w:t>Key Evidence</w:t>
            </w:r>
          </w:p>
        </w:tc>
        <w:tc>
          <w:tcPr>
            <w:tcW w:w="666" w:type="pct"/>
          </w:tcPr>
          <w:p w14:paraId="354B4E82" w14:textId="77777777" w:rsidR="006C1C7A" w:rsidRPr="00B57220" w:rsidRDefault="006C1C7A" w:rsidP="00F52EC1">
            <w:pPr>
              <w:pStyle w:val="TableText0"/>
              <w:keepNext w:val="0"/>
              <w:rPr>
                <w:szCs w:val="20"/>
              </w:rPr>
            </w:pPr>
            <w:r w:rsidRPr="00B57220">
              <w:rPr>
                <w:b/>
                <w:szCs w:val="20"/>
              </w:rPr>
              <w:t>Comparator</w:t>
            </w:r>
          </w:p>
        </w:tc>
        <w:tc>
          <w:tcPr>
            <w:tcW w:w="497" w:type="pct"/>
          </w:tcPr>
          <w:p w14:paraId="250FABF7" w14:textId="77777777" w:rsidR="006C1C7A" w:rsidRPr="00B57220" w:rsidRDefault="006C1C7A" w:rsidP="00F52EC1">
            <w:pPr>
              <w:pStyle w:val="TableText0"/>
              <w:keepNext w:val="0"/>
              <w:rPr>
                <w:szCs w:val="20"/>
              </w:rPr>
            </w:pPr>
            <w:r w:rsidRPr="00B57220">
              <w:rPr>
                <w:b/>
                <w:szCs w:val="20"/>
              </w:rPr>
              <w:t>Key Evidence</w:t>
            </w:r>
          </w:p>
        </w:tc>
        <w:tc>
          <w:tcPr>
            <w:tcW w:w="263" w:type="pct"/>
          </w:tcPr>
          <w:p w14:paraId="6544FB4B" w14:textId="77777777" w:rsidR="006C1C7A" w:rsidRPr="00B57220" w:rsidRDefault="006C1C7A" w:rsidP="00F52EC1">
            <w:pPr>
              <w:pStyle w:val="TableText0"/>
              <w:keepNext w:val="0"/>
              <w:rPr>
                <w:b/>
                <w:bCs w:val="0"/>
                <w:szCs w:val="20"/>
              </w:rPr>
            </w:pPr>
            <w:r w:rsidRPr="00B57220">
              <w:rPr>
                <w:b/>
                <w:szCs w:val="20"/>
              </w:rPr>
              <w:t>ITC</w:t>
            </w:r>
          </w:p>
        </w:tc>
      </w:tr>
      <w:tr w:rsidR="005F3850" w:rsidRPr="00B57220" w14:paraId="021CE702" w14:textId="77777777" w:rsidTr="00B57220">
        <w:tc>
          <w:tcPr>
            <w:tcW w:w="5000" w:type="pct"/>
            <w:gridSpan w:val="9"/>
          </w:tcPr>
          <w:p w14:paraId="3FB79D5E" w14:textId="77777777" w:rsidR="005F3850" w:rsidRPr="00B57220" w:rsidRDefault="005F3850" w:rsidP="00F52EC1">
            <w:pPr>
              <w:pStyle w:val="TableText0"/>
              <w:keepNext w:val="0"/>
              <w:rPr>
                <w:b/>
                <w:bCs w:val="0"/>
                <w:szCs w:val="20"/>
              </w:rPr>
            </w:pPr>
            <w:r w:rsidRPr="00B57220">
              <w:rPr>
                <w:b/>
                <w:szCs w:val="20"/>
              </w:rPr>
              <w:t>Dupixent (dupilumab) 200 mg</w:t>
            </w:r>
          </w:p>
        </w:tc>
      </w:tr>
      <w:tr w:rsidR="00B57220" w:rsidRPr="00B57220" w14:paraId="54844033" w14:textId="77777777" w:rsidTr="00B57220">
        <w:tc>
          <w:tcPr>
            <w:tcW w:w="626" w:type="pct"/>
            <w:vMerge w:val="restart"/>
          </w:tcPr>
          <w:p w14:paraId="29D6F29F" w14:textId="77777777" w:rsidR="006C1C7A" w:rsidRPr="00B57220" w:rsidRDefault="006C1C7A" w:rsidP="00F52EC1">
            <w:pPr>
              <w:pStyle w:val="TableText0"/>
              <w:keepNext w:val="0"/>
              <w:rPr>
                <w:szCs w:val="20"/>
              </w:rPr>
            </w:pPr>
            <w:r w:rsidRPr="00B57220">
              <w:rPr>
                <w:szCs w:val="20"/>
              </w:rPr>
              <w:t>1a</w:t>
            </w:r>
          </w:p>
        </w:tc>
        <w:tc>
          <w:tcPr>
            <w:tcW w:w="517" w:type="pct"/>
            <w:vMerge w:val="restart"/>
          </w:tcPr>
          <w:p w14:paraId="36268EC3" w14:textId="77777777" w:rsidR="006C1C7A" w:rsidRPr="00B57220" w:rsidRDefault="006C1C7A" w:rsidP="00F52EC1">
            <w:pPr>
              <w:pStyle w:val="TableText0"/>
              <w:keepNext w:val="0"/>
              <w:rPr>
                <w:szCs w:val="20"/>
              </w:rPr>
            </w:pPr>
            <w:r w:rsidRPr="00B57220">
              <w:rPr>
                <w:szCs w:val="20"/>
              </w:rPr>
              <w:t>Type 2 asthma</w:t>
            </w:r>
          </w:p>
        </w:tc>
        <w:tc>
          <w:tcPr>
            <w:tcW w:w="642" w:type="pct"/>
            <w:vMerge w:val="restart"/>
          </w:tcPr>
          <w:p w14:paraId="003FA6E3" w14:textId="77777777" w:rsidR="006C1C7A" w:rsidRPr="00B57220" w:rsidRDefault="006C1C7A" w:rsidP="00F52EC1">
            <w:pPr>
              <w:pStyle w:val="TableText0"/>
              <w:keepNext w:val="0"/>
              <w:jc w:val="center"/>
              <w:rPr>
                <w:szCs w:val="20"/>
              </w:rPr>
            </w:pPr>
            <w:r w:rsidRPr="00B57220">
              <w:rPr>
                <w:b/>
                <w:szCs w:val="20"/>
              </w:rPr>
              <w:t>×</w:t>
            </w:r>
          </w:p>
        </w:tc>
        <w:tc>
          <w:tcPr>
            <w:tcW w:w="597" w:type="pct"/>
            <w:vMerge w:val="restart"/>
          </w:tcPr>
          <w:p w14:paraId="24F1EFFD" w14:textId="77777777" w:rsidR="006C1C7A" w:rsidRPr="00B57220" w:rsidRDefault="006C1C7A" w:rsidP="00F52EC1">
            <w:pPr>
              <w:pStyle w:val="TableText0"/>
              <w:keepNext w:val="0"/>
              <w:rPr>
                <w:szCs w:val="20"/>
              </w:rPr>
            </w:pPr>
            <w:r w:rsidRPr="00B57220">
              <w:rPr>
                <w:szCs w:val="20"/>
              </w:rPr>
              <w:t>Eosinophilic</w:t>
            </w:r>
          </w:p>
        </w:tc>
        <w:tc>
          <w:tcPr>
            <w:tcW w:w="631" w:type="pct"/>
            <w:vMerge w:val="restart"/>
          </w:tcPr>
          <w:p w14:paraId="7090861D" w14:textId="77777777" w:rsidR="006C1C7A" w:rsidRPr="00B57220" w:rsidRDefault="006C1C7A" w:rsidP="00F52EC1">
            <w:pPr>
              <w:pStyle w:val="TableText0"/>
              <w:keepNext w:val="0"/>
              <w:rPr>
                <w:bCs w:val="0"/>
                <w:szCs w:val="20"/>
              </w:rPr>
            </w:pPr>
            <w:r w:rsidRPr="00B57220">
              <w:rPr>
                <w:szCs w:val="20"/>
              </w:rPr>
              <w:t>Dupilumab 200 mg</w:t>
            </w:r>
          </w:p>
        </w:tc>
        <w:tc>
          <w:tcPr>
            <w:tcW w:w="547" w:type="pct"/>
            <w:vMerge w:val="restart"/>
          </w:tcPr>
          <w:p w14:paraId="73760084" w14:textId="77777777" w:rsidR="006C1C7A" w:rsidRPr="00B57220" w:rsidRDefault="006C1C7A" w:rsidP="00F52EC1">
            <w:pPr>
              <w:pStyle w:val="TableText0"/>
              <w:keepNext w:val="0"/>
              <w:rPr>
                <w:bCs w:val="0"/>
                <w:szCs w:val="20"/>
              </w:rPr>
            </w:pPr>
            <w:r w:rsidRPr="00B57220">
              <w:rPr>
                <w:szCs w:val="20"/>
              </w:rPr>
              <w:t>QUEST</w:t>
            </w:r>
          </w:p>
          <w:p w14:paraId="10FEBD12" w14:textId="77777777" w:rsidR="006C1C7A" w:rsidRPr="00B57220" w:rsidRDefault="006C1C7A" w:rsidP="00F52EC1">
            <w:pPr>
              <w:pStyle w:val="TableText0"/>
              <w:keepNext w:val="0"/>
              <w:rPr>
                <w:szCs w:val="20"/>
              </w:rPr>
            </w:pPr>
            <w:r w:rsidRPr="00B57220">
              <w:rPr>
                <w:szCs w:val="20"/>
              </w:rPr>
              <w:t>DRI 12544</w:t>
            </w:r>
          </w:p>
        </w:tc>
        <w:tc>
          <w:tcPr>
            <w:tcW w:w="666" w:type="pct"/>
          </w:tcPr>
          <w:p w14:paraId="17A80B6C" w14:textId="77777777" w:rsidR="006C1C7A" w:rsidRPr="00B57220" w:rsidRDefault="006C1C7A" w:rsidP="00F52EC1">
            <w:pPr>
              <w:pStyle w:val="TableText0"/>
              <w:keepNext w:val="0"/>
              <w:ind w:right="-57"/>
              <w:rPr>
                <w:szCs w:val="20"/>
              </w:rPr>
            </w:pPr>
            <w:r w:rsidRPr="00B57220">
              <w:rPr>
                <w:szCs w:val="20"/>
              </w:rPr>
              <w:t>Benralizumab</w:t>
            </w:r>
          </w:p>
          <w:p w14:paraId="24CAE456" w14:textId="77777777" w:rsidR="006C1C7A" w:rsidRPr="00B57220" w:rsidRDefault="006C1C7A" w:rsidP="00F52EC1">
            <w:pPr>
              <w:pStyle w:val="TableText0"/>
              <w:keepNext w:val="0"/>
              <w:ind w:right="-57"/>
              <w:rPr>
                <w:szCs w:val="20"/>
              </w:rPr>
            </w:pPr>
          </w:p>
        </w:tc>
        <w:tc>
          <w:tcPr>
            <w:tcW w:w="497" w:type="pct"/>
          </w:tcPr>
          <w:p w14:paraId="16A67044" w14:textId="77777777" w:rsidR="006C1C7A" w:rsidRPr="00B57220" w:rsidRDefault="006C1C7A" w:rsidP="00F52EC1">
            <w:pPr>
              <w:pStyle w:val="TableText0"/>
              <w:keepNext w:val="0"/>
              <w:rPr>
                <w:szCs w:val="20"/>
                <w:vertAlign w:val="superscript"/>
              </w:rPr>
            </w:pPr>
            <w:r w:rsidRPr="00B57220">
              <w:rPr>
                <w:szCs w:val="20"/>
              </w:rPr>
              <w:t>SIROCCO</w:t>
            </w:r>
          </w:p>
          <w:p w14:paraId="0A2D9CF3" w14:textId="77777777" w:rsidR="006C1C7A" w:rsidRPr="00B57220" w:rsidRDefault="006C1C7A" w:rsidP="00F52EC1">
            <w:pPr>
              <w:pStyle w:val="TableText0"/>
              <w:keepNext w:val="0"/>
              <w:rPr>
                <w:szCs w:val="20"/>
              </w:rPr>
            </w:pPr>
            <w:r w:rsidRPr="00B57220">
              <w:rPr>
                <w:szCs w:val="20"/>
              </w:rPr>
              <w:t>CALIMA</w:t>
            </w:r>
          </w:p>
        </w:tc>
        <w:tc>
          <w:tcPr>
            <w:tcW w:w="263" w:type="pct"/>
          </w:tcPr>
          <w:p w14:paraId="12EACB41" w14:textId="77777777" w:rsidR="006C1C7A" w:rsidRPr="00B57220" w:rsidRDefault="006C1C7A" w:rsidP="00F52EC1">
            <w:pPr>
              <w:pStyle w:val="TableText0"/>
              <w:keepNext w:val="0"/>
              <w:rPr>
                <w:szCs w:val="20"/>
              </w:rPr>
            </w:pPr>
            <w:r w:rsidRPr="00B57220">
              <w:rPr>
                <w:szCs w:val="20"/>
              </w:rPr>
              <w:t>1</w:t>
            </w:r>
          </w:p>
        </w:tc>
      </w:tr>
      <w:tr w:rsidR="00B57220" w:rsidRPr="00B57220" w14:paraId="2CB41352" w14:textId="77777777" w:rsidTr="00B57220">
        <w:tc>
          <w:tcPr>
            <w:tcW w:w="626" w:type="pct"/>
            <w:vMerge/>
          </w:tcPr>
          <w:p w14:paraId="709FB838" w14:textId="77777777" w:rsidR="006C1C7A" w:rsidRPr="00B57220" w:rsidRDefault="006C1C7A" w:rsidP="00F52EC1">
            <w:pPr>
              <w:pStyle w:val="TableText0"/>
              <w:keepNext w:val="0"/>
              <w:rPr>
                <w:szCs w:val="20"/>
              </w:rPr>
            </w:pPr>
          </w:p>
        </w:tc>
        <w:tc>
          <w:tcPr>
            <w:tcW w:w="517" w:type="pct"/>
            <w:vMerge/>
          </w:tcPr>
          <w:p w14:paraId="3A6B386D" w14:textId="77777777" w:rsidR="006C1C7A" w:rsidRPr="00B57220" w:rsidRDefault="006C1C7A" w:rsidP="00F52EC1">
            <w:pPr>
              <w:pStyle w:val="TableText0"/>
              <w:keepNext w:val="0"/>
              <w:rPr>
                <w:szCs w:val="20"/>
              </w:rPr>
            </w:pPr>
          </w:p>
        </w:tc>
        <w:tc>
          <w:tcPr>
            <w:tcW w:w="642" w:type="pct"/>
            <w:vMerge/>
          </w:tcPr>
          <w:p w14:paraId="3E607FA5" w14:textId="77777777" w:rsidR="006C1C7A" w:rsidRPr="00B57220" w:rsidRDefault="006C1C7A" w:rsidP="00F52EC1">
            <w:pPr>
              <w:pStyle w:val="TableText0"/>
              <w:keepNext w:val="0"/>
              <w:jc w:val="center"/>
              <w:rPr>
                <w:bCs w:val="0"/>
                <w:szCs w:val="20"/>
              </w:rPr>
            </w:pPr>
          </w:p>
        </w:tc>
        <w:tc>
          <w:tcPr>
            <w:tcW w:w="597" w:type="pct"/>
            <w:vMerge/>
          </w:tcPr>
          <w:p w14:paraId="170DB2D0" w14:textId="77777777" w:rsidR="006C1C7A" w:rsidRPr="00B57220" w:rsidRDefault="006C1C7A" w:rsidP="00F52EC1">
            <w:pPr>
              <w:pStyle w:val="TableText0"/>
              <w:keepNext w:val="0"/>
              <w:rPr>
                <w:bCs w:val="0"/>
                <w:szCs w:val="20"/>
              </w:rPr>
            </w:pPr>
          </w:p>
        </w:tc>
        <w:tc>
          <w:tcPr>
            <w:tcW w:w="631" w:type="pct"/>
            <w:vMerge/>
          </w:tcPr>
          <w:p w14:paraId="03918F30" w14:textId="77777777" w:rsidR="006C1C7A" w:rsidRPr="00B57220" w:rsidRDefault="006C1C7A" w:rsidP="00F52EC1">
            <w:pPr>
              <w:pStyle w:val="TableText0"/>
              <w:keepNext w:val="0"/>
              <w:rPr>
                <w:bCs w:val="0"/>
                <w:szCs w:val="20"/>
              </w:rPr>
            </w:pPr>
          </w:p>
        </w:tc>
        <w:tc>
          <w:tcPr>
            <w:tcW w:w="547" w:type="pct"/>
            <w:vMerge/>
          </w:tcPr>
          <w:p w14:paraId="022ECBB4" w14:textId="77777777" w:rsidR="006C1C7A" w:rsidRPr="00B57220" w:rsidRDefault="006C1C7A" w:rsidP="00F52EC1">
            <w:pPr>
              <w:pStyle w:val="TableText0"/>
              <w:keepNext w:val="0"/>
              <w:rPr>
                <w:bCs w:val="0"/>
                <w:szCs w:val="20"/>
              </w:rPr>
            </w:pPr>
          </w:p>
        </w:tc>
        <w:tc>
          <w:tcPr>
            <w:tcW w:w="666" w:type="pct"/>
          </w:tcPr>
          <w:p w14:paraId="584972C2" w14:textId="77777777" w:rsidR="006C1C7A" w:rsidRPr="00B57220" w:rsidRDefault="006C1C7A" w:rsidP="00F52EC1">
            <w:pPr>
              <w:pStyle w:val="TableText0"/>
              <w:keepNext w:val="0"/>
              <w:ind w:right="-57"/>
              <w:rPr>
                <w:szCs w:val="20"/>
              </w:rPr>
            </w:pPr>
            <w:r w:rsidRPr="00B57220">
              <w:rPr>
                <w:szCs w:val="20"/>
              </w:rPr>
              <w:t>Mepolizumab</w:t>
            </w:r>
          </w:p>
        </w:tc>
        <w:tc>
          <w:tcPr>
            <w:tcW w:w="497" w:type="pct"/>
          </w:tcPr>
          <w:p w14:paraId="14C4696D" w14:textId="77777777" w:rsidR="006C1C7A" w:rsidRPr="00B57220" w:rsidRDefault="006C1C7A" w:rsidP="00F52EC1">
            <w:pPr>
              <w:pStyle w:val="TableText0"/>
              <w:keepNext w:val="0"/>
              <w:rPr>
                <w:szCs w:val="20"/>
                <w:vertAlign w:val="superscript"/>
              </w:rPr>
            </w:pPr>
            <w:r w:rsidRPr="00B57220">
              <w:rPr>
                <w:szCs w:val="20"/>
              </w:rPr>
              <w:t>MUSCA</w:t>
            </w:r>
          </w:p>
          <w:p w14:paraId="4E0D491F" w14:textId="77777777" w:rsidR="006C1C7A" w:rsidRPr="00B57220" w:rsidRDefault="006C1C7A" w:rsidP="00F52EC1">
            <w:pPr>
              <w:pStyle w:val="TableText0"/>
              <w:keepNext w:val="0"/>
              <w:rPr>
                <w:szCs w:val="20"/>
              </w:rPr>
            </w:pPr>
            <w:r w:rsidRPr="00B57220">
              <w:rPr>
                <w:szCs w:val="20"/>
              </w:rPr>
              <w:t>MENSA</w:t>
            </w:r>
          </w:p>
          <w:p w14:paraId="6EBB11E3" w14:textId="77777777" w:rsidR="006C1C7A" w:rsidRPr="00B57220" w:rsidRDefault="006C1C7A" w:rsidP="00F52EC1">
            <w:pPr>
              <w:pStyle w:val="TableText0"/>
              <w:keepNext w:val="0"/>
              <w:rPr>
                <w:i/>
                <w:iCs/>
                <w:szCs w:val="20"/>
              </w:rPr>
            </w:pPr>
            <w:r w:rsidRPr="00B57220">
              <w:rPr>
                <w:iCs/>
                <w:szCs w:val="20"/>
              </w:rPr>
              <w:t>DREAM*</w:t>
            </w:r>
          </w:p>
        </w:tc>
        <w:tc>
          <w:tcPr>
            <w:tcW w:w="263" w:type="pct"/>
          </w:tcPr>
          <w:p w14:paraId="19AA1353" w14:textId="77777777" w:rsidR="006C1C7A" w:rsidRPr="00B57220" w:rsidRDefault="006C1C7A" w:rsidP="00F52EC1">
            <w:pPr>
              <w:pStyle w:val="TableText0"/>
              <w:keepNext w:val="0"/>
              <w:rPr>
                <w:szCs w:val="20"/>
              </w:rPr>
            </w:pPr>
            <w:r w:rsidRPr="00B57220">
              <w:rPr>
                <w:szCs w:val="20"/>
              </w:rPr>
              <w:t>2</w:t>
            </w:r>
          </w:p>
        </w:tc>
      </w:tr>
      <w:tr w:rsidR="00B57220" w:rsidRPr="00B57220" w14:paraId="6FE318A2" w14:textId="77777777" w:rsidTr="00B57220">
        <w:tc>
          <w:tcPr>
            <w:tcW w:w="626" w:type="pct"/>
          </w:tcPr>
          <w:p w14:paraId="13560529" w14:textId="77777777" w:rsidR="006C1C7A" w:rsidRPr="00B57220" w:rsidRDefault="006C1C7A" w:rsidP="00F52EC1">
            <w:pPr>
              <w:pStyle w:val="TableText0"/>
              <w:keepNext w:val="0"/>
              <w:rPr>
                <w:szCs w:val="20"/>
              </w:rPr>
            </w:pPr>
            <w:r w:rsidRPr="00B57220">
              <w:rPr>
                <w:szCs w:val="20"/>
              </w:rPr>
              <w:t>1b</w:t>
            </w:r>
          </w:p>
        </w:tc>
        <w:tc>
          <w:tcPr>
            <w:tcW w:w="517" w:type="pct"/>
          </w:tcPr>
          <w:p w14:paraId="6610BD99" w14:textId="77777777" w:rsidR="006C1C7A" w:rsidRPr="00B57220" w:rsidRDefault="006C1C7A" w:rsidP="00F52EC1">
            <w:pPr>
              <w:pStyle w:val="TableText0"/>
              <w:keepNext w:val="0"/>
              <w:rPr>
                <w:szCs w:val="20"/>
              </w:rPr>
            </w:pPr>
            <w:r w:rsidRPr="00B57220">
              <w:rPr>
                <w:szCs w:val="20"/>
              </w:rPr>
              <w:t>Type 2 asthma</w:t>
            </w:r>
          </w:p>
        </w:tc>
        <w:tc>
          <w:tcPr>
            <w:tcW w:w="642" w:type="pct"/>
          </w:tcPr>
          <w:p w14:paraId="2B469044" w14:textId="77777777" w:rsidR="006C1C7A" w:rsidRPr="00B57220" w:rsidRDefault="006C1C7A" w:rsidP="00F52EC1">
            <w:pPr>
              <w:pStyle w:val="TableText0"/>
              <w:keepNext w:val="0"/>
              <w:jc w:val="center"/>
              <w:rPr>
                <w:szCs w:val="20"/>
              </w:rPr>
            </w:pPr>
            <w:r w:rsidRPr="00B57220">
              <w:rPr>
                <w:b/>
                <w:szCs w:val="20"/>
              </w:rPr>
              <w:t>×</w:t>
            </w:r>
          </w:p>
        </w:tc>
        <w:tc>
          <w:tcPr>
            <w:tcW w:w="597" w:type="pct"/>
          </w:tcPr>
          <w:p w14:paraId="4D1959F1" w14:textId="77777777" w:rsidR="006C1C7A" w:rsidRPr="00B57220" w:rsidRDefault="006C1C7A" w:rsidP="00F52EC1">
            <w:pPr>
              <w:pStyle w:val="TableText0"/>
              <w:keepNext w:val="0"/>
              <w:rPr>
                <w:szCs w:val="20"/>
              </w:rPr>
            </w:pPr>
            <w:r w:rsidRPr="00B57220">
              <w:rPr>
                <w:szCs w:val="20"/>
              </w:rPr>
              <w:t>Allergic</w:t>
            </w:r>
          </w:p>
        </w:tc>
        <w:tc>
          <w:tcPr>
            <w:tcW w:w="631" w:type="pct"/>
          </w:tcPr>
          <w:p w14:paraId="609C5933" w14:textId="77777777" w:rsidR="006C1C7A" w:rsidRPr="00B57220" w:rsidRDefault="006C1C7A" w:rsidP="00F52EC1">
            <w:pPr>
              <w:pStyle w:val="TableText0"/>
              <w:keepNext w:val="0"/>
              <w:rPr>
                <w:szCs w:val="20"/>
              </w:rPr>
            </w:pPr>
            <w:r w:rsidRPr="00B57220">
              <w:rPr>
                <w:szCs w:val="20"/>
              </w:rPr>
              <w:t>Dupilumab</w:t>
            </w:r>
          </w:p>
          <w:p w14:paraId="6916F3E2" w14:textId="77777777" w:rsidR="006C1C7A" w:rsidRPr="00B57220" w:rsidRDefault="006C1C7A" w:rsidP="00F52EC1">
            <w:pPr>
              <w:pStyle w:val="TableText0"/>
              <w:keepNext w:val="0"/>
              <w:rPr>
                <w:bCs w:val="0"/>
                <w:szCs w:val="20"/>
              </w:rPr>
            </w:pPr>
            <w:r w:rsidRPr="00B57220">
              <w:rPr>
                <w:szCs w:val="20"/>
              </w:rPr>
              <w:t>200 mg</w:t>
            </w:r>
          </w:p>
        </w:tc>
        <w:tc>
          <w:tcPr>
            <w:tcW w:w="547" w:type="pct"/>
          </w:tcPr>
          <w:p w14:paraId="309716B2" w14:textId="77777777" w:rsidR="006C1C7A" w:rsidRPr="00B57220" w:rsidRDefault="006C1C7A" w:rsidP="00F52EC1">
            <w:pPr>
              <w:pStyle w:val="TableText0"/>
              <w:keepNext w:val="0"/>
              <w:rPr>
                <w:szCs w:val="20"/>
              </w:rPr>
            </w:pPr>
            <w:r w:rsidRPr="00B57220">
              <w:rPr>
                <w:szCs w:val="20"/>
              </w:rPr>
              <w:t>QUEST</w:t>
            </w:r>
          </w:p>
          <w:p w14:paraId="2F4E6C3A" w14:textId="77777777" w:rsidR="006C1C7A" w:rsidRPr="00B57220" w:rsidRDefault="006C1C7A" w:rsidP="00F52EC1">
            <w:pPr>
              <w:pStyle w:val="TableText0"/>
              <w:keepNext w:val="0"/>
              <w:rPr>
                <w:szCs w:val="20"/>
              </w:rPr>
            </w:pPr>
            <w:r w:rsidRPr="00B57220">
              <w:rPr>
                <w:szCs w:val="20"/>
              </w:rPr>
              <w:t>DRI 12544</w:t>
            </w:r>
          </w:p>
        </w:tc>
        <w:tc>
          <w:tcPr>
            <w:tcW w:w="666" w:type="pct"/>
          </w:tcPr>
          <w:p w14:paraId="6E9AC46F" w14:textId="77777777" w:rsidR="006C1C7A" w:rsidRPr="00B57220" w:rsidRDefault="006C1C7A" w:rsidP="00F52EC1">
            <w:pPr>
              <w:pStyle w:val="TableText0"/>
              <w:keepNext w:val="0"/>
              <w:ind w:right="-57"/>
              <w:rPr>
                <w:szCs w:val="20"/>
              </w:rPr>
            </w:pPr>
            <w:r w:rsidRPr="00B57220">
              <w:rPr>
                <w:szCs w:val="20"/>
              </w:rPr>
              <w:t>Omalizumab</w:t>
            </w:r>
          </w:p>
        </w:tc>
        <w:tc>
          <w:tcPr>
            <w:tcW w:w="497" w:type="pct"/>
          </w:tcPr>
          <w:p w14:paraId="426ECE96" w14:textId="77777777" w:rsidR="006C1C7A" w:rsidRPr="00B57220" w:rsidRDefault="006C1C7A" w:rsidP="00F52EC1">
            <w:pPr>
              <w:pStyle w:val="TableText0"/>
              <w:keepNext w:val="0"/>
              <w:ind w:right="-57"/>
              <w:rPr>
                <w:b/>
                <w:bCs w:val="0"/>
                <w:szCs w:val="20"/>
              </w:rPr>
            </w:pPr>
            <w:r w:rsidRPr="00B57220">
              <w:rPr>
                <w:szCs w:val="20"/>
              </w:rPr>
              <w:t>EXTRA (M1, M2)</w:t>
            </w:r>
          </w:p>
          <w:p w14:paraId="2FF81880" w14:textId="77777777" w:rsidR="006C1C7A" w:rsidRPr="00B57220" w:rsidRDefault="006C1C7A" w:rsidP="00F52EC1">
            <w:pPr>
              <w:pStyle w:val="TableText0"/>
              <w:keepNext w:val="0"/>
              <w:ind w:right="-57"/>
              <w:rPr>
                <w:szCs w:val="20"/>
              </w:rPr>
            </w:pPr>
            <w:r w:rsidRPr="00B57220">
              <w:rPr>
                <w:szCs w:val="20"/>
              </w:rPr>
              <w:t xml:space="preserve">INNOVATE </w:t>
            </w:r>
          </w:p>
        </w:tc>
        <w:tc>
          <w:tcPr>
            <w:tcW w:w="263" w:type="pct"/>
          </w:tcPr>
          <w:p w14:paraId="5BD0AF54" w14:textId="77777777" w:rsidR="006C1C7A" w:rsidRPr="00B57220" w:rsidRDefault="006C1C7A" w:rsidP="00F52EC1">
            <w:pPr>
              <w:pStyle w:val="TableText0"/>
              <w:keepNext w:val="0"/>
              <w:rPr>
                <w:szCs w:val="20"/>
              </w:rPr>
            </w:pPr>
            <w:r w:rsidRPr="00B57220">
              <w:rPr>
                <w:szCs w:val="20"/>
              </w:rPr>
              <w:t>3</w:t>
            </w:r>
          </w:p>
        </w:tc>
      </w:tr>
      <w:tr w:rsidR="005F3850" w:rsidRPr="00B57220" w14:paraId="668ED76B" w14:textId="77777777" w:rsidTr="00B57220">
        <w:tc>
          <w:tcPr>
            <w:tcW w:w="5000" w:type="pct"/>
            <w:gridSpan w:val="9"/>
          </w:tcPr>
          <w:p w14:paraId="7634E700" w14:textId="77777777" w:rsidR="005F3850" w:rsidRPr="00B57220" w:rsidRDefault="005F3850" w:rsidP="00F52EC1">
            <w:pPr>
              <w:pStyle w:val="TableText0"/>
              <w:keepNext w:val="0"/>
              <w:rPr>
                <w:b/>
                <w:bCs w:val="0"/>
                <w:szCs w:val="20"/>
              </w:rPr>
            </w:pPr>
            <w:r w:rsidRPr="00B57220">
              <w:rPr>
                <w:b/>
                <w:szCs w:val="20"/>
              </w:rPr>
              <w:t>Dupixent (dupilumab) 300 mg</w:t>
            </w:r>
          </w:p>
        </w:tc>
      </w:tr>
      <w:tr w:rsidR="00B57220" w:rsidRPr="00B57220" w14:paraId="204C2205" w14:textId="77777777" w:rsidTr="00B57220">
        <w:tc>
          <w:tcPr>
            <w:tcW w:w="626" w:type="pct"/>
            <w:vMerge w:val="restart"/>
          </w:tcPr>
          <w:p w14:paraId="10EB1DC8" w14:textId="77777777" w:rsidR="006C1C7A" w:rsidRPr="00B57220" w:rsidRDefault="006C1C7A" w:rsidP="00F52EC1">
            <w:pPr>
              <w:pStyle w:val="TableText0"/>
              <w:keepNext w:val="0"/>
              <w:rPr>
                <w:szCs w:val="20"/>
              </w:rPr>
            </w:pPr>
            <w:r w:rsidRPr="00B57220">
              <w:rPr>
                <w:szCs w:val="20"/>
              </w:rPr>
              <w:t>2a</w:t>
            </w:r>
          </w:p>
        </w:tc>
        <w:tc>
          <w:tcPr>
            <w:tcW w:w="517" w:type="pct"/>
            <w:vMerge w:val="restart"/>
          </w:tcPr>
          <w:p w14:paraId="26E24970" w14:textId="77777777" w:rsidR="006C1C7A" w:rsidRPr="00B57220" w:rsidRDefault="006C1C7A" w:rsidP="00F52EC1">
            <w:pPr>
              <w:pStyle w:val="TableText0"/>
              <w:keepNext w:val="0"/>
              <w:rPr>
                <w:szCs w:val="20"/>
              </w:rPr>
            </w:pPr>
            <w:r w:rsidRPr="00B57220">
              <w:rPr>
                <w:szCs w:val="20"/>
              </w:rPr>
              <w:t>Type 2 asthma</w:t>
            </w:r>
          </w:p>
        </w:tc>
        <w:tc>
          <w:tcPr>
            <w:tcW w:w="642" w:type="pct"/>
            <w:vMerge w:val="restart"/>
          </w:tcPr>
          <w:p w14:paraId="522827FA" w14:textId="77777777" w:rsidR="006C1C7A" w:rsidRPr="00B57220" w:rsidRDefault="006C1C7A" w:rsidP="00F52EC1">
            <w:pPr>
              <w:pStyle w:val="TableText0"/>
              <w:keepNext w:val="0"/>
              <w:jc w:val="center"/>
              <w:rPr>
                <w:b/>
                <w:bCs w:val="0"/>
                <w:szCs w:val="20"/>
              </w:rPr>
            </w:pPr>
            <w:r w:rsidRPr="00B57220">
              <w:rPr>
                <w:bCs w:val="0"/>
                <w:noProof/>
                <w:szCs w:val="20"/>
              </w:rPr>
              <w:drawing>
                <wp:inline distT="0" distB="0" distL="0" distR="0" wp14:anchorId="68B633DA" wp14:editId="30F0268F">
                  <wp:extent cx="133350" cy="133350"/>
                  <wp:effectExtent l="0" t="0" r="0" b="0"/>
                  <wp:docPr id="22" name="Graphic 946685830"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1"/>
                              </a:ext>
                            </a:extLst>
                          </a:blip>
                          <a:stretch>
                            <a:fillRect/>
                          </a:stretch>
                        </pic:blipFill>
                        <pic:spPr>
                          <a:xfrm>
                            <a:off x="0" y="0"/>
                            <a:ext cx="133350" cy="133350"/>
                          </a:xfrm>
                          <a:prstGeom prst="rect">
                            <a:avLst/>
                          </a:prstGeom>
                        </pic:spPr>
                      </pic:pic>
                    </a:graphicData>
                  </a:graphic>
                </wp:inline>
              </w:drawing>
            </w:r>
          </w:p>
        </w:tc>
        <w:tc>
          <w:tcPr>
            <w:tcW w:w="597" w:type="pct"/>
            <w:vMerge w:val="restart"/>
          </w:tcPr>
          <w:p w14:paraId="699276F0" w14:textId="77777777" w:rsidR="006C1C7A" w:rsidRPr="00B57220" w:rsidRDefault="006C1C7A" w:rsidP="00F52EC1">
            <w:pPr>
              <w:pStyle w:val="TableText0"/>
              <w:keepNext w:val="0"/>
              <w:rPr>
                <w:szCs w:val="20"/>
              </w:rPr>
            </w:pPr>
            <w:r w:rsidRPr="00B57220">
              <w:rPr>
                <w:szCs w:val="20"/>
              </w:rPr>
              <w:t>Eosinophilic</w:t>
            </w:r>
          </w:p>
        </w:tc>
        <w:tc>
          <w:tcPr>
            <w:tcW w:w="631" w:type="pct"/>
            <w:vMerge w:val="restart"/>
          </w:tcPr>
          <w:p w14:paraId="32E9BC37" w14:textId="77777777" w:rsidR="006C1C7A" w:rsidRPr="00B57220" w:rsidRDefault="006C1C7A" w:rsidP="00F52EC1">
            <w:pPr>
              <w:pStyle w:val="TableText0"/>
              <w:keepNext w:val="0"/>
              <w:rPr>
                <w:bCs w:val="0"/>
                <w:szCs w:val="20"/>
              </w:rPr>
            </w:pPr>
            <w:r w:rsidRPr="00B57220">
              <w:rPr>
                <w:szCs w:val="20"/>
              </w:rPr>
              <w:t>Dupilumab 300 mg</w:t>
            </w:r>
          </w:p>
        </w:tc>
        <w:tc>
          <w:tcPr>
            <w:tcW w:w="547" w:type="pct"/>
            <w:vMerge w:val="restart"/>
          </w:tcPr>
          <w:p w14:paraId="4BE65A74" w14:textId="77777777" w:rsidR="006C1C7A" w:rsidRPr="00B57220" w:rsidRDefault="006C1C7A" w:rsidP="00F52EC1">
            <w:pPr>
              <w:pStyle w:val="TableText0"/>
              <w:keepNext w:val="0"/>
              <w:ind w:right="-57"/>
              <w:rPr>
                <w:bCs w:val="0"/>
                <w:szCs w:val="20"/>
              </w:rPr>
            </w:pPr>
            <w:r w:rsidRPr="00B57220">
              <w:rPr>
                <w:szCs w:val="20"/>
              </w:rPr>
              <w:t>VENTURE</w:t>
            </w:r>
          </w:p>
        </w:tc>
        <w:tc>
          <w:tcPr>
            <w:tcW w:w="666" w:type="pct"/>
          </w:tcPr>
          <w:p w14:paraId="5F28F120" w14:textId="77777777" w:rsidR="006C1C7A" w:rsidRPr="00B57220" w:rsidRDefault="006C1C7A" w:rsidP="00F52EC1">
            <w:pPr>
              <w:pStyle w:val="TableText0"/>
              <w:keepNext w:val="0"/>
              <w:ind w:right="-113"/>
              <w:rPr>
                <w:szCs w:val="20"/>
              </w:rPr>
            </w:pPr>
            <w:r w:rsidRPr="00B57220">
              <w:rPr>
                <w:szCs w:val="20"/>
              </w:rPr>
              <w:t>Benralizumab</w:t>
            </w:r>
          </w:p>
        </w:tc>
        <w:tc>
          <w:tcPr>
            <w:tcW w:w="497" w:type="pct"/>
          </w:tcPr>
          <w:p w14:paraId="40B7426D" w14:textId="77777777" w:rsidR="006C1C7A" w:rsidRPr="00B57220" w:rsidRDefault="006C1C7A" w:rsidP="00F52EC1">
            <w:pPr>
              <w:pStyle w:val="TableText0"/>
              <w:keepNext w:val="0"/>
              <w:rPr>
                <w:szCs w:val="20"/>
              </w:rPr>
            </w:pPr>
            <w:r w:rsidRPr="00B57220">
              <w:rPr>
                <w:szCs w:val="20"/>
              </w:rPr>
              <w:t>ZONDA</w:t>
            </w:r>
          </w:p>
        </w:tc>
        <w:tc>
          <w:tcPr>
            <w:tcW w:w="263" w:type="pct"/>
          </w:tcPr>
          <w:p w14:paraId="517C155B" w14:textId="77777777" w:rsidR="006C1C7A" w:rsidRPr="00B57220" w:rsidRDefault="006C1C7A" w:rsidP="00F52EC1">
            <w:pPr>
              <w:pStyle w:val="TableText0"/>
              <w:keepNext w:val="0"/>
              <w:rPr>
                <w:szCs w:val="20"/>
              </w:rPr>
            </w:pPr>
            <w:r w:rsidRPr="00B57220">
              <w:rPr>
                <w:szCs w:val="20"/>
              </w:rPr>
              <w:t>4</w:t>
            </w:r>
          </w:p>
        </w:tc>
      </w:tr>
      <w:tr w:rsidR="00B57220" w:rsidRPr="00B57220" w14:paraId="611B698D" w14:textId="77777777" w:rsidTr="00B57220">
        <w:tc>
          <w:tcPr>
            <w:tcW w:w="626" w:type="pct"/>
            <w:vMerge/>
          </w:tcPr>
          <w:p w14:paraId="23C1EB1E" w14:textId="77777777" w:rsidR="006C1C7A" w:rsidRPr="00B57220" w:rsidRDefault="006C1C7A" w:rsidP="00F52EC1">
            <w:pPr>
              <w:pStyle w:val="TableText0"/>
              <w:keepNext w:val="0"/>
              <w:rPr>
                <w:szCs w:val="20"/>
              </w:rPr>
            </w:pPr>
          </w:p>
        </w:tc>
        <w:tc>
          <w:tcPr>
            <w:tcW w:w="517" w:type="pct"/>
            <w:vMerge/>
          </w:tcPr>
          <w:p w14:paraId="61659472" w14:textId="77777777" w:rsidR="006C1C7A" w:rsidRPr="00B57220" w:rsidRDefault="006C1C7A" w:rsidP="00F52EC1">
            <w:pPr>
              <w:pStyle w:val="TableText0"/>
              <w:keepNext w:val="0"/>
              <w:rPr>
                <w:szCs w:val="20"/>
              </w:rPr>
            </w:pPr>
          </w:p>
        </w:tc>
        <w:tc>
          <w:tcPr>
            <w:tcW w:w="642" w:type="pct"/>
            <w:vMerge/>
          </w:tcPr>
          <w:p w14:paraId="10FCBC3F" w14:textId="77777777" w:rsidR="006C1C7A" w:rsidRPr="00B57220" w:rsidRDefault="006C1C7A" w:rsidP="00F52EC1">
            <w:pPr>
              <w:pStyle w:val="TableText0"/>
              <w:keepNext w:val="0"/>
              <w:jc w:val="center"/>
              <w:rPr>
                <w:b/>
                <w:bCs w:val="0"/>
                <w:szCs w:val="20"/>
              </w:rPr>
            </w:pPr>
          </w:p>
        </w:tc>
        <w:tc>
          <w:tcPr>
            <w:tcW w:w="597" w:type="pct"/>
            <w:vMerge/>
          </w:tcPr>
          <w:p w14:paraId="4ACE86C4" w14:textId="77777777" w:rsidR="006C1C7A" w:rsidRPr="00B57220" w:rsidRDefault="006C1C7A" w:rsidP="00F52EC1">
            <w:pPr>
              <w:pStyle w:val="TableText0"/>
              <w:keepNext w:val="0"/>
              <w:rPr>
                <w:bCs w:val="0"/>
                <w:szCs w:val="20"/>
              </w:rPr>
            </w:pPr>
          </w:p>
        </w:tc>
        <w:tc>
          <w:tcPr>
            <w:tcW w:w="631" w:type="pct"/>
            <w:vMerge/>
          </w:tcPr>
          <w:p w14:paraId="7014EAC9" w14:textId="77777777" w:rsidR="006C1C7A" w:rsidRPr="00B57220" w:rsidRDefault="006C1C7A" w:rsidP="00F52EC1">
            <w:pPr>
              <w:pStyle w:val="TableText0"/>
              <w:keepNext w:val="0"/>
              <w:rPr>
                <w:bCs w:val="0"/>
                <w:szCs w:val="20"/>
              </w:rPr>
            </w:pPr>
          </w:p>
        </w:tc>
        <w:tc>
          <w:tcPr>
            <w:tcW w:w="547" w:type="pct"/>
            <w:vMerge/>
          </w:tcPr>
          <w:p w14:paraId="6D801C33" w14:textId="77777777" w:rsidR="006C1C7A" w:rsidRPr="00B57220" w:rsidRDefault="006C1C7A" w:rsidP="00F52EC1">
            <w:pPr>
              <w:pStyle w:val="TableText0"/>
              <w:keepNext w:val="0"/>
              <w:ind w:right="-57"/>
              <w:rPr>
                <w:bCs w:val="0"/>
                <w:szCs w:val="20"/>
              </w:rPr>
            </w:pPr>
          </w:p>
        </w:tc>
        <w:tc>
          <w:tcPr>
            <w:tcW w:w="666" w:type="pct"/>
          </w:tcPr>
          <w:p w14:paraId="66C6C20B" w14:textId="77777777" w:rsidR="006C1C7A" w:rsidRPr="00B57220" w:rsidRDefault="006C1C7A" w:rsidP="00F52EC1">
            <w:pPr>
              <w:pStyle w:val="TableText0"/>
              <w:keepNext w:val="0"/>
              <w:ind w:right="-113"/>
              <w:rPr>
                <w:szCs w:val="20"/>
              </w:rPr>
            </w:pPr>
            <w:r w:rsidRPr="00B57220">
              <w:rPr>
                <w:szCs w:val="20"/>
              </w:rPr>
              <w:t>Mepolizumab</w:t>
            </w:r>
          </w:p>
        </w:tc>
        <w:tc>
          <w:tcPr>
            <w:tcW w:w="497" w:type="pct"/>
          </w:tcPr>
          <w:p w14:paraId="720F0107" w14:textId="77777777" w:rsidR="006C1C7A" w:rsidRPr="00B57220" w:rsidRDefault="006C1C7A" w:rsidP="00F52EC1">
            <w:pPr>
              <w:pStyle w:val="TableText0"/>
              <w:keepNext w:val="0"/>
              <w:rPr>
                <w:szCs w:val="20"/>
              </w:rPr>
            </w:pPr>
            <w:r w:rsidRPr="00B57220">
              <w:rPr>
                <w:szCs w:val="20"/>
              </w:rPr>
              <w:t>SIRIUS</w:t>
            </w:r>
          </w:p>
        </w:tc>
        <w:tc>
          <w:tcPr>
            <w:tcW w:w="263" w:type="pct"/>
          </w:tcPr>
          <w:p w14:paraId="44A74C00" w14:textId="77777777" w:rsidR="006C1C7A" w:rsidRPr="00B57220" w:rsidRDefault="006C1C7A" w:rsidP="00F52EC1">
            <w:pPr>
              <w:pStyle w:val="TableText0"/>
              <w:keepNext w:val="0"/>
              <w:rPr>
                <w:szCs w:val="20"/>
              </w:rPr>
            </w:pPr>
            <w:r w:rsidRPr="00B57220">
              <w:rPr>
                <w:szCs w:val="20"/>
              </w:rPr>
              <w:t>5</w:t>
            </w:r>
          </w:p>
        </w:tc>
      </w:tr>
      <w:tr w:rsidR="00B57220" w:rsidRPr="00B57220" w14:paraId="18945CF0" w14:textId="77777777" w:rsidTr="00B57220">
        <w:tc>
          <w:tcPr>
            <w:tcW w:w="626" w:type="pct"/>
          </w:tcPr>
          <w:p w14:paraId="73AD1FFC" w14:textId="77777777" w:rsidR="006C1C7A" w:rsidRPr="00B57220" w:rsidRDefault="006C1C7A" w:rsidP="00F52EC1">
            <w:pPr>
              <w:pStyle w:val="TableText0"/>
              <w:keepNext w:val="0"/>
              <w:rPr>
                <w:szCs w:val="20"/>
              </w:rPr>
            </w:pPr>
            <w:r w:rsidRPr="00B57220">
              <w:rPr>
                <w:szCs w:val="20"/>
              </w:rPr>
              <w:t>2b</w:t>
            </w:r>
          </w:p>
        </w:tc>
        <w:tc>
          <w:tcPr>
            <w:tcW w:w="517" w:type="pct"/>
          </w:tcPr>
          <w:p w14:paraId="53B0F79D" w14:textId="77777777" w:rsidR="006C1C7A" w:rsidRPr="00B57220" w:rsidRDefault="006C1C7A" w:rsidP="00F52EC1">
            <w:pPr>
              <w:pStyle w:val="TableText0"/>
              <w:keepNext w:val="0"/>
              <w:rPr>
                <w:szCs w:val="20"/>
              </w:rPr>
            </w:pPr>
            <w:r w:rsidRPr="00B57220">
              <w:rPr>
                <w:szCs w:val="20"/>
              </w:rPr>
              <w:t>Type 2 asthma</w:t>
            </w:r>
          </w:p>
        </w:tc>
        <w:tc>
          <w:tcPr>
            <w:tcW w:w="642" w:type="pct"/>
          </w:tcPr>
          <w:p w14:paraId="47181F9F" w14:textId="77777777" w:rsidR="006C1C7A" w:rsidRPr="00B57220" w:rsidRDefault="006C1C7A" w:rsidP="00F52EC1">
            <w:pPr>
              <w:pStyle w:val="TableText0"/>
              <w:keepNext w:val="0"/>
              <w:jc w:val="center"/>
              <w:rPr>
                <w:b/>
                <w:bCs w:val="0"/>
                <w:szCs w:val="20"/>
              </w:rPr>
            </w:pPr>
            <w:r w:rsidRPr="00B57220">
              <w:rPr>
                <w:bCs w:val="0"/>
                <w:noProof/>
                <w:szCs w:val="20"/>
              </w:rPr>
              <w:drawing>
                <wp:inline distT="0" distB="0" distL="0" distR="0" wp14:anchorId="0804192A" wp14:editId="2046123D">
                  <wp:extent cx="133350" cy="133350"/>
                  <wp:effectExtent l="0" t="0" r="0" b="0"/>
                  <wp:docPr id="24" name="Graphic 193"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eckmark.svg"/>
                          <pic:cNvPicPr/>
                        </pic:nvPicPr>
                        <pic:blipFill>
                          <a:blip r:embed="rId8" cstate="print">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11"/>
                              </a:ext>
                            </a:extLst>
                          </a:blip>
                          <a:stretch>
                            <a:fillRect/>
                          </a:stretch>
                        </pic:blipFill>
                        <pic:spPr>
                          <a:xfrm>
                            <a:off x="0" y="0"/>
                            <a:ext cx="133350" cy="133350"/>
                          </a:xfrm>
                          <a:prstGeom prst="rect">
                            <a:avLst/>
                          </a:prstGeom>
                        </pic:spPr>
                      </pic:pic>
                    </a:graphicData>
                  </a:graphic>
                </wp:inline>
              </w:drawing>
            </w:r>
          </w:p>
        </w:tc>
        <w:tc>
          <w:tcPr>
            <w:tcW w:w="597" w:type="pct"/>
          </w:tcPr>
          <w:p w14:paraId="0381EB96" w14:textId="77777777" w:rsidR="006C1C7A" w:rsidRPr="00B57220" w:rsidRDefault="006C1C7A" w:rsidP="00F52EC1">
            <w:pPr>
              <w:pStyle w:val="TableText0"/>
              <w:keepNext w:val="0"/>
              <w:rPr>
                <w:szCs w:val="20"/>
              </w:rPr>
            </w:pPr>
            <w:r w:rsidRPr="00B57220">
              <w:rPr>
                <w:szCs w:val="20"/>
              </w:rPr>
              <w:t>Allergic</w:t>
            </w:r>
          </w:p>
        </w:tc>
        <w:tc>
          <w:tcPr>
            <w:tcW w:w="631" w:type="pct"/>
          </w:tcPr>
          <w:p w14:paraId="2A377E49" w14:textId="77777777" w:rsidR="006C1C7A" w:rsidRPr="00B57220" w:rsidRDefault="006C1C7A" w:rsidP="00F52EC1">
            <w:pPr>
              <w:pStyle w:val="TableText0"/>
              <w:keepNext w:val="0"/>
              <w:rPr>
                <w:szCs w:val="20"/>
              </w:rPr>
            </w:pPr>
            <w:r w:rsidRPr="00B57220">
              <w:rPr>
                <w:szCs w:val="20"/>
              </w:rPr>
              <w:t>Dupilumab 300 mg</w:t>
            </w:r>
          </w:p>
        </w:tc>
        <w:tc>
          <w:tcPr>
            <w:tcW w:w="547" w:type="pct"/>
          </w:tcPr>
          <w:p w14:paraId="2DF4711D" w14:textId="77777777" w:rsidR="006C1C7A" w:rsidRPr="00B57220" w:rsidRDefault="006C1C7A" w:rsidP="00F52EC1">
            <w:pPr>
              <w:pStyle w:val="TableText0"/>
              <w:keepNext w:val="0"/>
              <w:ind w:right="-57"/>
              <w:rPr>
                <w:szCs w:val="20"/>
              </w:rPr>
            </w:pPr>
            <w:r w:rsidRPr="00B57220">
              <w:rPr>
                <w:szCs w:val="20"/>
              </w:rPr>
              <w:t>VENTURE</w:t>
            </w:r>
          </w:p>
        </w:tc>
        <w:tc>
          <w:tcPr>
            <w:tcW w:w="666" w:type="pct"/>
          </w:tcPr>
          <w:p w14:paraId="15A44107" w14:textId="77777777" w:rsidR="006C1C7A" w:rsidRPr="00B57220" w:rsidRDefault="006C1C7A" w:rsidP="00F52EC1">
            <w:pPr>
              <w:pStyle w:val="TableText0"/>
              <w:keepNext w:val="0"/>
              <w:ind w:right="-113"/>
              <w:rPr>
                <w:szCs w:val="20"/>
              </w:rPr>
            </w:pPr>
            <w:r w:rsidRPr="00B57220">
              <w:rPr>
                <w:szCs w:val="20"/>
              </w:rPr>
              <w:t>Omalizumab</w:t>
            </w:r>
          </w:p>
        </w:tc>
        <w:tc>
          <w:tcPr>
            <w:tcW w:w="497" w:type="pct"/>
          </w:tcPr>
          <w:p w14:paraId="595F54B3" w14:textId="77777777" w:rsidR="006C1C7A" w:rsidRPr="00B57220" w:rsidRDefault="006C1C7A" w:rsidP="00F52EC1">
            <w:pPr>
              <w:pStyle w:val="TableText0"/>
              <w:keepNext w:val="0"/>
              <w:rPr>
                <w:szCs w:val="20"/>
              </w:rPr>
            </w:pPr>
            <w:r w:rsidRPr="00B57220">
              <w:rPr>
                <w:szCs w:val="20"/>
              </w:rPr>
              <w:t xml:space="preserve">EXTRA (M3) </w:t>
            </w:r>
          </w:p>
        </w:tc>
        <w:tc>
          <w:tcPr>
            <w:tcW w:w="263" w:type="pct"/>
          </w:tcPr>
          <w:p w14:paraId="394148D8" w14:textId="77777777" w:rsidR="006C1C7A" w:rsidRPr="00B57220" w:rsidRDefault="006C1C7A" w:rsidP="00F52EC1">
            <w:pPr>
              <w:pStyle w:val="TableText0"/>
              <w:keepNext w:val="0"/>
              <w:rPr>
                <w:szCs w:val="20"/>
              </w:rPr>
            </w:pPr>
            <w:r w:rsidRPr="00B57220">
              <w:rPr>
                <w:szCs w:val="20"/>
              </w:rPr>
              <w:t>6</w:t>
            </w:r>
          </w:p>
        </w:tc>
      </w:tr>
    </w:tbl>
    <w:p w14:paraId="0EBE2E32" w14:textId="77777777" w:rsidR="006C1C7A" w:rsidRPr="00193BC1" w:rsidRDefault="006C1C7A" w:rsidP="006C1C7A">
      <w:pPr>
        <w:pStyle w:val="TableFigureFooter"/>
        <w:jc w:val="left"/>
      </w:pPr>
      <w:r w:rsidRPr="00193BC1">
        <w:t>Source: Table 2.91, p 291 of the submission.</w:t>
      </w:r>
      <w:r w:rsidRPr="00193BC1">
        <w:br/>
        <w:t>ITC = Indirect treatment comparison; OCS = oral corticosteroids</w:t>
      </w:r>
      <w:r w:rsidRPr="00193BC1">
        <w:br/>
        <w:t>* The DREAM study is a mepolizumab study using an IV dose of 75 mg per 4 weeks which is not registered in Australia. DREAM was not included in the mepolizumab or benralizumab public summary documents.</w:t>
      </w:r>
    </w:p>
    <w:p w14:paraId="30FEE0D3" w14:textId="77777777" w:rsidR="004F59B9" w:rsidRPr="00193BC1" w:rsidRDefault="004F59B9" w:rsidP="001716E0">
      <w:pPr>
        <w:pStyle w:val="3-BodyText"/>
      </w:pPr>
      <w:r w:rsidRPr="00193BC1">
        <w:t>The submission performed three steps to arrive at the ITCs to justify its clinical claim:</w:t>
      </w:r>
    </w:p>
    <w:p w14:paraId="3D03BC05" w14:textId="77777777" w:rsidR="004F59B9" w:rsidRPr="00193BC1" w:rsidRDefault="004F59B9" w:rsidP="005863D4">
      <w:pPr>
        <w:pStyle w:val="ListParagraph"/>
        <w:numPr>
          <w:ilvl w:val="0"/>
          <w:numId w:val="22"/>
        </w:numPr>
        <w:ind w:left="1134"/>
        <w:jc w:val="both"/>
        <w:rPr>
          <w:shd w:val="clear" w:color="auto" w:fill="FFFFFF"/>
        </w:rPr>
      </w:pPr>
      <w:r w:rsidRPr="00193BC1">
        <w:rPr>
          <w:shd w:val="clear" w:color="auto" w:fill="FFFFFF"/>
        </w:rPr>
        <w:t>Step 1 presented a comparison of the data using intention-to-treat (ITT) populations for dupilumab and the PBAC recommended populations for the comparators. This method had substantial transitivity issues which introduced substantial variation in baseline characteristics for potential effect modifiers (e.g., blood EOS levels, asthma exacerbation history, use of medium- or high-dose ICS, and use of maintenance OCS), and was methodologically inappropriate.</w:t>
      </w:r>
    </w:p>
    <w:p w14:paraId="5350DC97" w14:textId="77777777" w:rsidR="004F59B9" w:rsidRPr="00193BC1" w:rsidRDefault="004F59B9" w:rsidP="005863D4">
      <w:pPr>
        <w:pStyle w:val="ListParagraph"/>
        <w:numPr>
          <w:ilvl w:val="0"/>
          <w:numId w:val="22"/>
        </w:numPr>
        <w:ind w:left="1134"/>
        <w:jc w:val="both"/>
        <w:rPr>
          <w:shd w:val="clear" w:color="auto" w:fill="FFFFFF"/>
        </w:rPr>
      </w:pPr>
      <w:r w:rsidRPr="00193BC1">
        <w:rPr>
          <w:shd w:val="clear" w:color="auto" w:fill="FFFFFF"/>
        </w:rPr>
        <w:t>Step 2 presented a summary of the data using eosinophilic and allergic subgroups for dupilumab which were stratified to align with the PBS restrictions. This method also yielded substantial imbalances in baseline disease characteristics due to the broad eligibility criteria in the dupilumab studies, and were consequently not appropriately matched to generate a reliable comparison of data.</w:t>
      </w:r>
    </w:p>
    <w:p w14:paraId="602B5F5A" w14:textId="77777777" w:rsidR="005D76D5" w:rsidRPr="00193BC1" w:rsidRDefault="004F59B9" w:rsidP="005863D4">
      <w:pPr>
        <w:pStyle w:val="ListParagraph"/>
        <w:numPr>
          <w:ilvl w:val="0"/>
          <w:numId w:val="22"/>
        </w:numPr>
        <w:ind w:left="1134"/>
        <w:jc w:val="both"/>
        <w:rPr>
          <w:shd w:val="clear" w:color="auto" w:fill="FFFFFF"/>
        </w:rPr>
      </w:pPr>
      <w:r w:rsidRPr="00193BC1">
        <w:rPr>
          <w:shd w:val="clear" w:color="auto" w:fill="FFFFFF"/>
        </w:rPr>
        <w:lastRenderedPageBreak/>
        <w:t>Step 3 presented ITCs using dupilumab populations that aligned with the comparator populations. For this approach, subgroup data from the dupilumab trials were matched with subgroup data from the comparator trials, and Bucher pairwise ITCs were performed to reduce observed heterogeneity.</w:t>
      </w:r>
      <w:r w:rsidR="00431344" w:rsidRPr="00193BC1">
        <w:rPr>
          <w:shd w:val="clear" w:color="auto" w:fill="FFFFFF"/>
        </w:rPr>
        <w:t xml:space="preserve"> The imbalances in prognostic characteristics were reduced from Steps 1 and 2 but the comparison in Step 3 still shows that background asthma severity was largely higher in the benralizumab and mepolizumab trials than in the dupilumab trials. The studies are therefore not transitive and the findings from the adjusted ITCs are therefore unlikely to accurately estimate the true effect of directly comparing dupilumab with its comparators – the gains from use of dupiluma</w:t>
      </w:r>
      <w:r w:rsidR="00D13684" w:rsidRPr="00193BC1">
        <w:rPr>
          <w:shd w:val="clear" w:color="auto" w:fill="FFFFFF"/>
        </w:rPr>
        <w:t>b will likely be over-estimated</w:t>
      </w:r>
      <w:r w:rsidR="00431344" w:rsidRPr="00193BC1">
        <w:rPr>
          <w:shd w:val="clear" w:color="auto" w:fill="FFFFFF"/>
        </w:rPr>
        <w:t xml:space="preserve">. </w:t>
      </w:r>
      <w:r w:rsidRPr="00193BC1">
        <w:rPr>
          <w:shd w:val="clear" w:color="auto" w:fill="FFFFFF"/>
        </w:rPr>
        <w:t xml:space="preserve">The nominated non-inferiority margin was </w:t>
      </w:r>
      <w:r w:rsidR="00DB40C5" w:rsidRPr="00193BC1">
        <w:rPr>
          <w:shd w:val="clear" w:color="auto" w:fill="FFFFFF"/>
        </w:rPr>
        <w:t>an</w:t>
      </w:r>
      <w:r w:rsidR="00EB36D5" w:rsidRPr="00193BC1">
        <w:rPr>
          <w:shd w:val="clear" w:color="auto" w:fill="FFFFFF"/>
        </w:rPr>
        <w:t xml:space="preserve"> annual exacerbation rate</w:t>
      </w:r>
      <w:r w:rsidR="00DB40C5" w:rsidRPr="00193BC1">
        <w:rPr>
          <w:shd w:val="clear" w:color="auto" w:fill="FFFFFF"/>
        </w:rPr>
        <w:t xml:space="preserve"> upper confidence interval of </w:t>
      </w:r>
      <w:r w:rsidRPr="00193BC1">
        <w:rPr>
          <w:shd w:val="clear" w:color="auto" w:fill="FFFFFF"/>
        </w:rPr>
        <w:t>1.28</w:t>
      </w:r>
      <w:r w:rsidR="00DB40C5" w:rsidRPr="00193BC1">
        <w:rPr>
          <w:shd w:val="clear" w:color="auto" w:fill="FFFFFF"/>
        </w:rPr>
        <w:t xml:space="preserve"> </w:t>
      </w:r>
      <w:r w:rsidR="00EA7FCF" w:rsidRPr="00193BC1">
        <w:rPr>
          <w:shd w:val="clear" w:color="auto" w:fill="FFFFFF"/>
        </w:rPr>
        <w:t>(</w:t>
      </w:r>
      <w:r w:rsidR="00996455" w:rsidRPr="00193BC1">
        <w:rPr>
          <w:shd w:val="clear" w:color="auto" w:fill="FFFFFF"/>
        </w:rPr>
        <w:t>rate ratio</w:t>
      </w:r>
      <w:r w:rsidR="00DB40C5" w:rsidRPr="00193BC1">
        <w:rPr>
          <w:shd w:val="clear" w:color="auto" w:fill="FFFFFF"/>
        </w:rPr>
        <w:t>)</w:t>
      </w:r>
      <w:r w:rsidRPr="00193BC1">
        <w:rPr>
          <w:shd w:val="clear" w:color="auto" w:fill="FFFFFF"/>
        </w:rPr>
        <w:t>, which was previously accepted by the PBAC (benralizumab public summary document (PSD), March 2018 PBAC meeting).</w:t>
      </w:r>
    </w:p>
    <w:p w14:paraId="7AF5D902" w14:textId="77777777" w:rsidR="005D76D5" w:rsidRPr="00193BC1" w:rsidRDefault="005D76D5" w:rsidP="001716E0">
      <w:pPr>
        <w:pStyle w:val="3-BodyText"/>
      </w:pPr>
      <w:r w:rsidRPr="00193BC1">
        <w:t xml:space="preserve">The key differences in trial and patient characteristics which might affect the transitivity assumption underpinning Step 3 ITCs are summarized in the table below. </w:t>
      </w:r>
    </w:p>
    <w:p w14:paraId="44930F59" w14:textId="77777777" w:rsidR="005D76D5" w:rsidRPr="00193BC1" w:rsidRDefault="005D76D5" w:rsidP="005D76D5">
      <w:pPr>
        <w:pStyle w:val="BodyText1"/>
        <w:spacing w:before="0" w:after="0" w:line="240" w:lineRule="auto"/>
        <w:rPr>
          <w:rFonts w:ascii="Calibri" w:hAnsi="Calibri" w:cs="Calibri"/>
          <w:sz w:val="24"/>
          <w:szCs w:val="24"/>
        </w:rPr>
      </w:pPr>
    </w:p>
    <w:p w14:paraId="58C09948" w14:textId="77777777" w:rsidR="005D76D5" w:rsidRPr="00193BC1" w:rsidRDefault="005D76D5" w:rsidP="00E9172C">
      <w:pPr>
        <w:pStyle w:val="TableFigureHeading"/>
      </w:pPr>
      <w:bookmarkStart w:id="16" w:name="_Ref50396551"/>
      <w:r w:rsidRPr="00193BC1">
        <w:lastRenderedPageBreak/>
        <w:t xml:space="preserve">Table </w:t>
      </w:r>
      <w:r w:rsidR="00797BC5" w:rsidRPr="00193BC1">
        <w:t>5</w:t>
      </w:r>
      <w:bookmarkEnd w:id="16"/>
      <w:r w:rsidRPr="00193BC1">
        <w:t xml:space="preserve">: </w:t>
      </w:r>
      <w:r w:rsidR="00254813" w:rsidRPr="00193BC1">
        <w:t>Key differences</w:t>
      </w:r>
      <w:r w:rsidRPr="00193BC1">
        <w:t xml:space="preserve"> that might influence the transitivity of the indirect comparisons</w:t>
      </w:r>
    </w:p>
    <w:tbl>
      <w:tblPr>
        <w:tblStyle w:val="TableGrid"/>
        <w:tblW w:w="5000" w:type="pct"/>
        <w:tblLook w:val="04A0" w:firstRow="1" w:lastRow="0" w:firstColumn="1" w:lastColumn="0" w:noHBand="0" w:noVBand="1"/>
        <w:tblCaption w:val="Table 5: Key differences that might influence the transitivity of the indirect comparisons"/>
        <w:tblDescription w:val="Table 5: Key differences that might influence the transitivity of the indirect comparisons"/>
      </w:tblPr>
      <w:tblGrid>
        <w:gridCol w:w="2633"/>
        <w:gridCol w:w="3457"/>
        <w:gridCol w:w="2927"/>
      </w:tblGrid>
      <w:tr w:rsidR="006F2ADF" w:rsidRPr="00B57220" w14:paraId="47D40CDC" w14:textId="77777777" w:rsidTr="00B57220">
        <w:trPr>
          <w:cantSplit/>
          <w:trHeight w:val="244"/>
          <w:tblHeader/>
        </w:trPr>
        <w:tc>
          <w:tcPr>
            <w:tcW w:w="1460" w:type="pct"/>
            <w:tcBorders>
              <w:bottom w:val="single" w:sz="4" w:space="0" w:color="auto"/>
            </w:tcBorders>
            <w:shd w:val="clear" w:color="auto" w:fill="auto"/>
            <w:tcMar>
              <w:left w:w="28" w:type="dxa"/>
              <w:right w:w="28" w:type="dxa"/>
            </w:tcMar>
          </w:tcPr>
          <w:p w14:paraId="6FC531BA" w14:textId="77777777" w:rsidR="00D15B5D" w:rsidRPr="00B57220" w:rsidRDefault="00D15B5D" w:rsidP="00E9172C">
            <w:pPr>
              <w:pStyle w:val="In-tableHeading"/>
              <w:rPr>
                <w:szCs w:val="20"/>
                <w:lang w:val="en-AU"/>
              </w:rPr>
            </w:pPr>
          </w:p>
        </w:tc>
        <w:tc>
          <w:tcPr>
            <w:tcW w:w="1917" w:type="pct"/>
            <w:tcBorders>
              <w:bottom w:val="single" w:sz="4" w:space="0" w:color="auto"/>
            </w:tcBorders>
            <w:shd w:val="clear" w:color="auto" w:fill="auto"/>
            <w:tcMar>
              <w:left w:w="28" w:type="dxa"/>
              <w:right w:w="28" w:type="dxa"/>
            </w:tcMar>
            <w:vAlign w:val="center"/>
          </w:tcPr>
          <w:p w14:paraId="7B118CDA" w14:textId="77777777" w:rsidR="00D15B5D" w:rsidRPr="00B57220" w:rsidRDefault="00D15B5D" w:rsidP="00E9172C">
            <w:pPr>
              <w:pStyle w:val="In-tableHeading"/>
              <w:rPr>
                <w:szCs w:val="20"/>
                <w:lang w:val="en-AU"/>
              </w:rPr>
            </w:pPr>
            <w:r w:rsidRPr="00B57220">
              <w:rPr>
                <w:szCs w:val="20"/>
                <w:lang w:val="en-AU"/>
              </w:rPr>
              <w:t xml:space="preserve">Dupilumab </w:t>
            </w:r>
          </w:p>
        </w:tc>
        <w:tc>
          <w:tcPr>
            <w:tcW w:w="1623" w:type="pct"/>
            <w:tcBorders>
              <w:bottom w:val="single" w:sz="4" w:space="0" w:color="auto"/>
            </w:tcBorders>
            <w:shd w:val="clear" w:color="auto" w:fill="auto"/>
            <w:tcMar>
              <w:left w:w="28" w:type="dxa"/>
              <w:right w:w="28" w:type="dxa"/>
            </w:tcMar>
            <w:vAlign w:val="center"/>
          </w:tcPr>
          <w:p w14:paraId="6B5570C4" w14:textId="77777777" w:rsidR="00D15B5D" w:rsidRPr="00B57220" w:rsidRDefault="00D15B5D" w:rsidP="00E9172C">
            <w:pPr>
              <w:pStyle w:val="In-tableHeading"/>
              <w:rPr>
                <w:szCs w:val="20"/>
                <w:lang w:val="en-AU"/>
              </w:rPr>
            </w:pPr>
            <w:r w:rsidRPr="00B57220">
              <w:rPr>
                <w:szCs w:val="20"/>
                <w:lang w:val="en-AU"/>
              </w:rPr>
              <w:t>Comparator</w:t>
            </w:r>
          </w:p>
        </w:tc>
      </w:tr>
      <w:tr w:rsidR="006F2ADF" w:rsidRPr="00B57220" w14:paraId="2BF53D1F" w14:textId="77777777" w:rsidTr="00B57220">
        <w:trPr>
          <w:cantSplit/>
          <w:trHeight w:val="244"/>
        </w:trPr>
        <w:tc>
          <w:tcPr>
            <w:tcW w:w="5000" w:type="pct"/>
            <w:gridSpan w:val="3"/>
            <w:shd w:val="clear" w:color="auto" w:fill="auto"/>
            <w:tcMar>
              <w:left w:w="28" w:type="dxa"/>
              <w:right w:w="28" w:type="dxa"/>
            </w:tcMar>
          </w:tcPr>
          <w:p w14:paraId="2CFE1EED" w14:textId="77777777" w:rsidR="00D15B5D" w:rsidRPr="00B57220" w:rsidRDefault="00D15B5D" w:rsidP="00E9172C">
            <w:pPr>
              <w:pStyle w:val="TableText0"/>
              <w:rPr>
                <w:b/>
                <w:szCs w:val="20"/>
                <w:highlight w:val="yellow"/>
              </w:rPr>
            </w:pPr>
            <w:r w:rsidRPr="00B57220">
              <w:rPr>
                <w:b/>
                <w:szCs w:val="20"/>
              </w:rPr>
              <w:t>ITC # 1: dupilumab vs. benralizumab in eosinophilic asthma without OCS dependence</w:t>
            </w:r>
          </w:p>
        </w:tc>
      </w:tr>
      <w:tr w:rsidR="006F2ADF" w:rsidRPr="00B57220" w14:paraId="6AA3257C" w14:textId="77777777" w:rsidTr="00B57220">
        <w:trPr>
          <w:cantSplit/>
          <w:trHeight w:val="244"/>
        </w:trPr>
        <w:tc>
          <w:tcPr>
            <w:tcW w:w="1460" w:type="pct"/>
            <w:shd w:val="clear" w:color="auto" w:fill="auto"/>
            <w:tcMar>
              <w:left w:w="28" w:type="dxa"/>
              <w:right w:w="28" w:type="dxa"/>
            </w:tcMar>
          </w:tcPr>
          <w:p w14:paraId="7A368BA0" w14:textId="77777777" w:rsidR="00D15B5D" w:rsidRPr="00B57220" w:rsidRDefault="00D15B5D" w:rsidP="00E9172C">
            <w:pPr>
              <w:pStyle w:val="TableText0"/>
              <w:rPr>
                <w:szCs w:val="20"/>
              </w:rPr>
            </w:pPr>
            <w:r w:rsidRPr="00B57220">
              <w:rPr>
                <w:szCs w:val="20"/>
              </w:rPr>
              <w:t>Trials or relevant subgroups</w:t>
            </w:r>
          </w:p>
        </w:tc>
        <w:tc>
          <w:tcPr>
            <w:tcW w:w="1917" w:type="pct"/>
            <w:shd w:val="clear" w:color="auto" w:fill="auto"/>
            <w:tcMar>
              <w:left w:w="28" w:type="dxa"/>
              <w:right w:w="28" w:type="dxa"/>
            </w:tcMar>
          </w:tcPr>
          <w:p w14:paraId="19977043" w14:textId="77777777" w:rsidR="00D15B5D" w:rsidRPr="00B57220" w:rsidRDefault="00D15B5D" w:rsidP="00E9172C">
            <w:pPr>
              <w:pStyle w:val="TableText0"/>
              <w:rPr>
                <w:szCs w:val="20"/>
              </w:rPr>
            </w:pPr>
            <w:r w:rsidRPr="00B57220">
              <w:rPr>
                <w:szCs w:val="20"/>
              </w:rPr>
              <w:t xml:space="preserve">QUEST (n=217) </w:t>
            </w:r>
            <w:r w:rsidRPr="00B57220">
              <w:rPr>
                <w:szCs w:val="20"/>
              </w:rPr>
              <w:br/>
              <w:t>DRI (n=74)</w:t>
            </w:r>
          </w:p>
        </w:tc>
        <w:tc>
          <w:tcPr>
            <w:tcW w:w="1623" w:type="pct"/>
            <w:shd w:val="clear" w:color="auto" w:fill="auto"/>
            <w:tcMar>
              <w:left w:w="28" w:type="dxa"/>
              <w:right w:w="28" w:type="dxa"/>
            </w:tcMar>
          </w:tcPr>
          <w:p w14:paraId="61BA8CFC" w14:textId="77777777" w:rsidR="00D15B5D" w:rsidRPr="00B57220" w:rsidRDefault="00D15B5D" w:rsidP="00E9172C">
            <w:pPr>
              <w:pStyle w:val="TableText0"/>
              <w:rPr>
                <w:szCs w:val="20"/>
              </w:rPr>
            </w:pPr>
            <w:r w:rsidRPr="00B57220">
              <w:rPr>
                <w:szCs w:val="20"/>
              </w:rPr>
              <w:t>SIROCCO (n=534)</w:t>
            </w:r>
          </w:p>
          <w:p w14:paraId="4CBF86CC" w14:textId="77777777" w:rsidR="00D15B5D" w:rsidRPr="00B57220" w:rsidRDefault="00D15B5D" w:rsidP="00E9172C">
            <w:pPr>
              <w:pStyle w:val="TableText0"/>
              <w:rPr>
                <w:szCs w:val="20"/>
              </w:rPr>
            </w:pPr>
            <w:r w:rsidRPr="00B57220">
              <w:rPr>
                <w:szCs w:val="20"/>
              </w:rPr>
              <w:t>CALIMA (n=583)</w:t>
            </w:r>
          </w:p>
        </w:tc>
      </w:tr>
      <w:tr w:rsidR="006F2ADF" w:rsidRPr="00B57220" w14:paraId="211D6C8C" w14:textId="77777777" w:rsidTr="00B57220">
        <w:trPr>
          <w:cantSplit/>
          <w:trHeight w:val="244"/>
        </w:trPr>
        <w:tc>
          <w:tcPr>
            <w:tcW w:w="1460" w:type="pct"/>
            <w:shd w:val="clear" w:color="auto" w:fill="auto"/>
            <w:tcMar>
              <w:left w:w="28" w:type="dxa"/>
              <w:right w:w="28" w:type="dxa"/>
            </w:tcMar>
          </w:tcPr>
          <w:p w14:paraId="0FE1FD09" w14:textId="77777777" w:rsidR="00D15B5D" w:rsidRPr="00B57220" w:rsidRDefault="00D15B5D" w:rsidP="00E9172C">
            <w:pPr>
              <w:pStyle w:val="TableText0"/>
              <w:rPr>
                <w:szCs w:val="20"/>
              </w:rPr>
            </w:pPr>
            <w:r w:rsidRPr="00B57220">
              <w:rPr>
                <w:szCs w:val="20"/>
              </w:rPr>
              <w:t>Mean ICS dose at baseline</w:t>
            </w:r>
          </w:p>
        </w:tc>
        <w:tc>
          <w:tcPr>
            <w:tcW w:w="1917" w:type="pct"/>
            <w:shd w:val="clear" w:color="auto" w:fill="auto"/>
            <w:tcMar>
              <w:left w:w="28" w:type="dxa"/>
              <w:right w:w="28" w:type="dxa"/>
            </w:tcMar>
          </w:tcPr>
          <w:p w14:paraId="6BB506D4" w14:textId="77777777" w:rsidR="00D15B5D" w:rsidRPr="00B57220" w:rsidRDefault="00D15B5D" w:rsidP="00E9172C">
            <w:pPr>
              <w:pStyle w:val="TableText0"/>
              <w:rPr>
                <w:szCs w:val="20"/>
                <w:vertAlign w:val="superscript"/>
              </w:rPr>
            </w:pPr>
            <w:r w:rsidRPr="00B57220">
              <w:rPr>
                <w:szCs w:val="20"/>
              </w:rPr>
              <w:t>QUEST: 788 vs 803 µg/day</w:t>
            </w:r>
            <w:r w:rsidRPr="00B57220">
              <w:rPr>
                <w:szCs w:val="20"/>
                <w:vertAlign w:val="superscript"/>
              </w:rPr>
              <w:t>a</w:t>
            </w:r>
          </w:p>
          <w:p w14:paraId="1AD3D493" w14:textId="77777777" w:rsidR="00D15B5D" w:rsidRPr="00B57220" w:rsidRDefault="00D15B5D" w:rsidP="00E9172C">
            <w:pPr>
              <w:pStyle w:val="TableText0"/>
              <w:rPr>
                <w:szCs w:val="20"/>
              </w:rPr>
            </w:pPr>
            <w:r w:rsidRPr="00B57220">
              <w:rPr>
                <w:szCs w:val="20"/>
              </w:rPr>
              <w:t>DRI: NR</w:t>
            </w:r>
            <w:r w:rsidRPr="00B57220">
              <w:rPr>
                <w:szCs w:val="20"/>
                <w:vertAlign w:val="superscript"/>
              </w:rPr>
              <w:t>c</w:t>
            </w:r>
          </w:p>
        </w:tc>
        <w:tc>
          <w:tcPr>
            <w:tcW w:w="1623" w:type="pct"/>
            <w:shd w:val="clear" w:color="auto" w:fill="auto"/>
            <w:tcMar>
              <w:left w:w="28" w:type="dxa"/>
              <w:right w:w="28" w:type="dxa"/>
            </w:tcMar>
          </w:tcPr>
          <w:p w14:paraId="4B8ED20F" w14:textId="77777777" w:rsidR="00D15B5D" w:rsidRPr="00B57220" w:rsidRDefault="00D15B5D" w:rsidP="00E9172C">
            <w:pPr>
              <w:pStyle w:val="TableText0"/>
              <w:rPr>
                <w:szCs w:val="20"/>
              </w:rPr>
            </w:pPr>
            <w:r w:rsidRPr="00B57220">
              <w:rPr>
                <w:szCs w:val="20"/>
              </w:rPr>
              <w:t>SIROCCO: 908 µg/day</w:t>
            </w:r>
          </w:p>
          <w:p w14:paraId="411D6E4E" w14:textId="77777777" w:rsidR="00D15B5D" w:rsidRPr="00B57220" w:rsidRDefault="00D15B5D" w:rsidP="00E9172C">
            <w:pPr>
              <w:pStyle w:val="TableText0"/>
              <w:rPr>
                <w:szCs w:val="20"/>
                <w:vertAlign w:val="superscript"/>
              </w:rPr>
            </w:pPr>
            <w:r w:rsidRPr="00B57220">
              <w:rPr>
                <w:szCs w:val="20"/>
              </w:rPr>
              <w:t>CALIMA: 966</w:t>
            </w:r>
            <w:r w:rsidRPr="00B57220">
              <w:rPr>
                <w:szCs w:val="20"/>
                <w:vertAlign w:val="superscript"/>
              </w:rPr>
              <w:t xml:space="preserve"> </w:t>
            </w:r>
            <w:r w:rsidRPr="00B57220">
              <w:rPr>
                <w:szCs w:val="20"/>
              </w:rPr>
              <w:t>µg/day</w:t>
            </w:r>
            <w:r w:rsidRPr="00B57220">
              <w:rPr>
                <w:szCs w:val="20"/>
                <w:vertAlign w:val="superscript"/>
              </w:rPr>
              <w:t>b</w:t>
            </w:r>
          </w:p>
        </w:tc>
      </w:tr>
      <w:tr w:rsidR="006F2ADF" w:rsidRPr="00B57220" w14:paraId="4412BD72" w14:textId="77777777" w:rsidTr="00B57220">
        <w:trPr>
          <w:cantSplit/>
          <w:trHeight w:val="244"/>
        </w:trPr>
        <w:tc>
          <w:tcPr>
            <w:tcW w:w="1460" w:type="pct"/>
            <w:shd w:val="clear" w:color="auto" w:fill="auto"/>
            <w:tcMar>
              <w:left w:w="28" w:type="dxa"/>
              <w:right w:w="28" w:type="dxa"/>
            </w:tcMar>
          </w:tcPr>
          <w:p w14:paraId="00D9F1E8" w14:textId="77777777" w:rsidR="00D15B5D" w:rsidRPr="00B57220" w:rsidRDefault="00D15B5D" w:rsidP="00E9172C">
            <w:pPr>
              <w:pStyle w:val="TableText0"/>
              <w:rPr>
                <w:szCs w:val="20"/>
              </w:rPr>
            </w:pPr>
            <w:r w:rsidRPr="00B57220">
              <w:rPr>
                <w:szCs w:val="20"/>
              </w:rPr>
              <w:t xml:space="preserve">Mean number of exacerbations in the previous year </w:t>
            </w:r>
          </w:p>
        </w:tc>
        <w:tc>
          <w:tcPr>
            <w:tcW w:w="1917" w:type="pct"/>
            <w:shd w:val="clear" w:color="auto" w:fill="auto"/>
            <w:tcMar>
              <w:left w:w="28" w:type="dxa"/>
              <w:right w:w="28" w:type="dxa"/>
            </w:tcMar>
          </w:tcPr>
          <w:p w14:paraId="442209DA" w14:textId="77777777" w:rsidR="00D15B5D" w:rsidRPr="00B57220" w:rsidRDefault="00D15B5D" w:rsidP="00E9172C">
            <w:pPr>
              <w:pStyle w:val="TableText0"/>
              <w:rPr>
                <w:szCs w:val="20"/>
                <w:vertAlign w:val="superscript"/>
              </w:rPr>
            </w:pPr>
            <w:r w:rsidRPr="00B57220">
              <w:rPr>
                <w:szCs w:val="20"/>
              </w:rPr>
              <w:t>QUEST: 3.2 vs. 3.3</w:t>
            </w:r>
            <w:r w:rsidRPr="00B57220">
              <w:rPr>
                <w:szCs w:val="20"/>
                <w:vertAlign w:val="superscript"/>
              </w:rPr>
              <w:t>a</w:t>
            </w:r>
          </w:p>
          <w:p w14:paraId="68E0CF5A" w14:textId="77777777" w:rsidR="00D15B5D" w:rsidRPr="00B57220" w:rsidRDefault="00D15B5D" w:rsidP="00E9172C">
            <w:pPr>
              <w:pStyle w:val="TableText0"/>
              <w:rPr>
                <w:szCs w:val="20"/>
                <w:vertAlign w:val="superscript"/>
              </w:rPr>
            </w:pPr>
            <w:r w:rsidRPr="00B57220">
              <w:rPr>
                <w:szCs w:val="20"/>
              </w:rPr>
              <w:t>DRI: 3.2 vs. 3.8</w:t>
            </w:r>
            <w:r w:rsidRPr="00B57220">
              <w:rPr>
                <w:szCs w:val="20"/>
                <w:vertAlign w:val="superscript"/>
              </w:rPr>
              <w:t>a</w:t>
            </w:r>
          </w:p>
        </w:tc>
        <w:tc>
          <w:tcPr>
            <w:tcW w:w="1623" w:type="pct"/>
            <w:shd w:val="clear" w:color="auto" w:fill="auto"/>
            <w:tcMar>
              <w:left w:w="28" w:type="dxa"/>
              <w:right w:w="28" w:type="dxa"/>
            </w:tcMar>
          </w:tcPr>
          <w:p w14:paraId="137FAF3A" w14:textId="77777777" w:rsidR="00D15B5D" w:rsidRPr="00B57220" w:rsidRDefault="00D15B5D" w:rsidP="00E9172C">
            <w:pPr>
              <w:pStyle w:val="TableText0"/>
              <w:rPr>
                <w:szCs w:val="20"/>
              </w:rPr>
            </w:pPr>
            <w:r w:rsidRPr="00B57220">
              <w:rPr>
                <w:szCs w:val="20"/>
              </w:rPr>
              <w:t>SIROCCO: 3.0</w:t>
            </w:r>
          </w:p>
          <w:p w14:paraId="2471FD64" w14:textId="77777777" w:rsidR="00D15B5D" w:rsidRPr="00B57220" w:rsidRDefault="00D15B5D" w:rsidP="00E9172C">
            <w:pPr>
              <w:pStyle w:val="TableText0"/>
              <w:rPr>
                <w:szCs w:val="20"/>
                <w:vertAlign w:val="subscript"/>
              </w:rPr>
            </w:pPr>
            <w:r w:rsidRPr="00B57220">
              <w:rPr>
                <w:szCs w:val="20"/>
              </w:rPr>
              <w:t>CALIMA: 2.8</w:t>
            </w:r>
            <w:r w:rsidRPr="00B57220">
              <w:rPr>
                <w:szCs w:val="20"/>
                <w:vertAlign w:val="superscript"/>
              </w:rPr>
              <w:t>b</w:t>
            </w:r>
          </w:p>
        </w:tc>
      </w:tr>
      <w:tr w:rsidR="006F2ADF" w:rsidRPr="00B57220" w14:paraId="13745FE5" w14:textId="77777777" w:rsidTr="00B57220">
        <w:trPr>
          <w:cantSplit/>
          <w:trHeight w:val="244"/>
        </w:trPr>
        <w:tc>
          <w:tcPr>
            <w:tcW w:w="1460" w:type="pct"/>
            <w:tcBorders>
              <w:bottom w:val="single" w:sz="4" w:space="0" w:color="auto"/>
            </w:tcBorders>
            <w:shd w:val="clear" w:color="auto" w:fill="auto"/>
            <w:tcMar>
              <w:left w:w="28" w:type="dxa"/>
              <w:right w:w="28" w:type="dxa"/>
            </w:tcMar>
          </w:tcPr>
          <w:p w14:paraId="1DFA8945" w14:textId="77777777" w:rsidR="00D15B5D" w:rsidRPr="00B57220" w:rsidRDefault="00D15B5D" w:rsidP="00E9172C">
            <w:pPr>
              <w:pStyle w:val="TableText0"/>
              <w:rPr>
                <w:szCs w:val="20"/>
              </w:rPr>
            </w:pPr>
            <w:r w:rsidRPr="00B57220">
              <w:rPr>
                <w:szCs w:val="20"/>
              </w:rPr>
              <w:t>Concomitant treatment</w:t>
            </w:r>
          </w:p>
        </w:tc>
        <w:tc>
          <w:tcPr>
            <w:tcW w:w="1917" w:type="pct"/>
            <w:tcBorders>
              <w:bottom w:val="single" w:sz="4" w:space="0" w:color="auto"/>
            </w:tcBorders>
            <w:shd w:val="clear" w:color="auto" w:fill="auto"/>
            <w:tcMar>
              <w:left w:w="28" w:type="dxa"/>
              <w:right w:w="28" w:type="dxa"/>
            </w:tcMar>
          </w:tcPr>
          <w:p w14:paraId="2F70E127" w14:textId="77777777" w:rsidR="00D15B5D" w:rsidRPr="00B57220" w:rsidRDefault="00D15B5D" w:rsidP="00E9172C">
            <w:pPr>
              <w:pStyle w:val="TableText0"/>
              <w:rPr>
                <w:szCs w:val="20"/>
              </w:rPr>
            </w:pPr>
            <w:r w:rsidRPr="00B57220">
              <w:rPr>
                <w:szCs w:val="20"/>
              </w:rPr>
              <w:t xml:space="preserve">QUEST/DRI: transient increase in dose of ICS allowed in addition to reliever/rescue medication to treat acute symptoms of asthma </w:t>
            </w:r>
          </w:p>
        </w:tc>
        <w:tc>
          <w:tcPr>
            <w:tcW w:w="1623" w:type="pct"/>
            <w:tcBorders>
              <w:bottom w:val="single" w:sz="4" w:space="0" w:color="auto"/>
            </w:tcBorders>
            <w:shd w:val="clear" w:color="auto" w:fill="auto"/>
            <w:tcMar>
              <w:left w:w="28" w:type="dxa"/>
              <w:right w:w="28" w:type="dxa"/>
            </w:tcMar>
          </w:tcPr>
          <w:p w14:paraId="187A5AC7" w14:textId="77777777" w:rsidR="00D15B5D" w:rsidRPr="00B57220" w:rsidRDefault="00D15B5D" w:rsidP="00E9172C">
            <w:pPr>
              <w:pStyle w:val="TableText0"/>
              <w:rPr>
                <w:szCs w:val="20"/>
              </w:rPr>
            </w:pPr>
            <w:r w:rsidRPr="00B57220">
              <w:rPr>
                <w:szCs w:val="20"/>
              </w:rPr>
              <w:t xml:space="preserve">On maintenance OCS: </w:t>
            </w:r>
          </w:p>
          <w:p w14:paraId="28F95451" w14:textId="77777777" w:rsidR="00D15B5D" w:rsidRPr="00B57220" w:rsidRDefault="00D15B5D" w:rsidP="00E9172C">
            <w:pPr>
              <w:pStyle w:val="TableText0"/>
              <w:rPr>
                <w:szCs w:val="20"/>
              </w:rPr>
            </w:pPr>
            <w:r w:rsidRPr="00B57220">
              <w:rPr>
                <w:szCs w:val="20"/>
              </w:rPr>
              <w:t>SIRROCCO: 17% of the ITT</w:t>
            </w:r>
          </w:p>
          <w:p w14:paraId="002480F8" w14:textId="77777777" w:rsidR="00D15B5D" w:rsidRPr="00B57220" w:rsidRDefault="00D15B5D" w:rsidP="00E9172C">
            <w:pPr>
              <w:pStyle w:val="TableText0"/>
              <w:rPr>
                <w:szCs w:val="20"/>
              </w:rPr>
            </w:pPr>
            <w:r w:rsidRPr="00B57220">
              <w:rPr>
                <w:szCs w:val="20"/>
              </w:rPr>
              <w:t>CALIMA: 11% of the ITT</w:t>
            </w:r>
          </w:p>
        </w:tc>
      </w:tr>
      <w:tr w:rsidR="006F2ADF" w:rsidRPr="00B57220" w14:paraId="09BBAF7D" w14:textId="77777777" w:rsidTr="00B57220">
        <w:trPr>
          <w:cantSplit/>
          <w:trHeight w:val="244"/>
        </w:trPr>
        <w:tc>
          <w:tcPr>
            <w:tcW w:w="5000" w:type="pct"/>
            <w:gridSpan w:val="3"/>
            <w:shd w:val="clear" w:color="auto" w:fill="auto"/>
            <w:tcMar>
              <w:left w:w="28" w:type="dxa"/>
              <w:right w:w="28" w:type="dxa"/>
            </w:tcMar>
          </w:tcPr>
          <w:p w14:paraId="728F97B3" w14:textId="77777777" w:rsidR="00D15B5D" w:rsidRPr="00B57220" w:rsidRDefault="00D15B5D" w:rsidP="00E9172C">
            <w:pPr>
              <w:pStyle w:val="TableText0"/>
              <w:rPr>
                <w:b/>
                <w:szCs w:val="20"/>
              </w:rPr>
            </w:pPr>
            <w:r w:rsidRPr="00B57220">
              <w:rPr>
                <w:b/>
                <w:szCs w:val="20"/>
              </w:rPr>
              <w:t>ITC # 2: dupilumab vs. mepolizumab in eosinophilic asthma without OCS dependence</w:t>
            </w:r>
          </w:p>
        </w:tc>
      </w:tr>
      <w:tr w:rsidR="006F2ADF" w:rsidRPr="00B57220" w14:paraId="3DF654D5" w14:textId="77777777" w:rsidTr="00B57220">
        <w:trPr>
          <w:cantSplit/>
          <w:trHeight w:val="244"/>
        </w:trPr>
        <w:tc>
          <w:tcPr>
            <w:tcW w:w="1460" w:type="pct"/>
            <w:shd w:val="clear" w:color="auto" w:fill="auto"/>
            <w:tcMar>
              <w:left w:w="28" w:type="dxa"/>
              <w:right w:w="28" w:type="dxa"/>
            </w:tcMar>
          </w:tcPr>
          <w:p w14:paraId="00480509" w14:textId="77777777" w:rsidR="00D15B5D" w:rsidRPr="00B57220" w:rsidRDefault="00D15B5D" w:rsidP="00E9172C">
            <w:pPr>
              <w:pStyle w:val="TableText0"/>
              <w:rPr>
                <w:szCs w:val="20"/>
              </w:rPr>
            </w:pPr>
            <w:r w:rsidRPr="00B57220">
              <w:rPr>
                <w:szCs w:val="20"/>
              </w:rPr>
              <w:t>Trials or relevant subgroups</w:t>
            </w:r>
          </w:p>
        </w:tc>
        <w:tc>
          <w:tcPr>
            <w:tcW w:w="1917" w:type="pct"/>
            <w:shd w:val="clear" w:color="auto" w:fill="auto"/>
            <w:tcMar>
              <w:left w:w="28" w:type="dxa"/>
              <w:right w:w="28" w:type="dxa"/>
            </w:tcMar>
          </w:tcPr>
          <w:p w14:paraId="65F5EDB4" w14:textId="77777777" w:rsidR="00D15B5D" w:rsidRPr="00B57220" w:rsidRDefault="00D15B5D" w:rsidP="00E9172C">
            <w:pPr>
              <w:pStyle w:val="TableText0"/>
              <w:rPr>
                <w:szCs w:val="20"/>
              </w:rPr>
            </w:pPr>
            <w:r w:rsidRPr="00B57220">
              <w:rPr>
                <w:szCs w:val="20"/>
              </w:rPr>
              <w:t xml:space="preserve">QUEST (n=199) </w:t>
            </w:r>
          </w:p>
          <w:p w14:paraId="26ACFE84" w14:textId="77777777" w:rsidR="00D15B5D" w:rsidRPr="00B57220" w:rsidRDefault="00D15B5D" w:rsidP="00E9172C">
            <w:pPr>
              <w:pStyle w:val="TableText0"/>
              <w:rPr>
                <w:szCs w:val="20"/>
              </w:rPr>
            </w:pPr>
            <w:r w:rsidRPr="00B57220">
              <w:rPr>
                <w:szCs w:val="20"/>
              </w:rPr>
              <w:t>DRI12544 (n=70)</w:t>
            </w:r>
          </w:p>
        </w:tc>
        <w:tc>
          <w:tcPr>
            <w:tcW w:w="1623" w:type="pct"/>
            <w:shd w:val="clear" w:color="auto" w:fill="auto"/>
            <w:tcMar>
              <w:left w:w="28" w:type="dxa"/>
              <w:right w:w="28" w:type="dxa"/>
            </w:tcMar>
          </w:tcPr>
          <w:p w14:paraId="55ACD3EF" w14:textId="77777777" w:rsidR="00D15B5D" w:rsidRPr="00B57220" w:rsidRDefault="00D15B5D" w:rsidP="00E9172C">
            <w:pPr>
              <w:pStyle w:val="TableText0"/>
              <w:rPr>
                <w:szCs w:val="20"/>
              </w:rPr>
            </w:pPr>
            <w:r w:rsidRPr="00B57220">
              <w:rPr>
                <w:szCs w:val="20"/>
              </w:rPr>
              <w:t>MENSA (n=576)</w:t>
            </w:r>
          </w:p>
          <w:p w14:paraId="624B6AB0" w14:textId="77777777" w:rsidR="00D15B5D" w:rsidRPr="00B57220" w:rsidRDefault="00D15B5D" w:rsidP="00E9172C">
            <w:pPr>
              <w:pStyle w:val="TableText0"/>
              <w:rPr>
                <w:szCs w:val="20"/>
              </w:rPr>
            </w:pPr>
            <w:r w:rsidRPr="00B57220">
              <w:rPr>
                <w:szCs w:val="20"/>
              </w:rPr>
              <w:t>MUSCA (n=551)</w:t>
            </w:r>
          </w:p>
          <w:p w14:paraId="0248CD3D" w14:textId="77777777" w:rsidR="00D15B5D" w:rsidRPr="00B57220" w:rsidRDefault="00D15B5D" w:rsidP="00E9172C">
            <w:pPr>
              <w:pStyle w:val="TableText0"/>
              <w:rPr>
                <w:szCs w:val="20"/>
              </w:rPr>
            </w:pPr>
            <w:r w:rsidRPr="00B57220">
              <w:rPr>
                <w:szCs w:val="20"/>
              </w:rPr>
              <w:t>DREAM (n=308)</w:t>
            </w:r>
          </w:p>
        </w:tc>
      </w:tr>
      <w:tr w:rsidR="006F2ADF" w:rsidRPr="00B57220" w14:paraId="1C9727C0" w14:textId="77777777" w:rsidTr="00B57220">
        <w:trPr>
          <w:cantSplit/>
          <w:trHeight w:val="244"/>
        </w:trPr>
        <w:tc>
          <w:tcPr>
            <w:tcW w:w="1460" w:type="pct"/>
            <w:tcMar>
              <w:left w:w="28" w:type="dxa"/>
              <w:right w:w="28" w:type="dxa"/>
            </w:tcMar>
          </w:tcPr>
          <w:p w14:paraId="2E2147A6" w14:textId="77777777" w:rsidR="00D15B5D" w:rsidRPr="00B57220" w:rsidRDefault="00D15B5D" w:rsidP="00E9172C">
            <w:pPr>
              <w:pStyle w:val="TableText0"/>
              <w:rPr>
                <w:szCs w:val="20"/>
              </w:rPr>
            </w:pPr>
            <w:r w:rsidRPr="00B57220">
              <w:rPr>
                <w:szCs w:val="20"/>
              </w:rPr>
              <w:t>Geometric mean EOS level at baseline</w:t>
            </w:r>
          </w:p>
        </w:tc>
        <w:tc>
          <w:tcPr>
            <w:tcW w:w="1917" w:type="pct"/>
            <w:tcMar>
              <w:left w:w="28" w:type="dxa"/>
              <w:right w:w="28" w:type="dxa"/>
            </w:tcMar>
          </w:tcPr>
          <w:p w14:paraId="4DC674BC" w14:textId="77777777" w:rsidR="00D15B5D" w:rsidRPr="00B57220" w:rsidRDefault="00D15B5D" w:rsidP="00E9172C">
            <w:pPr>
              <w:pStyle w:val="TableText0"/>
              <w:rPr>
                <w:szCs w:val="20"/>
                <w:vertAlign w:val="superscript"/>
              </w:rPr>
            </w:pPr>
            <w:r w:rsidRPr="00B57220">
              <w:rPr>
                <w:szCs w:val="20"/>
              </w:rPr>
              <w:t>QUEST: 400 vs. 404 cells/µL</w:t>
            </w:r>
            <w:r w:rsidRPr="00B57220">
              <w:rPr>
                <w:szCs w:val="20"/>
                <w:vertAlign w:val="superscript"/>
              </w:rPr>
              <w:t>a</w:t>
            </w:r>
          </w:p>
          <w:p w14:paraId="51792A6F" w14:textId="77777777" w:rsidR="00D15B5D" w:rsidRPr="00B57220" w:rsidRDefault="00D15B5D" w:rsidP="00E9172C">
            <w:pPr>
              <w:pStyle w:val="TableText0"/>
              <w:rPr>
                <w:szCs w:val="20"/>
                <w:vertAlign w:val="superscript"/>
              </w:rPr>
            </w:pPr>
            <w:r w:rsidRPr="00B57220">
              <w:rPr>
                <w:szCs w:val="20"/>
              </w:rPr>
              <w:t>DRI: 408 vs. 357 cells/µL</w:t>
            </w:r>
            <w:r w:rsidRPr="00B57220">
              <w:rPr>
                <w:szCs w:val="20"/>
                <w:vertAlign w:val="superscript"/>
              </w:rPr>
              <w:t>a</w:t>
            </w:r>
          </w:p>
        </w:tc>
        <w:tc>
          <w:tcPr>
            <w:tcW w:w="1623" w:type="pct"/>
            <w:tcMar>
              <w:left w:w="28" w:type="dxa"/>
              <w:right w:w="28" w:type="dxa"/>
            </w:tcMar>
          </w:tcPr>
          <w:p w14:paraId="305DD1DF" w14:textId="77777777" w:rsidR="00D15B5D" w:rsidRPr="00B57220" w:rsidRDefault="00D15B5D" w:rsidP="00E9172C">
            <w:pPr>
              <w:pStyle w:val="TableText0"/>
              <w:rPr>
                <w:szCs w:val="20"/>
                <w:vertAlign w:val="superscript"/>
              </w:rPr>
            </w:pPr>
            <w:r w:rsidRPr="00B57220">
              <w:rPr>
                <w:szCs w:val="20"/>
              </w:rPr>
              <w:t>MENSA: 305 cells/µL</w:t>
            </w:r>
          </w:p>
          <w:p w14:paraId="1A4920EB" w14:textId="77777777" w:rsidR="00D15B5D" w:rsidRPr="00B57220" w:rsidRDefault="00D15B5D" w:rsidP="00E9172C">
            <w:pPr>
              <w:pStyle w:val="TableText0"/>
              <w:rPr>
                <w:szCs w:val="20"/>
                <w:vertAlign w:val="superscript"/>
              </w:rPr>
            </w:pPr>
            <w:r w:rsidRPr="00B57220">
              <w:rPr>
                <w:szCs w:val="20"/>
              </w:rPr>
              <w:t>MUSCA: 330 cells/µL</w:t>
            </w:r>
          </w:p>
          <w:p w14:paraId="0280A719" w14:textId="77777777" w:rsidR="00D15B5D" w:rsidRPr="00B57220" w:rsidRDefault="00D15B5D" w:rsidP="00E9172C">
            <w:pPr>
              <w:pStyle w:val="TableText0"/>
              <w:rPr>
                <w:szCs w:val="20"/>
              </w:rPr>
            </w:pPr>
            <w:r w:rsidRPr="00B57220">
              <w:rPr>
                <w:szCs w:val="20"/>
              </w:rPr>
              <w:t>DREAM: 265 cells/µL</w:t>
            </w:r>
          </w:p>
        </w:tc>
      </w:tr>
      <w:tr w:rsidR="006F2ADF" w:rsidRPr="00B57220" w14:paraId="63CC767F" w14:textId="77777777" w:rsidTr="00B57220">
        <w:trPr>
          <w:cantSplit/>
          <w:trHeight w:val="244"/>
        </w:trPr>
        <w:tc>
          <w:tcPr>
            <w:tcW w:w="1460" w:type="pct"/>
            <w:tcBorders>
              <w:bottom w:val="single" w:sz="4" w:space="0" w:color="auto"/>
            </w:tcBorders>
            <w:shd w:val="clear" w:color="auto" w:fill="auto"/>
            <w:tcMar>
              <w:left w:w="28" w:type="dxa"/>
              <w:right w:w="28" w:type="dxa"/>
            </w:tcMar>
          </w:tcPr>
          <w:p w14:paraId="6DDCB708" w14:textId="77777777" w:rsidR="00D15B5D" w:rsidRPr="00B57220" w:rsidRDefault="00D15B5D" w:rsidP="00E9172C">
            <w:pPr>
              <w:pStyle w:val="TableText0"/>
              <w:rPr>
                <w:szCs w:val="20"/>
              </w:rPr>
            </w:pPr>
            <w:r w:rsidRPr="00B57220">
              <w:rPr>
                <w:szCs w:val="20"/>
              </w:rPr>
              <w:t>Concomitant treatment</w:t>
            </w:r>
          </w:p>
        </w:tc>
        <w:tc>
          <w:tcPr>
            <w:tcW w:w="1917" w:type="pct"/>
            <w:tcBorders>
              <w:bottom w:val="single" w:sz="4" w:space="0" w:color="auto"/>
            </w:tcBorders>
            <w:shd w:val="clear" w:color="auto" w:fill="auto"/>
            <w:tcMar>
              <w:left w:w="28" w:type="dxa"/>
              <w:right w:w="28" w:type="dxa"/>
            </w:tcMar>
          </w:tcPr>
          <w:p w14:paraId="4766AD49" w14:textId="77777777" w:rsidR="00D15B5D" w:rsidRPr="00B57220" w:rsidRDefault="00D15B5D" w:rsidP="00E9172C">
            <w:pPr>
              <w:pStyle w:val="TableText0"/>
              <w:rPr>
                <w:szCs w:val="20"/>
              </w:rPr>
            </w:pPr>
            <w:r w:rsidRPr="00B57220">
              <w:rPr>
                <w:szCs w:val="20"/>
              </w:rPr>
              <w:t>QUEST and DRI: transient increase in dose of ICS allowed in addition to reliever/rescue medication to treat acute symptoms of asthma</w:t>
            </w:r>
          </w:p>
        </w:tc>
        <w:tc>
          <w:tcPr>
            <w:tcW w:w="1623" w:type="pct"/>
            <w:tcBorders>
              <w:bottom w:val="single" w:sz="4" w:space="0" w:color="auto"/>
            </w:tcBorders>
            <w:shd w:val="clear" w:color="auto" w:fill="auto"/>
            <w:tcMar>
              <w:left w:w="28" w:type="dxa"/>
              <w:right w:w="28" w:type="dxa"/>
            </w:tcMar>
          </w:tcPr>
          <w:p w14:paraId="49129B44" w14:textId="77777777" w:rsidR="00D15B5D" w:rsidRPr="00B57220" w:rsidRDefault="00D15B5D" w:rsidP="00685EEB">
            <w:pPr>
              <w:pStyle w:val="TableText0"/>
              <w:rPr>
                <w:szCs w:val="20"/>
              </w:rPr>
            </w:pPr>
            <w:r w:rsidRPr="00B57220">
              <w:rPr>
                <w:szCs w:val="20"/>
              </w:rPr>
              <w:t xml:space="preserve">Taking baseline OCS: </w:t>
            </w:r>
          </w:p>
          <w:p w14:paraId="69DB600F" w14:textId="77777777" w:rsidR="00D15B5D" w:rsidRPr="00B57220" w:rsidRDefault="00D15B5D" w:rsidP="00685EEB">
            <w:pPr>
              <w:pStyle w:val="TableText0"/>
              <w:rPr>
                <w:szCs w:val="20"/>
              </w:rPr>
            </w:pPr>
            <w:r w:rsidRPr="00B57220">
              <w:rPr>
                <w:szCs w:val="20"/>
              </w:rPr>
              <w:t>MENSA: ~25% of the ITT</w:t>
            </w:r>
          </w:p>
          <w:p w14:paraId="20010FEB" w14:textId="77777777" w:rsidR="00D15B5D" w:rsidRPr="00B57220" w:rsidRDefault="00D15B5D" w:rsidP="00685EEB">
            <w:pPr>
              <w:pStyle w:val="TableText0"/>
              <w:rPr>
                <w:i/>
                <w:szCs w:val="20"/>
              </w:rPr>
            </w:pPr>
            <w:r w:rsidRPr="00B57220">
              <w:rPr>
                <w:szCs w:val="20"/>
              </w:rPr>
              <w:t>MUSCA: ~10% of the ITT</w:t>
            </w:r>
          </w:p>
        </w:tc>
      </w:tr>
      <w:tr w:rsidR="006F2ADF" w:rsidRPr="00B57220" w14:paraId="0CF88749" w14:textId="77777777" w:rsidTr="00B57220">
        <w:trPr>
          <w:cantSplit/>
          <w:trHeight w:val="244"/>
        </w:trPr>
        <w:tc>
          <w:tcPr>
            <w:tcW w:w="5000" w:type="pct"/>
            <w:gridSpan w:val="3"/>
            <w:shd w:val="clear" w:color="auto" w:fill="auto"/>
            <w:tcMar>
              <w:left w:w="28" w:type="dxa"/>
              <w:right w:w="28" w:type="dxa"/>
            </w:tcMar>
          </w:tcPr>
          <w:p w14:paraId="35EAD4F5" w14:textId="77777777" w:rsidR="00D15B5D" w:rsidRPr="00B57220" w:rsidRDefault="00D15B5D" w:rsidP="00E9172C">
            <w:pPr>
              <w:pStyle w:val="TableText0"/>
              <w:rPr>
                <w:b/>
                <w:szCs w:val="20"/>
              </w:rPr>
            </w:pPr>
            <w:r w:rsidRPr="00B57220">
              <w:rPr>
                <w:b/>
                <w:szCs w:val="20"/>
              </w:rPr>
              <w:t>ITC # 3: dupilumab vs. omalizumab in allergic asthma without OCS dependence</w:t>
            </w:r>
          </w:p>
        </w:tc>
      </w:tr>
      <w:tr w:rsidR="006F2ADF" w:rsidRPr="00B57220" w14:paraId="57953562" w14:textId="77777777" w:rsidTr="00B57220">
        <w:trPr>
          <w:cantSplit/>
          <w:trHeight w:val="244"/>
        </w:trPr>
        <w:tc>
          <w:tcPr>
            <w:tcW w:w="1460" w:type="pct"/>
            <w:shd w:val="clear" w:color="auto" w:fill="auto"/>
            <w:tcMar>
              <w:left w:w="28" w:type="dxa"/>
              <w:right w:w="28" w:type="dxa"/>
            </w:tcMar>
          </w:tcPr>
          <w:p w14:paraId="356AAB8D" w14:textId="77777777" w:rsidR="00D15B5D" w:rsidRPr="00B57220" w:rsidRDefault="00D15B5D" w:rsidP="00E9172C">
            <w:pPr>
              <w:pStyle w:val="TableText0"/>
              <w:rPr>
                <w:szCs w:val="20"/>
              </w:rPr>
            </w:pPr>
            <w:r w:rsidRPr="00B57220">
              <w:rPr>
                <w:szCs w:val="20"/>
              </w:rPr>
              <w:t>Trials or relevant subgroups</w:t>
            </w:r>
          </w:p>
        </w:tc>
        <w:tc>
          <w:tcPr>
            <w:tcW w:w="1917" w:type="pct"/>
            <w:shd w:val="clear" w:color="auto" w:fill="auto"/>
            <w:tcMar>
              <w:left w:w="28" w:type="dxa"/>
              <w:right w:w="28" w:type="dxa"/>
            </w:tcMar>
          </w:tcPr>
          <w:p w14:paraId="58440442" w14:textId="77777777" w:rsidR="00D15B5D" w:rsidRPr="00B57220" w:rsidRDefault="00D15B5D" w:rsidP="00E9172C">
            <w:pPr>
              <w:pStyle w:val="TableText0"/>
              <w:rPr>
                <w:szCs w:val="20"/>
              </w:rPr>
            </w:pPr>
            <w:r w:rsidRPr="00B57220">
              <w:rPr>
                <w:szCs w:val="20"/>
              </w:rPr>
              <w:t>QUEST (n=383)</w:t>
            </w:r>
          </w:p>
          <w:p w14:paraId="44642F1E" w14:textId="77777777" w:rsidR="00D15B5D" w:rsidRPr="00B57220" w:rsidRDefault="00D15B5D" w:rsidP="00E9172C">
            <w:pPr>
              <w:pStyle w:val="TableText0"/>
              <w:rPr>
                <w:szCs w:val="20"/>
              </w:rPr>
            </w:pPr>
            <w:r w:rsidRPr="00B57220">
              <w:rPr>
                <w:szCs w:val="20"/>
              </w:rPr>
              <w:t>DRI12544 (n=127)</w:t>
            </w:r>
          </w:p>
        </w:tc>
        <w:tc>
          <w:tcPr>
            <w:tcW w:w="1623" w:type="pct"/>
            <w:shd w:val="clear" w:color="auto" w:fill="auto"/>
            <w:tcMar>
              <w:left w:w="28" w:type="dxa"/>
              <w:right w:w="28" w:type="dxa"/>
            </w:tcMar>
          </w:tcPr>
          <w:p w14:paraId="52707541" w14:textId="77777777" w:rsidR="00D15B5D" w:rsidRPr="00B57220" w:rsidRDefault="00D15B5D" w:rsidP="00E9172C">
            <w:pPr>
              <w:pStyle w:val="TableText0"/>
              <w:rPr>
                <w:szCs w:val="20"/>
              </w:rPr>
            </w:pPr>
            <w:r w:rsidRPr="00B57220">
              <w:rPr>
                <w:szCs w:val="20"/>
              </w:rPr>
              <w:t>EXTRA (subgroups M1 and M2) (n=848)</w:t>
            </w:r>
          </w:p>
          <w:p w14:paraId="3F4F12E8" w14:textId="77777777" w:rsidR="00D15B5D" w:rsidRPr="00B57220" w:rsidRDefault="00D15B5D" w:rsidP="00E9172C">
            <w:pPr>
              <w:pStyle w:val="TableText0"/>
              <w:rPr>
                <w:szCs w:val="20"/>
              </w:rPr>
            </w:pPr>
            <w:r w:rsidRPr="00B57220">
              <w:rPr>
                <w:szCs w:val="20"/>
              </w:rPr>
              <w:t>INNOVATE (n=482)</w:t>
            </w:r>
          </w:p>
        </w:tc>
      </w:tr>
      <w:tr w:rsidR="006F2ADF" w:rsidRPr="00B57220" w14:paraId="34D37152" w14:textId="77777777" w:rsidTr="00B57220">
        <w:trPr>
          <w:cantSplit/>
          <w:trHeight w:val="244"/>
        </w:trPr>
        <w:tc>
          <w:tcPr>
            <w:tcW w:w="1460" w:type="pct"/>
            <w:tcMar>
              <w:left w:w="28" w:type="dxa"/>
              <w:right w:w="28" w:type="dxa"/>
            </w:tcMar>
          </w:tcPr>
          <w:p w14:paraId="122DC80C" w14:textId="77777777" w:rsidR="00D15B5D" w:rsidRPr="00B57220" w:rsidRDefault="00D15B5D" w:rsidP="00E9172C">
            <w:pPr>
              <w:pStyle w:val="TableText0"/>
              <w:rPr>
                <w:szCs w:val="20"/>
              </w:rPr>
            </w:pPr>
            <w:r w:rsidRPr="00B57220">
              <w:rPr>
                <w:szCs w:val="20"/>
              </w:rPr>
              <w:t>ICS/LABA dose at baseline, inclusion criteria</w:t>
            </w:r>
          </w:p>
        </w:tc>
        <w:tc>
          <w:tcPr>
            <w:tcW w:w="1917" w:type="pct"/>
            <w:tcMar>
              <w:left w:w="28" w:type="dxa"/>
              <w:right w:w="28" w:type="dxa"/>
            </w:tcMar>
          </w:tcPr>
          <w:p w14:paraId="016026DD" w14:textId="77777777" w:rsidR="00D15B5D" w:rsidRPr="00B57220" w:rsidRDefault="00D15B5D" w:rsidP="00E9172C">
            <w:pPr>
              <w:pStyle w:val="TableText0"/>
              <w:rPr>
                <w:szCs w:val="20"/>
              </w:rPr>
            </w:pPr>
            <w:r w:rsidRPr="00B57220">
              <w:rPr>
                <w:szCs w:val="20"/>
              </w:rPr>
              <w:t xml:space="preserve">Both trials: medium/high </w:t>
            </w:r>
          </w:p>
        </w:tc>
        <w:tc>
          <w:tcPr>
            <w:tcW w:w="1623" w:type="pct"/>
            <w:tcMar>
              <w:left w:w="28" w:type="dxa"/>
              <w:right w:w="28" w:type="dxa"/>
            </w:tcMar>
          </w:tcPr>
          <w:p w14:paraId="60BFB018" w14:textId="77777777" w:rsidR="00D15B5D" w:rsidRPr="00B57220" w:rsidRDefault="00D15B5D" w:rsidP="00E9172C">
            <w:pPr>
              <w:pStyle w:val="TableText0"/>
              <w:rPr>
                <w:szCs w:val="20"/>
              </w:rPr>
            </w:pPr>
            <w:r w:rsidRPr="00B57220">
              <w:rPr>
                <w:szCs w:val="20"/>
              </w:rPr>
              <w:t xml:space="preserve">Both trials: high </w:t>
            </w:r>
          </w:p>
        </w:tc>
      </w:tr>
      <w:tr w:rsidR="006F2ADF" w:rsidRPr="00B57220" w14:paraId="38ECB353" w14:textId="77777777" w:rsidTr="00B57220">
        <w:trPr>
          <w:cantSplit/>
          <w:trHeight w:val="244"/>
        </w:trPr>
        <w:tc>
          <w:tcPr>
            <w:tcW w:w="1460" w:type="pct"/>
            <w:tcMar>
              <w:left w:w="28" w:type="dxa"/>
              <w:right w:w="28" w:type="dxa"/>
            </w:tcMar>
          </w:tcPr>
          <w:p w14:paraId="2EAF2B9C" w14:textId="77777777" w:rsidR="00D15B5D" w:rsidRPr="00B57220" w:rsidRDefault="00D15B5D" w:rsidP="00E9172C">
            <w:pPr>
              <w:pStyle w:val="TableText0"/>
              <w:rPr>
                <w:szCs w:val="20"/>
              </w:rPr>
            </w:pPr>
            <w:r w:rsidRPr="00B57220">
              <w:rPr>
                <w:szCs w:val="20"/>
              </w:rPr>
              <w:t xml:space="preserve">Mean ICS/LABA dose at baseline </w:t>
            </w:r>
          </w:p>
        </w:tc>
        <w:tc>
          <w:tcPr>
            <w:tcW w:w="1917" w:type="pct"/>
            <w:tcMar>
              <w:left w:w="28" w:type="dxa"/>
              <w:right w:w="28" w:type="dxa"/>
            </w:tcMar>
          </w:tcPr>
          <w:p w14:paraId="1128CAD4" w14:textId="77777777" w:rsidR="00D15B5D" w:rsidRPr="00B57220" w:rsidRDefault="00D15B5D" w:rsidP="00E9172C">
            <w:pPr>
              <w:pStyle w:val="TableText0"/>
              <w:rPr>
                <w:szCs w:val="20"/>
              </w:rPr>
            </w:pPr>
            <w:r w:rsidRPr="00B57220">
              <w:rPr>
                <w:szCs w:val="20"/>
              </w:rPr>
              <w:t>QUEST: 719 v. 771 µg/day</w:t>
            </w:r>
            <w:r w:rsidRPr="00B57220">
              <w:rPr>
                <w:szCs w:val="20"/>
                <w:vertAlign w:val="superscript"/>
              </w:rPr>
              <w:t xml:space="preserve"> a</w:t>
            </w:r>
          </w:p>
          <w:p w14:paraId="64F9E19C" w14:textId="77777777" w:rsidR="00D15B5D" w:rsidRPr="00B57220" w:rsidRDefault="00D15B5D" w:rsidP="00E9172C">
            <w:pPr>
              <w:pStyle w:val="TableText0"/>
              <w:rPr>
                <w:szCs w:val="20"/>
              </w:rPr>
            </w:pPr>
            <w:r w:rsidRPr="00B57220">
              <w:rPr>
                <w:szCs w:val="20"/>
              </w:rPr>
              <w:t xml:space="preserve">DRI: NR </w:t>
            </w:r>
            <w:r w:rsidRPr="00B57220">
              <w:rPr>
                <w:szCs w:val="20"/>
                <w:vertAlign w:val="superscript"/>
              </w:rPr>
              <w:t>c</w:t>
            </w:r>
          </w:p>
        </w:tc>
        <w:tc>
          <w:tcPr>
            <w:tcW w:w="1623" w:type="pct"/>
            <w:tcMar>
              <w:left w:w="28" w:type="dxa"/>
              <w:right w:w="28" w:type="dxa"/>
            </w:tcMar>
          </w:tcPr>
          <w:p w14:paraId="6150F928" w14:textId="77777777" w:rsidR="00D15B5D" w:rsidRPr="00B57220" w:rsidRDefault="00D15B5D" w:rsidP="00E9172C">
            <w:pPr>
              <w:pStyle w:val="TableText0"/>
              <w:rPr>
                <w:szCs w:val="20"/>
              </w:rPr>
            </w:pPr>
            <w:r w:rsidRPr="00B57220">
              <w:rPr>
                <w:szCs w:val="20"/>
              </w:rPr>
              <w:t>INNOVATE: 2,000 µg/day</w:t>
            </w:r>
          </w:p>
          <w:p w14:paraId="7A736B6A" w14:textId="77777777" w:rsidR="00D15B5D" w:rsidRPr="00B57220" w:rsidRDefault="00D15B5D" w:rsidP="00E9172C">
            <w:pPr>
              <w:pStyle w:val="TableText0"/>
              <w:rPr>
                <w:szCs w:val="20"/>
              </w:rPr>
            </w:pPr>
            <w:r w:rsidRPr="00B57220">
              <w:rPr>
                <w:szCs w:val="20"/>
              </w:rPr>
              <w:t>EXTRA: NR</w:t>
            </w:r>
          </w:p>
        </w:tc>
      </w:tr>
      <w:tr w:rsidR="006F2ADF" w:rsidRPr="00B57220" w14:paraId="435298AD" w14:textId="77777777" w:rsidTr="00B57220">
        <w:trPr>
          <w:cantSplit/>
          <w:trHeight w:val="244"/>
        </w:trPr>
        <w:tc>
          <w:tcPr>
            <w:tcW w:w="1460" w:type="pct"/>
            <w:tcMar>
              <w:left w:w="28" w:type="dxa"/>
              <w:right w:w="28" w:type="dxa"/>
            </w:tcMar>
          </w:tcPr>
          <w:p w14:paraId="6BA84DB1" w14:textId="77777777" w:rsidR="00D15B5D" w:rsidRPr="00B57220" w:rsidRDefault="00D15B5D" w:rsidP="00E9172C">
            <w:pPr>
              <w:pStyle w:val="TableText0"/>
              <w:rPr>
                <w:szCs w:val="20"/>
              </w:rPr>
            </w:pPr>
            <w:r w:rsidRPr="00B57220">
              <w:rPr>
                <w:szCs w:val="20"/>
              </w:rPr>
              <w:t>Mean IgE level at baseline</w:t>
            </w:r>
          </w:p>
        </w:tc>
        <w:tc>
          <w:tcPr>
            <w:tcW w:w="1917" w:type="pct"/>
            <w:tcMar>
              <w:left w:w="28" w:type="dxa"/>
              <w:right w:w="28" w:type="dxa"/>
            </w:tcMar>
          </w:tcPr>
          <w:p w14:paraId="32B977A3" w14:textId="77777777" w:rsidR="00D15B5D" w:rsidRPr="00B57220" w:rsidRDefault="00D15B5D" w:rsidP="00E9172C">
            <w:pPr>
              <w:pStyle w:val="TableText0"/>
              <w:rPr>
                <w:szCs w:val="20"/>
              </w:rPr>
            </w:pPr>
            <w:r w:rsidRPr="00B57220">
              <w:rPr>
                <w:szCs w:val="20"/>
              </w:rPr>
              <w:t>QUEST: 239 vs. 280 IU/mL</w:t>
            </w:r>
            <w:r w:rsidRPr="00B57220">
              <w:rPr>
                <w:szCs w:val="20"/>
                <w:vertAlign w:val="superscript"/>
              </w:rPr>
              <w:t xml:space="preserve"> a</w:t>
            </w:r>
          </w:p>
          <w:p w14:paraId="102F7744" w14:textId="77777777" w:rsidR="00D15B5D" w:rsidRPr="00B57220" w:rsidRDefault="00D15B5D" w:rsidP="00E9172C">
            <w:pPr>
              <w:pStyle w:val="TableText0"/>
              <w:rPr>
                <w:szCs w:val="20"/>
              </w:rPr>
            </w:pPr>
            <w:r w:rsidRPr="00B57220">
              <w:rPr>
                <w:szCs w:val="20"/>
              </w:rPr>
              <w:t>DRI: 268 vs. 277 IU/mL</w:t>
            </w:r>
            <w:r w:rsidRPr="00B57220">
              <w:rPr>
                <w:szCs w:val="20"/>
                <w:vertAlign w:val="superscript"/>
              </w:rPr>
              <w:t xml:space="preserve"> a</w:t>
            </w:r>
          </w:p>
        </w:tc>
        <w:tc>
          <w:tcPr>
            <w:tcW w:w="1623" w:type="pct"/>
            <w:tcMar>
              <w:left w:w="28" w:type="dxa"/>
              <w:right w:w="28" w:type="dxa"/>
            </w:tcMar>
          </w:tcPr>
          <w:p w14:paraId="07FF3762" w14:textId="77777777" w:rsidR="00D15B5D" w:rsidRPr="00B57220" w:rsidRDefault="00D15B5D" w:rsidP="00E9172C">
            <w:pPr>
              <w:pStyle w:val="TableText0"/>
              <w:rPr>
                <w:szCs w:val="20"/>
              </w:rPr>
            </w:pPr>
            <w:r w:rsidRPr="00B57220">
              <w:rPr>
                <w:szCs w:val="20"/>
              </w:rPr>
              <w:t>INNOVATE: 194 IU/mL</w:t>
            </w:r>
          </w:p>
          <w:p w14:paraId="64FC6F9C" w14:textId="77777777" w:rsidR="00D15B5D" w:rsidRPr="00B57220" w:rsidRDefault="00D15B5D" w:rsidP="00E9172C">
            <w:pPr>
              <w:pStyle w:val="TableText0"/>
              <w:rPr>
                <w:szCs w:val="20"/>
              </w:rPr>
            </w:pPr>
            <w:r w:rsidRPr="00B57220">
              <w:rPr>
                <w:szCs w:val="20"/>
              </w:rPr>
              <w:t>EXTRA: 177 IU/mL</w:t>
            </w:r>
          </w:p>
        </w:tc>
      </w:tr>
      <w:tr w:rsidR="006F2ADF" w:rsidRPr="00B57220" w14:paraId="4C468AF1" w14:textId="77777777" w:rsidTr="00B57220">
        <w:trPr>
          <w:cantSplit/>
          <w:trHeight w:val="244"/>
        </w:trPr>
        <w:tc>
          <w:tcPr>
            <w:tcW w:w="1460" w:type="pct"/>
            <w:tcMar>
              <w:left w:w="28" w:type="dxa"/>
              <w:right w:w="28" w:type="dxa"/>
            </w:tcMar>
          </w:tcPr>
          <w:p w14:paraId="52B7F8FE" w14:textId="77777777" w:rsidR="0038329A" w:rsidRPr="00B57220" w:rsidRDefault="0038329A" w:rsidP="0038329A">
            <w:pPr>
              <w:pStyle w:val="TableText0"/>
              <w:keepNext w:val="0"/>
              <w:rPr>
                <w:szCs w:val="20"/>
              </w:rPr>
            </w:pPr>
            <w:r w:rsidRPr="00B57220">
              <w:rPr>
                <w:szCs w:val="20"/>
              </w:rPr>
              <w:t>Mean number of exacerbations in the previous year</w:t>
            </w:r>
          </w:p>
        </w:tc>
        <w:tc>
          <w:tcPr>
            <w:tcW w:w="1917" w:type="pct"/>
            <w:tcMar>
              <w:left w:w="28" w:type="dxa"/>
              <w:right w:w="28" w:type="dxa"/>
            </w:tcMar>
          </w:tcPr>
          <w:p w14:paraId="76D8016F" w14:textId="77777777" w:rsidR="0038329A" w:rsidRPr="00B57220" w:rsidRDefault="0038329A" w:rsidP="0038329A">
            <w:pPr>
              <w:pStyle w:val="TableText0"/>
              <w:keepNext w:val="0"/>
              <w:rPr>
                <w:szCs w:val="20"/>
                <w:vertAlign w:val="superscript"/>
              </w:rPr>
            </w:pPr>
            <w:r w:rsidRPr="00B57220">
              <w:rPr>
                <w:szCs w:val="20"/>
              </w:rPr>
              <w:t>QUEST: 2.0 vs. 2.0</w:t>
            </w:r>
            <w:r w:rsidRPr="00B57220">
              <w:rPr>
                <w:szCs w:val="20"/>
                <w:vertAlign w:val="superscript"/>
              </w:rPr>
              <w:t>a</w:t>
            </w:r>
          </w:p>
          <w:p w14:paraId="57BC055F" w14:textId="77777777" w:rsidR="0038329A" w:rsidRPr="00B57220" w:rsidRDefault="0038329A" w:rsidP="0038329A">
            <w:pPr>
              <w:pStyle w:val="TableText0"/>
              <w:keepNext w:val="0"/>
              <w:rPr>
                <w:szCs w:val="20"/>
              </w:rPr>
            </w:pPr>
            <w:r w:rsidRPr="00B57220">
              <w:rPr>
                <w:szCs w:val="20"/>
              </w:rPr>
              <w:t>DRI: 2.0 vs. 1.8</w:t>
            </w:r>
            <w:r w:rsidRPr="00B57220">
              <w:rPr>
                <w:szCs w:val="20"/>
                <w:vertAlign w:val="superscript"/>
              </w:rPr>
              <w:t>a</w:t>
            </w:r>
          </w:p>
        </w:tc>
        <w:tc>
          <w:tcPr>
            <w:tcW w:w="1623" w:type="pct"/>
            <w:tcMar>
              <w:left w:w="28" w:type="dxa"/>
              <w:right w:w="28" w:type="dxa"/>
            </w:tcMar>
          </w:tcPr>
          <w:p w14:paraId="6326E5B3" w14:textId="77777777" w:rsidR="0038329A" w:rsidRPr="00B57220" w:rsidRDefault="0038329A" w:rsidP="0038329A">
            <w:pPr>
              <w:pStyle w:val="TableText0"/>
              <w:keepNext w:val="0"/>
              <w:rPr>
                <w:szCs w:val="20"/>
              </w:rPr>
            </w:pPr>
            <w:r w:rsidRPr="00B57220">
              <w:rPr>
                <w:szCs w:val="20"/>
              </w:rPr>
              <w:t>INNOVATE: 2.5</w:t>
            </w:r>
          </w:p>
          <w:p w14:paraId="6646FC36" w14:textId="77777777" w:rsidR="0038329A" w:rsidRPr="00B57220" w:rsidRDefault="0038329A" w:rsidP="0038329A">
            <w:pPr>
              <w:pStyle w:val="TableText0"/>
              <w:keepNext w:val="0"/>
              <w:rPr>
                <w:szCs w:val="20"/>
              </w:rPr>
            </w:pPr>
            <w:r w:rsidRPr="00B57220">
              <w:rPr>
                <w:szCs w:val="20"/>
              </w:rPr>
              <w:t>EXTRA: 2.0</w:t>
            </w:r>
          </w:p>
        </w:tc>
      </w:tr>
      <w:tr w:rsidR="006F2ADF" w:rsidRPr="00B57220" w14:paraId="212D117C" w14:textId="77777777" w:rsidTr="00B57220">
        <w:trPr>
          <w:cantSplit/>
          <w:trHeight w:val="244"/>
        </w:trPr>
        <w:tc>
          <w:tcPr>
            <w:tcW w:w="1460" w:type="pct"/>
            <w:tcBorders>
              <w:bottom w:val="single" w:sz="4" w:space="0" w:color="auto"/>
            </w:tcBorders>
            <w:shd w:val="clear" w:color="auto" w:fill="auto"/>
            <w:tcMar>
              <w:left w:w="28" w:type="dxa"/>
              <w:right w:w="28" w:type="dxa"/>
            </w:tcMar>
          </w:tcPr>
          <w:p w14:paraId="494D2BE6" w14:textId="77777777" w:rsidR="00D15B5D" w:rsidRPr="00B57220" w:rsidRDefault="00D15B5D" w:rsidP="005D76D5">
            <w:pPr>
              <w:pStyle w:val="TableText0"/>
              <w:keepNext w:val="0"/>
              <w:rPr>
                <w:szCs w:val="20"/>
              </w:rPr>
            </w:pPr>
            <w:r w:rsidRPr="00B57220">
              <w:rPr>
                <w:szCs w:val="20"/>
              </w:rPr>
              <w:t>Concomitant treatment</w:t>
            </w:r>
          </w:p>
        </w:tc>
        <w:tc>
          <w:tcPr>
            <w:tcW w:w="1917" w:type="pct"/>
            <w:tcBorders>
              <w:bottom w:val="single" w:sz="4" w:space="0" w:color="auto"/>
            </w:tcBorders>
            <w:shd w:val="clear" w:color="auto" w:fill="auto"/>
            <w:tcMar>
              <w:left w:w="28" w:type="dxa"/>
              <w:right w:w="28" w:type="dxa"/>
            </w:tcMar>
          </w:tcPr>
          <w:p w14:paraId="3099E30F" w14:textId="77777777" w:rsidR="00D15B5D" w:rsidRPr="00B57220" w:rsidRDefault="00D15B5D" w:rsidP="005D76D5">
            <w:pPr>
              <w:pStyle w:val="TableText0"/>
              <w:keepNext w:val="0"/>
              <w:rPr>
                <w:szCs w:val="20"/>
              </w:rPr>
            </w:pPr>
            <w:r w:rsidRPr="00B57220">
              <w:rPr>
                <w:szCs w:val="20"/>
              </w:rPr>
              <w:t>QUEST and DRI: transient increase in dose of ICS allowed in addition to reliever/rescue medication to treat acute symptoms of asthma</w:t>
            </w:r>
          </w:p>
        </w:tc>
        <w:tc>
          <w:tcPr>
            <w:tcW w:w="1623" w:type="pct"/>
            <w:shd w:val="clear" w:color="auto" w:fill="auto"/>
            <w:tcMar>
              <w:left w:w="28" w:type="dxa"/>
              <w:right w:w="28" w:type="dxa"/>
            </w:tcMar>
          </w:tcPr>
          <w:p w14:paraId="1AA87B63" w14:textId="77777777" w:rsidR="00D15B5D" w:rsidRPr="00B57220" w:rsidRDefault="00D15B5D" w:rsidP="005D76D5">
            <w:pPr>
              <w:pStyle w:val="TableText0"/>
              <w:keepNext w:val="0"/>
              <w:rPr>
                <w:szCs w:val="20"/>
              </w:rPr>
            </w:pPr>
            <w:r w:rsidRPr="00B57220">
              <w:rPr>
                <w:szCs w:val="20"/>
              </w:rPr>
              <w:t>INNOVATE: 22% were taking baseline OCS.</w:t>
            </w:r>
          </w:p>
          <w:p w14:paraId="4C923CA3" w14:textId="77777777" w:rsidR="00D15B5D" w:rsidRPr="00B57220" w:rsidRDefault="00D15B5D" w:rsidP="005D76D5">
            <w:pPr>
              <w:pStyle w:val="TableText0"/>
              <w:keepNext w:val="0"/>
              <w:rPr>
                <w:szCs w:val="20"/>
              </w:rPr>
            </w:pPr>
            <w:r w:rsidRPr="00B57220">
              <w:rPr>
                <w:szCs w:val="20"/>
              </w:rPr>
              <w:t>EXTRA: No OCS were used in subgroups M1 and M2.</w:t>
            </w:r>
          </w:p>
        </w:tc>
      </w:tr>
      <w:tr w:rsidR="006F2ADF" w:rsidRPr="00B57220" w14:paraId="1AF5292A" w14:textId="77777777" w:rsidTr="00B57220">
        <w:trPr>
          <w:cantSplit/>
          <w:trHeight w:val="244"/>
        </w:trPr>
        <w:tc>
          <w:tcPr>
            <w:tcW w:w="5000" w:type="pct"/>
            <w:gridSpan w:val="3"/>
            <w:shd w:val="clear" w:color="auto" w:fill="auto"/>
            <w:tcMar>
              <w:left w:w="28" w:type="dxa"/>
              <w:right w:w="28" w:type="dxa"/>
            </w:tcMar>
          </w:tcPr>
          <w:p w14:paraId="59047479" w14:textId="77777777" w:rsidR="00D15B5D" w:rsidRPr="00B57220" w:rsidRDefault="00D15B5D" w:rsidP="005D76D5">
            <w:pPr>
              <w:pStyle w:val="TableText0"/>
              <w:keepNext w:val="0"/>
              <w:rPr>
                <w:b/>
                <w:szCs w:val="20"/>
              </w:rPr>
            </w:pPr>
            <w:r w:rsidRPr="00B57220">
              <w:rPr>
                <w:b/>
                <w:szCs w:val="20"/>
              </w:rPr>
              <w:t>ITC # 4: dupilumab vs. benralizumab in eosinophilic asthma with OCS dependence</w:t>
            </w:r>
          </w:p>
        </w:tc>
      </w:tr>
      <w:tr w:rsidR="006F2ADF" w:rsidRPr="00B57220" w14:paraId="7E47815E" w14:textId="77777777" w:rsidTr="00B57220">
        <w:trPr>
          <w:cantSplit/>
          <w:trHeight w:val="244"/>
        </w:trPr>
        <w:tc>
          <w:tcPr>
            <w:tcW w:w="1460" w:type="pct"/>
            <w:shd w:val="clear" w:color="auto" w:fill="auto"/>
            <w:tcMar>
              <w:left w:w="28" w:type="dxa"/>
              <w:right w:w="28" w:type="dxa"/>
            </w:tcMar>
          </w:tcPr>
          <w:p w14:paraId="4A38F69D" w14:textId="77777777" w:rsidR="00D15B5D" w:rsidRPr="00B57220" w:rsidRDefault="00D15B5D" w:rsidP="005D76D5">
            <w:pPr>
              <w:pStyle w:val="TableText0"/>
              <w:keepNext w:val="0"/>
              <w:rPr>
                <w:szCs w:val="20"/>
              </w:rPr>
            </w:pPr>
            <w:r w:rsidRPr="00B57220">
              <w:rPr>
                <w:szCs w:val="20"/>
              </w:rPr>
              <w:t>Trials or relevant subgroups</w:t>
            </w:r>
          </w:p>
        </w:tc>
        <w:tc>
          <w:tcPr>
            <w:tcW w:w="1917" w:type="pct"/>
            <w:shd w:val="clear" w:color="auto" w:fill="auto"/>
            <w:tcMar>
              <w:left w:w="28" w:type="dxa"/>
              <w:right w:w="28" w:type="dxa"/>
            </w:tcMar>
          </w:tcPr>
          <w:p w14:paraId="0659D462" w14:textId="77777777" w:rsidR="00D15B5D" w:rsidRPr="00B57220" w:rsidRDefault="00D15B5D" w:rsidP="005D76D5">
            <w:pPr>
              <w:pStyle w:val="TableText0"/>
              <w:keepNext w:val="0"/>
              <w:rPr>
                <w:szCs w:val="20"/>
              </w:rPr>
            </w:pPr>
            <w:r w:rsidRPr="00B57220">
              <w:rPr>
                <w:szCs w:val="20"/>
              </w:rPr>
              <w:t>VENTU</w:t>
            </w:r>
            <w:r w:rsidR="00995AC7" w:rsidRPr="00B57220">
              <w:rPr>
                <w:szCs w:val="20"/>
              </w:rPr>
              <w:t>R</w:t>
            </w:r>
            <w:r w:rsidRPr="00B57220">
              <w:rPr>
                <w:szCs w:val="20"/>
              </w:rPr>
              <w:t>E (n=57)</w:t>
            </w:r>
          </w:p>
        </w:tc>
        <w:tc>
          <w:tcPr>
            <w:tcW w:w="1623" w:type="pct"/>
            <w:shd w:val="clear" w:color="auto" w:fill="auto"/>
            <w:tcMar>
              <w:left w:w="28" w:type="dxa"/>
              <w:right w:w="28" w:type="dxa"/>
            </w:tcMar>
          </w:tcPr>
          <w:p w14:paraId="3F3563EE" w14:textId="77777777" w:rsidR="00D15B5D" w:rsidRPr="00B57220" w:rsidRDefault="00D15B5D" w:rsidP="005D76D5">
            <w:pPr>
              <w:pStyle w:val="TableText0"/>
              <w:keepNext w:val="0"/>
              <w:rPr>
                <w:szCs w:val="20"/>
              </w:rPr>
            </w:pPr>
            <w:r w:rsidRPr="00B57220">
              <w:rPr>
                <w:szCs w:val="20"/>
              </w:rPr>
              <w:t>ZONDA (n=148)</w:t>
            </w:r>
          </w:p>
        </w:tc>
      </w:tr>
      <w:tr w:rsidR="006F2ADF" w:rsidRPr="00B57220" w14:paraId="4A968257" w14:textId="77777777" w:rsidTr="00B57220">
        <w:trPr>
          <w:cantSplit/>
          <w:trHeight w:val="244"/>
        </w:trPr>
        <w:tc>
          <w:tcPr>
            <w:tcW w:w="1460" w:type="pct"/>
            <w:tcMar>
              <w:left w:w="28" w:type="dxa"/>
              <w:right w:w="28" w:type="dxa"/>
            </w:tcMar>
          </w:tcPr>
          <w:p w14:paraId="183AE02C" w14:textId="77777777" w:rsidR="00D15B5D" w:rsidRPr="00B57220" w:rsidRDefault="00D15B5D" w:rsidP="005D76D5">
            <w:pPr>
              <w:pStyle w:val="TableText0"/>
              <w:keepNext w:val="0"/>
              <w:rPr>
                <w:szCs w:val="20"/>
              </w:rPr>
            </w:pPr>
            <w:r w:rsidRPr="00B57220">
              <w:rPr>
                <w:szCs w:val="20"/>
              </w:rPr>
              <w:t>Mean number of exacerbations in the previous year</w:t>
            </w:r>
          </w:p>
        </w:tc>
        <w:tc>
          <w:tcPr>
            <w:tcW w:w="1917" w:type="pct"/>
            <w:tcMar>
              <w:left w:w="28" w:type="dxa"/>
              <w:right w:w="28" w:type="dxa"/>
            </w:tcMar>
          </w:tcPr>
          <w:p w14:paraId="25B6B68D" w14:textId="77777777" w:rsidR="00D15B5D" w:rsidRPr="00B57220" w:rsidRDefault="00D15B5D" w:rsidP="005D76D5">
            <w:pPr>
              <w:pStyle w:val="TableText0"/>
              <w:keepNext w:val="0"/>
              <w:rPr>
                <w:szCs w:val="20"/>
                <w:vertAlign w:val="superscript"/>
              </w:rPr>
            </w:pPr>
            <w:r w:rsidRPr="00B57220">
              <w:rPr>
                <w:szCs w:val="20"/>
              </w:rPr>
              <w:t>2.53 vs. 2.70</w:t>
            </w:r>
            <w:r w:rsidRPr="00B57220">
              <w:rPr>
                <w:szCs w:val="20"/>
                <w:vertAlign w:val="superscript"/>
              </w:rPr>
              <w:t>a</w:t>
            </w:r>
          </w:p>
        </w:tc>
        <w:tc>
          <w:tcPr>
            <w:tcW w:w="1623" w:type="pct"/>
            <w:tcMar>
              <w:left w:w="28" w:type="dxa"/>
              <w:right w:w="28" w:type="dxa"/>
            </w:tcMar>
          </w:tcPr>
          <w:p w14:paraId="6D860C65" w14:textId="77777777" w:rsidR="00D15B5D" w:rsidRPr="00B57220" w:rsidRDefault="00D15B5D" w:rsidP="005D76D5">
            <w:pPr>
              <w:pStyle w:val="TableText0"/>
              <w:keepNext w:val="0"/>
              <w:rPr>
                <w:szCs w:val="20"/>
                <w:vertAlign w:val="superscript"/>
              </w:rPr>
            </w:pPr>
            <w:r w:rsidRPr="00B57220">
              <w:rPr>
                <w:szCs w:val="20"/>
              </w:rPr>
              <w:t>3.1 vs. 2.5</w:t>
            </w:r>
            <w:r w:rsidRPr="00B57220">
              <w:rPr>
                <w:szCs w:val="20"/>
                <w:vertAlign w:val="superscript"/>
              </w:rPr>
              <w:t>a</w:t>
            </w:r>
          </w:p>
        </w:tc>
      </w:tr>
      <w:tr w:rsidR="006F2ADF" w:rsidRPr="00B57220" w14:paraId="78322683" w14:textId="77777777" w:rsidTr="00B57220">
        <w:trPr>
          <w:cantSplit/>
          <w:trHeight w:val="244"/>
        </w:trPr>
        <w:tc>
          <w:tcPr>
            <w:tcW w:w="5000" w:type="pct"/>
            <w:gridSpan w:val="3"/>
            <w:shd w:val="clear" w:color="auto" w:fill="auto"/>
            <w:tcMar>
              <w:left w:w="28" w:type="dxa"/>
              <w:right w:w="28" w:type="dxa"/>
            </w:tcMar>
          </w:tcPr>
          <w:p w14:paraId="0B1322FE" w14:textId="77777777" w:rsidR="00D15B5D" w:rsidRPr="00B57220" w:rsidRDefault="00D15B5D" w:rsidP="005D76D5">
            <w:pPr>
              <w:pStyle w:val="TableText0"/>
              <w:keepNext w:val="0"/>
              <w:rPr>
                <w:b/>
                <w:szCs w:val="20"/>
              </w:rPr>
            </w:pPr>
            <w:r w:rsidRPr="00B57220">
              <w:rPr>
                <w:b/>
                <w:szCs w:val="20"/>
              </w:rPr>
              <w:t>ITC # 5: dupilumab vs. mepolizumab in eosinophilic asthma with OCS dependence</w:t>
            </w:r>
          </w:p>
        </w:tc>
      </w:tr>
      <w:tr w:rsidR="006F2ADF" w:rsidRPr="00B57220" w14:paraId="78FFB082" w14:textId="77777777" w:rsidTr="00B57220">
        <w:trPr>
          <w:cantSplit/>
          <w:trHeight w:val="244"/>
        </w:trPr>
        <w:tc>
          <w:tcPr>
            <w:tcW w:w="1460" w:type="pct"/>
            <w:shd w:val="clear" w:color="auto" w:fill="auto"/>
            <w:tcMar>
              <w:left w:w="28" w:type="dxa"/>
              <w:right w:w="28" w:type="dxa"/>
            </w:tcMar>
          </w:tcPr>
          <w:p w14:paraId="36FC714B" w14:textId="77777777" w:rsidR="00D15B5D" w:rsidRPr="00B57220" w:rsidRDefault="00D15B5D" w:rsidP="005D76D5">
            <w:pPr>
              <w:pStyle w:val="TableText0"/>
              <w:keepNext w:val="0"/>
              <w:rPr>
                <w:szCs w:val="20"/>
              </w:rPr>
            </w:pPr>
            <w:r w:rsidRPr="00B57220">
              <w:rPr>
                <w:szCs w:val="20"/>
              </w:rPr>
              <w:t>Trials or relevant subgroups</w:t>
            </w:r>
          </w:p>
        </w:tc>
        <w:tc>
          <w:tcPr>
            <w:tcW w:w="1917" w:type="pct"/>
            <w:shd w:val="clear" w:color="auto" w:fill="auto"/>
            <w:tcMar>
              <w:left w:w="28" w:type="dxa"/>
              <w:right w:w="28" w:type="dxa"/>
            </w:tcMar>
          </w:tcPr>
          <w:p w14:paraId="0D930DE9" w14:textId="77777777" w:rsidR="00D15B5D" w:rsidRPr="00B57220" w:rsidRDefault="00D15B5D" w:rsidP="005D76D5">
            <w:pPr>
              <w:pStyle w:val="TableText0"/>
              <w:keepNext w:val="0"/>
              <w:rPr>
                <w:szCs w:val="20"/>
              </w:rPr>
            </w:pPr>
            <w:r w:rsidRPr="00B57220">
              <w:rPr>
                <w:szCs w:val="20"/>
              </w:rPr>
              <w:t>VENTU</w:t>
            </w:r>
            <w:r w:rsidR="00CD0204" w:rsidRPr="00B57220">
              <w:rPr>
                <w:szCs w:val="20"/>
              </w:rPr>
              <w:t>R</w:t>
            </w:r>
            <w:r w:rsidRPr="00B57220">
              <w:rPr>
                <w:szCs w:val="20"/>
              </w:rPr>
              <w:t>E (n=132)</w:t>
            </w:r>
          </w:p>
        </w:tc>
        <w:tc>
          <w:tcPr>
            <w:tcW w:w="1623" w:type="pct"/>
            <w:shd w:val="clear" w:color="auto" w:fill="auto"/>
            <w:tcMar>
              <w:left w:w="28" w:type="dxa"/>
              <w:right w:w="28" w:type="dxa"/>
            </w:tcMar>
          </w:tcPr>
          <w:p w14:paraId="5D8957F1" w14:textId="77777777" w:rsidR="00D15B5D" w:rsidRPr="00B57220" w:rsidRDefault="00D15B5D" w:rsidP="005D76D5">
            <w:pPr>
              <w:pStyle w:val="TableText0"/>
              <w:keepNext w:val="0"/>
              <w:rPr>
                <w:szCs w:val="20"/>
              </w:rPr>
            </w:pPr>
            <w:r w:rsidRPr="00B57220">
              <w:rPr>
                <w:szCs w:val="20"/>
              </w:rPr>
              <w:t>SIRIUS (n=135)</w:t>
            </w:r>
          </w:p>
        </w:tc>
      </w:tr>
      <w:tr w:rsidR="006F2ADF" w:rsidRPr="00B57220" w14:paraId="03F340AE" w14:textId="77777777" w:rsidTr="00B57220">
        <w:trPr>
          <w:cantSplit/>
          <w:trHeight w:val="244"/>
        </w:trPr>
        <w:tc>
          <w:tcPr>
            <w:tcW w:w="1460" w:type="pct"/>
            <w:tcMar>
              <w:left w:w="28" w:type="dxa"/>
              <w:right w:w="28" w:type="dxa"/>
            </w:tcMar>
          </w:tcPr>
          <w:p w14:paraId="04236404" w14:textId="77777777" w:rsidR="00D15B5D" w:rsidRPr="00B57220" w:rsidRDefault="00D15B5D" w:rsidP="005D76D5">
            <w:pPr>
              <w:pStyle w:val="TableText0"/>
              <w:keepNext w:val="0"/>
              <w:rPr>
                <w:szCs w:val="20"/>
              </w:rPr>
            </w:pPr>
            <w:r w:rsidRPr="00B57220">
              <w:rPr>
                <w:szCs w:val="20"/>
              </w:rPr>
              <w:t>Mean OCS dose pre-optimisation</w:t>
            </w:r>
          </w:p>
        </w:tc>
        <w:tc>
          <w:tcPr>
            <w:tcW w:w="1917" w:type="pct"/>
            <w:tcMar>
              <w:left w:w="28" w:type="dxa"/>
              <w:right w:w="28" w:type="dxa"/>
            </w:tcMar>
          </w:tcPr>
          <w:p w14:paraId="5CC0996F" w14:textId="77777777" w:rsidR="00D15B5D" w:rsidRPr="00B57220" w:rsidRDefault="00D15B5D" w:rsidP="005D76D5">
            <w:pPr>
              <w:pStyle w:val="TableText0"/>
              <w:keepNext w:val="0"/>
              <w:rPr>
                <w:szCs w:val="20"/>
                <w:vertAlign w:val="superscript"/>
              </w:rPr>
            </w:pPr>
            <w:r w:rsidRPr="00B57220">
              <w:rPr>
                <w:szCs w:val="20"/>
              </w:rPr>
              <w:t>12.2 vs. 11.48 mg/day</w:t>
            </w:r>
            <w:r w:rsidRPr="00B57220">
              <w:rPr>
                <w:szCs w:val="20"/>
                <w:vertAlign w:val="superscript"/>
              </w:rPr>
              <w:t>a</w:t>
            </w:r>
          </w:p>
        </w:tc>
        <w:tc>
          <w:tcPr>
            <w:tcW w:w="1623" w:type="pct"/>
            <w:tcMar>
              <w:left w:w="28" w:type="dxa"/>
              <w:right w:w="28" w:type="dxa"/>
            </w:tcMar>
          </w:tcPr>
          <w:p w14:paraId="63CB2910" w14:textId="77777777" w:rsidR="00D15B5D" w:rsidRPr="00B57220" w:rsidRDefault="00D15B5D" w:rsidP="005D76D5">
            <w:pPr>
              <w:pStyle w:val="TableText0"/>
              <w:keepNext w:val="0"/>
              <w:rPr>
                <w:szCs w:val="20"/>
              </w:rPr>
            </w:pPr>
            <w:r w:rsidRPr="00B57220">
              <w:rPr>
                <w:szCs w:val="20"/>
              </w:rPr>
              <w:t>12.5 vs. 15.0 mg/day</w:t>
            </w:r>
            <w:r w:rsidRPr="00B57220">
              <w:rPr>
                <w:szCs w:val="20"/>
                <w:vertAlign w:val="superscript"/>
              </w:rPr>
              <w:t>a</w:t>
            </w:r>
          </w:p>
        </w:tc>
      </w:tr>
      <w:tr w:rsidR="006F2ADF" w:rsidRPr="00B57220" w14:paraId="6CEF100A" w14:textId="77777777" w:rsidTr="00B57220">
        <w:trPr>
          <w:cantSplit/>
          <w:trHeight w:val="244"/>
        </w:trPr>
        <w:tc>
          <w:tcPr>
            <w:tcW w:w="1460" w:type="pct"/>
            <w:tcMar>
              <w:left w:w="28" w:type="dxa"/>
              <w:right w:w="28" w:type="dxa"/>
            </w:tcMar>
          </w:tcPr>
          <w:p w14:paraId="2604FBF9" w14:textId="77777777" w:rsidR="00D15B5D" w:rsidRPr="00B57220" w:rsidRDefault="00D15B5D" w:rsidP="005D76D5">
            <w:pPr>
              <w:pStyle w:val="TableText0"/>
              <w:keepNext w:val="0"/>
              <w:rPr>
                <w:szCs w:val="20"/>
              </w:rPr>
            </w:pPr>
            <w:r w:rsidRPr="00B57220">
              <w:rPr>
                <w:szCs w:val="20"/>
              </w:rPr>
              <w:t>Mean number of exacerbations in the previous year</w:t>
            </w:r>
          </w:p>
        </w:tc>
        <w:tc>
          <w:tcPr>
            <w:tcW w:w="1917" w:type="pct"/>
            <w:tcMar>
              <w:left w:w="28" w:type="dxa"/>
              <w:right w:w="28" w:type="dxa"/>
            </w:tcMar>
          </w:tcPr>
          <w:p w14:paraId="2843521B" w14:textId="77777777" w:rsidR="00D15B5D" w:rsidRPr="00B57220" w:rsidRDefault="00D15B5D" w:rsidP="005D76D5">
            <w:pPr>
              <w:pStyle w:val="TableText0"/>
              <w:keepNext w:val="0"/>
              <w:rPr>
                <w:szCs w:val="20"/>
                <w:vertAlign w:val="superscript"/>
              </w:rPr>
            </w:pPr>
            <w:r w:rsidRPr="00B57220">
              <w:rPr>
                <w:szCs w:val="20"/>
              </w:rPr>
              <w:t>1.97 vs. 2.08</w:t>
            </w:r>
            <w:r w:rsidRPr="00B57220">
              <w:rPr>
                <w:szCs w:val="20"/>
                <w:vertAlign w:val="superscript"/>
              </w:rPr>
              <w:t>a</w:t>
            </w:r>
          </w:p>
        </w:tc>
        <w:tc>
          <w:tcPr>
            <w:tcW w:w="1623" w:type="pct"/>
            <w:tcMar>
              <w:left w:w="28" w:type="dxa"/>
              <w:right w:w="28" w:type="dxa"/>
            </w:tcMar>
          </w:tcPr>
          <w:p w14:paraId="39B196B2" w14:textId="77777777" w:rsidR="00D15B5D" w:rsidRPr="00B57220" w:rsidRDefault="00D15B5D" w:rsidP="005D76D5">
            <w:pPr>
              <w:pStyle w:val="TableText0"/>
              <w:keepNext w:val="0"/>
              <w:rPr>
                <w:szCs w:val="20"/>
                <w:vertAlign w:val="superscript"/>
              </w:rPr>
            </w:pPr>
            <w:r w:rsidRPr="00B57220">
              <w:rPr>
                <w:szCs w:val="20"/>
              </w:rPr>
              <w:t>3.3 vs. 2.9</w:t>
            </w:r>
            <w:r w:rsidRPr="00B57220">
              <w:rPr>
                <w:szCs w:val="20"/>
                <w:vertAlign w:val="superscript"/>
              </w:rPr>
              <w:t>a</w:t>
            </w:r>
          </w:p>
        </w:tc>
      </w:tr>
      <w:tr w:rsidR="006F2ADF" w:rsidRPr="00B57220" w14:paraId="0B6D0653" w14:textId="77777777" w:rsidTr="00B57220">
        <w:trPr>
          <w:cantSplit/>
          <w:trHeight w:val="244"/>
        </w:trPr>
        <w:tc>
          <w:tcPr>
            <w:tcW w:w="5000" w:type="pct"/>
            <w:gridSpan w:val="3"/>
            <w:shd w:val="clear" w:color="auto" w:fill="auto"/>
            <w:tcMar>
              <w:left w:w="28" w:type="dxa"/>
              <w:right w:w="28" w:type="dxa"/>
            </w:tcMar>
          </w:tcPr>
          <w:p w14:paraId="2A47469F" w14:textId="77777777" w:rsidR="00D15B5D" w:rsidRPr="00B57220" w:rsidRDefault="00D15B5D" w:rsidP="005D76D5">
            <w:pPr>
              <w:pStyle w:val="TableText0"/>
              <w:keepNext w:val="0"/>
              <w:rPr>
                <w:b/>
                <w:szCs w:val="20"/>
              </w:rPr>
            </w:pPr>
            <w:r w:rsidRPr="00B57220">
              <w:rPr>
                <w:b/>
                <w:szCs w:val="20"/>
              </w:rPr>
              <w:t>ITC # 6: dupilumab vs. omalizumab in allergic asthma with OCS dependence</w:t>
            </w:r>
          </w:p>
        </w:tc>
      </w:tr>
      <w:tr w:rsidR="006F2ADF" w:rsidRPr="00B57220" w14:paraId="3056C080" w14:textId="77777777" w:rsidTr="00B57220">
        <w:trPr>
          <w:cantSplit/>
          <w:trHeight w:val="244"/>
        </w:trPr>
        <w:tc>
          <w:tcPr>
            <w:tcW w:w="1460" w:type="pct"/>
            <w:shd w:val="clear" w:color="auto" w:fill="auto"/>
            <w:tcMar>
              <w:left w:w="28" w:type="dxa"/>
              <w:right w:w="28" w:type="dxa"/>
            </w:tcMar>
          </w:tcPr>
          <w:p w14:paraId="70985958" w14:textId="77777777" w:rsidR="00D15B5D" w:rsidRPr="00B57220" w:rsidRDefault="00D15B5D" w:rsidP="005D76D5">
            <w:pPr>
              <w:pStyle w:val="TableText0"/>
              <w:keepNext w:val="0"/>
              <w:rPr>
                <w:szCs w:val="20"/>
              </w:rPr>
            </w:pPr>
            <w:r w:rsidRPr="00B57220">
              <w:rPr>
                <w:szCs w:val="20"/>
              </w:rPr>
              <w:t>Trials or relevant subgroups</w:t>
            </w:r>
          </w:p>
        </w:tc>
        <w:tc>
          <w:tcPr>
            <w:tcW w:w="1917" w:type="pct"/>
            <w:shd w:val="clear" w:color="auto" w:fill="auto"/>
            <w:tcMar>
              <w:left w:w="28" w:type="dxa"/>
              <w:right w:w="28" w:type="dxa"/>
            </w:tcMar>
          </w:tcPr>
          <w:p w14:paraId="1FA871D8" w14:textId="77777777" w:rsidR="00D15B5D" w:rsidRPr="00B57220" w:rsidRDefault="00D15B5D" w:rsidP="005D76D5">
            <w:pPr>
              <w:pStyle w:val="TableText0"/>
              <w:keepNext w:val="0"/>
              <w:rPr>
                <w:szCs w:val="20"/>
              </w:rPr>
            </w:pPr>
            <w:r w:rsidRPr="00B57220">
              <w:rPr>
                <w:szCs w:val="20"/>
              </w:rPr>
              <w:t>VENTURE (n=86)</w:t>
            </w:r>
          </w:p>
        </w:tc>
        <w:tc>
          <w:tcPr>
            <w:tcW w:w="1623" w:type="pct"/>
            <w:shd w:val="clear" w:color="auto" w:fill="auto"/>
            <w:tcMar>
              <w:left w:w="28" w:type="dxa"/>
              <w:right w:w="28" w:type="dxa"/>
            </w:tcMar>
          </w:tcPr>
          <w:p w14:paraId="1C241C1A" w14:textId="77777777" w:rsidR="00D15B5D" w:rsidRPr="00B57220" w:rsidRDefault="00D15B5D" w:rsidP="005D76D5">
            <w:pPr>
              <w:pStyle w:val="TableText0"/>
              <w:keepNext w:val="0"/>
              <w:rPr>
                <w:szCs w:val="20"/>
              </w:rPr>
            </w:pPr>
            <w:r w:rsidRPr="00B57220">
              <w:rPr>
                <w:szCs w:val="20"/>
              </w:rPr>
              <w:t>EXTRA (M3 subgroup) (n=144)</w:t>
            </w:r>
          </w:p>
        </w:tc>
      </w:tr>
      <w:tr w:rsidR="006F2ADF" w:rsidRPr="00B57220" w14:paraId="6B2707E1" w14:textId="77777777" w:rsidTr="00B57220">
        <w:trPr>
          <w:cantSplit/>
          <w:trHeight w:val="244"/>
        </w:trPr>
        <w:tc>
          <w:tcPr>
            <w:tcW w:w="1460" w:type="pct"/>
            <w:tcMar>
              <w:left w:w="28" w:type="dxa"/>
              <w:right w:w="28" w:type="dxa"/>
            </w:tcMar>
          </w:tcPr>
          <w:p w14:paraId="0B23CB0A" w14:textId="77777777" w:rsidR="00D15B5D" w:rsidRPr="00B57220" w:rsidRDefault="00D15B5D" w:rsidP="005D76D5">
            <w:pPr>
              <w:pStyle w:val="TableText0"/>
              <w:keepNext w:val="0"/>
              <w:rPr>
                <w:szCs w:val="20"/>
              </w:rPr>
            </w:pPr>
            <w:r w:rsidRPr="00B57220">
              <w:rPr>
                <w:szCs w:val="20"/>
              </w:rPr>
              <w:t>OCS dose at baseline, inclusion criteria</w:t>
            </w:r>
          </w:p>
        </w:tc>
        <w:tc>
          <w:tcPr>
            <w:tcW w:w="1917" w:type="pct"/>
            <w:tcMar>
              <w:left w:w="28" w:type="dxa"/>
              <w:right w:w="28" w:type="dxa"/>
            </w:tcMar>
          </w:tcPr>
          <w:p w14:paraId="7730FE9E" w14:textId="77777777" w:rsidR="00D15B5D" w:rsidRPr="00B57220" w:rsidRDefault="00D15B5D" w:rsidP="005D76D5">
            <w:pPr>
              <w:pStyle w:val="TableText0"/>
              <w:keepNext w:val="0"/>
              <w:rPr>
                <w:szCs w:val="20"/>
              </w:rPr>
            </w:pPr>
            <w:r w:rsidRPr="00B57220">
              <w:rPr>
                <w:szCs w:val="20"/>
              </w:rPr>
              <w:t>5-35</w:t>
            </w:r>
            <w:r w:rsidR="00BD0B8F" w:rsidRPr="00B57220">
              <w:rPr>
                <w:szCs w:val="20"/>
              </w:rPr>
              <w:t xml:space="preserve"> </w:t>
            </w:r>
            <w:r w:rsidRPr="00B57220">
              <w:rPr>
                <w:szCs w:val="20"/>
              </w:rPr>
              <w:t>mg/day</w:t>
            </w:r>
          </w:p>
        </w:tc>
        <w:tc>
          <w:tcPr>
            <w:tcW w:w="1623" w:type="pct"/>
            <w:tcMar>
              <w:left w:w="28" w:type="dxa"/>
              <w:right w:w="28" w:type="dxa"/>
            </w:tcMar>
          </w:tcPr>
          <w:p w14:paraId="2DA4F83F" w14:textId="77777777" w:rsidR="00D15B5D" w:rsidRPr="00B57220" w:rsidRDefault="00D15B5D" w:rsidP="005D76D5">
            <w:pPr>
              <w:pStyle w:val="TableText0"/>
              <w:keepNext w:val="0"/>
              <w:rPr>
                <w:szCs w:val="20"/>
              </w:rPr>
            </w:pPr>
            <w:r w:rsidRPr="00B57220">
              <w:rPr>
                <w:szCs w:val="20"/>
              </w:rPr>
              <w:t>2-40</w:t>
            </w:r>
            <w:r w:rsidR="00BD0B8F" w:rsidRPr="00B57220">
              <w:rPr>
                <w:szCs w:val="20"/>
              </w:rPr>
              <w:t xml:space="preserve"> </w:t>
            </w:r>
            <w:r w:rsidRPr="00B57220">
              <w:rPr>
                <w:szCs w:val="20"/>
              </w:rPr>
              <w:t>mg/day OR</w:t>
            </w:r>
          </w:p>
          <w:p w14:paraId="2CD464AD" w14:textId="77777777" w:rsidR="00D15B5D" w:rsidRPr="00B57220" w:rsidRDefault="00D15B5D" w:rsidP="005D76D5">
            <w:pPr>
              <w:pStyle w:val="TableText0"/>
              <w:keepNext w:val="0"/>
              <w:rPr>
                <w:szCs w:val="20"/>
              </w:rPr>
            </w:pPr>
            <w:r w:rsidRPr="00B57220">
              <w:rPr>
                <w:szCs w:val="20"/>
              </w:rPr>
              <w:t>5-80</w:t>
            </w:r>
            <w:r w:rsidR="00BD0B8F" w:rsidRPr="00B57220">
              <w:rPr>
                <w:szCs w:val="20"/>
              </w:rPr>
              <w:t xml:space="preserve"> </w:t>
            </w:r>
            <w:r w:rsidRPr="00B57220">
              <w:rPr>
                <w:szCs w:val="20"/>
              </w:rPr>
              <w:t>mg every other day</w:t>
            </w:r>
          </w:p>
        </w:tc>
      </w:tr>
      <w:tr w:rsidR="006F2ADF" w:rsidRPr="00B57220" w14:paraId="739128A8" w14:textId="77777777" w:rsidTr="00B57220">
        <w:trPr>
          <w:cantSplit/>
          <w:trHeight w:val="244"/>
        </w:trPr>
        <w:tc>
          <w:tcPr>
            <w:tcW w:w="1460" w:type="pct"/>
            <w:tcMar>
              <w:left w:w="28" w:type="dxa"/>
              <w:right w:w="28" w:type="dxa"/>
            </w:tcMar>
          </w:tcPr>
          <w:p w14:paraId="53662412" w14:textId="77777777" w:rsidR="00D15B5D" w:rsidRPr="00B57220" w:rsidRDefault="00D15B5D" w:rsidP="005D76D5">
            <w:pPr>
              <w:pStyle w:val="TableText0"/>
              <w:keepNext w:val="0"/>
              <w:rPr>
                <w:szCs w:val="20"/>
              </w:rPr>
            </w:pPr>
            <w:r w:rsidRPr="00B57220">
              <w:rPr>
                <w:szCs w:val="20"/>
              </w:rPr>
              <w:t>Duration of treatment</w:t>
            </w:r>
          </w:p>
        </w:tc>
        <w:tc>
          <w:tcPr>
            <w:tcW w:w="1917" w:type="pct"/>
            <w:tcMar>
              <w:left w:w="28" w:type="dxa"/>
              <w:right w:w="28" w:type="dxa"/>
            </w:tcMar>
          </w:tcPr>
          <w:p w14:paraId="10829E95" w14:textId="77777777" w:rsidR="00D15B5D" w:rsidRPr="00B57220" w:rsidRDefault="00D15B5D" w:rsidP="005D76D5">
            <w:pPr>
              <w:pStyle w:val="TableText0"/>
              <w:keepNext w:val="0"/>
              <w:rPr>
                <w:szCs w:val="20"/>
              </w:rPr>
            </w:pPr>
            <w:r w:rsidRPr="00B57220">
              <w:rPr>
                <w:szCs w:val="20"/>
              </w:rPr>
              <w:t>24 wks</w:t>
            </w:r>
          </w:p>
        </w:tc>
        <w:tc>
          <w:tcPr>
            <w:tcW w:w="1623" w:type="pct"/>
            <w:tcMar>
              <w:left w:w="28" w:type="dxa"/>
              <w:right w:w="28" w:type="dxa"/>
            </w:tcMar>
          </w:tcPr>
          <w:p w14:paraId="7E0A7E03" w14:textId="77777777" w:rsidR="00D15B5D" w:rsidRPr="00B57220" w:rsidRDefault="00D15B5D" w:rsidP="005D76D5">
            <w:pPr>
              <w:pStyle w:val="TableText0"/>
              <w:keepNext w:val="0"/>
              <w:rPr>
                <w:szCs w:val="20"/>
              </w:rPr>
            </w:pPr>
            <w:r w:rsidRPr="00B57220">
              <w:rPr>
                <w:szCs w:val="20"/>
              </w:rPr>
              <w:t>48 wks</w:t>
            </w:r>
          </w:p>
        </w:tc>
      </w:tr>
    </w:tbl>
    <w:p w14:paraId="22D1A0B5" w14:textId="77777777" w:rsidR="005D76D5" w:rsidRPr="00193BC1" w:rsidRDefault="005D76D5" w:rsidP="00B57220">
      <w:pPr>
        <w:pStyle w:val="TableFigureFooter"/>
      </w:pPr>
      <w:r w:rsidRPr="00193BC1">
        <w:lastRenderedPageBreak/>
        <w:t xml:space="preserve">Source: </w:t>
      </w:r>
      <w:r w:rsidR="00254813" w:rsidRPr="00193BC1">
        <w:t xml:space="preserve">Data extracted from </w:t>
      </w:r>
      <w:r w:rsidRPr="00193BC1">
        <w:t>Table 2.20, Table 2.25, of the submission, Table 10, Table 34, Table 44 in Attachment 7 ITC_Final Report_v7.1 Non-OCS Dependent Asthma Australia; Table 10, p23, Table 17, p32, Attachment 8 ITC_Final Report_v7.1 OCS-dependent Asthma Australia; Table 14, p 73 of the VENTURE CSR; Table 1, p 577 of Hanania et. al., 2011.</w:t>
      </w:r>
    </w:p>
    <w:p w14:paraId="5F0EF3FA" w14:textId="77777777" w:rsidR="005D76D5" w:rsidRPr="00193BC1" w:rsidRDefault="005D76D5" w:rsidP="00B57220">
      <w:pPr>
        <w:pStyle w:val="TableFigureFooter"/>
        <w:rPr>
          <w:szCs w:val="18"/>
        </w:rPr>
      </w:pPr>
      <w:r w:rsidRPr="00193BC1">
        <w:rPr>
          <w:szCs w:val="18"/>
        </w:rPr>
        <w:t xml:space="preserve">DRI = DRI12544; ICS = inhaled corticosteroid; LABA = long-acting beta agonist; NR = not reported; ITT = intention-to-treat population; OCS = oral glucocorticoid; ppFEV1 = percent predicted forced expiratory volume in the first second </w:t>
      </w:r>
    </w:p>
    <w:p w14:paraId="5BB2AED0" w14:textId="77777777" w:rsidR="005D76D5" w:rsidRPr="00193BC1" w:rsidRDefault="005D76D5" w:rsidP="00B57220">
      <w:pPr>
        <w:pStyle w:val="TableFigureFooter"/>
        <w:rPr>
          <w:szCs w:val="18"/>
        </w:rPr>
      </w:pPr>
      <w:r w:rsidRPr="00193BC1">
        <w:rPr>
          <w:szCs w:val="18"/>
          <w:vertAlign w:val="superscript"/>
        </w:rPr>
        <w:t xml:space="preserve">a </w:t>
      </w:r>
      <w:r w:rsidRPr="00193BC1">
        <w:rPr>
          <w:szCs w:val="18"/>
        </w:rPr>
        <w:t>Active treatment arm vs. placebo arm</w:t>
      </w:r>
    </w:p>
    <w:p w14:paraId="70E9381A" w14:textId="77777777" w:rsidR="005D76D5" w:rsidRPr="00193BC1" w:rsidRDefault="005D76D5" w:rsidP="00B57220">
      <w:pPr>
        <w:pStyle w:val="TableFigureFooter"/>
        <w:rPr>
          <w:szCs w:val="18"/>
        </w:rPr>
      </w:pPr>
      <w:r w:rsidRPr="00193BC1">
        <w:rPr>
          <w:szCs w:val="18"/>
          <w:vertAlign w:val="superscript"/>
        </w:rPr>
        <w:t xml:space="preserve">b </w:t>
      </w:r>
      <w:r w:rsidRPr="00193BC1">
        <w:rPr>
          <w:szCs w:val="18"/>
        </w:rPr>
        <w:t>Relevant data not available for the medium ICS subgroup in CALIMA (n=96/583)</w:t>
      </w:r>
    </w:p>
    <w:p w14:paraId="3E1A35C8" w14:textId="77777777" w:rsidR="00AB544A" w:rsidRPr="00193BC1" w:rsidRDefault="005D76D5" w:rsidP="00B57220">
      <w:pPr>
        <w:pStyle w:val="TableFigureFooter"/>
        <w:rPr>
          <w:szCs w:val="18"/>
        </w:rPr>
      </w:pPr>
      <w:r w:rsidRPr="00193BC1">
        <w:rPr>
          <w:szCs w:val="18"/>
          <w:vertAlign w:val="superscript"/>
        </w:rPr>
        <w:t xml:space="preserve">c </w:t>
      </w:r>
      <w:r w:rsidRPr="00193BC1">
        <w:rPr>
          <w:szCs w:val="18"/>
        </w:rPr>
        <w:t>48% of the intention-to-treat population in DRI12544 took medium-dose ICS (defined as a minimum of 500µg/day)</w:t>
      </w:r>
    </w:p>
    <w:p w14:paraId="0E8E08B5" w14:textId="77777777" w:rsidR="00D15B5D" w:rsidRPr="00193BC1" w:rsidRDefault="00590BE1" w:rsidP="00BE02F3">
      <w:pPr>
        <w:pStyle w:val="3-BodyText"/>
      </w:pPr>
      <w:r w:rsidRPr="00193BC1">
        <w:t>T</w:t>
      </w:r>
      <w:r w:rsidR="000B13AF" w:rsidRPr="00193BC1">
        <w:t xml:space="preserve">he comparison of the relevant trial subpopulations was limited by the inadequate data provided by the submission, especially for trials subgroups included in #6 ITC. In addition, </w:t>
      </w:r>
      <w:r w:rsidR="00933552" w:rsidRPr="00193BC1">
        <w:t xml:space="preserve">as </w:t>
      </w:r>
      <w:r w:rsidR="000B13AF" w:rsidRPr="00193BC1">
        <w:t>placebo-based ITC</w:t>
      </w:r>
      <w:r w:rsidR="00D15B5D" w:rsidRPr="00193BC1">
        <w:t>s</w:t>
      </w:r>
      <w:r w:rsidR="000B13AF" w:rsidRPr="00193BC1">
        <w:t xml:space="preserve"> involving subgroups or trials do not preserve randomisation, the possibility of confounding from other unmeasu</w:t>
      </w:r>
      <w:r w:rsidR="00D15B5D" w:rsidRPr="00193BC1">
        <w:t>red factors cannot be excluded.</w:t>
      </w:r>
      <w:r w:rsidR="000B13AF" w:rsidRPr="00193BC1">
        <w:t xml:space="preserve"> With the data available, there were major transitivity concerns, which was supported by the dissimilar event rates in the common comparator (placebo) arms across trials.</w:t>
      </w:r>
    </w:p>
    <w:p w14:paraId="79F0D36E" w14:textId="77777777" w:rsidR="00CD5749" w:rsidRPr="00193BC1" w:rsidRDefault="006C1C7A" w:rsidP="001716E0">
      <w:pPr>
        <w:pStyle w:val="3-BodyText"/>
      </w:pPr>
      <w:r w:rsidRPr="00193BC1">
        <w:t>The</w:t>
      </w:r>
      <w:r w:rsidR="00685EEB" w:rsidRPr="00193BC1">
        <w:t xml:space="preserve"> ESC considered that</w:t>
      </w:r>
      <w:r w:rsidRPr="00193BC1">
        <w:t xml:space="preserve"> treatment arms were not balanced in terms of prognostic factors and so the two populations in each ITC were not transitive. </w:t>
      </w:r>
      <w:r w:rsidR="00BE250A" w:rsidRPr="00193BC1">
        <w:t>The dupilumab trials for non-OCS dependent asthma</w:t>
      </w:r>
      <w:r w:rsidR="006B70A0" w:rsidRPr="00193BC1">
        <w:t xml:space="preserve"> (QUEST and DRI12544)</w:t>
      </w:r>
      <w:r w:rsidR="00BE250A" w:rsidRPr="00193BC1">
        <w:t xml:space="preserve"> enrolled moderate-to-severe asthma, with medium-to-high dose ICS</w:t>
      </w:r>
      <w:r w:rsidR="007B6D61" w:rsidRPr="00193BC1">
        <w:t xml:space="preserve"> (</w:t>
      </w:r>
      <w:r w:rsidR="00AC5EE6" w:rsidRPr="00193BC1">
        <w:t>nearly</w:t>
      </w:r>
      <w:r w:rsidR="007B6D61" w:rsidRPr="00193BC1">
        <w:t xml:space="preserve"> 50% of patients enrolled in both trials were on medium-dose ICS at baseline)</w:t>
      </w:r>
      <w:r w:rsidR="00BE250A" w:rsidRPr="00193BC1">
        <w:t xml:space="preserve">. This is a less severe form of asthma than </w:t>
      </w:r>
      <w:r w:rsidR="00D02523" w:rsidRPr="00193BC1">
        <w:t xml:space="preserve">studied in the comparator trials, and </w:t>
      </w:r>
      <w:r w:rsidR="00BE250A" w:rsidRPr="00193BC1">
        <w:t>the target population</w:t>
      </w:r>
      <w:r w:rsidR="00D02523" w:rsidRPr="00193BC1">
        <w:t>.</w:t>
      </w:r>
    </w:p>
    <w:p w14:paraId="26EC0E56" w14:textId="77777777" w:rsidR="00BE250A" w:rsidRPr="00193BC1" w:rsidRDefault="00CD5749" w:rsidP="001716E0">
      <w:pPr>
        <w:pStyle w:val="3-BodyText"/>
      </w:pPr>
      <w:r w:rsidRPr="00193BC1">
        <w:t>P</w:t>
      </w:r>
      <w:r w:rsidR="003405CF" w:rsidRPr="00193BC1">
        <w:t>atients in QUEST</w:t>
      </w:r>
      <w:r w:rsidR="00836791" w:rsidRPr="00193BC1">
        <w:t xml:space="preserve"> and DRI12544</w:t>
      </w:r>
      <w:r w:rsidR="003405CF" w:rsidRPr="00193BC1">
        <w:t xml:space="preserve"> were allowed to receive a transient increase in dose of ICS in addition to reliever/rescue medication to treat acute symptoms of asthma, as per investigator’s guidance. </w:t>
      </w:r>
      <w:r w:rsidR="00685EEB" w:rsidRPr="00193BC1">
        <w:t>The ESC noted that t</w:t>
      </w:r>
      <w:r w:rsidR="003405CF" w:rsidRPr="00193BC1">
        <w:t>his is not an option for patients on maximal ICS therapy, such as the target populati</w:t>
      </w:r>
      <w:r w:rsidR="00EB3D1A" w:rsidRPr="00193BC1">
        <w:t xml:space="preserve">on, </w:t>
      </w:r>
      <w:r w:rsidR="00685EEB" w:rsidRPr="00193BC1">
        <w:t xml:space="preserve">and considered this </w:t>
      </w:r>
      <w:r w:rsidR="00EB3D1A" w:rsidRPr="00193BC1">
        <w:t>adds uncertainty to the applicability of the efficacy results.</w:t>
      </w:r>
      <w:r w:rsidR="007A12C1" w:rsidRPr="00193BC1">
        <w:t xml:space="preserve"> </w:t>
      </w:r>
    </w:p>
    <w:p w14:paraId="48EEB7F5" w14:textId="77777777" w:rsidR="00B60939" w:rsidRPr="00193BC1" w:rsidRDefault="00B60939" w:rsidP="00580E2F">
      <w:pPr>
        <w:pStyle w:val="4-SubsectionHeading"/>
        <w:keepNext w:val="0"/>
      </w:pPr>
      <w:bookmarkStart w:id="17" w:name="_Toc22897641"/>
      <w:bookmarkStart w:id="18" w:name="_Toc50399840"/>
      <w:r w:rsidRPr="00193BC1">
        <w:t>Comparative effectiveness</w:t>
      </w:r>
      <w:bookmarkEnd w:id="17"/>
      <w:bookmarkEnd w:id="18"/>
    </w:p>
    <w:p w14:paraId="09140D1F" w14:textId="77777777" w:rsidR="00171EAC" w:rsidRPr="00193BC1" w:rsidRDefault="00797BC5" w:rsidP="001716E0">
      <w:pPr>
        <w:pStyle w:val="3-BodyText"/>
      </w:pPr>
      <w:r w:rsidRPr="00193BC1">
        <w:t>Table 6</w:t>
      </w:r>
      <w:r w:rsidR="009B371D" w:rsidRPr="00193BC1">
        <w:t xml:space="preserve"> presents the annual asthma exacerbation rates for non-OCS dependent asthma. </w:t>
      </w:r>
      <w:r w:rsidRPr="00193BC1">
        <w:t>Table 7</w:t>
      </w:r>
      <w:r w:rsidR="009B371D" w:rsidRPr="00193BC1">
        <w:t xml:space="preserve"> presents the annual asthma exacerbation rates for OCS-dependent asthma.</w:t>
      </w:r>
      <w:r w:rsidR="0015446D" w:rsidRPr="00193BC1">
        <w:t xml:space="preserve"> These comparisons correspond with the four population</w:t>
      </w:r>
      <w:r w:rsidR="00E73FE7" w:rsidRPr="00193BC1">
        <w:t xml:space="preserve"> subgroups</w:t>
      </w:r>
      <w:r w:rsidR="0015446D" w:rsidRPr="00193BC1">
        <w:t xml:space="preserve">, defined as 1a, 1b, 2a, 2b, as described in </w:t>
      </w:r>
      <w:r w:rsidRPr="00193BC1">
        <w:t>Table 4</w:t>
      </w:r>
      <w:r w:rsidR="00A56434" w:rsidRPr="00193BC1">
        <w:t xml:space="preserve"> </w:t>
      </w:r>
      <w:r w:rsidR="0015446D" w:rsidRPr="00193BC1">
        <w:t xml:space="preserve">above. </w:t>
      </w:r>
      <w:r w:rsidR="006E309C" w:rsidRPr="00193BC1">
        <w:t>The benralizumab and mepolizumab</w:t>
      </w:r>
      <w:r w:rsidR="005D629A" w:rsidRPr="00193BC1">
        <w:t xml:space="preserve"> trials had</w:t>
      </w:r>
      <w:r w:rsidR="006E309C" w:rsidRPr="00193BC1">
        <w:t xml:space="preserve"> a higher rate of asthma exacerbations/year in the placebo groups, compared to the placebo groups in the dupilumab trials, </w:t>
      </w:r>
      <w:r w:rsidR="00833548" w:rsidRPr="00193BC1">
        <w:t>despite having patients on higher doses of ICS and some patients on OCS</w:t>
      </w:r>
      <w:r w:rsidR="00792F25" w:rsidRPr="00193BC1">
        <w:t>; these patients</w:t>
      </w:r>
      <w:r w:rsidR="00431344" w:rsidRPr="00193BC1">
        <w:t xml:space="preserve"> likely</w:t>
      </w:r>
      <w:r w:rsidR="00792F25" w:rsidRPr="00193BC1">
        <w:t xml:space="preserve"> had more severe disease</w:t>
      </w:r>
      <w:r w:rsidR="006E309C" w:rsidRPr="00193BC1">
        <w:t xml:space="preserve">. </w:t>
      </w:r>
      <w:r w:rsidR="00590BE1" w:rsidRPr="00193BC1">
        <w:t>T</w:t>
      </w:r>
      <w:r w:rsidR="0076028F" w:rsidRPr="00193BC1">
        <w:t xml:space="preserve">his metric </w:t>
      </w:r>
      <w:r w:rsidR="000A4951" w:rsidRPr="00193BC1">
        <w:t xml:space="preserve">alone </w:t>
      </w:r>
      <w:r w:rsidR="00595537" w:rsidRPr="00193BC1">
        <w:t xml:space="preserve">may </w:t>
      </w:r>
      <w:r w:rsidR="001420D2" w:rsidRPr="00193BC1">
        <w:t>not</w:t>
      </w:r>
      <w:r w:rsidR="00792F25" w:rsidRPr="00193BC1">
        <w:t xml:space="preserve"> accurately </w:t>
      </w:r>
      <w:r w:rsidR="006C6B39" w:rsidRPr="00193BC1">
        <w:t>depict</w:t>
      </w:r>
      <w:r w:rsidR="00792F25" w:rsidRPr="00193BC1">
        <w:t xml:space="preserve"> disease severity</w:t>
      </w:r>
      <w:r w:rsidR="0076028F" w:rsidRPr="00193BC1">
        <w:t xml:space="preserve">; if two patients have the same exacerbation rate, but one is on high-dose ICS and the other is on medium-dose ICS, then these patients do not suffer equivalent </w:t>
      </w:r>
      <w:r w:rsidR="00B5142A" w:rsidRPr="00193BC1">
        <w:t xml:space="preserve">disease </w:t>
      </w:r>
      <w:r w:rsidR="0076028F" w:rsidRPr="00193BC1">
        <w:t>severity.</w:t>
      </w:r>
      <w:r w:rsidR="007A12C1" w:rsidRPr="00193BC1">
        <w:t xml:space="preserve"> </w:t>
      </w:r>
    </w:p>
    <w:p w14:paraId="61480CF1" w14:textId="77777777" w:rsidR="009B371D" w:rsidRPr="00193BC1" w:rsidRDefault="00434C77" w:rsidP="00B57220">
      <w:pPr>
        <w:pStyle w:val="TableFigureHeading"/>
        <w:keepLines/>
        <w:widowControl w:val="0"/>
        <w:rPr>
          <w:rStyle w:val="CommentReference"/>
          <w:b/>
          <w:szCs w:val="24"/>
        </w:rPr>
      </w:pPr>
      <w:bookmarkStart w:id="19" w:name="_Ref49792400"/>
      <w:r w:rsidRPr="00193BC1">
        <w:lastRenderedPageBreak/>
        <w:t xml:space="preserve">Table </w:t>
      </w:r>
      <w:r w:rsidR="00797BC5" w:rsidRPr="00193BC1">
        <w:t>6</w:t>
      </w:r>
      <w:bookmarkEnd w:id="19"/>
      <w:r w:rsidR="009B371D" w:rsidRPr="00193BC1">
        <w:rPr>
          <w:rStyle w:val="CommentReference"/>
          <w:b/>
          <w:szCs w:val="24"/>
        </w:rPr>
        <w:t>: Asthma exacerbations – submission subgroups 1a and 1b; dupilumab 200 mg (ITT population) and comparators</w:t>
      </w:r>
    </w:p>
    <w:tbl>
      <w:tblPr>
        <w:tblStyle w:val="TableGrid"/>
        <w:tblW w:w="5000" w:type="pct"/>
        <w:tblLook w:val="04A0" w:firstRow="1" w:lastRow="0" w:firstColumn="1" w:lastColumn="0" w:noHBand="0" w:noVBand="1"/>
        <w:tblCaption w:val="Table 6: Asthma exacerbations – submission subgroups 1a and 1b; dupilumab 200 mg (ITT population) and comparators"/>
        <w:tblDescription w:val="Table 6: Asthma exacerbations – submission subgroups 1a and 1b; dupilumab 200 mg (ITT population) and comparators"/>
      </w:tblPr>
      <w:tblGrid>
        <w:gridCol w:w="2098"/>
        <w:gridCol w:w="1122"/>
        <w:gridCol w:w="1544"/>
        <w:gridCol w:w="1544"/>
        <w:gridCol w:w="1544"/>
        <w:gridCol w:w="1165"/>
      </w:tblGrid>
      <w:tr w:rsidR="006F2ADF" w:rsidRPr="00B57220" w14:paraId="4C0072F7" w14:textId="77777777" w:rsidTr="00B57220">
        <w:trPr>
          <w:tblHeader/>
        </w:trPr>
        <w:tc>
          <w:tcPr>
            <w:tcW w:w="1164" w:type="pct"/>
            <w:vMerge w:val="restart"/>
            <w:tcBorders>
              <w:top w:val="single" w:sz="4" w:space="0" w:color="auto"/>
              <w:left w:val="single" w:sz="4" w:space="0" w:color="auto"/>
              <w:right w:val="single" w:sz="4" w:space="0" w:color="auto"/>
            </w:tcBorders>
            <w:tcMar>
              <w:left w:w="28" w:type="dxa"/>
              <w:right w:w="28" w:type="dxa"/>
            </w:tcMar>
            <w:hideMark/>
          </w:tcPr>
          <w:p w14:paraId="2425599C"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Trial</w:t>
            </w:r>
          </w:p>
        </w:tc>
        <w:tc>
          <w:tcPr>
            <w:tcW w:w="1478"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47EB8A44"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Dupilumab 200 mg Q2W</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2242F51"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Placebo</w:t>
            </w:r>
          </w:p>
        </w:tc>
        <w:tc>
          <w:tcPr>
            <w:tcW w:w="1502"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3137FD62"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Comparator</w:t>
            </w:r>
          </w:p>
        </w:tc>
      </w:tr>
      <w:tr w:rsidR="006F2ADF" w:rsidRPr="00B57220" w14:paraId="1B847A58" w14:textId="77777777" w:rsidTr="00B57220">
        <w:trPr>
          <w:tblHeader/>
        </w:trPr>
        <w:tc>
          <w:tcPr>
            <w:tcW w:w="1164" w:type="pct"/>
            <w:vMerge/>
            <w:tcBorders>
              <w:left w:val="single" w:sz="4" w:space="0" w:color="auto"/>
              <w:bottom w:val="single" w:sz="4" w:space="0" w:color="auto"/>
              <w:right w:val="single" w:sz="4" w:space="0" w:color="auto"/>
            </w:tcBorders>
            <w:tcMar>
              <w:left w:w="28" w:type="dxa"/>
              <w:right w:w="28" w:type="dxa"/>
            </w:tcMar>
          </w:tcPr>
          <w:p w14:paraId="484749D1" w14:textId="77777777" w:rsidR="009B371D" w:rsidRPr="00B57220" w:rsidRDefault="009B371D" w:rsidP="00B57220">
            <w:pPr>
              <w:pStyle w:val="TableFigNote"/>
              <w:keepNext/>
              <w:keepLines/>
              <w:widowControl w:val="0"/>
              <w:rPr>
                <w:rFonts w:ascii="Arial Narrow" w:hAnsi="Arial Narrow"/>
                <w:b/>
                <w:bCs/>
                <w:sz w:val="20"/>
                <w:szCs w:val="20"/>
              </w:rPr>
            </w:pP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1E7B9D4"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RR (95%CI)</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1D0F13A"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Rate (exacerbations/yr)</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27C3179D" w14:textId="77777777" w:rsidR="009B371D" w:rsidRPr="00B57220" w:rsidRDefault="006E4EFD" w:rsidP="00B57220">
            <w:pPr>
              <w:keepNext/>
              <w:keepLines/>
              <w:widowControl w:val="0"/>
              <w:rPr>
                <w:rFonts w:ascii="Arial Narrow" w:hAnsi="Arial Narrow"/>
                <w:b/>
                <w:bCs/>
                <w:sz w:val="20"/>
                <w:szCs w:val="20"/>
              </w:rPr>
            </w:pPr>
            <w:r w:rsidRPr="00B57220">
              <w:rPr>
                <w:rFonts w:ascii="Arial Narrow" w:hAnsi="Arial Narrow"/>
                <w:b/>
                <w:bCs/>
                <w:sz w:val="20"/>
                <w:szCs w:val="20"/>
              </w:rPr>
              <w:t>Rate (exacerbations/yr)</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26D97D6"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Rate (exacerbations/yr)</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166B041" w14:textId="77777777" w:rsidR="009B371D" w:rsidRPr="00B57220" w:rsidRDefault="009B371D" w:rsidP="00B57220">
            <w:pPr>
              <w:pStyle w:val="TableFigNote"/>
              <w:keepNext/>
              <w:keepLines/>
              <w:widowControl w:val="0"/>
              <w:rPr>
                <w:rFonts w:ascii="Arial Narrow" w:hAnsi="Arial Narrow"/>
                <w:b/>
                <w:bCs/>
                <w:sz w:val="20"/>
                <w:szCs w:val="20"/>
              </w:rPr>
            </w:pPr>
            <w:r w:rsidRPr="00B57220">
              <w:rPr>
                <w:rFonts w:ascii="Arial Narrow" w:hAnsi="Arial Narrow"/>
                <w:b/>
                <w:bCs/>
                <w:sz w:val="20"/>
                <w:szCs w:val="20"/>
              </w:rPr>
              <w:t>RR (95%CI)</w:t>
            </w:r>
          </w:p>
        </w:tc>
      </w:tr>
      <w:tr w:rsidR="006F2ADF" w:rsidRPr="00B57220" w14:paraId="3DBFA062"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44564C73" w14:textId="77777777" w:rsidR="009B371D" w:rsidRPr="00B57220" w:rsidRDefault="009B371D" w:rsidP="00B57220">
            <w:pPr>
              <w:pStyle w:val="TableFigNote"/>
              <w:keepNext/>
              <w:keepLines/>
              <w:widowControl w:val="0"/>
              <w:rPr>
                <w:rFonts w:ascii="Arial Narrow" w:hAnsi="Arial Narrow"/>
                <w:b/>
                <w:sz w:val="20"/>
                <w:szCs w:val="20"/>
              </w:rPr>
            </w:pPr>
            <w:r w:rsidRPr="00B57220">
              <w:rPr>
                <w:rFonts w:ascii="Arial Narrow" w:hAnsi="Arial Narrow"/>
                <w:b/>
                <w:sz w:val="20"/>
                <w:szCs w:val="20"/>
              </w:rPr>
              <w:t>Dupilumab trials</w:t>
            </w:r>
          </w:p>
        </w:tc>
      </w:tr>
      <w:tr w:rsidR="006F2ADF" w:rsidRPr="00B57220" w14:paraId="4604FC6C"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B78A9D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QUEST (n =952; 631+321) ITT population</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F178513"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0.523 </w:t>
            </w:r>
            <w:r w:rsidRPr="00B57220">
              <w:rPr>
                <w:rFonts w:ascii="Arial Narrow" w:hAnsi="Arial Narrow"/>
                <w:sz w:val="20"/>
                <w:szCs w:val="20"/>
              </w:rPr>
              <w:br/>
              <w:t>(0.413, 0.662)</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459152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0.46 </w:t>
            </w:r>
            <w:r w:rsidRPr="00B57220">
              <w:rPr>
                <w:rFonts w:ascii="Arial Narrow" w:hAnsi="Arial Narrow"/>
                <w:sz w:val="20"/>
                <w:szCs w:val="20"/>
              </w:rPr>
              <w:br/>
              <w:t>(0.39, 0.53)</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88C43B2"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0.87 </w:t>
            </w:r>
            <w:r w:rsidRPr="00B57220">
              <w:rPr>
                <w:rFonts w:ascii="Arial Narrow" w:hAnsi="Arial Narrow"/>
                <w:sz w:val="20"/>
                <w:szCs w:val="20"/>
              </w:rPr>
              <w:br/>
              <w:t>(0.72, 1.05)</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80DB9B1"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1996D5B"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r>
      <w:tr w:rsidR="006F2ADF" w:rsidRPr="00B57220" w14:paraId="424B496B"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8549632"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DRI12544</w:t>
            </w:r>
            <w:r w:rsidR="000D6C18" w:rsidRPr="00B57220">
              <w:rPr>
                <w:rFonts w:ascii="Arial Narrow" w:hAnsi="Arial Narrow"/>
                <w:sz w:val="20"/>
                <w:szCs w:val="20"/>
              </w:rPr>
              <w:t xml:space="preserve"> </w:t>
            </w:r>
            <w:r w:rsidRPr="00B57220">
              <w:rPr>
                <w:rFonts w:ascii="Arial Narrow" w:hAnsi="Arial Narrow"/>
                <w:sz w:val="20"/>
                <w:szCs w:val="20"/>
              </w:rPr>
              <w:t>(n= 308; 150 + 158) ITT population</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012E9A2"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0.300</w:t>
            </w:r>
            <w:r w:rsidRPr="00B57220">
              <w:rPr>
                <w:rFonts w:ascii="Arial Narrow" w:hAnsi="Arial Narrow"/>
                <w:sz w:val="20"/>
                <w:szCs w:val="20"/>
              </w:rPr>
              <w:br/>
              <w:t>(0.159, 0.565)</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099D427"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0.269</w:t>
            </w:r>
            <w:r w:rsidRPr="00B57220">
              <w:rPr>
                <w:rFonts w:ascii="Arial Narrow" w:hAnsi="Arial Narrow"/>
                <w:sz w:val="20"/>
                <w:szCs w:val="20"/>
              </w:rPr>
              <w:br/>
              <w:t>(0.157, 0.461)</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86CB003"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0.897 </w:t>
            </w:r>
            <w:r w:rsidRPr="00B57220">
              <w:rPr>
                <w:rFonts w:ascii="Arial Narrow" w:hAnsi="Arial Narrow"/>
                <w:sz w:val="20"/>
                <w:szCs w:val="20"/>
              </w:rPr>
              <w:br/>
              <w:t>(0.619, 1.300)</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CA946BF"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50BD731"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r>
      <w:tr w:rsidR="006F2ADF" w:rsidRPr="00B57220" w14:paraId="57110457"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5D4C66CF" w14:textId="77777777" w:rsidR="009B371D" w:rsidRPr="00B57220" w:rsidRDefault="009B371D" w:rsidP="00B57220">
            <w:pPr>
              <w:pStyle w:val="TableFigNote"/>
              <w:keepNext/>
              <w:keepLines/>
              <w:widowControl w:val="0"/>
              <w:rPr>
                <w:rFonts w:ascii="Arial Narrow" w:hAnsi="Arial Narrow"/>
                <w:b/>
                <w:sz w:val="20"/>
                <w:szCs w:val="20"/>
              </w:rPr>
            </w:pPr>
            <w:r w:rsidRPr="00B57220">
              <w:rPr>
                <w:rFonts w:ascii="Arial Narrow" w:hAnsi="Arial Narrow"/>
                <w:b/>
                <w:sz w:val="20"/>
                <w:szCs w:val="20"/>
              </w:rPr>
              <w:t>Benralizumab trials</w:t>
            </w:r>
          </w:p>
        </w:tc>
      </w:tr>
      <w:tr w:rsidR="006F2ADF" w:rsidRPr="00B57220" w14:paraId="0684C851"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2E06216"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SIROCCO (n = 534) efficacy population</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51FAFB9"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BA51BDC"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82A7D9F"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1.33 </w:t>
            </w:r>
            <w:r w:rsidRPr="00B57220">
              <w:rPr>
                <w:rFonts w:ascii="Arial Narrow" w:hAnsi="Arial Narrow"/>
                <w:sz w:val="20"/>
                <w:szCs w:val="20"/>
              </w:rPr>
              <w:br/>
              <w:t>(1.12. 1.58)</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122072B"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0.65 </w:t>
            </w:r>
            <w:r w:rsidRPr="00B57220">
              <w:rPr>
                <w:rFonts w:ascii="Arial Narrow" w:hAnsi="Arial Narrow"/>
                <w:sz w:val="20"/>
                <w:szCs w:val="20"/>
              </w:rPr>
              <w:br/>
              <w:t>(0.53, 0.80</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179BE43"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0.49 </w:t>
            </w:r>
            <w:r w:rsidRPr="00B57220">
              <w:rPr>
                <w:rFonts w:ascii="Arial Narrow" w:hAnsi="Arial Narrow"/>
                <w:sz w:val="20"/>
                <w:szCs w:val="20"/>
              </w:rPr>
              <w:br/>
              <w:t>(0.37, 0.64)</w:t>
            </w:r>
          </w:p>
        </w:tc>
      </w:tr>
      <w:tr w:rsidR="006F2ADF" w:rsidRPr="00B57220" w14:paraId="4097F9DD"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F057E57"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CALIMA (n = 487) </w:t>
            </w:r>
            <w:r w:rsidR="000D6C18" w:rsidRPr="00B57220">
              <w:rPr>
                <w:rFonts w:ascii="Arial Narrow" w:hAnsi="Arial Narrow"/>
                <w:sz w:val="20"/>
                <w:szCs w:val="20"/>
              </w:rPr>
              <w:br/>
            </w:r>
            <w:r w:rsidRPr="00B57220">
              <w:rPr>
                <w:rFonts w:ascii="Arial Narrow" w:hAnsi="Arial Narrow"/>
                <w:sz w:val="20"/>
                <w:szCs w:val="20"/>
              </w:rPr>
              <w:t>efficacy population</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0CCA69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61EA111"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015D498"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0.93 </w:t>
            </w:r>
            <w:r w:rsidRPr="00B57220">
              <w:rPr>
                <w:rFonts w:ascii="Arial Narrow" w:hAnsi="Arial Narrow"/>
                <w:sz w:val="20"/>
                <w:szCs w:val="20"/>
              </w:rPr>
              <w:br/>
              <w:t>(0.77, 1.12)</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0899687"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0.66 </w:t>
            </w:r>
            <w:r w:rsidRPr="00B57220">
              <w:rPr>
                <w:rFonts w:ascii="Arial Narrow" w:hAnsi="Arial Narrow"/>
                <w:sz w:val="20"/>
                <w:szCs w:val="20"/>
              </w:rPr>
              <w:br/>
              <w:t>(0.54, 0.82)</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9605B36"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0.72 </w:t>
            </w:r>
            <w:r w:rsidRPr="00B57220">
              <w:rPr>
                <w:rFonts w:ascii="Arial Narrow" w:hAnsi="Arial Narrow"/>
                <w:sz w:val="20"/>
                <w:szCs w:val="20"/>
              </w:rPr>
              <w:br/>
              <w:t>(0.54, 0.95)</w:t>
            </w:r>
          </w:p>
        </w:tc>
      </w:tr>
      <w:tr w:rsidR="006F2ADF" w:rsidRPr="00B57220" w14:paraId="7F51AF91"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21597106" w14:textId="77777777" w:rsidR="009B371D" w:rsidRPr="00B57220" w:rsidRDefault="009B371D" w:rsidP="00B57220">
            <w:pPr>
              <w:pStyle w:val="TableFigNote"/>
              <w:keepNext/>
              <w:keepLines/>
              <w:widowControl w:val="0"/>
              <w:rPr>
                <w:rFonts w:ascii="Arial Narrow" w:hAnsi="Arial Narrow"/>
                <w:b/>
                <w:sz w:val="20"/>
                <w:szCs w:val="20"/>
              </w:rPr>
            </w:pPr>
            <w:r w:rsidRPr="00B57220">
              <w:rPr>
                <w:rFonts w:ascii="Arial Narrow" w:hAnsi="Arial Narrow"/>
                <w:b/>
                <w:sz w:val="20"/>
                <w:szCs w:val="20"/>
              </w:rPr>
              <w:t>Mepolizumab trials</w:t>
            </w:r>
          </w:p>
        </w:tc>
      </w:tr>
      <w:tr w:rsidR="006F2ADF" w:rsidRPr="00B57220" w14:paraId="70AD7D83"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BC95D4F"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MENSA (n = 385)</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70DA7D7"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1ECE4F4"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8185C9A"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1.74</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9A5525E"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0.83</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655B27F"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0.47 </w:t>
            </w:r>
            <w:r w:rsidRPr="00B57220">
              <w:rPr>
                <w:rFonts w:ascii="Arial Narrow" w:hAnsi="Arial Narrow"/>
                <w:sz w:val="20"/>
                <w:szCs w:val="20"/>
              </w:rPr>
              <w:br/>
              <w:t>(0.35, 0.64)</w:t>
            </w:r>
          </w:p>
        </w:tc>
      </w:tr>
      <w:tr w:rsidR="006F2ADF" w:rsidRPr="00B57220" w14:paraId="5EF3B3A9"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AB50074"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MUSCA (n = 551)</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CDF3158"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974B038"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C993779"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1.21</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CF202B6"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0.51</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B5ECD38"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0.42</w:t>
            </w:r>
            <w:r w:rsidRPr="00B57220">
              <w:rPr>
                <w:rFonts w:ascii="Arial Narrow" w:hAnsi="Arial Narrow"/>
                <w:sz w:val="20"/>
                <w:szCs w:val="20"/>
              </w:rPr>
              <w:br/>
              <w:t>(0.31, 0.56)</w:t>
            </w:r>
          </w:p>
        </w:tc>
      </w:tr>
      <w:tr w:rsidR="006F2ADF" w:rsidRPr="00B57220" w14:paraId="2990A2EB"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46403DD3" w14:textId="77777777" w:rsidR="009B371D" w:rsidRPr="00B57220" w:rsidRDefault="009B371D" w:rsidP="00B57220">
            <w:pPr>
              <w:pStyle w:val="TableFigNote"/>
              <w:keepNext/>
              <w:keepLines/>
              <w:widowControl w:val="0"/>
              <w:rPr>
                <w:rFonts w:ascii="Arial Narrow" w:hAnsi="Arial Narrow"/>
                <w:b/>
                <w:sz w:val="20"/>
                <w:szCs w:val="20"/>
              </w:rPr>
            </w:pPr>
            <w:r w:rsidRPr="00B57220">
              <w:rPr>
                <w:rFonts w:ascii="Arial Narrow" w:hAnsi="Arial Narrow"/>
                <w:b/>
                <w:sz w:val="20"/>
                <w:szCs w:val="20"/>
              </w:rPr>
              <w:t>Omalizumab trials</w:t>
            </w:r>
          </w:p>
        </w:tc>
      </w:tr>
      <w:tr w:rsidR="006F2ADF" w:rsidRPr="00B57220" w14:paraId="63D00426"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CC6CDFD"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EXTRA M1, M2</w:t>
            </w:r>
            <w:r w:rsidR="000D6C18" w:rsidRPr="00B57220">
              <w:rPr>
                <w:rFonts w:ascii="Arial Narrow" w:hAnsi="Arial Narrow"/>
                <w:sz w:val="20"/>
                <w:szCs w:val="20"/>
              </w:rPr>
              <w:t xml:space="preserve"> </w:t>
            </w:r>
            <w:r w:rsidRPr="00B57220">
              <w:rPr>
                <w:rFonts w:ascii="Arial Narrow" w:hAnsi="Arial Narrow"/>
                <w:sz w:val="20"/>
                <w:szCs w:val="20"/>
              </w:rPr>
              <w:t>(n = 704)</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1D93AB9"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5AEC6E9"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D11D493"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0.88 per 48 weeks*</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014F5E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0.66</w:t>
            </w:r>
            <w:r w:rsidRPr="00B57220">
              <w:rPr>
                <w:rFonts w:ascii="Arial Narrow" w:hAnsi="Arial Narrow"/>
                <w:sz w:val="20"/>
                <w:szCs w:val="20"/>
                <w:vertAlign w:val="superscript"/>
              </w:rPr>
              <w:t xml:space="preserve"> a</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F29709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0.70</w:t>
            </w:r>
            <w:r w:rsidRPr="00B57220">
              <w:rPr>
                <w:rFonts w:ascii="Arial Narrow" w:hAnsi="Arial Narrow"/>
                <w:sz w:val="20"/>
                <w:szCs w:val="20"/>
              </w:rPr>
              <w:br/>
              <w:t>(0.55, 0.89)</w:t>
            </w:r>
          </w:p>
        </w:tc>
      </w:tr>
      <w:tr w:rsidR="006F2ADF" w:rsidRPr="00B57220" w14:paraId="57914B49" w14:textId="77777777" w:rsidTr="00B57220">
        <w:tc>
          <w:tcPr>
            <w:tcW w:w="116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E3C1CB7"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INNOVATE (n = 419)</w:t>
            </w:r>
          </w:p>
        </w:tc>
        <w:tc>
          <w:tcPr>
            <w:tcW w:w="62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3267C70"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6809401"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DBAB07F"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0.91 per 28 weeks</w:t>
            </w:r>
          </w:p>
        </w:tc>
        <w:tc>
          <w:tcPr>
            <w:tcW w:w="85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E11D293"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0.68 </w:t>
            </w:r>
            <w:r w:rsidRPr="00B57220">
              <w:rPr>
                <w:rFonts w:ascii="Arial Narrow" w:hAnsi="Arial Narrow"/>
                <w:sz w:val="20"/>
                <w:szCs w:val="20"/>
                <w:vertAlign w:val="superscript"/>
              </w:rPr>
              <w:t>a</w:t>
            </w:r>
          </w:p>
        </w:tc>
        <w:tc>
          <w:tcPr>
            <w:tcW w:w="64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CC83475" w14:textId="77777777" w:rsidR="009B371D" w:rsidRPr="00B57220" w:rsidRDefault="009B371D" w:rsidP="00B57220">
            <w:pPr>
              <w:pStyle w:val="TableFigNote"/>
              <w:keepNext/>
              <w:keepLines/>
              <w:widowControl w:val="0"/>
              <w:rPr>
                <w:rFonts w:ascii="Arial Narrow" w:hAnsi="Arial Narrow"/>
                <w:sz w:val="20"/>
                <w:szCs w:val="20"/>
              </w:rPr>
            </w:pPr>
            <w:r w:rsidRPr="00B57220">
              <w:rPr>
                <w:rFonts w:ascii="Arial Narrow" w:hAnsi="Arial Narrow"/>
                <w:sz w:val="20"/>
                <w:szCs w:val="20"/>
              </w:rPr>
              <w:t xml:space="preserve">0.74 </w:t>
            </w:r>
            <w:r w:rsidRPr="00B57220">
              <w:rPr>
                <w:rFonts w:ascii="Arial Narrow" w:hAnsi="Arial Narrow"/>
                <w:sz w:val="20"/>
                <w:szCs w:val="20"/>
              </w:rPr>
              <w:br/>
              <w:t>(0.61, 0.92)</w:t>
            </w:r>
          </w:p>
        </w:tc>
      </w:tr>
    </w:tbl>
    <w:p w14:paraId="7C02272D" w14:textId="77777777" w:rsidR="00171EAC" w:rsidRPr="00193BC1" w:rsidRDefault="00171EAC" w:rsidP="00B57220">
      <w:pPr>
        <w:pStyle w:val="TableFigureFooter"/>
        <w:keepNext/>
        <w:keepLines/>
        <w:widowControl w:val="0"/>
        <w:jc w:val="left"/>
      </w:pPr>
      <w:r w:rsidRPr="00193BC1">
        <w:t>Source: Table 2.92 of the submission.</w:t>
      </w:r>
    </w:p>
    <w:p w14:paraId="79A5EC9E" w14:textId="77777777" w:rsidR="00171EAC" w:rsidRPr="00193BC1" w:rsidRDefault="005B2837" w:rsidP="00B57220">
      <w:pPr>
        <w:pStyle w:val="TableFigureFooter"/>
        <w:keepNext/>
        <w:keepLines/>
        <w:widowControl w:val="0"/>
        <w:jc w:val="left"/>
      </w:pPr>
      <w:r w:rsidRPr="00193BC1">
        <w:t xml:space="preserve">CI = confidence interval; </w:t>
      </w:r>
      <w:r w:rsidR="00F50664" w:rsidRPr="00193BC1">
        <w:t>ITT = i</w:t>
      </w:r>
      <w:r w:rsidR="00171EAC" w:rsidRPr="00193BC1">
        <w:t>nt</w:t>
      </w:r>
      <w:r w:rsidR="00F50664" w:rsidRPr="00193BC1">
        <w:t>ent</w:t>
      </w:r>
      <w:r w:rsidR="00A46FBA" w:rsidRPr="00193BC1">
        <w:t>ion-to-treat</w:t>
      </w:r>
      <w:r w:rsidR="00F50664" w:rsidRPr="00193BC1">
        <w:t>; Q2W = every 2 weeks; RR = r</w:t>
      </w:r>
      <w:r w:rsidR="00171EAC" w:rsidRPr="00193BC1">
        <w:t>ate ratio.</w:t>
      </w:r>
      <w:r w:rsidR="00604186" w:rsidRPr="00193BC1">
        <w:br/>
        <w:t>* This is the reported figure for subgroups M1, M2 and M3.</w:t>
      </w:r>
      <w:r w:rsidR="009F2885" w:rsidRPr="00193BC1">
        <w:t xml:space="preserve"> M1</w:t>
      </w:r>
      <w:r w:rsidR="00BD3DBA" w:rsidRPr="00193BC1">
        <w:t xml:space="preserve"> (n=310)</w:t>
      </w:r>
      <w:r w:rsidR="009F2885" w:rsidRPr="00193BC1">
        <w:t xml:space="preserve"> </w:t>
      </w:r>
      <w:r w:rsidR="00E70DAF" w:rsidRPr="00193BC1">
        <w:t xml:space="preserve">included </w:t>
      </w:r>
      <w:r w:rsidR="009F2885" w:rsidRPr="00193BC1">
        <w:t xml:space="preserve">patients on </w:t>
      </w:r>
      <w:r w:rsidRPr="00193BC1">
        <w:t>inhaled corticosteroid (</w:t>
      </w:r>
      <w:r w:rsidR="009F2885" w:rsidRPr="00193BC1">
        <w:t>ICS</w:t>
      </w:r>
      <w:r w:rsidRPr="00193BC1">
        <w:t>)</w:t>
      </w:r>
      <w:r w:rsidR="009F2885" w:rsidRPr="00193BC1">
        <w:t xml:space="preserve"> plus </w:t>
      </w:r>
      <w:r w:rsidRPr="00193BC1">
        <w:t>long-acting beta agonists (</w:t>
      </w:r>
      <w:r w:rsidR="009F2885" w:rsidRPr="00193BC1">
        <w:t>LABAs</w:t>
      </w:r>
      <w:r w:rsidRPr="00193BC1">
        <w:t>)</w:t>
      </w:r>
      <w:r w:rsidR="009F2885" w:rsidRPr="00193BC1">
        <w:t xml:space="preserve"> alone; M2</w:t>
      </w:r>
      <w:r w:rsidR="00BD3DBA" w:rsidRPr="00193BC1">
        <w:t xml:space="preserve"> (n=394)</w:t>
      </w:r>
      <w:r w:rsidR="009F2885" w:rsidRPr="00193BC1">
        <w:t xml:space="preserve"> </w:t>
      </w:r>
      <w:r w:rsidR="00E70DAF" w:rsidRPr="00193BC1">
        <w:t xml:space="preserve">included </w:t>
      </w:r>
      <w:r w:rsidR="009F2885" w:rsidRPr="00193BC1">
        <w:t xml:space="preserve">patients on ICS plus LABAs plus 1 or more additional controller medications excluding </w:t>
      </w:r>
      <w:r w:rsidRPr="00193BC1">
        <w:t>oral corticosteroid (</w:t>
      </w:r>
      <w:r w:rsidR="009F2885" w:rsidRPr="00193BC1">
        <w:t>OCS</w:t>
      </w:r>
      <w:r w:rsidRPr="00193BC1">
        <w:t>)</w:t>
      </w:r>
      <w:r w:rsidR="009F2885" w:rsidRPr="00193BC1">
        <w:t>;</w:t>
      </w:r>
      <w:r w:rsidR="00327E5C" w:rsidRPr="00193BC1">
        <w:t xml:space="preserve"> M3</w:t>
      </w:r>
      <w:r w:rsidR="00BD3DBA" w:rsidRPr="00193BC1">
        <w:t xml:space="preserve"> (n=144)</w:t>
      </w:r>
      <w:r w:rsidR="00327E5C" w:rsidRPr="00193BC1">
        <w:t xml:space="preserve"> included patients </w:t>
      </w:r>
      <w:r w:rsidR="00E70DAF" w:rsidRPr="00193BC1">
        <w:t>on ICS plus LABAs plus</w:t>
      </w:r>
      <w:r w:rsidR="00327E5C" w:rsidRPr="00193BC1">
        <w:t xml:space="preserve"> OCS.</w:t>
      </w:r>
    </w:p>
    <w:p w14:paraId="6D737297" w14:textId="77777777" w:rsidR="00171EAC" w:rsidRPr="00B57220" w:rsidRDefault="00316738" w:rsidP="00B57220">
      <w:pPr>
        <w:pStyle w:val="TableFigureFooter"/>
        <w:keepNext/>
        <w:keepLines/>
        <w:widowControl w:val="0"/>
        <w:jc w:val="left"/>
        <w:rPr>
          <w:rStyle w:val="CommentReference"/>
          <w:b w:val="0"/>
          <w:sz w:val="18"/>
          <w:szCs w:val="22"/>
        </w:rPr>
      </w:pPr>
      <w:r w:rsidRPr="00193BC1">
        <w:rPr>
          <w:vertAlign w:val="superscript"/>
        </w:rPr>
        <w:t>a</w:t>
      </w:r>
      <w:r w:rsidRPr="00193BC1">
        <w:t xml:space="preserve"> Exacerbation rates were not annualised in EXTRA (48 weeks) and INNOVATE (28 weeks).</w:t>
      </w:r>
    </w:p>
    <w:p w14:paraId="00FFFB2D" w14:textId="77777777" w:rsidR="009B371D" w:rsidRPr="00193BC1" w:rsidRDefault="00434C77" w:rsidP="00E9172C">
      <w:pPr>
        <w:pStyle w:val="TableFigureHeading"/>
        <w:rPr>
          <w:rStyle w:val="CommentReference"/>
          <w:b/>
          <w:szCs w:val="24"/>
        </w:rPr>
      </w:pPr>
      <w:bookmarkStart w:id="20" w:name="_Ref49792409"/>
      <w:r w:rsidRPr="00193BC1">
        <w:t xml:space="preserve">Table </w:t>
      </w:r>
      <w:r w:rsidR="00797BC5" w:rsidRPr="00193BC1">
        <w:t>7</w:t>
      </w:r>
      <w:bookmarkEnd w:id="20"/>
      <w:r w:rsidRPr="00193BC1">
        <w:t>:</w:t>
      </w:r>
      <w:r w:rsidR="009B371D" w:rsidRPr="00193BC1">
        <w:rPr>
          <w:rStyle w:val="CommentReference"/>
          <w:b/>
          <w:szCs w:val="24"/>
        </w:rPr>
        <w:t xml:space="preserve"> Asthma exacerbations – submission subgroups 2a and 2b; dupilumab 300 mg (ITT population) and comparators</w:t>
      </w:r>
    </w:p>
    <w:tbl>
      <w:tblPr>
        <w:tblStyle w:val="TableGrid"/>
        <w:tblW w:w="5000" w:type="pct"/>
        <w:tblLook w:val="04A0" w:firstRow="1" w:lastRow="0" w:firstColumn="1" w:lastColumn="0" w:noHBand="0" w:noVBand="1"/>
        <w:tblCaption w:val="Table 7: Asthma exacerbations – submission subgroups 2a and 2b; dupilumab 300 mg (ITT population) and comparators"/>
        <w:tblDescription w:val="Table 7: Asthma exacerbations – submission subgroups 2a and 2b; dupilumab 300 mg (ITT population) and comparators"/>
      </w:tblPr>
      <w:tblGrid>
        <w:gridCol w:w="2122"/>
        <w:gridCol w:w="1134"/>
        <w:gridCol w:w="1560"/>
        <w:gridCol w:w="1562"/>
        <w:gridCol w:w="1562"/>
        <w:gridCol w:w="1077"/>
      </w:tblGrid>
      <w:tr w:rsidR="006F2ADF" w:rsidRPr="00193BC1" w14:paraId="0E045843" w14:textId="77777777" w:rsidTr="00B57220">
        <w:trPr>
          <w:tblHeader/>
        </w:trPr>
        <w:tc>
          <w:tcPr>
            <w:tcW w:w="1177" w:type="pct"/>
            <w:vMerge w:val="restart"/>
            <w:tcBorders>
              <w:top w:val="single" w:sz="4" w:space="0" w:color="auto"/>
              <w:left w:val="single" w:sz="4" w:space="0" w:color="auto"/>
              <w:right w:val="single" w:sz="4" w:space="0" w:color="auto"/>
            </w:tcBorders>
            <w:tcMar>
              <w:left w:w="28" w:type="dxa"/>
              <w:right w:w="28" w:type="dxa"/>
            </w:tcMar>
            <w:hideMark/>
          </w:tcPr>
          <w:p w14:paraId="7753AB9C"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Trial</w:t>
            </w:r>
          </w:p>
        </w:tc>
        <w:tc>
          <w:tcPr>
            <w:tcW w:w="1494"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5FEB7DB3"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Dupilumab 300 mg Q2W</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8423556"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Placebo</w:t>
            </w:r>
          </w:p>
        </w:tc>
        <w:tc>
          <w:tcPr>
            <w:tcW w:w="1463"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4F050101"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Comparator</w:t>
            </w:r>
          </w:p>
        </w:tc>
      </w:tr>
      <w:tr w:rsidR="006F2ADF" w:rsidRPr="00193BC1" w14:paraId="5B4AB3A3" w14:textId="77777777" w:rsidTr="00B57220">
        <w:trPr>
          <w:tblHeader/>
        </w:trPr>
        <w:tc>
          <w:tcPr>
            <w:tcW w:w="1177" w:type="pct"/>
            <w:vMerge/>
            <w:tcBorders>
              <w:left w:val="single" w:sz="4" w:space="0" w:color="auto"/>
              <w:bottom w:val="single" w:sz="4" w:space="0" w:color="auto"/>
              <w:right w:val="single" w:sz="4" w:space="0" w:color="auto"/>
            </w:tcBorders>
            <w:tcMar>
              <w:left w:w="28" w:type="dxa"/>
              <w:right w:w="28" w:type="dxa"/>
            </w:tcMar>
          </w:tcPr>
          <w:p w14:paraId="57BAAE19" w14:textId="77777777" w:rsidR="009B371D" w:rsidRPr="00193BC1" w:rsidRDefault="009B371D" w:rsidP="00E9172C">
            <w:pPr>
              <w:pStyle w:val="TableFigNote"/>
              <w:keepNext/>
              <w:rPr>
                <w:rFonts w:ascii="Arial Narrow" w:hAnsi="Arial Narrow"/>
                <w:b/>
                <w:bCs/>
                <w:sz w:val="20"/>
                <w:szCs w:val="20"/>
              </w:rPr>
            </w:pP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FB5D1EB"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RR (95%CI)</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D43003B"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Rate (exacerbations/yr)</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3E6CCBCC" w14:textId="77777777" w:rsidR="009B371D" w:rsidRPr="00193BC1" w:rsidRDefault="006E4EFD" w:rsidP="00E9172C">
            <w:pPr>
              <w:keepNext/>
              <w:rPr>
                <w:rFonts w:ascii="Arial Narrow" w:hAnsi="Arial Narrow"/>
                <w:b/>
                <w:bCs/>
                <w:sz w:val="20"/>
                <w:szCs w:val="20"/>
              </w:rPr>
            </w:pPr>
            <w:r w:rsidRPr="00193BC1">
              <w:rPr>
                <w:rFonts w:ascii="Arial Narrow" w:hAnsi="Arial Narrow"/>
                <w:b/>
                <w:bCs/>
                <w:sz w:val="20"/>
                <w:szCs w:val="20"/>
              </w:rPr>
              <w:t>Rate (exacerbations/yr)</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ED32E64"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Rate (exacerbations/yr)</w:t>
            </w:r>
          </w:p>
        </w:tc>
        <w:tc>
          <w:tcPr>
            <w:tcW w:w="59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6A7B800" w14:textId="77777777" w:rsidR="009B371D" w:rsidRPr="00193BC1" w:rsidRDefault="009B371D" w:rsidP="00E9172C">
            <w:pPr>
              <w:pStyle w:val="TableFigNote"/>
              <w:keepNext/>
              <w:rPr>
                <w:rFonts w:ascii="Arial Narrow" w:hAnsi="Arial Narrow"/>
                <w:b/>
                <w:bCs/>
                <w:sz w:val="20"/>
                <w:szCs w:val="20"/>
              </w:rPr>
            </w:pPr>
            <w:r w:rsidRPr="00193BC1">
              <w:rPr>
                <w:rFonts w:ascii="Arial Narrow" w:hAnsi="Arial Narrow"/>
                <w:b/>
                <w:bCs/>
                <w:sz w:val="20"/>
                <w:szCs w:val="20"/>
              </w:rPr>
              <w:t>RR (95%CI)</w:t>
            </w:r>
          </w:p>
        </w:tc>
      </w:tr>
      <w:tr w:rsidR="006F2ADF" w:rsidRPr="00193BC1" w14:paraId="61C8D70E"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5BDA53AC" w14:textId="77777777" w:rsidR="009B371D" w:rsidRPr="00193BC1" w:rsidRDefault="009B371D" w:rsidP="00E9172C">
            <w:pPr>
              <w:pStyle w:val="TableFigNote"/>
              <w:keepNext/>
              <w:rPr>
                <w:rFonts w:ascii="Arial Narrow" w:hAnsi="Arial Narrow"/>
                <w:b/>
                <w:sz w:val="20"/>
                <w:szCs w:val="20"/>
              </w:rPr>
            </w:pPr>
            <w:r w:rsidRPr="00193BC1">
              <w:rPr>
                <w:rFonts w:ascii="Arial Narrow" w:hAnsi="Arial Narrow"/>
                <w:b/>
                <w:sz w:val="20"/>
                <w:szCs w:val="20"/>
              </w:rPr>
              <w:t xml:space="preserve">Dupilumab </w:t>
            </w:r>
          </w:p>
        </w:tc>
      </w:tr>
      <w:tr w:rsidR="006F2ADF" w:rsidRPr="00193BC1" w14:paraId="3F74A938" w14:textId="77777777" w:rsidTr="00B57220">
        <w:tc>
          <w:tcPr>
            <w:tcW w:w="117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0EF31AA" w14:textId="77777777" w:rsidR="009B371D" w:rsidRPr="00193BC1" w:rsidRDefault="009B371D" w:rsidP="000D6C18">
            <w:pPr>
              <w:pStyle w:val="TableFigNote"/>
              <w:keepNext/>
              <w:rPr>
                <w:rFonts w:ascii="Arial Narrow" w:hAnsi="Arial Narrow"/>
                <w:sz w:val="20"/>
                <w:szCs w:val="20"/>
              </w:rPr>
            </w:pPr>
            <w:r w:rsidRPr="00193BC1">
              <w:rPr>
                <w:rFonts w:ascii="Arial Narrow" w:hAnsi="Arial Narrow"/>
                <w:sz w:val="20"/>
                <w:szCs w:val="20"/>
              </w:rPr>
              <w:t>VENTURE (n= 210)</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3513115"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0.407 </w:t>
            </w:r>
            <w:r w:rsidRPr="00193BC1">
              <w:rPr>
                <w:rFonts w:ascii="Arial Narrow" w:hAnsi="Arial Narrow"/>
                <w:sz w:val="20"/>
                <w:szCs w:val="20"/>
              </w:rPr>
              <w:br/>
              <w:t>(0.263, 0.630)</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7CD4C2E0"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0.649 </w:t>
            </w:r>
            <w:r w:rsidRPr="00193BC1">
              <w:rPr>
                <w:rFonts w:ascii="Arial Narrow" w:hAnsi="Arial Narrow"/>
                <w:sz w:val="20"/>
                <w:szCs w:val="20"/>
              </w:rPr>
              <w:br/>
              <w:t>(0.442, 0.955)</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944F9D3"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1.597 </w:t>
            </w:r>
            <w:r w:rsidRPr="00193BC1">
              <w:rPr>
                <w:rFonts w:ascii="Arial Narrow" w:hAnsi="Arial Narrow"/>
                <w:sz w:val="20"/>
                <w:szCs w:val="20"/>
              </w:rPr>
              <w:br/>
              <w:t>(1.248, 2.043)</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630BD3D"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59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6D89FBC"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r>
      <w:tr w:rsidR="006F2ADF" w:rsidRPr="00193BC1" w14:paraId="1FF61AEF"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798C8C7A" w14:textId="77777777" w:rsidR="009B371D" w:rsidRPr="00193BC1" w:rsidRDefault="009B371D" w:rsidP="00E9172C">
            <w:pPr>
              <w:pStyle w:val="TableFigNote"/>
              <w:keepNext/>
              <w:rPr>
                <w:rFonts w:ascii="Arial Narrow" w:hAnsi="Arial Narrow"/>
                <w:b/>
                <w:sz w:val="20"/>
                <w:szCs w:val="20"/>
              </w:rPr>
            </w:pPr>
            <w:r w:rsidRPr="00193BC1">
              <w:rPr>
                <w:rFonts w:ascii="Arial Narrow" w:hAnsi="Arial Narrow"/>
                <w:b/>
                <w:sz w:val="20"/>
                <w:szCs w:val="20"/>
              </w:rPr>
              <w:t xml:space="preserve">Benralizumab </w:t>
            </w:r>
          </w:p>
        </w:tc>
      </w:tr>
      <w:tr w:rsidR="006F2ADF" w:rsidRPr="00193BC1" w14:paraId="1AA4D066" w14:textId="77777777" w:rsidTr="00B57220">
        <w:tc>
          <w:tcPr>
            <w:tcW w:w="117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F740AFB" w14:textId="77777777" w:rsidR="009B371D" w:rsidRPr="00193BC1" w:rsidRDefault="009B371D" w:rsidP="000D6C18">
            <w:pPr>
              <w:pStyle w:val="TableFigNote"/>
              <w:keepNext/>
              <w:rPr>
                <w:rFonts w:ascii="Arial Narrow" w:hAnsi="Arial Narrow"/>
                <w:sz w:val="20"/>
                <w:szCs w:val="20"/>
              </w:rPr>
            </w:pPr>
            <w:r w:rsidRPr="00193BC1">
              <w:rPr>
                <w:rFonts w:ascii="Arial Narrow" w:hAnsi="Arial Narrow"/>
                <w:sz w:val="20"/>
                <w:szCs w:val="20"/>
              </w:rPr>
              <w:t>ZONDA (n = 148)</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1D615F3"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D14F227"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579AAB11"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1.83</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3A19067"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0.54</w:t>
            </w:r>
          </w:p>
        </w:tc>
        <w:tc>
          <w:tcPr>
            <w:tcW w:w="59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82DA878"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0.30 </w:t>
            </w:r>
            <w:r w:rsidRPr="00193BC1">
              <w:rPr>
                <w:rFonts w:ascii="Arial Narrow" w:hAnsi="Arial Narrow"/>
                <w:sz w:val="20"/>
                <w:szCs w:val="20"/>
              </w:rPr>
              <w:br/>
              <w:t>(0.17, 0.53)</w:t>
            </w:r>
          </w:p>
        </w:tc>
      </w:tr>
      <w:tr w:rsidR="006F2ADF" w:rsidRPr="00193BC1" w14:paraId="65B6630C"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3FDB9380" w14:textId="77777777" w:rsidR="009B371D" w:rsidRPr="00193BC1" w:rsidRDefault="009B371D" w:rsidP="00E9172C">
            <w:pPr>
              <w:pStyle w:val="TableFigNote"/>
              <w:keepNext/>
              <w:rPr>
                <w:rFonts w:ascii="Arial Narrow" w:hAnsi="Arial Narrow"/>
                <w:b/>
                <w:sz w:val="20"/>
                <w:szCs w:val="20"/>
              </w:rPr>
            </w:pPr>
            <w:r w:rsidRPr="00193BC1">
              <w:rPr>
                <w:rFonts w:ascii="Arial Narrow" w:hAnsi="Arial Narrow"/>
                <w:b/>
                <w:sz w:val="20"/>
                <w:szCs w:val="20"/>
              </w:rPr>
              <w:t xml:space="preserve">Mepolizumab </w:t>
            </w:r>
          </w:p>
        </w:tc>
      </w:tr>
      <w:tr w:rsidR="006F2ADF" w:rsidRPr="00193BC1" w14:paraId="41295D96" w14:textId="77777777" w:rsidTr="00B57220">
        <w:tc>
          <w:tcPr>
            <w:tcW w:w="117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102C37D" w14:textId="77777777" w:rsidR="009B371D" w:rsidRPr="00193BC1" w:rsidRDefault="009B371D" w:rsidP="000D6C18">
            <w:pPr>
              <w:pStyle w:val="TableFigNote"/>
              <w:keepNext/>
              <w:rPr>
                <w:rFonts w:ascii="Arial Narrow" w:hAnsi="Arial Narrow"/>
                <w:sz w:val="20"/>
                <w:szCs w:val="20"/>
              </w:rPr>
            </w:pPr>
            <w:r w:rsidRPr="00193BC1">
              <w:rPr>
                <w:rFonts w:ascii="Arial Narrow" w:hAnsi="Arial Narrow"/>
                <w:sz w:val="20"/>
                <w:szCs w:val="20"/>
              </w:rPr>
              <w:t>SIRIUS</w:t>
            </w:r>
            <w:r w:rsidR="000D6C18" w:rsidRPr="00193BC1">
              <w:rPr>
                <w:rFonts w:ascii="Arial Narrow" w:hAnsi="Arial Narrow"/>
                <w:sz w:val="20"/>
                <w:szCs w:val="20"/>
              </w:rPr>
              <w:t xml:space="preserve"> </w:t>
            </w:r>
            <w:r w:rsidRPr="00193BC1">
              <w:rPr>
                <w:rFonts w:ascii="Arial Narrow" w:hAnsi="Arial Narrow"/>
                <w:sz w:val="20"/>
                <w:szCs w:val="20"/>
              </w:rPr>
              <w:t>(n = 135)</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2125D1E"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58AFF0C"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0673D37"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2.12</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63A426E4"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1.44</w:t>
            </w:r>
          </w:p>
        </w:tc>
        <w:tc>
          <w:tcPr>
            <w:tcW w:w="59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B74F6B6"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0.68 </w:t>
            </w:r>
            <w:r w:rsidRPr="00193BC1">
              <w:rPr>
                <w:rFonts w:ascii="Arial Narrow" w:hAnsi="Arial Narrow"/>
                <w:sz w:val="20"/>
                <w:szCs w:val="20"/>
              </w:rPr>
              <w:br/>
              <w:t>(0.47, 0.99)</w:t>
            </w:r>
          </w:p>
        </w:tc>
      </w:tr>
      <w:tr w:rsidR="006F2ADF" w:rsidRPr="00193BC1" w14:paraId="4D5EA278" w14:textId="77777777" w:rsidTr="00B57220">
        <w:tc>
          <w:tcPr>
            <w:tcW w:w="5000" w:type="pct"/>
            <w:gridSpan w:val="6"/>
            <w:tcBorders>
              <w:top w:val="single" w:sz="4" w:space="0" w:color="auto"/>
              <w:left w:val="single" w:sz="4" w:space="0" w:color="auto"/>
              <w:bottom w:val="single" w:sz="4" w:space="0" w:color="auto"/>
              <w:right w:val="single" w:sz="4" w:space="0" w:color="auto"/>
            </w:tcBorders>
            <w:tcMar>
              <w:left w:w="28" w:type="dxa"/>
              <w:right w:w="28" w:type="dxa"/>
            </w:tcMar>
            <w:hideMark/>
          </w:tcPr>
          <w:p w14:paraId="6AF8298B" w14:textId="77777777" w:rsidR="009B371D" w:rsidRPr="00193BC1" w:rsidRDefault="009B371D" w:rsidP="00E9172C">
            <w:pPr>
              <w:pStyle w:val="TableFigNote"/>
              <w:keepNext/>
              <w:rPr>
                <w:rFonts w:ascii="Arial Narrow" w:hAnsi="Arial Narrow"/>
                <w:b/>
                <w:sz w:val="20"/>
                <w:szCs w:val="20"/>
              </w:rPr>
            </w:pPr>
            <w:r w:rsidRPr="00193BC1">
              <w:rPr>
                <w:rFonts w:ascii="Arial Narrow" w:hAnsi="Arial Narrow"/>
                <w:b/>
                <w:sz w:val="20"/>
                <w:szCs w:val="20"/>
              </w:rPr>
              <w:t xml:space="preserve">Omalizumab </w:t>
            </w:r>
          </w:p>
        </w:tc>
      </w:tr>
      <w:tr w:rsidR="006F2ADF" w:rsidRPr="00193BC1" w14:paraId="089D0016" w14:textId="77777777" w:rsidTr="00B57220">
        <w:tc>
          <w:tcPr>
            <w:tcW w:w="117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28BC1DE" w14:textId="77777777" w:rsidR="009B371D" w:rsidRPr="00193BC1" w:rsidRDefault="009B371D" w:rsidP="000D6C18">
            <w:pPr>
              <w:pStyle w:val="TableFigNote"/>
              <w:keepNext/>
              <w:rPr>
                <w:rFonts w:ascii="Arial Narrow" w:hAnsi="Arial Narrow"/>
                <w:sz w:val="20"/>
                <w:szCs w:val="20"/>
              </w:rPr>
            </w:pPr>
            <w:r w:rsidRPr="00193BC1">
              <w:rPr>
                <w:rFonts w:ascii="Arial Narrow" w:hAnsi="Arial Narrow"/>
                <w:sz w:val="20"/>
                <w:szCs w:val="20"/>
              </w:rPr>
              <w:t>EXTRA M3</w:t>
            </w:r>
            <w:r w:rsidR="00171EAC" w:rsidRPr="00193BC1">
              <w:rPr>
                <w:rFonts w:ascii="Arial Narrow" w:hAnsi="Arial Narrow"/>
                <w:sz w:val="20"/>
                <w:szCs w:val="20"/>
                <w:vertAlign w:val="superscript"/>
              </w:rPr>
              <w:t>a</w:t>
            </w:r>
            <w:r w:rsidR="000D6C18" w:rsidRPr="00193BC1">
              <w:rPr>
                <w:rFonts w:ascii="Arial Narrow" w:hAnsi="Arial Narrow"/>
                <w:sz w:val="20"/>
                <w:szCs w:val="20"/>
                <w:vertAlign w:val="superscript"/>
              </w:rPr>
              <w:t xml:space="preserve"> </w:t>
            </w:r>
            <w:r w:rsidRPr="00193BC1">
              <w:rPr>
                <w:rFonts w:ascii="Arial Narrow" w:hAnsi="Arial Narrow"/>
                <w:sz w:val="20"/>
                <w:szCs w:val="20"/>
              </w:rPr>
              <w:t>(n = 144)</w:t>
            </w:r>
          </w:p>
        </w:tc>
        <w:tc>
          <w:tcPr>
            <w:tcW w:w="629"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6992730"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5"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C80FF21"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BC872A6"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NR</w:t>
            </w:r>
          </w:p>
        </w:tc>
        <w:tc>
          <w:tcPr>
            <w:tcW w:w="866"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3E32618"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NR</w:t>
            </w:r>
          </w:p>
        </w:tc>
        <w:tc>
          <w:tcPr>
            <w:tcW w:w="59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C392DC1" w14:textId="77777777" w:rsidR="009B371D" w:rsidRPr="00193BC1" w:rsidRDefault="009B371D" w:rsidP="00E9172C">
            <w:pPr>
              <w:pStyle w:val="TableFigNote"/>
              <w:keepNext/>
              <w:rPr>
                <w:rFonts w:ascii="Arial Narrow" w:hAnsi="Arial Narrow"/>
                <w:sz w:val="20"/>
                <w:szCs w:val="20"/>
              </w:rPr>
            </w:pPr>
            <w:r w:rsidRPr="00193BC1">
              <w:rPr>
                <w:rFonts w:ascii="Arial Narrow" w:hAnsi="Arial Narrow"/>
                <w:sz w:val="20"/>
                <w:szCs w:val="20"/>
              </w:rPr>
              <w:t xml:space="preserve">0.95 </w:t>
            </w:r>
            <w:r w:rsidRPr="00193BC1">
              <w:rPr>
                <w:rFonts w:ascii="Arial Narrow" w:hAnsi="Arial Narrow"/>
                <w:sz w:val="20"/>
                <w:szCs w:val="20"/>
              </w:rPr>
              <w:br/>
              <w:t>(0.63, 1.43)</w:t>
            </w:r>
          </w:p>
        </w:tc>
      </w:tr>
    </w:tbl>
    <w:p w14:paraId="0A18FD99" w14:textId="77777777" w:rsidR="009B371D" w:rsidRPr="00193BC1" w:rsidRDefault="00171EAC" w:rsidP="00580E2F">
      <w:pPr>
        <w:pStyle w:val="TableFigureFooter"/>
      </w:pPr>
      <w:r w:rsidRPr="00193BC1">
        <w:t>Source: Table 2.93, p 295 of the submission.</w:t>
      </w:r>
    </w:p>
    <w:p w14:paraId="7BC5937F" w14:textId="77777777" w:rsidR="00171EAC" w:rsidRPr="00193BC1" w:rsidRDefault="005B2837" w:rsidP="00580E2F">
      <w:pPr>
        <w:pStyle w:val="TableFigureFooter"/>
      </w:pPr>
      <w:r w:rsidRPr="00193BC1">
        <w:t xml:space="preserve">CI = confidence interval; </w:t>
      </w:r>
      <w:r w:rsidR="00C65571" w:rsidRPr="00193BC1">
        <w:t>ITT = i</w:t>
      </w:r>
      <w:r w:rsidR="00A46FBA" w:rsidRPr="00193BC1">
        <w:t>ntention-to-treat</w:t>
      </w:r>
      <w:r w:rsidR="00171EAC" w:rsidRPr="00193BC1">
        <w:t xml:space="preserve">; </w:t>
      </w:r>
      <w:r w:rsidR="00C65571" w:rsidRPr="00193BC1">
        <w:t>NR = n</w:t>
      </w:r>
      <w:r w:rsidR="00171EAC" w:rsidRPr="00193BC1">
        <w:t xml:space="preserve">ot reported; </w:t>
      </w:r>
      <w:r w:rsidR="00C65571" w:rsidRPr="00193BC1">
        <w:t>Q2W = every 2 weeks; RR = r</w:t>
      </w:r>
      <w:r w:rsidR="00171EAC" w:rsidRPr="00193BC1">
        <w:t>ate ratio.</w:t>
      </w:r>
    </w:p>
    <w:p w14:paraId="65B862D3" w14:textId="77777777" w:rsidR="00171EAC" w:rsidRPr="005863D4" w:rsidRDefault="00171EAC" w:rsidP="005863D4">
      <w:pPr>
        <w:pStyle w:val="TableFigureFooter"/>
      </w:pPr>
      <w:r w:rsidRPr="00193BC1">
        <w:rPr>
          <w:vertAlign w:val="superscript"/>
        </w:rPr>
        <w:t>a</w:t>
      </w:r>
      <w:r w:rsidRPr="00193BC1">
        <w:t xml:space="preserve"> The M3 subgroup was not statistically powered to assess efficacy.</w:t>
      </w:r>
    </w:p>
    <w:p w14:paraId="6DB423DF" w14:textId="77777777" w:rsidR="006E0CE7" w:rsidRPr="00193BC1" w:rsidRDefault="00E35C82" w:rsidP="001716E0">
      <w:pPr>
        <w:pStyle w:val="3-BodyText"/>
        <w:rPr>
          <w:rStyle w:val="CommentReference"/>
          <w:rFonts w:asciiTheme="minorHAnsi" w:hAnsiTheme="minorHAnsi"/>
          <w:b w:val="0"/>
          <w:sz w:val="24"/>
          <w:szCs w:val="24"/>
        </w:rPr>
      </w:pPr>
      <w:r w:rsidRPr="00193BC1">
        <w:t xml:space="preserve">A summary of the base case Step 3 ITCs, which form the basis of the therapeutic conclusion and clinical claim, is provided in </w:t>
      </w:r>
      <w:r w:rsidR="00797BC5" w:rsidRPr="00193BC1">
        <w:t>Table 8</w:t>
      </w:r>
      <w:r w:rsidRPr="00193BC1">
        <w:t xml:space="preserve"> below. </w:t>
      </w:r>
      <w:r w:rsidR="009C71D5" w:rsidRPr="00193BC1">
        <w:t xml:space="preserve">The submission determined </w:t>
      </w:r>
      <w:r w:rsidR="009C71D5" w:rsidRPr="00193BC1">
        <w:lastRenderedPageBreak/>
        <w:t>that the patient populations included in the Step 3 ITC analyses were, overall, generally similar to the comparator trials after matching.</w:t>
      </w:r>
      <w:r w:rsidR="00275D83" w:rsidRPr="00193BC1">
        <w:t xml:space="preserve"> This does not appear to be the case when comparing disease-modifying baseline characteristics of the selected dupilumab and comparator populations</w:t>
      </w:r>
      <w:r w:rsidR="00A07CCF" w:rsidRPr="00193BC1">
        <w:t>; all six comparisons were found to be non-transitive</w:t>
      </w:r>
      <w:r w:rsidR="00C0700C" w:rsidRPr="00193BC1">
        <w:t xml:space="preserve">, as described in </w:t>
      </w:r>
      <w:r w:rsidR="00797BC5" w:rsidRPr="00193BC1">
        <w:t>Table 5</w:t>
      </w:r>
      <w:r w:rsidR="00C0700C" w:rsidRPr="00193BC1">
        <w:t xml:space="preserve"> above</w:t>
      </w:r>
      <w:r w:rsidR="00275D83" w:rsidRPr="00193BC1">
        <w:t>.</w:t>
      </w:r>
      <w:r w:rsidR="00C540CA" w:rsidRPr="00193BC1">
        <w:t xml:space="preserve"> </w:t>
      </w:r>
    </w:p>
    <w:p w14:paraId="32D11F71" w14:textId="77777777" w:rsidR="002F6D1B" w:rsidRPr="00193BC1" w:rsidRDefault="002F6D1B" w:rsidP="00580E2F">
      <w:pPr>
        <w:pStyle w:val="TableFigureHeading"/>
        <w:keepNext w:val="0"/>
      </w:pPr>
      <w:bookmarkStart w:id="21" w:name="_Ref49792449"/>
      <w:r w:rsidRPr="00193BC1">
        <w:t xml:space="preserve">Table </w:t>
      </w:r>
      <w:r w:rsidR="00797BC5" w:rsidRPr="00193BC1">
        <w:t>8</w:t>
      </w:r>
      <w:bookmarkEnd w:id="21"/>
      <w:r w:rsidRPr="00193BC1">
        <w:t>:</w:t>
      </w:r>
      <w:r w:rsidRPr="00193BC1">
        <w:rPr>
          <w:rStyle w:val="CommentReference"/>
          <w:b/>
          <w:bCs w:val="0"/>
        </w:rPr>
        <w:t xml:space="preserve"> Results of the base case ITCs from Step 3</w:t>
      </w:r>
    </w:p>
    <w:tbl>
      <w:tblPr>
        <w:tblStyle w:val="TableGrid"/>
        <w:tblW w:w="5000" w:type="pct"/>
        <w:tblLook w:val="04A0" w:firstRow="1" w:lastRow="0" w:firstColumn="1" w:lastColumn="0" w:noHBand="0" w:noVBand="1"/>
        <w:tblCaption w:val="Table 8: Results of the base case ITCs from Step 3"/>
        <w:tblDescription w:val="Table 8: Results of the base case ITCs from Step 3"/>
      </w:tblPr>
      <w:tblGrid>
        <w:gridCol w:w="988"/>
        <w:gridCol w:w="4397"/>
        <w:gridCol w:w="3632"/>
      </w:tblGrid>
      <w:tr w:rsidR="006F2ADF" w:rsidRPr="00193BC1" w14:paraId="5D8EDE5A" w14:textId="77777777" w:rsidTr="00B57220">
        <w:trPr>
          <w:tblHeader/>
        </w:trPr>
        <w:tc>
          <w:tcPr>
            <w:tcW w:w="548" w:type="pct"/>
            <w:tcBorders>
              <w:top w:val="single" w:sz="4" w:space="0" w:color="auto"/>
              <w:left w:val="single" w:sz="4" w:space="0" w:color="auto"/>
              <w:bottom w:val="single" w:sz="4" w:space="0" w:color="auto"/>
              <w:right w:val="single" w:sz="4" w:space="0" w:color="auto"/>
            </w:tcBorders>
            <w:hideMark/>
          </w:tcPr>
          <w:p w14:paraId="1BB00E97" w14:textId="77777777" w:rsidR="003447CF" w:rsidRPr="00193BC1" w:rsidRDefault="003447CF" w:rsidP="00580E2F">
            <w:pPr>
              <w:pStyle w:val="TableText0"/>
              <w:keepNext w:val="0"/>
              <w:rPr>
                <w:b/>
                <w:bCs w:val="0"/>
                <w:szCs w:val="20"/>
              </w:rPr>
            </w:pPr>
            <w:r w:rsidRPr="00193BC1">
              <w:rPr>
                <w:b/>
                <w:bCs w:val="0"/>
                <w:szCs w:val="20"/>
              </w:rPr>
              <w:t>Analysis</w:t>
            </w:r>
          </w:p>
        </w:tc>
        <w:tc>
          <w:tcPr>
            <w:tcW w:w="2438" w:type="pct"/>
            <w:tcBorders>
              <w:top w:val="single" w:sz="4" w:space="0" w:color="auto"/>
              <w:left w:val="single" w:sz="4" w:space="0" w:color="auto"/>
              <w:bottom w:val="single" w:sz="4" w:space="0" w:color="auto"/>
              <w:right w:val="single" w:sz="4" w:space="0" w:color="auto"/>
            </w:tcBorders>
            <w:hideMark/>
          </w:tcPr>
          <w:p w14:paraId="4C2C76D8" w14:textId="77777777" w:rsidR="003447CF" w:rsidRPr="00193BC1" w:rsidRDefault="003447CF" w:rsidP="00580E2F">
            <w:pPr>
              <w:pStyle w:val="TableText0"/>
              <w:keepNext w:val="0"/>
              <w:rPr>
                <w:b/>
                <w:bCs w:val="0"/>
                <w:szCs w:val="20"/>
              </w:rPr>
            </w:pPr>
            <w:r w:rsidRPr="00193BC1">
              <w:rPr>
                <w:b/>
                <w:bCs w:val="0"/>
                <w:szCs w:val="20"/>
              </w:rPr>
              <w:t>Comparison</w:t>
            </w:r>
          </w:p>
        </w:tc>
        <w:tc>
          <w:tcPr>
            <w:tcW w:w="2014" w:type="pct"/>
            <w:tcBorders>
              <w:top w:val="single" w:sz="4" w:space="0" w:color="auto"/>
              <w:left w:val="single" w:sz="4" w:space="0" w:color="auto"/>
              <w:bottom w:val="single" w:sz="4" w:space="0" w:color="auto"/>
              <w:right w:val="single" w:sz="4" w:space="0" w:color="auto"/>
            </w:tcBorders>
            <w:hideMark/>
          </w:tcPr>
          <w:p w14:paraId="60D81AF4" w14:textId="77777777" w:rsidR="003447CF" w:rsidRPr="00193BC1" w:rsidRDefault="003447CF" w:rsidP="00580E2F">
            <w:pPr>
              <w:pStyle w:val="TableText0"/>
              <w:keepNext w:val="0"/>
              <w:rPr>
                <w:b/>
                <w:bCs w:val="0"/>
                <w:szCs w:val="20"/>
              </w:rPr>
            </w:pPr>
            <w:r w:rsidRPr="00193BC1">
              <w:rPr>
                <w:b/>
                <w:bCs w:val="0"/>
                <w:szCs w:val="20"/>
              </w:rPr>
              <w:t>RR (95% CI)</w:t>
            </w:r>
          </w:p>
        </w:tc>
      </w:tr>
      <w:tr w:rsidR="006F2ADF" w:rsidRPr="00193BC1" w14:paraId="6F6BCFB6" w14:textId="77777777" w:rsidTr="00B57220">
        <w:tc>
          <w:tcPr>
            <w:tcW w:w="5000" w:type="pct"/>
            <w:gridSpan w:val="3"/>
            <w:tcBorders>
              <w:top w:val="single" w:sz="4" w:space="0" w:color="auto"/>
              <w:left w:val="single" w:sz="4" w:space="0" w:color="auto"/>
              <w:bottom w:val="single" w:sz="4" w:space="0" w:color="auto"/>
              <w:right w:val="single" w:sz="4" w:space="0" w:color="auto"/>
            </w:tcBorders>
            <w:hideMark/>
          </w:tcPr>
          <w:p w14:paraId="4CF5091F" w14:textId="77777777" w:rsidR="003447CF" w:rsidRPr="00193BC1" w:rsidRDefault="003447CF" w:rsidP="00580E2F">
            <w:pPr>
              <w:pStyle w:val="TableText0"/>
              <w:keepNext w:val="0"/>
              <w:rPr>
                <w:rFonts w:cs="Arial"/>
                <w:b/>
                <w:bCs w:val="0"/>
                <w:szCs w:val="20"/>
              </w:rPr>
            </w:pPr>
            <w:r w:rsidRPr="00193BC1">
              <w:rPr>
                <w:rFonts w:cs="Arial"/>
                <w:b/>
                <w:bCs w:val="0"/>
                <w:szCs w:val="20"/>
              </w:rPr>
              <w:t>non-OCS dependent asthma</w:t>
            </w:r>
          </w:p>
        </w:tc>
      </w:tr>
      <w:tr w:rsidR="006F2ADF" w:rsidRPr="00193BC1" w14:paraId="651EAE02"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160C7713" w14:textId="77777777" w:rsidR="003447CF" w:rsidRPr="00193BC1" w:rsidRDefault="003447CF" w:rsidP="00580E2F">
            <w:pPr>
              <w:pStyle w:val="TableText0"/>
              <w:keepNext w:val="0"/>
              <w:rPr>
                <w:szCs w:val="20"/>
              </w:rPr>
            </w:pPr>
            <w:r w:rsidRPr="00193BC1">
              <w:rPr>
                <w:szCs w:val="20"/>
              </w:rPr>
              <w:t>1</w:t>
            </w:r>
          </w:p>
        </w:tc>
        <w:tc>
          <w:tcPr>
            <w:tcW w:w="2438" w:type="pct"/>
            <w:tcBorders>
              <w:top w:val="single" w:sz="4" w:space="0" w:color="auto"/>
              <w:left w:val="single" w:sz="4" w:space="0" w:color="auto"/>
              <w:bottom w:val="single" w:sz="4" w:space="0" w:color="auto"/>
              <w:right w:val="single" w:sz="4" w:space="0" w:color="auto"/>
            </w:tcBorders>
            <w:hideMark/>
          </w:tcPr>
          <w:p w14:paraId="7740D46A" w14:textId="77777777" w:rsidR="003447CF" w:rsidRPr="00193BC1" w:rsidRDefault="003447CF" w:rsidP="002D2DBD">
            <w:pPr>
              <w:pStyle w:val="TableText0"/>
              <w:keepNext w:val="0"/>
              <w:rPr>
                <w:b/>
                <w:bCs w:val="0"/>
                <w:szCs w:val="20"/>
              </w:rPr>
            </w:pPr>
            <w:r w:rsidRPr="00193BC1">
              <w:rPr>
                <w:szCs w:val="20"/>
              </w:rPr>
              <w:t xml:space="preserve">DUPI 200 mg vs. BENRA </w:t>
            </w:r>
            <w:r w:rsidR="002D2DBD" w:rsidRPr="00193BC1">
              <w:rPr>
                <w:szCs w:val="20"/>
              </w:rPr>
              <w:t>Q8W</w:t>
            </w:r>
          </w:p>
        </w:tc>
        <w:tc>
          <w:tcPr>
            <w:tcW w:w="2014" w:type="pct"/>
            <w:tcBorders>
              <w:top w:val="single" w:sz="4" w:space="0" w:color="auto"/>
              <w:left w:val="single" w:sz="4" w:space="0" w:color="auto"/>
              <w:bottom w:val="single" w:sz="4" w:space="0" w:color="auto"/>
              <w:right w:val="single" w:sz="4" w:space="0" w:color="auto"/>
            </w:tcBorders>
            <w:hideMark/>
          </w:tcPr>
          <w:p w14:paraId="0D21CF69" w14:textId="77777777" w:rsidR="003447CF" w:rsidRPr="00193BC1" w:rsidRDefault="003447CF" w:rsidP="00580E2F">
            <w:pPr>
              <w:pStyle w:val="TableText0"/>
              <w:keepNext w:val="0"/>
              <w:rPr>
                <w:b/>
                <w:bCs w:val="0"/>
                <w:szCs w:val="20"/>
              </w:rPr>
            </w:pPr>
            <w:r w:rsidRPr="00193BC1">
              <w:rPr>
                <w:rFonts w:cs="Arial"/>
                <w:szCs w:val="20"/>
              </w:rPr>
              <w:t>0.46 (0.32, 0.66)</w:t>
            </w:r>
          </w:p>
        </w:tc>
      </w:tr>
      <w:tr w:rsidR="006F2ADF" w:rsidRPr="00193BC1" w14:paraId="7CA4EB97"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65066BC6" w14:textId="77777777" w:rsidR="003447CF" w:rsidRPr="00193BC1" w:rsidRDefault="003447CF" w:rsidP="00580E2F">
            <w:pPr>
              <w:pStyle w:val="TableText0"/>
              <w:keepNext w:val="0"/>
              <w:rPr>
                <w:szCs w:val="20"/>
              </w:rPr>
            </w:pPr>
            <w:r w:rsidRPr="00193BC1">
              <w:rPr>
                <w:szCs w:val="20"/>
              </w:rPr>
              <w:t>2</w:t>
            </w:r>
            <w:r w:rsidRPr="00193BC1">
              <w:rPr>
                <w:szCs w:val="20"/>
                <w:vertAlign w:val="superscript"/>
              </w:rPr>
              <w:t>a</w:t>
            </w:r>
          </w:p>
        </w:tc>
        <w:tc>
          <w:tcPr>
            <w:tcW w:w="2438" w:type="pct"/>
            <w:tcBorders>
              <w:top w:val="single" w:sz="4" w:space="0" w:color="auto"/>
              <w:left w:val="single" w:sz="4" w:space="0" w:color="auto"/>
              <w:bottom w:val="single" w:sz="4" w:space="0" w:color="auto"/>
              <w:right w:val="single" w:sz="4" w:space="0" w:color="auto"/>
            </w:tcBorders>
            <w:hideMark/>
          </w:tcPr>
          <w:p w14:paraId="42617E18" w14:textId="77777777" w:rsidR="003447CF" w:rsidRPr="00193BC1" w:rsidRDefault="003447CF" w:rsidP="00580E2F">
            <w:pPr>
              <w:pStyle w:val="TableText0"/>
              <w:keepNext w:val="0"/>
              <w:rPr>
                <w:b/>
                <w:bCs w:val="0"/>
                <w:szCs w:val="20"/>
              </w:rPr>
            </w:pPr>
            <w:r w:rsidRPr="00193BC1">
              <w:rPr>
                <w:szCs w:val="20"/>
              </w:rPr>
              <w:t>DUPI 200 mg vs. MEPO 75 mg-100 mg</w:t>
            </w:r>
          </w:p>
        </w:tc>
        <w:tc>
          <w:tcPr>
            <w:tcW w:w="2014" w:type="pct"/>
            <w:tcBorders>
              <w:top w:val="single" w:sz="4" w:space="0" w:color="auto"/>
              <w:left w:val="single" w:sz="4" w:space="0" w:color="auto"/>
              <w:bottom w:val="single" w:sz="4" w:space="0" w:color="auto"/>
              <w:right w:val="single" w:sz="4" w:space="0" w:color="auto"/>
            </w:tcBorders>
            <w:hideMark/>
          </w:tcPr>
          <w:p w14:paraId="312F3F87" w14:textId="77777777" w:rsidR="003447CF" w:rsidRPr="00193BC1" w:rsidRDefault="003447CF" w:rsidP="00580E2F">
            <w:pPr>
              <w:pStyle w:val="TableText0"/>
              <w:keepNext w:val="0"/>
              <w:rPr>
                <w:b/>
                <w:bCs w:val="0"/>
                <w:szCs w:val="20"/>
              </w:rPr>
            </w:pPr>
            <w:r w:rsidRPr="00193BC1">
              <w:rPr>
                <w:szCs w:val="20"/>
              </w:rPr>
              <w:t>0.68 (0.50, 0.93)</w:t>
            </w:r>
          </w:p>
        </w:tc>
      </w:tr>
      <w:tr w:rsidR="006F2ADF" w:rsidRPr="00193BC1" w14:paraId="7D817778"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5DEEFFFB" w14:textId="77777777" w:rsidR="003447CF" w:rsidRPr="00193BC1" w:rsidRDefault="003447CF" w:rsidP="00580E2F">
            <w:pPr>
              <w:pStyle w:val="TableText0"/>
              <w:keepNext w:val="0"/>
              <w:rPr>
                <w:szCs w:val="20"/>
              </w:rPr>
            </w:pPr>
            <w:r w:rsidRPr="00193BC1">
              <w:rPr>
                <w:szCs w:val="20"/>
              </w:rPr>
              <w:t>3</w:t>
            </w:r>
          </w:p>
        </w:tc>
        <w:tc>
          <w:tcPr>
            <w:tcW w:w="2438" w:type="pct"/>
            <w:tcBorders>
              <w:top w:val="single" w:sz="4" w:space="0" w:color="auto"/>
              <w:left w:val="single" w:sz="4" w:space="0" w:color="auto"/>
              <w:bottom w:val="single" w:sz="4" w:space="0" w:color="auto"/>
              <w:right w:val="single" w:sz="4" w:space="0" w:color="auto"/>
            </w:tcBorders>
            <w:hideMark/>
          </w:tcPr>
          <w:p w14:paraId="34DF3167" w14:textId="77777777" w:rsidR="003447CF" w:rsidRPr="00193BC1" w:rsidRDefault="003447CF" w:rsidP="00580E2F">
            <w:pPr>
              <w:pStyle w:val="TableText0"/>
              <w:keepNext w:val="0"/>
              <w:rPr>
                <w:b/>
                <w:bCs w:val="0"/>
                <w:szCs w:val="20"/>
              </w:rPr>
            </w:pPr>
            <w:r w:rsidRPr="00193BC1">
              <w:rPr>
                <w:szCs w:val="20"/>
              </w:rPr>
              <w:t>DUPI 200 mg vs. OMA IgE 30-700 (no EOS cut-off)</w:t>
            </w:r>
          </w:p>
        </w:tc>
        <w:tc>
          <w:tcPr>
            <w:tcW w:w="2014" w:type="pct"/>
            <w:tcBorders>
              <w:top w:val="single" w:sz="4" w:space="0" w:color="auto"/>
              <w:left w:val="single" w:sz="4" w:space="0" w:color="auto"/>
              <w:bottom w:val="single" w:sz="4" w:space="0" w:color="auto"/>
              <w:right w:val="single" w:sz="4" w:space="0" w:color="auto"/>
            </w:tcBorders>
            <w:hideMark/>
          </w:tcPr>
          <w:p w14:paraId="71770180" w14:textId="77777777" w:rsidR="003447CF" w:rsidRPr="00193BC1" w:rsidRDefault="003447CF" w:rsidP="00580E2F">
            <w:pPr>
              <w:pStyle w:val="TableText0"/>
              <w:keepNext w:val="0"/>
              <w:rPr>
                <w:b/>
                <w:bCs w:val="0"/>
                <w:szCs w:val="20"/>
              </w:rPr>
            </w:pPr>
            <w:r w:rsidRPr="00193BC1">
              <w:rPr>
                <w:rFonts w:cs="Arial"/>
                <w:szCs w:val="20"/>
              </w:rPr>
              <w:t>0.76 (0.35, 1.68)</w:t>
            </w:r>
          </w:p>
        </w:tc>
      </w:tr>
      <w:tr w:rsidR="006F2ADF" w:rsidRPr="00193BC1" w14:paraId="75BA52AA" w14:textId="77777777" w:rsidTr="00B57220">
        <w:tc>
          <w:tcPr>
            <w:tcW w:w="5000" w:type="pct"/>
            <w:gridSpan w:val="3"/>
            <w:tcBorders>
              <w:top w:val="single" w:sz="4" w:space="0" w:color="auto"/>
              <w:left w:val="single" w:sz="4" w:space="0" w:color="auto"/>
              <w:bottom w:val="single" w:sz="4" w:space="0" w:color="auto"/>
              <w:right w:val="single" w:sz="4" w:space="0" w:color="auto"/>
            </w:tcBorders>
            <w:hideMark/>
          </w:tcPr>
          <w:p w14:paraId="6AD12D0E" w14:textId="77777777" w:rsidR="003447CF" w:rsidRPr="00193BC1" w:rsidRDefault="003447CF" w:rsidP="00580E2F">
            <w:pPr>
              <w:pStyle w:val="TableText0"/>
              <w:keepNext w:val="0"/>
              <w:rPr>
                <w:rFonts w:cs="Arial"/>
                <w:b/>
                <w:bCs w:val="0"/>
                <w:szCs w:val="20"/>
              </w:rPr>
            </w:pPr>
            <w:r w:rsidRPr="00193BC1">
              <w:rPr>
                <w:rFonts w:cs="Arial"/>
                <w:b/>
                <w:bCs w:val="0"/>
                <w:szCs w:val="20"/>
              </w:rPr>
              <w:t>OCS dependent asthma</w:t>
            </w:r>
          </w:p>
        </w:tc>
      </w:tr>
      <w:tr w:rsidR="006F2ADF" w:rsidRPr="00193BC1" w14:paraId="2437177E"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08024935" w14:textId="77777777" w:rsidR="003447CF" w:rsidRPr="00193BC1" w:rsidRDefault="003447CF" w:rsidP="00580E2F">
            <w:pPr>
              <w:pStyle w:val="TableText0"/>
              <w:keepNext w:val="0"/>
              <w:rPr>
                <w:szCs w:val="20"/>
              </w:rPr>
            </w:pPr>
            <w:r w:rsidRPr="00193BC1">
              <w:rPr>
                <w:szCs w:val="20"/>
              </w:rPr>
              <w:t>4</w:t>
            </w:r>
          </w:p>
        </w:tc>
        <w:tc>
          <w:tcPr>
            <w:tcW w:w="2438" w:type="pct"/>
            <w:tcBorders>
              <w:top w:val="single" w:sz="4" w:space="0" w:color="auto"/>
              <w:left w:val="single" w:sz="4" w:space="0" w:color="auto"/>
              <w:bottom w:val="single" w:sz="4" w:space="0" w:color="auto"/>
              <w:right w:val="single" w:sz="4" w:space="0" w:color="auto"/>
            </w:tcBorders>
            <w:hideMark/>
          </w:tcPr>
          <w:p w14:paraId="5ABF3D0F" w14:textId="77777777" w:rsidR="003447CF" w:rsidRPr="00193BC1" w:rsidRDefault="00C65571" w:rsidP="00580E2F">
            <w:pPr>
              <w:pStyle w:val="TableText0"/>
              <w:keepNext w:val="0"/>
              <w:rPr>
                <w:b/>
                <w:bCs w:val="0"/>
                <w:szCs w:val="20"/>
              </w:rPr>
            </w:pPr>
            <w:r w:rsidRPr="00193BC1">
              <w:rPr>
                <w:szCs w:val="20"/>
              </w:rPr>
              <w:t>DUPI 300 mg vs. BENRA Q8W</w:t>
            </w:r>
          </w:p>
        </w:tc>
        <w:tc>
          <w:tcPr>
            <w:tcW w:w="2014" w:type="pct"/>
            <w:tcBorders>
              <w:top w:val="single" w:sz="4" w:space="0" w:color="auto"/>
              <w:left w:val="single" w:sz="4" w:space="0" w:color="auto"/>
              <w:bottom w:val="single" w:sz="4" w:space="0" w:color="auto"/>
              <w:right w:val="single" w:sz="4" w:space="0" w:color="auto"/>
            </w:tcBorders>
            <w:hideMark/>
          </w:tcPr>
          <w:p w14:paraId="75965B3D" w14:textId="77777777" w:rsidR="003447CF" w:rsidRPr="00193BC1" w:rsidRDefault="003447CF" w:rsidP="00580E2F">
            <w:pPr>
              <w:pStyle w:val="TableText0"/>
              <w:keepNext w:val="0"/>
              <w:rPr>
                <w:b/>
                <w:bCs w:val="0"/>
                <w:szCs w:val="20"/>
              </w:rPr>
            </w:pPr>
            <w:r w:rsidRPr="00193BC1">
              <w:rPr>
                <w:rFonts w:cs="Arial"/>
                <w:szCs w:val="20"/>
              </w:rPr>
              <w:t>0.86 (0.35, 2.13)</w:t>
            </w:r>
          </w:p>
        </w:tc>
      </w:tr>
      <w:tr w:rsidR="006F2ADF" w:rsidRPr="00193BC1" w14:paraId="1AC8C361"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708CF8A3" w14:textId="77777777" w:rsidR="003447CF" w:rsidRPr="00193BC1" w:rsidRDefault="003447CF" w:rsidP="00580E2F">
            <w:pPr>
              <w:pStyle w:val="TableText0"/>
              <w:keepNext w:val="0"/>
              <w:rPr>
                <w:szCs w:val="20"/>
              </w:rPr>
            </w:pPr>
            <w:r w:rsidRPr="00193BC1">
              <w:rPr>
                <w:szCs w:val="20"/>
              </w:rPr>
              <w:t>5</w:t>
            </w:r>
          </w:p>
        </w:tc>
        <w:tc>
          <w:tcPr>
            <w:tcW w:w="2438" w:type="pct"/>
            <w:tcBorders>
              <w:top w:val="single" w:sz="4" w:space="0" w:color="auto"/>
              <w:left w:val="single" w:sz="4" w:space="0" w:color="auto"/>
              <w:bottom w:val="single" w:sz="4" w:space="0" w:color="auto"/>
              <w:right w:val="single" w:sz="4" w:space="0" w:color="auto"/>
            </w:tcBorders>
            <w:hideMark/>
          </w:tcPr>
          <w:p w14:paraId="6B2B8A6F" w14:textId="77777777" w:rsidR="003447CF" w:rsidRPr="00193BC1" w:rsidRDefault="003447CF" w:rsidP="00580E2F">
            <w:pPr>
              <w:pStyle w:val="TableText0"/>
              <w:keepNext w:val="0"/>
              <w:rPr>
                <w:b/>
                <w:bCs w:val="0"/>
                <w:szCs w:val="20"/>
              </w:rPr>
            </w:pPr>
            <w:r w:rsidRPr="00193BC1">
              <w:rPr>
                <w:szCs w:val="20"/>
              </w:rPr>
              <w:t>DUPI 300 mg vs. MEPO 100 mg</w:t>
            </w:r>
          </w:p>
        </w:tc>
        <w:tc>
          <w:tcPr>
            <w:tcW w:w="2014" w:type="pct"/>
            <w:tcBorders>
              <w:top w:val="single" w:sz="4" w:space="0" w:color="auto"/>
              <w:left w:val="single" w:sz="4" w:space="0" w:color="auto"/>
              <w:bottom w:val="single" w:sz="4" w:space="0" w:color="auto"/>
              <w:right w:val="single" w:sz="4" w:space="0" w:color="auto"/>
            </w:tcBorders>
            <w:hideMark/>
          </w:tcPr>
          <w:p w14:paraId="006AC308" w14:textId="77777777" w:rsidR="003447CF" w:rsidRPr="00193BC1" w:rsidRDefault="003447CF" w:rsidP="00580E2F">
            <w:pPr>
              <w:pStyle w:val="TableText0"/>
              <w:keepNext w:val="0"/>
              <w:rPr>
                <w:b/>
                <w:bCs w:val="0"/>
                <w:szCs w:val="20"/>
              </w:rPr>
            </w:pPr>
            <w:r w:rsidRPr="00193BC1">
              <w:rPr>
                <w:rFonts w:cs="Arial"/>
                <w:szCs w:val="20"/>
              </w:rPr>
              <w:t>0.67 (0.36, 1.28)</w:t>
            </w:r>
          </w:p>
        </w:tc>
      </w:tr>
      <w:tr w:rsidR="006F2ADF" w:rsidRPr="00193BC1" w14:paraId="01252569"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22FC1FEE" w14:textId="77777777" w:rsidR="003447CF" w:rsidRPr="00193BC1" w:rsidRDefault="003447CF" w:rsidP="00580E2F">
            <w:pPr>
              <w:pStyle w:val="TableText0"/>
              <w:keepNext w:val="0"/>
              <w:rPr>
                <w:szCs w:val="20"/>
              </w:rPr>
            </w:pPr>
            <w:r w:rsidRPr="00193BC1">
              <w:rPr>
                <w:szCs w:val="20"/>
              </w:rPr>
              <w:t>6</w:t>
            </w:r>
            <w:r w:rsidRPr="00193BC1">
              <w:rPr>
                <w:szCs w:val="20"/>
                <w:vertAlign w:val="superscript"/>
              </w:rPr>
              <w:t>b</w:t>
            </w:r>
          </w:p>
        </w:tc>
        <w:tc>
          <w:tcPr>
            <w:tcW w:w="2438" w:type="pct"/>
            <w:tcBorders>
              <w:top w:val="single" w:sz="4" w:space="0" w:color="auto"/>
              <w:left w:val="single" w:sz="4" w:space="0" w:color="auto"/>
              <w:bottom w:val="single" w:sz="4" w:space="0" w:color="auto"/>
              <w:right w:val="single" w:sz="4" w:space="0" w:color="auto"/>
            </w:tcBorders>
            <w:hideMark/>
          </w:tcPr>
          <w:p w14:paraId="3D61BB93" w14:textId="77777777" w:rsidR="003447CF" w:rsidRPr="00193BC1" w:rsidRDefault="003447CF" w:rsidP="00580E2F">
            <w:pPr>
              <w:pStyle w:val="TableText0"/>
              <w:keepNext w:val="0"/>
              <w:rPr>
                <w:szCs w:val="20"/>
              </w:rPr>
            </w:pPr>
            <w:r w:rsidRPr="00193BC1">
              <w:rPr>
                <w:szCs w:val="20"/>
              </w:rPr>
              <w:t>DUPI 300 mg vs. OMA</w:t>
            </w:r>
          </w:p>
        </w:tc>
        <w:tc>
          <w:tcPr>
            <w:tcW w:w="2014" w:type="pct"/>
            <w:tcBorders>
              <w:top w:val="single" w:sz="4" w:space="0" w:color="auto"/>
              <w:left w:val="single" w:sz="4" w:space="0" w:color="auto"/>
              <w:bottom w:val="single" w:sz="4" w:space="0" w:color="auto"/>
              <w:right w:val="single" w:sz="4" w:space="0" w:color="auto"/>
            </w:tcBorders>
            <w:hideMark/>
          </w:tcPr>
          <w:p w14:paraId="6965CAE2" w14:textId="77777777" w:rsidR="003447CF" w:rsidRPr="00193BC1" w:rsidRDefault="003447CF" w:rsidP="00580E2F">
            <w:pPr>
              <w:pStyle w:val="TableText0"/>
              <w:keepNext w:val="0"/>
              <w:rPr>
                <w:szCs w:val="20"/>
              </w:rPr>
            </w:pPr>
            <w:r w:rsidRPr="00193BC1">
              <w:rPr>
                <w:szCs w:val="20"/>
              </w:rPr>
              <w:t>0.29 (0.13, 0.68)</w:t>
            </w:r>
          </w:p>
        </w:tc>
      </w:tr>
    </w:tbl>
    <w:p w14:paraId="0918D070" w14:textId="77777777" w:rsidR="003C4C81" w:rsidRPr="00193BC1" w:rsidRDefault="003447CF" w:rsidP="00C65571">
      <w:pPr>
        <w:pStyle w:val="TableFigureFooter"/>
      </w:pPr>
      <w:r w:rsidRPr="00193BC1">
        <w:t>Source: Table 2.107 of the submission.</w:t>
      </w:r>
    </w:p>
    <w:p w14:paraId="1801215F" w14:textId="77777777" w:rsidR="003447CF" w:rsidRPr="00193BC1" w:rsidRDefault="003447CF" w:rsidP="00C65571">
      <w:pPr>
        <w:pStyle w:val="TableFigureFooter"/>
      </w:pPr>
      <w:r w:rsidRPr="00193BC1">
        <w:t xml:space="preserve">BENRA = benralizumab; CI = confidence interval; </w:t>
      </w:r>
      <w:r w:rsidR="00C65571" w:rsidRPr="00193BC1">
        <w:t>DUPI = dupilumab; EOS = e</w:t>
      </w:r>
      <w:r w:rsidRPr="00193BC1">
        <w:t>osinophils; MEPO = mepolizumab; OCS = oral corticosteroids; OMA = omalizum</w:t>
      </w:r>
      <w:r w:rsidR="00C65571" w:rsidRPr="00193BC1">
        <w:t>ab; Q8W</w:t>
      </w:r>
      <w:r w:rsidRPr="00193BC1">
        <w:t xml:space="preserve"> = every eight weeks; RR = rate ratio.</w:t>
      </w:r>
    </w:p>
    <w:p w14:paraId="7E69FFD4" w14:textId="77777777" w:rsidR="003447CF" w:rsidRPr="00193BC1" w:rsidRDefault="003447CF" w:rsidP="00580E2F">
      <w:pPr>
        <w:pStyle w:val="TableFigureFooter"/>
        <w:jc w:val="left"/>
      </w:pPr>
      <w:r w:rsidRPr="00193BC1">
        <w:rPr>
          <w:vertAlign w:val="superscript"/>
        </w:rPr>
        <w:t xml:space="preserve">a </w:t>
      </w:r>
      <w:r w:rsidRPr="00193BC1">
        <w:t xml:space="preserve">A sensitivity analysis which excluded patients treated with </w:t>
      </w:r>
      <w:r w:rsidR="002D2DBD" w:rsidRPr="00193BC1">
        <w:t xml:space="preserve">intravenous </w:t>
      </w:r>
      <w:r w:rsidRPr="00193BC1">
        <w:t>omalizumab increased the rate ratio to 0.75 (95% CI 0.53, 1.05)</w:t>
      </w:r>
      <w:r w:rsidRPr="00193BC1">
        <w:br/>
      </w:r>
      <w:r w:rsidRPr="00193BC1">
        <w:rPr>
          <w:vertAlign w:val="superscript"/>
        </w:rPr>
        <w:t>b</w:t>
      </w:r>
      <w:r w:rsidRPr="00193BC1">
        <w:t xml:space="preserve"> DUPI </w:t>
      </w:r>
      <w:r w:rsidR="00533BBD" w:rsidRPr="00193BC1">
        <w:t>vs OMA for OCS dependent asthma</w:t>
      </w:r>
      <w:r w:rsidRPr="00193BC1">
        <w:t xml:space="preserve"> was subject to substantial transitivity issues,</w:t>
      </w:r>
      <w:r w:rsidR="009A1919" w:rsidRPr="00193BC1">
        <w:t xml:space="preserve"> with the omalizumab subgroup data not powered to assess efficacy. This result must</w:t>
      </w:r>
      <w:r w:rsidRPr="00193BC1">
        <w:t xml:space="preserve"> be interpreted with additional caution.</w:t>
      </w:r>
    </w:p>
    <w:p w14:paraId="4388670F" w14:textId="77777777" w:rsidR="005A0158" w:rsidRPr="00193BC1" w:rsidRDefault="00722A02" w:rsidP="001716E0">
      <w:pPr>
        <w:pStyle w:val="3-BodyText"/>
      </w:pPr>
      <w:r w:rsidRPr="00193BC1">
        <w:t xml:space="preserve">The non-inferiority margin was met </w:t>
      </w:r>
      <w:r w:rsidR="00830DC1" w:rsidRPr="00193BC1">
        <w:t>in ITC #1 and #2. In these comparisons, patients who had ≥ 2 severe exacerbations in the previous year</w:t>
      </w:r>
      <w:r w:rsidR="00972FD1" w:rsidRPr="00193BC1">
        <w:t xml:space="preserve"> were selected for comparison</w:t>
      </w:r>
      <w:r w:rsidR="00913056" w:rsidRPr="00193BC1">
        <w:t xml:space="preserve">. </w:t>
      </w:r>
      <w:r w:rsidR="00830DC1" w:rsidRPr="00193BC1">
        <w:t xml:space="preserve">This meant the populations were no longer representative of the target Australian population, </w:t>
      </w:r>
      <w:r w:rsidRPr="00193BC1">
        <w:t>which includes</w:t>
      </w:r>
      <w:r w:rsidR="00C476FD" w:rsidRPr="00193BC1">
        <w:t xml:space="preserve"> those with</w:t>
      </w:r>
      <w:r w:rsidR="00830DC1" w:rsidRPr="00193BC1">
        <w:t xml:space="preserve"> </w:t>
      </w:r>
      <w:r w:rsidR="00E55620" w:rsidRPr="00193BC1">
        <w:t xml:space="preserve">≥ </w:t>
      </w:r>
      <w:r w:rsidR="00913056" w:rsidRPr="00193BC1">
        <w:t>1</w:t>
      </w:r>
      <w:r w:rsidR="00E55620" w:rsidRPr="00193BC1">
        <w:t xml:space="preserve"> severe exacerbations in the previous year</w:t>
      </w:r>
      <w:r w:rsidR="00913056" w:rsidRPr="00193BC1">
        <w:t>.</w:t>
      </w:r>
      <w:r w:rsidR="008C465D" w:rsidRPr="00193BC1">
        <w:t xml:space="preserve"> By excluding patients with 1 severe exacerbation in the previous year, the largest </w:t>
      </w:r>
      <w:r w:rsidR="004271D4" w:rsidRPr="00193BC1">
        <w:t xml:space="preserve">subgroup </w:t>
      </w:r>
      <w:r w:rsidR="008C465D" w:rsidRPr="00193BC1">
        <w:t>from QUEST (n=490, 52% of the 200</w:t>
      </w:r>
      <w:r w:rsidR="00BD0B8F" w:rsidRPr="00193BC1">
        <w:t xml:space="preserve"> </w:t>
      </w:r>
      <w:r w:rsidR="008C465D" w:rsidRPr="00193BC1">
        <w:t xml:space="preserve">mg study population) </w:t>
      </w:r>
      <w:r w:rsidR="00155860" w:rsidRPr="00193BC1">
        <w:t>was</w:t>
      </w:r>
      <w:r w:rsidR="008C465D" w:rsidRPr="00193BC1">
        <w:t xml:space="preserve"> </w:t>
      </w:r>
      <w:r w:rsidR="00BA22E6" w:rsidRPr="00193BC1">
        <w:t>precluded</w:t>
      </w:r>
      <w:r w:rsidR="003B0768" w:rsidRPr="00193BC1">
        <w:t xml:space="preserve"> from analyses</w:t>
      </w:r>
      <w:r w:rsidR="00BA22E6" w:rsidRPr="00193BC1">
        <w:t>. T</w:t>
      </w:r>
      <w:r w:rsidR="008C465D" w:rsidRPr="00193BC1">
        <w:t>his subgroup also failed to demonstrate a significant improvement in exacerbations for dupilumab vs placebo (RR 0.771; 95%CI 0.525, 1.134)</w:t>
      </w:r>
      <w:r w:rsidR="00931584" w:rsidRPr="00193BC1">
        <w:t xml:space="preserve">, </w:t>
      </w:r>
      <w:r w:rsidR="00EF5498" w:rsidRPr="00193BC1">
        <w:t>which</w:t>
      </w:r>
      <w:r w:rsidR="00931584" w:rsidRPr="00193BC1">
        <w:t xml:space="preserve"> generated a</w:t>
      </w:r>
      <w:r w:rsidR="00F439D5" w:rsidRPr="00193BC1">
        <w:t>n</w:t>
      </w:r>
      <w:r w:rsidR="00931584" w:rsidRPr="00193BC1">
        <w:t xml:space="preserve"> interaction effect (</w:t>
      </w:r>
      <w:r w:rsidR="002E55F2" w:rsidRPr="00193BC1">
        <w:t xml:space="preserve">prior </w:t>
      </w:r>
      <w:r w:rsidR="00B82494" w:rsidRPr="00193BC1">
        <w:t xml:space="preserve">exacerbations: </w:t>
      </w:r>
      <w:r w:rsidR="00931584" w:rsidRPr="00193BC1">
        <w:t xml:space="preserve">1 vs. &gt;1), </w:t>
      </w:r>
      <w:r w:rsidR="00EF5498" w:rsidRPr="00193BC1">
        <w:t xml:space="preserve">nominal </w:t>
      </w:r>
      <w:r w:rsidR="00931584" w:rsidRPr="00193BC1">
        <w:t>p = 0.0114</w:t>
      </w:r>
      <w:r w:rsidR="008C465D" w:rsidRPr="00193BC1">
        <w:t>.</w:t>
      </w:r>
    </w:p>
    <w:p w14:paraId="62E6700E" w14:textId="77777777" w:rsidR="00830DC1" w:rsidRPr="00193BC1" w:rsidRDefault="00457C54" w:rsidP="001716E0">
      <w:pPr>
        <w:pStyle w:val="3-BodyText"/>
      </w:pPr>
      <w:r w:rsidRPr="00193BC1">
        <w:t>ITC #1 suggested dupilumab is non-inferior to benralizumab in patients with baseline blood eosinophils ≥300 cells/µL, based on the comparison of dupilumab data from QUEST (n=217), DRI12544 (n=64) and benralizumab data from SIROCCO (n=334) and CALIMA (n=583). For this comparison</w:t>
      </w:r>
      <w:r w:rsidR="005A0158" w:rsidRPr="00193BC1">
        <w:t>, patients receiving both medium- and high-dose ICS were included</w:t>
      </w:r>
      <w:r w:rsidR="00C54277" w:rsidRPr="00193BC1">
        <w:t xml:space="preserve"> in the two dupilumab trials</w:t>
      </w:r>
      <w:r w:rsidR="005A0158" w:rsidRPr="00193BC1">
        <w:t xml:space="preserve">; the target Australian population </w:t>
      </w:r>
      <w:r w:rsidR="00013A10" w:rsidRPr="00193BC1">
        <w:t>would</w:t>
      </w:r>
      <w:r w:rsidR="005A0158" w:rsidRPr="00193BC1">
        <w:t xml:space="preserve"> be on high-dose ICS only. The median ICS dose was lower in the </w:t>
      </w:r>
      <w:r w:rsidR="0027057D" w:rsidRPr="00193BC1">
        <w:t>dupilumab trial</w:t>
      </w:r>
      <w:r w:rsidR="00B62F8F" w:rsidRPr="00193BC1">
        <w:t xml:space="preserve"> </w:t>
      </w:r>
      <w:r w:rsidR="005A0158" w:rsidRPr="00193BC1">
        <w:t xml:space="preserve">QUEST </w:t>
      </w:r>
      <w:r w:rsidR="008D3C6F" w:rsidRPr="00193BC1">
        <w:t>(~800µg</w:t>
      </w:r>
      <w:r w:rsidR="00ED62ED" w:rsidRPr="00193BC1">
        <w:t>/day</w:t>
      </w:r>
      <w:r w:rsidR="008D3C6F" w:rsidRPr="00193BC1">
        <w:t>)</w:t>
      </w:r>
      <w:r w:rsidR="0027057D" w:rsidRPr="00193BC1">
        <w:t xml:space="preserve"> and not reported in DRI12544 (</w:t>
      </w:r>
      <w:r w:rsidR="00B845AC" w:rsidRPr="00193BC1">
        <w:t>48</w:t>
      </w:r>
      <w:r w:rsidR="0027057D" w:rsidRPr="00193BC1">
        <w:t xml:space="preserve">% of the ITT population </w:t>
      </w:r>
      <w:r w:rsidR="00F23452" w:rsidRPr="00193BC1">
        <w:t xml:space="preserve">were </w:t>
      </w:r>
      <w:r w:rsidR="003105D7" w:rsidRPr="00193BC1">
        <w:t xml:space="preserve">taking </w:t>
      </w:r>
      <w:r w:rsidR="0027057D" w:rsidRPr="00193BC1">
        <w:t>medium-dose ICS</w:t>
      </w:r>
      <w:r w:rsidR="00F23452" w:rsidRPr="00193BC1">
        <w:t xml:space="preserve"> at time of enrolment</w:t>
      </w:r>
      <w:r w:rsidR="00ED62ED" w:rsidRPr="00193BC1">
        <w:t>, defined as a minimum of 500</w:t>
      </w:r>
      <w:r w:rsidR="00ED62ED" w:rsidRPr="00193BC1">
        <w:rPr>
          <w:rFonts w:cstheme="minorHAnsi"/>
        </w:rPr>
        <w:t>µ</w:t>
      </w:r>
      <w:r w:rsidR="00ED62ED" w:rsidRPr="00193BC1">
        <w:t>g/day</w:t>
      </w:r>
      <w:r w:rsidR="0027057D" w:rsidRPr="00193BC1">
        <w:t>)</w:t>
      </w:r>
      <w:r w:rsidR="00B62F8F" w:rsidRPr="00193BC1">
        <w:t>,</w:t>
      </w:r>
      <w:r w:rsidR="005A0158" w:rsidRPr="00193BC1">
        <w:t xml:space="preserve"> compared to the </w:t>
      </w:r>
      <w:r w:rsidR="00AC2118" w:rsidRPr="00193BC1">
        <w:t xml:space="preserve">benralizumab trials </w:t>
      </w:r>
      <w:r w:rsidR="005A0158" w:rsidRPr="00193BC1">
        <w:t>SIROCCO and CALIMA (908</w:t>
      </w:r>
      <w:r w:rsidR="005A0158" w:rsidRPr="00193BC1">
        <w:rPr>
          <w:rFonts w:cs="Calibri"/>
        </w:rPr>
        <w:t>µ</w:t>
      </w:r>
      <w:r w:rsidR="005A0158" w:rsidRPr="00193BC1">
        <w:t>g</w:t>
      </w:r>
      <w:r w:rsidR="00ED62ED" w:rsidRPr="00193BC1">
        <w:t>/day</w:t>
      </w:r>
      <w:r w:rsidR="005A0158" w:rsidRPr="00193BC1">
        <w:t xml:space="preserve"> and 966</w:t>
      </w:r>
      <w:r w:rsidR="005A0158" w:rsidRPr="00193BC1">
        <w:rPr>
          <w:rFonts w:cs="Calibri"/>
        </w:rPr>
        <w:t>µ</w:t>
      </w:r>
      <w:r w:rsidR="005A0158" w:rsidRPr="00193BC1">
        <w:t>g</w:t>
      </w:r>
      <w:r w:rsidR="00ED62ED" w:rsidRPr="00193BC1">
        <w:t>/day</w:t>
      </w:r>
      <w:r w:rsidR="005A0158" w:rsidRPr="00193BC1">
        <w:t xml:space="preserve"> respectively).</w:t>
      </w:r>
      <w:r w:rsidR="00F31306" w:rsidRPr="00193BC1">
        <w:t xml:space="preserve"> </w:t>
      </w:r>
      <w:r w:rsidR="009410F7" w:rsidRPr="00193BC1">
        <w:t>Patients in QUEST</w:t>
      </w:r>
      <w:r w:rsidR="00E31FE2" w:rsidRPr="00193BC1">
        <w:t xml:space="preserve"> and DRI</w:t>
      </w:r>
      <w:r w:rsidR="00E06A14" w:rsidRPr="00193BC1">
        <w:t>12544</w:t>
      </w:r>
      <w:r w:rsidR="009410F7" w:rsidRPr="00193BC1">
        <w:t xml:space="preserve"> were allowed to receive a transient increase in dose of ICS in addition to reliever/rescue medication to treat acute symptoms of asthma, as per investigator’s guidance</w:t>
      </w:r>
      <w:r w:rsidR="000E0F87" w:rsidRPr="00193BC1">
        <w:t xml:space="preserve"> (it was unclear how often this occurred, and whether it occurred equally in treatment and placebo groups)</w:t>
      </w:r>
      <w:r w:rsidR="009410F7" w:rsidRPr="00193BC1">
        <w:t xml:space="preserve">. </w:t>
      </w:r>
      <w:r w:rsidR="00094CEA" w:rsidRPr="00193BC1">
        <w:t>Further,</w:t>
      </w:r>
      <w:r w:rsidR="006572F0" w:rsidRPr="00193BC1">
        <w:t xml:space="preserve"> </w:t>
      </w:r>
      <w:r w:rsidR="0019789D" w:rsidRPr="00193BC1">
        <w:t xml:space="preserve">of the ITT populations, </w:t>
      </w:r>
      <w:r w:rsidR="006572F0" w:rsidRPr="00193BC1">
        <w:t>17% from SIROCCO and</w:t>
      </w:r>
      <w:r w:rsidR="00094CEA" w:rsidRPr="00193BC1">
        <w:t xml:space="preserve"> 11% from CALIMA were on maintenance OCS</w:t>
      </w:r>
      <w:r w:rsidR="00053DE8" w:rsidRPr="00193BC1">
        <w:t>.</w:t>
      </w:r>
      <w:r w:rsidR="00094CEA" w:rsidRPr="00193BC1">
        <w:t xml:space="preserve"> </w:t>
      </w:r>
      <w:r w:rsidR="008441CC" w:rsidRPr="00193BC1">
        <w:t xml:space="preserve">These imbalances suggest the dupilumab patients </w:t>
      </w:r>
      <w:r w:rsidRPr="00193BC1">
        <w:t>had</w:t>
      </w:r>
      <w:r w:rsidR="008441CC" w:rsidRPr="00193BC1">
        <w:t xml:space="preserve"> less severe disease than the benralizumab patients</w:t>
      </w:r>
      <w:r w:rsidR="00BC7EE6" w:rsidRPr="00193BC1">
        <w:t xml:space="preserve"> at baseline</w:t>
      </w:r>
      <w:r w:rsidR="008441CC" w:rsidRPr="00193BC1">
        <w:t>.</w:t>
      </w:r>
      <w:r w:rsidR="00685EEB" w:rsidRPr="00193BC1">
        <w:t xml:space="preserve"> </w:t>
      </w:r>
      <w:r w:rsidR="00CA01FF" w:rsidRPr="00193BC1">
        <w:t>The PSCR</w:t>
      </w:r>
      <w:r w:rsidR="00685EEB" w:rsidRPr="00193BC1">
        <w:t xml:space="preserve"> argued that no </w:t>
      </w:r>
      <w:r w:rsidR="00685EEB" w:rsidRPr="00193BC1">
        <w:lastRenderedPageBreak/>
        <w:t xml:space="preserve">treatment-by-subgroup interaction was observed </w:t>
      </w:r>
      <w:r w:rsidR="00CA01FF" w:rsidRPr="00193BC1">
        <w:t>wit</w:t>
      </w:r>
      <w:r w:rsidR="006A61C1" w:rsidRPr="00193BC1">
        <w:t xml:space="preserve">h </w:t>
      </w:r>
      <w:r w:rsidR="00CA01FF" w:rsidRPr="00193BC1">
        <w:t xml:space="preserve">a </w:t>
      </w:r>
      <w:r w:rsidR="006A61C1" w:rsidRPr="00193BC1">
        <w:t xml:space="preserve">consistent reduction in the rate of severe asthma exacerbations with dupilumab versus placebo observed across both baseline ICS dose categories. The ESC considered that this may be the case for the ITT population, but the ITC was conducted on a small subset of patients from QUEST (217/1887 = 11.5%) and DRI12544 (64/325 = 19.7%). </w:t>
      </w:r>
    </w:p>
    <w:p w14:paraId="3D65BF79" w14:textId="77777777" w:rsidR="00DE5FCF" w:rsidRPr="00193BC1" w:rsidRDefault="00586A29" w:rsidP="001716E0">
      <w:pPr>
        <w:pStyle w:val="3-BodyText"/>
      </w:pPr>
      <w:r w:rsidRPr="00193BC1">
        <w:t>ITC #2 suggested dupilumab is non-inferior to mepolizumab, based on the comparison of dupilumab data from QUEST (n=199), DRI12544 (n=70) and mepolizumab data from MENSA (n=576), MUSCA (n=551) and DREAM (n=308). For this comparison</w:t>
      </w:r>
      <w:r w:rsidR="005A0158" w:rsidRPr="00193BC1">
        <w:t xml:space="preserve">, </w:t>
      </w:r>
      <w:r w:rsidR="00053DE8" w:rsidRPr="00193BC1">
        <w:t xml:space="preserve">the baseline EOS </w:t>
      </w:r>
      <w:r w:rsidR="00033F25" w:rsidRPr="00193BC1">
        <w:t>level for inclusion was ≥150 cells/</w:t>
      </w:r>
      <w:r w:rsidR="00033F25" w:rsidRPr="00193BC1">
        <w:rPr>
          <w:rFonts w:cs="Calibri"/>
        </w:rPr>
        <w:t>µ</w:t>
      </w:r>
      <w:r w:rsidR="00033F25" w:rsidRPr="00193BC1">
        <w:t>L, which is not consistent with the PBS requirement of ≥</w:t>
      </w:r>
      <w:r w:rsidR="00FC0094" w:rsidRPr="00193BC1">
        <w:t>300</w:t>
      </w:r>
      <w:r w:rsidR="00033F25" w:rsidRPr="00193BC1">
        <w:t xml:space="preserve"> cells/</w:t>
      </w:r>
      <w:r w:rsidR="00033F25" w:rsidRPr="00193BC1">
        <w:rPr>
          <w:rFonts w:cs="Calibri"/>
        </w:rPr>
        <w:t>µ</w:t>
      </w:r>
      <w:r w:rsidR="00033F25" w:rsidRPr="00193BC1">
        <w:t>L in the previous year.</w:t>
      </w:r>
      <w:r w:rsidR="007146D5" w:rsidRPr="00193BC1">
        <w:t xml:space="preserve"> In MENSA</w:t>
      </w:r>
      <w:r w:rsidR="000662D1" w:rsidRPr="00193BC1">
        <w:t xml:space="preserve"> and MUSCA</w:t>
      </w:r>
      <w:r w:rsidR="007146D5" w:rsidRPr="00193BC1">
        <w:t xml:space="preserve">, </w:t>
      </w:r>
      <w:r w:rsidR="000662D1" w:rsidRPr="00193BC1">
        <w:t xml:space="preserve">all enrolled patients had EOS </w:t>
      </w:r>
      <w:r w:rsidR="000662D1" w:rsidRPr="00193BC1">
        <w:rPr>
          <w:rFonts w:cstheme="minorHAnsi"/>
        </w:rPr>
        <w:t>≥</w:t>
      </w:r>
      <w:r w:rsidR="00923457" w:rsidRPr="00193BC1">
        <w:t>150</w:t>
      </w:r>
      <w:r w:rsidR="007146D5" w:rsidRPr="00193BC1">
        <w:t xml:space="preserve"> </w:t>
      </w:r>
      <w:r w:rsidR="004510D0" w:rsidRPr="00193BC1">
        <w:t>cells/µL</w:t>
      </w:r>
      <w:r w:rsidR="000662D1" w:rsidRPr="00193BC1">
        <w:t xml:space="preserve"> </w:t>
      </w:r>
      <w:r w:rsidR="00923457" w:rsidRPr="00193BC1">
        <w:t xml:space="preserve">at enrolment or ≥300 cells/µL </w:t>
      </w:r>
      <w:r w:rsidR="00B07099" w:rsidRPr="00193BC1">
        <w:t>in the previous 12 months</w:t>
      </w:r>
      <w:r w:rsidR="000662D1" w:rsidRPr="00193BC1">
        <w:t>.</w:t>
      </w:r>
      <w:r w:rsidR="00D04054" w:rsidRPr="00193BC1">
        <w:t xml:space="preserve"> The mean EOS levels were </w:t>
      </w:r>
      <w:r w:rsidR="00C3575F" w:rsidRPr="00193BC1">
        <w:t>generally</w:t>
      </w:r>
      <w:r w:rsidR="00D04054" w:rsidRPr="00193BC1">
        <w:t xml:space="preserve"> higher in the dupilumab trials (~400 cells/</w:t>
      </w:r>
      <w:r w:rsidR="00D04054" w:rsidRPr="00193BC1">
        <w:rPr>
          <w:rFonts w:cstheme="minorHAnsi"/>
        </w:rPr>
        <w:t>µ</w:t>
      </w:r>
      <w:r w:rsidR="00D04054" w:rsidRPr="00193BC1">
        <w:t>L) compared to the mepolizumab trials (~300 cells/</w:t>
      </w:r>
      <w:r w:rsidR="00D04054" w:rsidRPr="00193BC1">
        <w:rPr>
          <w:rFonts w:cstheme="minorHAnsi"/>
        </w:rPr>
        <w:t>µ</w:t>
      </w:r>
      <w:r w:rsidR="00D04054" w:rsidRPr="00193BC1">
        <w:t xml:space="preserve">L); as </w:t>
      </w:r>
      <w:r w:rsidR="006F42E4" w:rsidRPr="00193BC1">
        <w:t>dupilumab and mepolizumab appear</w:t>
      </w:r>
      <w:r w:rsidR="00D04054" w:rsidRPr="00193BC1">
        <w:t xml:space="preserve"> more efficacious in patients with higher EOS levels, this difference may </w:t>
      </w:r>
      <w:r w:rsidR="003D7791" w:rsidRPr="00193BC1">
        <w:t>over-represent</w:t>
      </w:r>
      <w:r w:rsidR="00D04054" w:rsidRPr="00193BC1">
        <w:t xml:space="preserve"> the apparent efficacy of dupilumab.</w:t>
      </w:r>
      <w:r w:rsidR="000662D1" w:rsidRPr="00193BC1">
        <w:t xml:space="preserve"> </w:t>
      </w:r>
      <w:r w:rsidR="00FB0BCB" w:rsidRPr="00193BC1">
        <w:t>T</w:t>
      </w:r>
      <w:r w:rsidR="00033F25" w:rsidRPr="00193BC1">
        <w:t>he ITC used data from</w:t>
      </w:r>
      <w:r w:rsidR="00BE5CA2" w:rsidRPr="00193BC1">
        <w:t xml:space="preserve"> intravenous (</w:t>
      </w:r>
      <w:r w:rsidR="002E365E" w:rsidRPr="00193BC1">
        <w:t>IV</w:t>
      </w:r>
      <w:r w:rsidR="00BE5CA2" w:rsidRPr="00193BC1">
        <w:t>)</w:t>
      </w:r>
      <w:r w:rsidR="002E365E" w:rsidRPr="00193BC1">
        <w:t xml:space="preserve"> </w:t>
      </w:r>
      <w:r w:rsidR="00033F25" w:rsidRPr="00193BC1">
        <w:t>mepolizumab 75</w:t>
      </w:r>
      <w:r w:rsidR="00BD0B8F" w:rsidRPr="00193BC1">
        <w:t xml:space="preserve"> </w:t>
      </w:r>
      <w:r w:rsidR="00033F25" w:rsidRPr="00193BC1">
        <w:t>mg</w:t>
      </w:r>
      <w:r w:rsidR="00F52E7D" w:rsidRPr="00193BC1">
        <w:t xml:space="preserve"> (the DREAM trial)</w:t>
      </w:r>
      <w:r w:rsidR="00033F25" w:rsidRPr="00193BC1">
        <w:t>, a formulation not available in Australia</w:t>
      </w:r>
      <w:r w:rsidR="001B587D" w:rsidRPr="00193BC1">
        <w:t>. Data from MENSA suggested</w:t>
      </w:r>
      <w:r w:rsidR="00096334" w:rsidRPr="00193BC1">
        <w:t xml:space="preserve"> the IV dose is inferior to the SC dose at reducing serious exacerbations</w:t>
      </w:r>
      <w:r w:rsidR="00096334" w:rsidRPr="00193BC1">
        <w:rPr>
          <w:rStyle w:val="FootnoteReference"/>
          <w:iCs/>
        </w:rPr>
        <w:footnoteReference w:id="8"/>
      </w:r>
      <w:r w:rsidR="000662D1" w:rsidRPr="00193BC1">
        <w:t>, making its inclusion inappropriate</w:t>
      </w:r>
      <w:r w:rsidR="00033F25" w:rsidRPr="00193BC1">
        <w:t xml:space="preserve">; a sensitivity analysis excluding </w:t>
      </w:r>
      <w:r w:rsidR="00F64B54" w:rsidRPr="00193BC1">
        <w:t>IV groups</w:t>
      </w:r>
      <w:r w:rsidR="00033F25" w:rsidRPr="00193BC1">
        <w:t xml:space="preserve"> was performed, which yielded a</w:t>
      </w:r>
      <w:r w:rsidR="00011F7B" w:rsidRPr="00193BC1">
        <w:t>n ITC</w:t>
      </w:r>
      <w:r w:rsidR="00033F25" w:rsidRPr="00193BC1">
        <w:t xml:space="preserve"> RR 0.75 (95% CI 0.53, 1.05).</w:t>
      </w:r>
      <w:r w:rsidR="001529AB" w:rsidRPr="00193BC1">
        <w:t xml:space="preserve"> Finally, </w:t>
      </w:r>
      <w:r w:rsidR="0019789D" w:rsidRPr="00193BC1">
        <w:t xml:space="preserve">of the ITT populations, </w:t>
      </w:r>
      <w:r w:rsidR="00BE5284" w:rsidRPr="00193BC1">
        <w:t xml:space="preserve">approximately </w:t>
      </w:r>
      <w:r w:rsidR="001529AB" w:rsidRPr="00193BC1">
        <w:t xml:space="preserve">25% of the MENSA patients and </w:t>
      </w:r>
      <w:r w:rsidR="00BE5284" w:rsidRPr="00193BC1">
        <w:t xml:space="preserve">around </w:t>
      </w:r>
      <w:r w:rsidR="001529AB" w:rsidRPr="00193BC1">
        <w:t xml:space="preserve">10% of MUSCA patients were taking </w:t>
      </w:r>
      <w:r w:rsidR="0028254A" w:rsidRPr="00193BC1">
        <w:t xml:space="preserve">baseline </w:t>
      </w:r>
      <w:r w:rsidR="001529AB" w:rsidRPr="00193BC1">
        <w:t xml:space="preserve">OCS, suggesting they </w:t>
      </w:r>
      <w:r w:rsidR="0056746E" w:rsidRPr="00193BC1">
        <w:t>had</w:t>
      </w:r>
      <w:r w:rsidR="001529AB" w:rsidRPr="00193BC1">
        <w:t xml:space="preserve"> a more severe form of asthma</w:t>
      </w:r>
      <w:r w:rsidR="00337E9E" w:rsidRPr="00193BC1">
        <w:t xml:space="preserve"> compared to the dupilumab patients</w:t>
      </w:r>
      <w:r w:rsidR="001529AB" w:rsidRPr="00193BC1">
        <w:t>.</w:t>
      </w:r>
    </w:p>
    <w:p w14:paraId="036F5E80" w14:textId="77777777" w:rsidR="00DE5FCF" w:rsidRPr="00193BC1" w:rsidRDefault="00DE5FCF" w:rsidP="001716E0">
      <w:pPr>
        <w:pStyle w:val="3-BodyText"/>
      </w:pPr>
      <w:r w:rsidRPr="00193BC1">
        <w:t xml:space="preserve">ITC #3 </w:t>
      </w:r>
      <w:r w:rsidR="00495E44" w:rsidRPr="00193BC1">
        <w:t xml:space="preserve">showed dupilumab </w:t>
      </w:r>
      <w:r w:rsidRPr="00193BC1">
        <w:t xml:space="preserve">failed to meet the non-inferiority margin </w:t>
      </w:r>
      <w:r w:rsidR="00682698" w:rsidRPr="00193BC1">
        <w:t xml:space="preserve">versus </w:t>
      </w:r>
      <w:r w:rsidRPr="00193BC1">
        <w:t xml:space="preserve">omalizumab, based on the comparison of dupilumab data from QUEST (n=383), DRI12544 (n=127) and omalizumab data from INNOVATE </w:t>
      </w:r>
      <w:r w:rsidR="001E6463" w:rsidRPr="00193BC1">
        <w:t>(N</w:t>
      </w:r>
      <w:r w:rsidRPr="00193BC1">
        <w:t>=419)</w:t>
      </w:r>
      <w:r w:rsidR="00FB39F3" w:rsidRPr="00193BC1">
        <w:t xml:space="preserve"> </w:t>
      </w:r>
      <w:r w:rsidRPr="00193BC1">
        <w:t xml:space="preserve">and EXTRA </w:t>
      </w:r>
      <w:r w:rsidR="001E6463" w:rsidRPr="00193BC1">
        <w:t>(N</w:t>
      </w:r>
      <w:r w:rsidRPr="00193BC1">
        <w:t>=848)</w:t>
      </w:r>
      <w:r w:rsidR="00854E10" w:rsidRPr="00193BC1">
        <w:t xml:space="preserve"> with a baseline </w:t>
      </w:r>
      <w:r w:rsidR="00DC3480" w:rsidRPr="00193BC1">
        <w:t>immunoglobulin E (</w:t>
      </w:r>
      <w:r w:rsidR="00854E10" w:rsidRPr="00193BC1">
        <w:t>IgE</w:t>
      </w:r>
      <w:r w:rsidR="00DC3480" w:rsidRPr="00193BC1">
        <w:t>)</w:t>
      </w:r>
      <w:r w:rsidR="00854E10" w:rsidRPr="00193BC1">
        <w:t xml:space="preserve"> of 30-700 IU/mL</w:t>
      </w:r>
      <w:r w:rsidRPr="00193BC1">
        <w:t>.</w:t>
      </w:r>
      <w:r w:rsidR="00753C84" w:rsidRPr="00193BC1">
        <w:t xml:space="preserve"> </w:t>
      </w:r>
      <w:r w:rsidR="00230895" w:rsidRPr="00193BC1">
        <w:t xml:space="preserve">This result was produced when the dupilumab group had lower mean baseline ICS dose in QUEST </w:t>
      </w:r>
      <w:r w:rsidR="004B4D91" w:rsidRPr="00193BC1">
        <w:t>(719µg</w:t>
      </w:r>
      <w:r w:rsidR="006C0ED9" w:rsidRPr="00193BC1">
        <w:t>/day</w:t>
      </w:r>
      <w:r w:rsidR="004B4D91" w:rsidRPr="00193BC1">
        <w:t xml:space="preserve">) </w:t>
      </w:r>
      <w:r w:rsidR="00230895" w:rsidRPr="00193BC1">
        <w:t>than the</w:t>
      </w:r>
      <w:r w:rsidR="00185207" w:rsidRPr="00193BC1">
        <w:t xml:space="preserve"> omalizumab</w:t>
      </w:r>
      <w:r w:rsidR="00230895" w:rsidRPr="00193BC1">
        <w:t xml:space="preserve"> groups in INNOVATE and EXTRA (2,000</w:t>
      </w:r>
      <w:r w:rsidR="004B4D91" w:rsidRPr="00193BC1">
        <w:rPr>
          <w:iCs/>
        </w:rPr>
        <w:t>µg</w:t>
      </w:r>
      <w:r w:rsidR="006C0ED9" w:rsidRPr="00193BC1">
        <w:rPr>
          <w:iCs/>
        </w:rPr>
        <w:t>/day</w:t>
      </w:r>
      <w:r w:rsidR="00230895" w:rsidRPr="00193BC1">
        <w:t xml:space="preserve"> and 1169</w:t>
      </w:r>
      <w:r w:rsidR="004B4D91" w:rsidRPr="00193BC1">
        <w:t>µg</w:t>
      </w:r>
      <w:r w:rsidR="006C0ED9" w:rsidRPr="00193BC1">
        <w:t>/day</w:t>
      </w:r>
      <w:r w:rsidR="00230895" w:rsidRPr="00193BC1">
        <w:t xml:space="preserve"> respectively).</w:t>
      </w:r>
      <w:r w:rsidR="00864443" w:rsidRPr="00193BC1">
        <w:t xml:space="preserve"> Baseline ICS doses were not provided for dupilumab patients from DRI12544</w:t>
      </w:r>
      <w:r w:rsidR="00B845AC" w:rsidRPr="00193BC1">
        <w:t xml:space="preserve"> (</w:t>
      </w:r>
      <w:r w:rsidR="00B845AC" w:rsidRPr="00193BC1">
        <w:rPr>
          <w:iCs/>
        </w:rPr>
        <w:t>48% of the ITT population were taking medium-dose ICS at time of enrolment, defined as a minimum of 500µg/day)</w:t>
      </w:r>
      <w:r w:rsidR="00864443" w:rsidRPr="00193BC1">
        <w:t>.</w:t>
      </w:r>
      <w:r w:rsidR="00986AE7" w:rsidRPr="00193BC1">
        <w:t xml:space="preserve"> In addition, patients in QUEST had a lower mean</w:t>
      </w:r>
      <w:r w:rsidR="00DC7A9B" w:rsidRPr="00193BC1">
        <w:t xml:space="preserve"> baseline</w:t>
      </w:r>
      <w:r w:rsidR="00986AE7" w:rsidRPr="00193BC1">
        <w:t xml:space="preserve"> exacerbation rate</w:t>
      </w:r>
      <w:r w:rsidR="006C1445" w:rsidRPr="00193BC1">
        <w:t xml:space="preserve"> in the previous year</w:t>
      </w:r>
      <w:r w:rsidR="00986AE7" w:rsidRPr="00193BC1">
        <w:t xml:space="preserve"> compared to patients in INNOVATE (2.0 vs 2.5 respectively)</w:t>
      </w:r>
      <w:r w:rsidR="00844400" w:rsidRPr="00193BC1">
        <w:t xml:space="preserve">. </w:t>
      </w:r>
      <w:r w:rsidR="00844400" w:rsidRPr="00193BC1">
        <w:rPr>
          <w:iCs/>
        </w:rPr>
        <w:t xml:space="preserve">These imbalances suggest the dupilumab patients </w:t>
      </w:r>
      <w:r w:rsidR="008D1918" w:rsidRPr="00193BC1">
        <w:rPr>
          <w:iCs/>
        </w:rPr>
        <w:t>may have had</w:t>
      </w:r>
      <w:r w:rsidR="00844400" w:rsidRPr="00193BC1">
        <w:rPr>
          <w:iCs/>
        </w:rPr>
        <w:t xml:space="preserve"> less severe disease than the omalizumab patients</w:t>
      </w:r>
      <w:r w:rsidR="00C56C7B" w:rsidRPr="00193BC1">
        <w:rPr>
          <w:iCs/>
        </w:rPr>
        <w:t xml:space="preserve"> at baseline</w:t>
      </w:r>
      <w:r w:rsidR="00844400" w:rsidRPr="00193BC1">
        <w:rPr>
          <w:iCs/>
        </w:rPr>
        <w:t>.</w:t>
      </w:r>
      <w:r w:rsidR="00230895" w:rsidRPr="00193BC1">
        <w:t xml:space="preserve"> </w:t>
      </w:r>
      <w:r w:rsidRPr="00193BC1">
        <w:t xml:space="preserve">The submission speculated that a lack of statistical power and low patient numbers </w:t>
      </w:r>
      <w:r w:rsidR="006515E7" w:rsidRPr="00193BC1">
        <w:t>were</w:t>
      </w:r>
      <w:r w:rsidRPr="00193BC1">
        <w:t xml:space="preserve"> responsible for the failure to meet the pre-specified non-inferiority margin, </w:t>
      </w:r>
      <w:r w:rsidR="00376030" w:rsidRPr="00193BC1">
        <w:t>as</w:t>
      </w:r>
      <w:r w:rsidRPr="00193BC1">
        <w:t xml:space="preserve"> the </w:t>
      </w:r>
      <w:r w:rsidR="00FC5182" w:rsidRPr="00193BC1">
        <w:t>selected</w:t>
      </w:r>
      <w:r w:rsidRPr="00193BC1">
        <w:t xml:space="preserve"> subgroup of the dupilumab ITT population</w:t>
      </w:r>
      <w:r w:rsidR="00B067C6" w:rsidRPr="00193BC1">
        <w:t>s</w:t>
      </w:r>
      <w:r w:rsidRPr="00193BC1">
        <w:t xml:space="preserve"> </w:t>
      </w:r>
      <w:r w:rsidR="00CE1F61" w:rsidRPr="00193BC1">
        <w:t>made</w:t>
      </w:r>
      <w:r w:rsidRPr="00193BC1">
        <w:t xml:space="preserve"> up only 40% (510/1260) of the study patients. This is an unlikely explanation, as </w:t>
      </w:r>
      <w:r w:rsidR="009316DE" w:rsidRPr="00193BC1">
        <w:t>ITC #3 had the highest number of dupilumab patients out of all the ITCs performed in Step 3.</w:t>
      </w:r>
      <w:r w:rsidR="0019789D" w:rsidRPr="00193BC1">
        <w:t xml:space="preserve"> </w:t>
      </w:r>
      <w:r w:rsidR="00072127" w:rsidRPr="00193BC1">
        <w:t xml:space="preserve">The PSCR </w:t>
      </w:r>
      <w:r w:rsidR="00CA01FF" w:rsidRPr="00193BC1">
        <w:t>acknowledged</w:t>
      </w:r>
      <w:r w:rsidR="00072127" w:rsidRPr="00193BC1">
        <w:t xml:space="preserve"> that the upper confid</w:t>
      </w:r>
      <w:r w:rsidR="00E51ACF" w:rsidRPr="00193BC1">
        <w:t>ence interval for ITC #3 exceeded</w:t>
      </w:r>
      <w:r w:rsidR="00072127" w:rsidRPr="00193BC1">
        <w:t xml:space="preserve"> the nominated MCID of 28% </w:t>
      </w:r>
      <w:r w:rsidR="00072127" w:rsidRPr="00193BC1">
        <w:lastRenderedPageBreak/>
        <w:t xml:space="preserve">but </w:t>
      </w:r>
      <w:r w:rsidR="00CA01FF" w:rsidRPr="00193BC1">
        <w:t>argued</w:t>
      </w:r>
      <w:r w:rsidR="0094257D" w:rsidRPr="00193BC1">
        <w:t xml:space="preserve"> that it is more accurate to say that the non-inferiority conclusion is uncertain with the point estimate favouring dupilumab. In ad</w:t>
      </w:r>
      <w:r w:rsidR="0080767A" w:rsidRPr="00193BC1">
        <w:t xml:space="preserve">dition, the PSCR argued that when making its decision to recommend benralizumab in  March 2018 the PBAC considered a similar ITC to ITC #3 where benralizumab did not meet the nominated MCID vs. the main comparator mepolizumab (RR 1.25 [0.78, 2.02]) (Table 6, benralizumab PSD, March 2018 PBAC meeting). </w:t>
      </w:r>
    </w:p>
    <w:p w14:paraId="62890A4C" w14:textId="77777777" w:rsidR="00DE5FCF" w:rsidRPr="00193BC1" w:rsidRDefault="00DE5FCF" w:rsidP="001716E0">
      <w:pPr>
        <w:pStyle w:val="3-BodyText"/>
      </w:pPr>
      <w:r w:rsidRPr="00193BC1">
        <w:t xml:space="preserve">ITC #4 showed dupilumab failed to meet the non-inferiority margin with benralizumab, based on the comparison of dupilumab data from VENTURE (n=57) and benralizumab data from ZONDA (n=148), with 24 and 28 weeks of follow-up respectively. </w:t>
      </w:r>
      <w:r w:rsidR="00BD2A84" w:rsidRPr="00193BC1">
        <w:t>T</w:t>
      </w:r>
      <w:r w:rsidR="000A1DB7" w:rsidRPr="00193BC1">
        <w:rPr>
          <w:iCs/>
        </w:rPr>
        <w:t xml:space="preserve">he </w:t>
      </w:r>
      <w:r w:rsidRPr="00193BC1">
        <w:t>dupilumab patient cohort had fewer baseline exacerbations in the prior year compar</w:t>
      </w:r>
      <w:r w:rsidR="00936788" w:rsidRPr="00193BC1">
        <w:t>ed to the benralizumab group (2.53</w:t>
      </w:r>
      <w:r w:rsidR="000B28DF" w:rsidRPr="00193BC1">
        <w:t xml:space="preserve"> vs 3.1), suggesting the benralizumab patients </w:t>
      </w:r>
      <w:r w:rsidR="00802560" w:rsidRPr="00193BC1">
        <w:t>had</w:t>
      </w:r>
      <w:r w:rsidR="000B28DF" w:rsidRPr="00193BC1">
        <w:t xml:space="preserve"> more severe disease</w:t>
      </w:r>
      <w:r w:rsidR="00F837EB" w:rsidRPr="00193BC1">
        <w:t xml:space="preserve"> at baseline</w:t>
      </w:r>
      <w:r w:rsidR="00AF2C84" w:rsidRPr="00193BC1">
        <w:t>.</w:t>
      </w:r>
      <w:r w:rsidRPr="00193BC1">
        <w:t xml:space="preserve"> Overall, the low numbers and short follow-up make it difficult to meaningfully interpret these results.</w:t>
      </w:r>
    </w:p>
    <w:p w14:paraId="3E5CEF7C" w14:textId="77777777" w:rsidR="0009668E" w:rsidRPr="00193BC1" w:rsidRDefault="00DE5FCF" w:rsidP="0009668E">
      <w:pPr>
        <w:pStyle w:val="3-BodyText"/>
      </w:pPr>
      <w:r w:rsidRPr="00193BC1">
        <w:t xml:space="preserve">ITC #5 showed dupilumab achieved borderline non-inferiority with mepolizumab, based on the comparison of dupilumab data from VENTURE (n=132) and mepolizumab data from SIRIUS (n=135), with only 24 weeks of follow-up for each group. Patients in the dupilumab arm of VENTURE had </w:t>
      </w:r>
      <w:r w:rsidR="006C1445" w:rsidRPr="00193BC1">
        <w:t xml:space="preserve">a lower mean </w:t>
      </w:r>
      <w:r w:rsidR="00B82372" w:rsidRPr="00193BC1">
        <w:t xml:space="preserve">baseline </w:t>
      </w:r>
      <w:r w:rsidR="006C1445" w:rsidRPr="00193BC1">
        <w:t>exacerbation rate</w:t>
      </w:r>
      <w:r w:rsidRPr="00193BC1">
        <w:t xml:space="preserve"> in the </w:t>
      </w:r>
      <w:r w:rsidR="005C53E6" w:rsidRPr="00193BC1">
        <w:t xml:space="preserve">previous </w:t>
      </w:r>
      <w:r w:rsidRPr="00193BC1">
        <w:t xml:space="preserve">year compared to patients in the mepolizumab arm of </w:t>
      </w:r>
      <w:r w:rsidR="000202FF" w:rsidRPr="00193BC1">
        <w:t>SIRIUS (1.97</w:t>
      </w:r>
      <w:r w:rsidRPr="00193BC1">
        <w:t xml:space="preserve"> vs 3.3 respectively), and the placebo arm of VENTURE had</w:t>
      </w:r>
      <w:r w:rsidR="006C7E16" w:rsidRPr="00193BC1">
        <w:t xml:space="preserve"> both</w:t>
      </w:r>
      <w:r w:rsidRPr="00193BC1">
        <w:t xml:space="preserve"> a lower baseline daily OCS dose compared to the placebo arm of </w:t>
      </w:r>
      <w:r w:rsidR="00102B3E" w:rsidRPr="00193BC1">
        <w:t>SIRIUS</w:t>
      </w:r>
      <w:r w:rsidRPr="00193BC1">
        <w:t xml:space="preserve"> (</w:t>
      </w:r>
      <w:r w:rsidR="00102B3E" w:rsidRPr="00193BC1">
        <w:t xml:space="preserve">11.48 vs </w:t>
      </w:r>
      <w:r w:rsidRPr="00193BC1">
        <w:t xml:space="preserve">15 respectively) and </w:t>
      </w:r>
      <w:r w:rsidR="00102B3E" w:rsidRPr="00193BC1">
        <w:t>fewer</w:t>
      </w:r>
      <w:r w:rsidRPr="00193BC1">
        <w:t xml:space="preserve"> exacerbations in the last year (</w:t>
      </w:r>
      <w:r w:rsidR="00102B3E" w:rsidRPr="00193BC1">
        <w:t xml:space="preserve">2.08 vs </w:t>
      </w:r>
      <w:r w:rsidR="00456082" w:rsidRPr="00193BC1">
        <w:t>2.9)</w:t>
      </w:r>
      <w:r w:rsidRPr="00193BC1">
        <w:t xml:space="preserve">. </w:t>
      </w:r>
      <w:r w:rsidR="00E82073" w:rsidRPr="00193BC1">
        <w:t>These imbalances suggest patients in SIRIUS suffered a more severe form of asthma compared to VENTURE, which adds uncertainty to the borderline non-inferiority finding.</w:t>
      </w:r>
    </w:p>
    <w:p w14:paraId="0E5C34C7" w14:textId="77777777" w:rsidR="00934988" w:rsidRPr="00193BC1" w:rsidRDefault="00F31306" w:rsidP="001716E0">
      <w:pPr>
        <w:pStyle w:val="3-BodyText"/>
      </w:pPr>
      <w:r w:rsidRPr="00193BC1">
        <w:t>ITC #6 could not be performed with the same framework as the other 5 ITCs</w:t>
      </w:r>
      <w:r w:rsidR="00EE29DA" w:rsidRPr="00193BC1">
        <w:t>, due to the absence of a dedicated phase 3 study in OCS-dependent patients taking omalizumab</w:t>
      </w:r>
      <w:r w:rsidRPr="00193BC1">
        <w:t xml:space="preserve">. As such, </w:t>
      </w:r>
      <w:r w:rsidR="000202FF" w:rsidRPr="00193BC1">
        <w:t xml:space="preserve">dupilumab data from </w:t>
      </w:r>
      <w:r w:rsidRPr="00193BC1">
        <w:t>VENTURE</w:t>
      </w:r>
      <w:r w:rsidR="000202FF" w:rsidRPr="00193BC1">
        <w:t xml:space="preserve"> (dupilumab)</w:t>
      </w:r>
      <w:r w:rsidRPr="00193BC1">
        <w:t xml:space="preserve"> and </w:t>
      </w:r>
      <w:r w:rsidR="000202FF" w:rsidRPr="00193BC1">
        <w:t xml:space="preserve">omalizumab data from </w:t>
      </w:r>
      <w:r w:rsidRPr="00193BC1">
        <w:t xml:space="preserve">EXTRA (M3 subgroup) cohorts were compared, which suggested dupilumab was non-inferior to omalizumab. </w:t>
      </w:r>
      <w:r w:rsidR="00ED3232" w:rsidRPr="00193BC1">
        <w:t xml:space="preserve">This comparison is based on incomplete and imbalanced data. The M3 group of EXTRA (n=144) comprised 60 patients who had received daily or alternate-day OCS at baseline, and 84 patients who had ≥ 4 asthma exacerbations during the previous year requiring treatment with OCS. </w:t>
      </w:r>
      <w:r w:rsidR="007649C8" w:rsidRPr="00193BC1">
        <w:t xml:space="preserve">As such, the majority of this group had a high number of previous exacerbations. </w:t>
      </w:r>
      <w:r w:rsidR="00815756" w:rsidRPr="00193BC1">
        <w:t>The</w:t>
      </w:r>
      <w:r w:rsidRPr="00193BC1">
        <w:t xml:space="preserve"> result incorporated substantial transitivity issues, and is highly uncertain; these trials used</w:t>
      </w:r>
      <w:r w:rsidR="00173228" w:rsidRPr="00193BC1">
        <w:t xml:space="preserve"> different inclusion criteria, and a lot of the baseline characteristics for these subgroups </w:t>
      </w:r>
      <w:r w:rsidR="00B4525C" w:rsidRPr="00193BC1">
        <w:t>were</w:t>
      </w:r>
      <w:r w:rsidR="00173228" w:rsidRPr="00193BC1">
        <w:t xml:space="preserve"> unknown</w:t>
      </w:r>
      <w:r w:rsidRPr="00193BC1">
        <w:t>. In addition, the M3 subgroup was not statistic</w:t>
      </w:r>
      <w:r w:rsidR="00193902" w:rsidRPr="00193BC1">
        <w:t>ally powered to assess efficacy</w:t>
      </w:r>
      <w:r w:rsidR="000202FF" w:rsidRPr="00193BC1">
        <w:t>.</w:t>
      </w:r>
      <w:r w:rsidR="0080767A" w:rsidRPr="00193BC1">
        <w:t xml:space="preserve"> The PSCR  acknowledged that the lack of omalizumab evidence in this population introduced uncertainty into the results of ITC </w:t>
      </w:r>
      <w:r w:rsidR="00CA01FF" w:rsidRPr="00193BC1">
        <w:t>#</w:t>
      </w:r>
      <w:r w:rsidR="0080767A" w:rsidRPr="00193BC1">
        <w:t xml:space="preserve">6. However, the PSCR argued that patients with severe uncontrolled allergic asthma with OCS-dependence continue have a significant unmet need with only one reimbursed treatment option currently available. </w:t>
      </w:r>
    </w:p>
    <w:p w14:paraId="026169C6" w14:textId="5FB1FAE2" w:rsidR="0080767A" w:rsidRPr="00193BC1" w:rsidRDefault="00320E7F" w:rsidP="001716E0">
      <w:pPr>
        <w:pStyle w:val="3-BodyText"/>
      </w:pPr>
      <w:r w:rsidRPr="00193BC1">
        <w:t>The PSCR</w:t>
      </w:r>
      <w:r w:rsidR="0080767A" w:rsidRPr="00193BC1">
        <w:t xml:space="preserve"> argued that overall the evaluation suggested that</w:t>
      </w:r>
      <w:r w:rsidRPr="00193BC1">
        <w:t xml:space="preserve"> patients in the dupilumab studies</w:t>
      </w:r>
      <w:r w:rsidR="0080767A" w:rsidRPr="00193BC1">
        <w:t xml:space="preserve"> may have had less severe disease than patients in the </w:t>
      </w:r>
      <w:r w:rsidR="00C85A46" w:rsidRPr="00193BC1">
        <w:t xml:space="preserve">comparator studies and </w:t>
      </w:r>
      <w:r w:rsidR="00E51ACF" w:rsidRPr="00193BC1">
        <w:lastRenderedPageBreak/>
        <w:t xml:space="preserve">the evaluation </w:t>
      </w:r>
      <w:r w:rsidR="00C85A46" w:rsidRPr="00193BC1">
        <w:t>indicated</w:t>
      </w:r>
      <w:r w:rsidR="0080767A" w:rsidRPr="00193BC1">
        <w:t xml:space="preserve"> </w:t>
      </w:r>
      <w:r w:rsidR="00C85A46" w:rsidRPr="00193BC1">
        <w:t>that this ultimately favoured</w:t>
      </w:r>
      <w:r w:rsidR="0080767A" w:rsidRPr="00193BC1">
        <w:t xml:space="preserve"> dupilumab. The PSCR stated that this conclusion is inconsistent with previous evaluations and PBAC recommendations for severe asthma biologics which suggest that for ITCs the treatment arm with more severe disease is likely favoured (paragraphs 6.20 and 6.26, benralizumab PSD, March 2018 PBAC meeting). The ESC considered that an important difference was that patients with moderate asthma in the QUEST and DRI12544 trials could transiently increase the dose of their ICS to manage exacerbations. </w:t>
      </w:r>
      <w:r w:rsidR="00CA01FF" w:rsidRPr="00193BC1">
        <w:t>As such, t</w:t>
      </w:r>
      <w:r w:rsidR="0080767A" w:rsidRPr="00193BC1">
        <w:t xml:space="preserve">he ESC considered that the impact on the efficacy </w:t>
      </w:r>
      <w:r w:rsidR="00E51ACF" w:rsidRPr="00193BC1">
        <w:t xml:space="preserve">of dupilumab </w:t>
      </w:r>
      <w:r w:rsidR="0080767A" w:rsidRPr="00193BC1">
        <w:t xml:space="preserve">observed in the QUEST and DRI12544 trials is unknown as the submission did not provide information on how frequently a transient increase of ICS dose </w:t>
      </w:r>
      <w:r w:rsidR="00BF7C1D" w:rsidRPr="00193BC1">
        <w:t>occurred</w:t>
      </w:r>
      <w:r w:rsidR="0080767A" w:rsidRPr="00193BC1">
        <w:t xml:space="preserve"> during the study peri</w:t>
      </w:r>
      <w:r w:rsidR="00C85A46" w:rsidRPr="00193BC1">
        <w:t>od or</w:t>
      </w:r>
      <w:r w:rsidR="0080767A" w:rsidRPr="00193BC1">
        <w:t xml:space="preserve"> whether it occurred equally in the treatment and placebo arms. The ESC disagreed with the PSCR that the evaluation’s conclusion is inconsistent with the PBACs March 2018 recommendations for benralizumab. The ESC noted that the disease severity of patients included in the trials considered as part of the March 2018 evalua</w:t>
      </w:r>
      <w:r w:rsidR="00CA01FF" w:rsidRPr="00193BC1">
        <w:t>tion of benralizumab was confin</w:t>
      </w:r>
      <w:r w:rsidR="0080767A" w:rsidRPr="00193BC1">
        <w:t>ed to patients with severe asthma</w:t>
      </w:r>
      <w:r w:rsidR="00C85A46" w:rsidRPr="00193BC1">
        <w:t xml:space="preserve"> who</w:t>
      </w:r>
      <w:r w:rsidR="0080767A" w:rsidRPr="00193BC1">
        <w:t xml:space="preserve"> had already maximised their inhaled asthma therapies. The ESC considered this is distinct from the ‘moderate severity’ patients in QUEST and DRI12544, who had not achieved ‘optimised asthma therapy’</w:t>
      </w:r>
      <w:r w:rsidR="009C3B47">
        <w:t>.</w:t>
      </w:r>
    </w:p>
    <w:p w14:paraId="6E237C3C" w14:textId="77777777" w:rsidR="00311054" w:rsidRPr="00193BC1" w:rsidRDefault="00311054" w:rsidP="001716E0">
      <w:pPr>
        <w:pStyle w:val="3-BodyText"/>
      </w:pPr>
      <w:r w:rsidRPr="00193BC1">
        <w:t xml:space="preserve">The pre-PBAC response acknowledged that for the non-OCS dependent ITCs both the evaluator and the ESC raised concerns </w:t>
      </w:r>
      <w:r w:rsidRPr="00193BC1">
        <w:rPr>
          <w:snapToGrid w:val="0"/>
        </w:rPr>
        <w:t>regarding the inclusion of medium-dose ICS patients, patients with lower blood EOS and the exclusion of patients who experienced one severe exacerbation in the previous year. To address these concerns the</w:t>
      </w:r>
      <w:r w:rsidR="00B5508C" w:rsidRPr="00193BC1">
        <w:rPr>
          <w:snapToGrid w:val="0"/>
        </w:rPr>
        <w:t xml:space="preserve"> pre-PBAC response</w:t>
      </w:r>
      <w:r w:rsidRPr="00193BC1">
        <w:rPr>
          <w:snapToGrid w:val="0"/>
        </w:rPr>
        <w:t xml:space="preserve"> provided two supplementary ITCs:</w:t>
      </w:r>
    </w:p>
    <w:p w14:paraId="6262098D" w14:textId="77777777" w:rsidR="00B5508C" w:rsidRPr="00193BC1" w:rsidRDefault="00311054" w:rsidP="005863D4">
      <w:pPr>
        <w:pStyle w:val="3-BodyText"/>
        <w:numPr>
          <w:ilvl w:val="0"/>
          <w:numId w:val="20"/>
        </w:numPr>
        <w:ind w:left="1134"/>
      </w:pPr>
      <w:r w:rsidRPr="00193BC1">
        <w:t>ITC 1a: Non-OCS dependence: dupilumab vs. benralizumab</w:t>
      </w:r>
      <w:r w:rsidR="007A7A2A" w:rsidRPr="00193BC1">
        <w:t xml:space="preserve"> (high-dose ICS, EOS ≥300 cells/µL, 1+ exacerbations)</w:t>
      </w:r>
      <w:r w:rsidR="00B5508C" w:rsidRPr="00193BC1">
        <w:t xml:space="preserve">. </w:t>
      </w:r>
    </w:p>
    <w:p w14:paraId="66154B73" w14:textId="77777777" w:rsidR="00B5508C" w:rsidRPr="00193BC1" w:rsidRDefault="00B5508C" w:rsidP="005863D4">
      <w:pPr>
        <w:pStyle w:val="3-BodyText"/>
        <w:numPr>
          <w:ilvl w:val="0"/>
          <w:numId w:val="20"/>
        </w:numPr>
        <w:ind w:left="1134"/>
      </w:pPr>
      <w:r w:rsidRPr="00193BC1">
        <w:rPr>
          <w:snapToGrid w:val="0"/>
        </w:rPr>
        <w:t>ITC 2a</w:t>
      </w:r>
      <w:r w:rsidR="00311054" w:rsidRPr="00193BC1">
        <w:rPr>
          <w:snapToGrid w:val="0"/>
        </w:rPr>
        <w:t>: Non-OCS dependence: dupiluma</w:t>
      </w:r>
      <w:r w:rsidRPr="00193BC1">
        <w:rPr>
          <w:snapToGrid w:val="0"/>
        </w:rPr>
        <w:t>b vs mepolizumab</w:t>
      </w:r>
      <w:r w:rsidR="007A7A2A" w:rsidRPr="00193BC1">
        <w:rPr>
          <w:snapToGrid w:val="0"/>
        </w:rPr>
        <w:t xml:space="preserve"> </w:t>
      </w:r>
      <w:r w:rsidR="007A7A2A" w:rsidRPr="00193BC1">
        <w:t>(high-dose ICS, EOS ≥300 cells/µL, 1+ exacerbations)</w:t>
      </w:r>
      <w:r w:rsidRPr="00193BC1">
        <w:rPr>
          <w:snapToGrid w:val="0"/>
        </w:rPr>
        <w:t>.</w:t>
      </w:r>
    </w:p>
    <w:p w14:paraId="59FC63D3" w14:textId="77777777" w:rsidR="00B5508C" w:rsidRPr="00193BC1" w:rsidRDefault="00B5508C" w:rsidP="00B5508C">
      <w:pPr>
        <w:pStyle w:val="3-BodyText"/>
        <w:numPr>
          <w:ilvl w:val="0"/>
          <w:numId w:val="0"/>
        </w:numPr>
        <w:ind w:left="720" w:hanging="720"/>
      </w:pPr>
      <w:r w:rsidRPr="00193BC1">
        <w:tab/>
        <w:t xml:space="preserve">The results of ITC 1a and ITC 2a are presented in Table 9. </w:t>
      </w:r>
      <w:r w:rsidR="00EB0FB9" w:rsidRPr="00193BC1">
        <w:t xml:space="preserve">The pre-PBAC </w:t>
      </w:r>
      <w:r w:rsidR="00AE1789" w:rsidRPr="00193BC1">
        <w:t>response</w:t>
      </w:r>
      <w:r w:rsidR="00EB0FB9" w:rsidRPr="00193BC1">
        <w:t xml:space="preserve"> argued that the results from ITC 1a show a favourable point estimate for dupilumab versus benralizumab in the Australian PBS population with an upper 95% CI that is below the nominated MCID of 28%. </w:t>
      </w:r>
      <w:r w:rsidR="00474627" w:rsidRPr="00193BC1">
        <w:t>The pre-PBAC response</w:t>
      </w:r>
      <w:r w:rsidR="00E611C5" w:rsidRPr="00193BC1">
        <w:t xml:space="preserve"> argued that the point estimate for ITC 2a is approximately 1, indicating non-inferiority of dupilumab vs. mepolizumab in this population. The pre-PBAC response noted that ITC in the submission included 1,704 patients across the treatment arms compared with only 586 in ITC 2a and that the upper 95% CI exceeded the nominated MCID of 28%. However, the pre-PBAC </w:t>
      </w:r>
      <w:r w:rsidR="00AE1789" w:rsidRPr="00193BC1">
        <w:t>response</w:t>
      </w:r>
      <w:r w:rsidR="00E611C5" w:rsidRPr="00193BC1">
        <w:t xml:space="preserve"> argued that the results of submission ITCs 1, 2, 4 and 5 and supplementary ITC 1a show that dupilumab is an effective treatment for eosinophilic asthma regardless of background therapy with OCS. Further, the pre-PBAC response argued that the upper 95% CI of ITC 2a (2.097) is similar to the upper 95% CI previously accepted by the PBAC for benralizumab at the March 2018 PBAC </w:t>
      </w:r>
      <w:r w:rsidR="00E611C5" w:rsidRPr="00193BC1">
        <w:lastRenderedPageBreak/>
        <w:t>meeting (RR 1.25 [0.78, 2.02])</w:t>
      </w:r>
      <w:r w:rsidR="00B52587" w:rsidRPr="00193BC1">
        <w:t xml:space="preserve">, noting the point estimate is much closer to 1.0 </w:t>
      </w:r>
      <w:r w:rsidR="00E611C5" w:rsidRPr="00193BC1">
        <w:t>(Table 6, benralizumab PSD, March 2018 PBAC meeting)</w:t>
      </w:r>
      <w:r w:rsidR="00193BC1">
        <w:t xml:space="preserve">. </w:t>
      </w:r>
      <w:r w:rsidR="00E611C5" w:rsidRPr="00193BC1">
        <w:t xml:space="preserve"> </w:t>
      </w:r>
    </w:p>
    <w:p w14:paraId="428E88D1" w14:textId="77777777" w:rsidR="00281229" w:rsidRPr="00193BC1" w:rsidRDefault="00281229" w:rsidP="00281229">
      <w:pPr>
        <w:pStyle w:val="3-BodyText"/>
      </w:pPr>
      <w:r w:rsidRPr="00193BC1">
        <w:t xml:space="preserve">The pre-PBAC </w:t>
      </w:r>
      <w:r w:rsidR="00AE1789" w:rsidRPr="00193BC1">
        <w:t>response</w:t>
      </w:r>
      <w:r w:rsidRPr="00193BC1">
        <w:t xml:space="preserve"> stated that it was not possible to conduct an additional ITC versus omalizumab in high-dose ICS allergic asthma patients with 1+ exacerbations</w:t>
      </w:r>
      <w:r w:rsidR="00474627" w:rsidRPr="00193BC1">
        <w:t xml:space="preserve"> in the pre</w:t>
      </w:r>
      <w:r w:rsidRPr="00193BC1">
        <w:t>v</w:t>
      </w:r>
      <w:r w:rsidR="00474627" w:rsidRPr="00193BC1">
        <w:t>i</w:t>
      </w:r>
      <w:r w:rsidRPr="00193BC1">
        <w:t xml:space="preserve">ous year due to a lack of clinical data availability in the populations for which omalizumab is currently PBS reimbursed. However, the pre-PBAC </w:t>
      </w:r>
      <w:r w:rsidR="00AE1789" w:rsidRPr="00193BC1">
        <w:t>response</w:t>
      </w:r>
      <w:r w:rsidRPr="00193BC1">
        <w:t xml:space="preserve"> reiterated that the submission had also included an allergic asthma sensitivity analysis ITC (ITC 3a) which, like the current PBS initiation criteria, did not have an upper limit of IgE (Table 9), unlike the base case ITC 3 which mirrored the upper limit in the omalizumab clinical trial setting of ≥700 IU/mL. The pre-PBAC response argued that in ITC 3a dupilumab was found to be non-inferior to omalizumab using the nominated 28% MCID. </w:t>
      </w:r>
    </w:p>
    <w:p w14:paraId="71239ABB" w14:textId="77777777" w:rsidR="00533A06" w:rsidRPr="00193BC1" w:rsidRDefault="00533A06" w:rsidP="00533A06">
      <w:pPr>
        <w:pStyle w:val="TableFigureHeading"/>
        <w:keepNext w:val="0"/>
      </w:pPr>
      <w:r w:rsidRPr="00193BC1">
        <w:t>Table 9:</w:t>
      </w:r>
      <w:r w:rsidRPr="00193BC1">
        <w:rPr>
          <w:rStyle w:val="CommentReference"/>
          <w:b/>
          <w:bCs w:val="0"/>
        </w:rPr>
        <w:t xml:space="preserve"> Results of ITC 1a, ITC 2a and ITC 3a </w:t>
      </w:r>
    </w:p>
    <w:tbl>
      <w:tblPr>
        <w:tblStyle w:val="TableGrid"/>
        <w:tblW w:w="5000" w:type="pct"/>
        <w:tblLook w:val="04A0" w:firstRow="1" w:lastRow="0" w:firstColumn="1" w:lastColumn="0" w:noHBand="0" w:noVBand="1"/>
        <w:tblCaption w:val="Table 8: Results of the base case ITCs from Step 3"/>
        <w:tblDescription w:val="Table 8: Results of the base case ITCs from Step 3"/>
      </w:tblPr>
      <w:tblGrid>
        <w:gridCol w:w="988"/>
        <w:gridCol w:w="4397"/>
        <w:gridCol w:w="3632"/>
      </w:tblGrid>
      <w:tr w:rsidR="00533A06" w:rsidRPr="00193BC1" w14:paraId="600B54CA" w14:textId="77777777" w:rsidTr="00B57220">
        <w:trPr>
          <w:tblHeader/>
        </w:trPr>
        <w:tc>
          <w:tcPr>
            <w:tcW w:w="548" w:type="pct"/>
            <w:tcBorders>
              <w:top w:val="single" w:sz="4" w:space="0" w:color="auto"/>
              <w:left w:val="single" w:sz="4" w:space="0" w:color="auto"/>
              <w:bottom w:val="single" w:sz="4" w:space="0" w:color="auto"/>
              <w:right w:val="single" w:sz="4" w:space="0" w:color="auto"/>
            </w:tcBorders>
            <w:hideMark/>
          </w:tcPr>
          <w:p w14:paraId="7DF3EBD8" w14:textId="77777777" w:rsidR="00533A06" w:rsidRPr="00193BC1" w:rsidRDefault="00533A06" w:rsidP="00441CD4">
            <w:pPr>
              <w:pStyle w:val="TableText0"/>
              <w:keepNext w:val="0"/>
              <w:rPr>
                <w:b/>
                <w:bCs w:val="0"/>
                <w:szCs w:val="20"/>
              </w:rPr>
            </w:pPr>
            <w:r w:rsidRPr="00193BC1">
              <w:rPr>
                <w:b/>
                <w:bCs w:val="0"/>
                <w:szCs w:val="20"/>
              </w:rPr>
              <w:t>Analysis</w:t>
            </w:r>
          </w:p>
        </w:tc>
        <w:tc>
          <w:tcPr>
            <w:tcW w:w="2438" w:type="pct"/>
            <w:tcBorders>
              <w:top w:val="single" w:sz="4" w:space="0" w:color="auto"/>
              <w:left w:val="single" w:sz="4" w:space="0" w:color="auto"/>
              <w:bottom w:val="single" w:sz="4" w:space="0" w:color="auto"/>
              <w:right w:val="single" w:sz="4" w:space="0" w:color="auto"/>
            </w:tcBorders>
            <w:hideMark/>
          </w:tcPr>
          <w:p w14:paraId="11ABBDAD" w14:textId="77777777" w:rsidR="00533A06" w:rsidRPr="00193BC1" w:rsidRDefault="00533A06" w:rsidP="00441CD4">
            <w:pPr>
              <w:pStyle w:val="TableText0"/>
              <w:keepNext w:val="0"/>
              <w:rPr>
                <w:b/>
                <w:bCs w:val="0"/>
                <w:szCs w:val="20"/>
              </w:rPr>
            </w:pPr>
            <w:r w:rsidRPr="00193BC1">
              <w:rPr>
                <w:b/>
                <w:bCs w:val="0"/>
                <w:szCs w:val="20"/>
              </w:rPr>
              <w:t>Comparison</w:t>
            </w:r>
            <w:r w:rsidR="00E611C5" w:rsidRPr="00193BC1">
              <w:rPr>
                <w:b/>
                <w:bCs w:val="0"/>
                <w:szCs w:val="20"/>
              </w:rPr>
              <w:t xml:space="preserve"> (n)</w:t>
            </w:r>
          </w:p>
        </w:tc>
        <w:tc>
          <w:tcPr>
            <w:tcW w:w="2014" w:type="pct"/>
            <w:tcBorders>
              <w:top w:val="single" w:sz="4" w:space="0" w:color="auto"/>
              <w:left w:val="single" w:sz="4" w:space="0" w:color="auto"/>
              <w:bottom w:val="single" w:sz="4" w:space="0" w:color="auto"/>
              <w:right w:val="single" w:sz="4" w:space="0" w:color="auto"/>
            </w:tcBorders>
            <w:hideMark/>
          </w:tcPr>
          <w:p w14:paraId="0498413C" w14:textId="77777777" w:rsidR="00533A06" w:rsidRPr="00193BC1" w:rsidRDefault="00533A06" w:rsidP="00441CD4">
            <w:pPr>
              <w:pStyle w:val="TableText0"/>
              <w:keepNext w:val="0"/>
              <w:rPr>
                <w:b/>
                <w:bCs w:val="0"/>
                <w:szCs w:val="20"/>
              </w:rPr>
            </w:pPr>
            <w:r w:rsidRPr="00193BC1">
              <w:rPr>
                <w:b/>
                <w:bCs w:val="0"/>
                <w:szCs w:val="20"/>
              </w:rPr>
              <w:t>RR (95% CI)</w:t>
            </w:r>
          </w:p>
        </w:tc>
      </w:tr>
      <w:tr w:rsidR="00533A06" w:rsidRPr="00193BC1" w14:paraId="55A6AC52" w14:textId="77777777" w:rsidTr="00B57220">
        <w:tc>
          <w:tcPr>
            <w:tcW w:w="5000" w:type="pct"/>
            <w:gridSpan w:val="3"/>
            <w:tcBorders>
              <w:top w:val="single" w:sz="4" w:space="0" w:color="auto"/>
              <w:left w:val="single" w:sz="4" w:space="0" w:color="auto"/>
              <w:bottom w:val="single" w:sz="4" w:space="0" w:color="auto"/>
              <w:right w:val="single" w:sz="4" w:space="0" w:color="auto"/>
            </w:tcBorders>
            <w:hideMark/>
          </w:tcPr>
          <w:p w14:paraId="2DC0B9DA" w14:textId="77777777" w:rsidR="00533A06" w:rsidRPr="00193BC1" w:rsidRDefault="00533A06" w:rsidP="00441CD4">
            <w:pPr>
              <w:pStyle w:val="TableText0"/>
              <w:keepNext w:val="0"/>
              <w:rPr>
                <w:rFonts w:cs="Arial"/>
                <w:b/>
                <w:bCs w:val="0"/>
                <w:szCs w:val="20"/>
              </w:rPr>
            </w:pPr>
            <w:r w:rsidRPr="00193BC1">
              <w:rPr>
                <w:rFonts w:cs="Arial"/>
                <w:b/>
                <w:bCs w:val="0"/>
                <w:szCs w:val="20"/>
              </w:rPr>
              <w:t>non-OCS dependent asthma</w:t>
            </w:r>
          </w:p>
        </w:tc>
      </w:tr>
      <w:tr w:rsidR="00533A06" w:rsidRPr="00193BC1" w14:paraId="02F79A44"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762DB49B" w14:textId="77777777" w:rsidR="00533A06" w:rsidRPr="00193BC1" w:rsidRDefault="00533A06" w:rsidP="00441CD4">
            <w:pPr>
              <w:pStyle w:val="TableText0"/>
              <w:keepNext w:val="0"/>
              <w:rPr>
                <w:szCs w:val="20"/>
                <w:vertAlign w:val="superscript"/>
              </w:rPr>
            </w:pPr>
            <w:r w:rsidRPr="00193BC1">
              <w:rPr>
                <w:szCs w:val="20"/>
              </w:rPr>
              <w:t>1a</w:t>
            </w:r>
            <w:r w:rsidR="007A7A2A" w:rsidRPr="00193BC1">
              <w:rPr>
                <w:szCs w:val="20"/>
                <w:vertAlign w:val="superscript"/>
              </w:rPr>
              <w:t>a</w:t>
            </w:r>
          </w:p>
        </w:tc>
        <w:tc>
          <w:tcPr>
            <w:tcW w:w="2438" w:type="pct"/>
            <w:tcBorders>
              <w:top w:val="single" w:sz="4" w:space="0" w:color="auto"/>
              <w:left w:val="single" w:sz="4" w:space="0" w:color="auto"/>
              <w:bottom w:val="single" w:sz="4" w:space="0" w:color="auto"/>
              <w:right w:val="single" w:sz="4" w:space="0" w:color="auto"/>
            </w:tcBorders>
            <w:hideMark/>
          </w:tcPr>
          <w:p w14:paraId="527690F3" w14:textId="77777777" w:rsidR="00533A06" w:rsidRPr="00193BC1" w:rsidRDefault="00533A06" w:rsidP="00441CD4">
            <w:pPr>
              <w:pStyle w:val="TableText0"/>
              <w:keepNext w:val="0"/>
              <w:rPr>
                <w:b/>
                <w:bCs w:val="0"/>
                <w:szCs w:val="20"/>
              </w:rPr>
            </w:pPr>
            <w:r w:rsidRPr="00193BC1">
              <w:rPr>
                <w:szCs w:val="20"/>
              </w:rPr>
              <w:t>DUPI 200 mg vs. BENRA Q8W</w:t>
            </w:r>
            <w:r w:rsidR="00E611C5" w:rsidRPr="00193BC1">
              <w:rPr>
                <w:szCs w:val="20"/>
              </w:rPr>
              <w:t xml:space="preserve"> </w:t>
            </w:r>
          </w:p>
        </w:tc>
        <w:tc>
          <w:tcPr>
            <w:tcW w:w="2014" w:type="pct"/>
            <w:tcBorders>
              <w:top w:val="single" w:sz="4" w:space="0" w:color="auto"/>
              <w:left w:val="single" w:sz="4" w:space="0" w:color="auto"/>
              <w:bottom w:val="single" w:sz="4" w:space="0" w:color="auto"/>
              <w:right w:val="single" w:sz="4" w:space="0" w:color="auto"/>
            </w:tcBorders>
            <w:hideMark/>
          </w:tcPr>
          <w:p w14:paraId="29A390D2" w14:textId="77777777" w:rsidR="00533A06" w:rsidRPr="00193BC1" w:rsidRDefault="00EB0FB9" w:rsidP="00441CD4">
            <w:pPr>
              <w:pStyle w:val="TableText0"/>
              <w:keepNext w:val="0"/>
              <w:rPr>
                <w:bCs w:val="0"/>
                <w:szCs w:val="20"/>
              </w:rPr>
            </w:pPr>
            <w:r w:rsidRPr="00193BC1">
              <w:rPr>
                <w:bCs w:val="0"/>
                <w:szCs w:val="20"/>
              </w:rPr>
              <w:t>0.71 (0.41, 1.23)</w:t>
            </w:r>
          </w:p>
        </w:tc>
      </w:tr>
      <w:tr w:rsidR="00533A06" w:rsidRPr="00193BC1" w14:paraId="66D7F50F"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6FE5CB3D" w14:textId="77777777" w:rsidR="00533A06" w:rsidRPr="00193BC1" w:rsidRDefault="00533A06" w:rsidP="00441CD4">
            <w:pPr>
              <w:pStyle w:val="TableText0"/>
              <w:keepNext w:val="0"/>
              <w:rPr>
                <w:szCs w:val="20"/>
                <w:vertAlign w:val="superscript"/>
              </w:rPr>
            </w:pPr>
            <w:r w:rsidRPr="00193BC1">
              <w:rPr>
                <w:szCs w:val="20"/>
              </w:rPr>
              <w:t>2a</w:t>
            </w:r>
            <w:r w:rsidR="00196431" w:rsidRPr="00193BC1">
              <w:rPr>
                <w:szCs w:val="20"/>
                <w:vertAlign w:val="superscript"/>
              </w:rPr>
              <w:t>b</w:t>
            </w:r>
          </w:p>
        </w:tc>
        <w:tc>
          <w:tcPr>
            <w:tcW w:w="2438" w:type="pct"/>
            <w:tcBorders>
              <w:top w:val="single" w:sz="4" w:space="0" w:color="auto"/>
              <w:left w:val="single" w:sz="4" w:space="0" w:color="auto"/>
              <w:bottom w:val="single" w:sz="4" w:space="0" w:color="auto"/>
              <w:right w:val="single" w:sz="4" w:space="0" w:color="auto"/>
            </w:tcBorders>
            <w:hideMark/>
          </w:tcPr>
          <w:p w14:paraId="5DB2C744" w14:textId="77777777" w:rsidR="00533A06" w:rsidRPr="00193BC1" w:rsidRDefault="00533A06" w:rsidP="00441CD4">
            <w:pPr>
              <w:pStyle w:val="TableText0"/>
              <w:keepNext w:val="0"/>
              <w:rPr>
                <w:b/>
                <w:bCs w:val="0"/>
                <w:szCs w:val="20"/>
              </w:rPr>
            </w:pPr>
            <w:r w:rsidRPr="00193BC1">
              <w:rPr>
                <w:szCs w:val="20"/>
              </w:rPr>
              <w:t>DUPI 200 mg vs. MEPO 75 mg-100 mg</w:t>
            </w:r>
          </w:p>
        </w:tc>
        <w:tc>
          <w:tcPr>
            <w:tcW w:w="2014" w:type="pct"/>
            <w:tcBorders>
              <w:top w:val="single" w:sz="4" w:space="0" w:color="auto"/>
              <w:left w:val="single" w:sz="4" w:space="0" w:color="auto"/>
              <w:bottom w:val="single" w:sz="4" w:space="0" w:color="auto"/>
              <w:right w:val="single" w:sz="4" w:space="0" w:color="auto"/>
            </w:tcBorders>
            <w:hideMark/>
          </w:tcPr>
          <w:p w14:paraId="2E936009" w14:textId="77777777" w:rsidR="00533A06" w:rsidRPr="00193BC1" w:rsidRDefault="00EB0FB9" w:rsidP="00441CD4">
            <w:pPr>
              <w:pStyle w:val="TableText0"/>
              <w:keepNext w:val="0"/>
              <w:rPr>
                <w:bCs w:val="0"/>
                <w:szCs w:val="20"/>
              </w:rPr>
            </w:pPr>
            <w:r w:rsidRPr="00193BC1">
              <w:rPr>
                <w:bCs w:val="0"/>
                <w:szCs w:val="20"/>
              </w:rPr>
              <w:t>1.08 (0.55, 2.10)</w:t>
            </w:r>
          </w:p>
        </w:tc>
      </w:tr>
      <w:tr w:rsidR="00533A06" w:rsidRPr="00193BC1" w14:paraId="35FAD197" w14:textId="77777777" w:rsidTr="00B57220">
        <w:tc>
          <w:tcPr>
            <w:tcW w:w="548" w:type="pct"/>
            <w:tcBorders>
              <w:top w:val="single" w:sz="4" w:space="0" w:color="auto"/>
              <w:left w:val="single" w:sz="4" w:space="0" w:color="auto"/>
              <w:bottom w:val="single" w:sz="4" w:space="0" w:color="auto"/>
              <w:right w:val="single" w:sz="4" w:space="0" w:color="auto"/>
            </w:tcBorders>
            <w:hideMark/>
          </w:tcPr>
          <w:p w14:paraId="05E13EB5" w14:textId="77777777" w:rsidR="00533A06" w:rsidRPr="00193BC1" w:rsidRDefault="00533A06" w:rsidP="00441CD4">
            <w:pPr>
              <w:pStyle w:val="TableText0"/>
              <w:keepNext w:val="0"/>
              <w:rPr>
                <w:szCs w:val="20"/>
              </w:rPr>
            </w:pPr>
            <w:r w:rsidRPr="00193BC1">
              <w:rPr>
                <w:szCs w:val="20"/>
              </w:rPr>
              <w:t>3a</w:t>
            </w:r>
          </w:p>
        </w:tc>
        <w:tc>
          <w:tcPr>
            <w:tcW w:w="2438" w:type="pct"/>
            <w:tcBorders>
              <w:top w:val="single" w:sz="4" w:space="0" w:color="auto"/>
              <w:left w:val="single" w:sz="4" w:space="0" w:color="auto"/>
              <w:bottom w:val="single" w:sz="4" w:space="0" w:color="auto"/>
              <w:right w:val="single" w:sz="4" w:space="0" w:color="auto"/>
            </w:tcBorders>
            <w:hideMark/>
          </w:tcPr>
          <w:p w14:paraId="2D2F5BB4" w14:textId="77777777" w:rsidR="00533A06" w:rsidRPr="00193BC1" w:rsidRDefault="00533A06" w:rsidP="00441CD4">
            <w:pPr>
              <w:pStyle w:val="TableText0"/>
              <w:keepNext w:val="0"/>
              <w:rPr>
                <w:b/>
                <w:bCs w:val="0"/>
                <w:szCs w:val="20"/>
              </w:rPr>
            </w:pPr>
            <w:r w:rsidRPr="00193BC1">
              <w:rPr>
                <w:szCs w:val="20"/>
              </w:rPr>
              <w:t xml:space="preserve">DUPI 200 mg vs. OMA </w:t>
            </w:r>
            <w:r w:rsidR="00E611C5" w:rsidRPr="00193BC1">
              <w:rPr>
                <w:szCs w:val="20"/>
              </w:rPr>
              <w:t xml:space="preserve">no </w:t>
            </w:r>
            <w:r w:rsidRPr="00193BC1">
              <w:rPr>
                <w:szCs w:val="20"/>
              </w:rPr>
              <w:t xml:space="preserve">IgE </w:t>
            </w:r>
            <w:r w:rsidR="00E611C5" w:rsidRPr="00193BC1">
              <w:rPr>
                <w:szCs w:val="20"/>
              </w:rPr>
              <w:t>upper limit</w:t>
            </w:r>
          </w:p>
        </w:tc>
        <w:tc>
          <w:tcPr>
            <w:tcW w:w="2014" w:type="pct"/>
            <w:tcBorders>
              <w:top w:val="single" w:sz="4" w:space="0" w:color="auto"/>
              <w:left w:val="single" w:sz="4" w:space="0" w:color="auto"/>
              <w:bottom w:val="single" w:sz="4" w:space="0" w:color="auto"/>
              <w:right w:val="single" w:sz="4" w:space="0" w:color="auto"/>
            </w:tcBorders>
            <w:hideMark/>
          </w:tcPr>
          <w:p w14:paraId="0CDDD9D7" w14:textId="77777777" w:rsidR="00533A06" w:rsidRPr="00193BC1" w:rsidRDefault="00EB0FB9" w:rsidP="00441CD4">
            <w:pPr>
              <w:pStyle w:val="TableText0"/>
              <w:keepNext w:val="0"/>
              <w:rPr>
                <w:bCs w:val="0"/>
                <w:szCs w:val="20"/>
              </w:rPr>
            </w:pPr>
            <w:r w:rsidRPr="00193BC1">
              <w:rPr>
                <w:bCs w:val="0"/>
                <w:szCs w:val="20"/>
              </w:rPr>
              <w:t>0.80 (0.61, 1.05)</w:t>
            </w:r>
          </w:p>
        </w:tc>
      </w:tr>
    </w:tbl>
    <w:p w14:paraId="72476871" w14:textId="77777777" w:rsidR="00533A06" w:rsidRPr="00193BC1" w:rsidRDefault="00EB0FB9" w:rsidP="00B57220">
      <w:pPr>
        <w:pStyle w:val="TableFigureFooter"/>
      </w:pPr>
      <w:r w:rsidRPr="00193BC1">
        <w:t>Source: Table 3, Table 5 of the pre-PBAC response.</w:t>
      </w:r>
    </w:p>
    <w:p w14:paraId="387EA80B" w14:textId="77777777" w:rsidR="00533A06" w:rsidRPr="00193BC1" w:rsidRDefault="00533A06" w:rsidP="00B57220">
      <w:pPr>
        <w:pStyle w:val="TableFigureFooter"/>
      </w:pPr>
      <w:r w:rsidRPr="00193BC1">
        <w:t>BENRA = benralizumab; CI = confidence int</w:t>
      </w:r>
      <w:r w:rsidR="008F7132" w:rsidRPr="00193BC1">
        <w:t>erval; DUPI = dupilumab</w:t>
      </w:r>
      <w:r w:rsidRPr="00193BC1">
        <w:t>; MEPO = mepolizumab; OCS = oral corticosteroids; OMA = omalizumab; Q8W = every eight weeks; RR = rate ratio.</w:t>
      </w:r>
    </w:p>
    <w:p w14:paraId="6E018489" w14:textId="77777777" w:rsidR="007A7A2A" w:rsidRPr="00193BC1" w:rsidRDefault="00533A06" w:rsidP="00B57220">
      <w:pPr>
        <w:pStyle w:val="TableFigureFooter"/>
      </w:pPr>
      <w:r w:rsidRPr="00193BC1">
        <w:rPr>
          <w:vertAlign w:val="superscript"/>
        </w:rPr>
        <w:t>a</w:t>
      </w:r>
      <w:r w:rsidRPr="00193BC1">
        <w:t xml:space="preserve"> </w:t>
      </w:r>
      <w:r w:rsidR="007A7A2A" w:rsidRPr="00193BC1">
        <w:t>A subgroup analysis of the QUEST and DRI12544 trial patients who were treated with high-dose ICS at baseline, had EOS ≥300 cells/µL and experienced  ≥1 severe exacerbations in the previous year were identified and compared via an ITC with the Q8W “primary efficacy population” presented in the March 2018 benralizumab PSD (Table 4).</w:t>
      </w:r>
    </w:p>
    <w:p w14:paraId="4B46741B" w14:textId="77777777" w:rsidR="00533A06" w:rsidRPr="00193BC1" w:rsidRDefault="007A7A2A" w:rsidP="00B57220">
      <w:pPr>
        <w:pStyle w:val="TableFigureFooter"/>
      </w:pPr>
      <w:r w:rsidRPr="00193BC1">
        <w:rPr>
          <w:vertAlign w:val="superscript"/>
        </w:rPr>
        <w:t>b</w:t>
      </w:r>
      <w:r w:rsidRPr="00193BC1">
        <w:rPr>
          <w:iCs/>
        </w:rPr>
        <w:t xml:space="preserve"> </w:t>
      </w:r>
      <w:r w:rsidRPr="00193BC1">
        <w:t>The same subgroup analysis of the QUEST and DRI12544 trial patients from ITC 1a were compared via an ITC with the ≥300 cells/µL subgroup of the mepolizumab clinical trial Study 588 (MENSA) detailed in Table 5 of the March 2016 mepolizumab PSD.</w:t>
      </w:r>
    </w:p>
    <w:p w14:paraId="68E0FEDB" w14:textId="77777777" w:rsidR="00B60939" w:rsidRPr="00193BC1" w:rsidRDefault="00B60939" w:rsidP="00580E2F">
      <w:pPr>
        <w:pStyle w:val="4-SubsectionHeading"/>
        <w:keepNext w:val="0"/>
      </w:pPr>
      <w:bookmarkStart w:id="22" w:name="_Toc22897642"/>
      <w:bookmarkStart w:id="23" w:name="_Toc50399841"/>
      <w:r w:rsidRPr="00193BC1">
        <w:t>Comparative harms</w:t>
      </w:r>
      <w:bookmarkEnd w:id="22"/>
      <w:bookmarkEnd w:id="23"/>
    </w:p>
    <w:p w14:paraId="1A9E099A" w14:textId="77777777" w:rsidR="00B60939" w:rsidRPr="00193BC1" w:rsidRDefault="003D63CA" w:rsidP="001716E0">
      <w:pPr>
        <w:pStyle w:val="3-BodyText"/>
      </w:pPr>
      <w:r w:rsidRPr="00193BC1">
        <w:t>Dupilumab was generally well tolerated, with no strong signals regarding treatment-emergent adverse events identified</w:t>
      </w:r>
      <w:r w:rsidR="003169D3" w:rsidRPr="00193BC1">
        <w:t xml:space="preserve">, as summarised in </w:t>
      </w:r>
      <w:r w:rsidR="00B57220">
        <w:t xml:space="preserve">Table </w:t>
      </w:r>
      <w:r w:rsidR="008F7132" w:rsidRPr="00193BC1">
        <w:t>10</w:t>
      </w:r>
      <w:r w:rsidR="003169D3" w:rsidRPr="00193BC1">
        <w:t xml:space="preserve"> and </w:t>
      </w:r>
      <w:r w:rsidR="008F7132" w:rsidRPr="00193BC1">
        <w:t>Table 11</w:t>
      </w:r>
      <w:r w:rsidR="003169D3" w:rsidRPr="00193BC1">
        <w:t xml:space="preserve"> below</w:t>
      </w:r>
      <w:r w:rsidR="00DC3D30" w:rsidRPr="00193BC1">
        <w:t>. The most common adverse events were viral upper respiratory tract infections, bronchitis, injection site erythema and headache. M</w:t>
      </w:r>
      <w:r w:rsidR="0009717E" w:rsidRPr="00193BC1">
        <w:t>ore patients had a treatment-emergent adverse event leading to permanent discontinuation in the 300</w:t>
      </w:r>
      <w:r w:rsidR="00BD0B8F" w:rsidRPr="00193BC1">
        <w:t xml:space="preserve"> </w:t>
      </w:r>
      <w:r w:rsidR="0009717E" w:rsidRPr="00193BC1">
        <w:t xml:space="preserve">mg Q2W </w:t>
      </w:r>
      <w:r w:rsidR="008E0A45" w:rsidRPr="00193BC1">
        <w:t>cohort</w:t>
      </w:r>
      <w:r w:rsidR="00434693" w:rsidRPr="00193BC1">
        <w:t xml:space="preserve"> compared to </w:t>
      </w:r>
      <w:r w:rsidR="005A38ED" w:rsidRPr="00193BC1">
        <w:t>the 200</w:t>
      </w:r>
      <w:r w:rsidR="00BD0B8F" w:rsidRPr="00193BC1">
        <w:t xml:space="preserve"> </w:t>
      </w:r>
      <w:r w:rsidR="005A38ED" w:rsidRPr="00193BC1">
        <w:t xml:space="preserve">mg cohort </w:t>
      </w:r>
      <w:r w:rsidR="00434693" w:rsidRPr="00193BC1">
        <w:t>in</w:t>
      </w:r>
      <w:r w:rsidR="0009717E" w:rsidRPr="00193BC1">
        <w:t xml:space="preserve"> QUEST</w:t>
      </w:r>
      <w:r w:rsidR="005A38ED" w:rsidRPr="00193BC1">
        <w:t xml:space="preserve"> (7% vs 3% respectively)</w:t>
      </w:r>
      <w:r w:rsidR="003A5625" w:rsidRPr="00193BC1">
        <w:t>.</w:t>
      </w:r>
      <w:r w:rsidR="00110119" w:rsidRPr="00193BC1">
        <w:t xml:space="preserve"> </w:t>
      </w:r>
      <w:r w:rsidR="00D37D96" w:rsidRPr="00193BC1">
        <w:t xml:space="preserve">The incidence of treatment-emergent adverse events leading to death </w:t>
      </w:r>
      <w:r w:rsidR="00110119" w:rsidRPr="00193BC1">
        <w:t>w</w:t>
      </w:r>
      <w:r w:rsidR="00D37D96" w:rsidRPr="00193BC1">
        <w:t>as</w:t>
      </w:r>
      <w:r w:rsidR="00110119" w:rsidRPr="00193BC1">
        <w:t xml:space="preserve"> very low across the three dupilumab trials,</w:t>
      </w:r>
      <w:r w:rsidR="00CD2BF5" w:rsidRPr="00193BC1">
        <w:t xml:space="preserve"> with no deaths considered related to the study drug. </w:t>
      </w:r>
    </w:p>
    <w:p w14:paraId="3BE31DF4" w14:textId="77777777" w:rsidR="00B247AB" w:rsidRPr="00193BC1" w:rsidRDefault="002F6D1B" w:rsidP="000F065D">
      <w:pPr>
        <w:pStyle w:val="TableFigureHeading"/>
        <w:keepLines/>
        <w:rPr>
          <w:rStyle w:val="CommentReference"/>
          <w:b/>
        </w:rPr>
      </w:pPr>
      <w:bookmarkStart w:id="24" w:name="_Ref49792494"/>
      <w:r w:rsidRPr="00193BC1">
        <w:lastRenderedPageBreak/>
        <w:t xml:space="preserve">Table </w:t>
      </w:r>
      <w:bookmarkEnd w:id="24"/>
      <w:r w:rsidR="008F7132" w:rsidRPr="00193BC1">
        <w:t>10</w:t>
      </w:r>
      <w:r w:rsidR="00B247AB" w:rsidRPr="00193BC1">
        <w:rPr>
          <w:rStyle w:val="CommentReference"/>
          <w:b/>
        </w:rPr>
        <w:t>:</w:t>
      </w:r>
      <w:r w:rsidR="00B247AB" w:rsidRPr="00193BC1">
        <w:rPr>
          <w:rStyle w:val="CommentReference"/>
        </w:rPr>
        <w:t xml:space="preserve"> </w:t>
      </w:r>
      <w:r w:rsidR="00B247AB" w:rsidRPr="00193BC1">
        <w:rPr>
          <w:rStyle w:val="CommentReference"/>
          <w:b/>
        </w:rPr>
        <w:t xml:space="preserve">Overview of adverse event profile of Dupilumab in non-OCS dependent patients; Treatment-emergent adverse events </w:t>
      </w:r>
      <w:r w:rsidR="00343174" w:rsidRPr="00193BC1">
        <w:rPr>
          <w:rStyle w:val="CommentReference"/>
          <w:b/>
        </w:rPr>
        <w:t xml:space="preserve">and deaths (any cause) </w:t>
      </w:r>
      <w:r w:rsidR="00B247AB" w:rsidRPr="00193BC1">
        <w:rPr>
          <w:rStyle w:val="CommentReference"/>
          <w:b/>
        </w:rPr>
        <w:t>- safety population</w:t>
      </w:r>
    </w:p>
    <w:tbl>
      <w:tblPr>
        <w:tblStyle w:val="TableGrid"/>
        <w:tblW w:w="5000" w:type="pct"/>
        <w:tblLook w:val="04A0" w:firstRow="1" w:lastRow="0" w:firstColumn="1" w:lastColumn="0" w:noHBand="0" w:noVBand="1"/>
        <w:tblCaption w:val="Table 9: Overview of adverse event profile of Dupilumab in non-OCS dependent patients; Treatment-emergent adverse events and deaths (any cause) - safety population"/>
        <w:tblDescription w:val="Table 9: Overview of adverse event profile of Dupilumab in non-OCS dependent patients; Treatment-emergent adverse events and deaths (any cause) - safety population"/>
      </w:tblPr>
      <w:tblGrid>
        <w:gridCol w:w="1265"/>
        <w:gridCol w:w="987"/>
        <w:gridCol w:w="986"/>
        <w:gridCol w:w="925"/>
        <w:gridCol w:w="1143"/>
        <w:gridCol w:w="925"/>
        <w:gridCol w:w="1412"/>
        <w:gridCol w:w="1374"/>
      </w:tblGrid>
      <w:tr w:rsidR="006F2ADF" w:rsidRPr="00B57220" w14:paraId="5135C337" w14:textId="77777777" w:rsidTr="00B57220">
        <w:trPr>
          <w:trHeight w:val="274"/>
          <w:tblHeader/>
        </w:trPr>
        <w:tc>
          <w:tcPr>
            <w:tcW w:w="701"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1300FEA6" w14:textId="77777777" w:rsidR="00B247AB" w:rsidRPr="00B57220" w:rsidRDefault="00B247AB" w:rsidP="000F065D">
            <w:pPr>
              <w:pStyle w:val="TableText0"/>
              <w:keepLines/>
              <w:ind w:right="-57"/>
              <w:rPr>
                <w:rFonts w:cstheme="minorHAnsi"/>
                <w:b/>
                <w:szCs w:val="20"/>
                <w:lang w:eastAsia="en-GB"/>
              </w:rPr>
            </w:pPr>
            <w:r w:rsidRPr="00B57220">
              <w:rPr>
                <w:b/>
                <w:bCs w:val="0"/>
                <w:szCs w:val="20"/>
                <w:lang w:eastAsia="en-GB"/>
              </w:rPr>
              <w:t>n (%)</w:t>
            </w:r>
          </w:p>
        </w:tc>
        <w:tc>
          <w:tcPr>
            <w:tcW w:w="2241" w:type="pct"/>
            <w:gridSpan w:val="4"/>
            <w:tcBorders>
              <w:top w:val="single" w:sz="4" w:space="0" w:color="auto"/>
              <w:left w:val="single" w:sz="4" w:space="0" w:color="auto"/>
              <w:bottom w:val="single" w:sz="4" w:space="0" w:color="auto"/>
              <w:right w:val="single" w:sz="4" w:space="0" w:color="auto"/>
            </w:tcBorders>
            <w:tcMar>
              <w:left w:w="28" w:type="dxa"/>
              <w:right w:w="28" w:type="dxa"/>
            </w:tcMar>
            <w:hideMark/>
          </w:tcPr>
          <w:p w14:paraId="2835D416" w14:textId="77777777" w:rsidR="00B247AB" w:rsidRPr="00B57220" w:rsidRDefault="00B247AB" w:rsidP="000F065D">
            <w:pPr>
              <w:pStyle w:val="TableText0"/>
              <w:keepLines/>
              <w:jc w:val="center"/>
              <w:rPr>
                <w:b/>
                <w:bCs w:val="0"/>
                <w:szCs w:val="20"/>
                <w:lang w:eastAsia="en-GB"/>
              </w:rPr>
            </w:pPr>
            <w:r w:rsidRPr="00B57220">
              <w:rPr>
                <w:b/>
                <w:bCs w:val="0"/>
                <w:szCs w:val="20"/>
                <w:lang w:eastAsia="en-GB"/>
              </w:rPr>
              <w:t>QUEST</w:t>
            </w:r>
          </w:p>
        </w:tc>
        <w:tc>
          <w:tcPr>
            <w:tcW w:w="2059" w:type="pct"/>
            <w:gridSpan w:val="3"/>
            <w:tcBorders>
              <w:top w:val="single" w:sz="4" w:space="0" w:color="auto"/>
              <w:left w:val="single" w:sz="4" w:space="0" w:color="auto"/>
              <w:bottom w:val="single" w:sz="4" w:space="0" w:color="auto"/>
              <w:right w:val="single" w:sz="4" w:space="0" w:color="auto"/>
            </w:tcBorders>
            <w:tcMar>
              <w:left w:w="28" w:type="dxa"/>
              <w:right w:w="28" w:type="dxa"/>
            </w:tcMar>
            <w:hideMark/>
          </w:tcPr>
          <w:p w14:paraId="34162928" w14:textId="77777777" w:rsidR="00B247AB" w:rsidRPr="00B57220" w:rsidRDefault="00B247AB" w:rsidP="000F065D">
            <w:pPr>
              <w:pStyle w:val="TableText0"/>
              <w:keepLines/>
              <w:jc w:val="center"/>
              <w:rPr>
                <w:b/>
                <w:bCs w:val="0"/>
                <w:szCs w:val="20"/>
                <w:lang w:eastAsia="en-GB"/>
              </w:rPr>
            </w:pPr>
            <w:r w:rsidRPr="00B57220">
              <w:rPr>
                <w:b/>
                <w:bCs w:val="0"/>
                <w:szCs w:val="20"/>
                <w:lang w:eastAsia="en-GB"/>
              </w:rPr>
              <w:t>DRI12544</w:t>
            </w:r>
          </w:p>
        </w:tc>
      </w:tr>
      <w:tr w:rsidR="006F2ADF" w:rsidRPr="00B57220" w14:paraId="5AA02271" w14:textId="77777777" w:rsidTr="00B57220">
        <w:trPr>
          <w:tblHeader/>
        </w:trPr>
        <w:tc>
          <w:tcPr>
            <w:tcW w:w="70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68EED19" w14:textId="77777777" w:rsidR="00525351" w:rsidRPr="00B57220" w:rsidRDefault="00525351" w:rsidP="000F065D">
            <w:pPr>
              <w:keepNext/>
              <w:keepLines/>
              <w:ind w:right="-57"/>
              <w:rPr>
                <w:rFonts w:ascii="Arial Narrow" w:hAnsi="Arial Narrow" w:cstheme="minorHAnsi"/>
                <w:b/>
                <w:bCs/>
                <w:sz w:val="20"/>
                <w:szCs w:val="20"/>
                <w:lang w:eastAsia="en-GB"/>
              </w:rPr>
            </w:pPr>
          </w:p>
        </w:tc>
        <w:tc>
          <w:tcPr>
            <w:tcW w:w="1094"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042AA2F0" w14:textId="77777777" w:rsidR="00525351" w:rsidRPr="00B57220" w:rsidRDefault="00525351" w:rsidP="000F065D">
            <w:pPr>
              <w:pStyle w:val="TableText0"/>
              <w:keepLines/>
              <w:jc w:val="center"/>
              <w:rPr>
                <w:b/>
                <w:bCs w:val="0"/>
                <w:szCs w:val="20"/>
                <w:lang w:eastAsia="en-GB"/>
              </w:rPr>
            </w:pPr>
            <w:r w:rsidRPr="00B57220">
              <w:rPr>
                <w:b/>
                <w:bCs w:val="0"/>
                <w:szCs w:val="20"/>
                <w:lang w:eastAsia="en-GB"/>
              </w:rPr>
              <w:t>200</w:t>
            </w:r>
            <w:r w:rsidR="00BD0B8F" w:rsidRPr="00B57220">
              <w:rPr>
                <w:b/>
                <w:bCs w:val="0"/>
                <w:szCs w:val="20"/>
                <w:lang w:eastAsia="en-GB"/>
              </w:rPr>
              <w:t xml:space="preserve"> </w:t>
            </w:r>
            <w:r w:rsidRPr="00B57220">
              <w:rPr>
                <w:b/>
                <w:bCs w:val="0"/>
                <w:szCs w:val="20"/>
                <w:lang w:eastAsia="en-GB"/>
              </w:rPr>
              <w:t>mg Q2W</w:t>
            </w:r>
          </w:p>
        </w:tc>
        <w:tc>
          <w:tcPr>
            <w:tcW w:w="1147" w:type="pct"/>
            <w:gridSpan w:val="2"/>
            <w:tcBorders>
              <w:top w:val="single" w:sz="4" w:space="0" w:color="auto"/>
              <w:left w:val="single" w:sz="4" w:space="0" w:color="auto"/>
              <w:bottom w:val="single" w:sz="4" w:space="0" w:color="auto"/>
              <w:right w:val="single" w:sz="4" w:space="0" w:color="auto"/>
            </w:tcBorders>
            <w:tcMar>
              <w:left w:w="28" w:type="dxa"/>
              <w:right w:w="28" w:type="dxa"/>
            </w:tcMar>
            <w:hideMark/>
          </w:tcPr>
          <w:p w14:paraId="72B99645" w14:textId="77777777" w:rsidR="00525351" w:rsidRPr="00B57220" w:rsidRDefault="00525351" w:rsidP="000F065D">
            <w:pPr>
              <w:pStyle w:val="TableText0"/>
              <w:keepLines/>
              <w:jc w:val="center"/>
              <w:rPr>
                <w:b/>
                <w:bCs w:val="0"/>
                <w:szCs w:val="20"/>
                <w:lang w:eastAsia="en-GB"/>
              </w:rPr>
            </w:pPr>
            <w:r w:rsidRPr="00B57220">
              <w:rPr>
                <w:b/>
                <w:bCs w:val="0"/>
                <w:szCs w:val="20"/>
                <w:lang w:eastAsia="en-GB"/>
              </w:rPr>
              <w:t>300</w:t>
            </w:r>
            <w:r w:rsidR="00BD0B8F" w:rsidRPr="00B57220">
              <w:rPr>
                <w:b/>
                <w:bCs w:val="0"/>
                <w:szCs w:val="20"/>
                <w:lang w:eastAsia="en-GB"/>
              </w:rPr>
              <w:t xml:space="preserve"> </w:t>
            </w:r>
            <w:r w:rsidRPr="00B57220">
              <w:rPr>
                <w:b/>
                <w:bCs w:val="0"/>
                <w:szCs w:val="20"/>
                <w:lang w:eastAsia="en-GB"/>
              </w:rPr>
              <w:t>mg Q2W</w:t>
            </w:r>
          </w:p>
        </w:tc>
        <w:tc>
          <w:tcPr>
            <w:tcW w:w="513" w:type="pct"/>
            <w:vMerge w:val="restart"/>
            <w:tcBorders>
              <w:top w:val="single" w:sz="4" w:space="0" w:color="auto"/>
              <w:left w:val="single" w:sz="4" w:space="0" w:color="auto"/>
              <w:bottom w:val="single" w:sz="4" w:space="0" w:color="auto"/>
              <w:right w:val="single" w:sz="4" w:space="0" w:color="auto"/>
            </w:tcBorders>
            <w:tcMar>
              <w:left w:w="28" w:type="dxa"/>
              <w:right w:w="28" w:type="dxa"/>
            </w:tcMar>
            <w:hideMark/>
          </w:tcPr>
          <w:p w14:paraId="54C6C10A" w14:textId="77777777" w:rsidR="00525351" w:rsidRPr="00B57220" w:rsidRDefault="00525351" w:rsidP="000F065D">
            <w:pPr>
              <w:pStyle w:val="TableText0"/>
              <w:keepLines/>
              <w:jc w:val="center"/>
              <w:rPr>
                <w:b/>
                <w:bCs w:val="0"/>
                <w:szCs w:val="20"/>
                <w:lang w:eastAsia="en-GB"/>
              </w:rPr>
            </w:pPr>
            <w:r w:rsidRPr="00B57220">
              <w:rPr>
                <w:b/>
                <w:bCs w:val="0"/>
                <w:szCs w:val="20"/>
                <w:lang w:eastAsia="en-GB"/>
              </w:rPr>
              <w:t>Placebo N=158</w:t>
            </w:r>
          </w:p>
        </w:tc>
        <w:tc>
          <w:tcPr>
            <w:tcW w:w="1546"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67E86CBB" w14:textId="77777777" w:rsidR="00525351" w:rsidRPr="00B57220" w:rsidRDefault="00525351" w:rsidP="000F065D">
            <w:pPr>
              <w:pStyle w:val="TableText0"/>
              <w:keepLines/>
              <w:jc w:val="center"/>
              <w:rPr>
                <w:b/>
                <w:bCs w:val="0"/>
                <w:szCs w:val="20"/>
                <w:lang w:eastAsia="en-GB"/>
              </w:rPr>
            </w:pPr>
            <w:r w:rsidRPr="00B57220">
              <w:rPr>
                <w:b/>
                <w:bCs w:val="0"/>
                <w:szCs w:val="20"/>
                <w:lang w:eastAsia="en-GB"/>
              </w:rPr>
              <w:t>Q2W</w:t>
            </w:r>
          </w:p>
        </w:tc>
      </w:tr>
      <w:tr w:rsidR="006F2ADF" w:rsidRPr="00B57220" w14:paraId="06B9B8EC" w14:textId="77777777" w:rsidTr="00B57220">
        <w:trPr>
          <w:tblHeader/>
        </w:trPr>
        <w:tc>
          <w:tcPr>
            <w:tcW w:w="701"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4C562117" w14:textId="77777777" w:rsidR="00525351" w:rsidRPr="00B57220" w:rsidRDefault="00525351" w:rsidP="000F065D">
            <w:pPr>
              <w:keepNext/>
              <w:keepLines/>
              <w:ind w:right="-57"/>
              <w:rPr>
                <w:rFonts w:ascii="Arial Narrow" w:hAnsi="Arial Narrow" w:cstheme="minorHAnsi"/>
                <w:b/>
                <w:bCs/>
                <w:sz w:val="20"/>
                <w:szCs w:val="20"/>
                <w:lang w:eastAsia="en-GB"/>
              </w:rPr>
            </w:pP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F40599B" w14:textId="77777777" w:rsidR="00525351" w:rsidRPr="00B57220" w:rsidRDefault="00525351" w:rsidP="000F065D">
            <w:pPr>
              <w:pStyle w:val="TableText0"/>
              <w:keepLines/>
              <w:ind w:left="-57" w:right="-57"/>
              <w:jc w:val="center"/>
              <w:rPr>
                <w:b/>
                <w:bCs w:val="0"/>
                <w:szCs w:val="20"/>
                <w:lang w:eastAsia="en-GB"/>
              </w:rPr>
            </w:pPr>
            <w:r w:rsidRPr="00B57220">
              <w:rPr>
                <w:b/>
                <w:bCs w:val="0"/>
                <w:szCs w:val="20"/>
                <w:lang w:eastAsia="en-GB"/>
              </w:rPr>
              <w:t>Placebo N=313</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2BA5885" w14:textId="77777777" w:rsidR="00525351" w:rsidRPr="00B57220" w:rsidRDefault="00525351" w:rsidP="000F065D">
            <w:pPr>
              <w:pStyle w:val="TableText0"/>
              <w:keepLines/>
              <w:ind w:left="-57" w:right="-57"/>
              <w:jc w:val="center"/>
              <w:rPr>
                <w:b/>
                <w:bCs w:val="0"/>
                <w:szCs w:val="20"/>
                <w:lang w:eastAsia="en-GB"/>
              </w:rPr>
            </w:pPr>
            <w:r w:rsidRPr="00B57220">
              <w:rPr>
                <w:b/>
                <w:bCs w:val="0"/>
                <w:szCs w:val="20"/>
                <w:lang w:eastAsia="en-GB"/>
              </w:rPr>
              <w:t>Dupilumab N=631</w:t>
            </w:r>
          </w:p>
        </w:tc>
        <w:tc>
          <w:tcPr>
            <w:tcW w:w="51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1E28530" w14:textId="77777777" w:rsidR="00525351" w:rsidRPr="00B57220" w:rsidRDefault="00525351" w:rsidP="000F065D">
            <w:pPr>
              <w:pStyle w:val="TableText0"/>
              <w:keepLines/>
              <w:ind w:left="-57" w:right="-57"/>
              <w:jc w:val="center"/>
              <w:rPr>
                <w:b/>
                <w:bCs w:val="0"/>
                <w:szCs w:val="20"/>
                <w:lang w:eastAsia="en-GB"/>
              </w:rPr>
            </w:pPr>
            <w:r w:rsidRPr="00B57220">
              <w:rPr>
                <w:b/>
                <w:bCs w:val="0"/>
                <w:szCs w:val="20"/>
                <w:lang w:eastAsia="en-GB"/>
              </w:rPr>
              <w:t>Placebo N=321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A1C55FD" w14:textId="77777777" w:rsidR="00525351" w:rsidRPr="00B57220" w:rsidRDefault="00525351" w:rsidP="000F065D">
            <w:pPr>
              <w:pStyle w:val="TableText0"/>
              <w:keepLines/>
              <w:ind w:left="-57" w:right="-57"/>
              <w:jc w:val="center"/>
              <w:rPr>
                <w:b/>
                <w:bCs w:val="0"/>
                <w:szCs w:val="20"/>
                <w:lang w:eastAsia="en-GB"/>
              </w:rPr>
            </w:pPr>
            <w:r w:rsidRPr="00B57220">
              <w:rPr>
                <w:b/>
                <w:bCs w:val="0"/>
                <w:szCs w:val="20"/>
                <w:lang w:eastAsia="en-GB"/>
              </w:rPr>
              <w:t>Dupilumab N=632</w:t>
            </w:r>
          </w:p>
        </w:tc>
        <w:tc>
          <w:tcPr>
            <w:tcW w:w="513" w:type="pct"/>
            <w:vMerge/>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1C1B8355" w14:textId="77777777" w:rsidR="00525351" w:rsidRPr="00B57220" w:rsidRDefault="00525351" w:rsidP="000F065D">
            <w:pPr>
              <w:keepNext/>
              <w:keepLines/>
              <w:rPr>
                <w:rFonts w:ascii="Arial Narrow" w:hAnsi="Arial Narrow" w:cstheme="minorHAnsi"/>
                <w:b/>
                <w:bCs/>
                <w:sz w:val="20"/>
                <w:szCs w:val="20"/>
                <w:lang w:eastAsia="en-GB"/>
              </w:rPr>
            </w:pPr>
          </w:p>
        </w:tc>
        <w:tc>
          <w:tcPr>
            <w:tcW w:w="783" w:type="pct"/>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68A2519" w14:textId="77777777" w:rsidR="00525351" w:rsidRPr="00B57220" w:rsidRDefault="00525351" w:rsidP="000F065D">
            <w:pPr>
              <w:pStyle w:val="TableText0"/>
              <w:keepLines/>
              <w:jc w:val="center"/>
              <w:rPr>
                <w:b/>
                <w:bCs w:val="0"/>
                <w:szCs w:val="20"/>
                <w:lang w:eastAsia="en-GB"/>
              </w:rPr>
            </w:pPr>
            <w:r w:rsidRPr="00B57220">
              <w:rPr>
                <w:rFonts w:cstheme="minorHAnsi"/>
                <w:b/>
                <w:bCs w:val="0"/>
                <w:szCs w:val="20"/>
              </w:rPr>
              <w:t>Dupilumab 200mg N=148</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vAlign w:val="center"/>
            <w:hideMark/>
          </w:tcPr>
          <w:p w14:paraId="5CBE2C63" w14:textId="77777777" w:rsidR="00525351" w:rsidRPr="00B57220" w:rsidRDefault="00525351" w:rsidP="000F065D">
            <w:pPr>
              <w:pStyle w:val="TableText0"/>
              <w:keepLines/>
              <w:jc w:val="center"/>
              <w:rPr>
                <w:b/>
                <w:bCs w:val="0"/>
                <w:szCs w:val="20"/>
                <w:lang w:eastAsia="en-GB"/>
              </w:rPr>
            </w:pPr>
            <w:r w:rsidRPr="00B57220">
              <w:rPr>
                <w:rFonts w:cstheme="minorHAnsi"/>
                <w:b/>
                <w:bCs w:val="0"/>
                <w:szCs w:val="20"/>
              </w:rPr>
              <w:t>Dupilumab 300mg N=156</w:t>
            </w:r>
          </w:p>
        </w:tc>
      </w:tr>
      <w:tr w:rsidR="006F2ADF" w:rsidRPr="00B57220" w14:paraId="52644F75" w14:textId="77777777" w:rsidTr="00B57220">
        <w:tc>
          <w:tcPr>
            <w:tcW w:w="701"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1DF7D8E1" w14:textId="77777777" w:rsidR="00525351" w:rsidRPr="00B57220" w:rsidRDefault="00525351" w:rsidP="000F065D">
            <w:pPr>
              <w:pStyle w:val="TableText0"/>
              <w:keepLines/>
              <w:ind w:right="-57"/>
              <w:rPr>
                <w:bCs w:val="0"/>
                <w:szCs w:val="20"/>
                <w:lang w:eastAsia="en-GB"/>
              </w:rPr>
            </w:pPr>
            <w:r w:rsidRPr="00B57220">
              <w:rPr>
                <w:szCs w:val="20"/>
                <w:lang w:eastAsia="en-GB"/>
              </w:rPr>
              <w:t>Patients with any TEAE</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4847EA7B" w14:textId="77777777" w:rsidR="00525351" w:rsidRPr="00B57220" w:rsidRDefault="00525351" w:rsidP="000F065D">
            <w:pPr>
              <w:pStyle w:val="TableText0"/>
              <w:keepLines/>
              <w:ind w:left="-57" w:right="-57"/>
              <w:jc w:val="center"/>
              <w:rPr>
                <w:szCs w:val="20"/>
                <w:lang w:eastAsia="en-GB"/>
              </w:rPr>
            </w:pPr>
            <w:r w:rsidRPr="00B57220">
              <w:rPr>
                <w:szCs w:val="20"/>
                <w:lang w:eastAsia="en-GB"/>
              </w:rPr>
              <w:t>257 (82.1%)</w:t>
            </w:r>
          </w:p>
        </w:tc>
        <w:tc>
          <w:tcPr>
            <w:tcW w:w="547"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9FB5A1C" w14:textId="77777777" w:rsidR="00525351" w:rsidRPr="00B57220" w:rsidRDefault="00525351" w:rsidP="000F065D">
            <w:pPr>
              <w:pStyle w:val="TableText0"/>
              <w:keepLines/>
              <w:ind w:left="-57" w:right="-57"/>
              <w:jc w:val="center"/>
              <w:rPr>
                <w:szCs w:val="20"/>
                <w:lang w:eastAsia="en-GB"/>
              </w:rPr>
            </w:pPr>
            <w:r w:rsidRPr="00B57220">
              <w:rPr>
                <w:szCs w:val="20"/>
                <w:lang w:eastAsia="en-GB"/>
              </w:rPr>
              <w:t>508 (80.5%)</w:t>
            </w:r>
          </w:p>
        </w:tc>
        <w:tc>
          <w:tcPr>
            <w:tcW w:w="51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ABCAD75" w14:textId="77777777" w:rsidR="00525351" w:rsidRPr="00B57220" w:rsidRDefault="00525351" w:rsidP="000F065D">
            <w:pPr>
              <w:pStyle w:val="TableText0"/>
              <w:keepLines/>
              <w:ind w:left="-57" w:right="-57"/>
              <w:jc w:val="center"/>
              <w:rPr>
                <w:szCs w:val="20"/>
                <w:lang w:eastAsia="en-GB"/>
              </w:rPr>
            </w:pPr>
            <w:r w:rsidRPr="00B57220">
              <w:rPr>
                <w:szCs w:val="20"/>
                <w:lang w:eastAsia="en-GB"/>
              </w:rPr>
              <w:t>270 (84.1%)</w:t>
            </w:r>
          </w:p>
        </w:tc>
        <w:tc>
          <w:tcPr>
            <w:tcW w:w="634"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03570759" w14:textId="77777777" w:rsidR="00525351" w:rsidRPr="00B57220" w:rsidRDefault="00525351" w:rsidP="000F065D">
            <w:pPr>
              <w:pStyle w:val="TableText0"/>
              <w:keepLines/>
              <w:ind w:left="-57" w:right="-57"/>
              <w:jc w:val="center"/>
              <w:rPr>
                <w:szCs w:val="20"/>
                <w:lang w:eastAsia="en-GB"/>
              </w:rPr>
            </w:pPr>
            <w:r w:rsidRPr="00B57220">
              <w:rPr>
                <w:szCs w:val="20"/>
                <w:lang w:eastAsia="en-GB"/>
              </w:rPr>
              <w:t>515 (81.5%)</w:t>
            </w:r>
          </w:p>
        </w:tc>
        <w:tc>
          <w:tcPr>
            <w:tcW w:w="513"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3CC18A65" w14:textId="77777777" w:rsidR="00525351" w:rsidRPr="00B57220" w:rsidRDefault="00525351" w:rsidP="000F065D">
            <w:pPr>
              <w:pStyle w:val="TableText0"/>
              <w:keepLines/>
              <w:jc w:val="center"/>
              <w:rPr>
                <w:szCs w:val="20"/>
                <w:lang w:eastAsia="en-GB"/>
              </w:rPr>
            </w:pPr>
            <w:r w:rsidRPr="00B57220">
              <w:rPr>
                <w:szCs w:val="20"/>
                <w:lang w:eastAsia="en-GB"/>
              </w:rPr>
              <w:t>118 (74.7%)</w:t>
            </w:r>
          </w:p>
        </w:tc>
        <w:tc>
          <w:tcPr>
            <w:tcW w:w="783" w:type="pct"/>
            <w:tcBorders>
              <w:top w:val="single" w:sz="4" w:space="0" w:color="auto"/>
              <w:left w:val="single" w:sz="4" w:space="0" w:color="auto"/>
              <w:bottom w:val="single" w:sz="4" w:space="0" w:color="auto"/>
              <w:right w:val="single" w:sz="4" w:space="0" w:color="auto"/>
            </w:tcBorders>
            <w:tcMar>
              <w:left w:w="28" w:type="dxa"/>
              <w:right w:w="28" w:type="dxa"/>
            </w:tcMar>
          </w:tcPr>
          <w:p w14:paraId="67E70CD8" w14:textId="77777777" w:rsidR="00525351" w:rsidRPr="00B57220" w:rsidRDefault="00525351" w:rsidP="000F065D">
            <w:pPr>
              <w:pStyle w:val="TableText0"/>
              <w:keepLines/>
              <w:jc w:val="center"/>
              <w:rPr>
                <w:szCs w:val="20"/>
                <w:lang w:eastAsia="en-GB"/>
              </w:rPr>
            </w:pPr>
            <w:r w:rsidRPr="00B57220">
              <w:rPr>
                <w:szCs w:val="20"/>
                <w:lang w:eastAsia="en-GB"/>
              </w:rPr>
              <w:t>119 (80.4%)</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hideMark/>
          </w:tcPr>
          <w:p w14:paraId="25E4B79A" w14:textId="77777777" w:rsidR="00525351" w:rsidRPr="00B57220" w:rsidRDefault="00525351" w:rsidP="000F065D">
            <w:pPr>
              <w:pStyle w:val="TableText0"/>
              <w:keepLines/>
              <w:jc w:val="center"/>
              <w:rPr>
                <w:szCs w:val="20"/>
                <w:lang w:eastAsia="en-GB"/>
              </w:rPr>
            </w:pPr>
            <w:r w:rsidRPr="00B57220">
              <w:rPr>
                <w:szCs w:val="20"/>
                <w:lang w:eastAsia="en-GB"/>
              </w:rPr>
              <w:t>121 (77.6%)</w:t>
            </w:r>
          </w:p>
        </w:tc>
      </w:tr>
      <w:tr w:rsidR="006F2ADF" w:rsidRPr="00B57220" w14:paraId="19F15442" w14:textId="77777777" w:rsidTr="00B57220">
        <w:tc>
          <w:tcPr>
            <w:tcW w:w="701" w:type="pct"/>
            <w:tcBorders>
              <w:top w:val="single" w:sz="4" w:space="0" w:color="auto"/>
              <w:left w:val="single" w:sz="4" w:space="0" w:color="auto"/>
              <w:bottom w:val="single" w:sz="18" w:space="0" w:color="auto"/>
              <w:right w:val="single" w:sz="4" w:space="0" w:color="auto"/>
            </w:tcBorders>
            <w:tcMar>
              <w:left w:w="28" w:type="dxa"/>
              <w:right w:w="28" w:type="dxa"/>
            </w:tcMar>
          </w:tcPr>
          <w:p w14:paraId="6D492467" w14:textId="77777777" w:rsidR="00525351" w:rsidRPr="00B57220" w:rsidRDefault="00525351" w:rsidP="000F065D">
            <w:pPr>
              <w:pStyle w:val="TableText0"/>
              <w:keepLines/>
              <w:ind w:right="-57"/>
              <w:rPr>
                <w:szCs w:val="20"/>
                <w:lang w:eastAsia="en-GB"/>
              </w:rPr>
            </w:pPr>
            <w:r w:rsidRPr="00B57220">
              <w:rPr>
                <w:szCs w:val="20"/>
                <w:lang w:eastAsia="en-GB"/>
              </w:rPr>
              <w:t>RR (95% CI</w:t>
            </w:r>
          </w:p>
        </w:tc>
        <w:tc>
          <w:tcPr>
            <w:tcW w:w="1094" w:type="pct"/>
            <w:gridSpan w:val="2"/>
            <w:tcBorders>
              <w:top w:val="single" w:sz="4" w:space="0" w:color="auto"/>
              <w:left w:val="single" w:sz="4" w:space="0" w:color="auto"/>
              <w:bottom w:val="single" w:sz="18" w:space="0" w:color="auto"/>
              <w:right w:val="single" w:sz="4" w:space="0" w:color="auto"/>
            </w:tcBorders>
            <w:tcMar>
              <w:left w:w="28" w:type="dxa"/>
              <w:right w:w="28" w:type="dxa"/>
            </w:tcMar>
          </w:tcPr>
          <w:p w14:paraId="2A0668A6" w14:textId="77777777" w:rsidR="00525351" w:rsidRPr="00B57220" w:rsidRDefault="00525351" w:rsidP="000F065D">
            <w:pPr>
              <w:pStyle w:val="TableText0"/>
              <w:keepLines/>
              <w:jc w:val="center"/>
              <w:rPr>
                <w:szCs w:val="20"/>
                <w:lang w:eastAsia="en-GB"/>
              </w:rPr>
            </w:pPr>
            <w:r w:rsidRPr="00B57220">
              <w:rPr>
                <w:szCs w:val="20"/>
                <w:lang w:eastAsia="en-GB"/>
              </w:rPr>
              <w:t>0.98 (0.92, 1.05)</w:t>
            </w:r>
          </w:p>
        </w:tc>
        <w:tc>
          <w:tcPr>
            <w:tcW w:w="1147" w:type="pct"/>
            <w:gridSpan w:val="2"/>
            <w:tcBorders>
              <w:top w:val="single" w:sz="4" w:space="0" w:color="auto"/>
              <w:left w:val="single" w:sz="4" w:space="0" w:color="auto"/>
              <w:bottom w:val="single" w:sz="18" w:space="0" w:color="auto"/>
              <w:right w:val="single" w:sz="4" w:space="0" w:color="auto"/>
            </w:tcBorders>
            <w:tcMar>
              <w:left w:w="28" w:type="dxa"/>
              <w:right w:w="28" w:type="dxa"/>
            </w:tcMar>
          </w:tcPr>
          <w:p w14:paraId="52E96B11" w14:textId="77777777" w:rsidR="00525351" w:rsidRPr="00B57220" w:rsidRDefault="00525351" w:rsidP="000F065D">
            <w:pPr>
              <w:pStyle w:val="TableText0"/>
              <w:keepLines/>
              <w:jc w:val="center"/>
              <w:rPr>
                <w:szCs w:val="20"/>
                <w:lang w:eastAsia="en-GB"/>
              </w:rPr>
            </w:pPr>
            <w:r w:rsidRPr="00B57220">
              <w:rPr>
                <w:szCs w:val="20"/>
                <w:lang w:eastAsia="en-GB"/>
              </w:rPr>
              <w:t>0.97 (0.91, 1.03)</w:t>
            </w:r>
          </w:p>
        </w:tc>
        <w:tc>
          <w:tcPr>
            <w:tcW w:w="513" w:type="pct"/>
            <w:tcBorders>
              <w:top w:val="single" w:sz="4" w:space="0" w:color="auto"/>
              <w:left w:val="single" w:sz="4" w:space="0" w:color="auto"/>
              <w:bottom w:val="single" w:sz="18" w:space="0" w:color="auto"/>
              <w:right w:val="single" w:sz="4" w:space="0" w:color="auto"/>
            </w:tcBorders>
            <w:tcMar>
              <w:left w:w="28" w:type="dxa"/>
              <w:right w:w="28" w:type="dxa"/>
            </w:tcMar>
          </w:tcPr>
          <w:p w14:paraId="5FBD3EF2" w14:textId="77777777" w:rsidR="00525351" w:rsidRPr="00B57220" w:rsidRDefault="00525351" w:rsidP="000F065D">
            <w:pPr>
              <w:pStyle w:val="TableText0"/>
              <w:keepLines/>
              <w:jc w:val="center"/>
              <w:rPr>
                <w:szCs w:val="20"/>
                <w:lang w:eastAsia="en-GB"/>
              </w:rPr>
            </w:pPr>
            <w:r w:rsidRPr="00B57220">
              <w:rPr>
                <w:szCs w:val="20"/>
                <w:lang w:eastAsia="en-GB"/>
              </w:rPr>
              <w:t>-</w:t>
            </w:r>
          </w:p>
        </w:tc>
        <w:tc>
          <w:tcPr>
            <w:tcW w:w="783" w:type="pct"/>
            <w:tcBorders>
              <w:top w:val="single" w:sz="4" w:space="0" w:color="auto"/>
              <w:left w:val="single" w:sz="4" w:space="0" w:color="auto"/>
              <w:bottom w:val="single" w:sz="18" w:space="0" w:color="auto"/>
              <w:right w:val="single" w:sz="4" w:space="0" w:color="auto"/>
            </w:tcBorders>
            <w:tcMar>
              <w:left w:w="28" w:type="dxa"/>
              <w:right w:w="28" w:type="dxa"/>
            </w:tcMar>
          </w:tcPr>
          <w:p w14:paraId="7A24A699" w14:textId="77777777" w:rsidR="00525351" w:rsidRPr="00B57220" w:rsidRDefault="00525351" w:rsidP="000F065D">
            <w:pPr>
              <w:pStyle w:val="TableText0"/>
              <w:keepLines/>
              <w:jc w:val="center"/>
              <w:rPr>
                <w:szCs w:val="20"/>
                <w:lang w:eastAsia="en-GB"/>
              </w:rPr>
            </w:pPr>
            <w:r w:rsidRPr="00B57220">
              <w:rPr>
                <w:szCs w:val="20"/>
                <w:lang w:eastAsia="en-GB"/>
              </w:rPr>
              <w:t>1.08 (0.95, 1.21)</w:t>
            </w:r>
          </w:p>
        </w:tc>
        <w:tc>
          <w:tcPr>
            <w:tcW w:w="762" w:type="pct"/>
            <w:tcBorders>
              <w:top w:val="single" w:sz="4" w:space="0" w:color="auto"/>
              <w:left w:val="single" w:sz="4" w:space="0" w:color="auto"/>
              <w:bottom w:val="single" w:sz="18" w:space="0" w:color="auto"/>
              <w:right w:val="single" w:sz="4" w:space="0" w:color="auto"/>
            </w:tcBorders>
            <w:tcMar>
              <w:left w:w="28" w:type="dxa"/>
              <w:right w:w="28" w:type="dxa"/>
            </w:tcMar>
          </w:tcPr>
          <w:p w14:paraId="6B182FDE" w14:textId="77777777" w:rsidR="00525351" w:rsidRPr="00B57220" w:rsidRDefault="00860AFA" w:rsidP="000F065D">
            <w:pPr>
              <w:pStyle w:val="TableText0"/>
              <w:keepLines/>
              <w:ind w:left="-57" w:right="-57"/>
              <w:jc w:val="center"/>
              <w:rPr>
                <w:szCs w:val="20"/>
                <w:lang w:eastAsia="en-GB"/>
              </w:rPr>
            </w:pPr>
            <w:r w:rsidRPr="00B57220">
              <w:rPr>
                <w:szCs w:val="20"/>
                <w:lang w:eastAsia="en-GB"/>
              </w:rPr>
              <w:t>1.04</w:t>
            </w:r>
            <w:r w:rsidR="00525351" w:rsidRPr="00B57220">
              <w:rPr>
                <w:szCs w:val="20"/>
                <w:lang w:eastAsia="en-GB"/>
              </w:rPr>
              <w:t xml:space="preserve"> (0.9</w:t>
            </w:r>
            <w:r w:rsidRPr="00B57220">
              <w:rPr>
                <w:szCs w:val="20"/>
                <w:lang w:eastAsia="en-GB"/>
              </w:rPr>
              <w:t>2, 1.18</w:t>
            </w:r>
            <w:r w:rsidR="00525351" w:rsidRPr="00B57220">
              <w:rPr>
                <w:szCs w:val="20"/>
                <w:lang w:eastAsia="en-GB"/>
              </w:rPr>
              <w:t>)</w:t>
            </w:r>
          </w:p>
        </w:tc>
      </w:tr>
      <w:tr w:rsidR="006F2ADF" w:rsidRPr="00B57220" w14:paraId="2B067F75" w14:textId="77777777" w:rsidTr="00B57220">
        <w:tc>
          <w:tcPr>
            <w:tcW w:w="701"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5A3A1E26" w14:textId="77777777" w:rsidR="00525351" w:rsidRPr="00B57220" w:rsidRDefault="00525351" w:rsidP="000F065D">
            <w:pPr>
              <w:pStyle w:val="TableText0"/>
              <w:keepLines/>
              <w:ind w:right="-57"/>
              <w:rPr>
                <w:szCs w:val="20"/>
                <w:lang w:eastAsia="en-GB"/>
              </w:rPr>
            </w:pPr>
            <w:r w:rsidRPr="00B57220">
              <w:rPr>
                <w:szCs w:val="20"/>
                <w:lang w:eastAsia="en-GB"/>
              </w:rPr>
              <w:t>Patients with any treatment emergent SAE</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02A37E29" w14:textId="77777777" w:rsidR="00525351" w:rsidRPr="00B57220" w:rsidRDefault="00525351" w:rsidP="000F065D">
            <w:pPr>
              <w:pStyle w:val="TableText0"/>
              <w:keepLines/>
              <w:jc w:val="center"/>
              <w:rPr>
                <w:szCs w:val="20"/>
                <w:lang w:eastAsia="en-GB"/>
              </w:rPr>
            </w:pPr>
            <w:r w:rsidRPr="00B57220">
              <w:rPr>
                <w:szCs w:val="20"/>
                <w:lang w:eastAsia="en-GB"/>
              </w:rPr>
              <w:t>26 (8.3%)</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552BA304" w14:textId="77777777" w:rsidR="00525351" w:rsidRPr="00B57220" w:rsidRDefault="00525351" w:rsidP="000F065D">
            <w:pPr>
              <w:pStyle w:val="TableText0"/>
              <w:keepLines/>
              <w:jc w:val="center"/>
              <w:rPr>
                <w:szCs w:val="20"/>
                <w:lang w:eastAsia="en-GB"/>
              </w:rPr>
            </w:pPr>
            <w:r w:rsidRPr="00B57220">
              <w:rPr>
                <w:szCs w:val="20"/>
                <w:lang w:eastAsia="en-GB"/>
              </w:rPr>
              <w:t>49 (7.8%)</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0619AC2C" w14:textId="77777777" w:rsidR="00525351" w:rsidRPr="00B57220" w:rsidRDefault="00525351" w:rsidP="000F065D">
            <w:pPr>
              <w:pStyle w:val="TableText0"/>
              <w:keepLines/>
              <w:jc w:val="center"/>
              <w:rPr>
                <w:szCs w:val="20"/>
                <w:lang w:eastAsia="en-GB"/>
              </w:rPr>
            </w:pPr>
            <w:r w:rsidRPr="00B57220">
              <w:rPr>
                <w:szCs w:val="20"/>
                <w:lang w:eastAsia="en-GB"/>
              </w:rPr>
              <w:t>27 (8.4%)</w:t>
            </w:r>
          </w:p>
        </w:tc>
        <w:tc>
          <w:tcPr>
            <w:tcW w:w="634"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21EEC4B1" w14:textId="77777777" w:rsidR="00525351" w:rsidRPr="00B57220" w:rsidRDefault="00525351" w:rsidP="000F065D">
            <w:pPr>
              <w:pStyle w:val="TableText0"/>
              <w:keepLines/>
              <w:jc w:val="center"/>
              <w:rPr>
                <w:szCs w:val="20"/>
                <w:lang w:eastAsia="en-GB"/>
              </w:rPr>
            </w:pPr>
            <w:r w:rsidRPr="00B57220">
              <w:rPr>
                <w:szCs w:val="20"/>
                <w:lang w:eastAsia="en-GB"/>
              </w:rPr>
              <w:t>55 (8.7%)</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5FFC7053" w14:textId="77777777" w:rsidR="00525351" w:rsidRPr="00B57220" w:rsidRDefault="00525351" w:rsidP="000F065D">
            <w:pPr>
              <w:pStyle w:val="TableText0"/>
              <w:keepLines/>
              <w:jc w:val="center"/>
              <w:rPr>
                <w:szCs w:val="20"/>
                <w:lang w:eastAsia="en-GB"/>
              </w:rPr>
            </w:pPr>
            <w:r w:rsidRPr="00B57220">
              <w:rPr>
                <w:szCs w:val="20"/>
                <w:lang w:eastAsia="en-GB"/>
              </w:rPr>
              <w:t>9 (5.7%)</w:t>
            </w:r>
          </w:p>
        </w:tc>
        <w:tc>
          <w:tcPr>
            <w:tcW w:w="783" w:type="pct"/>
            <w:tcBorders>
              <w:top w:val="single" w:sz="18" w:space="0" w:color="auto"/>
              <w:left w:val="single" w:sz="4" w:space="0" w:color="auto"/>
              <w:bottom w:val="single" w:sz="4" w:space="0" w:color="auto"/>
              <w:right w:val="single" w:sz="4" w:space="0" w:color="auto"/>
            </w:tcBorders>
            <w:tcMar>
              <w:left w:w="28" w:type="dxa"/>
              <w:right w:w="28" w:type="dxa"/>
            </w:tcMar>
          </w:tcPr>
          <w:p w14:paraId="726DF891" w14:textId="77777777" w:rsidR="00525351" w:rsidRPr="00B57220" w:rsidRDefault="00525351" w:rsidP="000F065D">
            <w:pPr>
              <w:pStyle w:val="TableText0"/>
              <w:keepLines/>
              <w:jc w:val="center"/>
              <w:rPr>
                <w:szCs w:val="20"/>
                <w:lang w:eastAsia="en-GB"/>
              </w:rPr>
            </w:pPr>
            <w:r w:rsidRPr="00B57220">
              <w:rPr>
                <w:szCs w:val="20"/>
                <w:lang w:eastAsia="en-GB"/>
              </w:rPr>
              <w:t>10 (6.8%)</w:t>
            </w:r>
          </w:p>
        </w:tc>
        <w:tc>
          <w:tcPr>
            <w:tcW w:w="762"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7FE5B966" w14:textId="77777777" w:rsidR="00525351" w:rsidRPr="00B57220" w:rsidRDefault="00525351" w:rsidP="000F065D">
            <w:pPr>
              <w:pStyle w:val="TableText0"/>
              <w:keepLines/>
              <w:jc w:val="center"/>
              <w:rPr>
                <w:szCs w:val="20"/>
                <w:lang w:eastAsia="en-GB"/>
              </w:rPr>
            </w:pPr>
            <w:r w:rsidRPr="00B57220">
              <w:rPr>
                <w:szCs w:val="20"/>
                <w:lang w:eastAsia="en-GB"/>
              </w:rPr>
              <w:t>13 (8.3%)</w:t>
            </w:r>
          </w:p>
        </w:tc>
      </w:tr>
      <w:tr w:rsidR="006F2ADF" w:rsidRPr="00B57220" w14:paraId="417E75BF" w14:textId="77777777" w:rsidTr="00B57220">
        <w:tc>
          <w:tcPr>
            <w:tcW w:w="701" w:type="pct"/>
            <w:tcBorders>
              <w:top w:val="single" w:sz="4" w:space="0" w:color="auto"/>
              <w:left w:val="single" w:sz="4" w:space="0" w:color="auto"/>
              <w:bottom w:val="single" w:sz="18" w:space="0" w:color="auto"/>
              <w:right w:val="single" w:sz="4" w:space="0" w:color="auto"/>
            </w:tcBorders>
            <w:tcMar>
              <w:left w:w="28" w:type="dxa"/>
              <w:right w:w="28" w:type="dxa"/>
            </w:tcMar>
          </w:tcPr>
          <w:p w14:paraId="335479A8" w14:textId="77777777" w:rsidR="00525351" w:rsidRPr="00B57220" w:rsidRDefault="00525351" w:rsidP="000F065D">
            <w:pPr>
              <w:pStyle w:val="TableText0"/>
              <w:keepLines/>
              <w:ind w:right="-57"/>
              <w:rPr>
                <w:szCs w:val="20"/>
                <w:lang w:eastAsia="en-GB"/>
              </w:rPr>
            </w:pPr>
            <w:r w:rsidRPr="00B57220">
              <w:rPr>
                <w:szCs w:val="20"/>
                <w:lang w:eastAsia="en-GB"/>
              </w:rPr>
              <w:t>RR (95% CI)</w:t>
            </w:r>
          </w:p>
        </w:tc>
        <w:tc>
          <w:tcPr>
            <w:tcW w:w="1094" w:type="pct"/>
            <w:gridSpan w:val="2"/>
            <w:tcBorders>
              <w:top w:val="single" w:sz="4" w:space="0" w:color="auto"/>
              <w:left w:val="single" w:sz="4" w:space="0" w:color="auto"/>
              <w:bottom w:val="single" w:sz="18" w:space="0" w:color="auto"/>
              <w:right w:val="single" w:sz="4" w:space="0" w:color="auto"/>
            </w:tcBorders>
            <w:tcMar>
              <w:left w:w="28" w:type="dxa"/>
              <w:right w:w="28" w:type="dxa"/>
            </w:tcMar>
          </w:tcPr>
          <w:p w14:paraId="4ACBE6D1" w14:textId="77777777" w:rsidR="00525351" w:rsidRPr="00B57220" w:rsidRDefault="00525351" w:rsidP="000F065D">
            <w:pPr>
              <w:pStyle w:val="TableText0"/>
              <w:keepLines/>
              <w:jc w:val="center"/>
              <w:rPr>
                <w:szCs w:val="20"/>
                <w:lang w:eastAsia="en-GB"/>
              </w:rPr>
            </w:pPr>
            <w:r w:rsidRPr="00B57220">
              <w:rPr>
                <w:szCs w:val="20"/>
                <w:lang w:eastAsia="en-GB"/>
              </w:rPr>
              <w:t>0.93 (0.59, 1.47)</w:t>
            </w:r>
          </w:p>
        </w:tc>
        <w:tc>
          <w:tcPr>
            <w:tcW w:w="1147" w:type="pct"/>
            <w:gridSpan w:val="2"/>
            <w:tcBorders>
              <w:top w:val="single" w:sz="4" w:space="0" w:color="auto"/>
              <w:left w:val="single" w:sz="4" w:space="0" w:color="auto"/>
              <w:bottom w:val="single" w:sz="18" w:space="0" w:color="auto"/>
              <w:right w:val="single" w:sz="4" w:space="0" w:color="auto"/>
            </w:tcBorders>
            <w:tcMar>
              <w:left w:w="28" w:type="dxa"/>
              <w:right w:w="28" w:type="dxa"/>
            </w:tcMar>
          </w:tcPr>
          <w:p w14:paraId="0B62B007" w14:textId="77777777" w:rsidR="00525351" w:rsidRPr="00B57220" w:rsidRDefault="00525351" w:rsidP="000F065D">
            <w:pPr>
              <w:pStyle w:val="TableText0"/>
              <w:keepLines/>
              <w:jc w:val="center"/>
              <w:rPr>
                <w:szCs w:val="20"/>
                <w:lang w:eastAsia="en-GB"/>
              </w:rPr>
            </w:pPr>
            <w:r w:rsidRPr="00B57220">
              <w:rPr>
                <w:szCs w:val="20"/>
                <w:lang w:eastAsia="en-GB"/>
              </w:rPr>
              <w:t>1.03 (0.67, 1.61)</w:t>
            </w:r>
          </w:p>
        </w:tc>
        <w:tc>
          <w:tcPr>
            <w:tcW w:w="513" w:type="pct"/>
            <w:tcBorders>
              <w:top w:val="single" w:sz="4" w:space="0" w:color="auto"/>
              <w:left w:val="single" w:sz="4" w:space="0" w:color="auto"/>
              <w:bottom w:val="single" w:sz="18" w:space="0" w:color="auto"/>
              <w:right w:val="single" w:sz="4" w:space="0" w:color="auto"/>
            </w:tcBorders>
            <w:tcMar>
              <w:left w:w="28" w:type="dxa"/>
              <w:right w:w="28" w:type="dxa"/>
            </w:tcMar>
          </w:tcPr>
          <w:p w14:paraId="6407B6AF" w14:textId="77777777" w:rsidR="00525351" w:rsidRPr="00B57220" w:rsidRDefault="00525351" w:rsidP="000F065D">
            <w:pPr>
              <w:pStyle w:val="TableText0"/>
              <w:keepLines/>
              <w:jc w:val="center"/>
              <w:rPr>
                <w:szCs w:val="20"/>
                <w:lang w:eastAsia="en-GB"/>
              </w:rPr>
            </w:pPr>
            <w:r w:rsidRPr="00B57220">
              <w:rPr>
                <w:szCs w:val="20"/>
                <w:lang w:eastAsia="en-GB"/>
              </w:rPr>
              <w:t>-</w:t>
            </w:r>
          </w:p>
        </w:tc>
        <w:tc>
          <w:tcPr>
            <w:tcW w:w="783" w:type="pct"/>
            <w:tcBorders>
              <w:top w:val="single" w:sz="4" w:space="0" w:color="auto"/>
              <w:left w:val="single" w:sz="4" w:space="0" w:color="auto"/>
              <w:bottom w:val="single" w:sz="18" w:space="0" w:color="auto"/>
              <w:right w:val="single" w:sz="4" w:space="0" w:color="auto"/>
            </w:tcBorders>
            <w:tcMar>
              <w:left w:w="28" w:type="dxa"/>
              <w:right w:w="28" w:type="dxa"/>
            </w:tcMar>
          </w:tcPr>
          <w:p w14:paraId="16F855FB" w14:textId="77777777" w:rsidR="00525351" w:rsidRPr="00B57220" w:rsidRDefault="00525351" w:rsidP="000F065D">
            <w:pPr>
              <w:pStyle w:val="TableText0"/>
              <w:keepLines/>
              <w:jc w:val="center"/>
              <w:rPr>
                <w:szCs w:val="20"/>
                <w:lang w:eastAsia="en-GB"/>
              </w:rPr>
            </w:pPr>
            <w:r w:rsidRPr="00B57220">
              <w:rPr>
                <w:szCs w:val="20"/>
                <w:lang w:eastAsia="en-GB"/>
              </w:rPr>
              <w:t>1.19 (0.50, 2.84)</w:t>
            </w:r>
          </w:p>
        </w:tc>
        <w:tc>
          <w:tcPr>
            <w:tcW w:w="762" w:type="pct"/>
            <w:tcBorders>
              <w:top w:val="single" w:sz="4" w:space="0" w:color="auto"/>
              <w:left w:val="single" w:sz="4" w:space="0" w:color="auto"/>
              <w:bottom w:val="single" w:sz="18" w:space="0" w:color="auto"/>
              <w:right w:val="single" w:sz="4" w:space="0" w:color="auto"/>
            </w:tcBorders>
            <w:tcMar>
              <w:left w:w="28" w:type="dxa"/>
              <w:right w:w="28" w:type="dxa"/>
            </w:tcMar>
          </w:tcPr>
          <w:p w14:paraId="50074211" w14:textId="77777777" w:rsidR="00525351" w:rsidRPr="00B57220" w:rsidRDefault="00860AFA" w:rsidP="000F065D">
            <w:pPr>
              <w:pStyle w:val="TableText0"/>
              <w:keepLines/>
              <w:ind w:left="-57" w:right="-57"/>
              <w:jc w:val="center"/>
              <w:rPr>
                <w:szCs w:val="20"/>
                <w:lang w:eastAsia="en-GB"/>
              </w:rPr>
            </w:pPr>
            <w:r w:rsidRPr="00B57220">
              <w:rPr>
                <w:szCs w:val="20"/>
                <w:lang w:eastAsia="en-GB"/>
              </w:rPr>
              <w:t>1.46</w:t>
            </w:r>
            <w:r w:rsidR="00525351" w:rsidRPr="00B57220">
              <w:rPr>
                <w:szCs w:val="20"/>
                <w:lang w:eastAsia="en-GB"/>
              </w:rPr>
              <w:t xml:space="preserve"> (0.6</w:t>
            </w:r>
            <w:r w:rsidRPr="00B57220">
              <w:rPr>
                <w:szCs w:val="20"/>
                <w:lang w:eastAsia="en-GB"/>
              </w:rPr>
              <w:t>4</w:t>
            </w:r>
            <w:r w:rsidR="00525351" w:rsidRPr="00B57220">
              <w:rPr>
                <w:szCs w:val="20"/>
                <w:lang w:eastAsia="en-GB"/>
              </w:rPr>
              <w:t>, 3.</w:t>
            </w:r>
            <w:r w:rsidRPr="00B57220">
              <w:rPr>
                <w:szCs w:val="20"/>
                <w:lang w:eastAsia="en-GB"/>
              </w:rPr>
              <w:t>32</w:t>
            </w:r>
            <w:r w:rsidR="00525351" w:rsidRPr="00B57220">
              <w:rPr>
                <w:szCs w:val="20"/>
                <w:lang w:eastAsia="en-GB"/>
              </w:rPr>
              <w:t>)</w:t>
            </w:r>
          </w:p>
        </w:tc>
      </w:tr>
      <w:tr w:rsidR="006F2ADF" w:rsidRPr="00B57220" w14:paraId="57FF387F" w14:textId="77777777" w:rsidTr="00B57220">
        <w:tc>
          <w:tcPr>
            <w:tcW w:w="701"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2B77E59F" w14:textId="77777777" w:rsidR="00525351" w:rsidRPr="00B57220" w:rsidRDefault="00525351" w:rsidP="000F065D">
            <w:pPr>
              <w:pStyle w:val="TableText0"/>
              <w:keepLines/>
              <w:ind w:right="-57"/>
              <w:rPr>
                <w:szCs w:val="20"/>
                <w:lang w:eastAsia="en-GB"/>
              </w:rPr>
            </w:pPr>
            <w:r w:rsidRPr="00B57220">
              <w:rPr>
                <w:szCs w:val="20"/>
                <w:lang w:eastAsia="en-GB"/>
              </w:rPr>
              <w:t>Patients with any TEAE leading to permanent treatment discontinuation</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1B0D84F" w14:textId="77777777" w:rsidR="00525351" w:rsidRPr="00B57220" w:rsidRDefault="00525351" w:rsidP="000F065D">
            <w:pPr>
              <w:pStyle w:val="TableText0"/>
              <w:keepLines/>
              <w:jc w:val="center"/>
              <w:rPr>
                <w:szCs w:val="20"/>
                <w:lang w:eastAsia="en-GB"/>
              </w:rPr>
            </w:pPr>
            <w:r w:rsidRPr="00B57220">
              <w:rPr>
                <w:szCs w:val="20"/>
                <w:lang w:eastAsia="en-GB"/>
              </w:rPr>
              <w:t>19 (6.1 %)</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6867167A" w14:textId="77777777" w:rsidR="00525351" w:rsidRPr="00B57220" w:rsidRDefault="00525351" w:rsidP="000F065D">
            <w:pPr>
              <w:pStyle w:val="TableText0"/>
              <w:keepLines/>
              <w:jc w:val="center"/>
              <w:rPr>
                <w:szCs w:val="20"/>
                <w:lang w:eastAsia="en-GB"/>
              </w:rPr>
            </w:pPr>
            <w:r w:rsidRPr="00B57220">
              <w:rPr>
                <w:szCs w:val="20"/>
                <w:lang w:eastAsia="en-GB"/>
              </w:rPr>
              <w:t>19 (3.0%)</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55D646F9" w14:textId="77777777" w:rsidR="00525351" w:rsidRPr="00B57220" w:rsidRDefault="00525351" w:rsidP="000F065D">
            <w:pPr>
              <w:pStyle w:val="TableText0"/>
              <w:keepLines/>
              <w:jc w:val="center"/>
              <w:rPr>
                <w:szCs w:val="20"/>
                <w:lang w:eastAsia="en-GB"/>
              </w:rPr>
            </w:pPr>
            <w:r w:rsidRPr="00B57220">
              <w:rPr>
                <w:szCs w:val="20"/>
                <w:lang w:eastAsia="en-GB"/>
              </w:rPr>
              <w:t>10 (3.1%)</w:t>
            </w:r>
          </w:p>
        </w:tc>
        <w:tc>
          <w:tcPr>
            <w:tcW w:w="634"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186D9394" w14:textId="77777777" w:rsidR="00525351" w:rsidRPr="00B57220" w:rsidRDefault="00525351" w:rsidP="000F065D">
            <w:pPr>
              <w:pStyle w:val="TableText0"/>
              <w:keepLines/>
              <w:jc w:val="center"/>
              <w:rPr>
                <w:szCs w:val="20"/>
                <w:lang w:eastAsia="en-GB"/>
              </w:rPr>
            </w:pPr>
            <w:r w:rsidRPr="00B57220">
              <w:rPr>
                <w:szCs w:val="20"/>
                <w:lang w:eastAsia="en-GB"/>
              </w:rPr>
              <w:t>44 (7.0%)</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EC3556E" w14:textId="77777777" w:rsidR="00525351" w:rsidRPr="00B57220" w:rsidRDefault="00525351" w:rsidP="000F065D">
            <w:pPr>
              <w:pStyle w:val="TableText0"/>
              <w:keepLines/>
              <w:jc w:val="center"/>
              <w:rPr>
                <w:szCs w:val="20"/>
                <w:lang w:eastAsia="en-GB"/>
              </w:rPr>
            </w:pPr>
            <w:r w:rsidRPr="00B57220">
              <w:rPr>
                <w:szCs w:val="20"/>
                <w:lang w:eastAsia="en-GB"/>
              </w:rPr>
              <w:t>5 (3.2 %)</w:t>
            </w:r>
          </w:p>
        </w:tc>
        <w:tc>
          <w:tcPr>
            <w:tcW w:w="783" w:type="pct"/>
            <w:tcBorders>
              <w:top w:val="single" w:sz="18" w:space="0" w:color="auto"/>
              <w:left w:val="single" w:sz="4" w:space="0" w:color="auto"/>
              <w:bottom w:val="single" w:sz="4" w:space="0" w:color="auto"/>
              <w:right w:val="single" w:sz="4" w:space="0" w:color="auto"/>
            </w:tcBorders>
            <w:tcMar>
              <w:left w:w="28" w:type="dxa"/>
              <w:right w:w="28" w:type="dxa"/>
            </w:tcMar>
          </w:tcPr>
          <w:p w14:paraId="66B12D6F" w14:textId="77777777" w:rsidR="00525351" w:rsidRPr="00B57220" w:rsidRDefault="00525351" w:rsidP="000F065D">
            <w:pPr>
              <w:pStyle w:val="TableText0"/>
              <w:keepLines/>
              <w:jc w:val="center"/>
              <w:rPr>
                <w:szCs w:val="20"/>
                <w:lang w:eastAsia="en-GB"/>
              </w:rPr>
            </w:pPr>
            <w:r w:rsidRPr="00B57220">
              <w:rPr>
                <w:szCs w:val="20"/>
                <w:lang w:eastAsia="en-GB"/>
              </w:rPr>
              <w:t>6 (4.1%)</w:t>
            </w:r>
          </w:p>
        </w:tc>
        <w:tc>
          <w:tcPr>
            <w:tcW w:w="762"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628D850" w14:textId="77777777" w:rsidR="00525351" w:rsidRPr="00B57220" w:rsidRDefault="00525351" w:rsidP="000F065D">
            <w:pPr>
              <w:pStyle w:val="TableText0"/>
              <w:keepLines/>
              <w:jc w:val="center"/>
              <w:rPr>
                <w:szCs w:val="20"/>
                <w:lang w:eastAsia="en-GB"/>
              </w:rPr>
            </w:pPr>
            <w:r w:rsidRPr="00B57220">
              <w:rPr>
                <w:szCs w:val="20"/>
                <w:lang w:eastAsia="en-GB"/>
              </w:rPr>
              <w:t>4 (2.6%)</w:t>
            </w:r>
          </w:p>
        </w:tc>
      </w:tr>
      <w:tr w:rsidR="006F2ADF" w:rsidRPr="00B57220" w14:paraId="32FFB608" w14:textId="77777777" w:rsidTr="00B57220">
        <w:tc>
          <w:tcPr>
            <w:tcW w:w="701" w:type="pct"/>
            <w:tcBorders>
              <w:top w:val="single" w:sz="4" w:space="0" w:color="auto"/>
              <w:left w:val="single" w:sz="4" w:space="0" w:color="auto"/>
              <w:bottom w:val="single" w:sz="4" w:space="0" w:color="auto"/>
              <w:right w:val="single" w:sz="4" w:space="0" w:color="auto"/>
            </w:tcBorders>
            <w:tcMar>
              <w:left w:w="28" w:type="dxa"/>
              <w:right w:w="28" w:type="dxa"/>
            </w:tcMar>
          </w:tcPr>
          <w:p w14:paraId="75274C41" w14:textId="77777777" w:rsidR="00525351" w:rsidRPr="00B57220" w:rsidRDefault="00525351" w:rsidP="000F065D">
            <w:pPr>
              <w:pStyle w:val="TableText0"/>
              <w:keepLines/>
              <w:ind w:right="-57"/>
              <w:rPr>
                <w:szCs w:val="20"/>
                <w:lang w:eastAsia="en-GB"/>
              </w:rPr>
            </w:pPr>
            <w:r w:rsidRPr="00B57220">
              <w:rPr>
                <w:szCs w:val="20"/>
                <w:lang w:eastAsia="en-GB"/>
              </w:rPr>
              <w:t>RR (95% CI)</w:t>
            </w:r>
          </w:p>
        </w:tc>
        <w:tc>
          <w:tcPr>
            <w:tcW w:w="109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FA55DEF" w14:textId="77777777" w:rsidR="00525351" w:rsidRPr="00B57220" w:rsidRDefault="00525351" w:rsidP="000F065D">
            <w:pPr>
              <w:pStyle w:val="TableText0"/>
              <w:keepLines/>
              <w:jc w:val="center"/>
              <w:rPr>
                <w:szCs w:val="20"/>
                <w:lang w:eastAsia="en-GB"/>
              </w:rPr>
            </w:pPr>
            <w:r w:rsidRPr="00B57220">
              <w:rPr>
                <w:szCs w:val="20"/>
                <w:lang w:eastAsia="en-GB"/>
              </w:rPr>
              <w:t>0.50 (0.27, 0.92)</w:t>
            </w:r>
          </w:p>
        </w:tc>
        <w:tc>
          <w:tcPr>
            <w:tcW w:w="114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061191A3" w14:textId="77777777" w:rsidR="00525351" w:rsidRPr="00B57220" w:rsidRDefault="00525351" w:rsidP="000F065D">
            <w:pPr>
              <w:pStyle w:val="TableText0"/>
              <w:keepLines/>
              <w:jc w:val="center"/>
              <w:rPr>
                <w:szCs w:val="20"/>
                <w:lang w:eastAsia="en-GB"/>
              </w:rPr>
            </w:pPr>
            <w:r w:rsidRPr="00B57220">
              <w:rPr>
                <w:szCs w:val="20"/>
                <w:lang w:eastAsia="en-GB"/>
              </w:rPr>
              <w:t>2.23 (1.14, 4.38)</w:t>
            </w:r>
          </w:p>
        </w:tc>
        <w:tc>
          <w:tcPr>
            <w:tcW w:w="513" w:type="pct"/>
            <w:tcBorders>
              <w:top w:val="single" w:sz="4" w:space="0" w:color="auto"/>
              <w:left w:val="single" w:sz="4" w:space="0" w:color="auto"/>
              <w:bottom w:val="single" w:sz="4" w:space="0" w:color="auto"/>
              <w:right w:val="single" w:sz="4" w:space="0" w:color="auto"/>
            </w:tcBorders>
            <w:tcMar>
              <w:left w:w="28" w:type="dxa"/>
              <w:right w:w="28" w:type="dxa"/>
            </w:tcMar>
          </w:tcPr>
          <w:p w14:paraId="6B0CDEC6" w14:textId="77777777" w:rsidR="00525351" w:rsidRPr="00B57220" w:rsidRDefault="00525351" w:rsidP="000F065D">
            <w:pPr>
              <w:pStyle w:val="TableText0"/>
              <w:keepLines/>
              <w:jc w:val="center"/>
              <w:rPr>
                <w:szCs w:val="20"/>
                <w:lang w:eastAsia="en-GB"/>
              </w:rPr>
            </w:pPr>
            <w:r w:rsidRPr="00B57220">
              <w:rPr>
                <w:szCs w:val="20"/>
                <w:lang w:eastAsia="en-GB"/>
              </w:rPr>
              <w:t>-</w:t>
            </w:r>
          </w:p>
        </w:tc>
        <w:tc>
          <w:tcPr>
            <w:tcW w:w="783" w:type="pct"/>
            <w:tcBorders>
              <w:top w:val="single" w:sz="4" w:space="0" w:color="auto"/>
              <w:left w:val="single" w:sz="4" w:space="0" w:color="auto"/>
              <w:bottom w:val="single" w:sz="4" w:space="0" w:color="auto"/>
              <w:right w:val="single" w:sz="4" w:space="0" w:color="auto"/>
            </w:tcBorders>
            <w:tcMar>
              <w:left w:w="28" w:type="dxa"/>
              <w:right w:w="28" w:type="dxa"/>
            </w:tcMar>
          </w:tcPr>
          <w:p w14:paraId="67CB337C" w14:textId="77777777" w:rsidR="00525351" w:rsidRPr="00B57220" w:rsidRDefault="00525351" w:rsidP="000F065D">
            <w:pPr>
              <w:pStyle w:val="TableText0"/>
              <w:keepLines/>
              <w:jc w:val="center"/>
              <w:rPr>
                <w:szCs w:val="20"/>
                <w:lang w:eastAsia="en-GB"/>
              </w:rPr>
            </w:pPr>
            <w:r w:rsidRPr="00B57220">
              <w:rPr>
                <w:szCs w:val="20"/>
                <w:lang w:eastAsia="en-GB"/>
              </w:rPr>
              <w:t>1.28 (0.40, 4.11)</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tcPr>
          <w:p w14:paraId="79830910" w14:textId="77777777" w:rsidR="00525351" w:rsidRPr="00B57220" w:rsidRDefault="00525351" w:rsidP="000F065D">
            <w:pPr>
              <w:pStyle w:val="TableText0"/>
              <w:keepLines/>
              <w:ind w:left="-57" w:right="-57"/>
              <w:jc w:val="center"/>
              <w:rPr>
                <w:szCs w:val="20"/>
                <w:lang w:eastAsia="en-GB"/>
              </w:rPr>
            </w:pPr>
            <w:r w:rsidRPr="00B57220">
              <w:rPr>
                <w:szCs w:val="20"/>
                <w:lang w:eastAsia="en-GB"/>
              </w:rPr>
              <w:t>0.8</w:t>
            </w:r>
            <w:r w:rsidR="00860AFA" w:rsidRPr="00B57220">
              <w:rPr>
                <w:szCs w:val="20"/>
                <w:lang w:eastAsia="en-GB"/>
              </w:rPr>
              <w:t>1</w:t>
            </w:r>
            <w:r w:rsidRPr="00B57220">
              <w:rPr>
                <w:szCs w:val="20"/>
                <w:lang w:eastAsia="en-GB"/>
              </w:rPr>
              <w:t xml:space="preserve"> (0.2</w:t>
            </w:r>
            <w:r w:rsidR="00860AFA" w:rsidRPr="00B57220">
              <w:rPr>
                <w:szCs w:val="20"/>
                <w:lang w:eastAsia="en-GB"/>
              </w:rPr>
              <w:t>2</w:t>
            </w:r>
            <w:r w:rsidRPr="00B57220">
              <w:rPr>
                <w:szCs w:val="20"/>
                <w:lang w:eastAsia="en-GB"/>
              </w:rPr>
              <w:t xml:space="preserve">, </w:t>
            </w:r>
            <w:r w:rsidR="00860AFA" w:rsidRPr="00B57220">
              <w:rPr>
                <w:szCs w:val="20"/>
                <w:lang w:eastAsia="en-GB"/>
              </w:rPr>
              <w:t>2</w:t>
            </w:r>
            <w:r w:rsidRPr="00B57220">
              <w:rPr>
                <w:szCs w:val="20"/>
                <w:lang w:eastAsia="en-GB"/>
              </w:rPr>
              <w:t>.</w:t>
            </w:r>
            <w:r w:rsidR="00860AFA" w:rsidRPr="00B57220">
              <w:rPr>
                <w:szCs w:val="20"/>
                <w:lang w:eastAsia="en-GB"/>
              </w:rPr>
              <w:t>96</w:t>
            </w:r>
            <w:r w:rsidRPr="00B57220">
              <w:rPr>
                <w:szCs w:val="20"/>
                <w:lang w:eastAsia="en-GB"/>
              </w:rPr>
              <w:t>)</w:t>
            </w:r>
          </w:p>
        </w:tc>
      </w:tr>
      <w:tr w:rsidR="006F2ADF" w:rsidRPr="00B57220" w14:paraId="2A9B6B1D" w14:textId="77777777" w:rsidTr="00B57220">
        <w:tc>
          <w:tcPr>
            <w:tcW w:w="701"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16F71744" w14:textId="77777777" w:rsidR="00E56128" w:rsidRPr="00B57220" w:rsidRDefault="0082514D" w:rsidP="000F065D">
            <w:pPr>
              <w:pStyle w:val="TableText0"/>
              <w:keepLines/>
              <w:ind w:right="-57"/>
              <w:rPr>
                <w:szCs w:val="20"/>
                <w:lang w:eastAsia="en-GB"/>
              </w:rPr>
            </w:pPr>
            <w:r w:rsidRPr="00B57220">
              <w:rPr>
                <w:szCs w:val="20"/>
                <w:lang w:eastAsia="en-GB"/>
              </w:rPr>
              <w:t>Patients with any TEAE leading to death</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204454AF" w14:textId="77777777" w:rsidR="00E56128" w:rsidRPr="00B57220" w:rsidRDefault="00E56128" w:rsidP="000F065D">
            <w:pPr>
              <w:pStyle w:val="TableText0"/>
              <w:keepLines/>
              <w:jc w:val="center"/>
              <w:rPr>
                <w:szCs w:val="20"/>
                <w:lang w:eastAsia="en-GB"/>
              </w:rPr>
            </w:pPr>
            <w:r w:rsidRPr="00B57220">
              <w:rPr>
                <w:szCs w:val="20"/>
                <w:lang w:eastAsia="en-GB"/>
              </w:rPr>
              <w:t>3 (1%)</w:t>
            </w:r>
          </w:p>
        </w:tc>
        <w:tc>
          <w:tcPr>
            <w:tcW w:w="547"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78719443" w14:textId="77777777" w:rsidR="00E56128" w:rsidRPr="00B57220" w:rsidRDefault="00E56128" w:rsidP="000F065D">
            <w:pPr>
              <w:pStyle w:val="TableText0"/>
              <w:keepLines/>
              <w:jc w:val="center"/>
              <w:rPr>
                <w:szCs w:val="20"/>
                <w:lang w:eastAsia="en-GB"/>
              </w:rPr>
            </w:pPr>
            <w:r w:rsidRPr="00B57220">
              <w:rPr>
                <w:szCs w:val="20"/>
                <w:lang w:eastAsia="en-GB"/>
              </w:rPr>
              <w:t>1 (0.2%)</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851D49D" w14:textId="77777777" w:rsidR="00E56128" w:rsidRPr="00B57220" w:rsidRDefault="00E56128" w:rsidP="000F065D">
            <w:pPr>
              <w:pStyle w:val="TableText0"/>
              <w:keepLines/>
              <w:jc w:val="center"/>
              <w:rPr>
                <w:szCs w:val="20"/>
                <w:lang w:eastAsia="en-GB"/>
              </w:rPr>
            </w:pPr>
            <w:r w:rsidRPr="00B57220">
              <w:rPr>
                <w:szCs w:val="20"/>
                <w:lang w:eastAsia="en-GB"/>
              </w:rPr>
              <w:t>0</w:t>
            </w:r>
          </w:p>
        </w:tc>
        <w:tc>
          <w:tcPr>
            <w:tcW w:w="634"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65651B2" w14:textId="77777777" w:rsidR="00E56128" w:rsidRPr="00B57220" w:rsidRDefault="00E56128" w:rsidP="000F065D">
            <w:pPr>
              <w:pStyle w:val="TableText0"/>
              <w:keepLines/>
              <w:jc w:val="center"/>
              <w:rPr>
                <w:szCs w:val="20"/>
                <w:lang w:eastAsia="en-GB"/>
              </w:rPr>
            </w:pPr>
            <w:r w:rsidRPr="00B57220">
              <w:rPr>
                <w:szCs w:val="20"/>
                <w:lang w:eastAsia="en-GB"/>
              </w:rPr>
              <w:t>4 (0.6%)</w:t>
            </w:r>
          </w:p>
        </w:tc>
        <w:tc>
          <w:tcPr>
            <w:tcW w:w="513"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2888D828" w14:textId="77777777" w:rsidR="00E56128" w:rsidRPr="00B57220" w:rsidRDefault="00E56128" w:rsidP="000F065D">
            <w:pPr>
              <w:pStyle w:val="TableText0"/>
              <w:keepLines/>
              <w:jc w:val="center"/>
              <w:rPr>
                <w:szCs w:val="20"/>
                <w:lang w:eastAsia="en-GB"/>
              </w:rPr>
            </w:pPr>
            <w:r w:rsidRPr="00B57220">
              <w:rPr>
                <w:szCs w:val="20"/>
                <w:lang w:eastAsia="en-GB"/>
              </w:rPr>
              <w:t>0</w:t>
            </w:r>
          </w:p>
        </w:tc>
        <w:tc>
          <w:tcPr>
            <w:tcW w:w="783" w:type="pct"/>
            <w:tcBorders>
              <w:top w:val="single" w:sz="18" w:space="0" w:color="auto"/>
              <w:left w:val="single" w:sz="4" w:space="0" w:color="auto"/>
              <w:bottom w:val="single" w:sz="4" w:space="0" w:color="auto"/>
              <w:right w:val="single" w:sz="4" w:space="0" w:color="auto"/>
            </w:tcBorders>
            <w:tcMar>
              <w:left w:w="28" w:type="dxa"/>
              <w:right w:w="28" w:type="dxa"/>
            </w:tcMar>
          </w:tcPr>
          <w:p w14:paraId="24D93CBE" w14:textId="77777777" w:rsidR="00E56128" w:rsidRPr="00B57220" w:rsidRDefault="00E56128" w:rsidP="000F065D">
            <w:pPr>
              <w:pStyle w:val="TableText0"/>
              <w:keepLines/>
              <w:jc w:val="center"/>
              <w:rPr>
                <w:szCs w:val="20"/>
                <w:lang w:eastAsia="en-GB"/>
              </w:rPr>
            </w:pPr>
            <w:r w:rsidRPr="00B57220">
              <w:rPr>
                <w:szCs w:val="20"/>
                <w:lang w:eastAsia="en-GB"/>
              </w:rPr>
              <w:t>0</w:t>
            </w:r>
          </w:p>
        </w:tc>
        <w:tc>
          <w:tcPr>
            <w:tcW w:w="762" w:type="pct"/>
            <w:tcBorders>
              <w:top w:val="single" w:sz="18" w:space="0" w:color="auto"/>
              <w:left w:val="single" w:sz="4" w:space="0" w:color="auto"/>
              <w:bottom w:val="single" w:sz="4" w:space="0" w:color="auto"/>
              <w:right w:val="single" w:sz="4" w:space="0" w:color="auto"/>
            </w:tcBorders>
            <w:tcMar>
              <w:left w:w="28" w:type="dxa"/>
              <w:right w:w="28" w:type="dxa"/>
            </w:tcMar>
            <w:hideMark/>
          </w:tcPr>
          <w:p w14:paraId="3CFC0011" w14:textId="77777777" w:rsidR="00E56128" w:rsidRPr="00B57220" w:rsidRDefault="00E56128" w:rsidP="000F065D">
            <w:pPr>
              <w:pStyle w:val="TableText0"/>
              <w:keepLines/>
              <w:jc w:val="center"/>
              <w:rPr>
                <w:szCs w:val="20"/>
                <w:lang w:eastAsia="en-GB"/>
              </w:rPr>
            </w:pPr>
            <w:r w:rsidRPr="00B57220">
              <w:rPr>
                <w:szCs w:val="20"/>
                <w:lang w:eastAsia="en-GB"/>
              </w:rPr>
              <w:t>0</w:t>
            </w:r>
          </w:p>
        </w:tc>
      </w:tr>
      <w:tr w:rsidR="006F2ADF" w:rsidRPr="00B57220" w14:paraId="6354B681" w14:textId="77777777" w:rsidTr="00B57220">
        <w:tc>
          <w:tcPr>
            <w:tcW w:w="701" w:type="pct"/>
            <w:tcBorders>
              <w:top w:val="single" w:sz="4" w:space="0" w:color="auto"/>
              <w:left w:val="single" w:sz="4" w:space="0" w:color="auto"/>
              <w:bottom w:val="single" w:sz="4" w:space="0" w:color="auto"/>
              <w:right w:val="single" w:sz="4" w:space="0" w:color="auto"/>
            </w:tcBorders>
            <w:tcMar>
              <w:left w:w="28" w:type="dxa"/>
              <w:right w:w="28" w:type="dxa"/>
            </w:tcMar>
          </w:tcPr>
          <w:p w14:paraId="2768F055" w14:textId="77777777" w:rsidR="00E56128" w:rsidRPr="00B57220" w:rsidRDefault="00E56128" w:rsidP="000F065D">
            <w:pPr>
              <w:pStyle w:val="TableText0"/>
              <w:keepLines/>
              <w:ind w:right="-57"/>
              <w:rPr>
                <w:szCs w:val="20"/>
                <w:lang w:eastAsia="en-GB"/>
              </w:rPr>
            </w:pPr>
            <w:r w:rsidRPr="00B57220">
              <w:rPr>
                <w:szCs w:val="20"/>
                <w:lang w:eastAsia="en-GB"/>
              </w:rPr>
              <w:t>RR (95% CI)</w:t>
            </w:r>
          </w:p>
        </w:tc>
        <w:tc>
          <w:tcPr>
            <w:tcW w:w="1094"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7FD8BA93" w14:textId="77777777" w:rsidR="00E56128" w:rsidRPr="00B57220" w:rsidRDefault="00E56128" w:rsidP="000F065D">
            <w:pPr>
              <w:pStyle w:val="TableText0"/>
              <w:keepLines/>
              <w:jc w:val="center"/>
              <w:rPr>
                <w:szCs w:val="20"/>
                <w:lang w:eastAsia="en-GB"/>
              </w:rPr>
            </w:pPr>
            <w:r w:rsidRPr="00B57220">
              <w:rPr>
                <w:szCs w:val="20"/>
                <w:lang w:eastAsia="en-GB"/>
              </w:rPr>
              <w:t>0.17 (0.02, 1.58)</w:t>
            </w:r>
          </w:p>
        </w:tc>
        <w:tc>
          <w:tcPr>
            <w:tcW w:w="1147" w:type="pct"/>
            <w:gridSpan w:val="2"/>
            <w:tcBorders>
              <w:top w:val="single" w:sz="4" w:space="0" w:color="auto"/>
              <w:left w:val="single" w:sz="4" w:space="0" w:color="auto"/>
              <w:bottom w:val="single" w:sz="4" w:space="0" w:color="auto"/>
              <w:right w:val="single" w:sz="4" w:space="0" w:color="auto"/>
            </w:tcBorders>
            <w:tcMar>
              <w:left w:w="28" w:type="dxa"/>
              <w:right w:w="28" w:type="dxa"/>
            </w:tcMar>
          </w:tcPr>
          <w:p w14:paraId="387AA778" w14:textId="77777777" w:rsidR="00E56128" w:rsidRPr="00B57220" w:rsidRDefault="00E56128" w:rsidP="000F065D">
            <w:pPr>
              <w:pStyle w:val="TableText0"/>
              <w:keepLines/>
              <w:jc w:val="center"/>
              <w:rPr>
                <w:szCs w:val="20"/>
                <w:lang w:eastAsia="en-GB"/>
              </w:rPr>
            </w:pPr>
            <w:r w:rsidRPr="00B57220">
              <w:rPr>
                <w:szCs w:val="20"/>
                <w:lang w:eastAsia="en-GB"/>
              </w:rPr>
              <w:t>4.06 (0.22, 76.62)</w:t>
            </w:r>
          </w:p>
        </w:tc>
        <w:tc>
          <w:tcPr>
            <w:tcW w:w="513" w:type="pct"/>
            <w:tcBorders>
              <w:top w:val="single" w:sz="4" w:space="0" w:color="auto"/>
              <w:left w:val="single" w:sz="4" w:space="0" w:color="auto"/>
              <w:bottom w:val="single" w:sz="4" w:space="0" w:color="auto"/>
              <w:right w:val="single" w:sz="4" w:space="0" w:color="auto"/>
            </w:tcBorders>
            <w:tcMar>
              <w:left w:w="28" w:type="dxa"/>
              <w:right w:w="28" w:type="dxa"/>
            </w:tcMar>
          </w:tcPr>
          <w:p w14:paraId="5477690E" w14:textId="77777777" w:rsidR="00E56128" w:rsidRPr="00B57220" w:rsidRDefault="00E56128" w:rsidP="000F065D">
            <w:pPr>
              <w:pStyle w:val="TableText0"/>
              <w:keepLines/>
              <w:jc w:val="center"/>
              <w:rPr>
                <w:szCs w:val="20"/>
                <w:lang w:eastAsia="en-GB"/>
              </w:rPr>
            </w:pPr>
            <w:r w:rsidRPr="00B57220">
              <w:rPr>
                <w:szCs w:val="20"/>
                <w:lang w:eastAsia="en-GB"/>
              </w:rPr>
              <w:t>-</w:t>
            </w:r>
          </w:p>
        </w:tc>
        <w:tc>
          <w:tcPr>
            <w:tcW w:w="783" w:type="pct"/>
            <w:tcBorders>
              <w:top w:val="single" w:sz="4" w:space="0" w:color="auto"/>
              <w:left w:val="single" w:sz="4" w:space="0" w:color="auto"/>
              <w:bottom w:val="single" w:sz="4" w:space="0" w:color="auto"/>
              <w:right w:val="single" w:sz="4" w:space="0" w:color="auto"/>
            </w:tcBorders>
            <w:tcMar>
              <w:left w:w="28" w:type="dxa"/>
              <w:right w:w="28" w:type="dxa"/>
            </w:tcMar>
          </w:tcPr>
          <w:p w14:paraId="04061C5A" w14:textId="77777777" w:rsidR="00E56128" w:rsidRPr="00B57220" w:rsidRDefault="00E56128" w:rsidP="000F065D">
            <w:pPr>
              <w:pStyle w:val="TableText0"/>
              <w:keepLines/>
              <w:jc w:val="center"/>
              <w:rPr>
                <w:szCs w:val="20"/>
                <w:lang w:eastAsia="en-GB"/>
              </w:rPr>
            </w:pPr>
            <w:r w:rsidRPr="00B57220">
              <w:rPr>
                <w:szCs w:val="20"/>
                <w:lang w:eastAsia="en-GB"/>
              </w:rPr>
              <w:t>-</w:t>
            </w:r>
          </w:p>
        </w:tc>
        <w:tc>
          <w:tcPr>
            <w:tcW w:w="762" w:type="pct"/>
            <w:tcBorders>
              <w:top w:val="single" w:sz="4" w:space="0" w:color="auto"/>
              <w:left w:val="single" w:sz="4" w:space="0" w:color="auto"/>
              <w:bottom w:val="single" w:sz="4" w:space="0" w:color="auto"/>
              <w:right w:val="single" w:sz="4" w:space="0" w:color="auto"/>
            </w:tcBorders>
            <w:tcMar>
              <w:left w:w="28" w:type="dxa"/>
              <w:right w:w="28" w:type="dxa"/>
            </w:tcMar>
          </w:tcPr>
          <w:p w14:paraId="797A4923" w14:textId="77777777" w:rsidR="00E56128" w:rsidRPr="00B57220" w:rsidRDefault="00E56128" w:rsidP="000F065D">
            <w:pPr>
              <w:pStyle w:val="TableText0"/>
              <w:keepLines/>
              <w:jc w:val="center"/>
              <w:rPr>
                <w:szCs w:val="20"/>
                <w:lang w:eastAsia="en-GB"/>
              </w:rPr>
            </w:pPr>
            <w:r w:rsidRPr="00B57220">
              <w:rPr>
                <w:szCs w:val="20"/>
                <w:lang w:eastAsia="en-GB"/>
              </w:rPr>
              <w:t>-</w:t>
            </w:r>
          </w:p>
        </w:tc>
      </w:tr>
    </w:tbl>
    <w:p w14:paraId="43EA5731" w14:textId="77777777" w:rsidR="00B247AB" w:rsidRPr="00193BC1" w:rsidRDefault="00B247AB" w:rsidP="000F065D">
      <w:pPr>
        <w:pStyle w:val="TableFigureFooter"/>
        <w:keepNext/>
        <w:keepLines/>
        <w:jc w:val="left"/>
      </w:pPr>
      <w:r w:rsidRPr="00193BC1">
        <w:t xml:space="preserve">Source: </w:t>
      </w:r>
      <w:r w:rsidR="00BD5515" w:rsidRPr="00193BC1">
        <w:t xml:space="preserve">Data extracted from </w:t>
      </w:r>
      <w:r w:rsidRPr="00193BC1">
        <w:t>Table 2.75</w:t>
      </w:r>
      <w:r w:rsidR="0038454D" w:rsidRPr="00193BC1">
        <w:t xml:space="preserve"> </w:t>
      </w:r>
      <w:r w:rsidRPr="00193BC1">
        <w:t>of the submission.</w:t>
      </w:r>
      <w:r w:rsidR="00F13ABB" w:rsidRPr="00193BC1">
        <w:t xml:space="preserve"> Risk ratios calculated during the evaluation.</w:t>
      </w:r>
      <w:r w:rsidRPr="00193BC1">
        <w:br/>
      </w:r>
      <w:r w:rsidR="00C65571" w:rsidRPr="00193BC1">
        <w:t>CI = c</w:t>
      </w:r>
      <w:r w:rsidR="00F13ABB" w:rsidRPr="00193BC1">
        <w:t xml:space="preserve">onfidence interval; </w:t>
      </w:r>
      <w:r w:rsidR="001C5351" w:rsidRPr="00193BC1">
        <w:t xml:space="preserve">OCS = oral corticosteroids; </w:t>
      </w:r>
      <w:r w:rsidR="00F13ABB" w:rsidRPr="00193BC1">
        <w:t xml:space="preserve">RR = </w:t>
      </w:r>
      <w:r w:rsidR="00C65571" w:rsidRPr="00193BC1">
        <w:t>r</w:t>
      </w:r>
      <w:r w:rsidR="00F13ABB" w:rsidRPr="00193BC1">
        <w:t xml:space="preserve">isk ratio; </w:t>
      </w:r>
      <w:r w:rsidR="00C65571" w:rsidRPr="00193BC1">
        <w:t>TEAE = t</w:t>
      </w:r>
      <w:r w:rsidRPr="00193BC1">
        <w:t>reatment-emergent adverse event;</w:t>
      </w:r>
      <w:r w:rsidR="00F13ABB" w:rsidRPr="00193BC1">
        <w:t xml:space="preserve"> </w:t>
      </w:r>
      <w:r w:rsidR="00C65571" w:rsidRPr="00193BC1">
        <w:t>SAE = s</w:t>
      </w:r>
      <w:r w:rsidRPr="00193BC1">
        <w:t>erious adverse even</w:t>
      </w:r>
      <w:r w:rsidR="00903EFF" w:rsidRPr="00193BC1">
        <w:t>t</w:t>
      </w:r>
    </w:p>
    <w:p w14:paraId="101FD4F6" w14:textId="77777777" w:rsidR="00B247AB" w:rsidRPr="00193BC1" w:rsidRDefault="00B247AB" w:rsidP="000F065D">
      <w:pPr>
        <w:pStyle w:val="TableFigureFooter"/>
        <w:keepNext/>
        <w:keepLines/>
      </w:pPr>
      <w:r w:rsidRPr="00193BC1">
        <w:t>Note: n (%) = number and percentage of patients with at least one TEAE</w:t>
      </w:r>
    </w:p>
    <w:p w14:paraId="303992E5" w14:textId="77777777" w:rsidR="00B247AB" w:rsidRPr="00193BC1" w:rsidRDefault="002F6D1B" w:rsidP="00E9172C">
      <w:pPr>
        <w:pStyle w:val="TableFigureHeading"/>
        <w:rPr>
          <w:rStyle w:val="CommentReference"/>
          <w:b/>
        </w:rPr>
      </w:pPr>
      <w:bookmarkStart w:id="25" w:name="_Ref49792495"/>
      <w:r w:rsidRPr="00193BC1">
        <w:t xml:space="preserve">Table </w:t>
      </w:r>
      <w:bookmarkEnd w:id="25"/>
      <w:r w:rsidR="008F7132" w:rsidRPr="00193BC1">
        <w:t>11</w:t>
      </w:r>
      <w:r w:rsidR="00B247AB" w:rsidRPr="00193BC1">
        <w:rPr>
          <w:rStyle w:val="CommentReference"/>
          <w:b/>
        </w:rPr>
        <w:t xml:space="preserve">: Overview of adverse event profile of Dupilumab in OCS-dependent patients; Treatment-emergent adverse events </w:t>
      </w:r>
      <w:r w:rsidR="00343174" w:rsidRPr="00193BC1">
        <w:rPr>
          <w:rStyle w:val="CommentReference"/>
          <w:b/>
        </w:rPr>
        <w:t xml:space="preserve">and deaths (any cause) </w:t>
      </w:r>
      <w:r w:rsidR="00B247AB" w:rsidRPr="00193BC1">
        <w:rPr>
          <w:rStyle w:val="CommentReference"/>
          <w:b/>
        </w:rPr>
        <w:t>- safety population</w:t>
      </w:r>
    </w:p>
    <w:tbl>
      <w:tblPr>
        <w:tblStyle w:val="TableGrid"/>
        <w:tblW w:w="5000" w:type="pct"/>
        <w:tblLook w:val="04A0" w:firstRow="1" w:lastRow="0" w:firstColumn="1" w:lastColumn="0" w:noHBand="0" w:noVBand="1"/>
        <w:tblCaption w:val="Table 10: Overview of adverse event profile of Dupilumab in OCS-dependent patients; Treatment-emergent adverse events and deaths (any cause) - safety population"/>
        <w:tblDescription w:val="Table 10: Overview of adverse event profile of Dupilumab in OCS-dependent patients; Treatment-emergent adverse events and deaths (any cause) - safety population"/>
      </w:tblPr>
      <w:tblGrid>
        <w:gridCol w:w="3683"/>
        <w:gridCol w:w="1558"/>
        <w:gridCol w:w="2126"/>
        <w:gridCol w:w="1650"/>
      </w:tblGrid>
      <w:tr w:rsidR="000D6C18" w:rsidRPr="00193BC1" w14:paraId="44E3DB73" w14:textId="77777777" w:rsidTr="00B57220">
        <w:trPr>
          <w:tblHeader/>
        </w:trPr>
        <w:tc>
          <w:tcPr>
            <w:tcW w:w="2042" w:type="pct"/>
            <w:vMerge w:val="restart"/>
            <w:tcBorders>
              <w:top w:val="single" w:sz="4" w:space="0" w:color="auto"/>
              <w:left w:val="single" w:sz="4" w:space="0" w:color="auto"/>
              <w:bottom w:val="single" w:sz="4" w:space="0" w:color="auto"/>
              <w:right w:val="single" w:sz="4" w:space="0" w:color="auto"/>
            </w:tcBorders>
            <w:hideMark/>
          </w:tcPr>
          <w:p w14:paraId="2BC53781" w14:textId="77777777" w:rsidR="000D6C18" w:rsidRPr="00193BC1" w:rsidRDefault="000D6C18" w:rsidP="00E9172C">
            <w:pPr>
              <w:pStyle w:val="TableText0"/>
              <w:rPr>
                <w:rFonts w:asciiTheme="minorHAnsi" w:hAnsiTheme="minorHAnsi" w:cstheme="minorHAnsi"/>
                <w:b/>
                <w:sz w:val="18"/>
                <w:szCs w:val="18"/>
                <w:lang w:eastAsia="en-GB"/>
              </w:rPr>
            </w:pPr>
            <w:r w:rsidRPr="00193BC1">
              <w:rPr>
                <w:b/>
                <w:bCs w:val="0"/>
                <w:lang w:eastAsia="en-GB"/>
              </w:rPr>
              <w:t>n (%)</w:t>
            </w:r>
          </w:p>
        </w:tc>
        <w:tc>
          <w:tcPr>
            <w:tcW w:w="2043" w:type="pct"/>
            <w:gridSpan w:val="2"/>
            <w:tcBorders>
              <w:top w:val="single" w:sz="4" w:space="0" w:color="auto"/>
              <w:left w:val="single" w:sz="4" w:space="0" w:color="auto"/>
              <w:bottom w:val="single" w:sz="4" w:space="0" w:color="auto"/>
              <w:right w:val="single" w:sz="4" w:space="0" w:color="auto"/>
            </w:tcBorders>
            <w:hideMark/>
          </w:tcPr>
          <w:p w14:paraId="47EF214F" w14:textId="77777777" w:rsidR="000D6C18" w:rsidRPr="00193BC1" w:rsidRDefault="000D6C18" w:rsidP="00E9172C">
            <w:pPr>
              <w:pStyle w:val="TableText0"/>
              <w:jc w:val="center"/>
              <w:rPr>
                <w:b/>
                <w:bCs w:val="0"/>
                <w:lang w:eastAsia="en-GB"/>
              </w:rPr>
            </w:pPr>
            <w:r w:rsidRPr="00193BC1">
              <w:rPr>
                <w:b/>
                <w:bCs w:val="0"/>
                <w:lang w:eastAsia="en-GB"/>
              </w:rPr>
              <w:t>VENTURE</w:t>
            </w:r>
          </w:p>
        </w:tc>
        <w:tc>
          <w:tcPr>
            <w:tcW w:w="915" w:type="pct"/>
            <w:vMerge w:val="restart"/>
            <w:tcBorders>
              <w:top w:val="single" w:sz="4" w:space="0" w:color="auto"/>
              <w:left w:val="single" w:sz="4" w:space="0" w:color="auto"/>
              <w:right w:val="single" w:sz="4" w:space="0" w:color="auto"/>
            </w:tcBorders>
          </w:tcPr>
          <w:p w14:paraId="3BDDBE8C" w14:textId="77777777" w:rsidR="000D6C18" w:rsidRPr="00193BC1" w:rsidRDefault="000D6C18" w:rsidP="00E9172C">
            <w:pPr>
              <w:pStyle w:val="TableText0"/>
              <w:jc w:val="center"/>
              <w:rPr>
                <w:b/>
                <w:bCs w:val="0"/>
                <w:lang w:eastAsia="en-GB"/>
              </w:rPr>
            </w:pPr>
            <w:r w:rsidRPr="00193BC1">
              <w:rPr>
                <w:b/>
                <w:bCs w:val="0"/>
                <w:lang w:eastAsia="en-GB"/>
              </w:rPr>
              <w:t>RR (95% CI)</w:t>
            </w:r>
          </w:p>
        </w:tc>
      </w:tr>
      <w:tr w:rsidR="000D6C18" w:rsidRPr="00193BC1" w14:paraId="53D7E7D3" w14:textId="77777777" w:rsidTr="00B57220">
        <w:trPr>
          <w:tblHeader/>
        </w:trPr>
        <w:tc>
          <w:tcPr>
            <w:tcW w:w="2042" w:type="pct"/>
            <w:vMerge/>
            <w:tcBorders>
              <w:top w:val="single" w:sz="4" w:space="0" w:color="auto"/>
              <w:left w:val="single" w:sz="4" w:space="0" w:color="auto"/>
              <w:bottom w:val="single" w:sz="4" w:space="0" w:color="auto"/>
              <w:right w:val="single" w:sz="4" w:space="0" w:color="auto"/>
            </w:tcBorders>
            <w:vAlign w:val="center"/>
            <w:hideMark/>
          </w:tcPr>
          <w:p w14:paraId="74669567" w14:textId="77777777" w:rsidR="000D6C18" w:rsidRPr="00193BC1" w:rsidRDefault="000D6C18" w:rsidP="00E9172C">
            <w:pPr>
              <w:keepNext/>
              <w:rPr>
                <w:rFonts w:cstheme="minorHAnsi"/>
                <w:b/>
                <w:bCs/>
                <w:sz w:val="18"/>
                <w:szCs w:val="18"/>
                <w:lang w:eastAsia="en-GB"/>
              </w:rPr>
            </w:pPr>
          </w:p>
        </w:tc>
        <w:tc>
          <w:tcPr>
            <w:tcW w:w="864" w:type="pct"/>
            <w:tcBorders>
              <w:top w:val="single" w:sz="4" w:space="0" w:color="auto"/>
              <w:left w:val="single" w:sz="4" w:space="0" w:color="auto"/>
              <w:bottom w:val="single" w:sz="4" w:space="0" w:color="auto"/>
              <w:right w:val="single" w:sz="4" w:space="0" w:color="auto"/>
            </w:tcBorders>
            <w:hideMark/>
          </w:tcPr>
          <w:p w14:paraId="1E7E8D53" w14:textId="77777777" w:rsidR="000D6C18" w:rsidRPr="00193BC1" w:rsidRDefault="000D6C18" w:rsidP="00E9172C">
            <w:pPr>
              <w:pStyle w:val="TableText0"/>
              <w:jc w:val="center"/>
              <w:rPr>
                <w:b/>
                <w:bCs w:val="0"/>
                <w:lang w:eastAsia="en-GB"/>
              </w:rPr>
            </w:pPr>
            <w:r w:rsidRPr="00193BC1">
              <w:rPr>
                <w:b/>
                <w:bCs w:val="0"/>
                <w:lang w:eastAsia="en-GB"/>
              </w:rPr>
              <w:t xml:space="preserve">Placebo </w:t>
            </w:r>
            <w:r w:rsidRPr="00193BC1">
              <w:rPr>
                <w:b/>
                <w:bCs w:val="0"/>
                <w:lang w:eastAsia="en-GB"/>
              </w:rPr>
              <w:br/>
              <w:t>N=107</w:t>
            </w:r>
          </w:p>
        </w:tc>
        <w:tc>
          <w:tcPr>
            <w:tcW w:w="1179" w:type="pct"/>
            <w:tcBorders>
              <w:top w:val="single" w:sz="4" w:space="0" w:color="auto"/>
              <w:left w:val="single" w:sz="4" w:space="0" w:color="auto"/>
              <w:bottom w:val="single" w:sz="4" w:space="0" w:color="auto"/>
              <w:right w:val="single" w:sz="4" w:space="0" w:color="auto"/>
            </w:tcBorders>
            <w:hideMark/>
          </w:tcPr>
          <w:p w14:paraId="78007B32" w14:textId="77777777" w:rsidR="000D6C18" w:rsidRPr="00193BC1" w:rsidRDefault="000D6C18" w:rsidP="00E9172C">
            <w:pPr>
              <w:pStyle w:val="TableText0"/>
              <w:jc w:val="center"/>
              <w:rPr>
                <w:b/>
                <w:bCs w:val="0"/>
                <w:lang w:eastAsia="en-GB"/>
              </w:rPr>
            </w:pPr>
            <w:r w:rsidRPr="00193BC1">
              <w:rPr>
                <w:b/>
                <w:bCs w:val="0"/>
                <w:lang w:eastAsia="en-GB"/>
              </w:rPr>
              <w:t>Dupilumab 300mg Q2W N=103</w:t>
            </w:r>
          </w:p>
        </w:tc>
        <w:tc>
          <w:tcPr>
            <w:tcW w:w="915" w:type="pct"/>
            <w:vMerge/>
            <w:tcBorders>
              <w:left w:val="single" w:sz="4" w:space="0" w:color="auto"/>
              <w:bottom w:val="single" w:sz="4" w:space="0" w:color="auto"/>
              <w:right w:val="single" w:sz="4" w:space="0" w:color="auto"/>
            </w:tcBorders>
          </w:tcPr>
          <w:p w14:paraId="45832965" w14:textId="77777777" w:rsidR="000D6C18" w:rsidRPr="00193BC1" w:rsidRDefault="000D6C18" w:rsidP="00E9172C">
            <w:pPr>
              <w:pStyle w:val="TableText0"/>
              <w:jc w:val="center"/>
              <w:rPr>
                <w:b/>
                <w:bCs w:val="0"/>
                <w:lang w:eastAsia="en-GB"/>
              </w:rPr>
            </w:pPr>
          </w:p>
        </w:tc>
      </w:tr>
      <w:tr w:rsidR="006F2ADF" w:rsidRPr="00193BC1" w14:paraId="19D59421" w14:textId="77777777" w:rsidTr="00B57220">
        <w:tc>
          <w:tcPr>
            <w:tcW w:w="2042" w:type="pct"/>
            <w:tcBorders>
              <w:top w:val="single" w:sz="4" w:space="0" w:color="auto"/>
              <w:left w:val="single" w:sz="4" w:space="0" w:color="auto"/>
              <w:bottom w:val="single" w:sz="4" w:space="0" w:color="auto"/>
              <w:right w:val="single" w:sz="4" w:space="0" w:color="auto"/>
            </w:tcBorders>
            <w:hideMark/>
          </w:tcPr>
          <w:p w14:paraId="1CE56538" w14:textId="77777777" w:rsidR="00FD1B60" w:rsidRPr="00193BC1" w:rsidRDefault="00FD1B60" w:rsidP="00E9172C">
            <w:pPr>
              <w:pStyle w:val="TableText0"/>
              <w:rPr>
                <w:bCs w:val="0"/>
                <w:lang w:eastAsia="en-GB"/>
              </w:rPr>
            </w:pPr>
            <w:r w:rsidRPr="00193BC1">
              <w:rPr>
                <w:lang w:eastAsia="en-GB"/>
              </w:rPr>
              <w:t>Patients with any TEAE</w:t>
            </w:r>
          </w:p>
        </w:tc>
        <w:tc>
          <w:tcPr>
            <w:tcW w:w="864" w:type="pct"/>
            <w:tcBorders>
              <w:top w:val="single" w:sz="4" w:space="0" w:color="auto"/>
              <w:left w:val="single" w:sz="4" w:space="0" w:color="auto"/>
              <w:bottom w:val="single" w:sz="4" w:space="0" w:color="auto"/>
              <w:right w:val="single" w:sz="4" w:space="0" w:color="auto"/>
            </w:tcBorders>
            <w:hideMark/>
          </w:tcPr>
          <w:p w14:paraId="2768C779" w14:textId="77777777" w:rsidR="00FD1B60" w:rsidRPr="00193BC1" w:rsidRDefault="00FD1B60" w:rsidP="00E9172C">
            <w:pPr>
              <w:pStyle w:val="TableText0"/>
              <w:jc w:val="center"/>
              <w:rPr>
                <w:lang w:eastAsia="en-GB"/>
              </w:rPr>
            </w:pPr>
            <w:r w:rsidRPr="00193BC1">
              <w:rPr>
                <w:lang w:eastAsia="en-GB"/>
              </w:rPr>
              <w:t>69 (64.5 %)</w:t>
            </w:r>
          </w:p>
        </w:tc>
        <w:tc>
          <w:tcPr>
            <w:tcW w:w="1179" w:type="pct"/>
            <w:tcBorders>
              <w:top w:val="single" w:sz="4" w:space="0" w:color="auto"/>
              <w:left w:val="single" w:sz="4" w:space="0" w:color="auto"/>
              <w:bottom w:val="single" w:sz="4" w:space="0" w:color="auto"/>
              <w:right w:val="single" w:sz="4" w:space="0" w:color="auto"/>
            </w:tcBorders>
            <w:hideMark/>
          </w:tcPr>
          <w:p w14:paraId="79B93449" w14:textId="77777777" w:rsidR="00FD1B60" w:rsidRPr="00193BC1" w:rsidRDefault="00FD1B60" w:rsidP="00E9172C">
            <w:pPr>
              <w:pStyle w:val="TableText0"/>
              <w:jc w:val="center"/>
              <w:rPr>
                <w:lang w:eastAsia="en-GB"/>
              </w:rPr>
            </w:pPr>
            <w:r w:rsidRPr="00193BC1">
              <w:rPr>
                <w:lang w:eastAsia="en-GB"/>
              </w:rPr>
              <w:t>64 (62.1%)</w:t>
            </w:r>
          </w:p>
        </w:tc>
        <w:tc>
          <w:tcPr>
            <w:tcW w:w="915" w:type="pct"/>
            <w:tcBorders>
              <w:top w:val="single" w:sz="4" w:space="0" w:color="auto"/>
              <w:left w:val="single" w:sz="4" w:space="0" w:color="auto"/>
              <w:bottom w:val="single" w:sz="4" w:space="0" w:color="auto"/>
              <w:right w:val="single" w:sz="4" w:space="0" w:color="auto"/>
            </w:tcBorders>
          </w:tcPr>
          <w:p w14:paraId="5117D1B9" w14:textId="77777777" w:rsidR="00FD1B60" w:rsidRPr="00193BC1" w:rsidRDefault="00FD1B60" w:rsidP="00E9172C">
            <w:pPr>
              <w:pStyle w:val="TableText0"/>
              <w:jc w:val="center"/>
              <w:rPr>
                <w:lang w:eastAsia="en-GB"/>
              </w:rPr>
            </w:pPr>
            <w:r w:rsidRPr="00193BC1">
              <w:rPr>
                <w:lang w:eastAsia="en-GB"/>
              </w:rPr>
              <w:t>0.96 (0.78, 1.18)</w:t>
            </w:r>
          </w:p>
        </w:tc>
      </w:tr>
      <w:tr w:rsidR="006F2ADF" w:rsidRPr="00193BC1" w14:paraId="71425B0A" w14:textId="77777777" w:rsidTr="00B57220">
        <w:tc>
          <w:tcPr>
            <w:tcW w:w="2042" w:type="pct"/>
            <w:tcBorders>
              <w:top w:val="single" w:sz="4" w:space="0" w:color="auto"/>
              <w:left w:val="single" w:sz="4" w:space="0" w:color="auto"/>
              <w:bottom w:val="single" w:sz="4" w:space="0" w:color="auto"/>
              <w:right w:val="single" w:sz="4" w:space="0" w:color="auto"/>
            </w:tcBorders>
            <w:hideMark/>
          </w:tcPr>
          <w:p w14:paraId="31A07B60" w14:textId="77777777" w:rsidR="00FD1B60" w:rsidRPr="00193BC1" w:rsidRDefault="00FD1B60" w:rsidP="00E9172C">
            <w:pPr>
              <w:pStyle w:val="TableText0"/>
              <w:rPr>
                <w:lang w:eastAsia="en-GB"/>
              </w:rPr>
            </w:pPr>
            <w:r w:rsidRPr="00193BC1">
              <w:rPr>
                <w:lang w:eastAsia="en-GB"/>
              </w:rPr>
              <w:t>Patients with any treatment emergent SAE</w:t>
            </w:r>
          </w:p>
        </w:tc>
        <w:tc>
          <w:tcPr>
            <w:tcW w:w="864" w:type="pct"/>
            <w:tcBorders>
              <w:top w:val="single" w:sz="4" w:space="0" w:color="auto"/>
              <w:left w:val="single" w:sz="4" w:space="0" w:color="auto"/>
              <w:bottom w:val="single" w:sz="4" w:space="0" w:color="auto"/>
              <w:right w:val="single" w:sz="4" w:space="0" w:color="auto"/>
            </w:tcBorders>
            <w:hideMark/>
          </w:tcPr>
          <w:p w14:paraId="74A9CCFE" w14:textId="77777777" w:rsidR="00FD1B60" w:rsidRPr="00193BC1" w:rsidRDefault="00FD1B60" w:rsidP="00E9172C">
            <w:pPr>
              <w:pStyle w:val="TableText0"/>
              <w:jc w:val="center"/>
              <w:rPr>
                <w:lang w:eastAsia="en-GB"/>
              </w:rPr>
            </w:pPr>
            <w:r w:rsidRPr="00193BC1">
              <w:rPr>
                <w:lang w:eastAsia="en-GB"/>
              </w:rPr>
              <w:t>6 (5.6%)</w:t>
            </w:r>
          </w:p>
        </w:tc>
        <w:tc>
          <w:tcPr>
            <w:tcW w:w="1179" w:type="pct"/>
            <w:tcBorders>
              <w:top w:val="single" w:sz="4" w:space="0" w:color="auto"/>
              <w:left w:val="single" w:sz="4" w:space="0" w:color="auto"/>
              <w:bottom w:val="single" w:sz="4" w:space="0" w:color="auto"/>
              <w:right w:val="single" w:sz="4" w:space="0" w:color="auto"/>
            </w:tcBorders>
            <w:hideMark/>
          </w:tcPr>
          <w:p w14:paraId="312A122D" w14:textId="77777777" w:rsidR="00FD1B60" w:rsidRPr="00193BC1" w:rsidRDefault="00FD1B60" w:rsidP="00E9172C">
            <w:pPr>
              <w:pStyle w:val="TableText0"/>
              <w:jc w:val="center"/>
              <w:rPr>
                <w:lang w:eastAsia="en-GB"/>
              </w:rPr>
            </w:pPr>
            <w:r w:rsidRPr="00193BC1">
              <w:rPr>
                <w:lang w:eastAsia="en-GB"/>
              </w:rPr>
              <w:t>9 (8.7%)</w:t>
            </w:r>
          </w:p>
        </w:tc>
        <w:tc>
          <w:tcPr>
            <w:tcW w:w="915" w:type="pct"/>
            <w:tcBorders>
              <w:top w:val="single" w:sz="4" w:space="0" w:color="auto"/>
              <w:left w:val="single" w:sz="4" w:space="0" w:color="auto"/>
              <w:bottom w:val="single" w:sz="4" w:space="0" w:color="auto"/>
              <w:right w:val="single" w:sz="4" w:space="0" w:color="auto"/>
            </w:tcBorders>
          </w:tcPr>
          <w:p w14:paraId="36082363" w14:textId="77777777" w:rsidR="00FD1B60" w:rsidRPr="00193BC1" w:rsidRDefault="00FD1B60" w:rsidP="00E9172C">
            <w:pPr>
              <w:pStyle w:val="TableText0"/>
              <w:jc w:val="center"/>
              <w:rPr>
                <w:lang w:eastAsia="en-GB"/>
              </w:rPr>
            </w:pPr>
            <w:r w:rsidRPr="00193BC1">
              <w:rPr>
                <w:lang w:eastAsia="en-GB"/>
              </w:rPr>
              <w:t>1.56 (0.57, 4.22)</w:t>
            </w:r>
          </w:p>
        </w:tc>
      </w:tr>
      <w:tr w:rsidR="006F2ADF" w:rsidRPr="00193BC1" w14:paraId="45EDB19B" w14:textId="77777777" w:rsidTr="00B57220">
        <w:tc>
          <w:tcPr>
            <w:tcW w:w="2042" w:type="pct"/>
            <w:tcBorders>
              <w:top w:val="single" w:sz="4" w:space="0" w:color="auto"/>
              <w:left w:val="single" w:sz="4" w:space="0" w:color="auto"/>
              <w:bottom w:val="single" w:sz="4" w:space="0" w:color="auto"/>
              <w:right w:val="single" w:sz="4" w:space="0" w:color="auto"/>
            </w:tcBorders>
            <w:hideMark/>
          </w:tcPr>
          <w:p w14:paraId="19AB72D1" w14:textId="77777777" w:rsidR="00FD1B60" w:rsidRPr="00193BC1" w:rsidRDefault="00FD1B60" w:rsidP="00E9172C">
            <w:pPr>
              <w:pStyle w:val="TableText0"/>
              <w:rPr>
                <w:lang w:eastAsia="en-GB"/>
              </w:rPr>
            </w:pPr>
            <w:r w:rsidRPr="00193BC1">
              <w:rPr>
                <w:lang w:eastAsia="en-GB"/>
              </w:rPr>
              <w:t>Patients with any TEAE leading to permanent treatment discontinuation</w:t>
            </w:r>
          </w:p>
        </w:tc>
        <w:tc>
          <w:tcPr>
            <w:tcW w:w="864" w:type="pct"/>
            <w:tcBorders>
              <w:top w:val="single" w:sz="4" w:space="0" w:color="auto"/>
              <w:left w:val="single" w:sz="4" w:space="0" w:color="auto"/>
              <w:bottom w:val="single" w:sz="4" w:space="0" w:color="auto"/>
              <w:right w:val="single" w:sz="4" w:space="0" w:color="auto"/>
            </w:tcBorders>
            <w:hideMark/>
          </w:tcPr>
          <w:p w14:paraId="616069DB" w14:textId="77777777" w:rsidR="00FD1B60" w:rsidRPr="00193BC1" w:rsidRDefault="00FD1B60" w:rsidP="00E9172C">
            <w:pPr>
              <w:pStyle w:val="TableText0"/>
              <w:jc w:val="center"/>
              <w:rPr>
                <w:lang w:eastAsia="en-GB"/>
              </w:rPr>
            </w:pPr>
            <w:r w:rsidRPr="00193BC1">
              <w:rPr>
                <w:lang w:eastAsia="en-GB"/>
              </w:rPr>
              <w:t>4 (3.7%)</w:t>
            </w:r>
          </w:p>
        </w:tc>
        <w:tc>
          <w:tcPr>
            <w:tcW w:w="1179" w:type="pct"/>
            <w:tcBorders>
              <w:top w:val="single" w:sz="4" w:space="0" w:color="auto"/>
              <w:left w:val="single" w:sz="4" w:space="0" w:color="auto"/>
              <w:bottom w:val="single" w:sz="4" w:space="0" w:color="auto"/>
              <w:right w:val="single" w:sz="4" w:space="0" w:color="auto"/>
            </w:tcBorders>
            <w:hideMark/>
          </w:tcPr>
          <w:p w14:paraId="4AC9DDA9" w14:textId="77777777" w:rsidR="00FD1B60" w:rsidRPr="00193BC1" w:rsidRDefault="00FD1B60" w:rsidP="00E9172C">
            <w:pPr>
              <w:pStyle w:val="TableText0"/>
              <w:jc w:val="center"/>
              <w:rPr>
                <w:lang w:eastAsia="en-GB"/>
              </w:rPr>
            </w:pPr>
            <w:r w:rsidRPr="00193BC1">
              <w:rPr>
                <w:lang w:eastAsia="en-GB"/>
              </w:rPr>
              <w:t>1 (1.0%)</w:t>
            </w:r>
          </w:p>
        </w:tc>
        <w:tc>
          <w:tcPr>
            <w:tcW w:w="915" w:type="pct"/>
            <w:tcBorders>
              <w:top w:val="single" w:sz="4" w:space="0" w:color="auto"/>
              <w:left w:val="single" w:sz="4" w:space="0" w:color="auto"/>
              <w:bottom w:val="single" w:sz="4" w:space="0" w:color="auto"/>
              <w:right w:val="single" w:sz="4" w:space="0" w:color="auto"/>
            </w:tcBorders>
          </w:tcPr>
          <w:p w14:paraId="3D4973D6" w14:textId="77777777" w:rsidR="00FD1B60" w:rsidRPr="00193BC1" w:rsidRDefault="00FD1B60" w:rsidP="00E9172C">
            <w:pPr>
              <w:pStyle w:val="TableText0"/>
              <w:jc w:val="center"/>
              <w:rPr>
                <w:lang w:eastAsia="en-GB"/>
              </w:rPr>
            </w:pPr>
            <w:r w:rsidRPr="00193BC1">
              <w:rPr>
                <w:lang w:eastAsia="en-GB"/>
              </w:rPr>
              <w:t>0.26 (0.03, 2.29)</w:t>
            </w:r>
          </w:p>
        </w:tc>
      </w:tr>
      <w:tr w:rsidR="006F2ADF" w:rsidRPr="00193BC1" w14:paraId="32A44F2A" w14:textId="77777777" w:rsidTr="00B57220">
        <w:tc>
          <w:tcPr>
            <w:tcW w:w="2042" w:type="pct"/>
            <w:tcBorders>
              <w:top w:val="single" w:sz="4" w:space="0" w:color="auto"/>
              <w:left w:val="single" w:sz="4" w:space="0" w:color="auto"/>
              <w:bottom w:val="single" w:sz="4" w:space="0" w:color="auto"/>
              <w:right w:val="single" w:sz="4" w:space="0" w:color="auto"/>
            </w:tcBorders>
            <w:hideMark/>
          </w:tcPr>
          <w:p w14:paraId="4AC3717B" w14:textId="77777777" w:rsidR="00E56128" w:rsidRPr="00193BC1" w:rsidRDefault="0082514D" w:rsidP="00E9172C">
            <w:pPr>
              <w:pStyle w:val="TableText0"/>
              <w:rPr>
                <w:lang w:eastAsia="en-GB"/>
              </w:rPr>
            </w:pPr>
            <w:r w:rsidRPr="00193BC1">
              <w:rPr>
                <w:lang w:eastAsia="en-GB"/>
              </w:rPr>
              <w:t>Patients with any TEAE leading to death</w:t>
            </w:r>
          </w:p>
        </w:tc>
        <w:tc>
          <w:tcPr>
            <w:tcW w:w="864" w:type="pct"/>
            <w:tcBorders>
              <w:top w:val="single" w:sz="4" w:space="0" w:color="auto"/>
              <w:left w:val="single" w:sz="4" w:space="0" w:color="auto"/>
              <w:bottom w:val="single" w:sz="4" w:space="0" w:color="auto"/>
              <w:right w:val="single" w:sz="4" w:space="0" w:color="auto"/>
            </w:tcBorders>
            <w:hideMark/>
          </w:tcPr>
          <w:p w14:paraId="46E56449" w14:textId="77777777" w:rsidR="00E56128" w:rsidRPr="00193BC1" w:rsidRDefault="00E56128" w:rsidP="000D6C18">
            <w:pPr>
              <w:pStyle w:val="TableText0"/>
              <w:jc w:val="center"/>
              <w:rPr>
                <w:lang w:eastAsia="en-GB"/>
              </w:rPr>
            </w:pPr>
            <w:r w:rsidRPr="00193BC1">
              <w:rPr>
                <w:lang w:eastAsia="en-GB"/>
              </w:rPr>
              <w:t>0</w:t>
            </w:r>
          </w:p>
        </w:tc>
        <w:tc>
          <w:tcPr>
            <w:tcW w:w="1179" w:type="pct"/>
            <w:tcBorders>
              <w:top w:val="single" w:sz="4" w:space="0" w:color="auto"/>
              <w:left w:val="single" w:sz="4" w:space="0" w:color="auto"/>
              <w:bottom w:val="single" w:sz="4" w:space="0" w:color="auto"/>
              <w:right w:val="single" w:sz="4" w:space="0" w:color="auto"/>
            </w:tcBorders>
            <w:hideMark/>
          </w:tcPr>
          <w:p w14:paraId="69450DDF" w14:textId="77777777" w:rsidR="00E56128" w:rsidRPr="00193BC1" w:rsidRDefault="00E56128" w:rsidP="000D6C18">
            <w:pPr>
              <w:pStyle w:val="TableText0"/>
              <w:jc w:val="center"/>
              <w:rPr>
                <w:lang w:eastAsia="en-GB"/>
              </w:rPr>
            </w:pPr>
            <w:r w:rsidRPr="00193BC1">
              <w:rPr>
                <w:lang w:eastAsia="en-GB"/>
              </w:rPr>
              <w:t>0</w:t>
            </w:r>
          </w:p>
        </w:tc>
        <w:tc>
          <w:tcPr>
            <w:tcW w:w="915" w:type="pct"/>
            <w:tcBorders>
              <w:top w:val="single" w:sz="4" w:space="0" w:color="auto"/>
              <w:left w:val="single" w:sz="4" w:space="0" w:color="auto"/>
              <w:bottom w:val="single" w:sz="4" w:space="0" w:color="auto"/>
              <w:right w:val="single" w:sz="4" w:space="0" w:color="auto"/>
            </w:tcBorders>
          </w:tcPr>
          <w:p w14:paraId="19321D8C" w14:textId="77777777" w:rsidR="00E56128" w:rsidRPr="00193BC1" w:rsidRDefault="00E56128" w:rsidP="000D6C18">
            <w:pPr>
              <w:pStyle w:val="TableText0"/>
              <w:jc w:val="center"/>
              <w:rPr>
                <w:lang w:eastAsia="en-GB"/>
              </w:rPr>
            </w:pPr>
            <w:r w:rsidRPr="00193BC1">
              <w:rPr>
                <w:lang w:eastAsia="en-GB"/>
              </w:rPr>
              <w:t>-</w:t>
            </w:r>
          </w:p>
        </w:tc>
      </w:tr>
    </w:tbl>
    <w:p w14:paraId="647DC6C9" w14:textId="77777777" w:rsidR="00B247AB" w:rsidRPr="00193BC1" w:rsidRDefault="00B247AB" w:rsidP="00580E2F">
      <w:pPr>
        <w:pStyle w:val="TableFigureFooter"/>
        <w:jc w:val="left"/>
      </w:pPr>
      <w:r w:rsidRPr="00193BC1">
        <w:t>Source: Table 2.75</w:t>
      </w:r>
      <w:r w:rsidR="0038454D" w:rsidRPr="00193BC1">
        <w:rPr>
          <w:rFonts w:ascii="Calibri" w:hAnsi="Calibri"/>
          <w:snapToGrid/>
          <w:sz w:val="24"/>
          <w:szCs w:val="24"/>
        </w:rPr>
        <w:t xml:space="preserve"> </w:t>
      </w:r>
      <w:r w:rsidR="00C65571" w:rsidRPr="00193BC1">
        <w:t>of the submission.</w:t>
      </w:r>
      <w:r w:rsidR="00C65571" w:rsidRPr="00193BC1">
        <w:br/>
      </w:r>
      <w:r w:rsidR="001C5351" w:rsidRPr="00193BC1">
        <w:t xml:space="preserve">CI = confidence interval; OCS = oral corticosteroids; </w:t>
      </w:r>
      <w:r w:rsidR="00C65571" w:rsidRPr="00193BC1">
        <w:t>TEAE = t</w:t>
      </w:r>
      <w:r w:rsidRPr="00193BC1">
        <w:t>reatment</w:t>
      </w:r>
      <w:r w:rsidR="00C65571" w:rsidRPr="00193BC1">
        <w:t>-emergent adverse event; SAE = s</w:t>
      </w:r>
      <w:r w:rsidRPr="00193BC1">
        <w:t>erious adverse even</w:t>
      </w:r>
      <w:r w:rsidR="00903EFF" w:rsidRPr="00193BC1">
        <w:t>t</w:t>
      </w:r>
    </w:p>
    <w:p w14:paraId="484006A1" w14:textId="77777777" w:rsidR="00627166" w:rsidRPr="00193BC1" w:rsidRDefault="00B247AB" w:rsidP="00580E2F">
      <w:pPr>
        <w:pStyle w:val="TableFigureFooter"/>
      </w:pPr>
      <w:r w:rsidRPr="00193BC1">
        <w:t>Note: n (%) = number and percentage of patients with at least one TEAE</w:t>
      </w:r>
    </w:p>
    <w:p w14:paraId="5B4B20C2" w14:textId="77777777" w:rsidR="00236F6F" w:rsidRPr="00193BC1" w:rsidRDefault="00231FA8" w:rsidP="001716E0">
      <w:pPr>
        <w:pStyle w:val="3-BodyText"/>
      </w:pPr>
      <w:r w:rsidRPr="00193BC1">
        <w:t>The submission</w:t>
      </w:r>
      <w:r w:rsidR="001D5B02" w:rsidRPr="00193BC1">
        <w:t xml:space="preserve"> noted that omalizumab must be monitored for anaphylaxis; that is not the case with dupilumab</w:t>
      </w:r>
      <w:r w:rsidR="00543CDB" w:rsidRPr="00193BC1">
        <w:t xml:space="preserve">, </w:t>
      </w:r>
      <w:r w:rsidR="00F54910" w:rsidRPr="00193BC1">
        <w:t xml:space="preserve">which recorded one case of anaphylaxis in its asthma trials. </w:t>
      </w:r>
    </w:p>
    <w:p w14:paraId="6C349D3F" w14:textId="77777777" w:rsidR="00236F6F" w:rsidRPr="00193BC1" w:rsidRDefault="00236F6F" w:rsidP="001716E0">
      <w:pPr>
        <w:pStyle w:val="3-BodyText"/>
      </w:pPr>
      <w:r w:rsidRPr="00193BC1">
        <w:t>The submission performed ITCs of dupilumab versus comparators for any adverse events, serious adverse events and adverse events leading to treatment withdrawal. The submission concluded that no statistically significant differences between dupilumab and the three comparators were identified. ITC risk ratio point estimates, and the majority of the 95% confidence intervals, were &gt;1 for serious adverse events (dupilumab vs all comparators) and discontinuation due to adverse events (dupilumab vs mepolizumab)</w:t>
      </w:r>
      <w:r w:rsidR="002E1752" w:rsidRPr="00193BC1">
        <w:t xml:space="preserve">. </w:t>
      </w:r>
      <w:r w:rsidRPr="00193BC1">
        <w:t xml:space="preserve">This suggests a trend of inferior safety of dupilumab for these outcomes, and the upper limits of the confidence intervals represent clinically </w:t>
      </w:r>
      <w:r w:rsidRPr="00193BC1">
        <w:lastRenderedPageBreak/>
        <w:t>meaningful differences. These data are provided in</w:t>
      </w:r>
      <w:r w:rsidR="0056095A" w:rsidRPr="00193BC1">
        <w:t xml:space="preserve"> </w:t>
      </w:r>
      <w:r w:rsidR="008F7132" w:rsidRPr="00193BC1">
        <w:t>Table 12</w:t>
      </w:r>
      <w:r w:rsidR="003A2F66" w:rsidRPr="00193BC1">
        <w:t xml:space="preserve">, with key data presented in the forest plot </w:t>
      </w:r>
      <w:r w:rsidR="00797BC5" w:rsidRPr="00193BC1">
        <w:t>Figure 1</w:t>
      </w:r>
      <w:r w:rsidR="003A2F66" w:rsidRPr="00193BC1">
        <w:t xml:space="preserve"> below</w:t>
      </w:r>
      <w:r w:rsidRPr="00193BC1">
        <w:t>.</w:t>
      </w:r>
    </w:p>
    <w:p w14:paraId="398173DF" w14:textId="77777777" w:rsidR="00051EA0" w:rsidRPr="00193BC1" w:rsidRDefault="003A2F66" w:rsidP="003A2F66">
      <w:pPr>
        <w:pStyle w:val="TableFigureHeading"/>
      </w:pPr>
      <w:bookmarkStart w:id="26" w:name="_Ref50390697"/>
      <w:r w:rsidRPr="00193BC1">
        <w:t xml:space="preserve">Table </w:t>
      </w:r>
      <w:bookmarkEnd w:id="26"/>
      <w:r w:rsidR="008F7132" w:rsidRPr="00193BC1">
        <w:t>12</w:t>
      </w:r>
      <w:r w:rsidRPr="00193BC1">
        <w:t>: ITCs performed for AEs, SAEs and withdrawal due to AE, dupilumab vs comparators</w:t>
      </w:r>
    </w:p>
    <w:p w14:paraId="364700C3" w14:textId="77777777" w:rsidR="00051EA0" w:rsidRPr="00193BC1" w:rsidRDefault="00051EA0" w:rsidP="00051EA0">
      <w:pPr>
        <w:pStyle w:val="In-tableHeading"/>
        <w:rPr>
          <w:lang w:val="en-AU"/>
        </w:rPr>
      </w:pPr>
      <w:r w:rsidRPr="00193BC1">
        <w:rPr>
          <w:noProof/>
          <w:lang w:val="en-AU"/>
        </w:rPr>
        <w:drawing>
          <wp:inline distT="0" distB="0" distL="0" distR="0" wp14:anchorId="3B36678E" wp14:editId="312F91AC">
            <wp:extent cx="5715000" cy="3950011"/>
            <wp:effectExtent l="0" t="0" r="0" b="0"/>
            <wp:docPr id="20" name="Picture 20" descr="Table 11: ITCs performed for AEs, SAEs and withdrawal due to AE, dupilumab vs comparators" title="Table 11: ITCs performed for AEs, SAEs and withdrawal due to AE, dupilumab vs compar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76892" cy="3992788"/>
                    </a:xfrm>
                    <a:prstGeom prst="rect">
                      <a:avLst/>
                    </a:prstGeom>
                  </pic:spPr>
                </pic:pic>
              </a:graphicData>
            </a:graphic>
          </wp:inline>
        </w:drawing>
      </w:r>
    </w:p>
    <w:p w14:paraId="5CF50F02" w14:textId="77777777" w:rsidR="00C54DB2" w:rsidRPr="00193BC1" w:rsidRDefault="00C54DB2" w:rsidP="00B57220">
      <w:pPr>
        <w:pStyle w:val="TableFigureFooter"/>
      </w:pPr>
      <w:r w:rsidRPr="00193BC1">
        <w:t>Source: Data extracted from Table 2.108 of the submission.</w:t>
      </w:r>
    </w:p>
    <w:p w14:paraId="404D9538" w14:textId="77777777" w:rsidR="003A2F66" w:rsidRPr="00193BC1" w:rsidRDefault="003A2F66" w:rsidP="00B57220">
      <w:pPr>
        <w:pStyle w:val="TableFigureFooter"/>
      </w:pPr>
      <w:r w:rsidRPr="00193BC1">
        <w:t>AE = adverse event; CI = confidence interval; DUP</w:t>
      </w:r>
      <w:r w:rsidR="0057356E" w:rsidRPr="00193BC1">
        <w:t>I</w:t>
      </w:r>
      <w:r w:rsidRPr="00193BC1">
        <w:t xml:space="preserve"> = dupilumab; BENRA = benralizumab; MEPO = mepolizumab; ITC = indirect treatment comparison; OMA = omalizumab; </w:t>
      </w:r>
      <w:r w:rsidR="0057356E" w:rsidRPr="00193BC1">
        <w:t xml:space="preserve">PBO = placebo; </w:t>
      </w:r>
      <w:r w:rsidRPr="00193BC1">
        <w:t>RR = risk ratio; SAE = serious adverse event.</w:t>
      </w:r>
    </w:p>
    <w:p w14:paraId="7B6268D8" w14:textId="77777777" w:rsidR="00591827" w:rsidRPr="00193BC1" w:rsidRDefault="00591827" w:rsidP="00B57220">
      <w:pPr>
        <w:pStyle w:val="TableFigureFooter"/>
      </w:pPr>
      <w:r w:rsidRPr="00193BC1">
        <w:rPr>
          <w:vertAlign w:val="superscript"/>
        </w:rPr>
        <w:t>a</w:t>
      </w:r>
      <w:r w:rsidRPr="00193BC1">
        <w:t xml:space="preserve"> A RR &lt;1 favours active, a RR &gt;1 favours placebo </w:t>
      </w:r>
    </w:p>
    <w:p w14:paraId="095D2F11" w14:textId="77777777" w:rsidR="00591827" w:rsidRPr="00193BC1" w:rsidRDefault="00591827" w:rsidP="00B57220">
      <w:pPr>
        <w:pStyle w:val="TableFigureFooter"/>
      </w:pPr>
      <w:r w:rsidRPr="00193BC1">
        <w:rPr>
          <w:vertAlign w:val="superscript"/>
        </w:rPr>
        <w:t>b</w:t>
      </w:r>
      <w:r w:rsidRPr="00193BC1">
        <w:t xml:space="preserve"> A RR &lt;1 favours dupilumab, a RR &gt;1 favours comparator</w:t>
      </w:r>
    </w:p>
    <w:p w14:paraId="56E357BF" w14:textId="77777777" w:rsidR="00591827" w:rsidRPr="00193BC1" w:rsidRDefault="00591827" w:rsidP="00B57220">
      <w:pPr>
        <w:pStyle w:val="TableFigureFooter"/>
      </w:pPr>
      <w:r w:rsidRPr="00193BC1">
        <w:rPr>
          <w:vertAlign w:val="superscript"/>
        </w:rPr>
        <w:t>c</w:t>
      </w:r>
      <w:r w:rsidRPr="00193BC1">
        <w:t xml:space="preserve"> Meta-analysis conducted in Review Manager 5.3, random effects, Mantel-Haenszel</w:t>
      </w:r>
    </w:p>
    <w:p w14:paraId="6AAA198B" w14:textId="77777777" w:rsidR="00236F6F" w:rsidRPr="00193BC1" w:rsidRDefault="00181FCB" w:rsidP="00051EA0">
      <w:pPr>
        <w:pStyle w:val="TableFigureHeading"/>
      </w:pPr>
      <w:bookmarkStart w:id="27" w:name="_Ref50376005"/>
      <w:r w:rsidRPr="00193BC1">
        <w:t xml:space="preserve">Figure </w:t>
      </w:r>
      <w:r w:rsidR="00797BC5" w:rsidRPr="00193BC1">
        <w:t>1</w:t>
      </w:r>
      <w:bookmarkEnd w:id="27"/>
      <w:r w:rsidR="00236F6F" w:rsidRPr="00193BC1">
        <w:t xml:space="preserve">: </w:t>
      </w:r>
      <w:r w:rsidR="003A2F66" w:rsidRPr="00193BC1">
        <w:t xml:space="preserve">Forest plot of ITCs of </w:t>
      </w:r>
      <w:r w:rsidR="004D0710" w:rsidRPr="00193BC1">
        <w:t>s</w:t>
      </w:r>
      <w:r w:rsidR="00236F6F" w:rsidRPr="00193BC1">
        <w:t>erious adverse event</w:t>
      </w:r>
      <w:r w:rsidR="004D0710" w:rsidRPr="00193BC1">
        <w:t>s and</w:t>
      </w:r>
      <w:r w:rsidR="00236F6F" w:rsidRPr="00193BC1">
        <w:t xml:space="preserve"> withdrawal due to adverse events</w:t>
      </w:r>
    </w:p>
    <w:p w14:paraId="1AA2DD90" w14:textId="77777777" w:rsidR="00236F6F" w:rsidRPr="00193BC1" w:rsidRDefault="00181FCB" w:rsidP="001716E0">
      <w:pPr>
        <w:pStyle w:val="3-BodyText"/>
        <w:numPr>
          <w:ilvl w:val="0"/>
          <w:numId w:val="0"/>
        </w:numPr>
        <w:ind w:left="709"/>
      </w:pPr>
      <w:r w:rsidRPr="00193BC1">
        <w:rPr>
          <w:noProof/>
        </w:rPr>
        <w:drawing>
          <wp:inline distT="0" distB="0" distL="0" distR="0" wp14:anchorId="08F43A38" wp14:editId="1C6A3BCE">
            <wp:extent cx="4710430" cy="2396691"/>
            <wp:effectExtent l="0" t="0" r="0" b="3810"/>
            <wp:docPr id="23" name="Picture 23" descr="Figure 1: Forest plot of ITCs of serious adverse events and withdrawal due to adverse events" title="Figure 1: Forest plot of ITCs of serious adverse events and withdrawal due to adverse ev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727660" cy="2405458"/>
                    </a:xfrm>
                    <a:prstGeom prst="rect">
                      <a:avLst/>
                    </a:prstGeom>
                  </pic:spPr>
                </pic:pic>
              </a:graphicData>
            </a:graphic>
          </wp:inline>
        </w:drawing>
      </w:r>
    </w:p>
    <w:p w14:paraId="751A9EA6" w14:textId="77777777" w:rsidR="00236F6F" w:rsidRPr="00193BC1" w:rsidRDefault="00236F6F" w:rsidP="00B57220">
      <w:pPr>
        <w:pStyle w:val="TableFigureFooter"/>
      </w:pPr>
      <w:r w:rsidRPr="00193BC1">
        <w:lastRenderedPageBreak/>
        <w:t xml:space="preserve">Source: </w:t>
      </w:r>
      <w:r w:rsidR="00885F99" w:rsidRPr="00193BC1">
        <w:t>F</w:t>
      </w:r>
      <w:r w:rsidRPr="00193BC1">
        <w:t>orest plot generated</w:t>
      </w:r>
      <w:r w:rsidR="00DF46F3" w:rsidRPr="00193BC1">
        <w:t xml:space="preserve"> during the evaluation</w:t>
      </w:r>
      <w:r w:rsidRPr="00193BC1">
        <w:t xml:space="preserve"> in STATA 15.1, using unmodified data from Table 2.108 of the submission.</w:t>
      </w:r>
    </w:p>
    <w:p w14:paraId="19452F22" w14:textId="77777777" w:rsidR="006813BD" w:rsidRPr="00193BC1" w:rsidRDefault="006813BD" w:rsidP="00B57220">
      <w:pPr>
        <w:pStyle w:val="TableFigureFooter"/>
      </w:pPr>
      <w:r w:rsidRPr="00193BC1">
        <w:t>CI = confidence interval; DUP</w:t>
      </w:r>
      <w:r w:rsidR="0057356E" w:rsidRPr="00193BC1">
        <w:t>I</w:t>
      </w:r>
      <w:r w:rsidRPr="00193BC1">
        <w:t xml:space="preserve"> = dupilumab; BENRA = benralizumab; MEPO = mepolizumab; </w:t>
      </w:r>
      <w:r w:rsidR="003A2F66" w:rsidRPr="00193BC1">
        <w:t xml:space="preserve">ITC = indirect treatment comparison; </w:t>
      </w:r>
      <w:r w:rsidRPr="00193BC1">
        <w:t>OMA = omalizumab; AE = adverse event; RR = risk ratio; SAE = serious adverse event.</w:t>
      </w:r>
    </w:p>
    <w:p w14:paraId="0E2DE354" w14:textId="77777777" w:rsidR="00236F6F" w:rsidRPr="00193BC1" w:rsidRDefault="00930114" w:rsidP="00B57220">
      <w:pPr>
        <w:pStyle w:val="TableFigureFooter"/>
      </w:pPr>
      <w:r w:rsidRPr="00193BC1">
        <w:t>Note: A RR &lt; 1 favours dupilumab, a RR &gt; 1 favours comparator.</w:t>
      </w:r>
    </w:p>
    <w:p w14:paraId="1176B4EE" w14:textId="77777777" w:rsidR="00B60939" w:rsidRPr="00193BC1" w:rsidRDefault="00B60939" w:rsidP="00580E2F">
      <w:pPr>
        <w:pStyle w:val="4-SubsectionHeading"/>
        <w:keepNext w:val="0"/>
      </w:pPr>
      <w:bookmarkStart w:id="28" w:name="_Toc22897644"/>
      <w:bookmarkStart w:id="29" w:name="_Toc50399842"/>
      <w:r w:rsidRPr="00193BC1">
        <w:t>Clinical claim</w:t>
      </w:r>
      <w:bookmarkEnd w:id="28"/>
      <w:bookmarkEnd w:id="29"/>
    </w:p>
    <w:p w14:paraId="1207D6C5" w14:textId="77777777" w:rsidR="00D31D18" w:rsidRPr="00193BC1" w:rsidRDefault="00D31D18" w:rsidP="001716E0">
      <w:pPr>
        <w:pStyle w:val="3-BodyText"/>
      </w:pPr>
      <w:r w:rsidRPr="00193BC1">
        <w:t>The clinical claim presented by the submission was that dupilumab treatment for patients aged ≥ 12 years with uncontrolled severe type 2 asthma was non-inferior in terms of efficacy and safety compared with omalizumab, mepolizumab and benralizumab.</w:t>
      </w:r>
      <w:r w:rsidR="002156F2" w:rsidRPr="00193BC1">
        <w:t xml:space="preserve"> </w:t>
      </w:r>
      <w:r w:rsidR="00ED6CA9" w:rsidRPr="00193BC1">
        <w:t>The submission presented six ITCs which indirectly compared the efficacy of dupilumab with the three comparators, in both OCS-dependent and non-OCS dependent asthma patients. This formed the evidence base used by the submission to support this claim.</w:t>
      </w:r>
    </w:p>
    <w:p w14:paraId="51C701E8" w14:textId="77777777" w:rsidR="007A12C1" w:rsidRPr="00193BC1" w:rsidRDefault="0055725A" w:rsidP="001716E0">
      <w:pPr>
        <w:pStyle w:val="3-BodyText"/>
      </w:pPr>
      <w:r w:rsidRPr="00193BC1">
        <w:t xml:space="preserve">To reduce the observed heterogeneity between trials, six Bucher pairwise ITCs were performed on matched subgroup data. </w:t>
      </w:r>
      <w:r w:rsidR="004E792B" w:rsidRPr="00193BC1">
        <w:t xml:space="preserve">About 50% of the study populations in the dupilumab trials QUEST and DRI12544 </w:t>
      </w:r>
      <w:r w:rsidR="00BD00E3" w:rsidRPr="00193BC1">
        <w:t>were taking medium-dose ICS at baseline</w:t>
      </w:r>
      <w:r w:rsidR="004E792B" w:rsidRPr="00193BC1">
        <w:t>; this is problematic for two reasons, (1) placebo is not a reasonable comparator for patients who have not maximised their</w:t>
      </w:r>
      <w:r w:rsidR="002F3C9B" w:rsidRPr="00193BC1">
        <w:t xml:space="preserve"> inhaled</w:t>
      </w:r>
      <w:r w:rsidR="004E792B" w:rsidRPr="00193BC1">
        <w:t xml:space="preserve"> asthma therapies, and (2) the comparator trials stud</w:t>
      </w:r>
      <w:r w:rsidR="002F30F9" w:rsidRPr="00193BC1">
        <w:t>i</w:t>
      </w:r>
      <w:r w:rsidR="004E792B" w:rsidRPr="00193BC1">
        <w:t xml:space="preserve">ed </w:t>
      </w:r>
      <w:r w:rsidR="00D27313" w:rsidRPr="00193BC1">
        <w:t xml:space="preserve">uncontrolled </w:t>
      </w:r>
      <w:r w:rsidR="004E792B" w:rsidRPr="00193BC1">
        <w:t xml:space="preserve">severe asthma only. </w:t>
      </w:r>
      <w:r w:rsidRPr="00193BC1">
        <w:t>The key issue was</w:t>
      </w:r>
      <w:r w:rsidR="00A13EF4" w:rsidRPr="00193BC1">
        <w:t xml:space="preserve"> that despite th</w:t>
      </w:r>
      <w:r w:rsidR="002207B1" w:rsidRPr="00193BC1">
        <w:t>e</w:t>
      </w:r>
      <w:r w:rsidR="00A13EF4" w:rsidRPr="00193BC1">
        <w:t xml:space="preserve"> additional matching, the comparisons remained largely non-transitive as the comparator populations generally had a more severe form of asthma compared to the dupilumab populations. </w:t>
      </w:r>
      <w:r w:rsidR="00320E7F" w:rsidRPr="00193BC1">
        <w:t>The PSCR argued that the suggestion tha</w:t>
      </w:r>
      <w:r w:rsidR="00A976AB" w:rsidRPr="00193BC1">
        <w:t>t the evidence presented favoured</w:t>
      </w:r>
      <w:r w:rsidR="00BF7C1D" w:rsidRPr="00193BC1">
        <w:t xml:space="preserve"> dupil</w:t>
      </w:r>
      <w:r w:rsidR="00320E7F" w:rsidRPr="00193BC1">
        <w:t>umab as the intervention studies may have had less severe disease is inconsistent with previous PBAC evaluations and recommendations for severe asthma biologics (see paragraph 6.</w:t>
      </w:r>
      <w:r w:rsidR="000F065D" w:rsidRPr="00193BC1">
        <w:t>20</w:t>
      </w:r>
      <w:r w:rsidR="00320E7F" w:rsidRPr="00193BC1">
        <w:t>)</w:t>
      </w:r>
      <w:r w:rsidR="00193BC1">
        <w:t xml:space="preserve">. </w:t>
      </w:r>
      <w:r w:rsidR="00320E7F" w:rsidRPr="00193BC1">
        <w:t>The ESC considered that an important difference was that patients with moderate asthma in the QUEST and DRI12544 trials could transiently increase the dose of their ICS to manage exacerbations</w:t>
      </w:r>
      <w:r w:rsidR="00A976AB" w:rsidRPr="00193BC1">
        <w:t xml:space="preserve">. The ESC considered the impact of this on the </w:t>
      </w:r>
      <w:r w:rsidR="00BF7C1D" w:rsidRPr="00193BC1">
        <w:t>efficacy</w:t>
      </w:r>
      <w:r w:rsidR="00320E7F" w:rsidRPr="00193BC1">
        <w:t xml:space="preserve"> observed </w:t>
      </w:r>
      <w:r w:rsidR="00A976AB" w:rsidRPr="00193BC1">
        <w:t xml:space="preserve">in QUEST and DRI12544 is </w:t>
      </w:r>
      <w:r w:rsidR="00320E7F" w:rsidRPr="00193BC1">
        <w:t xml:space="preserve">unknown and </w:t>
      </w:r>
      <w:r w:rsidR="00A976AB" w:rsidRPr="00193BC1">
        <w:t xml:space="preserve">highly </w:t>
      </w:r>
      <w:r w:rsidR="00C151CA" w:rsidRPr="00193BC1">
        <w:t>likely to favour</w:t>
      </w:r>
      <w:r w:rsidR="00320E7F" w:rsidRPr="00193BC1">
        <w:t xml:space="preserve"> dupilumab.</w:t>
      </w:r>
      <w:r w:rsidR="00320E7F" w:rsidRPr="00193BC1">
        <w:rPr>
          <w:i/>
        </w:rPr>
        <w:t xml:space="preserve"> </w:t>
      </w:r>
    </w:p>
    <w:p w14:paraId="5AA0FFEA" w14:textId="77777777" w:rsidR="00803B1C" w:rsidRPr="00193BC1" w:rsidRDefault="00A13EF4" w:rsidP="001716E0">
      <w:pPr>
        <w:pStyle w:val="3-BodyText"/>
      </w:pPr>
      <w:r w:rsidRPr="00193BC1">
        <w:t>In addition,</w:t>
      </w:r>
      <w:r w:rsidR="0055725A" w:rsidRPr="00193BC1">
        <w:t xml:space="preserve"> </w:t>
      </w:r>
      <w:r w:rsidR="004421A0" w:rsidRPr="00193BC1">
        <w:t xml:space="preserve">in selecting better-matched subgroups, </w:t>
      </w:r>
      <w:r w:rsidR="00CC7ECF" w:rsidRPr="00193BC1">
        <w:t>the</w:t>
      </w:r>
      <w:r w:rsidR="00755630" w:rsidRPr="00193BC1">
        <w:t xml:space="preserve"> ITC</w:t>
      </w:r>
      <w:r w:rsidR="006B4B58" w:rsidRPr="00193BC1">
        <w:t xml:space="preserve"> study populations were shifted away from the </w:t>
      </w:r>
      <w:r w:rsidR="004A20F1" w:rsidRPr="00193BC1">
        <w:t>proposed</w:t>
      </w:r>
      <w:r w:rsidR="00D050CB" w:rsidRPr="00193BC1">
        <w:t xml:space="preserve"> PBS</w:t>
      </w:r>
      <w:r w:rsidR="004A20F1" w:rsidRPr="00193BC1">
        <w:t xml:space="preserve"> target</w:t>
      </w:r>
      <w:r w:rsidR="006B4B58" w:rsidRPr="00193BC1">
        <w:t xml:space="preserve"> population.</w:t>
      </w:r>
      <w:r w:rsidR="00DB2DF7" w:rsidRPr="00193BC1">
        <w:t xml:space="preserve"> </w:t>
      </w:r>
    </w:p>
    <w:p w14:paraId="6D869DA7" w14:textId="77777777" w:rsidR="0009668E" w:rsidRPr="00193BC1" w:rsidRDefault="00803B1C" w:rsidP="001716E0">
      <w:pPr>
        <w:pStyle w:val="3-BodyText"/>
      </w:pPr>
      <w:r w:rsidRPr="00193BC1">
        <w:t xml:space="preserve">The evidence for non-inferiority in non-OCS dependent asthma </w:t>
      </w:r>
      <w:r w:rsidR="00A13EF4" w:rsidRPr="00193BC1">
        <w:t>was</w:t>
      </w:r>
      <w:r w:rsidRPr="00193BC1">
        <w:t xml:space="preserve"> not robust; the non-inferiority margin was not met for dupilumab vs omalizumab (#3)</w:t>
      </w:r>
      <w:r w:rsidR="005F38DC" w:rsidRPr="00193BC1">
        <w:t>.</w:t>
      </w:r>
      <w:r w:rsidR="0091648B" w:rsidRPr="00193BC1">
        <w:t xml:space="preserve"> </w:t>
      </w:r>
      <w:r w:rsidRPr="00193BC1">
        <w:t xml:space="preserve">Whilst the non-inferiority margin was achieved for dupilumab vs benralizumab and vs mepolizumab (#1 and #2), these study populations were not representative of the target population, and </w:t>
      </w:r>
      <w:r w:rsidR="00CC7917" w:rsidRPr="00193BC1">
        <w:t>differences</w:t>
      </w:r>
      <w:r w:rsidR="002207B1" w:rsidRPr="00193BC1">
        <w:t xml:space="preserve"> in</w:t>
      </w:r>
      <w:r w:rsidR="00CC7917" w:rsidRPr="00193BC1">
        <w:t xml:space="preserve"> patient characteristics</w:t>
      </w:r>
      <w:r w:rsidRPr="00193BC1">
        <w:t xml:space="preserve"> </w:t>
      </w:r>
      <w:r w:rsidR="00CC7917" w:rsidRPr="00193BC1">
        <w:t>suggested</w:t>
      </w:r>
      <w:r w:rsidR="007752EA" w:rsidRPr="00193BC1">
        <w:t xml:space="preserve"> dupilumab patients had less severe disease</w:t>
      </w:r>
      <w:r w:rsidRPr="00193BC1">
        <w:t>.</w:t>
      </w:r>
      <w:r w:rsidR="00DB2DF7" w:rsidRPr="00193BC1">
        <w:t xml:space="preserve"> </w:t>
      </w:r>
    </w:p>
    <w:p w14:paraId="605B1437" w14:textId="77777777" w:rsidR="00FD70E5" w:rsidRPr="00193BC1" w:rsidRDefault="00803B1C" w:rsidP="001716E0">
      <w:pPr>
        <w:pStyle w:val="3-BodyText"/>
      </w:pPr>
      <w:r w:rsidRPr="00193BC1">
        <w:t xml:space="preserve">There was a paucity of evidence to suggest dupilumab is non-inferior to benralizumab, mepolizumab or omalizumab in OCS-dependent severe refractory asthma. The comparison with benralizumab (#4) </w:t>
      </w:r>
      <w:r w:rsidR="00D41450" w:rsidRPr="00193BC1">
        <w:t>failed to meet the non-inferiority margin,</w:t>
      </w:r>
      <w:r w:rsidR="00A446A3" w:rsidRPr="00193BC1">
        <w:t xml:space="preserve"> and</w:t>
      </w:r>
      <w:r w:rsidRPr="00193BC1">
        <w:t xml:space="preserve"> the comparison with mepolizumab (#5) </w:t>
      </w:r>
      <w:r w:rsidR="00D41450" w:rsidRPr="00193BC1">
        <w:t xml:space="preserve">was borderline </w:t>
      </w:r>
      <w:r w:rsidR="00043C6F" w:rsidRPr="00193BC1">
        <w:t>non-inferior</w:t>
      </w:r>
      <w:r w:rsidR="008C3359" w:rsidRPr="00193BC1">
        <w:t xml:space="preserve"> with imbalances</w:t>
      </w:r>
      <w:r w:rsidR="00E912E6" w:rsidRPr="00193BC1">
        <w:t xml:space="preserve"> in baseline characteristics which made this finding uncertain</w:t>
      </w:r>
      <w:r w:rsidR="0043567A" w:rsidRPr="00193BC1">
        <w:t>. T</w:t>
      </w:r>
      <w:r w:rsidRPr="00193BC1">
        <w:t xml:space="preserve">he comparison with </w:t>
      </w:r>
      <w:r w:rsidRPr="00193BC1">
        <w:lastRenderedPageBreak/>
        <w:t>omalizumab (#6)</w:t>
      </w:r>
      <w:r w:rsidR="006861A5" w:rsidRPr="00193BC1">
        <w:t xml:space="preserve"> </w:t>
      </w:r>
      <w:r w:rsidR="00202358" w:rsidRPr="00193BC1">
        <w:t xml:space="preserve">incorporated </w:t>
      </w:r>
      <w:r w:rsidR="00043C6F" w:rsidRPr="00193BC1">
        <w:t>substantial transitivity issues</w:t>
      </w:r>
      <w:r w:rsidR="00951A3B" w:rsidRPr="00193BC1">
        <w:t xml:space="preserve">, </w:t>
      </w:r>
      <w:r w:rsidR="006F4E7D" w:rsidRPr="00193BC1">
        <w:t>which made</w:t>
      </w:r>
      <w:r w:rsidR="001E062C" w:rsidRPr="00193BC1">
        <w:t xml:space="preserve"> interpretation </w:t>
      </w:r>
      <w:r w:rsidR="00A13EF4" w:rsidRPr="00193BC1">
        <w:t>highly uncertain</w:t>
      </w:r>
      <w:r w:rsidR="009368B7" w:rsidRPr="00193BC1">
        <w:t>.</w:t>
      </w:r>
      <w:r w:rsidR="00AD3E67" w:rsidRPr="00193BC1">
        <w:t xml:space="preserve"> </w:t>
      </w:r>
    </w:p>
    <w:p w14:paraId="21236843" w14:textId="77777777" w:rsidR="002156F2" w:rsidRPr="00193BC1" w:rsidRDefault="002156F2" w:rsidP="001716E0">
      <w:pPr>
        <w:pStyle w:val="3-BodyText"/>
      </w:pPr>
      <w:r w:rsidRPr="00193BC1">
        <w:t xml:space="preserve">The claim of non-inferior safety for dupilumab </w:t>
      </w:r>
      <w:r w:rsidR="00043494" w:rsidRPr="00193BC1">
        <w:t>was uncertain</w:t>
      </w:r>
      <w:r w:rsidRPr="00193BC1">
        <w:t>, based on c</w:t>
      </w:r>
      <w:r w:rsidR="00586535" w:rsidRPr="00193BC1">
        <w:t xml:space="preserve">urrently available safety data for </w:t>
      </w:r>
      <w:r w:rsidR="006E7D93" w:rsidRPr="00193BC1">
        <w:t>dupilumab and its comparators</w:t>
      </w:r>
      <w:r w:rsidR="00F331B6" w:rsidRPr="00193BC1">
        <w:t xml:space="preserve"> and the ITC presented by the submission. It is </w:t>
      </w:r>
      <w:r w:rsidR="00196C69" w:rsidRPr="00193BC1">
        <w:t>plausible</w:t>
      </w:r>
      <w:r w:rsidR="00276EC8" w:rsidRPr="00193BC1">
        <w:t xml:space="preserve"> </w:t>
      </w:r>
      <w:r w:rsidR="00F331B6" w:rsidRPr="00193BC1">
        <w:t>that dupilumab was inferior to the comparators for serious adverse events, and inferior to mepolizumab for adverse events leading to discontinuation</w:t>
      </w:r>
      <w:r w:rsidR="00976BC5" w:rsidRPr="00193BC1">
        <w:t xml:space="preserve">, but the </w:t>
      </w:r>
      <w:r w:rsidR="006D106C" w:rsidRPr="00193BC1">
        <w:t xml:space="preserve">ITC </w:t>
      </w:r>
      <w:r w:rsidR="00913C14" w:rsidRPr="00193BC1">
        <w:t>was unable</w:t>
      </w:r>
      <w:r w:rsidR="00976BC5" w:rsidRPr="00193BC1">
        <w:t xml:space="preserve"> to </w:t>
      </w:r>
      <w:r w:rsidR="00276EC8" w:rsidRPr="00193BC1">
        <w:t>significantly</w:t>
      </w:r>
      <w:r w:rsidR="00976BC5" w:rsidRPr="00193BC1">
        <w:t xml:space="preserve"> </w:t>
      </w:r>
      <w:r w:rsidR="00582CCC" w:rsidRPr="00193BC1">
        <w:t>delineate</w:t>
      </w:r>
      <w:r w:rsidR="00976BC5" w:rsidRPr="00193BC1">
        <w:t xml:space="preserve"> these </w:t>
      </w:r>
      <w:r w:rsidR="009F7B65" w:rsidRPr="00193BC1">
        <w:t>differences</w:t>
      </w:r>
      <w:r w:rsidR="00AD420C" w:rsidRPr="00193BC1">
        <w:t>. It is</w:t>
      </w:r>
      <w:r w:rsidR="00D146F0" w:rsidRPr="00193BC1">
        <w:t xml:space="preserve"> </w:t>
      </w:r>
      <w:r w:rsidR="00712FB9" w:rsidRPr="00193BC1">
        <w:t xml:space="preserve">also </w:t>
      </w:r>
      <w:r w:rsidR="00AD420C" w:rsidRPr="00193BC1">
        <w:t xml:space="preserve">possible that </w:t>
      </w:r>
      <w:r w:rsidR="00AD622F" w:rsidRPr="00193BC1">
        <w:t>data presented by the submission</w:t>
      </w:r>
      <w:r w:rsidR="00BC7508" w:rsidRPr="00193BC1">
        <w:t xml:space="preserve">, drawn from </w:t>
      </w:r>
      <w:r w:rsidR="00CB1B47" w:rsidRPr="00193BC1">
        <w:t xml:space="preserve">around </w:t>
      </w:r>
      <w:r w:rsidR="000E3B9D" w:rsidRPr="00193BC1">
        <w:t>3</w:t>
      </w:r>
      <w:r w:rsidR="00AD420C" w:rsidRPr="00193BC1">
        <w:t>,</w:t>
      </w:r>
      <w:r w:rsidR="000E3B9D" w:rsidRPr="00193BC1">
        <w:t>3</w:t>
      </w:r>
      <w:r w:rsidR="00AD420C" w:rsidRPr="00193BC1">
        <w:t>00 patients</w:t>
      </w:r>
      <w:r w:rsidR="000E3B9D" w:rsidRPr="00193BC1">
        <w:t xml:space="preserve"> exposed to dupilumab</w:t>
      </w:r>
      <w:r w:rsidR="00AD622F" w:rsidRPr="00193BC1">
        <w:t>,</w:t>
      </w:r>
      <w:r w:rsidR="00BC7508" w:rsidRPr="00193BC1">
        <w:t xml:space="preserve"> </w:t>
      </w:r>
      <w:r w:rsidR="00AD420C" w:rsidRPr="00193BC1">
        <w:t xml:space="preserve">is not powerful enough to detect rare </w:t>
      </w:r>
      <w:r w:rsidR="00BC7508" w:rsidRPr="00193BC1">
        <w:t xml:space="preserve">but serious adverse </w:t>
      </w:r>
      <w:r w:rsidR="00AD420C" w:rsidRPr="00193BC1">
        <w:t>events</w:t>
      </w:r>
      <w:r w:rsidR="00BC7508" w:rsidRPr="00193BC1">
        <w:t xml:space="preserve">; it is noted that detection of the risk for anaphylaxis in patients treated with omalizumab occurred after the </w:t>
      </w:r>
      <w:r w:rsidR="00E73794" w:rsidRPr="00193BC1">
        <w:t>F</w:t>
      </w:r>
      <w:r w:rsidR="00BB796E" w:rsidRPr="00193BC1">
        <w:t xml:space="preserve">ood and </w:t>
      </w:r>
      <w:r w:rsidR="00E73794" w:rsidRPr="00193BC1">
        <w:t>D</w:t>
      </w:r>
      <w:r w:rsidR="00BB796E" w:rsidRPr="00193BC1">
        <w:t xml:space="preserve">rug </w:t>
      </w:r>
      <w:r w:rsidR="00E73794" w:rsidRPr="00193BC1">
        <w:t>A</w:t>
      </w:r>
      <w:r w:rsidR="00BB796E" w:rsidRPr="00193BC1">
        <w:t>dministration</w:t>
      </w:r>
      <w:r w:rsidR="00BC7508" w:rsidRPr="00193BC1">
        <w:t xml:space="preserve"> </w:t>
      </w:r>
      <w:r w:rsidR="00E17CC4" w:rsidRPr="00193BC1">
        <w:t>reviewed</w:t>
      </w:r>
      <w:r w:rsidR="00BC7508" w:rsidRPr="00193BC1">
        <w:t xml:space="preserve"> 124 cases out of</w:t>
      </w:r>
      <w:r w:rsidR="00016DB5" w:rsidRPr="00193BC1">
        <w:t xml:space="preserve"> an estimated</w:t>
      </w:r>
      <w:r w:rsidR="00BC7508" w:rsidRPr="00193BC1">
        <w:t xml:space="preserve"> 57,</w:t>
      </w:r>
      <w:r w:rsidR="00016DB5" w:rsidRPr="00193BC1">
        <w:t>3</w:t>
      </w:r>
      <w:r w:rsidR="00BC7508" w:rsidRPr="00193BC1">
        <w:t>00 exposed patients</w:t>
      </w:r>
      <w:r w:rsidR="006E38A8" w:rsidRPr="00193BC1">
        <w:t xml:space="preserve"> (~0.2% of treated patients)</w:t>
      </w:r>
      <w:r w:rsidR="00B94E97" w:rsidRPr="00193BC1">
        <w:rPr>
          <w:rStyle w:val="FootnoteReference"/>
        </w:rPr>
        <w:footnoteReference w:id="9"/>
      </w:r>
      <w:r w:rsidR="006E7D93" w:rsidRPr="00193BC1">
        <w:t>.</w:t>
      </w:r>
      <w:r w:rsidR="00AD3E67" w:rsidRPr="00193BC1">
        <w:t xml:space="preserve"> The ESC noted </w:t>
      </w:r>
      <w:r w:rsidR="00F45A5B" w:rsidRPr="00193BC1">
        <w:t xml:space="preserve">the trend of inferior safety for serious adverse events, and agreed with the </w:t>
      </w:r>
      <w:r w:rsidR="00A976AB" w:rsidRPr="00193BC1">
        <w:t>evaluation</w:t>
      </w:r>
      <w:r w:rsidR="00F45A5B" w:rsidRPr="00193BC1">
        <w:t xml:space="preserve"> that the non-inferior safety claim for dupilumab against its comparators was uncertain.</w:t>
      </w:r>
      <w:r w:rsidR="00A61C29" w:rsidRPr="00193BC1">
        <w:t xml:space="preserve"> The pre-PBAC </w:t>
      </w:r>
      <w:r w:rsidR="00C0147A" w:rsidRPr="00193BC1">
        <w:t>response</w:t>
      </w:r>
      <w:r w:rsidR="00A61C29" w:rsidRPr="00193BC1">
        <w:t xml:space="preserve"> argued that there was variation in terms of safety follow-up duration across the included trials, with definitions being poorly reported in some instances and none being powered to detect differences in safety outcomes. </w:t>
      </w:r>
      <w:r w:rsidR="001018CE" w:rsidRPr="00193BC1">
        <w:t xml:space="preserve">Despite this, the pre-PBAC response argued that </w:t>
      </w:r>
      <w:r w:rsidR="00A61C29" w:rsidRPr="00193BC1">
        <w:t xml:space="preserve">presented </w:t>
      </w:r>
      <w:r w:rsidR="001018CE" w:rsidRPr="00193BC1">
        <w:t xml:space="preserve">clinical evidence (including a </w:t>
      </w:r>
      <w:r w:rsidR="001018CE" w:rsidRPr="00193BC1">
        <w:rPr>
          <w:iCs/>
        </w:rPr>
        <w:t>periodic benefit risk evaluation report which</w:t>
      </w:r>
      <w:r w:rsidR="00D30689" w:rsidRPr="00193BC1">
        <w:t xml:space="preserve"> provided information on</w:t>
      </w:r>
      <w:r w:rsidR="00A61C29" w:rsidRPr="00193BC1">
        <w:t xml:space="preserve"> cumulative post marketing exposure to dupilumab of 161,582 patient years</w:t>
      </w:r>
      <w:r w:rsidR="00D30689" w:rsidRPr="00193BC1">
        <w:t>) suggested</w:t>
      </w:r>
      <w:r w:rsidR="001018CE" w:rsidRPr="00193BC1">
        <w:t xml:space="preserve"> </w:t>
      </w:r>
      <w:r w:rsidR="00A61C29" w:rsidRPr="00193BC1">
        <w:t>the benefit-risk balance of dupilumab is favourable in patients with asthma and certainly non-inferior to the nominated submission comparators.</w:t>
      </w:r>
    </w:p>
    <w:p w14:paraId="6663837E" w14:textId="77777777" w:rsidR="006E7D29" w:rsidRPr="00193BC1" w:rsidRDefault="006E7D29" w:rsidP="00196431">
      <w:pPr>
        <w:pStyle w:val="3-BodyText"/>
      </w:pPr>
      <w:r w:rsidRPr="00193BC1">
        <w:t xml:space="preserve">The PBAC </w:t>
      </w:r>
      <w:r w:rsidR="00196431" w:rsidRPr="00193BC1">
        <w:t xml:space="preserve">noted the supplementary ITCs (ITC 1a and ITC 2a) provided in the pre-PBAC response to address concerns </w:t>
      </w:r>
      <w:r w:rsidR="002522A6" w:rsidRPr="00193BC1">
        <w:t xml:space="preserve">raised by the evaluator and ESC </w:t>
      </w:r>
      <w:r w:rsidR="00196431" w:rsidRPr="00193BC1">
        <w:rPr>
          <w:snapToGrid w:val="0"/>
        </w:rPr>
        <w:t>regarding the inclusion of medium-dose ICS patients</w:t>
      </w:r>
      <w:r w:rsidR="00D30689" w:rsidRPr="00193BC1">
        <w:rPr>
          <w:snapToGrid w:val="0"/>
        </w:rPr>
        <w:t>, patients with lower blood EOS</w:t>
      </w:r>
      <w:r w:rsidR="00196431" w:rsidRPr="00193BC1">
        <w:rPr>
          <w:snapToGrid w:val="0"/>
        </w:rPr>
        <w:t xml:space="preserve"> and the exclusion of patients who experienced one severe exacerbation in the previous year in the dupilumab trials (see paragraph 6.21). In addition, the PBAC noted the </w:t>
      </w:r>
      <w:r w:rsidR="00196431" w:rsidRPr="00193BC1">
        <w:t xml:space="preserve">allergic asthma sensitivity analysis ITC (ITC 3a) </w:t>
      </w:r>
      <w:r w:rsidR="002522A6" w:rsidRPr="00193BC1">
        <w:t xml:space="preserve">highlighted by the pre-PBAC response </w:t>
      </w:r>
      <w:r w:rsidR="00196431" w:rsidRPr="00193BC1">
        <w:t>which, like the current PBS initiation criteria, did not have an upper limit of IgE</w:t>
      </w:r>
      <w:r w:rsidR="002522A6" w:rsidRPr="00193BC1">
        <w:t xml:space="preserve"> (see paragraph 6.22)</w:t>
      </w:r>
      <w:r w:rsidR="00196431" w:rsidRPr="00193BC1">
        <w:t xml:space="preserve">. Overall, the PBAC considered that the claim of non-inferior comparative effectiveness was uncertain but reasonable. </w:t>
      </w:r>
    </w:p>
    <w:p w14:paraId="12B8589C" w14:textId="77777777" w:rsidR="006E7D29" w:rsidRPr="00193BC1" w:rsidRDefault="006E7D29" w:rsidP="006E7D29">
      <w:pPr>
        <w:pStyle w:val="3-BodyText"/>
      </w:pPr>
      <w:r w:rsidRPr="00193BC1">
        <w:t>The PBAC considered that the claim of non-inferior</w:t>
      </w:r>
      <w:r w:rsidR="00196431" w:rsidRPr="00193BC1">
        <w:t xml:space="preserve"> </w:t>
      </w:r>
      <w:r w:rsidRPr="00193BC1">
        <w:t>comparative safety was reasonable.</w:t>
      </w:r>
    </w:p>
    <w:p w14:paraId="452C185C" w14:textId="77777777" w:rsidR="00B60939" w:rsidRPr="00193BC1" w:rsidRDefault="00B60939" w:rsidP="000D6C18">
      <w:pPr>
        <w:pStyle w:val="4-SubsectionHeading"/>
      </w:pPr>
      <w:bookmarkStart w:id="30" w:name="_Toc22897645"/>
      <w:bookmarkStart w:id="31" w:name="_Toc50399843"/>
      <w:r w:rsidRPr="00193BC1">
        <w:t>Economic analysis</w:t>
      </w:r>
      <w:bookmarkEnd w:id="30"/>
      <w:bookmarkEnd w:id="31"/>
      <w:r w:rsidR="00491B3A" w:rsidRPr="00193BC1">
        <w:t xml:space="preserve"> </w:t>
      </w:r>
    </w:p>
    <w:p w14:paraId="47AF6A65" w14:textId="77777777" w:rsidR="00714639" w:rsidRPr="00193BC1" w:rsidRDefault="00714639" w:rsidP="000D6C18">
      <w:pPr>
        <w:pStyle w:val="3-BodyText"/>
        <w:keepNext/>
      </w:pPr>
      <w:bookmarkStart w:id="32" w:name="_Toc22897650"/>
      <w:r w:rsidRPr="00193BC1">
        <w:t xml:space="preserve">The submission presented a cost-minimisation analysis of dupilumab versus </w:t>
      </w:r>
      <w:r w:rsidR="00963B4E" w:rsidRPr="00193BC1">
        <w:t xml:space="preserve">a weighted combination of </w:t>
      </w:r>
      <w:r w:rsidRPr="00193BC1">
        <w:t xml:space="preserve">benralizumab, mepolizumab and omalizumab, with cost-offsets for a reduction in </w:t>
      </w:r>
      <w:r w:rsidR="00F52EC1" w:rsidRPr="00193BC1">
        <w:t xml:space="preserve">use of </w:t>
      </w:r>
      <w:r w:rsidRPr="00193BC1">
        <w:t xml:space="preserve">health care resources (compared with omalizumab). This approach was consistent with the submission’s claim that dupilumab </w:t>
      </w:r>
      <w:r w:rsidR="00237F66" w:rsidRPr="00193BC1">
        <w:t>is non-</w:t>
      </w:r>
      <w:r w:rsidR="00237F66" w:rsidRPr="00193BC1">
        <w:lastRenderedPageBreak/>
        <w:t xml:space="preserve">inferior to benralizumab, </w:t>
      </w:r>
      <w:r w:rsidRPr="00193BC1">
        <w:t xml:space="preserve">mepolizumab </w:t>
      </w:r>
      <w:r w:rsidR="00237F66" w:rsidRPr="00193BC1">
        <w:t xml:space="preserve">and omalizumab </w:t>
      </w:r>
      <w:r w:rsidRPr="00193BC1">
        <w:t xml:space="preserve">in terms of both effectiveness and safety. </w:t>
      </w:r>
    </w:p>
    <w:p w14:paraId="2F9190E4" w14:textId="77777777" w:rsidR="00714639" w:rsidRPr="00193BC1" w:rsidRDefault="00714639" w:rsidP="001716E0">
      <w:pPr>
        <w:pStyle w:val="3-BodyText"/>
      </w:pPr>
      <w:r w:rsidRPr="00193BC1">
        <w:t>The equi-effective doses estimated by the submission were:</w:t>
      </w:r>
    </w:p>
    <w:p w14:paraId="7E703964" w14:textId="77777777" w:rsidR="00714639" w:rsidRPr="00193BC1" w:rsidRDefault="00714639" w:rsidP="00580E2F">
      <w:pPr>
        <w:ind w:left="737"/>
      </w:pPr>
      <w:r w:rsidRPr="00193BC1">
        <w:t>In patients with eosinophilic asthma</w:t>
      </w:r>
      <w:r w:rsidR="00F003AD" w:rsidRPr="00193BC1">
        <w:t xml:space="preserve">, </w:t>
      </w:r>
      <w:r w:rsidRPr="00193BC1">
        <w:t>dupilumab 400</w:t>
      </w:r>
      <w:r w:rsidR="00EB2488" w:rsidRPr="00193BC1">
        <w:t xml:space="preserve"> </w:t>
      </w:r>
      <w:r w:rsidRPr="00193BC1">
        <w:t>mg subcutaneous injection (two injections consecutively in two different injection sites) followed by 200</w:t>
      </w:r>
      <w:r w:rsidR="00EB2488" w:rsidRPr="00193BC1">
        <w:t xml:space="preserve"> </w:t>
      </w:r>
      <w:r w:rsidRPr="00193BC1">
        <w:t xml:space="preserve">mg given every 2 weeks </w:t>
      </w:r>
      <w:r w:rsidR="00F003AD" w:rsidRPr="00193BC1">
        <w:t xml:space="preserve">in </w:t>
      </w:r>
      <w:r w:rsidR="008F08A7" w:rsidRPr="00193BC1">
        <w:t xml:space="preserve">the </w:t>
      </w:r>
      <w:r w:rsidR="00F003AD" w:rsidRPr="00193BC1">
        <w:t xml:space="preserve">non-OCS dependent </w:t>
      </w:r>
      <w:r w:rsidR="00031086" w:rsidRPr="00193BC1">
        <w:t>population</w:t>
      </w:r>
      <w:r w:rsidR="00F003AD" w:rsidRPr="00193BC1">
        <w:t xml:space="preserve"> </w:t>
      </w:r>
      <w:r w:rsidR="008F08A7" w:rsidRPr="00193BC1">
        <w:t>and</w:t>
      </w:r>
      <w:r w:rsidR="00F003AD" w:rsidRPr="00193BC1">
        <w:t xml:space="preserve"> </w:t>
      </w:r>
      <w:r w:rsidR="00E9172C" w:rsidRPr="00193BC1">
        <w:t>dupilumab</w:t>
      </w:r>
      <w:r w:rsidR="00F003AD" w:rsidRPr="00193BC1">
        <w:t xml:space="preserve"> 600</w:t>
      </w:r>
      <w:r w:rsidR="00EB2488" w:rsidRPr="00193BC1">
        <w:t xml:space="preserve"> </w:t>
      </w:r>
      <w:r w:rsidR="00F003AD" w:rsidRPr="00193BC1">
        <w:t>mg subcutaneous injection (two injections consecutively in two different injection sites) followed by 300</w:t>
      </w:r>
      <w:r w:rsidR="00EB2488" w:rsidRPr="00193BC1">
        <w:t xml:space="preserve"> </w:t>
      </w:r>
      <w:r w:rsidR="00F003AD" w:rsidRPr="00193BC1">
        <w:t xml:space="preserve">mg given every 2 weeks in </w:t>
      </w:r>
      <w:r w:rsidR="008F08A7" w:rsidRPr="00193BC1">
        <w:t xml:space="preserve">the </w:t>
      </w:r>
      <w:r w:rsidR="00F003AD" w:rsidRPr="00193BC1">
        <w:t xml:space="preserve">OCS dependent </w:t>
      </w:r>
      <w:r w:rsidR="00031086" w:rsidRPr="00193BC1">
        <w:t>population</w:t>
      </w:r>
      <w:r w:rsidR="00F003AD" w:rsidRPr="00193BC1">
        <w:t xml:space="preserve"> </w:t>
      </w:r>
      <w:r w:rsidR="008F08A7" w:rsidRPr="00193BC1">
        <w:t xml:space="preserve">are </w:t>
      </w:r>
      <w:r w:rsidRPr="00193BC1">
        <w:t>equi-effective to:</w:t>
      </w:r>
    </w:p>
    <w:p w14:paraId="3256A4DE" w14:textId="77777777" w:rsidR="00714639" w:rsidRPr="00193BC1" w:rsidRDefault="00714639" w:rsidP="005863D4">
      <w:pPr>
        <w:pStyle w:val="ListParagraph"/>
        <w:numPr>
          <w:ilvl w:val="0"/>
          <w:numId w:val="22"/>
        </w:numPr>
        <w:ind w:left="1134"/>
      </w:pPr>
      <w:r w:rsidRPr="00193BC1">
        <w:rPr>
          <w:shd w:val="clear" w:color="auto" w:fill="FFFFFF"/>
        </w:rPr>
        <w:t>benralizumab 30</w:t>
      </w:r>
      <w:r w:rsidR="00EB2488" w:rsidRPr="00193BC1">
        <w:rPr>
          <w:shd w:val="clear" w:color="auto" w:fill="FFFFFF"/>
        </w:rPr>
        <w:t xml:space="preserve"> </w:t>
      </w:r>
      <w:r w:rsidRPr="00193BC1">
        <w:rPr>
          <w:shd w:val="clear" w:color="auto" w:fill="FFFFFF"/>
        </w:rPr>
        <w:t xml:space="preserve">mg </w:t>
      </w:r>
      <w:r w:rsidRPr="00193BC1">
        <w:t xml:space="preserve">subcutaneous injection </w:t>
      </w:r>
      <w:r w:rsidRPr="00193BC1">
        <w:rPr>
          <w:shd w:val="clear" w:color="auto" w:fill="FFFFFF"/>
        </w:rPr>
        <w:t>every 4 weeks for the first three doses, and every 8 weeks thereafter, and</w:t>
      </w:r>
    </w:p>
    <w:p w14:paraId="40FFB616" w14:textId="77777777" w:rsidR="00714639" w:rsidRPr="00193BC1" w:rsidRDefault="00714639" w:rsidP="005863D4">
      <w:pPr>
        <w:pStyle w:val="ListParagraph"/>
        <w:numPr>
          <w:ilvl w:val="0"/>
          <w:numId w:val="22"/>
        </w:numPr>
        <w:ind w:left="1134"/>
      </w:pPr>
      <w:r w:rsidRPr="00193BC1">
        <w:rPr>
          <w:shd w:val="clear" w:color="auto" w:fill="FFFFFF"/>
        </w:rPr>
        <w:t>mepolizumab 100</w:t>
      </w:r>
      <w:r w:rsidR="00EB2488" w:rsidRPr="00193BC1">
        <w:rPr>
          <w:shd w:val="clear" w:color="auto" w:fill="FFFFFF"/>
        </w:rPr>
        <w:t xml:space="preserve"> </w:t>
      </w:r>
      <w:r w:rsidRPr="00193BC1">
        <w:rPr>
          <w:shd w:val="clear" w:color="auto" w:fill="FFFFFF"/>
        </w:rPr>
        <w:t xml:space="preserve">mg </w:t>
      </w:r>
      <w:r w:rsidRPr="00193BC1">
        <w:t xml:space="preserve">subcutaneous injection </w:t>
      </w:r>
      <w:r w:rsidRPr="00193BC1">
        <w:rPr>
          <w:shd w:val="clear" w:color="auto" w:fill="FFFFFF"/>
        </w:rPr>
        <w:t>every 4 weeks.</w:t>
      </w:r>
    </w:p>
    <w:p w14:paraId="2CF930E0" w14:textId="77777777" w:rsidR="00714639" w:rsidRPr="00193BC1" w:rsidRDefault="00714639" w:rsidP="00580E2F">
      <w:pPr>
        <w:ind w:left="737"/>
      </w:pPr>
      <w:r w:rsidRPr="00193BC1">
        <w:t>In patients with allergic asthma, dupilumab 400</w:t>
      </w:r>
      <w:r w:rsidR="00EB2488" w:rsidRPr="00193BC1">
        <w:t xml:space="preserve"> </w:t>
      </w:r>
      <w:r w:rsidRPr="00193BC1">
        <w:t>mg subcutaneous injection (two injections consecutively in two different injection sites) followed by 200</w:t>
      </w:r>
      <w:r w:rsidR="00EB2488" w:rsidRPr="00193BC1">
        <w:t xml:space="preserve"> </w:t>
      </w:r>
      <w:r w:rsidRPr="00193BC1">
        <w:t xml:space="preserve">mg given every 2 weeks </w:t>
      </w:r>
      <w:r w:rsidR="00031086" w:rsidRPr="00193BC1">
        <w:t xml:space="preserve">in </w:t>
      </w:r>
      <w:r w:rsidR="008F08A7" w:rsidRPr="00193BC1">
        <w:t xml:space="preserve">the </w:t>
      </w:r>
      <w:r w:rsidR="00031086" w:rsidRPr="00193BC1">
        <w:t xml:space="preserve">non-OCS dependent population </w:t>
      </w:r>
      <w:r w:rsidR="008F08A7" w:rsidRPr="00193BC1">
        <w:t>and</w:t>
      </w:r>
      <w:r w:rsidR="00031086" w:rsidRPr="00193BC1">
        <w:t xml:space="preserve"> </w:t>
      </w:r>
      <w:r w:rsidR="00E9172C" w:rsidRPr="00193BC1">
        <w:t>dupilumab</w:t>
      </w:r>
      <w:r w:rsidR="00031086" w:rsidRPr="00193BC1">
        <w:t xml:space="preserve"> 600</w:t>
      </w:r>
      <w:r w:rsidR="00EB2488" w:rsidRPr="00193BC1">
        <w:t xml:space="preserve"> </w:t>
      </w:r>
      <w:r w:rsidR="00031086" w:rsidRPr="00193BC1">
        <w:t>mg subcutaneous injection (two injections consecutively in two different injection sites) followed by 300</w:t>
      </w:r>
      <w:r w:rsidR="00EB2488" w:rsidRPr="00193BC1">
        <w:t xml:space="preserve"> </w:t>
      </w:r>
      <w:r w:rsidR="00031086" w:rsidRPr="00193BC1">
        <w:t xml:space="preserve">mg given every 2 weeks in </w:t>
      </w:r>
      <w:r w:rsidR="008F08A7" w:rsidRPr="00193BC1">
        <w:t xml:space="preserve">the </w:t>
      </w:r>
      <w:r w:rsidR="00031086" w:rsidRPr="00193BC1">
        <w:t xml:space="preserve">OCS dependent population </w:t>
      </w:r>
      <w:r w:rsidR="008F08A7" w:rsidRPr="00193BC1">
        <w:t xml:space="preserve">are </w:t>
      </w:r>
      <w:r w:rsidRPr="00193BC1">
        <w:t>equi-effective to:</w:t>
      </w:r>
    </w:p>
    <w:p w14:paraId="6ED4D4C5" w14:textId="77777777" w:rsidR="00714639" w:rsidRPr="00193BC1" w:rsidRDefault="00714639" w:rsidP="005863D4">
      <w:pPr>
        <w:pStyle w:val="ListParagraph"/>
        <w:numPr>
          <w:ilvl w:val="0"/>
          <w:numId w:val="22"/>
        </w:numPr>
        <w:tabs>
          <w:tab w:val="left" w:pos="1134"/>
        </w:tabs>
        <w:ind w:left="1134"/>
        <w:jc w:val="both"/>
        <w:rPr>
          <w:shd w:val="clear" w:color="auto" w:fill="FFFFFF"/>
        </w:rPr>
      </w:pPr>
      <w:r w:rsidRPr="00193BC1">
        <w:rPr>
          <w:shd w:val="clear" w:color="auto" w:fill="FFFFFF"/>
        </w:rPr>
        <w:t>omalizumab 398</w:t>
      </w:r>
      <w:r w:rsidR="00EB2488" w:rsidRPr="00193BC1">
        <w:rPr>
          <w:shd w:val="clear" w:color="auto" w:fill="FFFFFF"/>
        </w:rPr>
        <w:t xml:space="preserve"> </w:t>
      </w:r>
      <w:r w:rsidRPr="00193BC1">
        <w:rPr>
          <w:shd w:val="clear" w:color="auto" w:fill="FFFFFF"/>
        </w:rPr>
        <w:t>mg every 4 weeks subcutaneous injection, either as one dose (i.e. once every 4 weeks) or split into two equal doses (i.e. once every 2 weeks) depending on patient weight and IgE level.</w:t>
      </w:r>
    </w:p>
    <w:p w14:paraId="75F369C5" w14:textId="77777777" w:rsidR="00714639" w:rsidRPr="00193BC1" w:rsidRDefault="00714639" w:rsidP="001716E0">
      <w:pPr>
        <w:pStyle w:val="3-BodyText"/>
      </w:pPr>
      <w:r w:rsidRPr="00193BC1">
        <w:t xml:space="preserve">These equi-effective doses were based on the fixed doses used in the key trials of dupilumab (QUEST, DRI12544 and VENTURE), benralizumab (SIROCCO, CALIMA and ZONDA) and mepolizumab (MUSCA, MENSA and SIRIUS). The dose and dosing frequency relating to omalizumab therapy </w:t>
      </w:r>
      <w:r w:rsidR="00F52EC1" w:rsidRPr="00193BC1">
        <w:t xml:space="preserve">were </w:t>
      </w:r>
      <w:r w:rsidRPr="00193BC1">
        <w:t>determined by patient body weight and baseline serum total IgE level, measured before the start of treatment. The equi-effective dose for omalizumab used in the cost-minimisation analysis, i.e. 398</w:t>
      </w:r>
      <w:r w:rsidR="00EB2488" w:rsidRPr="00193BC1">
        <w:t xml:space="preserve"> </w:t>
      </w:r>
      <w:r w:rsidRPr="00193BC1">
        <w:t>mg per 4 weeks, was the mean omalizumab dose derived from Trial INNOVATE, which has been accepted by the PBAC (paragraphs 6.16 and 7.12, mepolizumab PSD, July 2016 PBAC meeting). The proposed equi-effective doses for the comparators, namely benralizumab, mepolizumab and omalizumab, were consistent with the Therapeutic Relativity Sheets (1 November 2019)</w:t>
      </w:r>
      <w:r w:rsidRPr="00193BC1">
        <w:rPr>
          <w:rStyle w:val="FootnoteReference"/>
        </w:rPr>
        <w:footnoteReference w:id="10"/>
      </w:r>
      <w:r w:rsidRPr="00193BC1">
        <w:t>.</w:t>
      </w:r>
    </w:p>
    <w:p w14:paraId="162DB377" w14:textId="77777777" w:rsidR="00714639" w:rsidRPr="00193BC1" w:rsidRDefault="00714639" w:rsidP="001716E0">
      <w:pPr>
        <w:pStyle w:val="3-BodyText"/>
        <w:rPr>
          <w:rFonts w:eastAsia="Calibri"/>
        </w:rPr>
      </w:pPr>
      <w:r w:rsidRPr="00193BC1">
        <w:t xml:space="preserve">In the cost-minimisation analysis, the loading dose(s) relating to the dupilumab therapy and the benralizumab therapy were also taken into account. The inclusion of the fixed loading doses in estimating the equi-effective doses was </w:t>
      </w:r>
      <w:r w:rsidR="00963B4E" w:rsidRPr="00193BC1">
        <w:t xml:space="preserve">consistent </w:t>
      </w:r>
      <w:r w:rsidRPr="00193BC1">
        <w:t>with previous PBAC consideration (paragraphs 6.49 and 7.11, benralizumab, PSD, March 2018 PBAC meeting).</w:t>
      </w:r>
    </w:p>
    <w:p w14:paraId="724A8A4F" w14:textId="77777777" w:rsidR="00714639" w:rsidRPr="00193BC1" w:rsidRDefault="00714639" w:rsidP="001716E0">
      <w:pPr>
        <w:pStyle w:val="3-BodyText"/>
        <w:rPr>
          <w:b/>
          <w:bCs/>
        </w:rPr>
      </w:pPr>
      <w:r w:rsidRPr="00193BC1">
        <w:lastRenderedPageBreak/>
        <w:t xml:space="preserve">Therapies with dupilumab and its comparators were costed over 3 years. This time frame was not justified and was much longer than the treatment duration in </w:t>
      </w:r>
      <w:r w:rsidR="004E0BB5" w:rsidRPr="00193BC1">
        <w:t xml:space="preserve">the </w:t>
      </w:r>
      <w:r w:rsidRPr="00193BC1">
        <w:t xml:space="preserve">clinical trials (24-52 weeks in the dupilumab studies vs. 24-56 weeks in the comparator trials). When the benralizumab submission was considered at the March 2018 meeting, the PBAC noted that a 1-year time horizon was appropriate as it aligned with the duration of the key trials (56 weeks in CALIMA and 48 weeks in SIROCCO) (paragraphs 6.48 and 7.11, benralizumab, PSD, March 2018 PBAC meeting). </w:t>
      </w:r>
    </w:p>
    <w:p w14:paraId="30A8EDBD" w14:textId="77777777" w:rsidR="00714639" w:rsidRPr="00193BC1" w:rsidRDefault="00714639" w:rsidP="001716E0">
      <w:pPr>
        <w:pStyle w:val="3-BodyText"/>
        <w:rPr>
          <w:bCs/>
        </w:rPr>
      </w:pPr>
      <w:r w:rsidRPr="00193BC1">
        <w:t>In the cost-minimisation analysis, the submission took into account the one-off cost for subcutaneous injection training (MBS item 82215) for patients treated with dupilumab, benralizu</w:t>
      </w:r>
      <w:r w:rsidR="00345DF8">
        <w:t>mab and mepolizumab. I</w:t>
      </w:r>
      <w:r w:rsidRPr="00193BC1">
        <w:t xml:space="preserve">n </w:t>
      </w:r>
      <w:r w:rsidR="004E0BB5" w:rsidRPr="00193BC1">
        <w:t>all</w:t>
      </w:r>
      <w:r w:rsidRPr="00193BC1">
        <w:t xml:space="preserve"> patients receiving omalizumab, services relating to subcutaneous administration by a nurse practitioner (MBS item 82200), monitoring of anaphylaxis events (MBS item 82210) </w:t>
      </w:r>
      <w:r w:rsidR="004E0BB5" w:rsidRPr="00193BC1">
        <w:t xml:space="preserve">following each injection </w:t>
      </w:r>
      <w:r w:rsidRPr="00193BC1">
        <w:t xml:space="preserve">and treatment of anaphylaxis (PBS item 8698T) were costed. </w:t>
      </w:r>
      <w:r w:rsidRPr="00193BC1">
        <w:rPr>
          <w:bCs/>
        </w:rPr>
        <w:t xml:space="preserve">The inclusion of the above costs in the cost-minimisation analysis was consistent with previous </w:t>
      </w:r>
      <w:r w:rsidR="00F52EC1" w:rsidRPr="00193BC1">
        <w:rPr>
          <w:bCs/>
        </w:rPr>
        <w:t xml:space="preserve">asthma biologic </w:t>
      </w:r>
      <w:r w:rsidRPr="00193BC1">
        <w:rPr>
          <w:bCs/>
        </w:rPr>
        <w:t>submissions and/or previous PBAC considerations</w:t>
      </w:r>
      <w:r w:rsidR="00BD09C6">
        <w:rPr>
          <w:bCs/>
        </w:rPr>
        <w:t>. However, with respect to the omalizumab administration costs,</w:t>
      </w:r>
      <w:r w:rsidR="00873D93">
        <w:rPr>
          <w:bCs/>
        </w:rPr>
        <w:t xml:space="preserve"> </w:t>
      </w:r>
      <w:r w:rsidR="00BD09C6">
        <w:rPr>
          <w:bCs/>
        </w:rPr>
        <w:t>w</w:t>
      </w:r>
      <w:r w:rsidRPr="00193BC1">
        <w:rPr>
          <w:bCs/>
        </w:rPr>
        <w:t xml:space="preserve">hen </w:t>
      </w:r>
      <w:r w:rsidR="00873D93">
        <w:rPr>
          <w:bCs/>
        </w:rPr>
        <w:t xml:space="preserve">the </w:t>
      </w:r>
      <w:r w:rsidR="004E0BB5" w:rsidRPr="00193BC1">
        <w:rPr>
          <w:bCs/>
        </w:rPr>
        <w:t xml:space="preserve">PBAC </w:t>
      </w:r>
      <w:r w:rsidRPr="00193BC1">
        <w:rPr>
          <w:bCs/>
        </w:rPr>
        <w:t xml:space="preserve">considered the benralizumab submission at the March 2018 meeting, the Committee noted that subcutaneous injections would likely be administered by practice nurses, for whom MBS item codes do not apply, and the use of the MBS item for nurse practitioners as a proxy may overestimate this cost (paragraphs 6.57 and 7.13, benralizumab, PSD, March 2018 PBAC meeting). In addition, the omalizumab </w:t>
      </w:r>
      <w:r w:rsidR="004E0BB5" w:rsidRPr="00193BC1">
        <w:rPr>
          <w:bCs/>
        </w:rPr>
        <w:t>Product I</w:t>
      </w:r>
      <w:r w:rsidRPr="00193BC1">
        <w:rPr>
          <w:bCs/>
        </w:rPr>
        <w:t>nformation states that after proper training in subcutaneous injection technique, patients or the caregiver may self-inject omalizumab via pre-filled syringe if a physician determines that it is appropriate</w:t>
      </w:r>
      <w:r w:rsidR="00963B4E" w:rsidRPr="00193BC1">
        <w:rPr>
          <w:bCs/>
        </w:rPr>
        <w:t xml:space="preserve"> (as for dupilumab, benralizumab and mepolizumab)</w:t>
      </w:r>
      <w:r w:rsidRPr="00193BC1">
        <w:rPr>
          <w:bCs/>
        </w:rPr>
        <w:t xml:space="preserve">. </w:t>
      </w:r>
    </w:p>
    <w:p w14:paraId="5BB53B02" w14:textId="77777777" w:rsidR="00714639" w:rsidRPr="00193BC1" w:rsidRDefault="00714639" w:rsidP="001716E0">
      <w:pPr>
        <w:pStyle w:val="3-BodyText"/>
      </w:pPr>
      <w:r w:rsidRPr="00193BC1">
        <w:t xml:space="preserve">The results of cost-minimisation analysis, based on the published prices for benralizumab, mepolizumab and omalizumab, are presented in the table below. Of note, the MBS fees used in the analysis have been updated during the evaluation. </w:t>
      </w:r>
    </w:p>
    <w:p w14:paraId="52A5A347" w14:textId="77777777" w:rsidR="00714639" w:rsidRPr="00193BC1" w:rsidRDefault="00714639" w:rsidP="000D6C18">
      <w:pPr>
        <w:pStyle w:val="TableFigureHeading"/>
      </w:pPr>
      <w:bookmarkStart w:id="33" w:name="_Ref49864973"/>
      <w:r w:rsidRPr="00193BC1">
        <w:t xml:space="preserve">Table </w:t>
      </w:r>
      <w:bookmarkEnd w:id="33"/>
      <w:r w:rsidR="008F7132" w:rsidRPr="00193BC1">
        <w:t>13</w:t>
      </w:r>
      <w:r w:rsidRPr="00193BC1">
        <w:t xml:space="preserve">: Results of cost-minimisation analysis using </w:t>
      </w:r>
      <w:r w:rsidR="001F533C" w:rsidRPr="00193BC1">
        <w:t xml:space="preserve">published prices and </w:t>
      </w:r>
      <w:r w:rsidR="0083162C" w:rsidRPr="00193BC1">
        <w:t>the updated MBS fees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5"/>
        <w:gridCol w:w="1273"/>
        <w:gridCol w:w="1255"/>
        <w:gridCol w:w="1292"/>
        <w:gridCol w:w="1192"/>
      </w:tblGrid>
      <w:tr w:rsidR="006F2ADF" w:rsidRPr="00B57220" w14:paraId="03AECFAD" w14:textId="77777777" w:rsidTr="00B57220">
        <w:trPr>
          <w:tblHeader/>
        </w:trPr>
        <w:tc>
          <w:tcPr>
            <w:tcW w:w="2234" w:type="pct"/>
            <w:tcBorders>
              <w:bottom w:val="single" w:sz="4" w:space="0" w:color="auto"/>
            </w:tcBorders>
            <w:shd w:val="clear" w:color="auto" w:fill="auto"/>
          </w:tcPr>
          <w:p w14:paraId="3775B5AF" w14:textId="77777777" w:rsidR="00F52EC1" w:rsidRPr="00B57220" w:rsidRDefault="00F52EC1" w:rsidP="000D6C18">
            <w:pPr>
              <w:pStyle w:val="TableHeading"/>
              <w:spacing w:before="0" w:after="0"/>
              <w:rPr>
                <w:szCs w:val="20"/>
              </w:rPr>
            </w:pPr>
            <w:r w:rsidRPr="00B57220">
              <w:rPr>
                <w:szCs w:val="20"/>
              </w:rPr>
              <w:t>Parameter</w:t>
            </w:r>
          </w:p>
        </w:tc>
        <w:tc>
          <w:tcPr>
            <w:tcW w:w="719" w:type="pct"/>
            <w:tcBorders>
              <w:bottom w:val="single" w:sz="4" w:space="0" w:color="auto"/>
            </w:tcBorders>
          </w:tcPr>
          <w:p w14:paraId="39C7BAB7" w14:textId="77777777" w:rsidR="00F52EC1" w:rsidRPr="00B57220" w:rsidRDefault="00F52EC1" w:rsidP="000D6C18">
            <w:pPr>
              <w:pStyle w:val="TableHeading"/>
              <w:spacing w:before="0" w:after="0"/>
              <w:jc w:val="center"/>
              <w:rPr>
                <w:szCs w:val="20"/>
              </w:rPr>
            </w:pPr>
            <w:r w:rsidRPr="00B57220">
              <w:rPr>
                <w:szCs w:val="20"/>
              </w:rPr>
              <w:t>Dupilumab</w:t>
            </w:r>
          </w:p>
        </w:tc>
        <w:tc>
          <w:tcPr>
            <w:tcW w:w="683" w:type="pct"/>
            <w:tcBorders>
              <w:bottom w:val="single" w:sz="4" w:space="0" w:color="auto"/>
            </w:tcBorders>
          </w:tcPr>
          <w:p w14:paraId="3E52C48A" w14:textId="77777777" w:rsidR="00F52EC1" w:rsidRPr="00B57220" w:rsidRDefault="00F52EC1" w:rsidP="000D6C18">
            <w:pPr>
              <w:pStyle w:val="TableHeading"/>
              <w:spacing w:before="0" w:after="0"/>
              <w:jc w:val="center"/>
              <w:rPr>
                <w:szCs w:val="20"/>
              </w:rPr>
            </w:pPr>
            <w:r w:rsidRPr="00B57220">
              <w:rPr>
                <w:szCs w:val="20"/>
              </w:rPr>
              <w:t>Mepolizumab</w:t>
            </w:r>
          </w:p>
        </w:tc>
        <w:tc>
          <w:tcPr>
            <w:tcW w:w="703" w:type="pct"/>
            <w:tcBorders>
              <w:bottom w:val="single" w:sz="4" w:space="0" w:color="auto"/>
            </w:tcBorders>
            <w:shd w:val="clear" w:color="auto" w:fill="auto"/>
          </w:tcPr>
          <w:p w14:paraId="084AB59B" w14:textId="77777777" w:rsidR="00F52EC1" w:rsidRPr="00B57220" w:rsidRDefault="00F52EC1" w:rsidP="000D6C18">
            <w:pPr>
              <w:pStyle w:val="TableHeading"/>
              <w:spacing w:before="0" w:after="0"/>
              <w:jc w:val="center"/>
              <w:rPr>
                <w:szCs w:val="20"/>
              </w:rPr>
            </w:pPr>
            <w:r w:rsidRPr="00B57220">
              <w:rPr>
                <w:szCs w:val="20"/>
              </w:rPr>
              <w:t>Benralizumab</w:t>
            </w:r>
          </w:p>
        </w:tc>
        <w:tc>
          <w:tcPr>
            <w:tcW w:w="661" w:type="pct"/>
            <w:tcBorders>
              <w:bottom w:val="single" w:sz="4" w:space="0" w:color="auto"/>
            </w:tcBorders>
            <w:shd w:val="clear" w:color="auto" w:fill="auto"/>
          </w:tcPr>
          <w:p w14:paraId="3525BC1F" w14:textId="77777777" w:rsidR="00F52EC1" w:rsidRPr="00B57220" w:rsidRDefault="00F52EC1" w:rsidP="000D6C18">
            <w:pPr>
              <w:pStyle w:val="TableHeading"/>
              <w:spacing w:before="0" w:after="0"/>
              <w:jc w:val="center"/>
              <w:rPr>
                <w:szCs w:val="20"/>
              </w:rPr>
            </w:pPr>
            <w:r w:rsidRPr="00B57220">
              <w:rPr>
                <w:szCs w:val="20"/>
              </w:rPr>
              <w:t>Omalizumab</w:t>
            </w:r>
          </w:p>
        </w:tc>
      </w:tr>
      <w:tr w:rsidR="006F2ADF" w:rsidRPr="00B57220" w14:paraId="1D5DC735" w14:textId="77777777" w:rsidTr="00B57220">
        <w:tc>
          <w:tcPr>
            <w:tcW w:w="2234" w:type="pct"/>
            <w:tcBorders>
              <w:right w:val="nil"/>
            </w:tcBorders>
            <w:shd w:val="clear" w:color="auto" w:fill="auto"/>
          </w:tcPr>
          <w:p w14:paraId="6461CE3A" w14:textId="77777777" w:rsidR="00F52EC1" w:rsidRPr="00B57220" w:rsidRDefault="00F52EC1" w:rsidP="000D6C18">
            <w:pPr>
              <w:pStyle w:val="TableText0"/>
              <w:rPr>
                <w:b/>
                <w:szCs w:val="20"/>
              </w:rPr>
            </w:pPr>
            <w:r w:rsidRPr="00B57220">
              <w:rPr>
                <w:b/>
                <w:szCs w:val="20"/>
              </w:rPr>
              <w:t>Year 1</w:t>
            </w:r>
          </w:p>
        </w:tc>
        <w:tc>
          <w:tcPr>
            <w:tcW w:w="719" w:type="pct"/>
            <w:tcBorders>
              <w:left w:val="nil"/>
              <w:right w:val="nil"/>
            </w:tcBorders>
          </w:tcPr>
          <w:p w14:paraId="1731719F" w14:textId="77777777" w:rsidR="00F52EC1" w:rsidRPr="00B57220" w:rsidRDefault="00F52EC1" w:rsidP="000D6C18">
            <w:pPr>
              <w:pStyle w:val="TableText0"/>
              <w:jc w:val="right"/>
              <w:rPr>
                <w:b/>
                <w:szCs w:val="20"/>
              </w:rPr>
            </w:pPr>
          </w:p>
        </w:tc>
        <w:tc>
          <w:tcPr>
            <w:tcW w:w="683" w:type="pct"/>
            <w:tcBorders>
              <w:left w:val="nil"/>
              <w:right w:val="nil"/>
            </w:tcBorders>
          </w:tcPr>
          <w:p w14:paraId="5EE09F7A" w14:textId="77777777" w:rsidR="00F52EC1" w:rsidRPr="00B57220" w:rsidRDefault="00F52EC1" w:rsidP="000D6C18">
            <w:pPr>
              <w:pStyle w:val="TableText0"/>
              <w:jc w:val="right"/>
              <w:rPr>
                <w:b/>
                <w:szCs w:val="20"/>
              </w:rPr>
            </w:pPr>
          </w:p>
        </w:tc>
        <w:tc>
          <w:tcPr>
            <w:tcW w:w="703" w:type="pct"/>
            <w:tcBorders>
              <w:left w:val="nil"/>
              <w:right w:val="nil"/>
            </w:tcBorders>
            <w:shd w:val="clear" w:color="auto" w:fill="auto"/>
          </w:tcPr>
          <w:p w14:paraId="6A52E66E" w14:textId="77777777" w:rsidR="00F52EC1" w:rsidRPr="00B57220" w:rsidRDefault="00F52EC1" w:rsidP="000D6C18">
            <w:pPr>
              <w:pStyle w:val="TableText0"/>
              <w:jc w:val="right"/>
              <w:rPr>
                <w:b/>
                <w:szCs w:val="20"/>
              </w:rPr>
            </w:pPr>
          </w:p>
        </w:tc>
        <w:tc>
          <w:tcPr>
            <w:tcW w:w="661" w:type="pct"/>
            <w:tcBorders>
              <w:left w:val="nil"/>
            </w:tcBorders>
            <w:shd w:val="clear" w:color="auto" w:fill="auto"/>
          </w:tcPr>
          <w:p w14:paraId="095F055F" w14:textId="77777777" w:rsidR="00F52EC1" w:rsidRPr="00B57220" w:rsidRDefault="00F52EC1" w:rsidP="000D6C18">
            <w:pPr>
              <w:pStyle w:val="TableText0"/>
              <w:jc w:val="right"/>
              <w:rPr>
                <w:b/>
                <w:szCs w:val="20"/>
              </w:rPr>
            </w:pPr>
          </w:p>
        </w:tc>
      </w:tr>
      <w:tr w:rsidR="006F2ADF" w:rsidRPr="00B57220" w14:paraId="7DF3BDC5" w14:textId="77777777" w:rsidTr="00B57220">
        <w:trPr>
          <w:trHeight w:val="197"/>
        </w:trPr>
        <w:tc>
          <w:tcPr>
            <w:tcW w:w="2234" w:type="pct"/>
            <w:shd w:val="clear" w:color="auto" w:fill="auto"/>
          </w:tcPr>
          <w:p w14:paraId="31B010D9" w14:textId="77777777" w:rsidR="00F52EC1" w:rsidRPr="00B57220" w:rsidRDefault="00F52EC1" w:rsidP="00F94D70">
            <w:pPr>
              <w:pStyle w:val="TableText0"/>
              <w:numPr>
                <w:ilvl w:val="0"/>
                <w:numId w:val="23"/>
              </w:numPr>
              <w:ind w:left="284" w:right="-57" w:hanging="284"/>
              <w:rPr>
                <w:szCs w:val="20"/>
              </w:rPr>
            </w:pPr>
            <w:r w:rsidRPr="00B57220">
              <w:rPr>
                <w:szCs w:val="20"/>
              </w:rPr>
              <w:t>Dose size per administration</w:t>
            </w:r>
          </w:p>
        </w:tc>
        <w:tc>
          <w:tcPr>
            <w:tcW w:w="719" w:type="pct"/>
          </w:tcPr>
          <w:p w14:paraId="4A833171" w14:textId="77777777" w:rsidR="00F52EC1" w:rsidRPr="00B57220" w:rsidRDefault="00F52EC1" w:rsidP="000D6C18">
            <w:pPr>
              <w:pStyle w:val="TableText0"/>
              <w:ind w:right="-57"/>
              <w:jc w:val="center"/>
              <w:rPr>
                <w:szCs w:val="20"/>
              </w:rPr>
            </w:pPr>
            <w:r w:rsidRPr="00B57220">
              <w:rPr>
                <w:szCs w:val="20"/>
              </w:rPr>
              <w:t>200mg/300mg</w:t>
            </w:r>
          </w:p>
        </w:tc>
        <w:tc>
          <w:tcPr>
            <w:tcW w:w="683" w:type="pct"/>
          </w:tcPr>
          <w:p w14:paraId="260CA960" w14:textId="77777777" w:rsidR="00F52EC1" w:rsidRPr="00B57220" w:rsidRDefault="00F52EC1" w:rsidP="000D6C18">
            <w:pPr>
              <w:pStyle w:val="TableText0"/>
              <w:jc w:val="center"/>
              <w:rPr>
                <w:szCs w:val="20"/>
              </w:rPr>
            </w:pPr>
            <w:r w:rsidRPr="00B57220">
              <w:rPr>
                <w:szCs w:val="20"/>
              </w:rPr>
              <w:t>100mg</w:t>
            </w:r>
          </w:p>
        </w:tc>
        <w:tc>
          <w:tcPr>
            <w:tcW w:w="703" w:type="pct"/>
            <w:shd w:val="clear" w:color="auto" w:fill="auto"/>
          </w:tcPr>
          <w:p w14:paraId="4ECA7BE0" w14:textId="77777777" w:rsidR="00F52EC1" w:rsidRPr="00B57220" w:rsidRDefault="00F52EC1" w:rsidP="000D6C18">
            <w:pPr>
              <w:pStyle w:val="TableText0"/>
              <w:jc w:val="center"/>
              <w:rPr>
                <w:szCs w:val="20"/>
              </w:rPr>
            </w:pPr>
            <w:r w:rsidRPr="00B57220">
              <w:rPr>
                <w:szCs w:val="20"/>
              </w:rPr>
              <w:t>30mg</w:t>
            </w:r>
          </w:p>
        </w:tc>
        <w:tc>
          <w:tcPr>
            <w:tcW w:w="661" w:type="pct"/>
            <w:shd w:val="clear" w:color="auto" w:fill="auto"/>
          </w:tcPr>
          <w:p w14:paraId="48FF1C76" w14:textId="77777777" w:rsidR="00F52EC1" w:rsidRPr="00B57220" w:rsidRDefault="00F52EC1" w:rsidP="000D6C18">
            <w:pPr>
              <w:pStyle w:val="TableText0"/>
              <w:jc w:val="center"/>
              <w:rPr>
                <w:szCs w:val="20"/>
                <w:vertAlign w:val="superscript"/>
              </w:rPr>
            </w:pPr>
            <w:r w:rsidRPr="00B57220">
              <w:rPr>
                <w:szCs w:val="20"/>
              </w:rPr>
              <w:t>398mg</w:t>
            </w:r>
            <w:r w:rsidRPr="00B57220">
              <w:rPr>
                <w:szCs w:val="20"/>
                <w:vertAlign w:val="superscript"/>
              </w:rPr>
              <w:t>a</w:t>
            </w:r>
          </w:p>
        </w:tc>
      </w:tr>
      <w:tr w:rsidR="006F2ADF" w:rsidRPr="00B57220" w14:paraId="4CEB67FB" w14:textId="77777777" w:rsidTr="00B57220">
        <w:tc>
          <w:tcPr>
            <w:tcW w:w="2234" w:type="pct"/>
            <w:shd w:val="clear" w:color="auto" w:fill="auto"/>
          </w:tcPr>
          <w:p w14:paraId="0AC425C8" w14:textId="77777777" w:rsidR="00F52EC1" w:rsidRPr="00B57220" w:rsidRDefault="00F52EC1" w:rsidP="00F94D70">
            <w:pPr>
              <w:pStyle w:val="TableText0"/>
              <w:numPr>
                <w:ilvl w:val="0"/>
                <w:numId w:val="23"/>
              </w:numPr>
              <w:ind w:left="284" w:right="-57" w:hanging="284"/>
              <w:rPr>
                <w:szCs w:val="20"/>
              </w:rPr>
            </w:pPr>
            <w:r w:rsidRPr="00B57220">
              <w:rPr>
                <w:szCs w:val="20"/>
              </w:rPr>
              <w:t>Drug cost per administration (</w:t>
            </w:r>
            <w:r w:rsidR="001F533C" w:rsidRPr="00B57220">
              <w:rPr>
                <w:szCs w:val="20"/>
              </w:rPr>
              <w:t xml:space="preserve">published </w:t>
            </w:r>
            <w:r w:rsidRPr="00B57220">
              <w:rPr>
                <w:szCs w:val="20"/>
              </w:rPr>
              <w:t>ex-manufacturer price)</w:t>
            </w:r>
          </w:p>
        </w:tc>
        <w:tc>
          <w:tcPr>
            <w:tcW w:w="719" w:type="pct"/>
            <w:vAlign w:val="center"/>
          </w:tcPr>
          <w:p w14:paraId="21EA1CD6"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683" w:type="pct"/>
            <w:vAlign w:val="center"/>
          </w:tcPr>
          <w:p w14:paraId="2D60F38B"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703" w:type="pct"/>
            <w:shd w:val="clear" w:color="auto" w:fill="auto"/>
            <w:vAlign w:val="center"/>
          </w:tcPr>
          <w:p w14:paraId="7B6BDF01"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661" w:type="pct"/>
            <w:shd w:val="clear" w:color="auto" w:fill="auto"/>
            <w:vAlign w:val="center"/>
          </w:tcPr>
          <w:p w14:paraId="74571C73" w14:textId="77777777" w:rsidR="00F52EC1" w:rsidRPr="002F3D9C" w:rsidRDefault="002F3D9C" w:rsidP="000D6C18">
            <w:pPr>
              <w:pStyle w:val="TableText0"/>
              <w:jc w:val="right"/>
              <w:rPr>
                <w:szCs w:val="20"/>
                <w:highlight w:val="black"/>
              </w:rPr>
            </w:pPr>
            <w:r>
              <w:rPr>
                <w:noProof/>
                <w:color w:val="000000"/>
                <w:szCs w:val="20"/>
                <w:highlight w:val="black"/>
              </w:rPr>
              <w:t>''''''''''''''''''''''''''</w:t>
            </w:r>
          </w:p>
        </w:tc>
      </w:tr>
      <w:tr w:rsidR="006F2ADF" w:rsidRPr="00B57220" w14:paraId="4F247B5E" w14:textId="77777777" w:rsidTr="00B57220">
        <w:tc>
          <w:tcPr>
            <w:tcW w:w="2234" w:type="pct"/>
            <w:shd w:val="clear" w:color="auto" w:fill="auto"/>
          </w:tcPr>
          <w:p w14:paraId="7E00D9ED" w14:textId="77777777" w:rsidR="00F52EC1" w:rsidRPr="00B57220" w:rsidRDefault="00F52EC1" w:rsidP="00F94D70">
            <w:pPr>
              <w:pStyle w:val="TableText0"/>
              <w:numPr>
                <w:ilvl w:val="0"/>
                <w:numId w:val="23"/>
              </w:numPr>
              <w:ind w:left="284" w:right="-57" w:hanging="284"/>
              <w:rPr>
                <w:szCs w:val="20"/>
              </w:rPr>
            </w:pPr>
            <w:r w:rsidRPr="00B57220">
              <w:rPr>
                <w:szCs w:val="20"/>
              </w:rPr>
              <w:t>Number of doses in Year 1</w:t>
            </w:r>
          </w:p>
        </w:tc>
        <w:tc>
          <w:tcPr>
            <w:tcW w:w="719" w:type="pct"/>
            <w:vAlign w:val="center"/>
          </w:tcPr>
          <w:p w14:paraId="01B55FD3" w14:textId="77777777" w:rsidR="00F52EC1" w:rsidRPr="00FD6B8F" w:rsidRDefault="00BB341A" w:rsidP="000D6C18">
            <w:pPr>
              <w:pStyle w:val="TableText0"/>
              <w:jc w:val="center"/>
              <w:rPr>
                <w:szCs w:val="20"/>
              </w:rPr>
            </w:pPr>
            <w:r w:rsidRPr="00FD6B8F">
              <w:rPr>
                <w:szCs w:val="20"/>
              </w:rPr>
              <w:t>27</w:t>
            </w:r>
          </w:p>
        </w:tc>
        <w:tc>
          <w:tcPr>
            <w:tcW w:w="683" w:type="pct"/>
            <w:vAlign w:val="center"/>
          </w:tcPr>
          <w:p w14:paraId="2629C58B" w14:textId="77777777" w:rsidR="00F52EC1" w:rsidRPr="00FD6B8F" w:rsidRDefault="00F52EC1" w:rsidP="000D6C18">
            <w:pPr>
              <w:pStyle w:val="TableText0"/>
              <w:jc w:val="center"/>
              <w:rPr>
                <w:szCs w:val="20"/>
              </w:rPr>
            </w:pPr>
            <w:r w:rsidRPr="00FD6B8F">
              <w:rPr>
                <w:szCs w:val="20"/>
              </w:rPr>
              <w:t>13</w:t>
            </w:r>
          </w:p>
        </w:tc>
        <w:tc>
          <w:tcPr>
            <w:tcW w:w="703" w:type="pct"/>
            <w:shd w:val="clear" w:color="auto" w:fill="auto"/>
            <w:vAlign w:val="center"/>
          </w:tcPr>
          <w:p w14:paraId="2B8C3F90" w14:textId="77777777" w:rsidR="00F52EC1" w:rsidRPr="00FD6B8F" w:rsidRDefault="00F52EC1" w:rsidP="000D6C18">
            <w:pPr>
              <w:pStyle w:val="TableText0"/>
              <w:jc w:val="center"/>
              <w:rPr>
                <w:szCs w:val="20"/>
              </w:rPr>
            </w:pPr>
            <w:r w:rsidRPr="00FD6B8F">
              <w:rPr>
                <w:szCs w:val="20"/>
              </w:rPr>
              <w:t>7.5</w:t>
            </w:r>
          </w:p>
        </w:tc>
        <w:tc>
          <w:tcPr>
            <w:tcW w:w="661" w:type="pct"/>
            <w:shd w:val="clear" w:color="auto" w:fill="auto"/>
            <w:vAlign w:val="center"/>
          </w:tcPr>
          <w:p w14:paraId="3E6F4E88" w14:textId="77777777" w:rsidR="00F52EC1" w:rsidRPr="00FD6B8F" w:rsidRDefault="00F52EC1" w:rsidP="000D6C18">
            <w:pPr>
              <w:pStyle w:val="TableText0"/>
              <w:jc w:val="center"/>
              <w:rPr>
                <w:szCs w:val="20"/>
              </w:rPr>
            </w:pPr>
            <w:r w:rsidRPr="00FD6B8F">
              <w:rPr>
                <w:szCs w:val="20"/>
              </w:rPr>
              <w:t>13</w:t>
            </w:r>
          </w:p>
        </w:tc>
      </w:tr>
      <w:tr w:rsidR="006F2ADF" w:rsidRPr="00B57220" w14:paraId="62783A4B" w14:textId="77777777" w:rsidTr="00B57220">
        <w:tc>
          <w:tcPr>
            <w:tcW w:w="2234" w:type="pct"/>
            <w:shd w:val="clear" w:color="auto" w:fill="auto"/>
          </w:tcPr>
          <w:p w14:paraId="459D9552" w14:textId="77777777" w:rsidR="00F52EC1" w:rsidRPr="00B57220" w:rsidRDefault="00F52EC1" w:rsidP="00F94D70">
            <w:pPr>
              <w:pStyle w:val="TableText0"/>
              <w:numPr>
                <w:ilvl w:val="0"/>
                <w:numId w:val="23"/>
              </w:numPr>
              <w:ind w:left="284" w:right="-57" w:hanging="284"/>
              <w:rPr>
                <w:szCs w:val="20"/>
              </w:rPr>
            </w:pPr>
            <w:r w:rsidRPr="00B57220">
              <w:rPr>
                <w:szCs w:val="20"/>
              </w:rPr>
              <w:t>Total annual drug cost (=BxC)</w:t>
            </w:r>
          </w:p>
        </w:tc>
        <w:tc>
          <w:tcPr>
            <w:tcW w:w="719" w:type="pct"/>
            <w:vAlign w:val="center"/>
          </w:tcPr>
          <w:p w14:paraId="49765244"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683" w:type="pct"/>
            <w:vAlign w:val="center"/>
          </w:tcPr>
          <w:p w14:paraId="5B3ECE9F"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703" w:type="pct"/>
            <w:shd w:val="clear" w:color="auto" w:fill="auto"/>
            <w:vAlign w:val="center"/>
          </w:tcPr>
          <w:p w14:paraId="13899463" w14:textId="77777777" w:rsidR="00F52EC1" w:rsidRPr="002F3D9C" w:rsidRDefault="002F3D9C" w:rsidP="000D6C18">
            <w:pPr>
              <w:pStyle w:val="TableText0"/>
              <w:jc w:val="right"/>
              <w:rPr>
                <w:szCs w:val="20"/>
                <w:highlight w:val="black"/>
              </w:rPr>
            </w:pPr>
            <w:r>
              <w:rPr>
                <w:noProof/>
                <w:color w:val="000000"/>
                <w:szCs w:val="20"/>
                <w:highlight w:val="black"/>
              </w:rPr>
              <w:t>'''''''''''''''''''''''''</w:t>
            </w:r>
          </w:p>
        </w:tc>
        <w:tc>
          <w:tcPr>
            <w:tcW w:w="661" w:type="pct"/>
            <w:shd w:val="clear" w:color="auto" w:fill="auto"/>
            <w:vAlign w:val="center"/>
          </w:tcPr>
          <w:p w14:paraId="200E5FA7" w14:textId="77777777" w:rsidR="00F52EC1" w:rsidRPr="002F3D9C" w:rsidRDefault="002F3D9C" w:rsidP="000D6C18">
            <w:pPr>
              <w:pStyle w:val="TableText0"/>
              <w:jc w:val="right"/>
              <w:rPr>
                <w:szCs w:val="20"/>
                <w:highlight w:val="black"/>
              </w:rPr>
            </w:pPr>
            <w:r>
              <w:rPr>
                <w:noProof/>
                <w:color w:val="000000"/>
                <w:szCs w:val="20"/>
                <w:highlight w:val="black"/>
              </w:rPr>
              <w:t>'''''''''''''''''''''''''''</w:t>
            </w:r>
          </w:p>
        </w:tc>
      </w:tr>
      <w:tr w:rsidR="006F2ADF" w:rsidRPr="00B57220" w14:paraId="76638AFD" w14:textId="77777777" w:rsidTr="00B57220">
        <w:tc>
          <w:tcPr>
            <w:tcW w:w="2234" w:type="pct"/>
            <w:shd w:val="clear" w:color="auto" w:fill="auto"/>
          </w:tcPr>
          <w:p w14:paraId="39614B07" w14:textId="77777777" w:rsidR="00F52EC1" w:rsidRPr="00B57220" w:rsidRDefault="00F52EC1" w:rsidP="00F94D70">
            <w:pPr>
              <w:pStyle w:val="TableText0"/>
              <w:numPr>
                <w:ilvl w:val="0"/>
                <w:numId w:val="23"/>
              </w:numPr>
              <w:ind w:left="284" w:right="-57" w:hanging="284"/>
              <w:rPr>
                <w:szCs w:val="20"/>
              </w:rPr>
            </w:pPr>
            <w:r w:rsidRPr="00B57220">
              <w:rPr>
                <w:szCs w:val="20"/>
              </w:rPr>
              <w:t>Subcutaneous injection training (MBS item 82215)</w:t>
            </w:r>
          </w:p>
        </w:tc>
        <w:tc>
          <w:tcPr>
            <w:tcW w:w="719" w:type="pct"/>
            <w:vAlign w:val="center"/>
          </w:tcPr>
          <w:p w14:paraId="64882814" w14:textId="77777777" w:rsidR="00F52EC1" w:rsidRPr="00FD6B8F" w:rsidRDefault="00F52EC1" w:rsidP="000D6C18">
            <w:pPr>
              <w:pStyle w:val="TableText0"/>
              <w:jc w:val="right"/>
              <w:rPr>
                <w:szCs w:val="20"/>
              </w:rPr>
            </w:pPr>
            <w:r w:rsidRPr="00FD6B8F">
              <w:rPr>
                <w:szCs w:val="20"/>
              </w:rPr>
              <w:t>$60.40</w:t>
            </w:r>
          </w:p>
        </w:tc>
        <w:tc>
          <w:tcPr>
            <w:tcW w:w="683" w:type="pct"/>
            <w:vAlign w:val="center"/>
          </w:tcPr>
          <w:p w14:paraId="56766D9E" w14:textId="77777777" w:rsidR="00F52EC1" w:rsidRPr="00FD6B8F" w:rsidRDefault="00F52EC1" w:rsidP="000D6C18">
            <w:pPr>
              <w:pStyle w:val="TableText0"/>
              <w:jc w:val="right"/>
              <w:rPr>
                <w:szCs w:val="20"/>
              </w:rPr>
            </w:pPr>
            <w:r w:rsidRPr="00FD6B8F">
              <w:rPr>
                <w:szCs w:val="20"/>
              </w:rPr>
              <w:t>$60.40</w:t>
            </w:r>
          </w:p>
        </w:tc>
        <w:tc>
          <w:tcPr>
            <w:tcW w:w="703" w:type="pct"/>
            <w:shd w:val="clear" w:color="auto" w:fill="auto"/>
            <w:vAlign w:val="center"/>
          </w:tcPr>
          <w:p w14:paraId="185824E3" w14:textId="77777777" w:rsidR="00F52EC1" w:rsidRPr="00FD6B8F" w:rsidRDefault="00F52EC1" w:rsidP="000D6C18">
            <w:pPr>
              <w:pStyle w:val="TableText0"/>
              <w:jc w:val="right"/>
              <w:rPr>
                <w:szCs w:val="20"/>
              </w:rPr>
            </w:pPr>
            <w:r w:rsidRPr="00FD6B8F">
              <w:rPr>
                <w:szCs w:val="20"/>
              </w:rPr>
              <w:t>$60.40</w:t>
            </w:r>
          </w:p>
        </w:tc>
        <w:tc>
          <w:tcPr>
            <w:tcW w:w="661" w:type="pct"/>
            <w:shd w:val="clear" w:color="auto" w:fill="auto"/>
            <w:vAlign w:val="center"/>
          </w:tcPr>
          <w:p w14:paraId="088BCDD1" w14:textId="77777777" w:rsidR="00F52EC1" w:rsidRPr="00FD6B8F" w:rsidRDefault="00F52EC1" w:rsidP="000D6C18">
            <w:pPr>
              <w:pStyle w:val="TableText0"/>
              <w:jc w:val="right"/>
              <w:rPr>
                <w:szCs w:val="20"/>
              </w:rPr>
            </w:pPr>
            <w:r w:rsidRPr="00FD6B8F">
              <w:rPr>
                <w:szCs w:val="20"/>
              </w:rPr>
              <w:t>$0.00</w:t>
            </w:r>
          </w:p>
        </w:tc>
      </w:tr>
      <w:tr w:rsidR="006F2ADF" w:rsidRPr="00B57220" w14:paraId="012DACC7" w14:textId="77777777" w:rsidTr="00B57220">
        <w:tc>
          <w:tcPr>
            <w:tcW w:w="2234" w:type="pct"/>
            <w:shd w:val="clear" w:color="auto" w:fill="auto"/>
          </w:tcPr>
          <w:p w14:paraId="63D7F15C" w14:textId="77777777" w:rsidR="00F52EC1" w:rsidRPr="00B57220" w:rsidRDefault="00F52EC1" w:rsidP="00F94D70">
            <w:pPr>
              <w:pStyle w:val="TableText0"/>
              <w:numPr>
                <w:ilvl w:val="0"/>
                <w:numId w:val="23"/>
              </w:numPr>
              <w:ind w:left="284" w:right="-57" w:hanging="284"/>
              <w:rPr>
                <w:szCs w:val="20"/>
              </w:rPr>
            </w:pPr>
            <w:r w:rsidRPr="00B57220">
              <w:rPr>
                <w:szCs w:val="20"/>
              </w:rPr>
              <w:t xml:space="preserve">Cost for administration cost per year (MBS item 82200, 17.5 administrations for omalizumab </w:t>
            </w:r>
            <w:r w:rsidRPr="00B57220">
              <w:rPr>
                <w:szCs w:val="20"/>
                <w:vertAlign w:val="superscript"/>
              </w:rPr>
              <w:t>b</w:t>
            </w:r>
            <w:r w:rsidRPr="00B57220">
              <w:rPr>
                <w:szCs w:val="20"/>
              </w:rPr>
              <w:t>)</w:t>
            </w:r>
          </w:p>
        </w:tc>
        <w:tc>
          <w:tcPr>
            <w:tcW w:w="719" w:type="pct"/>
            <w:vAlign w:val="center"/>
          </w:tcPr>
          <w:p w14:paraId="6E535486" w14:textId="77777777" w:rsidR="00F52EC1" w:rsidRPr="00FD6B8F" w:rsidRDefault="00F52EC1" w:rsidP="000D6C18">
            <w:pPr>
              <w:pStyle w:val="TableText0"/>
              <w:jc w:val="right"/>
              <w:rPr>
                <w:szCs w:val="20"/>
              </w:rPr>
            </w:pPr>
            <w:r w:rsidRPr="00FD6B8F">
              <w:rPr>
                <w:szCs w:val="20"/>
              </w:rPr>
              <w:t>$0.00</w:t>
            </w:r>
          </w:p>
        </w:tc>
        <w:tc>
          <w:tcPr>
            <w:tcW w:w="683" w:type="pct"/>
            <w:vAlign w:val="center"/>
          </w:tcPr>
          <w:p w14:paraId="0DDE8D6C" w14:textId="77777777" w:rsidR="00F52EC1" w:rsidRPr="00FD6B8F" w:rsidRDefault="00F52EC1" w:rsidP="000D6C18">
            <w:pPr>
              <w:pStyle w:val="TableText0"/>
              <w:jc w:val="right"/>
              <w:rPr>
                <w:szCs w:val="20"/>
              </w:rPr>
            </w:pPr>
            <w:r w:rsidRPr="00FD6B8F">
              <w:rPr>
                <w:szCs w:val="20"/>
              </w:rPr>
              <w:t>$0.00</w:t>
            </w:r>
          </w:p>
        </w:tc>
        <w:tc>
          <w:tcPr>
            <w:tcW w:w="703" w:type="pct"/>
            <w:shd w:val="clear" w:color="auto" w:fill="auto"/>
            <w:vAlign w:val="center"/>
          </w:tcPr>
          <w:p w14:paraId="2DE41BB6" w14:textId="77777777" w:rsidR="00F52EC1" w:rsidRPr="00FD6B8F" w:rsidRDefault="00F52EC1" w:rsidP="000D6C18">
            <w:pPr>
              <w:pStyle w:val="TableText0"/>
              <w:jc w:val="right"/>
              <w:rPr>
                <w:szCs w:val="20"/>
              </w:rPr>
            </w:pPr>
            <w:r w:rsidRPr="00FD6B8F">
              <w:rPr>
                <w:szCs w:val="20"/>
              </w:rPr>
              <w:t>$0.00</w:t>
            </w:r>
          </w:p>
        </w:tc>
        <w:tc>
          <w:tcPr>
            <w:tcW w:w="661" w:type="pct"/>
            <w:shd w:val="clear" w:color="auto" w:fill="auto"/>
            <w:vAlign w:val="center"/>
          </w:tcPr>
          <w:p w14:paraId="2307E6CB" w14:textId="77777777" w:rsidR="00F52EC1" w:rsidRPr="00FD6B8F" w:rsidRDefault="00F52EC1" w:rsidP="000D6C18">
            <w:pPr>
              <w:pStyle w:val="TableText0"/>
              <w:jc w:val="right"/>
              <w:rPr>
                <w:szCs w:val="20"/>
              </w:rPr>
            </w:pPr>
            <w:r w:rsidRPr="00FD6B8F">
              <w:rPr>
                <w:szCs w:val="20"/>
              </w:rPr>
              <w:t>$173.04</w:t>
            </w:r>
          </w:p>
        </w:tc>
      </w:tr>
      <w:tr w:rsidR="006F2ADF" w:rsidRPr="00B57220" w14:paraId="66C3B0FB" w14:textId="77777777" w:rsidTr="00B57220">
        <w:tc>
          <w:tcPr>
            <w:tcW w:w="2234" w:type="pct"/>
            <w:shd w:val="clear" w:color="auto" w:fill="auto"/>
          </w:tcPr>
          <w:p w14:paraId="5049F627" w14:textId="77777777" w:rsidR="00F52EC1" w:rsidRPr="00B57220" w:rsidRDefault="00F52EC1" w:rsidP="00F94D70">
            <w:pPr>
              <w:pStyle w:val="TableText0"/>
              <w:numPr>
                <w:ilvl w:val="0"/>
                <w:numId w:val="23"/>
              </w:numPr>
              <w:ind w:left="284" w:right="-57" w:hanging="284"/>
              <w:rPr>
                <w:szCs w:val="20"/>
              </w:rPr>
            </w:pPr>
            <w:r w:rsidRPr="00B57220">
              <w:rPr>
                <w:szCs w:val="20"/>
              </w:rPr>
              <w:t xml:space="preserve">Cost for post-administration monitoring of anaphylaxis event per year (MBS item 82210, 17.5 administrations for omalizumab </w:t>
            </w:r>
            <w:r w:rsidRPr="00B57220">
              <w:rPr>
                <w:szCs w:val="20"/>
                <w:vertAlign w:val="superscript"/>
              </w:rPr>
              <w:t>b</w:t>
            </w:r>
            <w:r w:rsidRPr="00B57220">
              <w:rPr>
                <w:szCs w:val="20"/>
              </w:rPr>
              <w:t>)</w:t>
            </w:r>
          </w:p>
        </w:tc>
        <w:tc>
          <w:tcPr>
            <w:tcW w:w="719" w:type="pct"/>
            <w:vAlign w:val="center"/>
          </w:tcPr>
          <w:p w14:paraId="40752849" w14:textId="77777777" w:rsidR="00F52EC1" w:rsidRPr="00FD6B8F" w:rsidRDefault="00F52EC1" w:rsidP="000D6C18">
            <w:pPr>
              <w:pStyle w:val="TableText0"/>
              <w:jc w:val="right"/>
              <w:rPr>
                <w:szCs w:val="20"/>
              </w:rPr>
            </w:pPr>
            <w:r w:rsidRPr="00FD6B8F">
              <w:rPr>
                <w:szCs w:val="20"/>
              </w:rPr>
              <w:t>$0.00</w:t>
            </w:r>
          </w:p>
        </w:tc>
        <w:tc>
          <w:tcPr>
            <w:tcW w:w="683" w:type="pct"/>
            <w:vAlign w:val="center"/>
          </w:tcPr>
          <w:p w14:paraId="69974FF5" w14:textId="77777777" w:rsidR="00F52EC1" w:rsidRPr="00FD6B8F" w:rsidRDefault="00F52EC1" w:rsidP="000D6C18">
            <w:pPr>
              <w:pStyle w:val="TableText0"/>
              <w:jc w:val="right"/>
              <w:rPr>
                <w:szCs w:val="20"/>
              </w:rPr>
            </w:pPr>
            <w:r w:rsidRPr="00FD6B8F">
              <w:rPr>
                <w:szCs w:val="20"/>
              </w:rPr>
              <w:t>$0.00</w:t>
            </w:r>
          </w:p>
        </w:tc>
        <w:tc>
          <w:tcPr>
            <w:tcW w:w="703" w:type="pct"/>
            <w:shd w:val="clear" w:color="auto" w:fill="auto"/>
            <w:vAlign w:val="center"/>
          </w:tcPr>
          <w:p w14:paraId="6CE3693B" w14:textId="77777777" w:rsidR="00F52EC1" w:rsidRPr="00FD6B8F" w:rsidRDefault="00F52EC1" w:rsidP="000D6C18">
            <w:pPr>
              <w:pStyle w:val="TableText0"/>
              <w:jc w:val="right"/>
              <w:rPr>
                <w:szCs w:val="20"/>
              </w:rPr>
            </w:pPr>
            <w:r w:rsidRPr="00FD6B8F">
              <w:rPr>
                <w:szCs w:val="20"/>
              </w:rPr>
              <w:t>$0.00</w:t>
            </w:r>
          </w:p>
        </w:tc>
        <w:tc>
          <w:tcPr>
            <w:tcW w:w="661" w:type="pct"/>
            <w:shd w:val="clear" w:color="auto" w:fill="auto"/>
            <w:vAlign w:val="center"/>
          </w:tcPr>
          <w:p w14:paraId="6B48E69B" w14:textId="77777777" w:rsidR="00F52EC1" w:rsidRPr="00FD6B8F" w:rsidRDefault="00F52EC1" w:rsidP="000D6C18">
            <w:pPr>
              <w:pStyle w:val="TableText0"/>
              <w:jc w:val="right"/>
              <w:rPr>
                <w:szCs w:val="20"/>
              </w:rPr>
            </w:pPr>
            <w:r w:rsidRPr="00FD6B8F">
              <w:rPr>
                <w:szCs w:val="20"/>
              </w:rPr>
              <w:t>$716.62</w:t>
            </w:r>
          </w:p>
        </w:tc>
      </w:tr>
      <w:tr w:rsidR="006F2ADF" w:rsidRPr="00B57220" w14:paraId="17240957" w14:textId="77777777" w:rsidTr="00B57220">
        <w:tc>
          <w:tcPr>
            <w:tcW w:w="2234" w:type="pct"/>
            <w:shd w:val="clear" w:color="auto" w:fill="auto"/>
          </w:tcPr>
          <w:p w14:paraId="7C6983F1" w14:textId="77777777" w:rsidR="00F52EC1" w:rsidRPr="00B57220" w:rsidRDefault="00F52EC1" w:rsidP="00F94D70">
            <w:pPr>
              <w:pStyle w:val="TableText0"/>
              <w:numPr>
                <w:ilvl w:val="0"/>
                <w:numId w:val="23"/>
              </w:numPr>
              <w:ind w:left="284" w:right="-57" w:hanging="284"/>
              <w:rPr>
                <w:szCs w:val="20"/>
              </w:rPr>
            </w:pPr>
            <w:r w:rsidRPr="00B57220">
              <w:rPr>
                <w:szCs w:val="20"/>
              </w:rPr>
              <w:t>Cost of adrenaline syringe for anaphylaxis per year (PBS item 8698T, one syringe per 1.5 year)</w:t>
            </w:r>
          </w:p>
        </w:tc>
        <w:tc>
          <w:tcPr>
            <w:tcW w:w="719" w:type="pct"/>
            <w:vAlign w:val="center"/>
          </w:tcPr>
          <w:p w14:paraId="76F7B0EE" w14:textId="77777777" w:rsidR="00F52EC1" w:rsidRPr="00FD6B8F" w:rsidRDefault="00F52EC1" w:rsidP="000D6C18">
            <w:pPr>
              <w:pStyle w:val="TableText0"/>
              <w:jc w:val="right"/>
              <w:rPr>
                <w:szCs w:val="20"/>
              </w:rPr>
            </w:pPr>
            <w:r w:rsidRPr="00FD6B8F">
              <w:rPr>
                <w:szCs w:val="20"/>
              </w:rPr>
              <w:t>$0.00</w:t>
            </w:r>
          </w:p>
        </w:tc>
        <w:tc>
          <w:tcPr>
            <w:tcW w:w="683" w:type="pct"/>
            <w:vAlign w:val="center"/>
          </w:tcPr>
          <w:p w14:paraId="174B8862" w14:textId="77777777" w:rsidR="00F52EC1" w:rsidRPr="00FD6B8F" w:rsidRDefault="00F52EC1" w:rsidP="000D6C18">
            <w:pPr>
              <w:pStyle w:val="TableText0"/>
              <w:jc w:val="right"/>
              <w:rPr>
                <w:szCs w:val="20"/>
              </w:rPr>
            </w:pPr>
            <w:r w:rsidRPr="00FD6B8F">
              <w:rPr>
                <w:szCs w:val="20"/>
              </w:rPr>
              <w:t>$0.00</w:t>
            </w:r>
          </w:p>
        </w:tc>
        <w:tc>
          <w:tcPr>
            <w:tcW w:w="703" w:type="pct"/>
            <w:shd w:val="clear" w:color="auto" w:fill="auto"/>
            <w:vAlign w:val="center"/>
          </w:tcPr>
          <w:p w14:paraId="47BBDD0F" w14:textId="77777777" w:rsidR="00F52EC1" w:rsidRPr="00FD6B8F" w:rsidRDefault="00F52EC1" w:rsidP="000D6C18">
            <w:pPr>
              <w:pStyle w:val="TableText0"/>
              <w:jc w:val="right"/>
              <w:rPr>
                <w:szCs w:val="20"/>
              </w:rPr>
            </w:pPr>
            <w:r w:rsidRPr="00FD6B8F">
              <w:rPr>
                <w:szCs w:val="20"/>
              </w:rPr>
              <w:t>0.00</w:t>
            </w:r>
          </w:p>
        </w:tc>
        <w:tc>
          <w:tcPr>
            <w:tcW w:w="661" w:type="pct"/>
            <w:shd w:val="clear" w:color="auto" w:fill="auto"/>
            <w:vAlign w:val="center"/>
          </w:tcPr>
          <w:p w14:paraId="0D1C70E7" w14:textId="77777777" w:rsidR="00F52EC1" w:rsidRPr="00FD6B8F" w:rsidRDefault="00F52EC1" w:rsidP="000D6C18">
            <w:pPr>
              <w:pStyle w:val="TableText0"/>
              <w:jc w:val="right"/>
              <w:rPr>
                <w:szCs w:val="20"/>
              </w:rPr>
            </w:pPr>
            <w:r w:rsidRPr="00FD6B8F">
              <w:rPr>
                <w:szCs w:val="20"/>
              </w:rPr>
              <w:t>$56.17</w:t>
            </w:r>
          </w:p>
        </w:tc>
      </w:tr>
      <w:tr w:rsidR="006F2ADF" w:rsidRPr="00B57220" w14:paraId="5B89CB7B" w14:textId="77777777" w:rsidTr="00B57220">
        <w:tc>
          <w:tcPr>
            <w:tcW w:w="2234" w:type="pct"/>
            <w:tcBorders>
              <w:bottom w:val="single" w:sz="4" w:space="0" w:color="auto"/>
            </w:tcBorders>
            <w:shd w:val="clear" w:color="auto" w:fill="auto"/>
          </w:tcPr>
          <w:p w14:paraId="5C8703A7" w14:textId="77777777" w:rsidR="00F52EC1" w:rsidRPr="00B57220" w:rsidRDefault="00F52EC1" w:rsidP="00F94D70">
            <w:pPr>
              <w:pStyle w:val="TableText0"/>
              <w:keepNext w:val="0"/>
              <w:numPr>
                <w:ilvl w:val="0"/>
                <w:numId w:val="23"/>
              </w:numPr>
              <w:ind w:left="284" w:right="-57" w:hanging="284"/>
              <w:rPr>
                <w:szCs w:val="20"/>
              </w:rPr>
            </w:pPr>
            <w:r w:rsidRPr="00B57220">
              <w:rPr>
                <w:szCs w:val="20"/>
              </w:rPr>
              <w:t>Total annual cost per patient (=D+E+F+G+H)</w:t>
            </w:r>
          </w:p>
        </w:tc>
        <w:tc>
          <w:tcPr>
            <w:tcW w:w="719" w:type="pct"/>
            <w:tcBorders>
              <w:bottom w:val="single" w:sz="4" w:space="0" w:color="auto"/>
            </w:tcBorders>
            <w:vAlign w:val="center"/>
          </w:tcPr>
          <w:p w14:paraId="42A40E96"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83" w:type="pct"/>
            <w:tcBorders>
              <w:bottom w:val="single" w:sz="4" w:space="0" w:color="auto"/>
            </w:tcBorders>
            <w:vAlign w:val="center"/>
          </w:tcPr>
          <w:p w14:paraId="2AD06011"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703" w:type="pct"/>
            <w:tcBorders>
              <w:bottom w:val="single" w:sz="4" w:space="0" w:color="auto"/>
            </w:tcBorders>
            <w:shd w:val="clear" w:color="auto" w:fill="auto"/>
            <w:vAlign w:val="center"/>
          </w:tcPr>
          <w:p w14:paraId="17024245"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61" w:type="pct"/>
            <w:tcBorders>
              <w:bottom w:val="single" w:sz="4" w:space="0" w:color="auto"/>
            </w:tcBorders>
            <w:shd w:val="clear" w:color="auto" w:fill="auto"/>
            <w:vAlign w:val="center"/>
          </w:tcPr>
          <w:p w14:paraId="4CB51F97"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r>
      <w:tr w:rsidR="006F2ADF" w:rsidRPr="00B57220" w14:paraId="62CB4B0C" w14:textId="77777777" w:rsidTr="00B57220">
        <w:trPr>
          <w:tblHeader/>
        </w:trPr>
        <w:tc>
          <w:tcPr>
            <w:tcW w:w="2234" w:type="pct"/>
            <w:tcBorders>
              <w:right w:val="nil"/>
            </w:tcBorders>
            <w:shd w:val="clear" w:color="auto" w:fill="auto"/>
          </w:tcPr>
          <w:p w14:paraId="50500F8A" w14:textId="77777777" w:rsidR="00F52EC1" w:rsidRPr="00B57220" w:rsidRDefault="00F52EC1" w:rsidP="00F52EC1">
            <w:pPr>
              <w:pStyle w:val="TableHeading"/>
              <w:keepNext w:val="0"/>
              <w:spacing w:before="0" w:after="0"/>
              <w:rPr>
                <w:szCs w:val="20"/>
              </w:rPr>
            </w:pPr>
            <w:r w:rsidRPr="00B57220">
              <w:rPr>
                <w:szCs w:val="20"/>
              </w:rPr>
              <w:t>Subsequent years</w:t>
            </w:r>
          </w:p>
        </w:tc>
        <w:tc>
          <w:tcPr>
            <w:tcW w:w="719" w:type="pct"/>
            <w:tcBorders>
              <w:left w:val="nil"/>
              <w:right w:val="nil"/>
            </w:tcBorders>
          </w:tcPr>
          <w:p w14:paraId="2A710384" w14:textId="77777777" w:rsidR="00F52EC1" w:rsidRPr="00FD6B8F" w:rsidRDefault="00F52EC1" w:rsidP="00F52EC1">
            <w:pPr>
              <w:pStyle w:val="TableHeading"/>
              <w:keepNext w:val="0"/>
              <w:spacing w:before="0" w:after="0"/>
              <w:jc w:val="right"/>
              <w:rPr>
                <w:szCs w:val="20"/>
              </w:rPr>
            </w:pPr>
          </w:p>
        </w:tc>
        <w:tc>
          <w:tcPr>
            <w:tcW w:w="683" w:type="pct"/>
            <w:tcBorders>
              <w:left w:val="nil"/>
              <w:right w:val="nil"/>
            </w:tcBorders>
          </w:tcPr>
          <w:p w14:paraId="4CA0A563" w14:textId="77777777" w:rsidR="00F52EC1" w:rsidRPr="00FD6B8F" w:rsidRDefault="00F52EC1" w:rsidP="00F52EC1">
            <w:pPr>
              <w:pStyle w:val="TableHeading"/>
              <w:keepNext w:val="0"/>
              <w:spacing w:before="0" w:after="0"/>
              <w:jc w:val="right"/>
              <w:rPr>
                <w:szCs w:val="20"/>
              </w:rPr>
            </w:pPr>
          </w:p>
        </w:tc>
        <w:tc>
          <w:tcPr>
            <w:tcW w:w="703" w:type="pct"/>
            <w:tcBorders>
              <w:left w:val="nil"/>
              <w:right w:val="nil"/>
            </w:tcBorders>
            <w:shd w:val="clear" w:color="auto" w:fill="auto"/>
          </w:tcPr>
          <w:p w14:paraId="49F596EA" w14:textId="77777777" w:rsidR="00F52EC1" w:rsidRPr="00FD6B8F" w:rsidRDefault="00F52EC1" w:rsidP="00F52EC1">
            <w:pPr>
              <w:pStyle w:val="TableHeading"/>
              <w:keepNext w:val="0"/>
              <w:spacing w:before="0" w:after="0"/>
              <w:jc w:val="right"/>
              <w:rPr>
                <w:szCs w:val="20"/>
              </w:rPr>
            </w:pPr>
          </w:p>
        </w:tc>
        <w:tc>
          <w:tcPr>
            <w:tcW w:w="661" w:type="pct"/>
            <w:tcBorders>
              <w:left w:val="nil"/>
            </w:tcBorders>
            <w:shd w:val="clear" w:color="auto" w:fill="auto"/>
          </w:tcPr>
          <w:p w14:paraId="6DAB6194" w14:textId="77777777" w:rsidR="00F52EC1" w:rsidRPr="00FD6B8F" w:rsidRDefault="00F52EC1" w:rsidP="00F52EC1">
            <w:pPr>
              <w:pStyle w:val="TableHeading"/>
              <w:keepNext w:val="0"/>
              <w:spacing w:before="0" w:after="0"/>
              <w:jc w:val="right"/>
              <w:rPr>
                <w:szCs w:val="20"/>
              </w:rPr>
            </w:pPr>
          </w:p>
        </w:tc>
      </w:tr>
      <w:tr w:rsidR="006F2ADF" w:rsidRPr="00B57220" w14:paraId="43563B50" w14:textId="77777777" w:rsidTr="00B57220">
        <w:tc>
          <w:tcPr>
            <w:tcW w:w="2234" w:type="pct"/>
            <w:shd w:val="clear" w:color="auto" w:fill="auto"/>
          </w:tcPr>
          <w:p w14:paraId="2C0AF4EF" w14:textId="77777777" w:rsidR="00F52EC1" w:rsidRPr="00B57220" w:rsidRDefault="00F52EC1" w:rsidP="00F94D70">
            <w:pPr>
              <w:pStyle w:val="TableText0"/>
              <w:keepNext w:val="0"/>
              <w:numPr>
                <w:ilvl w:val="0"/>
                <w:numId w:val="23"/>
              </w:numPr>
              <w:ind w:left="284" w:right="-57" w:hanging="284"/>
              <w:rPr>
                <w:szCs w:val="20"/>
              </w:rPr>
            </w:pPr>
            <w:r w:rsidRPr="00B57220">
              <w:rPr>
                <w:szCs w:val="20"/>
              </w:rPr>
              <w:lastRenderedPageBreak/>
              <w:t>Number of doses per year</w:t>
            </w:r>
          </w:p>
        </w:tc>
        <w:tc>
          <w:tcPr>
            <w:tcW w:w="719" w:type="pct"/>
            <w:vAlign w:val="center"/>
          </w:tcPr>
          <w:p w14:paraId="3B634C0B" w14:textId="77777777" w:rsidR="00F52EC1" w:rsidRPr="00FD6B8F" w:rsidRDefault="00F52EC1" w:rsidP="00F52EC1">
            <w:pPr>
              <w:pStyle w:val="TableText0"/>
              <w:keepNext w:val="0"/>
              <w:jc w:val="center"/>
              <w:rPr>
                <w:szCs w:val="20"/>
              </w:rPr>
            </w:pPr>
            <w:r w:rsidRPr="00FD6B8F">
              <w:rPr>
                <w:szCs w:val="20"/>
              </w:rPr>
              <w:t>26</w:t>
            </w:r>
          </w:p>
        </w:tc>
        <w:tc>
          <w:tcPr>
            <w:tcW w:w="683" w:type="pct"/>
            <w:vAlign w:val="center"/>
          </w:tcPr>
          <w:p w14:paraId="6B6905F4" w14:textId="77777777" w:rsidR="00F52EC1" w:rsidRPr="00FD6B8F" w:rsidRDefault="00F52EC1" w:rsidP="00F52EC1">
            <w:pPr>
              <w:pStyle w:val="TableText0"/>
              <w:keepNext w:val="0"/>
              <w:jc w:val="center"/>
              <w:rPr>
                <w:szCs w:val="20"/>
              </w:rPr>
            </w:pPr>
            <w:r w:rsidRPr="00FD6B8F">
              <w:rPr>
                <w:szCs w:val="20"/>
              </w:rPr>
              <w:t>13</w:t>
            </w:r>
          </w:p>
        </w:tc>
        <w:tc>
          <w:tcPr>
            <w:tcW w:w="703" w:type="pct"/>
            <w:shd w:val="clear" w:color="auto" w:fill="auto"/>
            <w:vAlign w:val="center"/>
          </w:tcPr>
          <w:p w14:paraId="3716582E" w14:textId="77777777" w:rsidR="00F52EC1" w:rsidRPr="00FD6B8F" w:rsidRDefault="00F52EC1" w:rsidP="00F52EC1">
            <w:pPr>
              <w:pStyle w:val="TableText0"/>
              <w:keepNext w:val="0"/>
              <w:jc w:val="center"/>
              <w:rPr>
                <w:szCs w:val="20"/>
              </w:rPr>
            </w:pPr>
            <w:r w:rsidRPr="00FD6B8F">
              <w:rPr>
                <w:szCs w:val="20"/>
              </w:rPr>
              <w:t>6.5</w:t>
            </w:r>
          </w:p>
        </w:tc>
        <w:tc>
          <w:tcPr>
            <w:tcW w:w="661" w:type="pct"/>
            <w:shd w:val="clear" w:color="auto" w:fill="auto"/>
            <w:vAlign w:val="center"/>
          </w:tcPr>
          <w:p w14:paraId="6F419DF9" w14:textId="77777777" w:rsidR="00F52EC1" w:rsidRPr="00FD6B8F" w:rsidRDefault="00F52EC1" w:rsidP="00F52EC1">
            <w:pPr>
              <w:pStyle w:val="TableText0"/>
              <w:keepNext w:val="0"/>
              <w:jc w:val="center"/>
              <w:rPr>
                <w:szCs w:val="20"/>
              </w:rPr>
            </w:pPr>
            <w:r w:rsidRPr="00FD6B8F">
              <w:rPr>
                <w:szCs w:val="20"/>
              </w:rPr>
              <w:t>13</w:t>
            </w:r>
          </w:p>
        </w:tc>
      </w:tr>
      <w:tr w:rsidR="006F2ADF" w:rsidRPr="00B57220" w14:paraId="01E0A103" w14:textId="77777777" w:rsidTr="00B57220">
        <w:tc>
          <w:tcPr>
            <w:tcW w:w="2234" w:type="pct"/>
            <w:shd w:val="clear" w:color="auto" w:fill="auto"/>
          </w:tcPr>
          <w:p w14:paraId="5E2E4E97" w14:textId="77777777" w:rsidR="00F52EC1" w:rsidRPr="00B57220" w:rsidRDefault="00F52EC1" w:rsidP="00F94D70">
            <w:pPr>
              <w:pStyle w:val="TableText0"/>
              <w:keepNext w:val="0"/>
              <w:numPr>
                <w:ilvl w:val="0"/>
                <w:numId w:val="23"/>
              </w:numPr>
              <w:ind w:left="284" w:right="-57" w:hanging="284"/>
              <w:rPr>
                <w:szCs w:val="20"/>
              </w:rPr>
            </w:pPr>
            <w:r w:rsidRPr="00B57220">
              <w:rPr>
                <w:szCs w:val="20"/>
              </w:rPr>
              <w:t>Total annual drug cost (=BxJ)</w:t>
            </w:r>
          </w:p>
        </w:tc>
        <w:tc>
          <w:tcPr>
            <w:tcW w:w="719" w:type="pct"/>
            <w:vAlign w:val="center"/>
          </w:tcPr>
          <w:p w14:paraId="3189F197"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83" w:type="pct"/>
            <w:vAlign w:val="center"/>
          </w:tcPr>
          <w:p w14:paraId="1405F591"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703" w:type="pct"/>
            <w:shd w:val="clear" w:color="auto" w:fill="auto"/>
            <w:vAlign w:val="center"/>
          </w:tcPr>
          <w:p w14:paraId="43AA68A2"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61" w:type="pct"/>
            <w:shd w:val="clear" w:color="auto" w:fill="auto"/>
            <w:vAlign w:val="center"/>
          </w:tcPr>
          <w:p w14:paraId="7B7CE816"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r>
      <w:tr w:rsidR="006F2ADF" w:rsidRPr="00B57220" w14:paraId="65512F9A" w14:textId="77777777" w:rsidTr="00B57220">
        <w:tc>
          <w:tcPr>
            <w:tcW w:w="2234" w:type="pct"/>
            <w:shd w:val="clear" w:color="auto" w:fill="auto"/>
          </w:tcPr>
          <w:p w14:paraId="218D9DE0" w14:textId="77777777" w:rsidR="00F52EC1" w:rsidRPr="00B57220" w:rsidRDefault="00F52EC1" w:rsidP="00F94D70">
            <w:pPr>
              <w:pStyle w:val="TableText0"/>
              <w:keepNext w:val="0"/>
              <w:numPr>
                <w:ilvl w:val="0"/>
                <w:numId w:val="23"/>
              </w:numPr>
              <w:ind w:left="284" w:right="-57" w:hanging="284"/>
              <w:rPr>
                <w:szCs w:val="20"/>
              </w:rPr>
            </w:pPr>
            <w:r w:rsidRPr="00B57220">
              <w:rPr>
                <w:szCs w:val="20"/>
              </w:rPr>
              <w:t>Total annual cost per patient (=K+F+G+H)</w:t>
            </w:r>
          </w:p>
        </w:tc>
        <w:tc>
          <w:tcPr>
            <w:tcW w:w="719" w:type="pct"/>
            <w:vAlign w:val="center"/>
          </w:tcPr>
          <w:p w14:paraId="50EE4D2E"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83" w:type="pct"/>
            <w:vAlign w:val="center"/>
          </w:tcPr>
          <w:p w14:paraId="6113AE08"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703" w:type="pct"/>
            <w:shd w:val="clear" w:color="auto" w:fill="auto"/>
            <w:vAlign w:val="center"/>
          </w:tcPr>
          <w:p w14:paraId="4B085E52"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c>
          <w:tcPr>
            <w:tcW w:w="661" w:type="pct"/>
            <w:shd w:val="clear" w:color="auto" w:fill="auto"/>
            <w:vAlign w:val="center"/>
          </w:tcPr>
          <w:p w14:paraId="1B173B78" w14:textId="77777777" w:rsidR="00F52EC1" w:rsidRPr="002F3D9C" w:rsidRDefault="002F3D9C" w:rsidP="00F52EC1">
            <w:pPr>
              <w:pStyle w:val="TableText0"/>
              <w:keepNext w:val="0"/>
              <w:jc w:val="right"/>
              <w:rPr>
                <w:szCs w:val="20"/>
                <w:highlight w:val="black"/>
              </w:rPr>
            </w:pPr>
            <w:r>
              <w:rPr>
                <w:noProof/>
                <w:color w:val="000000"/>
                <w:szCs w:val="20"/>
                <w:highlight w:val="black"/>
              </w:rPr>
              <w:t>'''''''''''''''''''''''''''''</w:t>
            </w:r>
          </w:p>
        </w:tc>
      </w:tr>
      <w:tr w:rsidR="006F2ADF" w:rsidRPr="00B57220" w14:paraId="74CB8C59" w14:textId="77777777" w:rsidTr="00B57220">
        <w:trPr>
          <w:tblHeader/>
        </w:trPr>
        <w:tc>
          <w:tcPr>
            <w:tcW w:w="2234" w:type="pct"/>
            <w:shd w:val="clear" w:color="auto" w:fill="auto"/>
          </w:tcPr>
          <w:p w14:paraId="769C0BF2" w14:textId="77777777" w:rsidR="00F52EC1" w:rsidRPr="00B57220" w:rsidRDefault="00F52EC1" w:rsidP="00F94D70">
            <w:pPr>
              <w:pStyle w:val="TableText0"/>
              <w:keepNext w:val="0"/>
              <w:numPr>
                <w:ilvl w:val="0"/>
                <w:numId w:val="23"/>
              </w:numPr>
              <w:ind w:left="284" w:right="-57" w:hanging="284"/>
              <w:rPr>
                <w:b/>
                <w:szCs w:val="20"/>
              </w:rPr>
            </w:pPr>
            <w:r w:rsidRPr="00B57220">
              <w:rPr>
                <w:b/>
                <w:szCs w:val="20"/>
              </w:rPr>
              <w:t>Total cost over 3 years (=I+Lx2)</w:t>
            </w:r>
          </w:p>
        </w:tc>
        <w:tc>
          <w:tcPr>
            <w:tcW w:w="719" w:type="pct"/>
            <w:vAlign w:val="center"/>
          </w:tcPr>
          <w:p w14:paraId="5B833D6C" w14:textId="77777777" w:rsidR="00F52EC1" w:rsidRPr="002F3D9C" w:rsidRDefault="002F3D9C" w:rsidP="00F52EC1">
            <w:pPr>
              <w:pStyle w:val="TableHeading"/>
              <w:keepNext w:val="0"/>
              <w:spacing w:before="0" w:after="0"/>
              <w:jc w:val="right"/>
              <w:rPr>
                <w:szCs w:val="20"/>
                <w:highlight w:val="black"/>
              </w:rPr>
            </w:pPr>
            <w:r>
              <w:rPr>
                <w:noProof/>
                <w:color w:val="000000"/>
                <w:szCs w:val="20"/>
                <w:highlight w:val="black"/>
              </w:rPr>
              <w:t>''''''''''''''''''''</w:t>
            </w:r>
          </w:p>
        </w:tc>
        <w:tc>
          <w:tcPr>
            <w:tcW w:w="683" w:type="pct"/>
            <w:vAlign w:val="center"/>
          </w:tcPr>
          <w:p w14:paraId="54D83179" w14:textId="77777777" w:rsidR="00F52EC1" w:rsidRPr="002F3D9C" w:rsidRDefault="002F3D9C" w:rsidP="00F52EC1">
            <w:pPr>
              <w:pStyle w:val="TableHeading"/>
              <w:keepNext w:val="0"/>
              <w:spacing w:before="0" w:after="0"/>
              <w:jc w:val="right"/>
              <w:rPr>
                <w:szCs w:val="20"/>
                <w:highlight w:val="black"/>
              </w:rPr>
            </w:pPr>
            <w:r>
              <w:rPr>
                <w:noProof/>
                <w:color w:val="000000"/>
                <w:szCs w:val="20"/>
                <w:highlight w:val="black"/>
              </w:rPr>
              <w:t>''''''''''''''''''''''</w:t>
            </w:r>
          </w:p>
        </w:tc>
        <w:tc>
          <w:tcPr>
            <w:tcW w:w="703" w:type="pct"/>
            <w:shd w:val="clear" w:color="auto" w:fill="auto"/>
            <w:vAlign w:val="center"/>
          </w:tcPr>
          <w:p w14:paraId="04EED59D" w14:textId="77777777" w:rsidR="00F52EC1" w:rsidRPr="002F3D9C" w:rsidRDefault="002F3D9C" w:rsidP="00F52EC1">
            <w:pPr>
              <w:pStyle w:val="TableHeading"/>
              <w:keepNext w:val="0"/>
              <w:spacing w:before="0" w:after="0"/>
              <w:jc w:val="right"/>
              <w:rPr>
                <w:szCs w:val="20"/>
                <w:highlight w:val="black"/>
              </w:rPr>
            </w:pPr>
            <w:r>
              <w:rPr>
                <w:noProof/>
                <w:color w:val="000000"/>
                <w:szCs w:val="20"/>
                <w:highlight w:val="black"/>
              </w:rPr>
              <w:t>''''''''''''''''''''</w:t>
            </w:r>
          </w:p>
        </w:tc>
        <w:tc>
          <w:tcPr>
            <w:tcW w:w="661" w:type="pct"/>
            <w:shd w:val="clear" w:color="auto" w:fill="auto"/>
            <w:vAlign w:val="center"/>
          </w:tcPr>
          <w:p w14:paraId="598595AA" w14:textId="77777777" w:rsidR="00F52EC1" w:rsidRPr="002F3D9C" w:rsidRDefault="002F3D9C" w:rsidP="00F52EC1">
            <w:pPr>
              <w:pStyle w:val="TableHeading"/>
              <w:keepNext w:val="0"/>
              <w:spacing w:before="0" w:after="0"/>
              <w:jc w:val="right"/>
              <w:rPr>
                <w:szCs w:val="20"/>
                <w:highlight w:val="black"/>
              </w:rPr>
            </w:pPr>
            <w:r>
              <w:rPr>
                <w:noProof/>
                <w:color w:val="000000"/>
                <w:szCs w:val="20"/>
                <w:highlight w:val="black"/>
              </w:rPr>
              <w:t>'''''''''''''''''''</w:t>
            </w:r>
          </w:p>
        </w:tc>
      </w:tr>
      <w:tr w:rsidR="006F2ADF" w:rsidRPr="00B57220" w14:paraId="2A426C45" w14:textId="77777777" w:rsidTr="00B57220">
        <w:tc>
          <w:tcPr>
            <w:tcW w:w="2234" w:type="pct"/>
            <w:shd w:val="clear" w:color="auto" w:fill="auto"/>
          </w:tcPr>
          <w:p w14:paraId="3FD41A42" w14:textId="77777777" w:rsidR="00F52EC1" w:rsidRPr="00B57220" w:rsidRDefault="00F52EC1" w:rsidP="00F94D70">
            <w:pPr>
              <w:pStyle w:val="TableText0"/>
              <w:keepNext w:val="0"/>
              <w:numPr>
                <w:ilvl w:val="0"/>
                <w:numId w:val="23"/>
              </w:numPr>
              <w:ind w:left="284" w:right="-57" w:hanging="284"/>
              <w:rPr>
                <w:b/>
                <w:szCs w:val="20"/>
              </w:rPr>
            </w:pPr>
            <w:r w:rsidRPr="00B57220">
              <w:rPr>
                <w:b/>
                <w:szCs w:val="20"/>
              </w:rPr>
              <w:t>In eosinophilic asthma population</w:t>
            </w:r>
          </w:p>
        </w:tc>
        <w:tc>
          <w:tcPr>
            <w:tcW w:w="719" w:type="pct"/>
            <w:vAlign w:val="center"/>
          </w:tcPr>
          <w:p w14:paraId="47002D6B" w14:textId="77777777" w:rsidR="00F52EC1" w:rsidRPr="002F3D9C" w:rsidRDefault="002F3D9C" w:rsidP="00F52EC1">
            <w:pPr>
              <w:pStyle w:val="TableText0"/>
              <w:keepNext w:val="0"/>
              <w:jc w:val="right"/>
              <w:rPr>
                <w:b/>
                <w:szCs w:val="20"/>
                <w:highlight w:val="black"/>
              </w:rPr>
            </w:pPr>
            <w:r>
              <w:rPr>
                <w:b/>
                <w:noProof/>
                <w:color w:val="000000"/>
                <w:szCs w:val="20"/>
                <w:highlight w:val="black"/>
              </w:rPr>
              <w:t>''''''''''''''''''''''</w:t>
            </w:r>
          </w:p>
        </w:tc>
        <w:tc>
          <w:tcPr>
            <w:tcW w:w="1386" w:type="pct"/>
            <w:gridSpan w:val="2"/>
            <w:vAlign w:val="center"/>
          </w:tcPr>
          <w:p w14:paraId="6CDB3ABC" w14:textId="77777777" w:rsidR="00F52EC1" w:rsidRPr="00FD6B8F" w:rsidRDefault="002F3D9C" w:rsidP="00F52EC1">
            <w:pPr>
              <w:pStyle w:val="TableText0"/>
              <w:keepNext w:val="0"/>
              <w:jc w:val="center"/>
              <w:rPr>
                <w:b/>
                <w:szCs w:val="20"/>
              </w:rPr>
            </w:pPr>
            <w:r>
              <w:rPr>
                <w:b/>
                <w:noProof/>
                <w:color w:val="000000"/>
                <w:szCs w:val="20"/>
                <w:highlight w:val="black"/>
              </w:rPr>
              <w:t>'''''''''''''''''''''''</w:t>
            </w:r>
            <w:r w:rsidR="00F52EC1" w:rsidRPr="00FD6B8F">
              <w:rPr>
                <w:b/>
                <w:szCs w:val="20"/>
                <w:vertAlign w:val="superscript"/>
              </w:rPr>
              <w:t>c</w:t>
            </w:r>
          </w:p>
        </w:tc>
        <w:tc>
          <w:tcPr>
            <w:tcW w:w="661" w:type="pct"/>
            <w:shd w:val="clear" w:color="auto" w:fill="auto"/>
            <w:vAlign w:val="center"/>
          </w:tcPr>
          <w:p w14:paraId="31692879" w14:textId="77777777" w:rsidR="00F52EC1" w:rsidRPr="00FD6B8F" w:rsidRDefault="00F52EC1" w:rsidP="00F52EC1">
            <w:pPr>
              <w:pStyle w:val="TableText0"/>
              <w:keepNext w:val="0"/>
              <w:jc w:val="right"/>
              <w:rPr>
                <w:b/>
                <w:szCs w:val="20"/>
              </w:rPr>
            </w:pPr>
            <w:r w:rsidRPr="00FD6B8F">
              <w:rPr>
                <w:b/>
                <w:szCs w:val="20"/>
              </w:rPr>
              <w:t>–</w:t>
            </w:r>
          </w:p>
        </w:tc>
      </w:tr>
      <w:tr w:rsidR="006F2ADF" w:rsidRPr="00B57220" w14:paraId="68F3B83D" w14:textId="77777777" w:rsidTr="00B57220">
        <w:tc>
          <w:tcPr>
            <w:tcW w:w="2234" w:type="pct"/>
            <w:shd w:val="clear" w:color="auto" w:fill="auto"/>
          </w:tcPr>
          <w:p w14:paraId="51406364" w14:textId="77777777" w:rsidR="00F52EC1" w:rsidRPr="00B57220" w:rsidRDefault="00F52EC1" w:rsidP="00F94D70">
            <w:pPr>
              <w:pStyle w:val="TableText0"/>
              <w:keepNext w:val="0"/>
              <w:numPr>
                <w:ilvl w:val="0"/>
                <w:numId w:val="23"/>
              </w:numPr>
              <w:ind w:left="284" w:hanging="284"/>
              <w:rPr>
                <w:b/>
                <w:szCs w:val="20"/>
              </w:rPr>
            </w:pPr>
            <w:r w:rsidRPr="00B57220">
              <w:rPr>
                <w:b/>
                <w:szCs w:val="20"/>
              </w:rPr>
              <w:t>In allergic asthma population</w:t>
            </w:r>
          </w:p>
        </w:tc>
        <w:tc>
          <w:tcPr>
            <w:tcW w:w="719" w:type="pct"/>
            <w:vAlign w:val="center"/>
          </w:tcPr>
          <w:p w14:paraId="2E31C261" w14:textId="77777777" w:rsidR="00F52EC1" w:rsidRPr="002F3D9C" w:rsidRDefault="002F3D9C" w:rsidP="00F52EC1">
            <w:pPr>
              <w:pStyle w:val="TableText0"/>
              <w:keepNext w:val="0"/>
              <w:jc w:val="right"/>
              <w:rPr>
                <w:b/>
                <w:szCs w:val="20"/>
                <w:highlight w:val="black"/>
              </w:rPr>
            </w:pPr>
            <w:r>
              <w:rPr>
                <w:b/>
                <w:noProof/>
                <w:color w:val="000000"/>
                <w:szCs w:val="20"/>
                <w:highlight w:val="black"/>
              </w:rPr>
              <w:t>''''''''''''''''''''</w:t>
            </w:r>
          </w:p>
        </w:tc>
        <w:tc>
          <w:tcPr>
            <w:tcW w:w="1386" w:type="pct"/>
            <w:gridSpan w:val="2"/>
            <w:vAlign w:val="center"/>
          </w:tcPr>
          <w:p w14:paraId="45FACEEA" w14:textId="77777777" w:rsidR="00F52EC1" w:rsidRPr="00FD6B8F" w:rsidRDefault="00F52EC1" w:rsidP="00F52EC1">
            <w:pPr>
              <w:pStyle w:val="TableText0"/>
              <w:keepNext w:val="0"/>
              <w:jc w:val="right"/>
              <w:rPr>
                <w:b/>
                <w:szCs w:val="20"/>
              </w:rPr>
            </w:pPr>
            <w:r w:rsidRPr="00FD6B8F">
              <w:rPr>
                <w:b/>
                <w:szCs w:val="20"/>
              </w:rPr>
              <w:t>–</w:t>
            </w:r>
          </w:p>
        </w:tc>
        <w:tc>
          <w:tcPr>
            <w:tcW w:w="661" w:type="pct"/>
            <w:shd w:val="clear" w:color="auto" w:fill="auto"/>
            <w:vAlign w:val="center"/>
          </w:tcPr>
          <w:p w14:paraId="41E0D261" w14:textId="77777777" w:rsidR="00F52EC1" w:rsidRPr="002F3D9C" w:rsidRDefault="002F3D9C" w:rsidP="00F52EC1">
            <w:pPr>
              <w:pStyle w:val="TableText0"/>
              <w:keepNext w:val="0"/>
              <w:jc w:val="right"/>
              <w:rPr>
                <w:b/>
                <w:szCs w:val="20"/>
                <w:highlight w:val="black"/>
                <w:vertAlign w:val="superscript"/>
              </w:rPr>
            </w:pPr>
            <w:r>
              <w:rPr>
                <w:b/>
                <w:noProof/>
                <w:color w:val="000000"/>
                <w:szCs w:val="20"/>
                <w:highlight w:val="black"/>
              </w:rPr>
              <w:t>'''''''''''''''''''''''</w:t>
            </w:r>
          </w:p>
        </w:tc>
      </w:tr>
      <w:tr w:rsidR="006F2ADF" w:rsidRPr="00B57220" w14:paraId="42050202" w14:textId="77777777" w:rsidTr="00B57220">
        <w:tc>
          <w:tcPr>
            <w:tcW w:w="2234" w:type="pct"/>
            <w:shd w:val="clear" w:color="auto" w:fill="auto"/>
          </w:tcPr>
          <w:p w14:paraId="68EFF6AA" w14:textId="77777777" w:rsidR="00F52EC1" w:rsidRPr="00B57220" w:rsidRDefault="00F52EC1" w:rsidP="00F94D70">
            <w:pPr>
              <w:pStyle w:val="TableText0"/>
              <w:keepNext w:val="0"/>
              <w:numPr>
                <w:ilvl w:val="0"/>
                <w:numId w:val="23"/>
              </w:numPr>
              <w:ind w:left="284" w:hanging="284"/>
              <w:rPr>
                <w:b/>
                <w:szCs w:val="20"/>
              </w:rPr>
            </w:pPr>
            <w:r w:rsidRPr="00B57220">
              <w:rPr>
                <w:b/>
                <w:szCs w:val="20"/>
              </w:rPr>
              <w:t>In overall population</w:t>
            </w:r>
          </w:p>
        </w:tc>
        <w:tc>
          <w:tcPr>
            <w:tcW w:w="719" w:type="pct"/>
            <w:vAlign w:val="center"/>
          </w:tcPr>
          <w:p w14:paraId="58D6D749" w14:textId="77777777" w:rsidR="00F52EC1" w:rsidRPr="002F3D9C" w:rsidRDefault="002F3D9C" w:rsidP="00F52EC1">
            <w:pPr>
              <w:pStyle w:val="TableText0"/>
              <w:keepNext w:val="0"/>
              <w:jc w:val="right"/>
              <w:rPr>
                <w:b/>
                <w:szCs w:val="20"/>
                <w:highlight w:val="black"/>
              </w:rPr>
            </w:pPr>
            <w:r>
              <w:rPr>
                <w:b/>
                <w:noProof/>
                <w:color w:val="000000"/>
                <w:szCs w:val="20"/>
                <w:highlight w:val="black"/>
              </w:rPr>
              <w:t>''''''''''''''''''''''</w:t>
            </w:r>
          </w:p>
        </w:tc>
        <w:tc>
          <w:tcPr>
            <w:tcW w:w="2047" w:type="pct"/>
            <w:gridSpan w:val="3"/>
            <w:vAlign w:val="center"/>
          </w:tcPr>
          <w:p w14:paraId="450DEB34" w14:textId="77777777" w:rsidR="00F52EC1" w:rsidRPr="00FD6B8F" w:rsidRDefault="002F3D9C" w:rsidP="00F52EC1">
            <w:pPr>
              <w:pStyle w:val="TableText0"/>
              <w:keepNext w:val="0"/>
              <w:jc w:val="center"/>
              <w:rPr>
                <w:b/>
                <w:szCs w:val="20"/>
                <w:vertAlign w:val="superscript"/>
              </w:rPr>
            </w:pPr>
            <w:r>
              <w:rPr>
                <w:b/>
                <w:noProof/>
                <w:color w:val="000000"/>
                <w:szCs w:val="20"/>
                <w:highlight w:val="black"/>
              </w:rPr>
              <w:t>'''''''''''''''''''''</w:t>
            </w:r>
            <w:r w:rsidR="00F52EC1" w:rsidRPr="00FD6B8F">
              <w:rPr>
                <w:b/>
                <w:szCs w:val="20"/>
                <w:vertAlign w:val="superscript"/>
              </w:rPr>
              <w:t>d</w:t>
            </w:r>
          </w:p>
        </w:tc>
      </w:tr>
    </w:tbl>
    <w:p w14:paraId="552AD194" w14:textId="77777777" w:rsidR="00F52EC1" w:rsidRPr="00193BC1" w:rsidRDefault="00F52EC1" w:rsidP="00F52EC1">
      <w:pPr>
        <w:pStyle w:val="TableFigureFooter"/>
      </w:pPr>
      <w:r w:rsidRPr="00193BC1">
        <w:t>Source: Analysis performed during the evaluation, based on Table 3.5, Table 3.6, Table, Table 3.9, and Table 3.11 of the submission, the “Sanofi Dupilumab CMA FINAL” Excel workbook</w:t>
      </w:r>
    </w:p>
    <w:p w14:paraId="66B70636" w14:textId="77777777" w:rsidR="00F52EC1" w:rsidRPr="00193BC1" w:rsidRDefault="00F52EC1" w:rsidP="00F52EC1">
      <w:pPr>
        <w:pStyle w:val="TableFigureFooter"/>
      </w:pPr>
      <w:r w:rsidRPr="00193BC1">
        <w:rPr>
          <w:vertAlign w:val="superscript"/>
        </w:rPr>
        <w:t xml:space="preserve">a </w:t>
      </w:r>
      <w:r w:rsidRPr="00193BC1">
        <w:t>This is the mean omalizumab dose per 4 week, not the dose per administration. Omalizumab can be administered every 2 weeks or every 4 weeks. The number of omalizumab administrations every 4 weeks (1.34) were determined on the basis of the DUSC report (2014) on the utilisation of omalizumab in the 24 months after listing (1 July 2011 to 30 June 2013), which provided data on both baseline IgE level and patient weight.</w:t>
      </w:r>
    </w:p>
    <w:p w14:paraId="16763197" w14:textId="77777777" w:rsidR="00F52EC1" w:rsidRPr="00193BC1" w:rsidRDefault="00F52EC1" w:rsidP="00F52EC1">
      <w:pPr>
        <w:pStyle w:val="TableFigureFooter"/>
      </w:pPr>
      <w:r w:rsidRPr="00193BC1">
        <w:rPr>
          <w:vertAlign w:val="superscript"/>
        </w:rPr>
        <w:t xml:space="preserve">b </w:t>
      </w:r>
      <w:r w:rsidRPr="00193BC1">
        <w:t>17.5 = 1.34 x (52/4)</w:t>
      </w:r>
    </w:p>
    <w:p w14:paraId="4F593DE1" w14:textId="77777777" w:rsidR="00F52EC1" w:rsidRPr="00193BC1" w:rsidRDefault="00F52EC1" w:rsidP="00F52EC1">
      <w:pPr>
        <w:pStyle w:val="TableFigureFooter"/>
      </w:pPr>
      <w:r w:rsidRPr="00193BC1">
        <w:rPr>
          <w:vertAlign w:val="superscript"/>
        </w:rPr>
        <w:t xml:space="preserve">c </w:t>
      </w:r>
      <w:r w:rsidRPr="00193BC1">
        <w:t>Weighted on the basis that 42.1% of the eosinophilic asthma patients receive benralizumab, and the remaining 57.9% receive mepolizumab</w:t>
      </w:r>
    </w:p>
    <w:p w14:paraId="2DA7BA47" w14:textId="77777777" w:rsidR="00F52EC1" w:rsidRPr="00193BC1" w:rsidRDefault="00F52EC1" w:rsidP="005863D4">
      <w:pPr>
        <w:pStyle w:val="TableFigureFooter"/>
      </w:pPr>
      <w:r w:rsidRPr="00193BC1">
        <w:rPr>
          <w:vertAlign w:val="superscript"/>
        </w:rPr>
        <w:t xml:space="preserve">d </w:t>
      </w:r>
      <w:r w:rsidRPr="00193BC1">
        <w:t>Weighted using a ratio of 68.3%: 31.7% for eosinophilic asthma vs. allergic asthma.</w:t>
      </w:r>
    </w:p>
    <w:p w14:paraId="16A211F5" w14:textId="77777777" w:rsidR="00714639" w:rsidRPr="00193BC1" w:rsidRDefault="00714639" w:rsidP="001716E0">
      <w:pPr>
        <w:pStyle w:val="3-BodyText"/>
      </w:pPr>
      <w:r w:rsidRPr="00FD6B8F">
        <w:t>The 3-year treatment cost, based on the current MBS fees, was estimated to be $</w:t>
      </w:r>
      <w:r w:rsidR="002F3D9C">
        <w:rPr>
          <w:noProof/>
          <w:color w:val="000000"/>
          <w:highlight w:val="black"/>
        </w:rPr>
        <w:t>'''''''''''''</w:t>
      </w:r>
      <w:r w:rsidRPr="00FD6B8F">
        <w:t xml:space="preserve"> for dupilumab, $45,264 for omalizumab, $63,942 for mepolizumab, and $67,936 for benralizumab. The </w:t>
      </w:r>
      <w:r w:rsidR="002F3D9C">
        <w:rPr>
          <w:noProof/>
          <w:color w:val="000000"/>
          <w:highlight w:val="black"/>
        </w:rPr>
        <w:t>''''''</w:t>
      </w:r>
      <w:r w:rsidRPr="00FD6B8F">
        <w:t xml:space="preserve"> </w:t>
      </w:r>
      <w:r w:rsidRPr="00FD6B8F">
        <w:rPr>
          <w:bCs/>
        </w:rPr>
        <w:t>price of dupilumab for the 200</w:t>
      </w:r>
      <w:r w:rsidR="00EB2488" w:rsidRPr="00FD6B8F">
        <w:rPr>
          <w:bCs/>
        </w:rPr>
        <w:t xml:space="preserve"> </w:t>
      </w:r>
      <w:r w:rsidRPr="00FD6B8F">
        <w:rPr>
          <w:bCs/>
        </w:rPr>
        <w:t>mg and 300</w:t>
      </w:r>
      <w:r w:rsidR="00EB2488" w:rsidRPr="00FD6B8F">
        <w:rPr>
          <w:bCs/>
        </w:rPr>
        <w:t xml:space="preserve"> </w:t>
      </w:r>
      <w:r w:rsidRPr="00FD6B8F">
        <w:rPr>
          <w:bCs/>
        </w:rPr>
        <w:t>mg syringe</w:t>
      </w:r>
      <w:r w:rsidRPr="00FD6B8F">
        <w:t xml:space="preserve"> (i.e. $</w:t>
      </w:r>
      <w:r w:rsidR="002F3D9C">
        <w:rPr>
          <w:noProof/>
          <w:color w:val="000000"/>
          <w:highlight w:val="black"/>
        </w:rPr>
        <w:t>''''''''''''''</w:t>
      </w:r>
      <w:r w:rsidRPr="00FD6B8F">
        <w:t>)</w:t>
      </w:r>
      <w:r w:rsidRPr="00193BC1">
        <w:t xml:space="preserve"> was calculated using the costs of the comparators weighted by their relative use, based on the recent PBS statistics from Services Australia and the 10% PBS sample data</w:t>
      </w:r>
      <w:r w:rsidRPr="00193BC1">
        <w:rPr>
          <w:bCs/>
        </w:rPr>
        <w:t xml:space="preserve">. </w:t>
      </w:r>
      <w:r w:rsidRPr="00193BC1">
        <w:t xml:space="preserve">The submission’s approach resulted in dupilumab therapy being more expensive than omalizumab for treatment of uncontrolled severe allergic asthma, </w:t>
      </w:r>
      <w:r w:rsidR="004A4041" w:rsidRPr="00193BC1">
        <w:t xml:space="preserve">despite the non-inferiority clinical claim. </w:t>
      </w:r>
      <w:r w:rsidRPr="00193BC1">
        <w:t xml:space="preserve">The PBAC Guidelines (Version 5.0) state that, under the </w:t>
      </w:r>
      <w:r w:rsidRPr="00193BC1">
        <w:rPr>
          <w:i/>
        </w:rPr>
        <w:t>National Health Act 1953</w:t>
      </w:r>
      <w:r w:rsidRPr="00193BC1">
        <w:t>, Section 101</w:t>
      </w:r>
      <w:r w:rsidR="003417DB" w:rsidRPr="00193BC1">
        <w:t xml:space="preserve"> (3B)</w:t>
      </w:r>
      <w:r w:rsidRPr="00193BC1">
        <w:t>, the PBAC cannot make a positive recommendation for a medicine that is substantially more costly than an alternative medicine unless it is satisfied that the proposed medicine also provides a significant improvement of health.</w:t>
      </w:r>
      <w:r w:rsidR="00F9233B" w:rsidRPr="00193BC1">
        <w:t xml:space="preserve"> </w:t>
      </w:r>
      <w:r w:rsidR="00441CD4" w:rsidRPr="00193BC1">
        <w:t>The PSCR stated that as all currently reimbursed asthma biologics were cost-minimised to omalizumab it is expected that the price of dupilumab will be no higher or lower than any of the nominated comparators once the effective prices of comparators are disclosed.</w:t>
      </w:r>
    </w:p>
    <w:p w14:paraId="6297A783" w14:textId="77777777" w:rsidR="00714639" w:rsidRPr="00193BC1" w:rsidRDefault="00714639" w:rsidP="001716E0">
      <w:pPr>
        <w:pStyle w:val="3-BodyText"/>
      </w:pPr>
      <w:r w:rsidRPr="00193BC1">
        <w:t xml:space="preserve">Results from the </w:t>
      </w:r>
      <w:r w:rsidRPr="00FD6B8F">
        <w:t>sensitivity analysis indicated that the ex-manufacturer price for dupilumab would be $</w:t>
      </w:r>
      <w:r w:rsidR="002F3D9C">
        <w:rPr>
          <w:noProof/>
          <w:color w:val="000000"/>
          <w:highlight w:val="black"/>
        </w:rPr>
        <w:t>''''''''''''</w:t>
      </w:r>
      <w:r w:rsidRPr="00FD6B8F">
        <w:t xml:space="preserve"> per 200</w:t>
      </w:r>
      <w:r w:rsidR="00EB2488" w:rsidRPr="00FD6B8F">
        <w:t xml:space="preserve"> </w:t>
      </w:r>
      <w:r w:rsidRPr="00FD6B8F">
        <w:t>mg or 300</w:t>
      </w:r>
      <w:r w:rsidR="00EB2488" w:rsidRPr="00FD6B8F">
        <w:t xml:space="preserve"> </w:t>
      </w:r>
      <w:r w:rsidRPr="00FD6B8F">
        <w:t xml:space="preserve">mg syringe (i.e. </w:t>
      </w:r>
      <w:r w:rsidR="002F3D9C">
        <w:rPr>
          <w:noProof/>
          <w:color w:val="000000"/>
          <w:highlight w:val="black"/>
        </w:rPr>
        <w:t>''''''''''''''''''</w:t>
      </w:r>
      <w:r w:rsidRPr="00FD6B8F">
        <w:t xml:space="preserve"> per pack) on the basis of cost-minimisation compared to omalizumab (vs. $748.22 in the base case). If a shorter time frame was used in the cost-minimisation analysis, the dupilumab price would be slightly higher than the base case ($</w:t>
      </w:r>
      <w:r w:rsidR="002F3D9C">
        <w:rPr>
          <w:noProof/>
          <w:color w:val="000000"/>
          <w:highlight w:val="black"/>
        </w:rPr>
        <w:t>'''''''''''''</w:t>
      </w:r>
      <w:r w:rsidRPr="00FD6B8F">
        <w:t xml:space="preserve"> vs. $</w:t>
      </w:r>
      <w:r w:rsidR="002F3D9C">
        <w:rPr>
          <w:noProof/>
          <w:color w:val="000000"/>
          <w:highlight w:val="black"/>
        </w:rPr>
        <w:t>''''''''''''''</w:t>
      </w:r>
      <w:r w:rsidRPr="00FD6B8F">
        <w:t>). In a scenario where all patients receive omalizumab therapy via self-injection, the per syringe price would be around $2 lower than the base case estimate (i.e. $</w:t>
      </w:r>
      <w:r w:rsidR="002F3D9C">
        <w:rPr>
          <w:noProof/>
          <w:color w:val="000000"/>
          <w:highlight w:val="black"/>
        </w:rPr>
        <w:t>'''''''''''''</w:t>
      </w:r>
      <w:r w:rsidRPr="00FD6B8F">
        <w:t>).</w:t>
      </w:r>
      <w:r w:rsidR="00544FEB" w:rsidRPr="00193BC1">
        <w:t xml:space="preserve"> </w:t>
      </w:r>
    </w:p>
    <w:p w14:paraId="6F023FAD" w14:textId="77777777" w:rsidR="00714639" w:rsidRPr="00193BC1" w:rsidRDefault="00714639" w:rsidP="00AD5030">
      <w:pPr>
        <w:pStyle w:val="TableFigureHeading"/>
      </w:pPr>
      <w:bookmarkStart w:id="34" w:name="_Ref50651295"/>
      <w:r w:rsidRPr="00193BC1">
        <w:t xml:space="preserve">Table </w:t>
      </w:r>
      <w:bookmarkEnd w:id="34"/>
      <w:r w:rsidR="008F7132" w:rsidRPr="00193BC1">
        <w:t>14</w:t>
      </w:r>
      <w:r w:rsidRPr="00193BC1">
        <w:t>: Sensitivity analyses conducted during evaluation</w:t>
      </w:r>
      <w:r w:rsidRPr="00193BC1">
        <w:rPr>
          <w:rStyle w:val="CommentReferenc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5982"/>
        <w:gridCol w:w="3035"/>
      </w:tblGrid>
      <w:tr w:rsidR="006F2ADF" w:rsidRPr="00193BC1" w14:paraId="5B605FF3" w14:textId="77777777" w:rsidTr="00B57220">
        <w:trPr>
          <w:cantSplit/>
          <w:tblHeader/>
        </w:trPr>
        <w:tc>
          <w:tcPr>
            <w:tcW w:w="3317" w:type="pct"/>
            <w:tcBorders>
              <w:top w:val="single" w:sz="4" w:space="0" w:color="auto"/>
              <w:left w:val="single" w:sz="4" w:space="0" w:color="auto"/>
              <w:bottom w:val="single" w:sz="4" w:space="0" w:color="auto"/>
              <w:right w:val="single" w:sz="4" w:space="0" w:color="auto"/>
            </w:tcBorders>
            <w:hideMark/>
          </w:tcPr>
          <w:p w14:paraId="4451D00D" w14:textId="77777777" w:rsidR="00714639" w:rsidRPr="00193BC1" w:rsidRDefault="00714639" w:rsidP="00580E2F">
            <w:pPr>
              <w:pStyle w:val="Tabletext"/>
              <w:rPr>
                <w:b/>
              </w:rPr>
            </w:pPr>
            <w:r w:rsidRPr="00193BC1">
              <w:rPr>
                <w:b/>
              </w:rPr>
              <w:t>Component</w:t>
            </w:r>
          </w:p>
        </w:tc>
        <w:tc>
          <w:tcPr>
            <w:tcW w:w="1683" w:type="pct"/>
            <w:tcBorders>
              <w:top w:val="single" w:sz="4" w:space="0" w:color="auto"/>
              <w:left w:val="single" w:sz="4" w:space="0" w:color="auto"/>
              <w:bottom w:val="single" w:sz="4" w:space="0" w:color="auto"/>
              <w:right w:val="single" w:sz="4" w:space="0" w:color="auto"/>
            </w:tcBorders>
          </w:tcPr>
          <w:p w14:paraId="11A75479" w14:textId="77777777" w:rsidR="00714639" w:rsidRPr="00193BC1" w:rsidRDefault="00714639" w:rsidP="00580E2F">
            <w:pPr>
              <w:pStyle w:val="Tabletext"/>
              <w:rPr>
                <w:b/>
              </w:rPr>
            </w:pPr>
            <w:r w:rsidRPr="00193BC1">
              <w:rPr>
                <w:b/>
              </w:rPr>
              <w:t xml:space="preserve">Ex-manufacturer price for dupilumab per 200mg or 300mg syringe </w:t>
            </w:r>
          </w:p>
        </w:tc>
      </w:tr>
      <w:tr w:rsidR="006F2ADF" w:rsidRPr="00193BC1" w14:paraId="6E59F468" w14:textId="77777777" w:rsidTr="00B57220">
        <w:trPr>
          <w:cantSplit/>
          <w:tblHeader/>
        </w:trPr>
        <w:tc>
          <w:tcPr>
            <w:tcW w:w="3317" w:type="pct"/>
            <w:tcBorders>
              <w:top w:val="single" w:sz="4" w:space="0" w:color="auto"/>
              <w:left w:val="single" w:sz="4" w:space="0" w:color="auto"/>
              <w:bottom w:val="single" w:sz="4" w:space="0" w:color="auto"/>
              <w:right w:val="single" w:sz="4" w:space="0" w:color="auto"/>
            </w:tcBorders>
          </w:tcPr>
          <w:p w14:paraId="1B4DDDBF" w14:textId="77777777" w:rsidR="00714639" w:rsidRPr="00193BC1" w:rsidRDefault="00714639" w:rsidP="00580E2F">
            <w:pPr>
              <w:pStyle w:val="Tabletext"/>
              <w:rPr>
                <w:b/>
              </w:rPr>
            </w:pPr>
            <w:r w:rsidRPr="00193BC1">
              <w:rPr>
                <w:b/>
              </w:rPr>
              <w:t>Base case</w:t>
            </w:r>
          </w:p>
        </w:tc>
        <w:tc>
          <w:tcPr>
            <w:tcW w:w="1683" w:type="pct"/>
            <w:tcBorders>
              <w:top w:val="single" w:sz="4" w:space="0" w:color="auto"/>
              <w:left w:val="single" w:sz="4" w:space="0" w:color="auto"/>
              <w:bottom w:val="single" w:sz="4" w:space="0" w:color="auto"/>
              <w:right w:val="single" w:sz="4" w:space="0" w:color="auto"/>
            </w:tcBorders>
            <w:vAlign w:val="center"/>
          </w:tcPr>
          <w:p w14:paraId="1540B484" w14:textId="77777777" w:rsidR="00714639" w:rsidRPr="002F3D9C" w:rsidRDefault="002F3D9C" w:rsidP="00580E2F">
            <w:pPr>
              <w:pStyle w:val="Tabletext"/>
              <w:jc w:val="right"/>
              <w:rPr>
                <w:b/>
                <w:highlight w:val="black"/>
              </w:rPr>
            </w:pPr>
            <w:r>
              <w:rPr>
                <w:b/>
                <w:noProof/>
                <w:color w:val="000000"/>
                <w:highlight w:val="black"/>
              </w:rPr>
              <w:t>'''''''''''''''</w:t>
            </w:r>
          </w:p>
        </w:tc>
      </w:tr>
      <w:tr w:rsidR="006F2ADF" w:rsidRPr="00193BC1" w14:paraId="1FA40144" w14:textId="77777777" w:rsidTr="00B57220">
        <w:trPr>
          <w:trHeight w:val="183"/>
        </w:trPr>
        <w:tc>
          <w:tcPr>
            <w:tcW w:w="3317" w:type="pct"/>
            <w:tcBorders>
              <w:left w:val="single" w:sz="4" w:space="0" w:color="auto"/>
              <w:right w:val="single" w:sz="4" w:space="0" w:color="auto"/>
            </w:tcBorders>
          </w:tcPr>
          <w:p w14:paraId="0C022C6D" w14:textId="77777777" w:rsidR="00714639" w:rsidRPr="00193BC1" w:rsidRDefault="00714639" w:rsidP="004E0BB5">
            <w:pPr>
              <w:pStyle w:val="Tabletext"/>
            </w:pPr>
            <w:r w:rsidRPr="00193BC1">
              <w:t>Cost-minimising to omalizumab therapy</w:t>
            </w:r>
          </w:p>
        </w:tc>
        <w:tc>
          <w:tcPr>
            <w:tcW w:w="1683" w:type="pct"/>
            <w:tcBorders>
              <w:left w:val="single" w:sz="4" w:space="0" w:color="auto"/>
              <w:right w:val="single" w:sz="4" w:space="0" w:color="auto"/>
            </w:tcBorders>
            <w:vAlign w:val="center"/>
          </w:tcPr>
          <w:p w14:paraId="4A6F01C7" w14:textId="77777777" w:rsidR="00714639" w:rsidRPr="002F3D9C" w:rsidRDefault="002F3D9C" w:rsidP="00580E2F">
            <w:pPr>
              <w:pStyle w:val="Tabletext"/>
              <w:jc w:val="right"/>
              <w:rPr>
                <w:highlight w:val="black"/>
              </w:rPr>
            </w:pPr>
            <w:r>
              <w:rPr>
                <w:noProof/>
                <w:color w:val="000000"/>
                <w:highlight w:val="black"/>
              </w:rPr>
              <w:t>''''''''''''''''''</w:t>
            </w:r>
          </w:p>
        </w:tc>
      </w:tr>
      <w:tr w:rsidR="006F2ADF" w:rsidRPr="00193BC1" w14:paraId="603D13F9" w14:textId="77777777" w:rsidTr="00B57220">
        <w:trPr>
          <w:trHeight w:val="183"/>
        </w:trPr>
        <w:tc>
          <w:tcPr>
            <w:tcW w:w="3317" w:type="pct"/>
            <w:tcBorders>
              <w:left w:val="single" w:sz="4" w:space="0" w:color="auto"/>
              <w:right w:val="single" w:sz="4" w:space="0" w:color="auto"/>
            </w:tcBorders>
          </w:tcPr>
          <w:p w14:paraId="71D15C9A" w14:textId="77777777" w:rsidR="00714639" w:rsidRPr="00193BC1" w:rsidRDefault="00714639" w:rsidP="00580E2F">
            <w:pPr>
              <w:pStyle w:val="Tabletext"/>
            </w:pPr>
            <w:r w:rsidRPr="00193BC1">
              <w:t>Using 1-year time frame</w:t>
            </w:r>
          </w:p>
        </w:tc>
        <w:tc>
          <w:tcPr>
            <w:tcW w:w="1683" w:type="pct"/>
            <w:tcBorders>
              <w:left w:val="single" w:sz="4" w:space="0" w:color="auto"/>
              <w:right w:val="single" w:sz="4" w:space="0" w:color="auto"/>
            </w:tcBorders>
            <w:vAlign w:val="center"/>
          </w:tcPr>
          <w:p w14:paraId="07DA640E" w14:textId="77777777" w:rsidR="00714639" w:rsidRPr="002F3D9C" w:rsidRDefault="002F3D9C" w:rsidP="00580E2F">
            <w:pPr>
              <w:pStyle w:val="Tabletext"/>
              <w:jc w:val="right"/>
              <w:rPr>
                <w:highlight w:val="black"/>
              </w:rPr>
            </w:pPr>
            <w:r>
              <w:rPr>
                <w:noProof/>
                <w:color w:val="000000"/>
                <w:highlight w:val="black"/>
              </w:rPr>
              <w:t>'''''''''''''''''''''</w:t>
            </w:r>
          </w:p>
        </w:tc>
      </w:tr>
      <w:tr w:rsidR="006F2ADF" w:rsidRPr="00193BC1" w14:paraId="656ABC59" w14:textId="77777777" w:rsidTr="00B57220">
        <w:trPr>
          <w:trHeight w:val="183"/>
        </w:trPr>
        <w:tc>
          <w:tcPr>
            <w:tcW w:w="3317" w:type="pct"/>
            <w:tcBorders>
              <w:left w:val="single" w:sz="4" w:space="0" w:color="auto"/>
              <w:right w:val="single" w:sz="4" w:space="0" w:color="auto"/>
            </w:tcBorders>
          </w:tcPr>
          <w:p w14:paraId="22341BB7" w14:textId="77777777" w:rsidR="00714639" w:rsidRPr="00193BC1" w:rsidRDefault="00714639" w:rsidP="00580E2F">
            <w:pPr>
              <w:pStyle w:val="Tabletext"/>
            </w:pPr>
            <w:r w:rsidRPr="00193BC1">
              <w:t xml:space="preserve">Assuming that omalizumab would be self-injected (including one-off training cost, MBS item 82215) </w:t>
            </w:r>
          </w:p>
        </w:tc>
        <w:tc>
          <w:tcPr>
            <w:tcW w:w="1683" w:type="pct"/>
            <w:tcBorders>
              <w:left w:val="single" w:sz="4" w:space="0" w:color="auto"/>
              <w:right w:val="single" w:sz="4" w:space="0" w:color="auto"/>
            </w:tcBorders>
            <w:vAlign w:val="center"/>
          </w:tcPr>
          <w:p w14:paraId="4417F04E" w14:textId="77777777" w:rsidR="00714639" w:rsidRPr="002F3D9C" w:rsidRDefault="002F3D9C" w:rsidP="00580E2F">
            <w:pPr>
              <w:pStyle w:val="Tabletext"/>
              <w:jc w:val="right"/>
              <w:rPr>
                <w:highlight w:val="black"/>
              </w:rPr>
            </w:pPr>
            <w:r>
              <w:rPr>
                <w:noProof/>
                <w:color w:val="000000"/>
                <w:highlight w:val="black"/>
              </w:rPr>
              <w:t>'''''''''''''''''''</w:t>
            </w:r>
          </w:p>
        </w:tc>
      </w:tr>
    </w:tbl>
    <w:p w14:paraId="4AC87E45" w14:textId="77777777" w:rsidR="00714639" w:rsidRPr="00193BC1" w:rsidRDefault="00714639" w:rsidP="00B57220">
      <w:pPr>
        <w:pStyle w:val="TableFigureFooter"/>
      </w:pPr>
      <w:r w:rsidRPr="00193BC1">
        <w:t>Source: Sensitivity analyses performed during the evaluation.</w:t>
      </w:r>
    </w:p>
    <w:p w14:paraId="08A0F20A" w14:textId="77777777" w:rsidR="00714639" w:rsidRPr="00193BC1" w:rsidRDefault="00714639" w:rsidP="00580E2F">
      <w:pPr>
        <w:pStyle w:val="4-SubsectionHeading"/>
        <w:keepNext w:val="0"/>
      </w:pPr>
      <w:bookmarkStart w:id="35" w:name="_Toc22897646"/>
      <w:bookmarkStart w:id="36" w:name="_Toc22898858"/>
      <w:bookmarkStart w:id="37" w:name="_Toc50399844"/>
      <w:r w:rsidRPr="00193BC1">
        <w:lastRenderedPageBreak/>
        <w:t>Drug cost/patient/year</w:t>
      </w:r>
      <w:bookmarkEnd w:id="35"/>
      <w:bookmarkEnd w:id="36"/>
      <w:bookmarkEnd w:id="37"/>
    </w:p>
    <w:p w14:paraId="21721C5D" w14:textId="77777777" w:rsidR="00714639" w:rsidRPr="00193BC1" w:rsidRDefault="00714639" w:rsidP="001716E0">
      <w:pPr>
        <w:pStyle w:val="3-BodyText"/>
      </w:pPr>
      <w:r w:rsidRPr="00193BC1">
        <w:t xml:space="preserve">The per patient drug costs for dupilumab and its comparators are presented in the table below. The drug cost for </w:t>
      </w:r>
      <w:r w:rsidRPr="00FD6B8F">
        <w:t>dupilumab was estimated to be $</w:t>
      </w:r>
      <w:r w:rsidR="002F3D9C">
        <w:rPr>
          <w:noProof/>
          <w:color w:val="000000"/>
          <w:highlight w:val="black"/>
        </w:rPr>
        <w:t>'''''''''''''</w:t>
      </w:r>
      <w:r w:rsidRPr="00FD6B8F">
        <w:t>, based on the submission’s proposed published dispensed price per maximum quantity (DPMQ) of $</w:t>
      </w:r>
      <w:r w:rsidR="002F3D9C">
        <w:rPr>
          <w:noProof/>
          <w:color w:val="000000"/>
          <w:highlight w:val="black"/>
        </w:rPr>
        <w:t xml:space="preserve">'''''''''''''''' </w:t>
      </w:r>
      <w:r w:rsidRPr="00FD6B8F">
        <w:t>(Public) and $</w:t>
      </w:r>
      <w:r w:rsidR="002F3D9C">
        <w:rPr>
          <w:noProof/>
          <w:color w:val="000000"/>
          <w:highlight w:val="black"/>
        </w:rPr>
        <w:t xml:space="preserve">'''''''''''''''' </w:t>
      </w:r>
      <w:r w:rsidRPr="00FD6B8F">
        <w:t>(Private</w:t>
      </w:r>
      <w:r w:rsidRPr="00193BC1">
        <w:t xml:space="preserve">), assuming 27 doses including the initial loading doses, </w:t>
      </w:r>
      <w:r w:rsidRPr="00545372">
        <w:t>and 71.8%</w:t>
      </w:r>
      <w:r w:rsidRPr="00193BC1">
        <w:t xml:space="preserve"> of use through public hospitals.</w:t>
      </w:r>
      <w:r w:rsidRPr="00193BC1">
        <w:rPr>
          <w:rFonts w:cs="Calibri"/>
        </w:rPr>
        <w:t xml:space="preserve"> </w:t>
      </w:r>
    </w:p>
    <w:p w14:paraId="31B6CE23" w14:textId="77777777" w:rsidR="00714639" w:rsidRPr="00193BC1" w:rsidRDefault="00714639" w:rsidP="000C626C">
      <w:pPr>
        <w:pStyle w:val="3-BodyText"/>
      </w:pPr>
      <w:r w:rsidRPr="00193BC1">
        <w:t xml:space="preserve">This compares with a drug cost per </w:t>
      </w:r>
      <w:r w:rsidRPr="00FD6B8F">
        <w:t>patient of $</w:t>
      </w:r>
      <w:r w:rsidR="002F3D9C">
        <w:rPr>
          <w:noProof/>
          <w:color w:val="000000"/>
          <w:highlight w:val="black"/>
        </w:rPr>
        <w:t xml:space="preserve">'''''''''''' </w:t>
      </w:r>
      <w:r w:rsidRPr="00FD6B8F">
        <w:t>for</w:t>
      </w:r>
      <w:r w:rsidRPr="00193BC1">
        <w:t xml:space="preserve"> benralizumab (7.5 doses including initial loading </w:t>
      </w:r>
      <w:r w:rsidRPr="00FD6B8F">
        <w:t xml:space="preserve">doses), </w:t>
      </w:r>
      <w:r w:rsidR="00FE0A13" w:rsidRPr="00FD6B8F">
        <w:t>$</w:t>
      </w:r>
      <w:r w:rsidR="002F3D9C">
        <w:rPr>
          <w:noProof/>
          <w:color w:val="000000"/>
          <w:highlight w:val="black"/>
        </w:rPr>
        <w:t>''''''''''''</w:t>
      </w:r>
      <w:r w:rsidRPr="00FD6B8F">
        <w:t xml:space="preserve"> for mepolizumab (13 doses) and $</w:t>
      </w:r>
      <w:r w:rsidR="002F3D9C">
        <w:rPr>
          <w:noProof/>
          <w:color w:val="000000"/>
          <w:highlight w:val="black"/>
        </w:rPr>
        <w:t>''''''''''''''</w:t>
      </w:r>
      <w:r w:rsidRPr="00FD6B8F">
        <w:t xml:space="preserve"> for</w:t>
      </w:r>
      <w:r w:rsidRPr="00193BC1">
        <w:t xml:space="preserve"> omalizumab (398</w:t>
      </w:r>
      <w:r w:rsidR="00EB2488" w:rsidRPr="00193BC1">
        <w:t xml:space="preserve"> </w:t>
      </w:r>
      <w:r w:rsidRPr="00193BC1">
        <w:t>mg every 4 weeks for 13 4-week period</w:t>
      </w:r>
      <w:r w:rsidR="004E0BB5" w:rsidRPr="00193BC1">
        <w:t>s</w:t>
      </w:r>
      <w:r w:rsidRPr="00193BC1">
        <w:t>).</w:t>
      </w:r>
    </w:p>
    <w:p w14:paraId="4D0EF0F3" w14:textId="77777777" w:rsidR="00714639" w:rsidRPr="00193BC1" w:rsidRDefault="00714639" w:rsidP="00F813B9">
      <w:pPr>
        <w:pStyle w:val="TableFigureHeading"/>
        <w:keepLines/>
        <w:widowControl w:val="0"/>
        <w:rPr>
          <w:rStyle w:val="CommentReference"/>
          <w:b/>
          <w:szCs w:val="24"/>
        </w:rPr>
      </w:pPr>
      <w:bookmarkStart w:id="38" w:name="_Ref49864976"/>
      <w:r w:rsidRPr="00193BC1">
        <w:t xml:space="preserve">Table </w:t>
      </w:r>
      <w:bookmarkEnd w:id="38"/>
      <w:r w:rsidR="008F7132" w:rsidRPr="00193BC1">
        <w:t>15</w:t>
      </w:r>
      <w:r w:rsidRPr="00193BC1">
        <w:t xml:space="preserve">: </w:t>
      </w:r>
      <w:r w:rsidRPr="00193BC1">
        <w:rPr>
          <w:rStyle w:val="CommentReference"/>
          <w:b/>
          <w:szCs w:val="24"/>
        </w:rPr>
        <w:t>Drug cost per patient for proposed and comparator drugs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84"/>
        <w:gridCol w:w="1231"/>
        <w:gridCol w:w="1228"/>
        <w:gridCol w:w="1234"/>
        <w:gridCol w:w="1443"/>
        <w:gridCol w:w="1235"/>
        <w:gridCol w:w="1262"/>
      </w:tblGrid>
      <w:tr w:rsidR="006F2ADF" w:rsidRPr="00B57220" w14:paraId="485B1E6F" w14:textId="77777777" w:rsidTr="00B57220">
        <w:tc>
          <w:tcPr>
            <w:tcW w:w="767" w:type="pct"/>
            <w:shd w:val="clear" w:color="auto" w:fill="auto"/>
            <w:vAlign w:val="center"/>
          </w:tcPr>
          <w:p w14:paraId="513E8B1E" w14:textId="77777777" w:rsidR="00714639" w:rsidRPr="00B57220" w:rsidRDefault="00714639" w:rsidP="00F813B9">
            <w:pPr>
              <w:pStyle w:val="In-tableHeading"/>
              <w:keepLines/>
              <w:widowControl w:val="0"/>
              <w:jc w:val="center"/>
              <w:rPr>
                <w:szCs w:val="20"/>
                <w:lang w:val="en-AU"/>
              </w:rPr>
            </w:pPr>
          </w:p>
        </w:tc>
        <w:tc>
          <w:tcPr>
            <w:tcW w:w="2047" w:type="pct"/>
            <w:gridSpan w:val="3"/>
            <w:shd w:val="clear" w:color="auto" w:fill="auto"/>
            <w:vAlign w:val="center"/>
          </w:tcPr>
          <w:p w14:paraId="676BECDD" w14:textId="77777777" w:rsidR="00714639" w:rsidRPr="00B57220" w:rsidRDefault="00714639" w:rsidP="00F813B9">
            <w:pPr>
              <w:pStyle w:val="In-tableHeading"/>
              <w:keepLines/>
              <w:widowControl w:val="0"/>
              <w:jc w:val="center"/>
              <w:rPr>
                <w:szCs w:val="20"/>
                <w:lang w:val="en-AU"/>
              </w:rPr>
            </w:pPr>
            <w:r w:rsidRPr="00B57220">
              <w:rPr>
                <w:szCs w:val="20"/>
                <w:lang w:val="en-AU"/>
              </w:rPr>
              <w:t>Dupilumab</w:t>
            </w:r>
          </w:p>
        </w:tc>
        <w:tc>
          <w:tcPr>
            <w:tcW w:w="2185" w:type="pct"/>
            <w:gridSpan w:val="3"/>
            <w:shd w:val="clear" w:color="auto" w:fill="auto"/>
            <w:vAlign w:val="center"/>
          </w:tcPr>
          <w:p w14:paraId="326ADADD" w14:textId="77777777" w:rsidR="00714639" w:rsidRPr="00B57220" w:rsidRDefault="00714639" w:rsidP="00F813B9">
            <w:pPr>
              <w:pStyle w:val="In-tableHeading"/>
              <w:keepLines/>
              <w:widowControl w:val="0"/>
              <w:jc w:val="center"/>
              <w:rPr>
                <w:szCs w:val="20"/>
                <w:lang w:val="en-AU"/>
              </w:rPr>
            </w:pPr>
            <w:r w:rsidRPr="00B57220">
              <w:rPr>
                <w:szCs w:val="20"/>
                <w:lang w:val="en-AU"/>
              </w:rPr>
              <w:t>Comparators</w:t>
            </w:r>
          </w:p>
        </w:tc>
      </w:tr>
      <w:tr w:rsidR="006F2ADF" w:rsidRPr="00B57220" w14:paraId="077219F6" w14:textId="77777777" w:rsidTr="00B57220">
        <w:tc>
          <w:tcPr>
            <w:tcW w:w="767" w:type="pct"/>
            <w:shd w:val="clear" w:color="auto" w:fill="auto"/>
            <w:vAlign w:val="center"/>
          </w:tcPr>
          <w:p w14:paraId="6AAB7378" w14:textId="77777777" w:rsidR="00714639" w:rsidRPr="00B57220" w:rsidRDefault="00714639" w:rsidP="00F813B9">
            <w:pPr>
              <w:pStyle w:val="In-tableHeading"/>
              <w:keepLines/>
              <w:widowControl w:val="0"/>
              <w:jc w:val="center"/>
              <w:rPr>
                <w:szCs w:val="20"/>
                <w:lang w:val="en-AU"/>
              </w:rPr>
            </w:pPr>
          </w:p>
        </w:tc>
        <w:tc>
          <w:tcPr>
            <w:tcW w:w="682" w:type="pct"/>
            <w:shd w:val="clear" w:color="auto" w:fill="auto"/>
          </w:tcPr>
          <w:p w14:paraId="4E79B90E" w14:textId="77777777" w:rsidR="00714639" w:rsidRPr="00B57220" w:rsidRDefault="00714639" w:rsidP="00F813B9">
            <w:pPr>
              <w:pStyle w:val="In-tableHeading"/>
              <w:keepLines/>
              <w:widowControl w:val="0"/>
              <w:jc w:val="center"/>
              <w:rPr>
                <w:szCs w:val="20"/>
                <w:lang w:val="en-AU"/>
              </w:rPr>
            </w:pPr>
            <w:r w:rsidRPr="00B57220">
              <w:rPr>
                <w:szCs w:val="20"/>
                <w:lang w:val="en-AU"/>
              </w:rPr>
              <w:t>Trial dose and duration</w:t>
            </w:r>
          </w:p>
        </w:tc>
        <w:tc>
          <w:tcPr>
            <w:tcW w:w="681" w:type="pct"/>
            <w:shd w:val="clear" w:color="auto" w:fill="auto"/>
          </w:tcPr>
          <w:p w14:paraId="2EBD2E98" w14:textId="77777777" w:rsidR="00714639" w:rsidRPr="00B57220" w:rsidRDefault="00714639" w:rsidP="00F813B9">
            <w:pPr>
              <w:pStyle w:val="In-tableHeading"/>
              <w:keepLines/>
              <w:widowControl w:val="0"/>
              <w:jc w:val="center"/>
              <w:rPr>
                <w:szCs w:val="20"/>
                <w:lang w:val="en-AU"/>
              </w:rPr>
            </w:pPr>
            <w:r w:rsidRPr="00B57220">
              <w:rPr>
                <w:szCs w:val="20"/>
                <w:lang w:val="en-AU"/>
              </w:rPr>
              <w:t>Cost-minimisation analysis</w:t>
            </w:r>
          </w:p>
        </w:tc>
        <w:tc>
          <w:tcPr>
            <w:tcW w:w="684" w:type="pct"/>
            <w:shd w:val="clear" w:color="auto" w:fill="auto"/>
          </w:tcPr>
          <w:p w14:paraId="2AB15543" w14:textId="77777777" w:rsidR="00714639" w:rsidRPr="00B57220" w:rsidRDefault="00714639" w:rsidP="00F813B9">
            <w:pPr>
              <w:pStyle w:val="In-tableHeading"/>
              <w:keepLines/>
              <w:widowControl w:val="0"/>
              <w:jc w:val="center"/>
              <w:rPr>
                <w:szCs w:val="20"/>
                <w:lang w:val="en-AU"/>
              </w:rPr>
            </w:pPr>
            <w:r w:rsidRPr="00B57220">
              <w:rPr>
                <w:szCs w:val="20"/>
                <w:lang w:val="en-AU"/>
              </w:rPr>
              <w:t>Financial estimates</w:t>
            </w:r>
          </w:p>
        </w:tc>
        <w:tc>
          <w:tcPr>
            <w:tcW w:w="800" w:type="pct"/>
            <w:shd w:val="clear" w:color="auto" w:fill="auto"/>
          </w:tcPr>
          <w:p w14:paraId="7020AF39" w14:textId="77777777" w:rsidR="00714639" w:rsidRPr="00B57220" w:rsidRDefault="00714639" w:rsidP="00F813B9">
            <w:pPr>
              <w:pStyle w:val="In-tableHeading"/>
              <w:keepLines/>
              <w:widowControl w:val="0"/>
              <w:jc w:val="center"/>
              <w:rPr>
                <w:szCs w:val="20"/>
                <w:lang w:val="en-AU"/>
              </w:rPr>
            </w:pPr>
            <w:r w:rsidRPr="00B57220">
              <w:rPr>
                <w:szCs w:val="20"/>
                <w:lang w:val="en-AU"/>
              </w:rPr>
              <w:t>Trial dose and duration</w:t>
            </w:r>
          </w:p>
        </w:tc>
        <w:tc>
          <w:tcPr>
            <w:tcW w:w="685" w:type="pct"/>
            <w:shd w:val="clear" w:color="auto" w:fill="auto"/>
          </w:tcPr>
          <w:p w14:paraId="30EF0D47" w14:textId="77777777" w:rsidR="00714639" w:rsidRPr="00B57220" w:rsidRDefault="00714639" w:rsidP="00F813B9">
            <w:pPr>
              <w:pStyle w:val="In-tableHeading"/>
              <w:keepLines/>
              <w:widowControl w:val="0"/>
              <w:jc w:val="center"/>
              <w:rPr>
                <w:szCs w:val="20"/>
                <w:lang w:val="en-AU"/>
              </w:rPr>
            </w:pPr>
            <w:r w:rsidRPr="00B57220">
              <w:rPr>
                <w:szCs w:val="20"/>
                <w:lang w:val="en-AU"/>
              </w:rPr>
              <w:t>Cost-minimisation analysis</w:t>
            </w:r>
          </w:p>
        </w:tc>
        <w:tc>
          <w:tcPr>
            <w:tcW w:w="700" w:type="pct"/>
          </w:tcPr>
          <w:p w14:paraId="5DDD221A" w14:textId="77777777" w:rsidR="00714639" w:rsidRPr="00B57220" w:rsidRDefault="00714639" w:rsidP="00F813B9">
            <w:pPr>
              <w:pStyle w:val="In-tableHeading"/>
              <w:keepLines/>
              <w:widowControl w:val="0"/>
              <w:jc w:val="center"/>
              <w:rPr>
                <w:szCs w:val="20"/>
                <w:lang w:val="en-AU"/>
              </w:rPr>
            </w:pPr>
            <w:r w:rsidRPr="00B57220">
              <w:rPr>
                <w:szCs w:val="20"/>
                <w:lang w:val="en-AU"/>
              </w:rPr>
              <w:t>Financial estimates</w:t>
            </w:r>
          </w:p>
        </w:tc>
      </w:tr>
      <w:tr w:rsidR="006F2ADF" w:rsidRPr="00B57220" w14:paraId="17D64914" w14:textId="77777777" w:rsidTr="00B57220">
        <w:tc>
          <w:tcPr>
            <w:tcW w:w="767" w:type="pct"/>
            <w:shd w:val="clear" w:color="auto" w:fill="auto"/>
          </w:tcPr>
          <w:p w14:paraId="3F5AB607" w14:textId="77777777" w:rsidR="00714639" w:rsidRPr="00B57220" w:rsidRDefault="00714639" w:rsidP="00F813B9">
            <w:pPr>
              <w:pStyle w:val="TableText0"/>
              <w:keepLines/>
              <w:widowControl w:val="0"/>
              <w:rPr>
                <w:szCs w:val="20"/>
                <w:vertAlign w:val="superscript"/>
              </w:rPr>
            </w:pPr>
            <w:r w:rsidRPr="00B57220">
              <w:rPr>
                <w:szCs w:val="20"/>
              </w:rPr>
              <w:t>Mean dose</w:t>
            </w:r>
          </w:p>
        </w:tc>
        <w:tc>
          <w:tcPr>
            <w:tcW w:w="682" w:type="pct"/>
            <w:shd w:val="clear" w:color="auto" w:fill="auto"/>
          </w:tcPr>
          <w:p w14:paraId="16060536" w14:textId="77777777" w:rsidR="00714639" w:rsidRPr="00B57220" w:rsidRDefault="00714639" w:rsidP="00F813B9">
            <w:pPr>
              <w:pStyle w:val="TableText0"/>
              <w:keepLines/>
              <w:widowControl w:val="0"/>
              <w:rPr>
                <w:szCs w:val="20"/>
              </w:rPr>
            </w:pPr>
            <w:r w:rsidRPr="00B57220">
              <w:rPr>
                <w:szCs w:val="20"/>
              </w:rPr>
              <w:t>400mg, followed by 200mg Q2W</w:t>
            </w:r>
          </w:p>
          <w:p w14:paraId="000293DB" w14:textId="77777777" w:rsidR="00F52EC1" w:rsidRPr="00B57220" w:rsidRDefault="00F52EC1" w:rsidP="00F813B9">
            <w:pPr>
              <w:pStyle w:val="TableText0"/>
              <w:keepLines/>
              <w:widowControl w:val="0"/>
              <w:rPr>
                <w:szCs w:val="20"/>
              </w:rPr>
            </w:pPr>
            <w:r w:rsidRPr="00B57220">
              <w:rPr>
                <w:szCs w:val="20"/>
              </w:rPr>
              <w:t>or</w:t>
            </w:r>
          </w:p>
          <w:p w14:paraId="7DEEE49D" w14:textId="77777777" w:rsidR="00F52EC1" w:rsidRPr="00B57220" w:rsidRDefault="00F52EC1" w:rsidP="00F813B9">
            <w:pPr>
              <w:pStyle w:val="TableText0"/>
              <w:keepLines/>
              <w:widowControl w:val="0"/>
              <w:rPr>
                <w:szCs w:val="20"/>
              </w:rPr>
            </w:pPr>
            <w:r w:rsidRPr="00B57220">
              <w:rPr>
                <w:szCs w:val="20"/>
              </w:rPr>
              <w:t>600mg, followed by 300mg Q2W</w:t>
            </w:r>
          </w:p>
        </w:tc>
        <w:tc>
          <w:tcPr>
            <w:tcW w:w="681" w:type="pct"/>
            <w:shd w:val="clear" w:color="auto" w:fill="auto"/>
          </w:tcPr>
          <w:p w14:paraId="50C553BF" w14:textId="77777777" w:rsidR="00714639" w:rsidRPr="00B57220" w:rsidRDefault="00714639" w:rsidP="00F813B9">
            <w:pPr>
              <w:pStyle w:val="TableText0"/>
              <w:keepLines/>
              <w:widowControl w:val="0"/>
              <w:rPr>
                <w:szCs w:val="20"/>
              </w:rPr>
            </w:pPr>
            <w:r w:rsidRPr="00B57220">
              <w:rPr>
                <w:szCs w:val="20"/>
              </w:rPr>
              <w:t>As in the trials</w:t>
            </w:r>
          </w:p>
        </w:tc>
        <w:tc>
          <w:tcPr>
            <w:tcW w:w="684" w:type="pct"/>
            <w:shd w:val="clear" w:color="auto" w:fill="auto"/>
          </w:tcPr>
          <w:p w14:paraId="3D2A9FA0" w14:textId="77777777" w:rsidR="00714639" w:rsidRPr="00B57220" w:rsidRDefault="00714639" w:rsidP="00F813B9">
            <w:pPr>
              <w:pStyle w:val="TableText0"/>
              <w:keepLines/>
              <w:widowControl w:val="0"/>
              <w:rPr>
                <w:szCs w:val="20"/>
              </w:rPr>
            </w:pPr>
            <w:r w:rsidRPr="00B57220">
              <w:rPr>
                <w:szCs w:val="20"/>
              </w:rPr>
              <w:t>Not estimated</w:t>
            </w:r>
          </w:p>
        </w:tc>
        <w:tc>
          <w:tcPr>
            <w:tcW w:w="800" w:type="pct"/>
            <w:shd w:val="clear" w:color="auto" w:fill="auto"/>
          </w:tcPr>
          <w:p w14:paraId="273AA3C7" w14:textId="77777777" w:rsidR="00714639" w:rsidRPr="00B57220" w:rsidRDefault="00714639" w:rsidP="00F813B9">
            <w:pPr>
              <w:pStyle w:val="TableText0"/>
              <w:keepLines/>
              <w:widowControl w:val="0"/>
              <w:rPr>
                <w:szCs w:val="20"/>
              </w:rPr>
            </w:pPr>
            <w:r w:rsidRPr="00B57220">
              <w:rPr>
                <w:szCs w:val="20"/>
              </w:rPr>
              <w:t>Ben: 30mg Q4W for 3 doses, followed by Q8W</w:t>
            </w:r>
          </w:p>
          <w:p w14:paraId="0FA9DD4A" w14:textId="77777777" w:rsidR="00714639" w:rsidRPr="00B57220" w:rsidRDefault="00714639" w:rsidP="00F813B9">
            <w:pPr>
              <w:pStyle w:val="TableText0"/>
              <w:keepLines/>
              <w:widowControl w:val="0"/>
              <w:rPr>
                <w:szCs w:val="20"/>
              </w:rPr>
            </w:pPr>
            <w:r w:rsidRPr="00B57220">
              <w:rPr>
                <w:szCs w:val="20"/>
              </w:rPr>
              <w:t>Mep: 100mg Q4W</w:t>
            </w:r>
          </w:p>
          <w:p w14:paraId="029B2B1D" w14:textId="77777777" w:rsidR="00714639" w:rsidRPr="00B57220" w:rsidRDefault="00714639" w:rsidP="00F813B9">
            <w:pPr>
              <w:pStyle w:val="TableText0"/>
              <w:keepLines/>
              <w:widowControl w:val="0"/>
              <w:rPr>
                <w:b/>
                <w:szCs w:val="20"/>
              </w:rPr>
            </w:pPr>
            <w:r w:rsidRPr="00B57220">
              <w:rPr>
                <w:szCs w:val="20"/>
              </w:rPr>
              <w:t>Oma: 398mg per 4 weeks</w:t>
            </w:r>
          </w:p>
        </w:tc>
        <w:tc>
          <w:tcPr>
            <w:tcW w:w="685" w:type="pct"/>
            <w:shd w:val="clear" w:color="auto" w:fill="auto"/>
          </w:tcPr>
          <w:p w14:paraId="15D1B91A" w14:textId="77777777" w:rsidR="00714639" w:rsidRPr="00B57220" w:rsidRDefault="00714639" w:rsidP="00F813B9">
            <w:pPr>
              <w:pStyle w:val="TableText0"/>
              <w:keepLines/>
              <w:widowControl w:val="0"/>
              <w:rPr>
                <w:szCs w:val="20"/>
              </w:rPr>
            </w:pPr>
            <w:r w:rsidRPr="00B57220">
              <w:rPr>
                <w:szCs w:val="20"/>
              </w:rPr>
              <w:t>As in the trials</w:t>
            </w:r>
          </w:p>
        </w:tc>
        <w:tc>
          <w:tcPr>
            <w:tcW w:w="700" w:type="pct"/>
          </w:tcPr>
          <w:p w14:paraId="29B6CB74" w14:textId="77777777" w:rsidR="00714639" w:rsidRPr="00B57220" w:rsidRDefault="00714639" w:rsidP="00F813B9">
            <w:pPr>
              <w:pStyle w:val="TableText0"/>
              <w:keepLines/>
              <w:widowControl w:val="0"/>
              <w:rPr>
                <w:szCs w:val="20"/>
              </w:rPr>
            </w:pPr>
            <w:r w:rsidRPr="00B57220">
              <w:rPr>
                <w:szCs w:val="20"/>
              </w:rPr>
              <w:t>Ben and Mep: Not estimated</w:t>
            </w:r>
          </w:p>
          <w:p w14:paraId="64A7E3AD" w14:textId="77777777" w:rsidR="00714639" w:rsidRPr="00B57220" w:rsidRDefault="00714639" w:rsidP="00F813B9">
            <w:pPr>
              <w:pStyle w:val="TableText0"/>
              <w:keepLines/>
              <w:widowControl w:val="0"/>
              <w:rPr>
                <w:b/>
                <w:szCs w:val="20"/>
              </w:rPr>
            </w:pPr>
            <w:r w:rsidRPr="00B57220">
              <w:rPr>
                <w:szCs w:val="20"/>
              </w:rPr>
              <w:t>Oma: 545.5mg</w:t>
            </w:r>
          </w:p>
        </w:tc>
      </w:tr>
      <w:tr w:rsidR="006F2ADF" w:rsidRPr="00B57220" w14:paraId="370D80F5" w14:textId="77777777" w:rsidTr="00B57220">
        <w:tc>
          <w:tcPr>
            <w:tcW w:w="767" w:type="pct"/>
            <w:shd w:val="clear" w:color="auto" w:fill="auto"/>
          </w:tcPr>
          <w:p w14:paraId="12BE46F4" w14:textId="77777777" w:rsidR="00714639" w:rsidRPr="00B57220" w:rsidRDefault="00714639" w:rsidP="00F813B9">
            <w:pPr>
              <w:pStyle w:val="TableText0"/>
              <w:keepLines/>
              <w:widowControl w:val="0"/>
              <w:rPr>
                <w:szCs w:val="20"/>
              </w:rPr>
            </w:pPr>
            <w:r w:rsidRPr="00B57220">
              <w:rPr>
                <w:szCs w:val="20"/>
              </w:rPr>
              <w:t>Treatment duration</w:t>
            </w:r>
          </w:p>
        </w:tc>
        <w:tc>
          <w:tcPr>
            <w:tcW w:w="682" w:type="pct"/>
            <w:shd w:val="clear" w:color="auto" w:fill="auto"/>
          </w:tcPr>
          <w:p w14:paraId="28B4CB72" w14:textId="77777777" w:rsidR="00714639" w:rsidRPr="00B57220" w:rsidRDefault="00714639" w:rsidP="00F813B9">
            <w:pPr>
              <w:pStyle w:val="TableText0"/>
              <w:keepLines/>
              <w:widowControl w:val="0"/>
              <w:rPr>
                <w:szCs w:val="20"/>
              </w:rPr>
            </w:pPr>
            <w:r w:rsidRPr="00B57220">
              <w:rPr>
                <w:szCs w:val="20"/>
              </w:rPr>
              <w:t>24-52 weeks</w:t>
            </w:r>
          </w:p>
        </w:tc>
        <w:tc>
          <w:tcPr>
            <w:tcW w:w="681" w:type="pct"/>
            <w:shd w:val="clear" w:color="auto" w:fill="auto"/>
          </w:tcPr>
          <w:p w14:paraId="3AED8EDC" w14:textId="77777777" w:rsidR="00714639" w:rsidRPr="00B57220" w:rsidRDefault="00714639" w:rsidP="00F813B9">
            <w:pPr>
              <w:pStyle w:val="TableText0"/>
              <w:keepLines/>
              <w:widowControl w:val="0"/>
              <w:rPr>
                <w:szCs w:val="20"/>
              </w:rPr>
            </w:pPr>
            <w:r w:rsidRPr="00B57220">
              <w:rPr>
                <w:szCs w:val="20"/>
              </w:rPr>
              <w:t>3 years</w:t>
            </w:r>
          </w:p>
        </w:tc>
        <w:tc>
          <w:tcPr>
            <w:tcW w:w="684" w:type="pct"/>
            <w:shd w:val="clear" w:color="auto" w:fill="auto"/>
          </w:tcPr>
          <w:p w14:paraId="468E5B79" w14:textId="77777777" w:rsidR="00714639" w:rsidRPr="00B57220" w:rsidRDefault="00714639" w:rsidP="00F813B9">
            <w:pPr>
              <w:pStyle w:val="TableText0"/>
              <w:keepLines/>
              <w:widowControl w:val="0"/>
              <w:rPr>
                <w:szCs w:val="20"/>
              </w:rPr>
            </w:pPr>
            <w:r w:rsidRPr="00B57220">
              <w:rPr>
                <w:szCs w:val="20"/>
              </w:rPr>
              <w:t>Not estimated</w:t>
            </w:r>
          </w:p>
        </w:tc>
        <w:tc>
          <w:tcPr>
            <w:tcW w:w="800" w:type="pct"/>
            <w:shd w:val="clear" w:color="auto" w:fill="auto"/>
          </w:tcPr>
          <w:p w14:paraId="5E580AB8" w14:textId="77777777" w:rsidR="00714639" w:rsidRPr="00B57220" w:rsidRDefault="00714639" w:rsidP="00F813B9">
            <w:pPr>
              <w:pStyle w:val="TableText0"/>
              <w:keepLines/>
              <w:widowControl w:val="0"/>
              <w:rPr>
                <w:szCs w:val="20"/>
              </w:rPr>
            </w:pPr>
            <w:r w:rsidRPr="00B57220">
              <w:rPr>
                <w:szCs w:val="20"/>
              </w:rPr>
              <w:t>Ben: 28-56 weeks</w:t>
            </w:r>
          </w:p>
          <w:p w14:paraId="72A025E8" w14:textId="77777777" w:rsidR="00714639" w:rsidRPr="00B57220" w:rsidRDefault="00714639" w:rsidP="00F813B9">
            <w:pPr>
              <w:pStyle w:val="TableText0"/>
              <w:keepLines/>
              <w:widowControl w:val="0"/>
              <w:rPr>
                <w:szCs w:val="20"/>
              </w:rPr>
            </w:pPr>
            <w:r w:rsidRPr="00B57220">
              <w:rPr>
                <w:szCs w:val="20"/>
              </w:rPr>
              <w:t>Mep: 24-32 weeks</w:t>
            </w:r>
          </w:p>
          <w:p w14:paraId="04DB3929" w14:textId="77777777" w:rsidR="00714639" w:rsidRPr="00B57220" w:rsidRDefault="00714639" w:rsidP="00F813B9">
            <w:pPr>
              <w:pStyle w:val="TableText0"/>
              <w:keepLines/>
              <w:widowControl w:val="0"/>
              <w:rPr>
                <w:szCs w:val="20"/>
              </w:rPr>
            </w:pPr>
            <w:r w:rsidRPr="00B57220">
              <w:rPr>
                <w:szCs w:val="20"/>
              </w:rPr>
              <w:t>Oma: 28-48 weeks</w:t>
            </w:r>
          </w:p>
        </w:tc>
        <w:tc>
          <w:tcPr>
            <w:tcW w:w="685" w:type="pct"/>
            <w:shd w:val="clear" w:color="auto" w:fill="auto"/>
          </w:tcPr>
          <w:p w14:paraId="692C8161" w14:textId="77777777" w:rsidR="00714639" w:rsidRPr="00FD6B8F" w:rsidRDefault="00714639" w:rsidP="00F813B9">
            <w:pPr>
              <w:pStyle w:val="TableText0"/>
              <w:keepLines/>
              <w:widowControl w:val="0"/>
              <w:rPr>
                <w:szCs w:val="20"/>
              </w:rPr>
            </w:pPr>
            <w:r w:rsidRPr="00FD6B8F">
              <w:rPr>
                <w:szCs w:val="20"/>
              </w:rPr>
              <w:t>3 years</w:t>
            </w:r>
          </w:p>
        </w:tc>
        <w:tc>
          <w:tcPr>
            <w:tcW w:w="700" w:type="pct"/>
          </w:tcPr>
          <w:p w14:paraId="6B6C5BE0" w14:textId="77777777" w:rsidR="00714639" w:rsidRPr="00FD6B8F" w:rsidRDefault="00714639" w:rsidP="00F813B9">
            <w:pPr>
              <w:pStyle w:val="TableText0"/>
              <w:keepLines/>
              <w:widowControl w:val="0"/>
              <w:rPr>
                <w:szCs w:val="20"/>
              </w:rPr>
            </w:pPr>
            <w:r w:rsidRPr="00FD6B8F">
              <w:rPr>
                <w:szCs w:val="20"/>
              </w:rPr>
              <w:t>Not estimated</w:t>
            </w:r>
          </w:p>
        </w:tc>
      </w:tr>
      <w:tr w:rsidR="006F2ADF" w:rsidRPr="00B57220" w14:paraId="7CC874EC" w14:textId="77777777" w:rsidTr="00B57220">
        <w:tc>
          <w:tcPr>
            <w:tcW w:w="767" w:type="pct"/>
            <w:shd w:val="clear" w:color="auto" w:fill="auto"/>
          </w:tcPr>
          <w:p w14:paraId="1C191617" w14:textId="77777777" w:rsidR="00714639" w:rsidRPr="00B57220" w:rsidRDefault="00714639" w:rsidP="00F813B9">
            <w:pPr>
              <w:pStyle w:val="TableText0"/>
              <w:keepLines/>
              <w:widowControl w:val="0"/>
              <w:rPr>
                <w:szCs w:val="20"/>
                <w:vertAlign w:val="superscript"/>
              </w:rPr>
            </w:pPr>
            <w:r w:rsidRPr="00B57220">
              <w:rPr>
                <w:szCs w:val="20"/>
              </w:rPr>
              <w:t>Cost/patient/4 weeks</w:t>
            </w:r>
            <w:r w:rsidRPr="00B57220">
              <w:rPr>
                <w:szCs w:val="20"/>
                <w:vertAlign w:val="superscript"/>
              </w:rPr>
              <w:t>a</w:t>
            </w:r>
          </w:p>
        </w:tc>
        <w:tc>
          <w:tcPr>
            <w:tcW w:w="682" w:type="pct"/>
            <w:shd w:val="clear" w:color="auto" w:fill="auto"/>
          </w:tcPr>
          <w:p w14:paraId="09713717"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b</w:t>
            </w:r>
          </w:p>
        </w:tc>
        <w:tc>
          <w:tcPr>
            <w:tcW w:w="681" w:type="pct"/>
            <w:shd w:val="clear" w:color="auto" w:fill="auto"/>
          </w:tcPr>
          <w:p w14:paraId="575B32D0"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c</w:t>
            </w:r>
          </w:p>
        </w:tc>
        <w:tc>
          <w:tcPr>
            <w:tcW w:w="684" w:type="pct"/>
            <w:shd w:val="clear" w:color="auto" w:fill="auto"/>
          </w:tcPr>
          <w:p w14:paraId="60B93E03"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b</w:t>
            </w:r>
          </w:p>
        </w:tc>
        <w:tc>
          <w:tcPr>
            <w:tcW w:w="800" w:type="pct"/>
            <w:shd w:val="clear" w:color="auto" w:fill="auto"/>
          </w:tcPr>
          <w:p w14:paraId="3D8CDADF" w14:textId="77777777" w:rsidR="00714639" w:rsidRPr="00FD6B8F" w:rsidRDefault="00714639" w:rsidP="00F813B9">
            <w:pPr>
              <w:pStyle w:val="TableText0"/>
              <w:keepLines/>
              <w:widowControl w:val="0"/>
              <w:rPr>
                <w:szCs w:val="20"/>
              </w:rPr>
            </w:pPr>
            <w:r w:rsidRPr="00FD6B8F">
              <w:rPr>
                <w:szCs w:val="20"/>
              </w:rPr>
              <w:t>Ben: $</w:t>
            </w:r>
            <w:r w:rsidR="002F3D9C">
              <w:rPr>
                <w:noProof/>
                <w:color w:val="000000"/>
                <w:szCs w:val="20"/>
                <w:highlight w:val="black"/>
              </w:rPr>
              <w:t>'''''''''''''''''''''''</w:t>
            </w:r>
            <w:r w:rsidRPr="00FD6B8F">
              <w:rPr>
                <w:szCs w:val="20"/>
                <w:vertAlign w:val="superscript"/>
              </w:rPr>
              <w:t>b</w:t>
            </w:r>
          </w:p>
          <w:p w14:paraId="5FB5786C" w14:textId="77777777" w:rsidR="00714639" w:rsidRPr="00FD6B8F" w:rsidRDefault="00714639" w:rsidP="00F813B9">
            <w:pPr>
              <w:pStyle w:val="TableText0"/>
              <w:keepLines/>
              <w:widowControl w:val="0"/>
              <w:rPr>
                <w:szCs w:val="20"/>
              </w:rPr>
            </w:pPr>
            <w:r w:rsidRPr="00FD6B8F">
              <w:rPr>
                <w:szCs w:val="20"/>
              </w:rPr>
              <w:t>Mep: $</w:t>
            </w:r>
            <w:r w:rsidR="002F3D9C">
              <w:rPr>
                <w:noProof/>
                <w:color w:val="000000"/>
                <w:szCs w:val="20"/>
                <w:highlight w:val="black"/>
              </w:rPr>
              <w:t>''''''''''''''''''</w:t>
            </w:r>
            <w:r w:rsidRPr="00FD6B8F">
              <w:rPr>
                <w:szCs w:val="20"/>
                <w:vertAlign w:val="superscript"/>
              </w:rPr>
              <w:t>b</w:t>
            </w:r>
          </w:p>
          <w:p w14:paraId="4FD9B827" w14:textId="77777777" w:rsidR="00714639" w:rsidRPr="00FD6B8F" w:rsidRDefault="00714639" w:rsidP="00F813B9">
            <w:pPr>
              <w:pStyle w:val="TableText0"/>
              <w:keepLines/>
              <w:widowControl w:val="0"/>
              <w:rPr>
                <w:szCs w:val="20"/>
              </w:rPr>
            </w:pPr>
            <w:r w:rsidRPr="00FD6B8F">
              <w:rPr>
                <w:szCs w:val="20"/>
              </w:rPr>
              <w:t>Oma: $</w:t>
            </w:r>
            <w:r w:rsidR="002F3D9C">
              <w:rPr>
                <w:noProof/>
                <w:color w:val="000000"/>
                <w:szCs w:val="20"/>
                <w:highlight w:val="black"/>
              </w:rPr>
              <w:t>''''''''''''''''''''''</w:t>
            </w:r>
            <w:r w:rsidRPr="00FD6B8F">
              <w:rPr>
                <w:szCs w:val="20"/>
                <w:vertAlign w:val="superscript"/>
              </w:rPr>
              <w:t>b</w:t>
            </w:r>
          </w:p>
        </w:tc>
        <w:tc>
          <w:tcPr>
            <w:tcW w:w="685" w:type="pct"/>
            <w:shd w:val="clear" w:color="auto" w:fill="auto"/>
          </w:tcPr>
          <w:p w14:paraId="6E7A7FBD" w14:textId="77777777" w:rsidR="00714639" w:rsidRPr="00FD6B8F" w:rsidRDefault="00714639" w:rsidP="00F813B9">
            <w:pPr>
              <w:pStyle w:val="TableText0"/>
              <w:keepLines/>
              <w:widowControl w:val="0"/>
              <w:rPr>
                <w:szCs w:val="20"/>
                <w:vertAlign w:val="superscript"/>
              </w:rPr>
            </w:pPr>
            <w:r w:rsidRPr="00FD6B8F">
              <w:rPr>
                <w:szCs w:val="20"/>
              </w:rPr>
              <w:t>Ben: $</w:t>
            </w:r>
            <w:r w:rsidR="002F3D9C">
              <w:rPr>
                <w:noProof/>
                <w:color w:val="000000"/>
                <w:szCs w:val="20"/>
                <w:highlight w:val="black"/>
              </w:rPr>
              <w:t>'''''''''''''''''''''''</w:t>
            </w:r>
            <w:r w:rsidRPr="00FD6B8F">
              <w:rPr>
                <w:szCs w:val="20"/>
                <w:vertAlign w:val="superscript"/>
              </w:rPr>
              <w:t>c</w:t>
            </w:r>
          </w:p>
          <w:p w14:paraId="6C83721D" w14:textId="77777777" w:rsidR="00714639" w:rsidRPr="00FD6B8F" w:rsidRDefault="00714639" w:rsidP="00F813B9">
            <w:pPr>
              <w:pStyle w:val="TableText0"/>
              <w:keepLines/>
              <w:widowControl w:val="0"/>
              <w:rPr>
                <w:szCs w:val="20"/>
                <w:vertAlign w:val="superscript"/>
              </w:rPr>
            </w:pPr>
            <w:r w:rsidRPr="00FD6B8F">
              <w:rPr>
                <w:szCs w:val="20"/>
              </w:rPr>
              <w:t>Mep: $</w:t>
            </w:r>
            <w:r w:rsidR="002F3D9C">
              <w:rPr>
                <w:noProof/>
                <w:color w:val="000000"/>
                <w:szCs w:val="20"/>
                <w:highlight w:val="black"/>
              </w:rPr>
              <w:t>''''''''''''''''''''</w:t>
            </w:r>
            <w:r w:rsidRPr="00FD6B8F">
              <w:rPr>
                <w:szCs w:val="20"/>
                <w:vertAlign w:val="superscript"/>
              </w:rPr>
              <w:t>c</w:t>
            </w:r>
          </w:p>
          <w:p w14:paraId="09BDB780" w14:textId="77777777" w:rsidR="00714639" w:rsidRPr="00FD6B8F" w:rsidRDefault="00714639" w:rsidP="00F813B9">
            <w:pPr>
              <w:pStyle w:val="TableText0"/>
              <w:keepLines/>
              <w:widowControl w:val="0"/>
              <w:ind w:right="-57"/>
              <w:rPr>
                <w:szCs w:val="20"/>
                <w:vertAlign w:val="superscript"/>
              </w:rPr>
            </w:pPr>
            <w:r w:rsidRPr="00FD6B8F">
              <w:rPr>
                <w:szCs w:val="20"/>
              </w:rPr>
              <w:t>Oma: $</w:t>
            </w:r>
            <w:r w:rsidR="002F3D9C">
              <w:rPr>
                <w:noProof/>
                <w:color w:val="000000"/>
                <w:szCs w:val="20"/>
                <w:highlight w:val="black"/>
              </w:rPr>
              <w:t>''''''''''''''''''''</w:t>
            </w:r>
            <w:r w:rsidRPr="00FD6B8F">
              <w:rPr>
                <w:szCs w:val="20"/>
                <w:vertAlign w:val="superscript"/>
              </w:rPr>
              <w:t>c</w:t>
            </w:r>
          </w:p>
        </w:tc>
        <w:tc>
          <w:tcPr>
            <w:tcW w:w="700" w:type="pct"/>
          </w:tcPr>
          <w:p w14:paraId="4E3571CE" w14:textId="77777777" w:rsidR="00714639" w:rsidRPr="00FD6B8F" w:rsidRDefault="00714639" w:rsidP="00F813B9">
            <w:pPr>
              <w:pStyle w:val="TableText0"/>
              <w:keepLines/>
              <w:widowControl w:val="0"/>
              <w:rPr>
                <w:szCs w:val="20"/>
              </w:rPr>
            </w:pPr>
            <w:r w:rsidRPr="00FD6B8F">
              <w:rPr>
                <w:szCs w:val="20"/>
              </w:rPr>
              <w:t>Ben: $</w:t>
            </w:r>
            <w:r w:rsidR="002F3D9C">
              <w:rPr>
                <w:noProof/>
                <w:color w:val="000000"/>
                <w:szCs w:val="20"/>
                <w:highlight w:val="black"/>
              </w:rPr>
              <w:t>'''''''''''''''''''</w:t>
            </w:r>
            <w:r w:rsidRPr="00FD6B8F">
              <w:rPr>
                <w:szCs w:val="20"/>
                <w:vertAlign w:val="superscript"/>
              </w:rPr>
              <w:t>b</w:t>
            </w:r>
          </w:p>
          <w:p w14:paraId="735BD089" w14:textId="77777777" w:rsidR="00714639" w:rsidRPr="00FD6B8F" w:rsidRDefault="00714639" w:rsidP="00F813B9">
            <w:pPr>
              <w:pStyle w:val="TableText0"/>
              <w:keepLines/>
              <w:widowControl w:val="0"/>
              <w:rPr>
                <w:szCs w:val="20"/>
              </w:rPr>
            </w:pPr>
            <w:r w:rsidRPr="00FD6B8F">
              <w:rPr>
                <w:szCs w:val="20"/>
              </w:rPr>
              <w:t>Mep: $</w:t>
            </w:r>
            <w:r w:rsidR="002F3D9C">
              <w:rPr>
                <w:noProof/>
                <w:color w:val="000000"/>
                <w:szCs w:val="20"/>
                <w:highlight w:val="black"/>
              </w:rPr>
              <w:t>'''''''''''''''''''''</w:t>
            </w:r>
            <w:r w:rsidRPr="00FD6B8F">
              <w:rPr>
                <w:szCs w:val="20"/>
                <w:vertAlign w:val="superscript"/>
              </w:rPr>
              <w:t>b</w:t>
            </w:r>
          </w:p>
          <w:p w14:paraId="245C1CC5" w14:textId="77777777" w:rsidR="00714639" w:rsidRPr="00FD6B8F" w:rsidRDefault="00714639" w:rsidP="00F813B9">
            <w:pPr>
              <w:pStyle w:val="TableText0"/>
              <w:keepLines/>
              <w:widowControl w:val="0"/>
              <w:ind w:right="-57"/>
              <w:rPr>
                <w:szCs w:val="20"/>
              </w:rPr>
            </w:pPr>
            <w:r w:rsidRPr="00FD6B8F">
              <w:rPr>
                <w:szCs w:val="20"/>
              </w:rPr>
              <w:t>Oma: $</w:t>
            </w:r>
            <w:r w:rsidR="002F3D9C">
              <w:rPr>
                <w:noProof/>
                <w:color w:val="000000"/>
                <w:szCs w:val="20"/>
                <w:highlight w:val="black"/>
              </w:rPr>
              <w:t>''''''''''''''''''''</w:t>
            </w:r>
            <w:r w:rsidRPr="00FD6B8F">
              <w:rPr>
                <w:szCs w:val="20"/>
                <w:vertAlign w:val="superscript"/>
              </w:rPr>
              <w:t>b</w:t>
            </w:r>
          </w:p>
        </w:tc>
      </w:tr>
      <w:tr w:rsidR="006F2ADF" w:rsidRPr="00B57220" w14:paraId="43FA78D3" w14:textId="77777777" w:rsidTr="00B57220">
        <w:tc>
          <w:tcPr>
            <w:tcW w:w="767" w:type="pct"/>
            <w:shd w:val="clear" w:color="auto" w:fill="auto"/>
          </w:tcPr>
          <w:p w14:paraId="313A8D41" w14:textId="77777777" w:rsidR="00714639" w:rsidRPr="00B57220" w:rsidRDefault="00714639" w:rsidP="00F813B9">
            <w:pPr>
              <w:pStyle w:val="TableText0"/>
              <w:keepLines/>
              <w:widowControl w:val="0"/>
              <w:rPr>
                <w:szCs w:val="20"/>
                <w:vertAlign w:val="superscript"/>
              </w:rPr>
            </w:pPr>
            <w:r w:rsidRPr="00B57220">
              <w:rPr>
                <w:szCs w:val="20"/>
              </w:rPr>
              <w:t>Cost/patient/year</w:t>
            </w:r>
            <w:r w:rsidR="00031086" w:rsidRPr="00B57220">
              <w:rPr>
                <w:szCs w:val="20"/>
                <w:vertAlign w:val="superscript"/>
              </w:rPr>
              <w:t>d</w:t>
            </w:r>
          </w:p>
        </w:tc>
        <w:tc>
          <w:tcPr>
            <w:tcW w:w="682" w:type="pct"/>
            <w:shd w:val="clear" w:color="auto" w:fill="auto"/>
          </w:tcPr>
          <w:p w14:paraId="2E49B27B"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b</w:t>
            </w:r>
          </w:p>
        </w:tc>
        <w:tc>
          <w:tcPr>
            <w:tcW w:w="681" w:type="pct"/>
            <w:shd w:val="clear" w:color="auto" w:fill="auto"/>
          </w:tcPr>
          <w:p w14:paraId="5C50F78B"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c</w:t>
            </w:r>
          </w:p>
        </w:tc>
        <w:tc>
          <w:tcPr>
            <w:tcW w:w="684" w:type="pct"/>
            <w:shd w:val="clear" w:color="auto" w:fill="auto"/>
          </w:tcPr>
          <w:p w14:paraId="293567B0" w14:textId="77777777" w:rsidR="00714639" w:rsidRPr="00FD6B8F" w:rsidRDefault="00714639" w:rsidP="00F813B9">
            <w:pPr>
              <w:pStyle w:val="TableText0"/>
              <w:keepLines/>
              <w:widowControl w:val="0"/>
              <w:rPr>
                <w:szCs w:val="20"/>
                <w:vertAlign w:val="superscript"/>
              </w:rPr>
            </w:pPr>
            <w:r w:rsidRPr="00FD6B8F">
              <w:rPr>
                <w:szCs w:val="20"/>
              </w:rPr>
              <w:t>$</w:t>
            </w:r>
            <w:r w:rsidR="002F3D9C">
              <w:rPr>
                <w:noProof/>
                <w:color w:val="000000"/>
                <w:szCs w:val="20"/>
                <w:highlight w:val="black"/>
              </w:rPr>
              <w:t>'''''''''''''''</w:t>
            </w:r>
            <w:r w:rsidRPr="00FD6B8F">
              <w:rPr>
                <w:szCs w:val="20"/>
                <w:vertAlign w:val="superscript"/>
              </w:rPr>
              <w:t>b</w:t>
            </w:r>
          </w:p>
        </w:tc>
        <w:tc>
          <w:tcPr>
            <w:tcW w:w="800" w:type="pct"/>
            <w:shd w:val="clear" w:color="auto" w:fill="auto"/>
          </w:tcPr>
          <w:p w14:paraId="00D79CC3" w14:textId="77777777" w:rsidR="00714639" w:rsidRPr="00FD6B8F" w:rsidRDefault="00714639" w:rsidP="00F813B9">
            <w:pPr>
              <w:pStyle w:val="TableText0"/>
              <w:keepLines/>
              <w:widowControl w:val="0"/>
              <w:rPr>
                <w:szCs w:val="20"/>
                <w:vertAlign w:val="superscript"/>
              </w:rPr>
            </w:pPr>
            <w:r w:rsidRPr="00FD6B8F">
              <w:rPr>
                <w:szCs w:val="20"/>
              </w:rPr>
              <w:t>Ben: $</w:t>
            </w:r>
            <w:r w:rsidR="002F3D9C">
              <w:rPr>
                <w:noProof/>
                <w:color w:val="000000"/>
                <w:szCs w:val="20"/>
                <w:highlight w:val="black"/>
              </w:rPr>
              <w:t>''''''''''''''''</w:t>
            </w:r>
            <w:r w:rsidRPr="00FD6B8F">
              <w:rPr>
                <w:szCs w:val="20"/>
                <w:vertAlign w:val="superscript"/>
              </w:rPr>
              <w:t>b</w:t>
            </w:r>
          </w:p>
          <w:p w14:paraId="6AA5A5CD" w14:textId="77777777" w:rsidR="00714639" w:rsidRPr="00FD6B8F" w:rsidRDefault="00714639" w:rsidP="00F813B9">
            <w:pPr>
              <w:pStyle w:val="TableText0"/>
              <w:keepLines/>
              <w:widowControl w:val="0"/>
              <w:rPr>
                <w:szCs w:val="20"/>
              </w:rPr>
            </w:pPr>
            <w:r w:rsidRPr="00FD6B8F">
              <w:rPr>
                <w:szCs w:val="20"/>
              </w:rPr>
              <w:t>Mep: $</w:t>
            </w:r>
            <w:r w:rsidR="002F3D9C">
              <w:rPr>
                <w:noProof/>
                <w:color w:val="000000"/>
                <w:szCs w:val="20"/>
                <w:highlight w:val="black"/>
              </w:rPr>
              <w:t>''''''''''''''''</w:t>
            </w:r>
            <w:r w:rsidRPr="00FD6B8F">
              <w:rPr>
                <w:szCs w:val="20"/>
                <w:vertAlign w:val="superscript"/>
              </w:rPr>
              <w:t>b</w:t>
            </w:r>
          </w:p>
          <w:p w14:paraId="6FD695D1" w14:textId="77777777" w:rsidR="00714639" w:rsidRPr="00FD6B8F" w:rsidRDefault="00714639" w:rsidP="00F813B9">
            <w:pPr>
              <w:pStyle w:val="TableText0"/>
              <w:keepLines/>
              <w:widowControl w:val="0"/>
              <w:rPr>
                <w:szCs w:val="20"/>
              </w:rPr>
            </w:pPr>
            <w:r w:rsidRPr="00FD6B8F">
              <w:rPr>
                <w:szCs w:val="20"/>
              </w:rPr>
              <w:t>Oma: $</w:t>
            </w:r>
            <w:r w:rsidR="002F3D9C">
              <w:rPr>
                <w:noProof/>
                <w:color w:val="000000"/>
                <w:szCs w:val="20"/>
                <w:highlight w:val="black"/>
              </w:rPr>
              <w:t>'''''''''''''''''</w:t>
            </w:r>
            <w:r w:rsidRPr="00FD6B8F">
              <w:rPr>
                <w:szCs w:val="20"/>
                <w:vertAlign w:val="superscript"/>
              </w:rPr>
              <w:t>b</w:t>
            </w:r>
          </w:p>
        </w:tc>
        <w:tc>
          <w:tcPr>
            <w:tcW w:w="685" w:type="pct"/>
            <w:shd w:val="clear" w:color="auto" w:fill="auto"/>
          </w:tcPr>
          <w:p w14:paraId="163E7142" w14:textId="77777777" w:rsidR="00714639" w:rsidRPr="00FD6B8F" w:rsidRDefault="00714639" w:rsidP="00F813B9">
            <w:pPr>
              <w:pStyle w:val="TableText0"/>
              <w:keepLines/>
              <w:widowControl w:val="0"/>
              <w:rPr>
                <w:szCs w:val="20"/>
                <w:vertAlign w:val="superscript"/>
              </w:rPr>
            </w:pPr>
            <w:r w:rsidRPr="00FD6B8F">
              <w:rPr>
                <w:szCs w:val="20"/>
              </w:rPr>
              <w:t>Ben: $</w:t>
            </w:r>
            <w:r w:rsidR="002F3D9C">
              <w:rPr>
                <w:noProof/>
                <w:color w:val="000000"/>
                <w:szCs w:val="20"/>
                <w:highlight w:val="black"/>
              </w:rPr>
              <w:t>'''''''''''''''</w:t>
            </w:r>
            <w:r w:rsidRPr="00FD6B8F">
              <w:rPr>
                <w:szCs w:val="20"/>
                <w:vertAlign w:val="superscript"/>
              </w:rPr>
              <w:t>c</w:t>
            </w:r>
          </w:p>
          <w:p w14:paraId="748BAE0A" w14:textId="77777777" w:rsidR="00714639" w:rsidRPr="00FD6B8F" w:rsidRDefault="00714639" w:rsidP="00F813B9">
            <w:pPr>
              <w:pStyle w:val="TableText0"/>
              <w:keepLines/>
              <w:widowControl w:val="0"/>
              <w:rPr>
                <w:szCs w:val="20"/>
                <w:vertAlign w:val="superscript"/>
              </w:rPr>
            </w:pPr>
            <w:r w:rsidRPr="00FD6B8F">
              <w:rPr>
                <w:szCs w:val="20"/>
              </w:rPr>
              <w:t>Mep: $</w:t>
            </w:r>
            <w:r w:rsidR="002F3D9C">
              <w:rPr>
                <w:noProof/>
                <w:color w:val="000000"/>
                <w:szCs w:val="20"/>
                <w:highlight w:val="black"/>
              </w:rPr>
              <w:t>''''''''''''''''</w:t>
            </w:r>
            <w:r w:rsidRPr="00FD6B8F">
              <w:rPr>
                <w:szCs w:val="20"/>
                <w:vertAlign w:val="superscript"/>
              </w:rPr>
              <w:t>c</w:t>
            </w:r>
          </w:p>
          <w:p w14:paraId="2DA0B743" w14:textId="77777777" w:rsidR="00714639" w:rsidRPr="00FD6B8F" w:rsidRDefault="00714639" w:rsidP="00F813B9">
            <w:pPr>
              <w:pStyle w:val="TableText0"/>
              <w:keepLines/>
              <w:widowControl w:val="0"/>
              <w:rPr>
                <w:szCs w:val="20"/>
                <w:vertAlign w:val="superscript"/>
              </w:rPr>
            </w:pPr>
            <w:r w:rsidRPr="00FD6B8F">
              <w:rPr>
                <w:szCs w:val="20"/>
              </w:rPr>
              <w:t xml:space="preserve">Oma: </w:t>
            </w:r>
            <w:r w:rsidR="00FD6B8F" w:rsidRPr="00FD6B8F">
              <w:rPr>
                <w:szCs w:val="20"/>
              </w:rPr>
              <w:t>$</w:t>
            </w:r>
            <w:r w:rsidR="002F3D9C">
              <w:rPr>
                <w:noProof/>
                <w:color w:val="000000"/>
                <w:szCs w:val="20"/>
                <w:highlight w:val="black"/>
              </w:rPr>
              <w:t>''''''''''''''''</w:t>
            </w:r>
            <w:r w:rsidRPr="00FD6B8F">
              <w:rPr>
                <w:szCs w:val="20"/>
                <w:vertAlign w:val="superscript"/>
              </w:rPr>
              <w:t>c</w:t>
            </w:r>
          </w:p>
        </w:tc>
        <w:tc>
          <w:tcPr>
            <w:tcW w:w="700" w:type="pct"/>
          </w:tcPr>
          <w:p w14:paraId="09A3421C" w14:textId="77777777" w:rsidR="00714639" w:rsidRPr="00FD6B8F" w:rsidRDefault="00714639" w:rsidP="00F813B9">
            <w:pPr>
              <w:pStyle w:val="TableText0"/>
              <w:keepLines/>
              <w:widowControl w:val="0"/>
              <w:rPr>
                <w:szCs w:val="20"/>
              </w:rPr>
            </w:pPr>
            <w:r w:rsidRPr="00FD6B8F">
              <w:rPr>
                <w:szCs w:val="20"/>
              </w:rPr>
              <w:t>Ben: $</w:t>
            </w:r>
            <w:r w:rsidR="002F3D9C">
              <w:rPr>
                <w:noProof/>
                <w:color w:val="000000"/>
                <w:szCs w:val="20"/>
                <w:highlight w:val="black"/>
              </w:rPr>
              <w:t>''''''''''''''''</w:t>
            </w:r>
            <w:r w:rsidRPr="00FD6B8F">
              <w:rPr>
                <w:szCs w:val="20"/>
                <w:vertAlign w:val="superscript"/>
              </w:rPr>
              <w:t>b</w:t>
            </w:r>
          </w:p>
          <w:p w14:paraId="572BEB8F" w14:textId="77777777" w:rsidR="00714639" w:rsidRPr="00FD6B8F" w:rsidRDefault="00714639" w:rsidP="00F813B9">
            <w:pPr>
              <w:pStyle w:val="TableText0"/>
              <w:keepLines/>
              <w:widowControl w:val="0"/>
              <w:rPr>
                <w:szCs w:val="20"/>
              </w:rPr>
            </w:pPr>
            <w:r w:rsidRPr="00FD6B8F">
              <w:rPr>
                <w:szCs w:val="20"/>
              </w:rPr>
              <w:t>Mep: $</w:t>
            </w:r>
            <w:r w:rsidR="002F3D9C">
              <w:rPr>
                <w:noProof/>
                <w:color w:val="000000"/>
                <w:szCs w:val="20"/>
                <w:highlight w:val="black"/>
              </w:rPr>
              <w:t>'''''''''''''''''</w:t>
            </w:r>
            <w:r w:rsidRPr="00FD6B8F">
              <w:rPr>
                <w:szCs w:val="20"/>
                <w:vertAlign w:val="superscript"/>
              </w:rPr>
              <w:t>b</w:t>
            </w:r>
          </w:p>
          <w:p w14:paraId="4AF8C06A" w14:textId="77777777" w:rsidR="00714639" w:rsidRPr="00FD6B8F" w:rsidRDefault="0018027F" w:rsidP="00F813B9">
            <w:pPr>
              <w:pStyle w:val="TableText0"/>
              <w:keepLines/>
              <w:widowControl w:val="0"/>
              <w:rPr>
                <w:szCs w:val="20"/>
              </w:rPr>
            </w:pPr>
            <w:r w:rsidRPr="00FD6B8F">
              <w:rPr>
                <w:szCs w:val="20"/>
              </w:rPr>
              <w:t>Oma</w:t>
            </w:r>
            <w:r w:rsidR="00714639" w:rsidRPr="00FD6B8F">
              <w:rPr>
                <w:szCs w:val="20"/>
              </w:rPr>
              <w:t>: $</w:t>
            </w:r>
            <w:r w:rsidR="002F3D9C">
              <w:rPr>
                <w:noProof/>
                <w:color w:val="000000"/>
                <w:szCs w:val="20"/>
                <w:highlight w:val="black"/>
              </w:rPr>
              <w:t>'''''''''''''''''</w:t>
            </w:r>
            <w:r w:rsidR="00714639" w:rsidRPr="00FD6B8F">
              <w:rPr>
                <w:szCs w:val="20"/>
                <w:vertAlign w:val="superscript"/>
              </w:rPr>
              <w:t>b</w:t>
            </w:r>
          </w:p>
        </w:tc>
      </w:tr>
    </w:tbl>
    <w:p w14:paraId="7AFA1A14" w14:textId="77777777" w:rsidR="00714639" w:rsidRPr="00193BC1" w:rsidRDefault="00714639" w:rsidP="00F813B9">
      <w:pPr>
        <w:pStyle w:val="TableFigureFooter"/>
        <w:keepNext/>
        <w:keepLines/>
        <w:widowControl w:val="0"/>
      </w:pPr>
      <w:r w:rsidRPr="00193BC1">
        <w:t xml:space="preserve">Source: Table compiled during the evaluation, based on Table 2.20,  Table 2.25 of the submission, the “Sanofi Dupilumab CMA FINAL” Excel workbook, the “UCM-Workbook-dupilumab asthma FINAL” Excel workbook. </w:t>
      </w:r>
    </w:p>
    <w:p w14:paraId="67C772E4" w14:textId="77777777" w:rsidR="00714639" w:rsidRPr="00193BC1" w:rsidRDefault="00714639" w:rsidP="00F813B9">
      <w:pPr>
        <w:pStyle w:val="TableFigureFooter"/>
        <w:keepNext/>
        <w:keepLines/>
        <w:widowControl w:val="0"/>
      </w:pPr>
      <w:r w:rsidRPr="00193BC1">
        <w:t>Ben = benralizumab; Mep = mepolizumab; Oma = omalizumab; Q2W = every 2 weeks; Q4W = every 4 weeks; Q8W = every 8 weeks</w:t>
      </w:r>
    </w:p>
    <w:p w14:paraId="698F77F5" w14:textId="77777777" w:rsidR="00714639" w:rsidRPr="00193BC1" w:rsidRDefault="00714639" w:rsidP="00F813B9">
      <w:pPr>
        <w:pStyle w:val="TableFigureFooter"/>
        <w:keepNext/>
        <w:keepLines/>
        <w:widowControl w:val="0"/>
      </w:pPr>
      <w:r w:rsidRPr="00193BC1">
        <w:rPr>
          <w:vertAlign w:val="superscript"/>
        </w:rPr>
        <w:t xml:space="preserve">a </w:t>
      </w:r>
      <w:r w:rsidRPr="00193BC1">
        <w:t>Initial loading doses not considered</w:t>
      </w:r>
    </w:p>
    <w:p w14:paraId="3FF9D7C2" w14:textId="77777777" w:rsidR="00714639" w:rsidRPr="00193BC1" w:rsidRDefault="00714639" w:rsidP="00F813B9">
      <w:pPr>
        <w:pStyle w:val="TableFigureFooter"/>
        <w:keepNext/>
        <w:keepLines/>
        <w:widowControl w:val="0"/>
      </w:pPr>
      <w:r w:rsidRPr="00193BC1">
        <w:rPr>
          <w:vertAlign w:val="superscript"/>
        </w:rPr>
        <w:t xml:space="preserve">b </w:t>
      </w:r>
      <w:r w:rsidRPr="00545372">
        <w:t>The drug cost as in the clinical trials and in the financial analysis was based on the (proposed) published dispensed prices, weighted by assuming that 71.8% of the asthma biologic prescriptions scripts would be dispensed in a public setting and 28.2%</w:t>
      </w:r>
      <w:r w:rsidRPr="00193BC1">
        <w:t xml:space="preserve"> dispensed in a private setting</w:t>
      </w:r>
    </w:p>
    <w:p w14:paraId="6ED6FA93" w14:textId="77777777" w:rsidR="00714639" w:rsidRPr="00193BC1" w:rsidRDefault="00714639" w:rsidP="00F813B9">
      <w:pPr>
        <w:pStyle w:val="TableFigureFooter"/>
        <w:keepNext/>
        <w:keepLines/>
        <w:widowControl w:val="0"/>
      </w:pPr>
      <w:r w:rsidRPr="00193BC1">
        <w:rPr>
          <w:vertAlign w:val="superscript"/>
        </w:rPr>
        <w:t xml:space="preserve">c </w:t>
      </w:r>
      <w:r w:rsidRPr="00193BC1">
        <w:t>The drug cost in the cost-minimisation analysis was calculated on the basis of the published ex-manufacturer prices (i.e. dispensed prices in a public setting) for benralizumab, mepolizumab and omalizumab and the price of dupilumab from the cost-minimisation analysis (i.e.</w:t>
      </w:r>
      <w:r w:rsidR="00177A73" w:rsidRPr="00193BC1">
        <w:t xml:space="preserve"> </w:t>
      </w:r>
      <w:r w:rsidRPr="00AD7C49">
        <w:t>$</w:t>
      </w:r>
      <w:r w:rsidR="002F3D9C">
        <w:rPr>
          <w:noProof/>
          <w:color w:val="000000"/>
          <w:highlight w:val="black"/>
        </w:rPr>
        <w:t>''''''''''''''''</w:t>
      </w:r>
      <w:r w:rsidRPr="00AD7C49">
        <w:t xml:space="preserve"> per 200mg</w:t>
      </w:r>
      <w:r w:rsidRPr="00193BC1">
        <w:t>/300mg syringe).</w:t>
      </w:r>
    </w:p>
    <w:p w14:paraId="4857D615" w14:textId="77777777" w:rsidR="00714639" w:rsidRPr="00193BC1" w:rsidRDefault="00714639" w:rsidP="00F813B9">
      <w:pPr>
        <w:pStyle w:val="TableFigureFooter"/>
        <w:keepNext/>
        <w:keepLines/>
        <w:widowControl w:val="0"/>
      </w:pPr>
      <w:r w:rsidRPr="00193BC1">
        <w:rPr>
          <w:vertAlign w:val="superscript"/>
        </w:rPr>
        <w:t xml:space="preserve">d </w:t>
      </w:r>
      <w:r w:rsidRPr="00193BC1">
        <w:t>In the first year of treatment, where initial loading doses of the dupilumab and benralizumab therapy are taken into account.</w:t>
      </w:r>
      <w:r w:rsidR="0083162C" w:rsidRPr="00193BC1">
        <w:t xml:space="preserve"> </w:t>
      </w:r>
    </w:p>
    <w:p w14:paraId="6CBCC70E" w14:textId="77777777" w:rsidR="00714639" w:rsidRPr="00193BC1" w:rsidRDefault="00714639" w:rsidP="00580E2F">
      <w:pPr>
        <w:pStyle w:val="4-SubsectionHeading"/>
        <w:keepNext w:val="0"/>
      </w:pPr>
      <w:bookmarkStart w:id="39" w:name="_Toc22897647"/>
      <w:bookmarkStart w:id="40" w:name="_Toc22898859"/>
      <w:bookmarkStart w:id="41" w:name="_Toc50399845"/>
      <w:r w:rsidRPr="00193BC1">
        <w:t>Estimated PBS usage &amp; financial implications</w:t>
      </w:r>
      <w:bookmarkEnd w:id="39"/>
      <w:bookmarkEnd w:id="40"/>
      <w:bookmarkEnd w:id="41"/>
    </w:p>
    <w:p w14:paraId="212D65B7" w14:textId="77777777" w:rsidR="00714639" w:rsidRPr="00193BC1" w:rsidRDefault="00714639" w:rsidP="001716E0">
      <w:pPr>
        <w:pStyle w:val="3-BodyText"/>
      </w:pPr>
      <w:r w:rsidRPr="00193BC1">
        <w:t xml:space="preserve">This submission </w:t>
      </w:r>
      <w:r w:rsidR="000A190D" w:rsidRPr="00193BC1">
        <w:t>was not</w:t>
      </w:r>
      <w:r w:rsidRPr="00193BC1">
        <w:t xml:space="preserve"> considered by DUSC. The submission took a market share approach to estimate the extent of use and financial implications associated with the listing of dupilumab. The key inputs in the financial analysis are outlined in the table below.</w:t>
      </w:r>
    </w:p>
    <w:p w14:paraId="65A3DA3F" w14:textId="77777777" w:rsidR="00714639" w:rsidRPr="00193BC1" w:rsidRDefault="00714639" w:rsidP="00E9172C">
      <w:pPr>
        <w:pStyle w:val="TableFigureHeading"/>
        <w:rPr>
          <w:rStyle w:val="CommentReference"/>
          <w:b/>
          <w:szCs w:val="24"/>
        </w:rPr>
      </w:pPr>
      <w:r w:rsidRPr="00193BC1">
        <w:lastRenderedPageBreak/>
        <w:t xml:space="preserve">Table </w:t>
      </w:r>
      <w:r w:rsidR="008F7132" w:rsidRPr="00193BC1">
        <w:t>16</w:t>
      </w:r>
      <w:r w:rsidRPr="00193BC1">
        <w:t xml:space="preserve">: </w:t>
      </w:r>
      <w:r w:rsidRPr="00193BC1">
        <w:rPr>
          <w:rStyle w:val="CommentReference"/>
          <w:b/>
          <w:szCs w:val="24"/>
        </w:rPr>
        <w:t>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67"/>
        <w:gridCol w:w="4936"/>
        <w:gridCol w:w="2114"/>
      </w:tblGrid>
      <w:tr w:rsidR="006F2ADF" w:rsidRPr="00193BC1" w14:paraId="4B2CCB79" w14:textId="77777777" w:rsidTr="00F813B9">
        <w:trPr>
          <w:tblHeader/>
        </w:trPr>
        <w:tc>
          <w:tcPr>
            <w:tcW w:w="1091" w:type="pct"/>
            <w:shd w:val="clear" w:color="auto" w:fill="auto"/>
          </w:tcPr>
          <w:p w14:paraId="59F888A3" w14:textId="77777777" w:rsidR="00714639" w:rsidRPr="00193BC1" w:rsidRDefault="00714639" w:rsidP="00E9172C">
            <w:pPr>
              <w:pStyle w:val="In-tableHeading"/>
              <w:rPr>
                <w:lang w:val="en-AU"/>
              </w:rPr>
            </w:pPr>
            <w:r w:rsidRPr="00193BC1">
              <w:rPr>
                <w:lang w:val="en-AU"/>
              </w:rPr>
              <w:t>Parameter</w:t>
            </w:r>
          </w:p>
        </w:tc>
        <w:tc>
          <w:tcPr>
            <w:tcW w:w="2737" w:type="pct"/>
            <w:shd w:val="clear" w:color="auto" w:fill="auto"/>
          </w:tcPr>
          <w:p w14:paraId="2E9EC8AE" w14:textId="77777777" w:rsidR="00714639" w:rsidRPr="00193BC1" w:rsidRDefault="00714639" w:rsidP="00E9172C">
            <w:pPr>
              <w:pStyle w:val="In-tableHeading"/>
              <w:rPr>
                <w:lang w:val="en-AU"/>
              </w:rPr>
            </w:pPr>
            <w:r w:rsidRPr="00193BC1">
              <w:rPr>
                <w:lang w:val="en-AU"/>
              </w:rPr>
              <w:t>Value applied and source</w:t>
            </w:r>
          </w:p>
        </w:tc>
        <w:tc>
          <w:tcPr>
            <w:tcW w:w="1172" w:type="pct"/>
            <w:shd w:val="clear" w:color="auto" w:fill="auto"/>
          </w:tcPr>
          <w:p w14:paraId="1C859188" w14:textId="77777777" w:rsidR="00714639" w:rsidRPr="00193BC1" w:rsidRDefault="00714639" w:rsidP="00E9172C">
            <w:pPr>
              <w:pStyle w:val="In-tableHeading"/>
              <w:rPr>
                <w:lang w:val="en-AU"/>
              </w:rPr>
            </w:pPr>
            <w:r w:rsidRPr="00193BC1">
              <w:rPr>
                <w:lang w:val="en-AU"/>
              </w:rPr>
              <w:t>Comment</w:t>
            </w:r>
          </w:p>
        </w:tc>
      </w:tr>
      <w:tr w:rsidR="006F2ADF" w:rsidRPr="00193BC1" w14:paraId="7F474919" w14:textId="77777777" w:rsidTr="00F813B9">
        <w:tc>
          <w:tcPr>
            <w:tcW w:w="1091" w:type="pct"/>
            <w:shd w:val="clear" w:color="auto" w:fill="auto"/>
          </w:tcPr>
          <w:p w14:paraId="1086BC39" w14:textId="77777777" w:rsidR="00714639" w:rsidRPr="00193BC1" w:rsidRDefault="00714639" w:rsidP="00E9172C">
            <w:pPr>
              <w:pStyle w:val="TableText0"/>
            </w:pPr>
            <w:r w:rsidRPr="00193BC1">
              <w:t>Number of prescriptions for PBS items relating to benralizumab, mepolizumab and omalizumab</w:t>
            </w:r>
          </w:p>
        </w:tc>
        <w:tc>
          <w:tcPr>
            <w:tcW w:w="2737" w:type="pct"/>
            <w:shd w:val="clear" w:color="auto" w:fill="auto"/>
          </w:tcPr>
          <w:p w14:paraId="1BEF9354" w14:textId="77777777" w:rsidR="00714639" w:rsidRPr="00193BC1" w:rsidRDefault="00714639" w:rsidP="00E9172C">
            <w:pPr>
              <w:pStyle w:val="TableText0"/>
            </w:pPr>
            <w:r w:rsidRPr="00193BC1">
              <w:t>Benralizumab: 6,357</w:t>
            </w:r>
          </w:p>
          <w:p w14:paraId="50F3AEF8" w14:textId="77777777" w:rsidR="00714639" w:rsidRPr="00193BC1" w:rsidRDefault="00714639" w:rsidP="00E9172C">
            <w:pPr>
              <w:pStyle w:val="TableText0"/>
            </w:pPr>
            <w:r w:rsidRPr="00193BC1">
              <w:t>Mepolizumab: 14,454</w:t>
            </w:r>
          </w:p>
          <w:p w14:paraId="2F8C3570" w14:textId="77777777" w:rsidR="00714639" w:rsidRPr="00193BC1" w:rsidRDefault="00714639" w:rsidP="00E9172C">
            <w:pPr>
              <w:pStyle w:val="TableText0"/>
            </w:pPr>
            <w:r w:rsidRPr="00193BC1">
              <w:t xml:space="preserve">Omalizumab: </w:t>
            </w:r>
            <w:r w:rsidR="00DC0A76" w:rsidRPr="00193BC1">
              <w:t>53,027</w:t>
            </w:r>
            <w:r w:rsidRPr="00193BC1">
              <w:t xml:space="preserve"> </w:t>
            </w:r>
          </w:p>
          <w:p w14:paraId="30EADF42" w14:textId="77777777" w:rsidR="00714639" w:rsidRPr="00193BC1" w:rsidRDefault="00714639" w:rsidP="00E9172C">
            <w:pPr>
              <w:pStyle w:val="TableText0"/>
            </w:pPr>
            <w:r w:rsidRPr="00193BC1">
              <w:t>Medicare prescription data (April 2019-March 2020)</w:t>
            </w:r>
          </w:p>
        </w:tc>
        <w:tc>
          <w:tcPr>
            <w:tcW w:w="1172" w:type="pct"/>
            <w:shd w:val="clear" w:color="auto" w:fill="auto"/>
          </w:tcPr>
          <w:p w14:paraId="3D83AB16" w14:textId="77777777" w:rsidR="00714639" w:rsidRPr="00193BC1" w:rsidRDefault="00714639" w:rsidP="00E9172C">
            <w:pPr>
              <w:pStyle w:val="TableText0"/>
            </w:pPr>
            <w:r w:rsidRPr="00193BC1">
              <w:t>Appropriate data source.</w:t>
            </w:r>
          </w:p>
        </w:tc>
      </w:tr>
      <w:tr w:rsidR="006F2ADF" w:rsidRPr="00193BC1" w14:paraId="479DE304" w14:textId="77777777" w:rsidTr="00F813B9">
        <w:tc>
          <w:tcPr>
            <w:tcW w:w="1091" w:type="pct"/>
            <w:shd w:val="clear" w:color="auto" w:fill="auto"/>
          </w:tcPr>
          <w:p w14:paraId="6CCC49AD" w14:textId="77777777" w:rsidR="00714639" w:rsidRPr="00193BC1" w:rsidRDefault="00714639" w:rsidP="00E9172C">
            <w:pPr>
              <w:pStyle w:val="TableText0"/>
            </w:pPr>
            <w:r w:rsidRPr="00193BC1">
              <w:t>Expected growth of asthma biologic market</w:t>
            </w:r>
          </w:p>
        </w:tc>
        <w:tc>
          <w:tcPr>
            <w:tcW w:w="2737" w:type="pct"/>
            <w:shd w:val="clear" w:color="auto" w:fill="auto"/>
          </w:tcPr>
          <w:p w14:paraId="74336CF4" w14:textId="77777777" w:rsidR="00714639" w:rsidRPr="00193BC1" w:rsidRDefault="00714639" w:rsidP="00E9172C">
            <w:pPr>
              <w:pStyle w:val="TableText0"/>
            </w:pPr>
            <w:r w:rsidRPr="00193BC1">
              <w:t>Benralizumab: 50% in 2020, decreasing to 13% in Year 6 of listing (2026)</w:t>
            </w:r>
          </w:p>
          <w:p w14:paraId="73E7B743" w14:textId="77777777" w:rsidR="00714639" w:rsidRPr="00193BC1" w:rsidRDefault="00714639" w:rsidP="00E9172C">
            <w:pPr>
              <w:pStyle w:val="TableText0"/>
            </w:pPr>
            <w:r w:rsidRPr="00193BC1">
              <w:t>Mepolizumab: 26% in 2020, decreasing to 10% in Year 6 of listing</w:t>
            </w:r>
          </w:p>
          <w:p w14:paraId="1B6E7177" w14:textId="77777777" w:rsidR="00714639" w:rsidRPr="00193BC1" w:rsidRDefault="00714639" w:rsidP="00E9172C">
            <w:pPr>
              <w:pStyle w:val="TableText0"/>
            </w:pPr>
            <w:r w:rsidRPr="00193BC1">
              <w:t>Omalizumab: 9% in 2020, varying between 9% and 15% in Years 1-6</w:t>
            </w:r>
          </w:p>
          <w:p w14:paraId="770399E6" w14:textId="77777777" w:rsidR="00714639" w:rsidRPr="00193BC1" w:rsidRDefault="00714639" w:rsidP="00E9172C">
            <w:pPr>
              <w:pStyle w:val="TableText0"/>
            </w:pPr>
            <w:r w:rsidRPr="00193BC1">
              <w:t xml:space="preserve">Assuming a liner projection based on </w:t>
            </w:r>
            <w:r w:rsidR="00DC0A76" w:rsidRPr="00193BC1">
              <w:t xml:space="preserve">10% </w:t>
            </w:r>
            <w:r w:rsidRPr="00193BC1">
              <w:t>PBS sample data from April 2018 to Mar 2020</w:t>
            </w:r>
          </w:p>
        </w:tc>
        <w:tc>
          <w:tcPr>
            <w:tcW w:w="1172" w:type="pct"/>
            <w:shd w:val="clear" w:color="auto" w:fill="auto"/>
          </w:tcPr>
          <w:p w14:paraId="60340B2F" w14:textId="77777777" w:rsidR="00714639" w:rsidRPr="00193BC1" w:rsidRDefault="00714639" w:rsidP="00E9172C">
            <w:pPr>
              <w:pStyle w:val="TableText0"/>
            </w:pPr>
            <w:r w:rsidRPr="00193BC1">
              <w:t>The submission’s assumption that the listing of dupilumab would not affect the growth of the asthma biologic market was uncertain.</w:t>
            </w:r>
          </w:p>
        </w:tc>
      </w:tr>
      <w:tr w:rsidR="006F2ADF" w:rsidRPr="00193BC1" w14:paraId="0F05683F" w14:textId="77777777" w:rsidTr="00F813B9">
        <w:tc>
          <w:tcPr>
            <w:tcW w:w="1091" w:type="pct"/>
            <w:shd w:val="clear" w:color="auto" w:fill="auto"/>
          </w:tcPr>
          <w:p w14:paraId="0F1ADB3C" w14:textId="77777777" w:rsidR="00714639" w:rsidRPr="00193BC1" w:rsidRDefault="00714639" w:rsidP="00E9172C">
            <w:pPr>
              <w:pStyle w:val="TableText0"/>
            </w:pPr>
            <w:r w:rsidRPr="00193BC1">
              <w:t>Uptake rate of dupilumab</w:t>
            </w:r>
          </w:p>
        </w:tc>
        <w:tc>
          <w:tcPr>
            <w:tcW w:w="2737" w:type="pct"/>
            <w:shd w:val="clear" w:color="auto" w:fill="auto"/>
          </w:tcPr>
          <w:p w14:paraId="14594AEA" w14:textId="77777777" w:rsidR="00714639" w:rsidRPr="00193BC1" w:rsidRDefault="00714639" w:rsidP="00E9172C">
            <w:pPr>
              <w:pStyle w:val="TableText0"/>
            </w:pPr>
            <w:r w:rsidRPr="00193BC1">
              <w:t>Eosinophilic asthma patients receiving benralizumab or mepolizumab: 7% in Year 1, increasing by 2%-3% per year in subsequent years</w:t>
            </w:r>
          </w:p>
          <w:p w14:paraId="409BBCBD" w14:textId="77777777" w:rsidR="00714639" w:rsidRPr="00193BC1" w:rsidRDefault="00714639" w:rsidP="00E9172C">
            <w:pPr>
              <w:pStyle w:val="TableText0"/>
            </w:pPr>
            <w:r w:rsidRPr="00193BC1">
              <w:t>Allergic asthma patients receiving omalizumab: 9% in Year 1, increasing by 6% per year in subsequent years</w:t>
            </w:r>
          </w:p>
          <w:p w14:paraId="31A46E4F" w14:textId="77777777" w:rsidR="00714639" w:rsidRPr="00193BC1" w:rsidRDefault="00714639" w:rsidP="00E9172C">
            <w:pPr>
              <w:pStyle w:val="TableText0"/>
            </w:pPr>
            <w:r w:rsidRPr="00193BC1">
              <w:t>Submission’s assumption</w:t>
            </w:r>
          </w:p>
        </w:tc>
        <w:tc>
          <w:tcPr>
            <w:tcW w:w="1172" w:type="pct"/>
            <w:shd w:val="clear" w:color="auto" w:fill="auto"/>
          </w:tcPr>
          <w:p w14:paraId="0C28A9C3" w14:textId="77777777" w:rsidR="00714639" w:rsidRPr="00193BC1" w:rsidRDefault="00714639" w:rsidP="00E9172C">
            <w:pPr>
              <w:pStyle w:val="TableText0"/>
            </w:pPr>
            <w:r w:rsidRPr="00193BC1">
              <w:t>An area of uncertainty</w:t>
            </w:r>
            <w:r w:rsidR="00573F37" w:rsidRPr="00193BC1">
              <w:t>.</w:t>
            </w:r>
          </w:p>
        </w:tc>
      </w:tr>
      <w:tr w:rsidR="006F2ADF" w:rsidRPr="00193BC1" w14:paraId="5E44B7BD" w14:textId="77777777" w:rsidTr="00F813B9">
        <w:tc>
          <w:tcPr>
            <w:tcW w:w="1091" w:type="pct"/>
            <w:tcBorders>
              <w:top w:val="single" w:sz="4" w:space="0" w:color="auto"/>
              <w:left w:val="single" w:sz="4" w:space="0" w:color="auto"/>
              <w:bottom w:val="single" w:sz="4" w:space="0" w:color="auto"/>
              <w:right w:val="single" w:sz="4" w:space="0" w:color="auto"/>
            </w:tcBorders>
          </w:tcPr>
          <w:p w14:paraId="5D7CFA86" w14:textId="77777777" w:rsidR="00714639" w:rsidRPr="00193BC1" w:rsidRDefault="00714639" w:rsidP="00E9172C">
            <w:pPr>
              <w:pStyle w:val="TableText0"/>
            </w:pPr>
            <w:r w:rsidRPr="00193BC1">
              <w:t>Predicted utilisation of dupilumab 200mg dose vs. 300mg dose</w:t>
            </w:r>
          </w:p>
        </w:tc>
        <w:tc>
          <w:tcPr>
            <w:tcW w:w="2737" w:type="pct"/>
            <w:tcBorders>
              <w:top w:val="single" w:sz="4" w:space="0" w:color="auto"/>
              <w:left w:val="single" w:sz="4" w:space="0" w:color="auto"/>
              <w:bottom w:val="single" w:sz="4" w:space="0" w:color="auto"/>
              <w:right w:val="single" w:sz="4" w:space="0" w:color="auto"/>
            </w:tcBorders>
          </w:tcPr>
          <w:p w14:paraId="1EA3C504" w14:textId="77777777" w:rsidR="00714639" w:rsidRPr="00193BC1" w:rsidRDefault="00714639" w:rsidP="00E9172C">
            <w:pPr>
              <w:pStyle w:val="TableText0"/>
            </w:pPr>
            <w:bookmarkStart w:id="42" w:name="_Hlk44934604"/>
            <w:r w:rsidRPr="00193BC1">
              <w:t>60% 200mg vs. 40% 300mg</w:t>
            </w:r>
            <w:bookmarkEnd w:id="42"/>
            <w:r w:rsidRPr="00193BC1">
              <w:br/>
              <w:t xml:space="preserve">McDonald et al. (2018), the submission’s assumption </w:t>
            </w:r>
          </w:p>
        </w:tc>
        <w:tc>
          <w:tcPr>
            <w:tcW w:w="1172" w:type="pct"/>
            <w:shd w:val="clear" w:color="auto" w:fill="auto"/>
          </w:tcPr>
          <w:p w14:paraId="0BC9F83B" w14:textId="77777777" w:rsidR="00714639" w:rsidRPr="00193BC1" w:rsidRDefault="00714639" w:rsidP="00E9172C">
            <w:pPr>
              <w:pStyle w:val="TableText0"/>
            </w:pPr>
            <w:r w:rsidRPr="00193BC1">
              <w:t xml:space="preserve">This would not affect the results given the proposed flat price for 200mg and 300mg doses. </w:t>
            </w:r>
          </w:p>
        </w:tc>
      </w:tr>
      <w:tr w:rsidR="006F2ADF" w:rsidRPr="00193BC1" w14:paraId="1C79EBF1" w14:textId="77777777" w:rsidTr="00F813B9">
        <w:tc>
          <w:tcPr>
            <w:tcW w:w="1091" w:type="pct"/>
            <w:tcBorders>
              <w:top w:val="single" w:sz="4" w:space="0" w:color="auto"/>
              <w:left w:val="single" w:sz="4" w:space="0" w:color="auto"/>
              <w:bottom w:val="single" w:sz="4" w:space="0" w:color="auto"/>
              <w:right w:val="single" w:sz="4" w:space="0" w:color="auto"/>
            </w:tcBorders>
          </w:tcPr>
          <w:p w14:paraId="0D49B25E" w14:textId="77777777" w:rsidR="00714639" w:rsidRPr="00193BC1" w:rsidRDefault="00714639" w:rsidP="00E9172C">
            <w:pPr>
              <w:pStyle w:val="TableText0"/>
            </w:pPr>
            <w:r w:rsidRPr="00193BC1">
              <w:t>Proportion of initiating and continuing prescriptions for benralizumab, mepolizumab and omalizumab</w:t>
            </w:r>
          </w:p>
        </w:tc>
        <w:tc>
          <w:tcPr>
            <w:tcW w:w="2737" w:type="pct"/>
            <w:tcBorders>
              <w:top w:val="single" w:sz="4" w:space="0" w:color="auto"/>
              <w:left w:val="single" w:sz="4" w:space="0" w:color="auto"/>
              <w:bottom w:val="single" w:sz="4" w:space="0" w:color="auto"/>
              <w:right w:val="single" w:sz="4" w:space="0" w:color="auto"/>
            </w:tcBorders>
          </w:tcPr>
          <w:p w14:paraId="5F4C786B" w14:textId="77777777" w:rsidR="00714639" w:rsidRPr="00193BC1" w:rsidRDefault="00714639" w:rsidP="00E9172C">
            <w:pPr>
              <w:pStyle w:val="TableText0"/>
            </w:pPr>
            <w:r w:rsidRPr="00193BC1">
              <w:t xml:space="preserve">Benralizumab: 48% initiating vs. 52% continuing </w:t>
            </w:r>
          </w:p>
          <w:p w14:paraId="13B48A86" w14:textId="77777777" w:rsidR="00714639" w:rsidRPr="00193BC1" w:rsidRDefault="00714639" w:rsidP="00E9172C">
            <w:pPr>
              <w:pStyle w:val="TableText0"/>
            </w:pPr>
            <w:r w:rsidRPr="00193BC1">
              <w:t>Mepolizumab and omalizumab: 29% initiating vs. 79% continuing</w:t>
            </w:r>
          </w:p>
          <w:p w14:paraId="1032EE81" w14:textId="77777777" w:rsidR="00714639" w:rsidRPr="00193BC1" w:rsidRDefault="00714639" w:rsidP="00E9172C">
            <w:pPr>
              <w:pStyle w:val="TableText0"/>
            </w:pPr>
            <w:r w:rsidRPr="00193BC1">
              <w:t>Medicare prescription data (April 2019-March 2020). As omalizumab initia</w:t>
            </w:r>
            <w:r w:rsidR="00C87006" w:rsidRPr="00193BC1">
              <w:t>ting</w:t>
            </w:r>
            <w:r w:rsidRPr="00193BC1">
              <w:t xml:space="preserve"> and continuing prescriptions used the same PBS codes before December 2019. It was assumed that the </w:t>
            </w:r>
            <w:r w:rsidR="004F7EFB" w:rsidRPr="00193BC1">
              <w:t>initia</w:t>
            </w:r>
            <w:r w:rsidR="00C87006" w:rsidRPr="00193BC1">
              <w:t>ting</w:t>
            </w:r>
            <w:r w:rsidRPr="00193BC1">
              <w:t>/continuing split for omalizumab was equal to mepolizumab.</w:t>
            </w:r>
          </w:p>
        </w:tc>
        <w:tc>
          <w:tcPr>
            <w:tcW w:w="1172" w:type="pct"/>
            <w:shd w:val="clear" w:color="auto" w:fill="auto"/>
          </w:tcPr>
          <w:p w14:paraId="0CF48AB5" w14:textId="77777777" w:rsidR="00714639" w:rsidRPr="00193BC1" w:rsidRDefault="00714639" w:rsidP="00E9172C">
            <w:pPr>
              <w:pStyle w:val="TableText0"/>
            </w:pPr>
            <w:r w:rsidRPr="00193BC1">
              <w:t>Reasonable</w:t>
            </w:r>
            <w:r w:rsidR="004F7EFB" w:rsidRPr="00193BC1">
              <w:t xml:space="preserve"> data source</w:t>
            </w:r>
            <w:r w:rsidR="00573F37" w:rsidRPr="00193BC1">
              <w:t>.</w:t>
            </w:r>
          </w:p>
        </w:tc>
      </w:tr>
      <w:tr w:rsidR="006F2ADF" w:rsidRPr="00193BC1" w14:paraId="5A77C7CD" w14:textId="77777777" w:rsidTr="00F813B9">
        <w:tc>
          <w:tcPr>
            <w:tcW w:w="1091" w:type="pct"/>
            <w:shd w:val="clear" w:color="auto" w:fill="auto"/>
          </w:tcPr>
          <w:p w14:paraId="0C5D3A25" w14:textId="77777777" w:rsidR="00714639" w:rsidRPr="00193BC1" w:rsidRDefault="00714639" w:rsidP="00E9172C">
            <w:pPr>
              <w:pStyle w:val="TableText0"/>
            </w:pPr>
            <w:r w:rsidRPr="00193BC1">
              <w:t>Ex-manufacturer prices</w:t>
            </w:r>
          </w:p>
        </w:tc>
        <w:tc>
          <w:tcPr>
            <w:tcW w:w="2737" w:type="pct"/>
            <w:shd w:val="clear" w:color="auto" w:fill="auto"/>
          </w:tcPr>
          <w:p w14:paraId="6F8C5CC1" w14:textId="77777777" w:rsidR="00714639" w:rsidRPr="00193BC1" w:rsidRDefault="00714639" w:rsidP="00E9172C">
            <w:pPr>
              <w:pStyle w:val="TableText0"/>
            </w:pPr>
            <w:r w:rsidRPr="00193BC1">
              <w:t>Dupilumab: $</w:t>
            </w:r>
            <w:r w:rsidR="002F3D9C">
              <w:rPr>
                <w:noProof/>
                <w:color w:val="000000"/>
                <w:highlight w:val="black"/>
              </w:rPr>
              <w:t>''''''''''''''''''''''</w:t>
            </w:r>
            <w:r w:rsidRPr="004C75CD">
              <w:t xml:space="preserve"> </w:t>
            </w:r>
            <w:r w:rsidRPr="00193BC1">
              <w:t>per 2 x 200mg or 300mg syringes</w:t>
            </w:r>
          </w:p>
          <w:p w14:paraId="76CF449B" w14:textId="77777777" w:rsidR="00714639" w:rsidRPr="00193BC1" w:rsidRDefault="00714639" w:rsidP="00E9172C">
            <w:pPr>
              <w:pStyle w:val="TableText0"/>
            </w:pPr>
            <w:r w:rsidRPr="00193BC1">
              <w:t>Benralizumab: $</w:t>
            </w:r>
            <w:r w:rsidR="002F3D9C">
              <w:rPr>
                <w:noProof/>
                <w:color w:val="000000"/>
                <w:highlight w:val="black"/>
              </w:rPr>
              <w:t>'''''''''''''''''''''</w:t>
            </w:r>
            <w:r w:rsidRPr="004C75CD">
              <w:t xml:space="preserve"> </w:t>
            </w:r>
            <w:r w:rsidRPr="00193BC1">
              <w:t>per 30mg syringe/pen device</w:t>
            </w:r>
          </w:p>
          <w:p w14:paraId="0887EF1D" w14:textId="77777777" w:rsidR="00714639" w:rsidRPr="00193BC1" w:rsidRDefault="00714639" w:rsidP="00E9172C">
            <w:pPr>
              <w:pStyle w:val="TableText0"/>
            </w:pPr>
            <w:r w:rsidRPr="00193BC1">
              <w:t>Mepolizumab: $</w:t>
            </w:r>
            <w:r w:rsidR="002F3D9C">
              <w:rPr>
                <w:noProof/>
                <w:color w:val="000000"/>
                <w:highlight w:val="black"/>
              </w:rPr>
              <w:t>'''''''''''''''''''''''</w:t>
            </w:r>
            <w:r w:rsidRPr="004C75CD">
              <w:t xml:space="preserve"> </w:t>
            </w:r>
            <w:r w:rsidRPr="00193BC1">
              <w:t>per 100mg pen device/vial</w:t>
            </w:r>
          </w:p>
          <w:p w14:paraId="61ECE84D" w14:textId="77777777" w:rsidR="00714639" w:rsidRPr="00193BC1" w:rsidRDefault="00714639" w:rsidP="00E9172C">
            <w:pPr>
              <w:pStyle w:val="TableText0"/>
            </w:pPr>
            <w:r w:rsidRPr="00193BC1">
              <w:t>Omalizumab: $</w:t>
            </w:r>
            <w:r w:rsidR="002F3D9C">
              <w:rPr>
                <w:noProof/>
                <w:color w:val="000000"/>
                <w:highlight w:val="black"/>
              </w:rPr>
              <w:t>''''''''''''''''</w:t>
            </w:r>
            <w:r w:rsidRPr="004C75CD">
              <w:t xml:space="preserve"> </w:t>
            </w:r>
            <w:r w:rsidRPr="00193BC1">
              <w:t>per 150mg syringe, $205.00 per 75mg syringe</w:t>
            </w:r>
          </w:p>
          <w:p w14:paraId="5898B7B9" w14:textId="77777777" w:rsidR="00714639" w:rsidRPr="00193BC1" w:rsidRDefault="00714639" w:rsidP="00E9172C">
            <w:pPr>
              <w:pStyle w:val="TableText0"/>
            </w:pPr>
            <w:r w:rsidRPr="00193BC1">
              <w:t>(Proposed) published prices. The effective prices for the comparators were unknown to the Sponsor.</w:t>
            </w:r>
          </w:p>
        </w:tc>
        <w:tc>
          <w:tcPr>
            <w:tcW w:w="1172" w:type="pct"/>
            <w:shd w:val="clear" w:color="auto" w:fill="auto"/>
          </w:tcPr>
          <w:p w14:paraId="75CD27AB" w14:textId="77777777" w:rsidR="00714639" w:rsidRPr="00193BC1" w:rsidRDefault="00714639" w:rsidP="00E9172C">
            <w:pPr>
              <w:pStyle w:val="TableText0"/>
            </w:pPr>
            <w:r w:rsidRPr="00193BC1">
              <w:t>Reasonable</w:t>
            </w:r>
            <w:r w:rsidR="00573F37" w:rsidRPr="00193BC1">
              <w:t>.</w:t>
            </w:r>
          </w:p>
        </w:tc>
      </w:tr>
      <w:tr w:rsidR="006F2ADF" w:rsidRPr="00193BC1" w14:paraId="04090C18" w14:textId="77777777" w:rsidTr="00F813B9">
        <w:tc>
          <w:tcPr>
            <w:tcW w:w="1091" w:type="pct"/>
            <w:shd w:val="clear" w:color="auto" w:fill="auto"/>
          </w:tcPr>
          <w:p w14:paraId="4038E6E7" w14:textId="77777777" w:rsidR="00714639" w:rsidRPr="00193BC1" w:rsidRDefault="00714639" w:rsidP="00E9172C">
            <w:pPr>
              <w:pStyle w:val="TableText0"/>
            </w:pPr>
            <w:r w:rsidRPr="00193BC1">
              <w:t>Medical services costs</w:t>
            </w:r>
          </w:p>
        </w:tc>
        <w:tc>
          <w:tcPr>
            <w:tcW w:w="2737" w:type="pct"/>
            <w:shd w:val="clear" w:color="auto" w:fill="auto"/>
          </w:tcPr>
          <w:p w14:paraId="61FF072E" w14:textId="77777777" w:rsidR="00714639" w:rsidRPr="00193BC1" w:rsidRDefault="00714639" w:rsidP="00E9172C">
            <w:pPr>
              <w:pStyle w:val="TableText0"/>
            </w:pPr>
            <w:r w:rsidRPr="00193BC1">
              <w:t>Training of injection technique: MBS item 82212 ($60.40)</w:t>
            </w:r>
          </w:p>
          <w:p w14:paraId="0FC352B2" w14:textId="77777777" w:rsidR="00714639" w:rsidRPr="00193BC1" w:rsidRDefault="00714639" w:rsidP="00E9172C">
            <w:pPr>
              <w:pStyle w:val="TableText0"/>
            </w:pPr>
            <w:r w:rsidRPr="00193BC1">
              <w:t>Subcutaneous injection: MBS item 82200 ($9.90)</w:t>
            </w:r>
          </w:p>
          <w:p w14:paraId="5348281E" w14:textId="77777777" w:rsidR="00714639" w:rsidRPr="00193BC1" w:rsidRDefault="00714639" w:rsidP="00E9172C">
            <w:pPr>
              <w:pStyle w:val="TableText0"/>
            </w:pPr>
            <w:r w:rsidRPr="00193BC1">
              <w:t>Monitoring of anaphylaxis events: MBS item 82210 ($41.00)</w:t>
            </w:r>
          </w:p>
        </w:tc>
        <w:tc>
          <w:tcPr>
            <w:tcW w:w="1172" w:type="pct"/>
            <w:shd w:val="clear" w:color="auto" w:fill="auto"/>
          </w:tcPr>
          <w:p w14:paraId="1237DC3F" w14:textId="77777777" w:rsidR="00714639" w:rsidRPr="00193BC1" w:rsidRDefault="00714639" w:rsidP="00E9172C">
            <w:pPr>
              <w:pStyle w:val="TableText0"/>
            </w:pPr>
            <w:r w:rsidRPr="00193BC1">
              <w:t>Appropriate data source</w:t>
            </w:r>
            <w:r w:rsidR="00573F37" w:rsidRPr="00193BC1">
              <w:t>.</w:t>
            </w:r>
          </w:p>
        </w:tc>
      </w:tr>
    </w:tbl>
    <w:p w14:paraId="6A21B8D4" w14:textId="77777777" w:rsidR="00714639" w:rsidRPr="00193BC1" w:rsidRDefault="00714639" w:rsidP="00580E2F">
      <w:pPr>
        <w:pStyle w:val="TableFigureFooter"/>
      </w:pPr>
      <w:r w:rsidRPr="00193BC1">
        <w:t xml:space="preserve">Source: Table compiled during the evaluation, based on Table 4.1 and information provided in Sections 4.1-4.5 of the submission. </w:t>
      </w:r>
    </w:p>
    <w:p w14:paraId="2ABC7B21" w14:textId="77777777" w:rsidR="00714639" w:rsidRPr="00193BC1" w:rsidRDefault="00714639" w:rsidP="001716E0">
      <w:pPr>
        <w:pStyle w:val="3-BodyText"/>
      </w:pPr>
      <w:r w:rsidRPr="00193BC1">
        <w:t xml:space="preserve">The submission </w:t>
      </w:r>
      <w:r w:rsidR="005879A7" w:rsidRPr="00193BC1">
        <w:t xml:space="preserve">assumed </w:t>
      </w:r>
      <w:r w:rsidRPr="00193BC1">
        <w:t xml:space="preserve">that the growth of the asthma biologic market from April 2020 until the end of Year 6 of dupilumab listing (2026) would not be affected by the availability of dupilumab, as the proposed restriction criteria ensure that patients eligible for treatment with dupilumab would also currently qualify for treatment with benralizumab, mepolizumab or omalizumab. The 10% PBS sample data indicated that, despite the similar PBS restrictions of benralizumab to those of mepolizumab, the reimbursement of benralizumab accelerated the growth of </w:t>
      </w:r>
      <w:r w:rsidR="004A4041" w:rsidRPr="00193BC1">
        <w:t xml:space="preserve">the </w:t>
      </w:r>
      <w:r w:rsidRPr="00193BC1">
        <w:t xml:space="preserve">asthma biologic market, which meant that the availability of additional treatment option attracted new patients who otherwise would not receive asthma biologics. This might also occur following the listing of dupilumab, especially in the allergic asthma population, for </w:t>
      </w:r>
      <w:r w:rsidRPr="00193BC1">
        <w:lastRenderedPageBreak/>
        <w:t xml:space="preserve">whom only one treatment (omalizumab) is currently available, and dupilumab therapy is associated with a more straightforward posology with no need for post-injection monitoring of anaphylaxis events. </w:t>
      </w:r>
      <w:r w:rsidR="00544FEB" w:rsidRPr="00193BC1">
        <w:t xml:space="preserve">The </w:t>
      </w:r>
      <w:r w:rsidR="00B41156" w:rsidRPr="00193BC1">
        <w:t xml:space="preserve">PSCR </w:t>
      </w:r>
      <w:r w:rsidR="00544FEB" w:rsidRPr="00193BC1">
        <w:t xml:space="preserve">argued that at the time of listing dupilumab, benralizumab </w:t>
      </w:r>
      <w:r w:rsidR="00B41156" w:rsidRPr="00193BC1">
        <w:t xml:space="preserve">will have been listed for 2 years, and claimed that it reasonably expected that all biologic naïve patients suitable for IL-5 therapy will have </w:t>
      </w:r>
      <w:r w:rsidR="00BF7C1D" w:rsidRPr="00193BC1">
        <w:t>initiated</w:t>
      </w:r>
      <w:r w:rsidR="00B41156" w:rsidRPr="00193BC1">
        <w:t xml:space="preserve"> therapy. </w:t>
      </w:r>
    </w:p>
    <w:p w14:paraId="1BCC59DD" w14:textId="77777777" w:rsidR="00714639" w:rsidRPr="00193BC1" w:rsidRDefault="00714639" w:rsidP="001716E0">
      <w:pPr>
        <w:pStyle w:val="3-BodyText"/>
      </w:pPr>
      <w:r w:rsidRPr="00193BC1">
        <w:t>The estimated use and financial implications are summarised in the table below. Referencing errors were identified in the financial analysis Excel workbook: Cells E203:J203 and E215:J215 in the ‘Scripts – market’ spreadsheet, “UCM-Workbook-dupilumab asthma FINAL” workbook. An uptake rate of 7%-21% (as that for benralizumab and mepolizumab) was applied to omalizumab PBS items 10109C</w:t>
      </w:r>
      <w:r w:rsidR="00C87006" w:rsidRPr="00193BC1">
        <w:t xml:space="preserve"> and 10110D</w:t>
      </w:r>
      <w:r w:rsidRPr="00193BC1">
        <w:t>, rather than 9%-39% as stated in the submission and used for other omalizumab PBS items. This was corrected during the evaluation.</w:t>
      </w:r>
      <w:r w:rsidR="00A7239E" w:rsidRPr="00193BC1">
        <w:t xml:space="preserve"> The PBAC noted the </w:t>
      </w:r>
      <w:r w:rsidR="005879A7" w:rsidRPr="00193BC1">
        <w:t xml:space="preserve">estimated </w:t>
      </w:r>
      <w:r w:rsidR="00A7239E" w:rsidRPr="00193BC1">
        <w:t>costs</w:t>
      </w:r>
      <w:r w:rsidR="005879A7" w:rsidRPr="00193BC1">
        <w:t xml:space="preserve"> for dupilumab</w:t>
      </w:r>
      <w:r w:rsidR="00A7239E" w:rsidRPr="00193BC1">
        <w:t xml:space="preserve"> would be lower when incorporating effective prices. </w:t>
      </w:r>
    </w:p>
    <w:p w14:paraId="09A02198" w14:textId="77777777" w:rsidR="00714639" w:rsidRPr="00193BC1" w:rsidRDefault="00714639" w:rsidP="00580E2F">
      <w:pPr>
        <w:pStyle w:val="TableFigureHeading"/>
        <w:keepNext w:val="0"/>
      </w:pPr>
      <w:r w:rsidRPr="00193BC1">
        <w:t xml:space="preserve">Table </w:t>
      </w:r>
      <w:r w:rsidR="008F7132" w:rsidRPr="00193BC1">
        <w:t>17</w:t>
      </w:r>
      <w:r w:rsidRPr="00193BC1">
        <w:t xml:space="preserve">: </w:t>
      </w:r>
      <w:r w:rsidRPr="00193BC1">
        <w:rPr>
          <w:rStyle w:val="CommentReference"/>
          <w:b/>
          <w:szCs w:val="24"/>
        </w:rPr>
        <w:t>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011"/>
        <w:gridCol w:w="1165"/>
        <w:gridCol w:w="1165"/>
        <w:gridCol w:w="1166"/>
        <w:gridCol w:w="1166"/>
        <w:gridCol w:w="1166"/>
        <w:gridCol w:w="1178"/>
      </w:tblGrid>
      <w:tr w:rsidR="006F2ADF" w:rsidRPr="00F813B9" w14:paraId="2238BD03" w14:textId="77777777" w:rsidTr="00F813B9">
        <w:trPr>
          <w:tblHeader/>
        </w:trPr>
        <w:tc>
          <w:tcPr>
            <w:tcW w:w="1116" w:type="pct"/>
            <w:shd w:val="clear" w:color="auto" w:fill="auto"/>
            <w:vAlign w:val="center"/>
          </w:tcPr>
          <w:p w14:paraId="5F35816F" w14:textId="77777777" w:rsidR="00714639" w:rsidRPr="00F813B9" w:rsidRDefault="00714639" w:rsidP="00580E2F">
            <w:pPr>
              <w:pStyle w:val="In-tableHeading"/>
              <w:keepNext w:val="0"/>
              <w:jc w:val="center"/>
              <w:rPr>
                <w:szCs w:val="20"/>
                <w:lang w:val="en-AU"/>
              </w:rPr>
            </w:pPr>
          </w:p>
        </w:tc>
        <w:tc>
          <w:tcPr>
            <w:tcW w:w="647" w:type="pct"/>
            <w:shd w:val="clear" w:color="auto" w:fill="auto"/>
            <w:vAlign w:val="center"/>
          </w:tcPr>
          <w:p w14:paraId="22B36887" w14:textId="77777777" w:rsidR="00714639" w:rsidRPr="00F813B9" w:rsidRDefault="00714639" w:rsidP="00580E2F">
            <w:pPr>
              <w:pStyle w:val="In-tableHeading"/>
              <w:keepNext w:val="0"/>
              <w:jc w:val="center"/>
              <w:rPr>
                <w:szCs w:val="20"/>
                <w:lang w:val="en-AU"/>
              </w:rPr>
            </w:pPr>
            <w:r w:rsidRPr="00F813B9">
              <w:rPr>
                <w:szCs w:val="20"/>
                <w:lang w:val="en-AU"/>
              </w:rPr>
              <w:t>Year 1</w:t>
            </w:r>
          </w:p>
        </w:tc>
        <w:tc>
          <w:tcPr>
            <w:tcW w:w="647" w:type="pct"/>
            <w:shd w:val="clear" w:color="auto" w:fill="auto"/>
            <w:vAlign w:val="center"/>
          </w:tcPr>
          <w:p w14:paraId="57BDB76B" w14:textId="77777777" w:rsidR="00714639" w:rsidRPr="00F813B9" w:rsidRDefault="00714639" w:rsidP="00580E2F">
            <w:pPr>
              <w:pStyle w:val="In-tableHeading"/>
              <w:keepNext w:val="0"/>
              <w:jc w:val="center"/>
              <w:rPr>
                <w:szCs w:val="20"/>
                <w:lang w:val="en-AU"/>
              </w:rPr>
            </w:pPr>
            <w:r w:rsidRPr="00F813B9">
              <w:rPr>
                <w:szCs w:val="20"/>
                <w:lang w:val="en-AU"/>
              </w:rPr>
              <w:t>Year 2</w:t>
            </w:r>
          </w:p>
        </w:tc>
        <w:tc>
          <w:tcPr>
            <w:tcW w:w="647" w:type="pct"/>
            <w:shd w:val="clear" w:color="auto" w:fill="auto"/>
            <w:vAlign w:val="center"/>
          </w:tcPr>
          <w:p w14:paraId="24325C70" w14:textId="77777777" w:rsidR="00714639" w:rsidRPr="00F813B9" w:rsidRDefault="00714639" w:rsidP="00580E2F">
            <w:pPr>
              <w:pStyle w:val="In-tableHeading"/>
              <w:keepNext w:val="0"/>
              <w:jc w:val="center"/>
              <w:rPr>
                <w:szCs w:val="20"/>
                <w:lang w:val="en-AU"/>
              </w:rPr>
            </w:pPr>
            <w:r w:rsidRPr="00F813B9">
              <w:rPr>
                <w:szCs w:val="20"/>
                <w:lang w:val="en-AU"/>
              </w:rPr>
              <w:t>Year 3</w:t>
            </w:r>
          </w:p>
        </w:tc>
        <w:tc>
          <w:tcPr>
            <w:tcW w:w="647" w:type="pct"/>
            <w:shd w:val="clear" w:color="auto" w:fill="auto"/>
            <w:vAlign w:val="center"/>
          </w:tcPr>
          <w:p w14:paraId="3B1102FD" w14:textId="77777777" w:rsidR="00714639" w:rsidRPr="00F813B9" w:rsidRDefault="00714639" w:rsidP="00580E2F">
            <w:pPr>
              <w:pStyle w:val="In-tableHeading"/>
              <w:keepNext w:val="0"/>
              <w:jc w:val="center"/>
              <w:rPr>
                <w:szCs w:val="20"/>
                <w:lang w:val="en-AU"/>
              </w:rPr>
            </w:pPr>
            <w:r w:rsidRPr="00F813B9">
              <w:rPr>
                <w:szCs w:val="20"/>
                <w:lang w:val="en-AU"/>
              </w:rPr>
              <w:t>Year 4</w:t>
            </w:r>
          </w:p>
        </w:tc>
        <w:tc>
          <w:tcPr>
            <w:tcW w:w="647" w:type="pct"/>
            <w:shd w:val="clear" w:color="auto" w:fill="auto"/>
            <w:vAlign w:val="center"/>
          </w:tcPr>
          <w:p w14:paraId="16AC76A2" w14:textId="77777777" w:rsidR="00714639" w:rsidRPr="00F813B9" w:rsidRDefault="00714639" w:rsidP="00580E2F">
            <w:pPr>
              <w:pStyle w:val="In-tableHeading"/>
              <w:keepNext w:val="0"/>
              <w:jc w:val="center"/>
              <w:rPr>
                <w:szCs w:val="20"/>
                <w:lang w:val="en-AU"/>
              </w:rPr>
            </w:pPr>
            <w:r w:rsidRPr="00F813B9">
              <w:rPr>
                <w:szCs w:val="20"/>
                <w:lang w:val="en-AU"/>
              </w:rPr>
              <w:t>Year 5</w:t>
            </w:r>
          </w:p>
        </w:tc>
        <w:tc>
          <w:tcPr>
            <w:tcW w:w="649" w:type="pct"/>
          </w:tcPr>
          <w:p w14:paraId="714FECB5" w14:textId="77777777" w:rsidR="00714639" w:rsidRPr="00F813B9" w:rsidRDefault="00714639" w:rsidP="00580E2F">
            <w:pPr>
              <w:pStyle w:val="In-tableHeading"/>
              <w:keepNext w:val="0"/>
              <w:jc w:val="center"/>
              <w:rPr>
                <w:szCs w:val="20"/>
                <w:lang w:val="en-AU"/>
              </w:rPr>
            </w:pPr>
            <w:r w:rsidRPr="00F813B9">
              <w:rPr>
                <w:szCs w:val="20"/>
                <w:lang w:val="en-AU"/>
              </w:rPr>
              <w:t>Year 6</w:t>
            </w:r>
          </w:p>
        </w:tc>
      </w:tr>
      <w:tr w:rsidR="006F2ADF" w:rsidRPr="00F813B9" w14:paraId="2C150C23" w14:textId="77777777" w:rsidTr="00F813B9">
        <w:tc>
          <w:tcPr>
            <w:tcW w:w="5000" w:type="pct"/>
            <w:gridSpan w:val="7"/>
            <w:tcBorders>
              <w:bottom w:val="single" w:sz="4" w:space="0" w:color="auto"/>
            </w:tcBorders>
            <w:shd w:val="clear" w:color="auto" w:fill="auto"/>
            <w:vAlign w:val="center"/>
          </w:tcPr>
          <w:p w14:paraId="75B7ED3C" w14:textId="77777777" w:rsidR="00714639" w:rsidRPr="00F813B9" w:rsidRDefault="00714639" w:rsidP="00580E2F">
            <w:pPr>
              <w:pStyle w:val="In-tableHeading"/>
              <w:keepNext w:val="0"/>
              <w:rPr>
                <w:bCs/>
                <w:szCs w:val="20"/>
                <w:lang w:val="en-AU"/>
              </w:rPr>
            </w:pPr>
            <w:r w:rsidRPr="00F813B9">
              <w:rPr>
                <w:bCs/>
                <w:szCs w:val="20"/>
                <w:lang w:val="en-AU"/>
              </w:rPr>
              <w:t>Estimated extent of use</w:t>
            </w:r>
          </w:p>
        </w:tc>
      </w:tr>
      <w:tr w:rsidR="006F2ADF" w:rsidRPr="00F813B9" w14:paraId="3B376C96" w14:textId="77777777" w:rsidTr="00F813B9">
        <w:tc>
          <w:tcPr>
            <w:tcW w:w="1116" w:type="pct"/>
            <w:tcBorders>
              <w:bottom w:val="nil"/>
            </w:tcBorders>
            <w:shd w:val="clear" w:color="auto" w:fill="auto"/>
            <w:vAlign w:val="center"/>
          </w:tcPr>
          <w:p w14:paraId="3E7F5F93" w14:textId="77777777" w:rsidR="00714639" w:rsidRPr="00F813B9" w:rsidRDefault="00714639" w:rsidP="00580E2F">
            <w:pPr>
              <w:pStyle w:val="TableText0"/>
              <w:keepNext w:val="0"/>
              <w:rPr>
                <w:szCs w:val="20"/>
              </w:rPr>
            </w:pPr>
            <w:r w:rsidRPr="00F813B9">
              <w:rPr>
                <w:szCs w:val="20"/>
              </w:rPr>
              <w:t>Number of scripts dispensed</w:t>
            </w:r>
          </w:p>
        </w:tc>
        <w:tc>
          <w:tcPr>
            <w:tcW w:w="647" w:type="pct"/>
            <w:tcBorders>
              <w:top w:val="single" w:sz="4" w:space="0" w:color="auto"/>
              <w:left w:val="single" w:sz="4" w:space="0" w:color="auto"/>
              <w:bottom w:val="nil"/>
              <w:right w:val="single" w:sz="4" w:space="0" w:color="auto"/>
            </w:tcBorders>
            <w:vAlign w:val="center"/>
          </w:tcPr>
          <w:p w14:paraId="37826178" w14:textId="77777777" w:rsidR="00714639" w:rsidRPr="00AA63A2" w:rsidRDefault="002F3D9C" w:rsidP="00580E2F">
            <w:pPr>
              <w:pStyle w:val="TableText0"/>
              <w:keepNext w:val="0"/>
              <w:jc w:val="center"/>
              <w:rPr>
                <w:szCs w:val="20"/>
                <w:vertAlign w:val="superscript"/>
              </w:rPr>
            </w:pPr>
            <w:r>
              <w:rPr>
                <w:noProof/>
                <w:color w:val="000000"/>
                <w:szCs w:val="20"/>
                <w:highlight w:val="black"/>
              </w:rPr>
              <w:t>'''''''''''''</w:t>
            </w:r>
            <w:r w:rsidR="00AA63A2">
              <w:rPr>
                <w:szCs w:val="20"/>
                <w:vertAlign w:val="superscript"/>
              </w:rPr>
              <w:t>1</w:t>
            </w:r>
          </w:p>
        </w:tc>
        <w:tc>
          <w:tcPr>
            <w:tcW w:w="647" w:type="pct"/>
            <w:tcBorders>
              <w:top w:val="single" w:sz="4" w:space="0" w:color="auto"/>
              <w:left w:val="single" w:sz="4" w:space="0" w:color="auto"/>
              <w:bottom w:val="nil"/>
              <w:right w:val="single" w:sz="4" w:space="0" w:color="auto"/>
            </w:tcBorders>
            <w:vAlign w:val="center"/>
          </w:tcPr>
          <w:p w14:paraId="1FE214FC" w14:textId="77777777" w:rsidR="00714639" w:rsidRPr="00AA63A2" w:rsidRDefault="002F3D9C" w:rsidP="00580E2F">
            <w:pPr>
              <w:pStyle w:val="TableText0"/>
              <w:keepNext w:val="0"/>
              <w:jc w:val="center"/>
              <w:rPr>
                <w:szCs w:val="20"/>
                <w:vertAlign w:val="superscript"/>
              </w:rPr>
            </w:pPr>
            <w:r>
              <w:rPr>
                <w:noProof/>
                <w:color w:val="000000"/>
                <w:szCs w:val="20"/>
                <w:highlight w:val="black"/>
              </w:rPr>
              <w:t>'''''''''''''</w:t>
            </w:r>
            <w:r w:rsidR="00AA63A2">
              <w:rPr>
                <w:szCs w:val="20"/>
                <w:vertAlign w:val="superscript"/>
              </w:rPr>
              <w:t>2</w:t>
            </w:r>
          </w:p>
        </w:tc>
        <w:tc>
          <w:tcPr>
            <w:tcW w:w="647" w:type="pct"/>
            <w:tcBorders>
              <w:top w:val="single" w:sz="4" w:space="0" w:color="auto"/>
              <w:left w:val="single" w:sz="4" w:space="0" w:color="auto"/>
              <w:bottom w:val="nil"/>
              <w:right w:val="single" w:sz="4" w:space="0" w:color="auto"/>
            </w:tcBorders>
            <w:vAlign w:val="center"/>
          </w:tcPr>
          <w:p w14:paraId="3F4BB999" w14:textId="77777777" w:rsidR="00714639" w:rsidRPr="00AA63A2" w:rsidRDefault="002F3D9C" w:rsidP="00580E2F">
            <w:pPr>
              <w:pStyle w:val="TableText0"/>
              <w:keepNext w:val="0"/>
              <w:jc w:val="center"/>
              <w:rPr>
                <w:szCs w:val="20"/>
                <w:vertAlign w:val="superscript"/>
              </w:rPr>
            </w:pPr>
            <w:r>
              <w:rPr>
                <w:noProof/>
                <w:color w:val="000000"/>
                <w:szCs w:val="20"/>
                <w:highlight w:val="black"/>
              </w:rPr>
              <w:t>''''''''''''''''</w:t>
            </w:r>
            <w:r w:rsidR="00AA63A2">
              <w:rPr>
                <w:szCs w:val="20"/>
                <w:vertAlign w:val="superscript"/>
              </w:rPr>
              <w:t>3</w:t>
            </w:r>
          </w:p>
        </w:tc>
        <w:tc>
          <w:tcPr>
            <w:tcW w:w="647" w:type="pct"/>
            <w:tcBorders>
              <w:top w:val="single" w:sz="4" w:space="0" w:color="auto"/>
              <w:left w:val="single" w:sz="4" w:space="0" w:color="auto"/>
              <w:bottom w:val="nil"/>
              <w:right w:val="single" w:sz="4" w:space="0" w:color="auto"/>
            </w:tcBorders>
            <w:vAlign w:val="center"/>
          </w:tcPr>
          <w:p w14:paraId="571C094F"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3</w:t>
            </w:r>
          </w:p>
        </w:tc>
        <w:tc>
          <w:tcPr>
            <w:tcW w:w="647" w:type="pct"/>
            <w:tcBorders>
              <w:top w:val="single" w:sz="4" w:space="0" w:color="auto"/>
              <w:left w:val="single" w:sz="4" w:space="0" w:color="auto"/>
              <w:bottom w:val="nil"/>
              <w:right w:val="single" w:sz="4" w:space="0" w:color="auto"/>
            </w:tcBorders>
            <w:vAlign w:val="center"/>
          </w:tcPr>
          <w:p w14:paraId="699DF6A9" w14:textId="77777777" w:rsidR="00714639" w:rsidRPr="00AA63A2" w:rsidRDefault="002F3D9C" w:rsidP="00580E2F">
            <w:pPr>
              <w:pStyle w:val="TableText0"/>
              <w:keepNext w:val="0"/>
              <w:jc w:val="center"/>
              <w:rPr>
                <w:szCs w:val="20"/>
              </w:rPr>
            </w:pPr>
            <w:r>
              <w:rPr>
                <w:noProof/>
                <w:color w:val="000000"/>
                <w:szCs w:val="20"/>
                <w:highlight w:val="black"/>
              </w:rPr>
              <w:t>'''''''''''''''</w:t>
            </w:r>
            <w:r w:rsidR="00AA63A2">
              <w:rPr>
                <w:szCs w:val="20"/>
                <w:vertAlign w:val="superscript"/>
              </w:rPr>
              <w:t>4</w:t>
            </w:r>
          </w:p>
        </w:tc>
        <w:tc>
          <w:tcPr>
            <w:tcW w:w="649" w:type="pct"/>
            <w:tcBorders>
              <w:top w:val="single" w:sz="4" w:space="0" w:color="auto"/>
              <w:left w:val="single" w:sz="4" w:space="0" w:color="auto"/>
              <w:bottom w:val="nil"/>
              <w:right w:val="single" w:sz="4" w:space="0" w:color="auto"/>
            </w:tcBorders>
            <w:vAlign w:val="center"/>
          </w:tcPr>
          <w:p w14:paraId="6C0C9EDD" w14:textId="77777777" w:rsidR="00714639" w:rsidRPr="00AA63A2" w:rsidRDefault="002F3D9C" w:rsidP="00580E2F">
            <w:pPr>
              <w:pStyle w:val="TableText0"/>
              <w:keepNext w:val="0"/>
              <w:jc w:val="center"/>
              <w:rPr>
                <w:szCs w:val="20"/>
              </w:rPr>
            </w:pPr>
            <w:r>
              <w:rPr>
                <w:noProof/>
                <w:color w:val="000000"/>
                <w:szCs w:val="20"/>
                <w:highlight w:val="black"/>
              </w:rPr>
              <w:t>'''''''''''''''</w:t>
            </w:r>
            <w:r w:rsidR="00AA63A2">
              <w:rPr>
                <w:szCs w:val="20"/>
                <w:vertAlign w:val="superscript"/>
              </w:rPr>
              <w:t>5</w:t>
            </w:r>
          </w:p>
        </w:tc>
      </w:tr>
      <w:tr w:rsidR="006F2ADF" w:rsidRPr="00F813B9" w14:paraId="5A713587" w14:textId="77777777" w:rsidTr="00F813B9">
        <w:tc>
          <w:tcPr>
            <w:tcW w:w="1116" w:type="pct"/>
            <w:tcBorders>
              <w:top w:val="nil"/>
            </w:tcBorders>
            <w:shd w:val="clear" w:color="auto" w:fill="auto"/>
          </w:tcPr>
          <w:p w14:paraId="584D8A56" w14:textId="77777777" w:rsidR="00714639" w:rsidRPr="00F813B9" w:rsidRDefault="00177A73" w:rsidP="00580E2F">
            <w:pPr>
              <w:pStyle w:val="TableText0"/>
              <w:keepNext w:val="0"/>
              <w:rPr>
                <w:szCs w:val="20"/>
              </w:rPr>
            </w:pPr>
            <w:r w:rsidRPr="00F813B9">
              <w:rPr>
                <w:szCs w:val="20"/>
              </w:rPr>
              <w:t xml:space="preserve"> </w:t>
            </w:r>
            <w:r w:rsidR="00714639" w:rsidRPr="00F813B9">
              <w:rPr>
                <w:szCs w:val="20"/>
              </w:rPr>
              <w:t xml:space="preserve">Revised </w:t>
            </w:r>
            <w:r w:rsidR="00714639" w:rsidRPr="00F813B9">
              <w:rPr>
                <w:szCs w:val="20"/>
                <w:vertAlign w:val="superscript"/>
              </w:rPr>
              <w:t>a</w:t>
            </w:r>
          </w:p>
        </w:tc>
        <w:tc>
          <w:tcPr>
            <w:tcW w:w="647" w:type="pct"/>
            <w:tcBorders>
              <w:top w:val="nil"/>
              <w:left w:val="single" w:sz="4" w:space="0" w:color="auto"/>
              <w:bottom w:val="single" w:sz="4" w:space="0" w:color="auto"/>
              <w:right w:val="single" w:sz="4" w:space="0" w:color="auto"/>
            </w:tcBorders>
          </w:tcPr>
          <w:p w14:paraId="31C0E8E6" w14:textId="77777777" w:rsidR="00714639" w:rsidRPr="00AA63A2" w:rsidRDefault="002F3D9C" w:rsidP="00580E2F">
            <w:pPr>
              <w:pStyle w:val="TableText0"/>
              <w:keepNext w:val="0"/>
              <w:jc w:val="center"/>
              <w:rPr>
                <w:szCs w:val="20"/>
                <w:vertAlign w:val="superscript"/>
              </w:rPr>
            </w:pPr>
            <w:r>
              <w:rPr>
                <w:noProof/>
                <w:color w:val="000000"/>
                <w:szCs w:val="20"/>
                <w:highlight w:val="black"/>
              </w:rPr>
              <w:t>''''''''''''''</w:t>
            </w:r>
            <w:r w:rsidR="00AA63A2">
              <w:rPr>
                <w:szCs w:val="20"/>
                <w:vertAlign w:val="superscript"/>
              </w:rPr>
              <w:t>1</w:t>
            </w:r>
          </w:p>
        </w:tc>
        <w:tc>
          <w:tcPr>
            <w:tcW w:w="647" w:type="pct"/>
            <w:tcBorders>
              <w:top w:val="nil"/>
              <w:left w:val="single" w:sz="4" w:space="0" w:color="auto"/>
              <w:bottom w:val="single" w:sz="4" w:space="0" w:color="auto"/>
              <w:right w:val="single" w:sz="4" w:space="0" w:color="auto"/>
            </w:tcBorders>
          </w:tcPr>
          <w:p w14:paraId="50B3895C"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2</w:t>
            </w:r>
            <w:r w:rsidR="00714639" w:rsidRPr="00F813B9">
              <w:rPr>
                <w:szCs w:val="20"/>
              </w:rPr>
              <w:t xml:space="preserve"> </w:t>
            </w:r>
          </w:p>
        </w:tc>
        <w:tc>
          <w:tcPr>
            <w:tcW w:w="647" w:type="pct"/>
            <w:tcBorders>
              <w:top w:val="nil"/>
              <w:left w:val="single" w:sz="4" w:space="0" w:color="auto"/>
              <w:bottom w:val="single" w:sz="4" w:space="0" w:color="auto"/>
              <w:right w:val="single" w:sz="4" w:space="0" w:color="auto"/>
            </w:tcBorders>
          </w:tcPr>
          <w:p w14:paraId="12A9650B"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3</w:t>
            </w:r>
          </w:p>
        </w:tc>
        <w:tc>
          <w:tcPr>
            <w:tcW w:w="647" w:type="pct"/>
            <w:tcBorders>
              <w:top w:val="nil"/>
              <w:left w:val="single" w:sz="4" w:space="0" w:color="auto"/>
              <w:bottom w:val="single" w:sz="4" w:space="0" w:color="auto"/>
              <w:right w:val="single" w:sz="4" w:space="0" w:color="auto"/>
            </w:tcBorders>
          </w:tcPr>
          <w:p w14:paraId="07960994"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3</w:t>
            </w:r>
            <w:r w:rsidR="00714639" w:rsidRPr="00F813B9">
              <w:rPr>
                <w:szCs w:val="20"/>
              </w:rPr>
              <w:t xml:space="preserve"> </w:t>
            </w:r>
          </w:p>
        </w:tc>
        <w:tc>
          <w:tcPr>
            <w:tcW w:w="647" w:type="pct"/>
            <w:tcBorders>
              <w:top w:val="nil"/>
              <w:left w:val="single" w:sz="4" w:space="0" w:color="auto"/>
              <w:bottom w:val="single" w:sz="4" w:space="0" w:color="auto"/>
              <w:right w:val="single" w:sz="4" w:space="0" w:color="auto"/>
            </w:tcBorders>
          </w:tcPr>
          <w:p w14:paraId="21FA172F"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4</w:t>
            </w:r>
            <w:r w:rsidR="00714639" w:rsidRPr="00F813B9">
              <w:rPr>
                <w:szCs w:val="20"/>
              </w:rPr>
              <w:t xml:space="preserve"> </w:t>
            </w:r>
          </w:p>
        </w:tc>
        <w:tc>
          <w:tcPr>
            <w:tcW w:w="649" w:type="pct"/>
            <w:tcBorders>
              <w:top w:val="nil"/>
              <w:left w:val="single" w:sz="4" w:space="0" w:color="auto"/>
              <w:bottom w:val="single" w:sz="4" w:space="0" w:color="auto"/>
              <w:right w:val="single" w:sz="4" w:space="0" w:color="auto"/>
            </w:tcBorders>
          </w:tcPr>
          <w:p w14:paraId="12582431" w14:textId="77777777" w:rsidR="00714639" w:rsidRPr="00F813B9" w:rsidRDefault="002F3D9C" w:rsidP="00580E2F">
            <w:pPr>
              <w:pStyle w:val="TableText0"/>
              <w:keepNext w:val="0"/>
              <w:jc w:val="center"/>
              <w:rPr>
                <w:szCs w:val="20"/>
              </w:rPr>
            </w:pPr>
            <w:r>
              <w:rPr>
                <w:noProof/>
                <w:color w:val="000000"/>
                <w:szCs w:val="20"/>
                <w:highlight w:val="black"/>
              </w:rPr>
              <w:t>''''''''''''''''</w:t>
            </w:r>
            <w:r w:rsidR="00AA63A2">
              <w:rPr>
                <w:szCs w:val="20"/>
                <w:vertAlign w:val="superscript"/>
              </w:rPr>
              <w:t>5</w:t>
            </w:r>
            <w:r w:rsidR="00714639" w:rsidRPr="00F813B9">
              <w:rPr>
                <w:szCs w:val="20"/>
              </w:rPr>
              <w:t xml:space="preserve"> </w:t>
            </w:r>
          </w:p>
        </w:tc>
      </w:tr>
      <w:tr w:rsidR="006F2ADF" w:rsidRPr="00F813B9" w14:paraId="05676027" w14:textId="77777777" w:rsidTr="00F813B9">
        <w:tc>
          <w:tcPr>
            <w:tcW w:w="5000" w:type="pct"/>
            <w:gridSpan w:val="7"/>
            <w:tcBorders>
              <w:bottom w:val="single" w:sz="4" w:space="0" w:color="auto"/>
            </w:tcBorders>
            <w:shd w:val="clear" w:color="auto" w:fill="auto"/>
            <w:vAlign w:val="center"/>
          </w:tcPr>
          <w:p w14:paraId="441F720E" w14:textId="77777777" w:rsidR="00714639" w:rsidRPr="00F813B9" w:rsidRDefault="00714639" w:rsidP="00580E2F">
            <w:pPr>
              <w:pStyle w:val="In-tableHeading"/>
              <w:keepNext w:val="0"/>
              <w:rPr>
                <w:szCs w:val="20"/>
                <w:lang w:val="en-AU"/>
              </w:rPr>
            </w:pPr>
            <w:r w:rsidRPr="00F813B9">
              <w:rPr>
                <w:szCs w:val="20"/>
                <w:lang w:val="en-AU"/>
              </w:rPr>
              <w:t>Estimated financial implications of dupilumab</w:t>
            </w:r>
          </w:p>
        </w:tc>
      </w:tr>
      <w:tr w:rsidR="006F2ADF" w:rsidRPr="00F813B9" w14:paraId="2A0C6744" w14:textId="77777777" w:rsidTr="00F813B9">
        <w:tc>
          <w:tcPr>
            <w:tcW w:w="1116" w:type="pct"/>
            <w:tcBorders>
              <w:bottom w:val="nil"/>
            </w:tcBorders>
            <w:shd w:val="clear" w:color="auto" w:fill="auto"/>
            <w:vAlign w:val="center"/>
          </w:tcPr>
          <w:p w14:paraId="69E05C35" w14:textId="77777777" w:rsidR="00714639" w:rsidRPr="00F813B9" w:rsidRDefault="00714639" w:rsidP="00580E2F">
            <w:pPr>
              <w:pStyle w:val="TableText0"/>
              <w:keepNext w:val="0"/>
              <w:rPr>
                <w:szCs w:val="20"/>
              </w:rPr>
            </w:pPr>
            <w:r w:rsidRPr="00F813B9">
              <w:rPr>
                <w:szCs w:val="20"/>
              </w:rPr>
              <w:t>Cost to PBS/RPBS less copayments</w:t>
            </w:r>
          </w:p>
        </w:tc>
        <w:tc>
          <w:tcPr>
            <w:tcW w:w="647" w:type="pct"/>
            <w:tcBorders>
              <w:bottom w:val="nil"/>
            </w:tcBorders>
            <w:vAlign w:val="center"/>
          </w:tcPr>
          <w:p w14:paraId="5F3E4541" w14:textId="77777777" w:rsidR="00714639" w:rsidRPr="00276F1C"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6</w:t>
            </w:r>
          </w:p>
        </w:tc>
        <w:tc>
          <w:tcPr>
            <w:tcW w:w="647" w:type="pct"/>
            <w:tcBorders>
              <w:bottom w:val="nil"/>
            </w:tcBorders>
            <w:vAlign w:val="center"/>
          </w:tcPr>
          <w:p w14:paraId="72F3ACF2" w14:textId="77777777" w:rsidR="00714639" w:rsidRPr="00276F1C"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bottom w:val="nil"/>
            </w:tcBorders>
            <w:vAlign w:val="center"/>
          </w:tcPr>
          <w:p w14:paraId="093EB40E"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bottom w:val="nil"/>
            </w:tcBorders>
            <w:vAlign w:val="center"/>
          </w:tcPr>
          <w:p w14:paraId="458E458B"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8</w:t>
            </w:r>
          </w:p>
        </w:tc>
        <w:tc>
          <w:tcPr>
            <w:tcW w:w="647" w:type="pct"/>
            <w:tcBorders>
              <w:bottom w:val="nil"/>
            </w:tcBorders>
            <w:vAlign w:val="center"/>
          </w:tcPr>
          <w:p w14:paraId="7E0EB1C5" w14:textId="77777777" w:rsidR="00714639" w:rsidRPr="00276F1C"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9</w:t>
            </w:r>
          </w:p>
        </w:tc>
        <w:tc>
          <w:tcPr>
            <w:tcW w:w="649" w:type="pct"/>
            <w:tcBorders>
              <w:bottom w:val="nil"/>
            </w:tcBorders>
            <w:vAlign w:val="center"/>
          </w:tcPr>
          <w:p w14:paraId="14C6CF53" w14:textId="77777777" w:rsidR="00714639" w:rsidRPr="00276F1C" w:rsidRDefault="00714639" w:rsidP="00580E2F">
            <w:pPr>
              <w:pStyle w:val="TableText0"/>
              <w:keepNext w:val="0"/>
              <w:jc w:val="right"/>
              <w:rPr>
                <w:szCs w:val="20"/>
                <w:vertAlign w:val="superscript"/>
              </w:rPr>
            </w:pPr>
            <w:r w:rsidRPr="00F813B9">
              <w:rPr>
                <w:szCs w:val="20"/>
              </w:rPr>
              <w:t>$</w:t>
            </w:r>
            <w:r w:rsidR="002F3D9C">
              <w:rPr>
                <w:noProof/>
                <w:color w:val="000000"/>
                <w:szCs w:val="20"/>
                <w:highlight w:val="black"/>
              </w:rPr>
              <w:t>'''''''''''''''''''''''''</w:t>
            </w:r>
            <w:r w:rsidR="00276F1C">
              <w:rPr>
                <w:szCs w:val="20"/>
                <w:vertAlign w:val="superscript"/>
              </w:rPr>
              <w:t>10</w:t>
            </w:r>
          </w:p>
        </w:tc>
      </w:tr>
      <w:tr w:rsidR="006F2ADF" w:rsidRPr="00F813B9" w14:paraId="066D5ECD" w14:textId="77777777" w:rsidTr="00F813B9">
        <w:tc>
          <w:tcPr>
            <w:tcW w:w="1116" w:type="pct"/>
            <w:tcBorders>
              <w:top w:val="nil"/>
            </w:tcBorders>
            <w:shd w:val="clear" w:color="auto" w:fill="auto"/>
            <w:vAlign w:val="center"/>
          </w:tcPr>
          <w:p w14:paraId="38E25373" w14:textId="77777777" w:rsidR="00DD010E" w:rsidRPr="00F813B9" w:rsidRDefault="00177A73" w:rsidP="00DD010E">
            <w:pPr>
              <w:pStyle w:val="TableText0"/>
              <w:keepNext w:val="0"/>
              <w:rPr>
                <w:szCs w:val="20"/>
              </w:rPr>
            </w:pPr>
            <w:r w:rsidRPr="00F813B9">
              <w:rPr>
                <w:szCs w:val="20"/>
              </w:rPr>
              <w:t xml:space="preserve"> </w:t>
            </w:r>
            <w:r w:rsidR="00DD010E" w:rsidRPr="00F813B9">
              <w:rPr>
                <w:szCs w:val="20"/>
              </w:rPr>
              <w:t xml:space="preserve">Revised </w:t>
            </w:r>
            <w:r w:rsidR="00DD010E" w:rsidRPr="00F813B9">
              <w:rPr>
                <w:szCs w:val="20"/>
                <w:vertAlign w:val="superscript"/>
              </w:rPr>
              <w:t>a</w:t>
            </w:r>
          </w:p>
        </w:tc>
        <w:tc>
          <w:tcPr>
            <w:tcW w:w="647" w:type="pct"/>
            <w:tcBorders>
              <w:top w:val="nil"/>
            </w:tcBorders>
          </w:tcPr>
          <w:p w14:paraId="5DA84202" w14:textId="77777777" w:rsidR="00DD010E" w:rsidRPr="00F813B9" w:rsidRDefault="00DD010E" w:rsidP="00DD010E">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6</w:t>
            </w:r>
          </w:p>
        </w:tc>
        <w:tc>
          <w:tcPr>
            <w:tcW w:w="647" w:type="pct"/>
            <w:tcBorders>
              <w:top w:val="nil"/>
            </w:tcBorders>
          </w:tcPr>
          <w:p w14:paraId="1AF941C3" w14:textId="77777777" w:rsidR="00DD010E" w:rsidRPr="00F813B9" w:rsidRDefault="00DD010E" w:rsidP="00DD010E">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top w:val="nil"/>
            </w:tcBorders>
          </w:tcPr>
          <w:p w14:paraId="675C930E" w14:textId="77777777" w:rsidR="00DD010E" w:rsidRPr="00F813B9" w:rsidRDefault="00DD010E" w:rsidP="00DD010E">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top w:val="nil"/>
            </w:tcBorders>
          </w:tcPr>
          <w:p w14:paraId="65826949" w14:textId="77777777" w:rsidR="00DD010E" w:rsidRPr="00F813B9" w:rsidRDefault="00DD010E" w:rsidP="00DD010E">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8</w:t>
            </w:r>
          </w:p>
        </w:tc>
        <w:tc>
          <w:tcPr>
            <w:tcW w:w="647" w:type="pct"/>
            <w:tcBorders>
              <w:top w:val="nil"/>
            </w:tcBorders>
          </w:tcPr>
          <w:p w14:paraId="570DF042" w14:textId="77777777" w:rsidR="00DD010E" w:rsidRPr="00F813B9" w:rsidRDefault="00DD010E" w:rsidP="00DD010E">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9</w:t>
            </w:r>
          </w:p>
        </w:tc>
        <w:tc>
          <w:tcPr>
            <w:tcW w:w="649" w:type="pct"/>
            <w:tcBorders>
              <w:top w:val="nil"/>
            </w:tcBorders>
          </w:tcPr>
          <w:p w14:paraId="4CC6EC8B" w14:textId="77777777" w:rsidR="00DD010E" w:rsidRPr="00276F1C" w:rsidRDefault="00DD010E" w:rsidP="00DD010E">
            <w:pPr>
              <w:pStyle w:val="TableText0"/>
              <w:keepNext w:val="0"/>
              <w:jc w:val="right"/>
              <w:rPr>
                <w:szCs w:val="20"/>
                <w:vertAlign w:val="superscript"/>
              </w:rPr>
            </w:pPr>
            <w:r w:rsidRPr="00F813B9">
              <w:rPr>
                <w:szCs w:val="20"/>
              </w:rPr>
              <w:t>$</w:t>
            </w:r>
            <w:r w:rsidR="002F3D9C">
              <w:rPr>
                <w:noProof/>
                <w:color w:val="000000"/>
                <w:szCs w:val="20"/>
                <w:highlight w:val="black"/>
              </w:rPr>
              <w:t>'''''''''''''''''''''''''</w:t>
            </w:r>
            <w:r w:rsidR="00276F1C">
              <w:rPr>
                <w:szCs w:val="20"/>
                <w:vertAlign w:val="superscript"/>
              </w:rPr>
              <w:t>11</w:t>
            </w:r>
          </w:p>
        </w:tc>
      </w:tr>
      <w:tr w:rsidR="006F2ADF" w:rsidRPr="00F813B9" w14:paraId="570CD53C" w14:textId="77777777" w:rsidTr="00F813B9">
        <w:tc>
          <w:tcPr>
            <w:tcW w:w="5000" w:type="pct"/>
            <w:gridSpan w:val="7"/>
            <w:tcBorders>
              <w:bottom w:val="single" w:sz="4" w:space="0" w:color="auto"/>
            </w:tcBorders>
            <w:shd w:val="clear" w:color="auto" w:fill="auto"/>
            <w:vAlign w:val="center"/>
          </w:tcPr>
          <w:p w14:paraId="2CDA8AD5" w14:textId="77777777" w:rsidR="00714639" w:rsidRPr="00F813B9" w:rsidRDefault="00714639" w:rsidP="00580E2F">
            <w:pPr>
              <w:pStyle w:val="TableText0"/>
              <w:keepNext w:val="0"/>
              <w:rPr>
                <w:szCs w:val="20"/>
              </w:rPr>
            </w:pPr>
            <w:r w:rsidRPr="00F813B9">
              <w:rPr>
                <w:szCs w:val="20"/>
              </w:rPr>
              <w:t xml:space="preserve">Estimated financial implications for benralizumab, mepolizumab and </w:t>
            </w:r>
            <w:r w:rsidR="00665F3A" w:rsidRPr="00F813B9">
              <w:rPr>
                <w:szCs w:val="20"/>
              </w:rPr>
              <w:t>omalizumab</w:t>
            </w:r>
          </w:p>
        </w:tc>
      </w:tr>
      <w:tr w:rsidR="006F2ADF" w:rsidRPr="00F813B9" w14:paraId="402FB2D1" w14:textId="77777777" w:rsidTr="00F813B9">
        <w:tc>
          <w:tcPr>
            <w:tcW w:w="1116" w:type="pct"/>
            <w:tcBorders>
              <w:bottom w:val="nil"/>
            </w:tcBorders>
            <w:shd w:val="clear" w:color="auto" w:fill="auto"/>
            <w:vAlign w:val="center"/>
          </w:tcPr>
          <w:p w14:paraId="225D400E" w14:textId="77777777" w:rsidR="00714639" w:rsidRPr="00F813B9" w:rsidRDefault="00714639" w:rsidP="00580E2F">
            <w:pPr>
              <w:pStyle w:val="TableText0"/>
              <w:keepNext w:val="0"/>
              <w:rPr>
                <w:szCs w:val="20"/>
              </w:rPr>
            </w:pPr>
            <w:r w:rsidRPr="00F813B9">
              <w:rPr>
                <w:szCs w:val="20"/>
              </w:rPr>
              <w:t>Cost to PBS/RPBS less copayments</w:t>
            </w:r>
          </w:p>
        </w:tc>
        <w:tc>
          <w:tcPr>
            <w:tcW w:w="647" w:type="pct"/>
            <w:tcBorders>
              <w:top w:val="single" w:sz="4" w:space="0" w:color="auto"/>
              <w:left w:val="single" w:sz="4" w:space="0" w:color="auto"/>
              <w:bottom w:val="nil"/>
              <w:right w:val="single" w:sz="4" w:space="0" w:color="auto"/>
            </w:tcBorders>
            <w:vAlign w:val="center"/>
          </w:tcPr>
          <w:p w14:paraId="6E6F2A15"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6</w:t>
            </w:r>
          </w:p>
        </w:tc>
        <w:tc>
          <w:tcPr>
            <w:tcW w:w="647" w:type="pct"/>
            <w:tcBorders>
              <w:top w:val="single" w:sz="4" w:space="0" w:color="auto"/>
              <w:left w:val="single" w:sz="4" w:space="0" w:color="auto"/>
              <w:bottom w:val="nil"/>
              <w:right w:val="single" w:sz="4" w:space="0" w:color="auto"/>
            </w:tcBorders>
            <w:vAlign w:val="center"/>
          </w:tcPr>
          <w:p w14:paraId="39AE4F08"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top w:val="single" w:sz="4" w:space="0" w:color="auto"/>
              <w:left w:val="single" w:sz="4" w:space="0" w:color="auto"/>
              <w:bottom w:val="nil"/>
              <w:right w:val="single" w:sz="4" w:space="0" w:color="auto"/>
            </w:tcBorders>
            <w:vAlign w:val="center"/>
          </w:tcPr>
          <w:p w14:paraId="6F1AB2DB"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top w:val="single" w:sz="4" w:space="0" w:color="auto"/>
              <w:left w:val="single" w:sz="4" w:space="0" w:color="auto"/>
              <w:bottom w:val="nil"/>
              <w:right w:val="single" w:sz="4" w:space="0" w:color="auto"/>
            </w:tcBorders>
            <w:vAlign w:val="center"/>
          </w:tcPr>
          <w:p w14:paraId="6E4C6A4D"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8</w:t>
            </w:r>
          </w:p>
        </w:tc>
        <w:tc>
          <w:tcPr>
            <w:tcW w:w="647" w:type="pct"/>
            <w:tcBorders>
              <w:top w:val="single" w:sz="4" w:space="0" w:color="auto"/>
              <w:left w:val="single" w:sz="4" w:space="0" w:color="auto"/>
              <w:bottom w:val="nil"/>
              <w:right w:val="single" w:sz="4" w:space="0" w:color="auto"/>
            </w:tcBorders>
            <w:vAlign w:val="center"/>
          </w:tcPr>
          <w:p w14:paraId="0496F7CC"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9</w:t>
            </w:r>
          </w:p>
        </w:tc>
        <w:tc>
          <w:tcPr>
            <w:tcW w:w="649" w:type="pct"/>
            <w:tcBorders>
              <w:top w:val="single" w:sz="4" w:space="0" w:color="auto"/>
              <w:left w:val="single" w:sz="4" w:space="0" w:color="auto"/>
              <w:bottom w:val="nil"/>
              <w:right w:val="single" w:sz="4" w:space="0" w:color="auto"/>
            </w:tcBorders>
            <w:vAlign w:val="center"/>
          </w:tcPr>
          <w:p w14:paraId="2EAD0F46"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10</w:t>
            </w:r>
          </w:p>
        </w:tc>
      </w:tr>
      <w:tr w:rsidR="006F2ADF" w:rsidRPr="00F813B9" w14:paraId="058DA14C" w14:textId="77777777" w:rsidTr="00F813B9">
        <w:tc>
          <w:tcPr>
            <w:tcW w:w="1116" w:type="pct"/>
            <w:tcBorders>
              <w:top w:val="nil"/>
            </w:tcBorders>
            <w:shd w:val="clear" w:color="auto" w:fill="auto"/>
          </w:tcPr>
          <w:p w14:paraId="00EBD339" w14:textId="77777777" w:rsidR="00714639" w:rsidRPr="00F813B9" w:rsidRDefault="00177A73" w:rsidP="00580E2F">
            <w:pPr>
              <w:pStyle w:val="TableText0"/>
              <w:keepNext w:val="0"/>
              <w:rPr>
                <w:szCs w:val="20"/>
              </w:rPr>
            </w:pPr>
            <w:r w:rsidRPr="00F813B9">
              <w:rPr>
                <w:szCs w:val="20"/>
              </w:rPr>
              <w:t xml:space="preserve"> </w:t>
            </w:r>
            <w:r w:rsidR="00714639" w:rsidRPr="00F813B9">
              <w:rPr>
                <w:szCs w:val="20"/>
              </w:rPr>
              <w:t>Revised</w:t>
            </w:r>
            <w:r w:rsidR="00714639" w:rsidRPr="00F813B9">
              <w:rPr>
                <w:szCs w:val="20"/>
                <w:vertAlign w:val="superscript"/>
              </w:rPr>
              <w:t xml:space="preserve"> a</w:t>
            </w:r>
          </w:p>
        </w:tc>
        <w:tc>
          <w:tcPr>
            <w:tcW w:w="647" w:type="pct"/>
            <w:tcBorders>
              <w:top w:val="nil"/>
              <w:left w:val="single" w:sz="4" w:space="0" w:color="auto"/>
              <w:bottom w:val="single" w:sz="4" w:space="0" w:color="auto"/>
              <w:right w:val="single" w:sz="4" w:space="0" w:color="auto"/>
            </w:tcBorders>
          </w:tcPr>
          <w:p w14:paraId="7212D645"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6</w:t>
            </w:r>
          </w:p>
        </w:tc>
        <w:tc>
          <w:tcPr>
            <w:tcW w:w="647" w:type="pct"/>
            <w:tcBorders>
              <w:top w:val="nil"/>
              <w:left w:val="single" w:sz="4" w:space="0" w:color="auto"/>
              <w:bottom w:val="single" w:sz="4" w:space="0" w:color="auto"/>
              <w:right w:val="single" w:sz="4" w:space="0" w:color="auto"/>
            </w:tcBorders>
          </w:tcPr>
          <w:p w14:paraId="57B3077B"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7</w:t>
            </w:r>
          </w:p>
        </w:tc>
        <w:tc>
          <w:tcPr>
            <w:tcW w:w="647" w:type="pct"/>
            <w:tcBorders>
              <w:top w:val="nil"/>
              <w:left w:val="single" w:sz="4" w:space="0" w:color="auto"/>
              <w:bottom w:val="single" w:sz="4" w:space="0" w:color="auto"/>
              <w:right w:val="single" w:sz="4" w:space="0" w:color="auto"/>
            </w:tcBorders>
          </w:tcPr>
          <w:p w14:paraId="0A32ED27"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8</w:t>
            </w:r>
          </w:p>
        </w:tc>
        <w:tc>
          <w:tcPr>
            <w:tcW w:w="647" w:type="pct"/>
            <w:tcBorders>
              <w:top w:val="nil"/>
              <w:left w:val="single" w:sz="4" w:space="0" w:color="auto"/>
              <w:bottom w:val="single" w:sz="4" w:space="0" w:color="auto"/>
              <w:right w:val="single" w:sz="4" w:space="0" w:color="auto"/>
            </w:tcBorders>
          </w:tcPr>
          <w:p w14:paraId="5EC0A11F"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8</w:t>
            </w:r>
          </w:p>
        </w:tc>
        <w:tc>
          <w:tcPr>
            <w:tcW w:w="647" w:type="pct"/>
            <w:tcBorders>
              <w:top w:val="nil"/>
              <w:left w:val="single" w:sz="4" w:space="0" w:color="auto"/>
              <w:bottom w:val="single" w:sz="4" w:space="0" w:color="auto"/>
              <w:right w:val="single" w:sz="4" w:space="0" w:color="auto"/>
            </w:tcBorders>
          </w:tcPr>
          <w:p w14:paraId="1EF205B2"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9</w:t>
            </w:r>
          </w:p>
        </w:tc>
        <w:tc>
          <w:tcPr>
            <w:tcW w:w="649" w:type="pct"/>
            <w:tcBorders>
              <w:top w:val="nil"/>
              <w:left w:val="single" w:sz="4" w:space="0" w:color="auto"/>
              <w:bottom w:val="single" w:sz="4" w:space="0" w:color="auto"/>
              <w:right w:val="single" w:sz="4" w:space="0" w:color="auto"/>
            </w:tcBorders>
          </w:tcPr>
          <w:p w14:paraId="45D13290"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11</w:t>
            </w:r>
          </w:p>
        </w:tc>
      </w:tr>
      <w:tr w:rsidR="006F2ADF" w:rsidRPr="00F813B9" w14:paraId="10FD4529" w14:textId="77777777" w:rsidTr="00F813B9">
        <w:tc>
          <w:tcPr>
            <w:tcW w:w="5000" w:type="pct"/>
            <w:gridSpan w:val="7"/>
            <w:tcBorders>
              <w:bottom w:val="single" w:sz="4" w:space="0" w:color="auto"/>
            </w:tcBorders>
            <w:shd w:val="clear" w:color="auto" w:fill="auto"/>
            <w:vAlign w:val="center"/>
          </w:tcPr>
          <w:p w14:paraId="25719210" w14:textId="77777777" w:rsidR="00714639" w:rsidRPr="00F813B9" w:rsidRDefault="00714639" w:rsidP="00580E2F">
            <w:pPr>
              <w:pStyle w:val="In-tableHeading"/>
              <w:keepNext w:val="0"/>
              <w:rPr>
                <w:szCs w:val="20"/>
                <w:lang w:val="en-AU"/>
              </w:rPr>
            </w:pPr>
            <w:r w:rsidRPr="00F813B9">
              <w:rPr>
                <w:szCs w:val="20"/>
                <w:lang w:val="en-AU"/>
              </w:rPr>
              <w:t xml:space="preserve">Net financial implications </w:t>
            </w:r>
          </w:p>
        </w:tc>
      </w:tr>
      <w:tr w:rsidR="006F2ADF" w:rsidRPr="00F813B9" w14:paraId="71C42294" w14:textId="77777777" w:rsidTr="00F813B9">
        <w:tc>
          <w:tcPr>
            <w:tcW w:w="1116" w:type="pct"/>
            <w:tcBorders>
              <w:bottom w:val="nil"/>
            </w:tcBorders>
            <w:shd w:val="clear" w:color="auto" w:fill="auto"/>
            <w:vAlign w:val="center"/>
          </w:tcPr>
          <w:p w14:paraId="5F52E519" w14:textId="77777777" w:rsidR="00714639" w:rsidRPr="00F813B9" w:rsidRDefault="00714639" w:rsidP="00580E2F">
            <w:pPr>
              <w:pStyle w:val="TableText0"/>
              <w:keepNext w:val="0"/>
              <w:rPr>
                <w:szCs w:val="20"/>
              </w:rPr>
            </w:pPr>
            <w:r w:rsidRPr="00F813B9">
              <w:rPr>
                <w:szCs w:val="20"/>
              </w:rPr>
              <w:t>Net cost to PBS/RPBS</w:t>
            </w:r>
          </w:p>
        </w:tc>
        <w:tc>
          <w:tcPr>
            <w:tcW w:w="647" w:type="pct"/>
            <w:tcBorders>
              <w:bottom w:val="nil"/>
            </w:tcBorders>
            <w:shd w:val="clear" w:color="auto" w:fill="auto"/>
            <w:vAlign w:val="center"/>
          </w:tcPr>
          <w:p w14:paraId="0A2BDA8F" w14:textId="77777777" w:rsidR="00714639" w:rsidRPr="00276F1C" w:rsidRDefault="00714639" w:rsidP="00580E2F">
            <w:pPr>
              <w:pStyle w:val="TableText0"/>
              <w:keepNext w:val="0"/>
              <w:jc w:val="right"/>
              <w:rPr>
                <w:szCs w:val="20"/>
                <w:vertAlign w:val="superscript"/>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4F6C57B2"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0A6D26E7"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187A1A3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1F4CE04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bottom w:val="nil"/>
            </w:tcBorders>
            <w:vAlign w:val="center"/>
          </w:tcPr>
          <w:p w14:paraId="634539B8"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r w:rsidR="006F2ADF" w:rsidRPr="00F813B9" w14:paraId="782DC13C" w14:textId="77777777" w:rsidTr="00F813B9">
        <w:tc>
          <w:tcPr>
            <w:tcW w:w="1116" w:type="pct"/>
            <w:tcBorders>
              <w:top w:val="nil"/>
              <w:bottom w:val="single" w:sz="4" w:space="0" w:color="auto"/>
            </w:tcBorders>
            <w:shd w:val="clear" w:color="auto" w:fill="auto"/>
          </w:tcPr>
          <w:p w14:paraId="0C6F86B3" w14:textId="77777777" w:rsidR="00714639" w:rsidRPr="00F813B9" w:rsidRDefault="00177A73" w:rsidP="00580E2F">
            <w:pPr>
              <w:pStyle w:val="TableText0"/>
              <w:keepNext w:val="0"/>
              <w:rPr>
                <w:szCs w:val="20"/>
              </w:rPr>
            </w:pPr>
            <w:r w:rsidRPr="00F813B9">
              <w:rPr>
                <w:szCs w:val="20"/>
              </w:rPr>
              <w:t xml:space="preserve"> </w:t>
            </w:r>
            <w:r w:rsidR="00714639" w:rsidRPr="00F813B9">
              <w:rPr>
                <w:szCs w:val="20"/>
              </w:rPr>
              <w:t xml:space="preserve">Revised </w:t>
            </w:r>
            <w:r w:rsidR="00714639" w:rsidRPr="00F813B9">
              <w:rPr>
                <w:szCs w:val="20"/>
                <w:vertAlign w:val="superscript"/>
              </w:rPr>
              <w:t>a</w:t>
            </w:r>
          </w:p>
        </w:tc>
        <w:tc>
          <w:tcPr>
            <w:tcW w:w="647" w:type="pct"/>
            <w:tcBorders>
              <w:top w:val="nil"/>
              <w:bottom w:val="single" w:sz="4" w:space="0" w:color="auto"/>
            </w:tcBorders>
            <w:shd w:val="clear" w:color="auto" w:fill="auto"/>
          </w:tcPr>
          <w:p w14:paraId="2D8F291E"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68291E31"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0C7823C8"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78016B4C"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697E32ED"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top w:val="nil"/>
              <w:bottom w:val="single" w:sz="4" w:space="0" w:color="auto"/>
            </w:tcBorders>
          </w:tcPr>
          <w:p w14:paraId="297492B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r w:rsidR="006F2ADF" w:rsidRPr="00F813B9" w14:paraId="7EC2F979" w14:textId="77777777" w:rsidTr="00F813B9">
        <w:tc>
          <w:tcPr>
            <w:tcW w:w="1116" w:type="pct"/>
            <w:tcBorders>
              <w:bottom w:val="nil"/>
            </w:tcBorders>
            <w:shd w:val="clear" w:color="auto" w:fill="auto"/>
            <w:vAlign w:val="center"/>
          </w:tcPr>
          <w:p w14:paraId="0E5B0892" w14:textId="77777777" w:rsidR="00714639" w:rsidRPr="00F813B9" w:rsidRDefault="00714639" w:rsidP="00580E2F">
            <w:pPr>
              <w:pStyle w:val="TableText0"/>
              <w:keepNext w:val="0"/>
              <w:rPr>
                <w:szCs w:val="20"/>
              </w:rPr>
            </w:pPr>
            <w:r w:rsidRPr="00F813B9">
              <w:rPr>
                <w:szCs w:val="20"/>
              </w:rPr>
              <w:t>Net cost to MBS</w:t>
            </w:r>
          </w:p>
        </w:tc>
        <w:tc>
          <w:tcPr>
            <w:tcW w:w="647" w:type="pct"/>
            <w:tcBorders>
              <w:bottom w:val="nil"/>
            </w:tcBorders>
            <w:shd w:val="clear" w:color="auto" w:fill="auto"/>
            <w:vAlign w:val="center"/>
          </w:tcPr>
          <w:p w14:paraId="5564808F"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0BA4DEA5"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4EFE1A9C"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054FB522"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5DE48063"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bottom w:val="nil"/>
            </w:tcBorders>
            <w:vAlign w:val="center"/>
          </w:tcPr>
          <w:p w14:paraId="221E4828"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r w:rsidR="006F2ADF" w:rsidRPr="00F813B9" w14:paraId="05CC1315" w14:textId="77777777" w:rsidTr="00F813B9">
        <w:tc>
          <w:tcPr>
            <w:tcW w:w="1116" w:type="pct"/>
            <w:tcBorders>
              <w:top w:val="nil"/>
              <w:bottom w:val="single" w:sz="4" w:space="0" w:color="auto"/>
            </w:tcBorders>
            <w:shd w:val="clear" w:color="auto" w:fill="auto"/>
          </w:tcPr>
          <w:p w14:paraId="18E99A16" w14:textId="77777777" w:rsidR="00714639" w:rsidRPr="00F813B9" w:rsidRDefault="00177A73" w:rsidP="00580E2F">
            <w:pPr>
              <w:pStyle w:val="TableText0"/>
              <w:keepNext w:val="0"/>
              <w:rPr>
                <w:szCs w:val="20"/>
              </w:rPr>
            </w:pPr>
            <w:r w:rsidRPr="00F813B9">
              <w:rPr>
                <w:szCs w:val="20"/>
              </w:rPr>
              <w:t xml:space="preserve"> </w:t>
            </w:r>
            <w:r w:rsidR="00714639" w:rsidRPr="00F813B9">
              <w:rPr>
                <w:szCs w:val="20"/>
              </w:rPr>
              <w:t xml:space="preserve">Revised </w:t>
            </w:r>
            <w:r w:rsidR="00714639" w:rsidRPr="00F813B9">
              <w:rPr>
                <w:szCs w:val="20"/>
                <w:vertAlign w:val="superscript"/>
              </w:rPr>
              <w:t>a</w:t>
            </w:r>
          </w:p>
        </w:tc>
        <w:tc>
          <w:tcPr>
            <w:tcW w:w="647" w:type="pct"/>
            <w:tcBorders>
              <w:top w:val="nil"/>
              <w:bottom w:val="single" w:sz="4" w:space="0" w:color="auto"/>
            </w:tcBorders>
            <w:shd w:val="clear" w:color="auto" w:fill="auto"/>
          </w:tcPr>
          <w:p w14:paraId="54C8ECAC"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3B2C628B"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30CD4317"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4D93A5F7"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bottom w:val="single" w:sz="4" w:space="0" w:color="auto"/>
            </w:tcBorders>
            <w:shd w:val="clear" w:color="auto" w:fill="auto"/>
          </w:tcPr>
          <w:p w14:paraId="3452E20D"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top w:val="nil"/>
              <w:bottom w:val="single" w:sz="4" w:space="0" w:color="auto"/>
            </w:tcBorders>
          </w:tcPr>
          <w:p w14:paraId="6AB6E715"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r w:rsidR="006F2ADF" w:rsidRPr="00F813B9" w14:paraId="03D2EE84" w14:textId="77777777" w:rsidTr="00F813B9">
        <w:tc>
          <w:tcPr>
            <w:tcW w:w="1116" w:type="pct"/>
            <w:tcBorders>
              <w:bottom w:val="nil"/>
            </w:tcBorders>
            <w:shd w:val="clear" w:color="auto" w:fill="auto"/>
            <w:vAlign w:val="center"/>
          </w:tcPr>
          <w:p w14:paraId="0104C92D" w14:textId="77777777" w:rsidR="00714639" w:rsidRPr="00F813B9" w:rsidRDefault="00714639" w:rsidP="00580E2F">
            <w:pPr>
              <w:pStyle w:val="TableText0"/>
              <w:keepNext w:val="0"/>
              <w:rPr>
                <w:szCs w:val="20"/>
              </w:rPr>
            </w:pPr>
            <w:r w:rsidRPr="00F813B9">
              <w:rPr>
                <w:szCs w:val="20"/>
              </w:rPr>
              <w:t>Net cost to PBS/RPBS/MBS</w:t>
            </w:r>
          </w:p>
        </w:tc>
        <w:tc>
          <w:tcPr>
            <w:tcW w:w="647" w:type="pct"/>
            <w:tcBorders>
              <w:bottom w:val="nil"/>
            </w:tcBorders>
            <w:shd w:val="clear" w:color="auto" w:fill="auto"/>
            <w:vAlign w:val="center"/>
          </w:tcPr>
          <w:p w14:paraId="2FA66DD5"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1ED05DD9"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3AAD082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1B1F098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bottom w:val="nil"/>
            </w:tcBorders>
            <w:shd w:val="clear" w:color="auto" w:fill="auto"/>
            <w:vAlign w:val="center"/>
          </w:tcPr>
          <w:p w14:paraId="10BDBFDD"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bottom w:val="nil"/>
            </w:tcBorders>
            <w:vAlign w:val="center"/>
          </w:tcPr>
          <w:p w14:paraId="5A7634C2"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r w:rsidR="006F2ADF" w:rsidRPr="00F813B9" w14:paraId="4ACADFE4" w14:textId="77777777" w:rsidTr="00F813B9">
        <w:tc>
          <w:tcPr>
            <w:tcW w:w="1116" w:type="pct"/>
            <w:tcBorders>
              <w:top w:val="nil"/>
            </w:tcBorders>
            <w:shd w:val="clear" w:color="auto" w:fill="auto"/>
          </w:tcPr>
          <w:p w14:paraId="4E14F0FB" w14:textId="77777777" w:rsidR="00714639" w:rsidRPr="00F813B9" w:rsidRDefault="00177A73" w:rsidP="00580E2F">
            <w:pPr>
              <w:pStyle w:val="TableText0"/>
              <w:keepNext w:val="0"/>
              <w:rPr>
                <w:szCs w:val="20"/>
              </w:rPr>
            </w:pPr>
            <w:r w:rsidRPr="00F813B9">
              <w:rPr>
                <w:szCs w:val="20"/>
              </w:rPr>
              <w:t xml:space="preserve"> </w:t>
            </w:r>
            <w:r w:rsidR="00714639" w:rsidRPr="00F813B9">
              <w:rPr>
                <w:szCs w:val="20"/>
              </w:rPr>
              <w:t xml:space="preserve">Revised </w:t>
            </w:r>
            <w:r w:rsidR="00714639" w:rsidRPr="00F813B9">
              <w:rPr>
                <w:szCs w:val="20"/>
                <w:vertAlign w:val="superscript"/>
              </w:rPr>
              <w:t>a</w:t>
            </w:r>
          </w:p>
        </w:tc>
        <w:tc>
          <w:tcPr>
            <w:tcW w:w="647" w:type="pct"/>
            <w:tcBorders>
              <w:top w:val="nil"/>
            </w:tcBorders>
            <w:shd w:val="clear" w:color="auto" w:fill="auto"/>
          </w:tcPr>
          <w:p w14:paraId="146D9B69"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tcBorders>
            <w:shd w:val="clear" w:color="auto" w:fill="auto"/>
          </w:tcPr>
          <w:p w14:paraId="4BEFD6E6"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tcBorders>
            <w:shd w:val="clear" w:color="auto" w:fill="auto"/>
          </w:tcPr>
          <w:p w14:paraId="4B140188"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tcBorders>
            <w:shd w:val="clear" w:color="auto" w:fill="auto"/>
          </w:tcPr>
          <w:p w14:paraId="598B9F4A"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7" w:type="pct"/>
            <w:tcBorders>
              <w:top w:val="nil"/>
            </w:tcBorders>
            <w:shd w:val="clear" w:color="auto" w:fill="auto"/>
          </w:tcPr>
          <w:p w14:paraId="5C6AAE67"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c>
          <w:tcPr>
            <w:tcW w:w="649" w:type="pct"/>
            <w:tcBorders>
              <w:top w:val="nil"/>
            </w:tcBorders>
          </w:tcPr>
          <w:p w14:paraId="03B17B11" w14:textId="77777777" w:rsidR="00714639" w:rsidRPr="00F813B9" w:rsidRDefault="00714639" w:rsidP="00580E2F">
            <w:pPr>
              <w:pStyle w:val="TableText0"/>
              <w:keepNext w:val="0"/>
              <w:jc w:val="right"/>
              <w:rPr>
                <w:szCs w:val="20"/>
              </w:rPr>
            </w:pPr>
            <w:r w:rsidRPr="00F813B9">
              <w:rPr>
                <w:szCs w:val="20"/>
              </w:rPr>
              <w:t>-$</w:t>
            </w:r>
            <w:r w:rsidR="002F3D9C">
              <w:rPr>
                <w:noProof/>
                <w:color w:val="000000"/>
                <w:szCs w:val="20"/>
                <w:highlight w:val="black"/>
              </w:rPr>
              <w:t>''''''''''''''''''''''</w:t>
            </w:r>
            <w:r w:rsidR="00276F1C">
              <w:rPr>
                <w:szCs w:val="20"/>
                <w:vertAlign w:val="superscript"/>
              </w:rPr>
              <w:t>12</w:t>
            </w:r>
          </w:p>
        </w:tc>
      </w:tr>
    </w:tbl>
    <w:p w14:paraId="63FC07D1" w14:textId="77777777" w:rsidR="00714639" w:rsidRPr="00193BC1" w:rsidRDefault="00714639" w:rsidP="00580E2F">
      <w:pPr>
        <w:pStyle w:val="TableFigureFooter"/>
      </w:pPr>
      <w:r w:rsidRPr="00193BC1">
        <w:t>Source: Table 4.9, Table 4.13, Table 4.16, Table 4.20 of the submission.</w:t>
      </w:r>
    </w:p>
    <w:p w14:paraId="56C4BC89" w14:textId="77777777" w:rsidR="00714639" w:rsidRDefault="00714639" w:rsidP="00580E2F">
      <w:pPr>
        <w:pStyle w:val="TableFigureFooter"/>
      </w:pPr>
      <w:r w:rsidRPr="00193BC1">
        <w:rPr>
          <w:vertAlign w:val="superscript"/>
        </w:rPr>
        <w:t xml:space="preserve">a </w:t>
      </w:r>
      <w:r w:rsidRPr="00193BC1">
        <w:t>Revised by correcting the referenc</w:t>
      </w:r>
      <w:r w:rsidR="00361A45" w:rsidRPr="00193BC1">
        <w:t>ing</w:t>
      </w:r>
      <w:r w:rsidRPr="00193BC1">
        <w:t xml:space="preserve"> errors (regarding the uptake of dupilumab in patients receiving omalizumab)</w:t>
      </w:r>
      <w:r w:rsidR="00177A73" w:rsidRPr="00193BC1">
        <w:t xml:space="preserve"> </w:t>
      </w:r>
      <w:r w:rsidRPr="00193BC1">
        <w:t>in the financial analysis Excel workbook: Cells E203:J203 and E215:J215 in the ‘Scripts – market’ spreadsheet, “UCM-Workbook-dupilumab asthma FINAL” workbook.</w:t>
      </w:r>
    </w:p>
    <w:p w14:paraId="5481A4EA" w14:textId="77777777" w:rsidR="00AA63A2" w:rsidRDefault="00AA63A2" w:rsidP="00580E2F">
      <w:pPr>
        <w:pStyle w:val="TableFigureFooter"/>
        <w:rPr>
          <w:i/>
        </w:rPr>
      </w:pPr>
      <w:r>
        <w:rPr>
          <w:i/>
        </w:rPr>
        <w:t xml:space="preserve">The redacted values correspond to the following ranges: </w:t>
      </w:r>
    </w:p>
    <w:p w14:paraId="0CA09A59" w14:textId="77777777" w:rsidR="00AA63A2" w:rsidRDefault="00276F1C" w:rsidP="00580E2F">
      <w:pPr>
        <w:pStyle w:val="TableFigureFooter"/>
        <w:rPr>
          <w:rStyle w:val="CommentReference"/>
          <w:b w:val="0"/>
          <w:i/>
          <w:sz w:val="18"/>
          <w:szCs w:val="18"/>
        </w:rPr>
      </w:pPr>
      <w:r w:rsidRPr="00276F1C">
        <w:rPr>
          <w:rStyle w:val="CommentReference"/>
          <w:b w:val="0"/>
          <w:i/>
          <w:sz w:val="18"/>
          <w:szCs w:val="18"/>
          <w:vertAlign w:val="superscript"/>
        </w:rPr>
        <w:t>1</w:t>
      </w:r>
      <w:r w:rsidRPr="00276F1C">
        <w:rPr>
          <w:rStyle w:val="CommentReference"/>
          <w:b w:val="0"/>
          <w:i/>
          <w:sz w:val="18"/>
          <w:szCs w:val="18"/>
        </w:rPr>
        <w:t xml:space="preserve"> 500 to &lt; 5,000</w:t>
      </w:r>
    </w:p>
    <w:p w14:paraId="084E0D0C"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2</w:t>
      </w:r>
      <w:r>
        <w:rPr>
          <w:rStyle w:val="CommentReference"/>
          <w:b w:val="0"/>
          <w:i/>
          <w:sz w:val="18"/>
          <w:szCs w:val="18"/>
        </w:rPr>
        <w:t xml:space="preserve"> 5,000 to &lt; 10,000</w:t>
      </w:r>
    </w:p>
    <w:p w14:paraId="35572821"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3</w:t>
      </w:r>
      <w:r>
        <w:rPr>
          <w:rStyle w:val="CommentReference"/>
          <w:b w:val="0"/>
          <w:i/>
          <w:sz w:val="18"/>
          <w:szCs w:val="18"/>
        </w:rPr>
        <w:t xml:space="preserve"> 10,000 to &lt; 20,000</w:t>
      </w:r>
    </w:p>
    <w:p w14:paraId="6BAB3840"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4</w:t>
      </w:r>
      <w:r>
        <w:rPr>
          <w:rStyle w:val="CommentReference"/>
          <w:b w:val="0"/>
          <w:i/>
          <w:sz w:val="18"/>
          <w:szCs w:val="18"/>
        </w:rPr>
        <w:t xml:space="preserve"> 20,000 to &lt; 30,000</w:t>
      </w:r>
    </w:p>
    <w:p w14:paraId="2299ED48"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5</w:t>
      </w:r>
      <w:r>
        <w:rPr>
          <w:rStyle w:val="CommentReference"/>
          <w:b w:val="0"/>
          <w:i/>
          <w:sz w:val="18"/>
          <w:szCs w:val="18"/>
        </w:rPr>
        <w:t xml:space="preserve"> 30,000 to &lt; 40,000</w:t>
      </w:r>
    </w:p>
    <w:p w14:paraId="0630AAB7"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 xml:space="preserve">6 </w:t>
      </w:r>
      <w:r>
        <w:rPr>
          <w:rStyle w:val="CommentReference"/>
          <w:b w:val="0"/>
          <w:i/>
          <w:sz w:val="18"/>
          <w:szCs w:val="18"/>
        </w:rPr>
        <w:t>$0 to &lt; $10 million</w:t>
      </w:r>
    </w:p>
    <w:p w14:paraId="1411F3DE"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7</w:t>
      </w:r>
      <w:r>
        <w:rPr>
          <w:rStyle w:val="CommentReference"/>
          <w:b w:val="0"/>
          <w:i/>
          <w:sz w:val="18"/>
          <w:szCs w:val="18"/>
        </w:rPr>
        <w:t xml:space="preserve"> $10 million to &lt; $20 million</w:t>
      </w:r>
    </w:p>
    <w:p w14:paraId="0FC546C5"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8</w:t>
      </w:r>
      <w:r>
        <w:rPr>
          <w:rStyle w:val="CommentReference"/>
          <w:b w:val="0"/>
          <w:i/>
          <w:sz w:val="18"/>
          <w:szCs w:val="18"/>
        </w:rPr>
        <w:t xml:space="preserve"> $20 million to &lt; $30 million </w:t>
      </w:r>
    </w:p>
    <w:p w14:paraId="1E38B31C"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9</w:t>
      </w:r>
      <w:r>
        <w:rPr>
          <w:rStyle w:val="CommentReference"/>
          <w:b w:val="0"/>
          <w:i/>
          <w:sz w:val="18"/>
          <w:szCs w:val="18"/>
        </w:rPr>
        <w:t xml:space="preserve"> $30 million to &lt; $40 million</w:t>
      </w:r>
    </w:p>
    <w:p w14:paraId="003BEDDA"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t>10</w:t>
      </w:r>
      <w:r>
        <w:rPr>
          <w:rStyle w:val="CommentReference"/>
          <w:b w:val="0"/>
          <w:i/>
          <w:sz w:val="18"/>
          <w:szCs w:val="18"/>
        </w:rPr>
        <w:t xml:space="preserve"> $40 million to &lt; $50 million </w:t>
      </w:r>
    </w:p>
    <w:p w14:paraId="16206BE9" w14:textId="77777777" w:rsidR="00276F1C" w:rsidRDefault="00276F1C" w:rsidP="00580E2F">
      <w:pPr>
        <w:pStyle w:val="TableFigureFooter"/>
        <w:rPr>
          <w:rStyle w:val="CommentReference"/>
          <w:b w:val="0"/>
          <w:i/>
          <w:sz w:val="18"/>
          <w:szCs w:val="18"/>
        </w:rPr>
      </w:pPr>
      <w:r>
        <w:rPr>
          <w:rStyle w:val="CommentReference"/>
          <w:b w:val="0"/>
          <w:i/>
          <w:sz w:val="18"/>
          <w:szCs w:val="18"/>
          <w:vertAlign w:val="superscript"/>
        </w:rPr>
        <w:lastRenderedPageBreak/>
        <w:t>11</w:t>
      </w:r>
      <w:r>
        <w:rPr>
          <w:rStyle w:val="CommentReference"/>
          <w:b w:val="0"/>
          <w:i/>
          <w:sz w:val="18"/>
          <w:szCs w:val="18"/>
        </w:rPr>
        <w:t xml:space="preserve"> $50 million to &lt; $60 million </w:t>
      </w:r>
    </w:p>
    <w:p w14:paraId="74D88775" w14:textId="77777777" w:rsidR="00276F1C" w:rsidRPr="00276F1C" w:rsidRDefault="00276F1C" w:rsidP="00580E2F">
      <w:pPr>
        <w:pStyle w:val="TableFigureFooter"/>
        <w:rPr>
          <w:rStyle w:val="CommentReference"/>
          <w:b w:val="0"/>
          <w:i/>
          <w:sz w:val="18"/>
          <w:szCs w:val="18"/>
        </w:rPr>
      </w:pPr>
      <w:r>
        <w:rPr>
          <w:rStyle w:val="CommentReference"/>
          <w:b w:val="0"/>
          <w:i/>
          <w:sz w:val="18"/>
          <w:szCs w:val="18"/>
          <w:vertAlign w:val="superscript"/>
        </w:rPr>
        <w:t>12</w:t>
      </w:r>
      <w:r>
        <w:rPr>
          <w:rStyle w:val="CommentReference"/>
          <w:b w:val="0"/>
          <w:i/>
          <w:sz w:val="18"/>
          <w:szCs w:val="18"/>
        </w:rPr>
        <w:t xml:space="preserve"> Net cost saving</w:t>
      </w:r>
    </w:p>
    <w:p w14:paraId="31D19C75" w14:textId="77777777" w:rsidR="00714639" w:rsidRPr="00193BC1" w:rsidRDefault="00714639" w:rsidP="001716E0">
      <w:pPr>
        <w:pStyle w:val="3-BodyText"/>
      </w:pPr>
      <w:r w:rsidRPr="00193BC1">
        <w:t xml:space="preserve">It was estimated that the listing of dupilumab would result in a net cost saving to the PBS/RPBS in Year 6, and a total of </w:t>
      </w:r>
      <w:r w:rsidR="003D53AE">
        <w:t>$0 to &lt; $10 million savings</w:t>
      </w:r>
      <w:r w:rsidRPr="00193BC1">
        <w:t xml:space="preserve"> in the first 6 years of listing.</w:t>
      </w:r>
      <w:r w:rsidR="00177A73" w:rsidRPr="00193BC1">
        <w:t xml:space="preserve"> </w:t>
      </w:r>
      <w:r w:rsidRPr="00193BC1">
        <w:t>This was based on the proposed published price for dupilumab and the PBS-listed prices for benralizumab, mepolizumab and omalizumab</w:t>
      </w:r>
      <w:r w:rsidR="00193BC1">
        <w:t xml:space="preserve">. </w:t>
      </w:r>
    </w:p>
    <w:p w14:paraId="516BF16B" w14:textId="77777777" w:rsidR="0031365F" w:rsidRPr="00193BC1" w:rsidRDefault="00714639" w:rsidP="00F94D70">
      <w:pPr>
        <w:pStyle w:val="3-BodyText"/>
        <w:rPr>
          <w:snapToGrid w:val="0"/>
        </w:rPr>
      </w:pPr>
      <w:bookmarkStart w:id="43" w:name="_Toc22897648"/>
      <w:bookmarkStart w:id="44" w:name="_Toc22898860"/>
      <w:r w:rsidRPr="00193BC1">
        <w:rPr>
          <w:snapToGrid w:val="0"/>
        </w:rPr>
        <w:t>The estimated net cost saving to the PBS/RPBS was primarily due to the higher dosage for omalizumab used in the financial analysis (based on the 10% PBS sample data) compared with that used in the cost-minimisation analysis (from Trial INNOVATE) (</w:t>
      </w:r>
      <w:r w:rsidR="00BC42CF" w:rsidRPr="00193BC1">
        <w:rPr>
          <w:snapToGrid w:val="0"/>
        </w:rPr>
        <w:t>545.5</w:t>
      </w:r>
      <w:r w:rsidR="00EB2488" w:rsidRPr="00193BC1">
        <w:rPr>
          <w:snapToGrid w:val="0"/>
        </w:rPr>
        <w:t xml:space="preserve"> </w:t>
      </w:r>
      <w:r w:rsidR="00BC42CF" w:rsidRPr="00193BC1">
        <w:rPr>
          <w:snapToGrid w:val="0"/>
        </w:rPr>
        <w:t>mg</w:t>
      </w:r>
      <w:r w:rsidRPr="00193BC1">
        <w:rPr>
          <w:snapToGrid w:val="0"/>
        </w:rPr>
        <w:t xml:space="preserve"> vs. </w:t>
      </w:r>
      <w:r w:rsidR="00BC42CF" w:rsidRPr="00193BC1">
        <w:rPr>
          <w:snapToGrid w:val="0"/>
        </w:rPr>
        <w:t>398</w:t>
      </w:r>
      <w:r w:rsidR="00EB2488" w:rsidRPr="00193BC1">
        <w:rPr>
          <w:snapToGrid w:val="0"/>
        </w:rPr>
        <w:t xml:space="preserve"> </w:t>
      </w:r>
      <w:r w:rsidR="00BC42CF" w:rsidRPr="00193BC1">
        <w:rPr>
          <w:snapToGrid w:val="0"/>
        </w:rPr>
        <w:t xml:space="preserve">mg). </w:t>
      </w:r>
      <w:r w:rsidRPr="00193BC1">
        <w:rPr>
          <w:snapToGrid w:val="0"/>
        </w:rPr>
        <w:t xml:space="preserve">This resulted in a greater cost offset associated with the substitution of omalizumab therapy with dupilumab therapy for treatment of uncontrolled severe allergic asthma. However, the </w:t>
      </w:r>
      <w:r w:rsidR="00E51ACF" w:rsidRPr="00193BC1">
        <w:rPr>
          <w:snapToGrid w:val="0"/>
        </w:rPr>
        <w:t xml:space="preserve">ESC agreed with the evaluation that the </w:t>
      </w:r>
      <w:r w:rsidRPr="00193BC1">
        <w:rPr>
          <w:snapToGrid w:val="0"/>
        </w:rPr>
        <w:t xml:space="preserve">assumed net cost saving to the PBS/RPBS might not </w:t>
      </w:r>
      <w:r w:rsidR="004E0BB5" w:rsidRPr="00193BC1">
        <w:rPr>
          <w:snapToGrid w:val="0"/>
        </w:rPr>
        <w:t xml:space="preserve">be </w:t>
      </w:r>
      <w:r w:rsidRPr="00193BC1">
        <w:rPr>
          <w:snapToGrid w:val="0"/>
        </w:rPr>
        <w:t>realise</w:t>
      </w:r>
      <w:r w:rsidR="004E0BB5" w:rsidRPr="00193BC1">
        <w:rPr>
          <w:snapToGrid w:val="0"/>
        </w:rPr>
        <w:t>d</w:t>
      </w:r>
      <w:r w:rsidRPr="00193BC1">
        <w:rPr>
          <w:snapToGrid w:val="0"/>
        </w:rPr>
        <w:t xml:space="preserve"> in clinical practice if the reimbursement of dupilumab accelerates the growth of </w:t>
      </w:r>
      <w:r w:rsidR="005565D1" w:rsidRPr="00193BC1">
        <w:rPr>
          <w:snapToGrid w:val="0"/>
        </w:rPr>
        <w:t xml:space="preserve">the </w:t>
      </w:r>
      <w:r w:rsidRPr="00193BC1">
        <w:rPr>
          <w:snapToGrid w:val="0"/>
        </w:rPr>
        <w:t>asthma biologic market.</w:t>
      </w:r>
      <w:r w:rsidR="00B41156" w:rsidRPr="00193BC1">
        <w:rPr>
          <w:snapToGrid w:val="0"/>
        </w:rPr>
        <w:t xml:space="preserve"> </w:t>
      </w:r>
    </w:p>
    <w:p w14:paraId="35198990" w14:textId="77777777" w:rsidR="00714639" w:rsidRPr="00193BC1" w:rsidRDefault="0031365F" w:rsidP="00F94D70">
      <w:pPr>
        <w:pStyle w:val="3-BodyText"/>
        <w:rPr>
          <w:snapToGrid w:val="0"/>
        </w:rPr>
      </w:pPr>
      <w:r w:rsidRPr="00193BC1">
        <w:rPr>
          <w:snapToGrid w:val="0"/>
        </w:rPr>
        <w:t>The PBAC noted that the financial estimates would need to be recalculated to take into account the outcome of its considerations regarding the cost-minimisation analysis.</w:t>
      </w:r>
    </w:p>
    <w:p w14:paraId="2FBF1E2C" w14:textId="77777777" w:rsidR="00714639" w:rsidRPr="00193BC1" w:rsidRDefault="00714639" w:rsidP="00580E2F">
      <w:pPr>
        <w:pStyle w:val="4-SubsectionHeading"/>
        <w:keepNext w:val="0"/>
      </w:pPr>
      <w:bookmarkStart w:id="45" w:name="_Toc50399846"/>
      <w:r w:rsidRPr="00193BC1">
        <w:t>Quality Use of Medicines</w:t>
      </w:r>
      <w:bookmarkEnd w:id="43"/>
      <w:bookmarkEnd w:id="44"/>
      <w:bookmarkEnd w:id="45"/>
    </w:p>
    <w:p w14:paraId="51F5550D" w14:textId="77777777" w:rsidR="00714639" w:rsidRPr="00193BC1" w:rsidRDefault="00714639" w:rsidP="000C626C">
      <w:pPr>
        <w:pStyle w:val="3-BodyText"/>
      </w:pPr>
      <w:bookmarkStart w:id="46" w:name="_Toc22897649"/>
      <w:bookmarkStart w:id="47" w:name="_Toc22898861"/>
      <w:r w:rsidRPr="00193BC1">
        <w:t>The submission outlined a number of activities to promote the safe and effective use of dupilumab in clinical practice, such as conducting health care professional educational meeting</w:t>
      </w:r>
      <w:r w:rsidR="00573F37" w:rsidRPr="00193BC1">
        <w:t>s</w:t>
      </w:r>
      <w:r w:rsidRPr="00193BC1">
        <w:t xml:space="preserve">, developing clinician and patient educational materials, and supporting the development of clinical research networks and registers to assist the clinical management of patients with severe asthma and to facilitate </w:t>
      </w:r>
      <w:r w:rsidR="00BB341A" w:rsidRPr="00193BC1">
        <w:t xml:space="preserve">a </w:t>
      </w:r>
      <w:r w:rsidRPr="00193BC1">
        <w:t xml:space="preserve">post-marketing surveillance study. </w:t>
      </w:r>
    </w:p>
    <w:p w14:paraId="4BCCB01C" w14:textId="77777777" w:rsidR="00B805AB" w:rsidRPr="00193BC1" w:rsidRDefault="00B805AB" w:rsidP="00804D6B">
      <w:pPr>
        <w:tabs>
          <w:tab w:val="center" w:pos="4153"/>
          <w:tab w:val="right" w:pos="8306"/>
        </w:tabs>
        <w:autoSpaceDE w:val="0"/>
        <w:autoSpaceDN w:val="0"/>
        <w:adjustRightInd w:val="0"/>
      </w:pPr>
      <w:r w:rsidRPr="00193BC1">
        <w:rPr>
          <w:rFonts w:asciiTheme="minorHAnsi" w:hAnsiTheme="minorHAnsi" w:cstheme="minorHAnsi"/>
          <w:i/>
          <w:iCs/>
        </w:rPr>
        <w:t>For more detail on PBAC’s view, see section 7 PBAC outcome.</w:t>
      </w:r>
    </w:p>
    <w:p w14:paraId="068CFA97" w14:textId="77777777" w:rsidR="00814CED" w:rsidRPr="00193BC1" w:rsidRDefault="00814CED" w:rsidP="00814CED">
      <w:pPr>
        <w:pStyle w:val="2-SectionHeading"/>
      </w:pPr>
      <w:r w:rsidRPr="00193BC1">
        <w:t>PBAC Outcome</w:t>
      </w:r>
    </w:p>
    <w:p w14:paraId="69763337" w14:textId="77777777" w:rsidR="00C26C0E" w:rsidRPr="00193BC1" w:rsidRDefault="002E3B3C" w:rsidP="002E3B3C">
      <w:pPr>
        <w:pStyle w:val="3-BodyText"/>
        <w:rPr>
          <w:snapToGrid w:val="0"/>
        </w:rPr>
      </w:pPr>
      <w:r w:rsidRPr="00193BC1">
        <w:rPr>
          <w:snapToGrid w:val="0"/>
        </w:rPr>
        <w:t xml:space="preserve">The PBAC recommended the Section 100 Highly Specialised Drug Program Authority Required (in writing) listing of dupilumab for the treatment of </w:t>
      </w:r>
      <w:r w:rsidR="00687F84" w:rsidRPr="00193BC1">
        <w:t>uncontrolled severe eosinophilic or allergic asthma,</w:t>
      </w:r>
      <w:r w:rsidR="00687F84" w:rsidRPr="00193BC1">
        <w:rPr>
          <w:snapToGrid w:val="0"/>
        </w:rPr>
        <w:t xml:space="preserve"> </w:t>
      </w:r>
      <w:r w:rsidR="00C26C0E" w:rsidRPr="00193BC1">
        <w:rPr>
          <w:snapToGrid w:val="0"/>
        </w:rPr>
        <w:t xml:space="preserve">both with and without oral corticosteroid (OCS) dependence. </w:t>
      </w:r>
    </w:p>
    <w:p w14:paraId="7697C64E" w14:textId="231FB9DE" w:rsidR="00C26C0E" w:rsidRPr="00193BC1" w:rsidRDefault="00C26C0E" w:rsidP="00C26C0E">
      <w:pPr>
        <w:pStyle w:val="3-BodyText"/>
      </w:pPr>
      <w:r w:rsidRPr="00193BC1">
        <w:t>The PBAC’s recommendation for listing was based on, among other matters, it</w:t>
      </w:r>
      <w:r w:rsidR="00071570" w:rsidRPr="00193BC1">
        <w:t>s assessment</w:t>
      </w:r>
      <w:r w:rsidRPr="00193BC1">
        <w:t xml:space="preserve"> that the cost-effectiveness of dupilumab would be acceptable if it were cost-minimised against </w:t>
      </w:r>
      <w:r w:rsidR="00071570" w:rsidRPr="00193BC1">
        <w:t xml:space="preserve">the least costly biologic for asthma </w:t>
      </w:r>
      <w:r w:rsidR="00B34788" w:rsidRPr="00193BC1">
        <w:t>over</w:t>
      </w:r>
      <w:r w:rsidR="00071570" w:rsidRPr="00193BC1">
        <w:t xml:space="preserve"> a 1-year time frame</w:t>
      </w:r>
      <w:r w:rsidR="009C3B47">
        <w:t>.</w:t>
      </w:r>
    </w:p>
    <w:p w14:paraId="379F8BCF" w14:textId="77777777" w:rsidR="002E3B3C" w:rsidRPr="00193BC1" w:rsidRDefault="00B34788" w:rsidP="002E3B3C">
      <w:pPr>
        <w:pStyle w:val="3-BodyText"/>
      </w:pPr>
      <w:r w:rsidRPr="00193BC1">
        <w:rPr>
          <w:iCs/>
        </w:rPr>
        <w:t xml:space="preserve">The PBAC noted the input from individuals, health care professionals and organisations supporting the listing of dupilumab for this indication. </w:t>
      </w:r>
    </w:p>
    <w:p w14:paraId="7EC34635" w14:textId="77777777" w:rsidR="00B34788" w:rsidRPr="00193BC1" w:rsidRDefault="00B34788" w:rsidP="002E3B3C">
      <w:pPr>
        <w:pStyle w:val="3-BodyText"/>
      </w:pPr>
      <w:r w:rsidRPr="00193BC1">
        <w:rPr>
          <w:iCs/>
        </w:rPr>
        <w:t xml:space="preserve">The PBAC noted </w:t>
      </w:r>
      <w:r w:rsidR="007F0E70" w:rsidRPr="00193BC1">
        <w:rPr>
          <w:iCs/>
        </w:rPr>
        <w:t>that the PBS indication requested was uncontrolled severe type 2 asthma with or without OCS dependence depending on the dupilum</w:t>
      </w:r>
      <w:r w:rsidR="009F4ABD" w:rsidRPr="00193BC1">
        <w:rPr>
          <w:iCs/>
        </w:rPr>
        <w:t xml:space="preserve">ab </w:t>
      </w:r>
      <w:r w:rsidR="00687F84" w:rsidRPr="00193BC1">
        <w:rPr>
          <w:iCs/>
        </w:rPr>
        <w:t>strength</w:t>
      </w:r>
      <w:r w:rsidR="007F0E70" w:rsidRPr="00193BC1">
        <w:rPr>
          <w:iCs/>
        </w:rPr>
        <w:t xml:space="preserve">. As </w:t>
      </w:r>
      <w:r w:rsidR="007F0E70" w:rsidRPr="00193BC1">
        <w:rPr>
          <w:iCs/>
        </w:rPr>
        <w:lastRenderedPageBreak/>
        <w:t xml:space="preserve">outlined in paragraph 3.4, the PBAC noted that the </w:t>
      </w:r>
      <w:r w:rsidR="009F4ABD" w:rsidRPr="00193BC1">
        <w:rPr>
          <w:iCs/>
        </w:rPr>
        <w:t xml:space="preserve">proposed restrictions included the </w:t>
      </w:r>
      <w:r w:rsidR="007F0E70" w:rsidRPr="00193BC1">
        <w:rPr>
          <w:iCs/>
        </w:rPr>
        <w:t>same measure</w:t>
      </w:r>
      <w:r w:rsidR="009F4ABD" w:rsidRPr="00193BC1">
        <w:rPr>
          <w:iCs/>
        </w:rPr>
        <w:t xml:space="preserve"> of IgE as that in the omalizumab restriction for severe allergic asthma and the same measures of eosinophils as in the mepolizumab and benralizumab restrictions for severe eosinophilic asthma. The PBAC agreed with the ESC that the PBS indication should be amended to ‘</w:t>
      </w:r>
      <w:r w:rsidR="009F4ABD" w:rsidRPr="00193BC1">
        <w:t xml:space="preserve">uncontrolled severe eosinophilic or allergic asthma’ with reference to oral corticosteroid dependence reserved for the clinical criteria of the 300 mg dupilumab formulation. The PBAC also agreed with the ESC that it would be appropriate to include the definition of OCS dependence from the VENTURE trial in the clinical criteria of the 300 mg dupilumab formulation. The PBAC considered that as </w:t>
      </w:r>
      <w:r w:rsidR="008C6623" w:rsidRPr="00193BC1">
        <w:t xml:space="preserve">patients taking OCS are not excluded from using the 200 mg dupilumab formulation the clinical criteria ‘Patient must have blood </w:t>
      </w:r>
      <w:r w:rsidR="00C0147A" w:rsidRPr="00193BC1">
        <w:t>eosinophil</w:t>
      </w:r>
      <w:r w:rsidR="008C6623" w:rsidRPr="00193BC1">
        <w:t xml:space="preserve"> count greater than or equal to 150 cells per microliter while receiving treatment with oral corticosteroids in the last 12 months’ could be retained for consistency with the existing </w:t>
      </w:r>
      <w:r w:rsidR="008C6623" w:rsidRPr="00193BC1">
        <w:rPr>
          <w:iCs/>
        </w:rPr>
        <w:t>mepolizumab and benralizumab restrictions.</w:t>
      </w:r>
    </w:p>
    <w:p w14:paraId="2469606F" w14:textId="77777777" w:rsidR="008C6623" w:rsidRPr="00193BC1" w:rsidRDefault="00D103B8" w:rsidP="002E3B3C">
      <w:pPr>
        <w:pStyle w:val="3-BodyText"/>
      </w:pPr>
      <w:r w:rsidRPr="00193BC1">
        <w:t xml:space="preserve">The PBAC considered the </w:t>
      </w:r>
      <w:r w:rsidR="00B32489" w:rsidRPr="00193BC1">
        <w:t xml:space="preserve">three </w:t>
      </w:r>
      <w:r w:rsidRPr="00193BC1">
        <w:t xml:space="preserve">nominated comparators of benralizumab, mepolizumab and omalizumab </w:t>
      </w:r>
      <w:r w:rsidR="00B32489" w:rsidRPr="00193BC1">
        <w:t xml:space="preserve">were </w:t>
      </w:r>
      <w:r w:rsidRPr="00193BC1">
        <w:t>appropriate.</w:t>
      </w:r>
    </w:p>
    <w:p w14:paraId="79A53B7E" w14:textId="77777777" w:rsidR="00804D6B" w:rsidRPr="00193BC1" w:rsidRDefault="002522A6" w:rsidP="00804D6B">
      <w:pPr>
        <w:pStyle w:val="3-BodyText"/>
      </w:pPr>
      <w:r w:rsidRPr="00193BC1">
        <w:t xml:space="preserve">The </w:t>
      </w:r>
      <w:r w:rsidR="00B9216F" w:rsidRPr="00193BC1">
        <w:t xml:space="preserve">PBAC noted </w:t>
      </w:r>
      <w:r w:rsidRPr="00193BC1">
        <w:t xml:space="preserve">the </w:t>
      </w:r>
      <w:r w:rsidR="00AE3D82" w:rsidRPr="00193BC1">
        <w:t xml:space="preserve">submission presented </w:t>
      </w:r>
      <w:r w:rsidRPr="00193BC1">
        <w:t xml:space="preserve">indirect treatment comparisons (ITCs) </w:t>
      </w:r>
      <w:r w:rsidR="0031365F" w:rsidRPr="00193BC1">
        <w:t xml:space="preserve">which </w:t>
      </w:r>
      <w:r w:rsidRPr="00193BC1">
        <w:t>compared the efficacy of dupilumab with the three comparators</w:t>
      </w:r>
      <w:r w:rsidR="00193BC1">
        <w:t xml:space="preserve">. </w:t>
      </w:r>
      <w:r w:rsidR="00F23872" w:rsidRPr="00193BC1">
        <w:t>The PBAC noted that subgroup data from</w:t>
      </w:r>
      <w:r w:rsidR="009E6731" w:rsidRPr="00193BC1">
        <w:t xml:space="preserve"> t</w:t>
      </w:r>
      <w:r w:rsidR="00F23872" w:rsidRPr="00193BC1">
        <w:t>h</w:t>
      </w:r>
      <w:r w:rsidR="009E6731" w:rsidRPr="00193BC1">
        <w:t>e</w:t>
      </w:r>
      <w:r w:rsidR="00F23872" w:rsidRPr="00193BC1">
        <w:t xml:space="preserve"> dupilumab trials were matched with subgroup data from the comparator trials </w:t>
      </w:r>
      <w:r w:rsidR="00687F84" w:rsidRPr="00193BC1">
        <w:t xml:space="preserve">to reduce observed heterogeneity </w:t>
      </w:r>
      <w:r w:rsidR="00F23872" w:rsidRPr="00193BC1">
        <w:t xml:space="preserve">and Bucher pairwise ITCs were performed. </w:t>
      </w:r>
      <w:r w:rsidR="009E6731" w:rsidRPr="00193BC1">
        <w:t>The PBAC agreed with the ESC that a key issue was that, despite the additional matching, the transitivity of the comparisons pres</w:t>
      </w:r>
      <w:r w:rsidR="00AE3D82" w:rsidRPr="00193BC1">
        <w:t>ented in the submission was</w:t>
      </w:r>
      <w:r w:rsidR="009E6731" w:rsidRPr="00193BC1">
        <w:t xml:space="preserve"> uncertain as the comparator populations generally had a more severe form of asthma compared to the dupilumab populations</w:t>
      </w:r>
      <w:r w:rsidR="00575B6B" w:rsidRPr="00193BC1">
        <w:t xml:space="preserve"> (see paragraph 6.20)</w:t>
      </w:r>
      <w:r w:rsidR="009E6731" w:rsidRPr="00193BC1">
        <w:t>. In addition</w:t>
      </w:r>
      <w:r w:rsidR="00AE3D82" w:rsidRPr="00193BC1">
        <w:t xml:space="preserve">, </w:t>
      </w:r>
      <w:r w:rsidR="009E6731" w:rsidRPr="00193BC1">
        <w:t xml:space="preserve">the </w:t>
      </w:r>
      <w:r w:rsidR="00AE3D82" w:rsidRPr="00193BC1">
        <w:t xml:space="preserve">PBAC agreed with the evaluation that selecting better matched sub-groups </w:t>
      </w:r>
      <w:r w:rsidR="00804D6B" w:rsidRPr="00193BC1">
        <w:t>in terms of prior number of severe exacerbations (see paragraph 6.1</w:t>
      </w:r>
      <w:r w:rsidR="00575B6B" w:rsidRPr="00193BC1">
        <w:t>3</w:t>
      </w:r>
      <w:r w:rsidR="00804D6B" w:rsidRPr="00193BC1">
        <w:t xml:space="preserve">) raised concerns regarding applicability to the target Australian population. The PBAC noted the supplementary ITCs (ITC 1a and ITC 2a) </w:t>
      </w:r>
      <w:r w:rsidR="00EE0E88" w:rsidRPr="00193BC1">
        <w:t xml:space="preserve">provided in the pre-PBAC response </w:t>
      </w:r>
      <w:r w:rsidR="00804D6B" w:rsidRPr="00193BC1">
        <w:t xml:space="preserve">to address concerns raised </w:t>
      </w:r>
      <w:r w:rsidR="00EE0E88" w:rsidRPr="00193BC1">
        <w:t>regarding the inclusion of medium-dose ICS patients and the exclusion of patients who experienced one severe exacerbation in t</w:t>
      </w:r>
      <w:r w:rsidR="00575B6B" w:rsidRPr="00193BC1">
        <w:t>he previous year (see paragraph</w:t>
      </w:r>
      <w:r w:rsidR="00EE0E88" w:rsidRPr="00193BC1">
        <w:t xml:space="preserve"> 6.21</w:t>
      </w:r>
      <w:r w:rsidR="00804D6B" w:rsidRPr="00193BC1">
        <w:t>).</w:t>
      </w:r>
      <w:r w:rsidR="00EE0E88" w:rsidRPr="00193BC1">
        <w:t xml:space="preserve"> The PBAC also noted the allergic asthma sensitivity analysis ITC (ITC 3a) highlighted in the pre-PBAC </w:t>
      </w:r>
      <w:r w:rsidR="00C0147A" w:rsidRPr="00193BC1">
        <w:t>response</w:t>
      </w:r>
      <w:r w:rsidR="00EE0E88" w:rsidRPr="00193BC1">
        <w:t xml:space="preserve"> which provided a comparison in a population likely more applicable to the target Australian population than that presented in ITC 3 (see paragraph 6.22).</w:t>
      </w:r>
      <w:r w:rsidR="00804D6B" w:rsidRPr="00193BC1">
        <w:t xml:space="preserve"> Overall, the PBAC considered that the claim of non-inferior comparative effectiveness was uncertain but reasonable. </w:t>
      </w:r>
    </w:p>
    <w:p w14:paraId="52E84151" w14:textId="77777777" w:rsidR="00804D6B" w:rsidRPr="00193BC1" w:rsidRDefault="00804D6B" w:rsidP="00804D6B">
      <w:pPr>
        <w:pStyle w:val="3-BodyText"/>
      </w:pPr>
      <w:r w:rsidRPr="00193BC1">
        <w:t>The PBAC considered that the claim of non-inferior comparative safety was reasonable.</w:t>
      </w:r>
    </w:p>
    <w:p w14:paraId="331E93AC" w14:textId="77777777" w:rsidR="00045774" w:rsidRPr="00193BC1" w:rsidRDefault="009869E6" w:rsidP="00F94D70">
      <w:pPr>
        <w:pStyle w:val="3-BodyText"/>
      </w:pPr>
      <w:r w:rsidRPr="00193BC1">
        <w:t xml:space="preserve">The PBAC noted that the submission presented a cost-minimisation analysis of dupilumab versus </w:t>
      </w:r>
      <w:r w:rsidR="00246DF1" w:rsidRPr="00193BC1">
        <w:t xml:space="preserve">a weighted combination of </w:t>
      </w:r>
      <w:r w:rsidRPr="00193BC1">
        <w:t>the nominated comparators</w:t>
      </w:r>
      <w:r w:rsidR="005308BC" w:rsidRPr="00193BC1">
        <w:t xml:space="preserve">. </w:t>
      </w:r>
      <w:r w:rsidR="00246DF1" w:rsidRPr="00193BC1">
        <w:t xml:space="preserve">The PBAC noted that the </w:t>
      </w:r>
      <w:r w:rsidR="00FE1030" w:rsidRPr="00193BC1">
        <w:t>analysis</w:t>
      </w:r>
      <w:r w:rsidR="00246DF1" w:rsidRPr="00193BC1">
        <w:t xml:space="preserve"> was weighted using a ratio of 68.3%:31.7% for eosinophilic asthma versus allergic asthma</w:t>
      </w:r>
      <w:r w:rsidR="00B32489" w:rsidRPr="00193BC1">
        <w:t>,</w:t>
      </w:r>
      <w:r w:rsidR="00246DF1" w:rsidRPr="00193BC1">
        <w:t xml:space="preserve"> with </w:t>
      </w:r>
      <w:r w:rsidR="00B32489" w:rsidRPr="00193BC1">
        <w:t xml:space="preserve">the </w:t>
      </w:r>
      <w:r w:rsidR="00246DF1" w:rsidRPr="00193BC1">
        <w:t>eosinophilic asthma patient</w:t>
      </w:r>
      <w:r w:rsidR="00B32489" w:rsidRPr="00193BC1">
        <w:t xml:space="preserve"> group being subject to a further weighting with</w:t>
      </w:r>
      <w:r w:rsidR="00246DF1" w:rsidRPr="00193BC1">
        <w:t xml:space="preserve"> </w:t>
      </w:r>
      <w:r w:rsidR="00B32489" w:rsidRPr="00193BC1">
        <w:t xml:space="preserve">42.1% </w:t>
      </w:r>
      <w:r w:rsidR="00246DF1" w:rsidRPr="00193BC1">
        <w:t>assumed to re</w:t>
      </w:r>
      <w:r w:rsidR="00A81295" w:rsidRPr="00193BC1">
        <w:t xml:space="preserve">ceive benralizumab (see Table </w:t>
      </w:r>
      <w:r w:rsidR="00A81295" w:rsidRPr="00193BC1">
        <w:lastRenderedPageBreak/>
        <w:t>13</w:t>
      </w:r>
      <w:r w:rsidR="00246DF1" w:rsidRPr="00193BC1">
        <w:t xml:space="preserve">). </w:t>
      </w:r>
      <w:r w:rsidR="00F2205D" w:rsidRPr="00F2205D">
        <w:t>The PBAC recalled that omalizumab, mepolizumab and benralizumab for the treatment of severe asthma were cost-minimised to each other and considered that the cost-minimisation analysis should be against the least costly biologic for asthma rather than a weighted combination of the nominated comparators.</w:t>
      </w:r>
    </w:p>
    <w:p w14:paraId="3713FFC2" w14:textId="77777777" w:rsidR="00076D56" w:rsidRPr="00193BC1" w:rsidRDefault="000824DC" w:rsidP="00F94D70">
      <w:pPr>
        <w:pStyle w:val="3-BodyText"/>
      </w:pPr>
      <w:r w:rsidRPr="00193BC1">
        <w:t>In addition, the PBAC noted that therapies were</w:t>
      </w:r>
      <w:r w:rsidR="002721F0" w:rsidRPr="00193BC1">
        <w:t xml:space="preserve"> costed over three</w:t>
      </w:r>
      <w:r w:rsidRPr="00193BC1">
        <w:t xml:space="preserve"> years</w:t>
      </w:r>
      <w:r w:rsidR="00A81295" w:rsidRPr="00193BC1">
        <w:t xml:space="preserve"> with loading dose(s) for</w:t>
      </w:r>
      <w:r w:rsidR="00FE1030" w:rsidRPr="00193BC1">
        <w:t xml:space="preserve"> dupilumab and benralizumab taken into account. The PBAC noted that the 3 year</w:t>
      </w:r>
      <w:r w:rsidRPr="00193BC1">
        <w:t xml:space="preserve"> time frame was longer than the treatment duration in the dupilumab </w:t>
      </w:r>
      <w:r w:rsidR="00811842" w:rsidRPr="00193BC1">
        <w:t xml:space="preserve">(24-52 weeks) </w:t>
      </w:r>
      <w:r w:rsidRPr="00193BC1">
        <w:t>and comparator</w:t>
      </w:r>
      <w:r w:rsidR="00811842" w:rsidRPr="00193BC1">
        <w:t xml:space="preserve"> (24-56 weeks)</w:t>
      </w:r>
      <w:r w:rsidRPr="00193BC1">
        <w:t xml:space="preserve"> clin</w:t>
      </w:r>
      <w:r w:rsidR="00811842" w:rsidRPr="00193BC1">
        <w:t xml:space="preserve">ical trials. </w:t>
      </w:r>
      <w:r w:rsidR="00076D56" w:rsidRPr="00193BC1">
        <w:t xml:space="preserve">The PBAC recalled that it had recommended a </w:t>
      </w:r>
      <w:r w:rsidR="002721F0" w:rsidRPr="00193BC1">
        <w:t xml:space="preserve">one </w:t>
      </w:r>
      <w:r w:rsidR="00811842" w:rsidRPr="00193BC1">
        <w:t xml:space="preserve">year time horizon </w:t>
      </w:r>
      <w:r w:rsidR="00076D56" w:rsidRPr="00193BC1">
        <w:t xml:space="preserve">in its </w:t>
      </w:r>
      <w:r w:rsidR="00811842" w:rsidRPr="00193BC1">
        <w:t xml:space="preserve">March 2018 </w:t>
      </w:r>
      <w:r w:rsidR="00076D56" w:rsidRPr="00193BC1">
        <w:t>consideration of</w:t>
      </w:r>
      <w:r w:rsidR="00811842" w:rsidRPr="00193BC1">
        <w:t xml:space="preserve"> benralizumab </w:t>
      </w:r>
      <w:r w:rsidR="00076D56" w:rsidRPr="00193BC1">
        <w:t xml:space="preserve">as it aligned with the duration of the key trials </w:t>
      </w:r>
      <w:r w:rsidR="00811842" w:rsidRPr="00193BC1">
        <w:t xml:space="preserve">(paragraphs 6.48 and 7.11, benralizumab, PSD, March 2018 PBAC meeting). </w:t>
      </w:r>
      <w:r w:rsidR="00FE1030" w:rsidRPr="00193BC1">
        <w:t>The PBAC advised that dupilumab and its compar</w:t>
      </w:r>
      <w:r w:rsidR="002721F0" w:rsidRPr="00193BC1">
        <w:t xml:space="preserve">ators should be costed over a one </w:t>
      </w:r>
      <w:r w:rsidR="00FE1030" w:rsidRPr="00193BC1">
        <w:t xml:space="preserve">year time horizon with the loading dose for dupilumab and benralizumab included. </w:t>
      </w:r>
    </w:p>
    <w:p w14:paraId="154779E4" w14:textId="77777777" w:rsidR="00076D56" w:rsidRPr="00193BC1" w:rsidRDefault="00076D56" w:rsidP="00076D56">
      <w:pPr>
        <w:pStyle w:val="3-BodyText"/>
      </w:pPr>
      <w:r w:rsidRPr="00193BC1">
        <w:t>T</w:t>
      </w:r>
      <w:r w:rsidR="002721F0" w:rsidRPr="00193BC1">
        <w:t xml:space="preserve">hus, the </w:t>
      </w:r>
      <w:r w:rsidRPr="00193BC1">
        <w:t xml:space="preserve">PBAC </w:t>
      </w:r>
      <w:r w:rsidR="002721F0" w:rsidRPr="00193BC1">
        <w:t xml:space="preserve">considered the </w:t>
      </w:r>
      <w:r w:rsidRPr="00193BC1">
        <w:t xml:space="preserve">equi-effective doses </w:t>
      </w:r>
      <w:r w:rsidR="002721F0" w:rsidRPr="00193BC1">
        <w:t>for</w:t>
      </w:r>
      <w:r w:rsidRPr="00193BC1">
        <w:t xml:space="preserve"> eosinophilic asthma</w:t>
      </w:r>
      <w:r w:rsidR="002721F0" w:rsidRPr="00193BC1">
        <w:t xml:space="preserve"> were</w:t>
      </w:r>
      <w:r w:rsidRPr="00193BC1">
        <w:t xml:space="preserve">: </w:t>
      </w:r>
    </w:p>
    <w:p w14:paraId="721BCD15" w14:textId="77777777" w:rsidR="002721F0" w:rsidRPr="00193BC1" w:rsidRDefault="00076D56" w:rsidP="00F94D70">
      <w:pPr>
        <w:pStyle w:val="ListParagraph"/>
        <w:numPr>
          <w:ilvl w:val="0"/>
          <w:numId w:val="22"/>
        </w:numPr>
        <w:ind w:left="1418"/>
        <w:rPr>
          <w:shd w:val="clear" w:color="auto" w:fill="FFFFFF"/>
        </w:rPr>
      </w:pPr>
      <w:r w:rsidRPr="00193BC1">
        <w:rPr>
          <w:shd w:val="clear" w:color="auto" w:fill="FFFFFF"/>
        </w:rPr>
        <w:t>dupilumab 400 mg subcutaneous injection followed by 200 mg given every 2 weeks in the non-OCS dependent population</w:t>
      </w:r>
      <w:r w:rsidR="002721F0" w:rsidRPr="00193BC1">
        <w:rPr>
          <w:shd w:val="clear" w:color="auto" w:fill="FFFFFF"/>
        </w:rPr>
        <w:t xml:space="preserve"> (27 doses over one year); and</w:t>
      </w:r>
      <w:r w:rsidRPr="00193BC1">
        <w:rPr>
          <w:shd w:val="clear" w:color="auto" w:fill="FFFFFF"/>
        </w:rPr>
        <w:t xml:space="preserve"> </w:t>
      </w:r>
    </w:p>
    <w:p w14:paraId="2F9793BE" w14:textId="77777777" w:rsidR="00076D56" w:rsidRPr="00193BC1" w:rsidRDefault="00076D56" w:rsidP="00F94D70">
      <w:pPr>
        <w:pStyle w:val="ListParagraph"/>
        <w:numPr>
          <w:ilvl w:val="0"/>
          <w:numId w:val="22"/>
        </w:numPr>
        <w:ind w:left="1418"/>
        <w:rPr>
          <w:shd w:val="clear" w:color="auto" w:fill="FFFFFF"/>
        </w:rPr>
      </w:pPr>
      <w:r w:rsidRPr="00193BC1">
        <w:rPr>
          <w:shd w:val="clear" w:color="auto" w:fill="FFFFFF"/>
        </w:rPr>
        <w:t>dupilumab 600 mg subcutaneous injection followed by 300 mg given every 2 weeks in the OCS dependent population</w:t>
      </w:r>
      <w:r w:rsidR="002721F0" w:rsidRPr="00193BC1">
        <w:rPr>
          <w:shd w:val="clear" w:color="auto" w:fill="FFFFFF"/>
        </w:rPr>
        <w:t xml:space="preserve"> (27 doses over one year);</w:t>
      </w:r>
      <w:r w:rsidRPr="00193BC1">
        <w:rPr>
          <w:shd w:val="clear" w:color="auto" w:fill="FFFFFF"/>
        </w:rPr>
        <w:t xml:space="preserve"> and </w:t>
      </w:r>
    </w:p>
    <w:p w14:paraId="650BB644" w14:textId="77777777" w:rsidR="00076D56" w:rsidRPr="00193BC1" w:rsidRDefault="00076D56" w:rsidP="00F94D70">
      <w:pPr>
        <w:pStyle w:val="ListParagraph"/>
        <w:numPr>
          <w:ilvl w:val="0"/>
          <w:numId w:val="22"/>
        </w:numPr>
        <w:ind w:left="1418"/>
      </w:pPr>
      <w:r w:rsidRPr="00193BC1">
        <w:rPr>
          <w:shd w:val="clear" w:color="auto" w:fill="FFFFFF"/>
        </w:rPr>
        <w:t xml:space="preserve">benralizumab 30 mg </w:t>
      </w:r>
      <w:r w:rsidRPr="00193BC1">
        <w:t xml:space="preserve">subcutaneous injection </w:t>
      </w:r>
      <w:r w:rsidRPr="00193BC1">
        <w:rPr>
          <w:shd w:val="clear" w:color="auto" w:fill="FFFFFF"/>
        </w:rPr>
        <w:t>every 4 weeks for the first three doses, and every 8 weeks thereafter</w:t>
      </w:r>
      <w:r w:rsidR="002721F0" w:rsidRPr="00193BC1">
        <w:rPr>
          <w:shd w:val="clear" w:color="auto" w:fill="FFFFFF"/>
        </w:rPr>
        <w:t xml:space="preserve"> (7.5 doses over one year)</w:t>
      </w:r>
      <w:r w:rsidRPr="00193BC1">
        <w:rPr>
          <w:shd w:val="clear" w:color="auto" w:fill="FFFFFF"/>
        </w:rPr>
        <w:t>, and</w:t>
      </w:r>
    </w:p>
    <w:p w14:paraId="0D5C2B2B" w14:textId="77777777" w:rsidR="00076D56" w:rsidRPr="00193BC1" w:rsidRDefault="00076D56" w:rsidP="00F94D70">
      <w:pPr>
        <w:pStyle w:val="ListParagraph"/>
        <w:numPr>
          <w:ilvl w:val="0"/>
          <w:numId w:val="22"/>
        </w:numPr>
        <w:ind w:left="1418"/>
      </w:pPr>
      <w:r w:rsidRPr="00193BC1">
        <w:rPr>
          <w:shd w:val="clear" w:color="auto" w:fill="FFFFFF"/>
        </w:rPr>
        <w:t xml:space="preserve">mepolizumab 100 mg </w:t>
      </w:r>
      <w:r w:rsidRPr="00193BC1">
        <w:t xml:space="preserve">subcutaneous injection </w:t>
      </w:r>
      <w:r w:rsidRPr="00193BC1">
        <w:rPr>
          <w:shd w:val="clear" w:color="auto" w:fill="FFFFFF"/>
        </w:rPr>
        <w:t>every 4 weeks</w:t>
      </w:r>
      <w:r w:rsidR="002721F0" w:rsidRPr="00193BC1">
        <w:rPr>
          <w:shd w:val="clear" w:color="auto" w:fill="FFFFFF"/>
        </w:rPr>
        <w:t xml:space="preserve"> (13 doses over one year)</w:t>
      </w:r>
      <w:r w:rsidRPr="00193BC1">
        <w:rPr>
          <w:shd w:val="clear" w:color="auto" w:fill="FFFFFF"/>
        </w:rPr>
        <w:t>.</w:t>
      </w:r>
    </w:p>
    <w:p w14:paraId="23F0C9A5" w14:textId="77777777" w:rsidR="00076D56" w:rsidRPr="00193BC1" w:rsidRDefault="006E0FFE" w:rsidP="00076D56">
      <w:pPr>
        <w:ind w:left="737"/>
      </w:pPr>
      <w:r w:rsidRPr="00193BC1">
        <w:rPr>
          <w:bCs/>
        </w:rPr>
        <w:t>The PBAC considered the subcutaneous injection administration cost-offsets for omalizumab were overestimated as it would likely be administered by practice nurses, rather than under the Nurse Practitioner MBS item code</w:t>
      </w:r>
      <w:r w:rsidR="00521F7E" w:rsidRPr="00193BC1">
        <w:rPr>
          <w:bCs/>
        </w:rPr>
        <w:t>.</w:t>
      </w:r>
      <w:r w:rsidRPr="00193BC1">
        <w:rPr>
          <w:bCs/>
        </w:rPr>
        <w:t xml:space="preserve"> </w:t>
      </w:r>
      <w:r w:rsidR="00521F7E" w:rsidRPr="00193BC1">
        <w:rPr>
          <w:bCs/>
        </w:rPr>
        <w:t xml:space="preserve">The PBAC further noted that the Product Information for omalizumab, benralizumab and mepolizumab state that after proper training in subcutaneous injection technique, patients or the caregiver may self-inject via pre-filled syringe if a physician determines that it is appropriate (as for dupilumab), and noted that MBS costs were not </w:t>
      </w:r>
      <w:r w:rsidR="00AB164D" w:rsidRPr="00193BC1">
        <w:rPr>
          <w:bCs/>
        </w:rPr>
        <w:t>considered</w:t>
      </w:r>
      <w:r w:rsidR="00521F7E" w:rsidRPr="00193BC1">
        <w:rPr>
          <w:bCs/>
        </w:rPr>
        <w:t xml:space="preserve"> as part of the costs of administration for dupilumab. </w:t>
      </w:r>
      <w:r w:rsidR="00D132E2">
        <w:rPr>
          <w:bCs/>
        </w:rPr>
        <w:t>The PBAC noted that in relation to the self-injection of omalizumab the Pro</w:t>
      </w:r>
      <w:r w:rsidR="00855E47">
        <w:rPr>
          <w:bCs/>
        </w:rPr>
        <w:t>duct Information recommended</w:t>
      </w:r>
      <w:r w:rsidR="0098207D">
        <w:rPr>
          <w:bCs/>
        </w:rPr>
        <w:t xml:space="preserve"> the first three</w:t>
      </w:r>
      <w:r w:rsidR="00D132E2">
        <w:rPr>
          <w:bCs/>
        </w:rPr>
        <w:t xml:space="preserve"> doses be administered under the supervision of a healthcare professional. </w:t>
      </w:r>
      <w:r w:rsidR="00521F7E" w:rsidRPr="00193BC1">
        <w:rPr>
          <w:bCs/>
        </w:rPr>
        <w:t xml:space="preserve">As such the PBAC </w:t>
      </w:r>
      <w:r w:rsidR="00AB164D" w:rsidRPr="00193BC1">
        <w:rPr>
          <w:bCs/>
        </w:rPr>
        <w:t>considered</w:t>
      </w:r>
      <w:r w:rsidR="00521F7E" w:rsidRPr="00193BC1">
        <w:rPr>
          <w:bCs/>
        </w:rPr>
        <w:t xml:space="preserve"> that it appropriate for the subcutaneous injection administration cost-offsets </w:t>
      </w:r>
      <w:r w:rsidR="0098207D">
        <w:rPr>
          <w:bCs/>
        </w:rPr>
        <w:t xml:space="preserve">and the costs for post-administration </w:t>
      </w:r>
      <w:r w:rsidR="003C46BE">
        <w:rPr>
          <w:bCs/>
        </w:rPr>
        <w:t>monitoring of anaphylaxis to</w:t>
      </w:r>
      <w:r w:rsidR="0098207D">
        <w:rPr>
          <w:bCs/>
        </w:rPr>
        <w:t xml:space="preserve"> be included for </w:t>
      </w:r>
      <w:r w:rsidR="003C46BE">
        <w:rPr>
          <w:bCs/>
        </w:rPr>
        <w:t xml:space="preserve">the first </w:t>
      </w:r>
      <w:r w:rsidR="0098207D">
        <w:rPr>
          <w:bCs/>
        </w:rPr>
        <w:t xml:space="preserve">three doses of omalizumab only. In addition, the PBAC considered that </w:t>
      </w:r>
      <w:r w:rsidR="00855E47">
        <w:rPr>
          <w:bCs/>
        </w:rPr>
        <w:t xml:space="preserve">a one-off cost for </w:t>
      </w:r>
      <w:r w:rsidR="0098207D">
        <w:rPr>
          <w:bCs/>
        </w:rPr>
        <w:t xml:space="preserve">subcutaneous </w:t>
      </w:r>
      <w:r w:rsidR="00855E47">
        <w:rPr>
          <w:bCs/>
        </w:rPr>
        <w:t>injection training</w:t>
      </w:r>
      <w:r w:rsidR="0098207D">
        <w:rPr>
          <w:bCs/>
        </w:rPr>
        <w:t xml:space="preserve"> should also be included </w:t>
      </w:r>
      <w:r w:rsidR="00521F7E" w:rsidRPr="00193BC1">
        <w:rPr>
          <w:bCs/>
        </w:rPr>
        <w:t xml:space="preserve">for omalizumab to </w:t>
      </w:r>
      <w:r w:rsidR="0098207D">
        <w:rPr>
          <w:bCs/>
        </w:rPr>
        <w:t>allow for self-injection after the initial three doses</w:t>
      </w:r>
      <w:r w:rsidR="00521F7E" w:rsidRPr="00193BC1">
        <w:rPr>
          <w:bCs/>
        </w:rPr>
        <w:t xml:space="preserve">. </w:t>
      </w:r>
      <w:r w:rsidR="00076D56" w:rsidRPr="00193BC1">
        <w:t>The PBA</w:t>
      </w:r>
      <w:r w:rsidR="002721F0" w:rsidRPr="00193BC1">
        <w:t xml:space="preserve">C considered the </w:t>
      </w:r>
      <w:r w:rsidR="00076D56" w:rsidRPr="00193BC1">
        <w:t>equi-effective doses in patients with allergic asthma</w:t>
      </w:r>
      <w:r w:rsidR="002721F0" w:rsidRPr="00193BC1">
        <w:t xml:space="preserve"> were</w:t>
      </w:r>
      <w:r w:rsidR="00076D56" w:rsidRPr="00193BC1">
        <w:t>:</w:t>
      </w:r>
    </w:p>
    <w:p w14:paraId="67747B2F" w14:textId="77777777" w:rsidR="002721F0" w:rsidRPr="00193BC1" w:rsidRDefault="00076D56" w:rsidP="005863D4">
      <w:pPr>
        <w:pStyle w:val="ListParagraph"/>
        <w:numPr>
          <w:ilvl w:val="0"/>
          <w:numId w:val="22"/>
        </w:numPr>
        <w:spacing w:before="120"/>
        <w:ind w:left="1134"/>
        <w:rPr>
          <w:shd w:val="clear" w:color="auto" w:fill="FFFFFF"/>
        </w:rPr>
      </w:pPr>
      <w:r w:rsidRPr="00193BC1">
        <w:rPr>
          <w:shd w:val="clear" w:color="auto" w:fill="FFFFFF"/>
        </w:rPr>
        <w:t>dupilumab 400 mg subcutaneous injection followed by 200 mg given every 2 weeks in the non-OCS dependent population</w:t>
      </w:r>
      <w:r w:rsidR="002721F0" w:rsidRPr="00193BC1">
        <w:rPr>
          <w:shd w:val="clear" w:color="auto" w:fill="FFFFFF"/>
        </w:rPr>
        <w:t xml:space="preserve"> (27 doses over one year);</w:t>
      </w:r>
      <w:r w:rsidRPr="00193BC1">
        <w:rPr>
          <w:shd w:val="clear" w:color="auto" w:fill="FFFFFF"/>
        </w:rPr>
        <w:t xml:space="preserve"> and</w:t>
      </w:r>
    </w:p>
    <w:p w14:paraId="7AA69569" w14:textId="77777777" w:rsidR="00076D56" w:rsidRPr="00193BC1" w:rsidRDefault="00076D56" w:rsidP="005863D4">
      <w:pPr>
        <w:pStyle w:val="ListParagraph"/>
        <w:numPr>
          <w:ilvl w:val="0"/>
          <w:numId w:val="22"/>
        </w:numPr>
        <w:spacing w:before="120"/>
        <w:ind w:left="1134"/>
        <w:rPr>
          <w:shd w:val="clear" w:color="auto" w:fill="FFFFFF"/>
        </w:rPr>
      </w:pPr>
      <w:r w:rsidRPr="00193BC1">
        <w:rPr>
          <w:shd w:val="clear" w:color="auto" w:fill="FFFFFF"/>
        </w:rPr>
        <w:lastRenderedPageBreak/>
        <w:t>dupilumab 600 mg subcutaneous injection followed by 300 mg given every 2 weeks in the OCS dependent population</w:t>
      </w:r>
      <w:r w:rsidR="002721F0" w:rsidRPr="00193BC1">
        <w:rPr>
          <w:shd w:val="clear" w:color="auto" w:fill="FFFFFF"/>
        </w:rPr>
        <w:t xml:space="preserve"> (27 doses over one year);</w:t>
      </w:r>
      <w:r w:rsidRPr="00193BC1">
        <w:rPr>
          <w:shd w:val="clear" w:color="auto" w:fill="FFFFFF"/>
        </w:rPr>
        <w:t xml:space="preserve"> and</w:t>
      </w:r>
    </w:p>
    <w:p w14:paraId="63BEC717" w14:textId="77777777" w:rsidR="00076D56" w:rsidRPr="00193BC1" w:rsidRDefault="00076D56" w:rsidP="005863D4">
      <w:pPr>
        <w:pStyle w:val="ListParagraph"/>
        <w:numPr>
          <w:ilvl w:val="0"/>
          <w:numId w:val="22"/>
        </w:numPr>
        <w:spacing w:before="120"/>
        <w:ind w:left="1134"/>
        <w:rPr>
          <w:shd w:val="clear" w:color="auto" w:fill="FFFFFF"/>
        </w:rPr>
      </w:pPr>
      <w:r w:rsidRPr="00193BC1">
        <w:rPr>
          <w:shd w:val="clear" w:color="auto" w:fill="FFFFFF"/>
        </w:rPr>
        <w:t>omalizumab 398 mg every 4 weeks subcutaneous injection, either as one dose or split into two equal doses depending on patient weight and IgE level</w:t>
      </w:r>
      <w:r w:rsidR="002721F0" w:rsidRPr="00193BC1">
        <w:rPr>
          <w:shd w:val="clear" w:color="auto" w:fill="FFFFFF"/>
        </w:rPr>
        <w:t xml:space="preserve"> (13 doses over one year)</w:t>
      </w:r>
      <w:r w:rsidRPr="00193BC1">
        <w:rPr>
          <w:shd w:val="clear" w:color="auto" w:fill="FFFFFF"/>
        </w:rPr>
        <w:t>.</w:t>
      </w:r>
    </w:p>
    <w:p w14:paraId="28E8B791" w14:textId="77777777" w:rsidR="00F23872" w:rsidRPr="00193BC1" w:rsidRDefault="00A7239E" w:rsidP="00A7239E">
      <w:pPr>
        <w:pStyle w:val="3-BodyText"/>
      </w:pPr>
      <w:r w:rsidRPr="00193BC1">
        <w:t xml:space="preserve">The PBAC noted that the financial estimates were based on the proposed published price for dupilumab and the </w:t>
      </w:r>
      <w:r w:rsidR="00045774" w:rsidRPr="00193BC1">
        <w:t>cost</w:t>
      </w:r>
      <w:r w:rsidRPr="00193BC1">
        <w:t xml:space="preserve"> for benralizumab, mepolizumab and omalizumab and would </w:t>
      </w:r>
      <w:r w:rsidRPr="00193BC1">
        <w:rPr>
          <w:snapToGrid w:val="0"/>
        </w:rPr>
        <w:t xml:space="preserve">need to be recalculated to take into account </w:t>
      </w:r>
      <w:r w:rsidR="003613B9" w:rsidRPr="00193BC1">
        <w:rPr>
          <w:snapToGrid w:val="0"/>
        </w:rPr>
        <w:t xml:space="preserve">effective prices and </w:t>
      </w:r>
      <w:r w:rsidRPr="00193BC1">
        <w:rPr>
          <w:snapToGrid w:val="0"/>
        </w:rPr>
        <w:t>the outcome of its considerations regarding the cost-minimisation analysis.</w:t>
      </w:r>
    </w:p>
    <w:p w14:paraId="02D6F2F9" w14:textId="77777777" w:rsidR="00F94D70" w:rsidRPr="00193BC1" w:rsidRDefault="004B78D3" w:rsidP="00A7239E">
      <w:pPr>
        <w:pStyle w:val="3-BodyText"/>
      </w:pPr>
      <w:r w:rsidRPr="00193BC1">
        <w:t>The PBAC recommended that the Early Supply Rule should not apply.</w:t>
      </w:r>
    </w:p>
    <w:p w14:paraId="0B33DDE7" w14:textId="77777777" w:rsidR="00F94D70" w:rsidRPr="00193BC1" w:rsidRDefault="00F94D70" w:rsidP="00F94D70">
      <w:pPr>
        <w:pStyle w:val="3-BodyText"/>
        <w:rPr>
          <w:snapToGrid w:val="0"/>
        </w:rPr>
      </w:pPr>
      <w:r w:rsidRPr="00193BC1">
        <w:rPr>
          <w:snapToGrid w:val="0"/>
        </w:rPr>
        <w:t>The requested restriction is considered to be complex.</w:t>
      </w:r>
    </w:p>
    <w:p w14:paraId="5FD4972C" w14:textId="77777777" w:rsidR="004B78D3" w:rsidRPr="00193BC1" w:rsidRDefault="004B78D3" w:rsidP="00F94D70">
      <w:pPr>
        <w:pStyle w:val="3-BodyText"/>
        <w:rPr>
          <w:snapToGrid w:val="0"/>
        </w:rPr>
      </w:pPr>
      <w:r w:rsidRPr="00193BC1">
        <w:rPr>
          <w:snapToGrid w:val="0"/>
        </w:rPr>
        <w:t>The PBAC noted t</w:t>
      </w:r>
      <w:r w:rsidR="00F94D70" w:rsidRPr="00193BC1">
        <w:rPr>
          <w:snapToGrid w:val="0"/>
        </w:rPr>
        <w:t xml:space="preserve">hat the following changes will be required to the </w:t>
      </w:r>
      <w:r w:rsidRPr="00193BC1">
        <w:rPr>
          <w:snapToGrid w:val="0"/>
        </w:rPr>
        <w:t xml:space="preserve">omalizumab, benralizumab, mepolizumab </w:t>
      </w:r>
      <w:r w:rsidR="00F94D70" w:rsidRPr="00193BC1">
        <w:rPr>
          <w:snapToGrid w:val="0"/>
        </w:rPr>
        <w:t>restrictions:</w:t>
      </w:r>
    </w:p>
    <w:p w14:paraId="79B862EA" w14:textId="77777777" w:rsidR="00F94D70" w:rsidRPr="00193BC1" w:rsidRDefault="00F94D70" w:rsidP="005863D4">
      <w:pPr>
        <w:pStyle w:val="ListParagraph"/>
        <w:numPr>
          <w:ilvl w:val="0"/>
          <w:numId w:val="22"/>
        </w:numPr>
        <w:spacing w:before="120"/>
        <w:ind w:left="1134"/>
        <w:rPr>
          <w:shd w:val="clear" w:color="auto" w:fill="FFFFFF"/>
        </w:rPr>
      </w:pPr>
      <w:r w:rsidRPr="00193BC1">
        <w:rPr>
          <w:shd w:val="clear" w:color="auto" w:fill="FFFFFF"/>
        </w:rPr>
        <w:t>The overarching note of ‘Treatment of adult and adolescent patients with uncontrolled severe eosinophilic or allergic asthma’ to the existing omalizumab, mepolizumab and benralizumab listings for severe asthma will need to be amended to include dupilumab.</w:t>
      </w:r>
    </w:p>
    <w:p w14:paraId="31B7AA2A" w14:textId="77777777" w:rsidR="00F94D70" w:rsidRPr="00193BC1" w:rsidRDefault="00F94D70" w:rsidP="005863D4">
      <w:pPr>
        <w:pStyle w:val="ListParagraph"/>
        <w:numPr>
          <w:ilvl w:val="0"/>
          <w:numId w:val="22"/>
        </w:numPr>
        <w:spacing w:before="120"/>
        <w:ind w:left="1134"/>
        <w:rPr>
          <w:shd w:val="clear" w:color="auto" w:fill="FFFFFF"/>
        </w:rPr>
      </w:pPr>
      <w:r w:rsidRPr="00193BC1">
        <w:rPr>
          <w:shd w:val="clear" w:color="auto" w:fill="FFFFFF"/>
        </w:rPr>
        <w:t>The individual comparator drug’s restrictions will require an update in its Prescriber Instructions to reflect that ‘…A treatment break in PBS-subsidised biological medicine therapy of at least 12 months must be observed in a patient who has either failed to achieve or sustain a response to treatment with 4 biological medicines wit</w:t>
      </w:r>
      <w:r w:rsidR="003613B9" w:rsidRPr="00193BC1">
        <w:rPr>
          <w:shd w:val="clear" w:color="auto" w:fill="FFFFFF"/>
        </w:rPr>
        <w:t>hin the same treatment cycle….</w:t>
      </w:r>
      <w:r w:rsidR="00C0147A" w:rsidRPr="00193BC1">
        <w:rPr>
          <w:shd w:val="clear" w:color="auto" w:fill="FFFFFF"/>
        </w:rPr>
        <w:t>’</w:t>
      </w:r>
      <w:r w:rsidR="003613B9" w:rsidRPr="00193BC1">
        <w:rPr>
          <w:shd w:val="clear" w:color="auto" w:fill="FFFFFF"/>
        </w:rPr>
        <w:t xml:space="preserve"> The PBAC reaffirmed </w:t>
      </w:r>
      <w:r w:rsidR="007242EB" w:rsidRPr="00193BC1">
        <w:rPr>
          <w:shd w:val="clear" w:color="auto" w:fill="FFFFFF"/>
        </w:rPr>
        <w:t>that a patient can only fail</w:t>
      </w:r>
      <w:r w:rsidR="003613B9" w:rsidRPr="00193BC1">
        <w:rPr>
          <w:shd w:val="clear" w:color="auto" w:fill="FFFFFF"/>
        </w:rPr>
        <w:t xml:space="preserve"> any biologics for severe asthma once within a treatment cycle. In addition, the PBAC reaffirmed that there is no limit to the number of treatment cycles in a lifetime for biological medicines for </w:t>
      </w:r>
      <w:r w:rsidR="00A87461" w:rsidRPr="00193BC1">
        <w:rPr>
          <w:shd w:val="clear" w:color="auto" w:fill="FFFFFF"/>
        </w:rPr>
        <w:t xml:space="preserve">uncontrolled severe eosinophilic or allergic asthma. </w:t>
      </w:r>
    </w:p>
    <w:p w14:paraId="6E07CA2C" w14:textId="77777777" w:rsidR="00A87461" w:rsidRPr="00193BC1" w:rsidRDefault="00A87461" w:rsidP="005863D4">
      <w:pPr>
        <w:pStyle w:val="ListParagraph"/>
        <w:numPr>
          <w:ilvl w:val="0"/>
          <w:numId w:val="22"/>
        </w:numPr>
        <w:spacing w:before="120"/>
        <w:ind w:left="1134"/>
        <w:rPr>
          <w:shd w:val="clear" w:color="auto" w:fill="FFFFFF"/>
        </w:rPr>
      </w:pPr>
      <w:r w:rsidRPr="00193BC1">
        <w:rPr>
          <w:shd w:val="clear" w:color="auto" w:fill="FFFFFF"/>
        </w:rPr>
        <w:t xml:space="preserve">The PBAC noted that currently, in a patient, whose only available treatment option is omalizumab, completion of a treatment cycle is defined as when the patient has trialled and failed omalizumab once. The PBAC noted that this currently must then be followed by at least 6 months exclusion before the patient can re-start a new treatment cycle with omalizumab. Given these patients will now have an extra choice of dupilumab, the PBAC considered that the treatment break should be extended to 12 months once they have trialled and failed both omalizumab and dupilumab within a treatment cycle. The PBAC noted that </w:t>
      </w:r>
      <w:r w:rsidR="007951E4" w:rsidRPr="00193BC1">
        <w:rPr>
          <w:shd w:val="clear" w:color="auto" w:fill="FFFFFF"/>
        </w:rPr>
        <w:t>this change would be consistent with the existing requirements for patients eligible for benralizumab and mepolizumab</w:t>
      </w:r>
      <w:r w:rsidR="00193BC1">
        <w:rPr>
          <w:shd w:val="clear" w:color="auto" w:fill="FFFFFF"/>
        </w:rPr>
        <w:t xml:space="preserve">. </w:t>
      </w:r>
    </w:p>
    <w:p w14:paraId="3BE3EDAD" w14:textId="77777777" w:rsidR="00F94D70" w:rsidRPr="00193BC1" w:rsidRDefault="00F94D70" w:rsidP="00F94D70">
      <w:pPr>
        <w:pStyle w:val="3-BodyText"/>
      </w:pPr>
      <w:r w:rsidRPr="00193BC1">
        <w:t xml:space="preserve">The PBAC noted that its recommendation was on a cost-minimisation basis and advised that, because dupilumab is not expected to provide a substantial and clinically relevant improvement in efficacy, or reduction of toxicity, over benralizumab, </w:t>
      </w:r>
      <w:r w:rsidRPr="00193BC1">
        <w:lastRenderedPageBreak/>
        <w:t>mepolizumab or omalizumab, or not expected to address a high and urgent unmet clinical need given the presence of an alternative therapy, the criteria prescribed by the National Health (Pharmaceuticals and Vaccines – Cost Recovery) Regulations 2009 for Pricing Pathway A were not met.</w:t>
      </w:r>
    </w:p>
    <w:p w14:paraId="3221CAB5" w14:textId="77777777" w:rsidR="00F94D70" w:rsidRPr="00193BC1" w:rsidRDefault="00F94D70" w:rsidP="00F94D70">
      <w:pPr>
        <w:pStyle w:val="3-BodyText"/>
        <w:rPr>
          <w:snapToGrid w:val="0"/>
        </w:rPr>
      </w:pPr>
      <w:r w:rsidRPr="00193BC1">
        <w:rPr>
          <w:snapToGrid w:val="0"/>
        </w:rPr>
        <w:t xml:space="preserve">The PBAC </w:t>
      </w:r>
      <w:r w:rsidR="00C0147A" w:rsidRPr="00193BC1">
        <w:rPr>
          <w:snapToGrid w:val="0"/>
        </w:rPr>
        <w:t>noted</w:t>
      </w:r>
      <w:r w:rsidRPr="00193BC1">
        <w:rPr>
          <w:snapToGrid w:val="0"/>
        </w:rPr>
        <w:t xml:space="preserve"> that this submission is not eligible for an Independent Review as it received a positive recommendation. </w:t>
      </w:r>
    </w:p>
    <w:p w14:paraId="556A58D2" w14:textId="77777777" w:rsidR="00814CED" w:rsidRPr="00193BC1" w:rsidRDefault="00814CED" w:rsidP="00814CED">
      <w:pPr>
        <w:spacing w:before="240"/>
        <w:rPr>
          <w:rFonts w:asciiTheme="minorHAnsi" w:hAnsiTheme="minorHAnsi"/>
          <w:b/>
          <w:bCs/>
          <w:snapToGrid w:val="0"/>
        </w:rPr>
      </w:pPr>
      <w:r w:rsidRPr="00193BC1">
        <w:rPr>
          <w:rFonts w:asciiTheme="minorHAnsi" w:hAnsiTheme="minorHAnsi"/>
          <w:b/>
          <w:bCs/>
          <w:snapToGrid w:val="0"/>
        </w:rPr>
        <w:t>Outcome:</w:t>
      </w:r>
    </w:p>
    <w:p w14:paraId="6BDE4CAC" w14:textId="77777777" w:rsidR="00814CED" w:rsidRPr="00BE3882" w:rsidRDefault="00814CED" w:rsidP="00BE3882">
      <w:pPr>
        <w:rPr>
          <w:rFonts w:asciiTheme="minorHAnsi" w:hAnsiTheme="minorHAnsi"/>
          <w:bCs/>
          <w:snapToGrid w:val="0"/>
        </w:rPr>
      </w:pPr>
      <w:r w:rsidRPr="00193BC1">
        <w:rPr>
          <w:rFonts w:asciiTheme="minorHAnsi" w:hAnsiTheme="minorHAnsi"/>
          <w:bCs/>
          <w:snapToGrid w:val="0"/>
        </w:rPr>
        <w:t xml:space="preserve">Recommended </w:t>
      </w:r>
    </w:p>
    <w:p w14:paraId="4A306143" w14:textId="77777777" w:rsidR="001E6247" w:rsidRPr="00193BC1" w:rsidRDefault="00814CED" w:rsidP="0036330A">
      <w:pPr>
        <w:pStyle w:val="2-SectionHeading"/>
      </w:pPr>
      <w:r w:rsidRPr="00193BC1">
        <w:t>Recommended listing</w:t>
      </w:r>
      <w:bookmarkEnd w:id="32"/>
      <w:bookmarkEnd w:id="46"/>
      <w:bookmarkEnd w:id="47"/>
    </w:p>
    <w:p w14:paraId="3D102E11" w14:textId="77777777" w:rsidR="005E4516" w:rsidRPr="00193BC1" w:rsidRDefault="005E4516" w:rsidP="005863D4">
      <w:pPr>
        <w:pStyle w:val="3-BodyText"/>
      </w:pPr>
      <w:bookmarkStart w:id="48" w:name="_Toc380746195"/>
      <w:bookmarkStart w:id="49" w:name="_Toc380746321"/>
      <w:bookmarkStart w:id="50" w:name="_Toc380746602"/>
      <w:r w:rsidRPr="005863D4">
        <w:t>Add</w:t>
      </w:r>
      <w:r w:rsidRPr="00193BC1">
        <w:t xml:space="preserve"> new items as follows:</w:t>
      </w:r>
    </w:p>
    <w:p w14:paraId="30C41D24" w14:textId="77777777" w:rsidR="005E4516" w:rsidRPr="00193BC1" w:rsidRDefault="005E4516" w:rsidP="005E4516">
      <w:pPr>
        <w:keepNext/>
        <w:rPr>
          <w:rFonts w:ascii="Arial Narrow" w:hAnsi="Arial Narrow"/>
          <w:b/>
          <w:bCs/>
          <w:sz w:val="20"/>
          <w:szCs w:val="20"/>
        </w:rPr>
      </w:pPr>
      <w:r w:rsidRPr="00193BC1">
        <w:rPr>
          <w:rFonts w:ascii="Arial Narrow" w:hAnsi="Arial Narrow"/>
          <w:b/>
          <w:bCs/>
          <w:sz w:val="20"/>
          <w:szCs w:val="20"/>
        </w:rPr>
        <w:t>Treatment phase: Initial 1 and Initial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833"/>
        <w:gridCol w:w="1369"/>
        <w:gridCol w:w="1349"/>
        <w:gridCol w:w="965"/>
        <w:gridCol w:w="963"/>
        <w:gridCol w:w="1349"/>
      </w:tblGrid>
      <w:tr w:rsidR="006F2ADF" w:rsidRPr="00193BC1" w14:paraId="4723AB5D" w14:textId="77777777" w:rsidTr="00F813B9">
        <w:tc>
          <w:tcPr>
            <w:tcW w:w="1214" w:type="pct"/>
          </w:tcPr>
          <w:p w14:paraId="6E9EB52F" w14:textId="77777777" w:rsidR="005E4516" w:rsidRPr="00193BC1" w:rsidRDefault="005E4516" w:rsidP="00487EAF">
            <w:pPr>
              <w:pStyle w:val="Tabletext"/>
              <w:rPr>
                <w:b/>
                <w:bCs/>
              </w:rPr>
            </w:pPr>
            <w:r w:rsidRPr="00193BC1">
              <w:rPr>
                <w:b/>
              </w:rPr>
              <w:t>Name, restriction, manner of administration, form</w:t>
            </w:r>
          </w:p>
        </w:tc>
        <w:tc>
          <w:tcPr>
            <w:tcW w:w="462" w:type="pct"/>
          </w:tcPr>
          <w:p w14:paraId="5999B460" w14:textId="77777777" w:rsidR="005E4516" w:rsidRPr="00193BC1" w:rsidRDefault="005E4516" w:rsidP="00487EAF">
            <w:pPr>
              <w:pStyle w:val="Tabletext"/>
              <w:jc w:val="center"/>
              <w:rPr>
                <w:b/>
              </w:rPr>
            </w:pPr>
            <w:r w:rsidRPr="00193BC1">
              <w:rPr>
                <w:b/>
              </w:rPr>
              <w:t>PBS item code</w:t>
            </w:r>
          </w:p>
        </w:tc>
        <w:tc>
          <w:tcPr>
            <w:tcW w:w="759" w:type="pct"/>
          </w:tcPr>
          <w:p w14:paraId="78A99AB7" w14:textId="77777777" w:rsidR="005E4516" w:rsidRPr="00193BC1" w:rsidRDefault="005E4516" w:rsidP="00487EAF">
            <w:pPr>
              <w:pStyle w:val="Tabletext"/>
              <w:jc w:val="center"/>
              <w:rPr>
                <w:b/>
                <w:bCs/>
              </w:rPr>
            </w:pPr>
            <w:r w:rsidRPr="00193BC1">
              <w:rPr>
                <w:b/>
              </w:rPr>
              <w:t>Maximum quantity (packs)</w:t>
            </w:r>
          </w:p>
        </w:tc>
        <w:tc>
          <w:tcPr>
            <w:tcW w:w="748" w:type="pct"/>
          </w:tcPr>
          <w:p w14:paraId="1DA16880" w14:textId="77777777" w:rsidR="005E4516" w:rsidRPr="00193BC1" w:rsidRDefault="005E4516" w:rsidP="00487EAF">
            <w:pPr>
              <w:pStyle w:val="Tabletext"/>
              <w:jc w:val="center"/>
              <w:rPr>
                <w:b/>
                <w:bCs/>
              </w:rPr>
            </w:pPr>
            <w:r w:rsidRPr="00193BC1">
              <w:rPr>
                <w:b/>
              </w:rPr>
              <w:t>Maximum quantity (units)</w:t>
            </w:r>
          </w:p>
        </w:tc>
        <w:tc>
          <w:tcPr>
            <w:tcW w:w="535" w:type="pct"/>
          </w:tcPr>
          <w:p w14:paraId="5432C074" w14:textId="77777777" w:rsidR="005E4516" w:rsidRPr="00193BC1" w:rsidRDefault="005E4516" w:rsidP="00487EAF">
            <w:pPr>
              <w:pStyle w:val="Tabletext"/>
              <w:rPr>
                <w:b/>
                <w:bCs/>
              </w:rPr>
            </w:pPr>
            <w:r w:rsidRPr="00193BC1">
              <w:rPr>
                <w:b/>
              </w:rPr>
              <w:t>No. of repeats</w:t>
            </w:r>
          </w:p>
        </w:tc>
        <w:tc>
          <w:tcPr>
            <w:tcW w:w="1283" w:type="pct"/>
            <w:gridSpan w:val="2"/>
          </w:tcPr>
          <w:p w14:paraId="3A0E06B2" w14:textId="77777777" w:rsidR="005E4516" w:rsidRPr="00193BC1" w:rsidRDefault="005E4516" w:rsidP="00487EAF">
            <w:pPr>
              <w:pStyle w:val="Tabletext"/>
              <w:rPr>
                <w:b/>
                <w:bCs/>
              </w:rPr>
            </w:pPr>
            <w:r w:rsidRPr="00193BC1">
              <w:rPr>
                <w:b/>
              </w:rPr>
              <w:t>Proprietary name and manufacturer</w:t>
            </w:r>
          </w:p>
        </w:tc>
      </w:tr>
      <w:tr w:rsidR="005E4516" w:rsidRPr="00193BC1" w14:paraId="62459DAA" w14:textId="77777777" w:rsidTr="00F813B9">
        <w:tc>
          <w:tcPr>
            <w:tcW w:w="1214" w:type="pct"/>
            <w:vAlign w:val="center"/>
          </w:tcPr>
          <w:p w14:paraId="3E71DA50" w14:textId="77777777" w:rsidR="005E4516" w:rsidRPr="00193BC1" w:rsidRDefault="005E4516" w:rsidP="00487EAF">
            <w:pPr>
              <w:pStyle w:val="Tabletext"/>
            </w:pPr>
            <w:r w:rsidRPr="00193BC1">
              <w:t>DUPILUMAB</w:t>
            </w:r>
          </w:p>
          <w:p w14:paraId="30D10C80" w14:textId="77777777" w:rsidR="005E4516" w:rsidRPr="00193BC1" w:rsidRDefault="005E4516" w:rsidP="00487EAF">
            <w:pPr>
              <w:pStyle w:val="Tabletext"/>
            </w:pPr>
            <w:r w:rsidRPr="00193BC1">
              <w:br/>
              <w:t>200 mg/1.14 mL injection, 2 x 1.14 mL syringes</w:t>
            </w:r>
          </w:p>
        </w:tc>
        <w:tc>
          <w:tcPr>
            <w:tcW w:w="462" w:type="pct"/>
            <w:vAlign w:val="center"/>
          </w:tcPr>
          <w:p w14:paraId="5ED95161" w14:textId="77777777" w:rsidR="005E4516" w:rsidRPr="00193BC1" w:rsidRDefault="005E4516" w:rsidP="00487EAF">
            <w:pPr>
              <w:pStyle w:val="Tabletext"/>
              <w:jc w:val="center"/>
            </w:pPr>
            <w:r w:rsidRPr="00193BC1">
              <w:t>NEW</w:t>
            </w:r>
          </w:p>
        </w:tc>
        <w:tc>
          <w:tcPr>
            <w:tcW w:w="759" w:type="pct"/>
            <w:vAlign w:val="center"/>
          </w:tcPr>
          <w:p w14:paraId="5213EFFF" w14:textId="77777777" w:rsidR="005E4516" w:rsidRPr="00193BC1" w:rsidRDefault="005E4516" w:rsidP="00487EAF">
            <w:pPr>
              <w:pStyle w:val="Tabletext"/>
              <w:jc w:val="center"/>
              <w:rPr>
                <w:rFonts w:ascii="Times" w:hAnsi="Times"/>
              </w:rPr>
            </w:pPr>
            <w:r w:rsidRPr="00193BC1">
              <w:t>1</w:t>
            </w:r>
          </w:p>
        </w:tc>
        <w:tc>
          <w:tcPr>
            <w:tcW w:w="748" w:type="pct"/>
            <w:vAlign w:val="center"/>
          </w:tcPr>
          <w:p w14:paraId="61EAE9D8" w14:textId="77777777" w:rsidR="005E4516" w:rsidRPr="00193BC1" w:rsidRDefault="005E4516" w:rsidP="00487EAF">
            <w:pPr>
              <w:pStyle w:val="Tabletext"/>
              <w:jc w:val="center"/>
              <w:rPr>
                <w:rFonts w:ascii="Times" w:hAnsi="Times"/>
              </w:rPr>
            </w:pPr>
            <w:r w:rsidRPr="00193BC1">
              <w:t>2</w:t>
            </w:r>
          </w:p>
        </w:tc>
        <w:tc>
          <w:tcPr>
            <w:tcW w:w="535" w:type="pct"/>
            <w:vAlign w:val="center"/>
          </w:tcPr>
          <w:p w14:paraId="0C19E601" w14:textId="77777777" w:rsidR="005E4516" w:rsidRPr="00193BC1" w:rsidRDefault="005E4516" w:rsidP="00487EAF">
            <w:pPr>
              <w:pStyle w:val="Tabletext"/>
              <w:jc w:val="center"/>
              <w:rPr>
                <w:rFonts w:ascii="Times" w:hAnsi="Times"/>
              </w:rPr>
            </w:pPr>
            <w:r w:rsidRPr="00193BC1">
              <w:t>8</w:t>
            </w:r>
          </w:p>
        </w:tc>
        <w:tc>
          <w:tcPr>
            <w:tcW w:w="534" w:type="pct"/>
            <w:vAlign w:val="center"/>
          </w:tcPr>
          <w:p w14:paraId="5899625E" w14:textId="77777777" w:rsidR="005E4516" w:rsidRPr="00193BC1" w:rsidRDefault="005E4516" w:rsidP="00487EAF">
            <w:pPr>
              <w:pStyle w:val="TableText0"/>
              <w:spacing w:line="276" w:lineRule="auto"/>
              <w:jc w:val="center"/>
              <w:rPr>
                <w:rFonts w:asciiTheme="minorHAnsi" w:hAnsiTheme="minorHAnsi" w:cstheme="minorHAnsi"/>
                <w:sz w:val="18"/>
                <w:szCs w:val="18"/>
              </w:rPr>
            </w:pPr>
            <w:r w:rsidRPr="00193BC1">
              <w:t>Dupixent</w:t>
            </w:r>
            <w:r w:rsidRPr="00193BC1">
              <w:rPr>
                <w:vertAlign w:val="superscript"/>
              </w:rPr>
              <w:t>®</w:t>
            </w:r>
          </w:p>
        </w:tc>
        <w:tc>
          <w:tcPr>
            <w:tcW w:w="749" w:type="pct"/>
            <w:vAlign w:val="center"/>
          </w:tcPr>
          <w:p w14:paraId="0F5F9E39" w14:textId="77777777" w:rsidR="005E4516" w:rsidRPr="00193BC1" w:rsidRDefault="0084063A" w:rsidP="00487EAF">
            <w:pPr>
              <w:pStyle w:val="Tabletext"/>
              <w:jc w:val="center"/>
              <w:rPr>
                <w:rFonts w:ascii="Times" w:hAnsi="Times"/>
              </w:rPr>
            </w:pPr>
            <w:r w:rsidRPr="00193BC1">
              <w:t>Sanofi-Aventis</w:t>
            </w:r>
            <w:r w:rsidR="005E4516" w:rsidRPr="00193BC1">
              <w:t xml:space="preserve"> Australia Pty Ltd</w:t>
            </w:r>
          </w:p>
        </w:tc>
      </w:tr>
    </w:tbl>
    <w:p w14:paraId="23BE5C00" w14:textId="77777777" w:rsidR="005E4516" w:rsidRPr="00193BC1" w:rsidRDefault="005E4516" w:rsidP="005E4516">
      <w:pPr>
        <w:keepNext/>
        <w:rPr>
          <w:rFonts w:ascii="Arial Narrow" w:hAnsi="Arial Narrow"/>
          <w:sz w:val="20"/>
          <w:szCs w:val="20"/>
        </w:rPr>
      </w:pPr>
    </w:p>
    <w:p w14:paraId="58DC2C4A" w14:textId="77777777" w:rsidR="005E4516" w:rsidRPr="00193BC1" w:rsidRDefault="005E4516" w:rsidP="005E4516">
      <w:pPr>
        <w:pStyle w:val="TableFooter"/>
      </w:pPr>
    </w:p>
    <w:p w14:paraId="119BE6E1" w14:textId="77777777" w:rsidR="0070664B" w:rsidRPr="00193BC1" w:rsidRDefault="0070664B" w:rsidP="005E4516">
      <w:pPr>
        <w:pStyle w:val="TableFooter"/>
      </w:pPr>
    </w:p>
    <w:tbl>
      <w:tblPr>
        <w:tblW w:w="5000" w:type="pct"/>
        <w:tblLook w:val="0000" w:firstRow="0" w:lastRow="0" w:firstColumn="0" w:lastColumn="0" w:noHBand="0" w:noVBand="0"/>
      </w:tblPr>
      <w:tblGrid>
        <w:gridCol w:w="1555"/>
        <w:gridCol w:w="7462"/>
      </w:tblGrid>
      <w:tr w:rsidR="006F2ADF" w:rsidRPr="00193BC1" w14:paraId="7C2DEA43"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24F510F8" w14:textId="77777777" w:rsidR="005E4516" w:rsidRPr="00193BC1" w:rsidRDefault="005E4516" w:rsidP="00487EAF">
            <w:pPr>
              <w:pStyle w:val="TableText0"/>
              <w:keepNext w:val="0"/>
              <w:jc w:val="center"/>
              <w:rPr>
                <w:b/>
              </w:rPr>
            </w:pPr>
            <w:r w:rsidRPr="00193BC1">
              <w:rPr>
                <w:b/>
              </w:rPr>
              <w:t>Concept ID</w:t>
            </w:r>
          </w:p>
          <w:p w14:paraId="6898BBA7" w14:textId="77777777" w:rsidR="005E4516" w:rsidRPr="00193BC1" w:rsidRDefault="005E4516" w:rsidP="00487EAF">
            <w:pPr>
              <w:pStyle w:val="TableText0"/>
              <w:keepNext w:val="0"/>
              <w:jc w:val="center"/>
              <w:rPr>
                <w:b/>
              </w:rPr>
            </w:pPr>
          </w:p>
          <w:p w14:paraId="4663F366"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037D61F5" w14:textId="77777777" w:rsidR="005E4516" w:rsidRPr="00193BC1" w:rsidRDefault="005E4516" w:rsidP="00487EAF">
            <w:pPr>
              <w:pStyle w:val="TableText0"/>
              <w:keepNext w:val="0"/>
            </w:pPr>
            <w:r w:rsidRPr="00193BC1">
              <w:rPr>
                <w:b/>
              </w:rPr>
              <w:t>Category / Program:</w:t>
            </w:r>
          </w:p>
          <w:p w14:paraId="7C239592" w14:textId="77777777" w:rsidR="005E4516" w:rsidRPr="00193BC1" w:rsidRDefault="005E4516" w:rsidP="00487EAF">
            <w:pPr>
              <w:pStyle w:val="TableText0"/>
              <w:keepNext w:val="0"/>
            </w:pPr>
            <w:r w:rsidRPr="00193BC1">
              <w:t>Section 100 – Highly Specialised Drugs Program – public and private</w:t>
            </w:r>
          </w:p>
        </w:tc>
      </w:tr>
      <w:tr w:rsidR="006F2ADF" w:rsidRPr="00193BC1" w14:paraId="64109954" w14:textId="77777777" w:rsidTr="00F813B9">
        <w:trPr>
          <w:cantSplit/>
        </w:trPr>
        <w:tc>
          <w:tcPr>
            <w:tcW w:w="862" w:type="pct"/>
            <w:vMerge/>
            <w:tcBorders>
              <w:left w:val="single" w:sz="4" w:space="0" w:color="auto"/>
              <w:right w:val="single" w:sz="4" w:space="0" w:color="auto"/>
            </w:tcBorders>
          </w:tcPr>
          <w:p w14:paraId="0880FFA8"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57DC987C" w14:textId="77777777" w:rsidR="005E4516" w:rsidRPr="00193BC1" w:rsidRDefault="005E4516" w:rsidP="00487EAF">
            <w:pPr>
              <w:pStyle w:val="TableText0"/>
              <w:keepNext w:val="0"/>
            </w:pPr>
            <w:r w:rsidRPr="00193BC1">
              <w:rPr>
                <w:b/>
              </w:rPr>
              <w:t>Prescriber type:</w:t>
            </w:r>
          </w:p>
          <w:p w14:paraId="44D2BFB0" w14:textId="77777777" w:rsidR="005E4516" w:rsidRPr="00193BC1" w:rsidRDefault="005E4516" w:rsidP="00487EAF">
            <w:pPr>
              <w:pStyle w:val="TableText0"/>
              <w:keepNext w:val="0"/>
            </w:pPr>
            <w:r w:rsidRPr="00193BC1">
              <w:fldChar w:fldCharType="begin">
                <w:ffData>
                  <w:name w:val="Check1"/>
                  <w:enabled/>
                  <w:calcOnExit w:val="0"/>
                  <w:checkBox>
                    <w:sizeAuto/>
                    <w:default w:val="1"/>
                  </w:checkBox>
                </w:ffData>
              </w:fldChar>
            </w:r>
            <w:bookmarkStart w:id="51" w:name="Check1"/>
            <w:r w:rsidRPr="00193BC1">
              <w:instrText xml:space="preserve"> FORMCHECKBOX </w:instrText>
            </w:r>
            <w:r w:rsidR="00026C00">
              <w:fldChar w:fldCharType="separate"/>
            </w:r>
            <w:r w:rsidRPr="00193BC1">
              <w:fldChar w:fldCharType="end"/>
            </w:r>
            <w:bookmarkEnd w:id="51"/>
            <w:r w:rsidRPr="00193BC1">
              <w:t>Medical Practitioners</w:t>
            </w:r>
          </w:p>
        </w:tc>
      </w:tr>
      <w:tr w:rsidR="006F2ADF" w:rsidRPr="00193BC1" w14:paraId="74748B0F" w14:textId="77777777" w:rsidTr="00F813B9">
        <w:trPr>
          <w:cantSplit/>
        </w:trPr>
        <w:tc>
          <w:tcPr>
            <w:tcW w:w="862" w:type="pct"/>
            <w:vMerge/>
            <w:tcBorders>
              <w:left w:val="single" w:sz="4" w:space="0" w:color="auto"/>
              <w:bottom w:val="single" w:sz="4" w:space="0" w:color="auto"/>
              <w:right w:val="single" w:sz="4" w:space="0" w:color="auto"/>
            </w:tcBorders>
          </w:tcPr>
          <w:p w14:paraId="6BD715E9"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5708927" w14:textId="77777777" w:rsidR="005E4516" w:rsidRPr="00193BC1" w:rsidRDefault="005E4516" w:rsidP="00487EAF">
            <w:pPr>
              <w:pStyle w:val="TableText0"/>
              <w:keepNext w:val="0"/>
            </w:pPr>
            <w:r w:rsidRPr="00193BC1">
              <w:rPr>
                <w:b/>
              </w:rPr>
              <w:t>Restriction:</w:t>
            </w:r>
          </w:p>
          <w:p w14:paraId="394A5A3C" w14:textId="77777777" w:rsidR="005E4516" w:rsidRPr="00193BC1" w:rsidRDefault="005E4516" w:rsidP="00487EAF">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50EFA7AC"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607A16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DC8D0DA" w14:textId="77777777" w:rsidR="005E4516" w:rsidRPr="00193BC1" w:rsidRDefault="005E4516" w:rsidP="00487EAF">
            <w:pPr>
              <w:pStyle w:val="TableText0"/>
              <w:keepNext w:val="0"/>
            </w:pPr>
            <w:r w:rsidRPr="00193BC1">
              <w:rPr>
                <w:b/>
              </w:rPr>
              <w:t>Severity:</w:t>
            </w:r>
          </w:p>
          <w:p w14:paraId="7C011781" w14:textId="77777777" w:rsidR="005E4516" w:rsidRPr="00193BC1" w:rsidRDefault="005E4516" w:rsidP="00487EAF">
            <w:pPr>
              <w:pStyle w:val="TableText0"/>
              <w:keepNext w:val="0"/>
            </w:pPr>
            <w:r w:rsidRPr="00193BC1">
              <w:t>Uncontrolled severe</w:t>
            </w:r>
          </w:p>
        </w:tc>
      </w:tr>
      <w:tr w:rsidR="006F2ADF" w:rsidRPr="00193BC1" w14:paraId="6367FA7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5005C6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9E5E356" w14:textId="77777777" w:rsidR="005E4516" w:rsidRPr="00193BC1" w:rsidRDefault="005E4516" w:rsidP="00487EAF">
            <w:pPr>
              <w:pStyle w:val="TableText0"/>
              <w:keepNext w:val="0"/>
            </w:pPr>
            <w:r w:rsidRPr="00193BC1">
              <w:rPr>
                <w:b/>
              </w:rPr>
              <w:t>Condition:</w:t>
            </w:r>
          </w:p>
          <w:p w14:paraId="134F471E" w14:textId="77777777" w:rsidR="005E4516" w:rsidRPr="00193BC1" w:rsidRDefault="005E4516" w:rsidP="00487EAF">
            <w:pPr>
              <w:pStyle w:val="TableText0"/>
              <w:keepNext w:val="0"/>
              <w:rPr>
                <w:strike/>
              </w:rPr>
            </w:pPr>
            <w:r w:rsidRPr="00193BC1">
              <w:rPr>
                <w:rFonts w:eastAsiaTheme="minorHAnsi"/>
                <w:iCs/>
              </w:rPr>
              <w:t xml:space="preserve">eosinophilic or allergic </w:t>
            </w:r>
            <w:r w:rsidRPr="00193BC1">
              <w:t>asthma</w:t>
            </w:r>
          </w:p>
        </w:tc>
      </w:tr>
      <w:tr w:rsidR="006F2ADF" w:rsidRPr="00193BC1" w14:paraId="78AAFAA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700029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6703B83" w14:textId="77777777" w:rsidR="005E4516" w:rsidRPr="00193BC1" w:rsidRDefault="005E4516" w:rsidP="00487EAF">
            <w:pPr>
              <w:pStyle w:val="TableText0"/>
              <w:keepNext w:val="0"/>
            </w:pPr>
            <w:r w:rsidRPr="00193BC1">
              <w:rPr>
                <w:b/>
              </w:rPr>
              <w:t>PBS Indication:</w:t>
            </w:r>
          </w:p>
          <w:p w14:paraId="5AA7F691" w14:textId="77777777" w:rsidR="005E4516" w:rsidRPr="00193BC1" w:rsidRDefault="005E4516" w:rsidP="00487EAF">
            <w:pPr>
              <w:pStyle w:val="TableText0"/>
              <w:keepNext w:val="0"/>
            </w:pPr>
            <w:r w:rsidRPr="00193BC1">
              <w:t xml:space="preserve">Uncontrolled severe </w:t>
            </w:r>
            <w:r w:rsidRPr="00193BC1">
              <w:rPr>
                <w:rFonts w:eastAsiaTheme="minorHAnsi"/>
                <w:iCs/>
              </w:rPr>
              <w:t>eosinophilic or allergic</w:t>
            </w:r>
            <w:r w:rsidRPr="00193BC1">
              <w:t xml:space="preserve"> </w:t>
            </w:r>
            <w:r w:rsidR="00415BF8" w:rsidRPr="00193BC1">
              <w:t>asthma</w:t>
            </w:r>
          </w:p>
        </w:tc>
      </w:tr>
      <w:tr w:rsidR="006F2ADF" w:rsidRPr="00193BC1" w14:paraId="1EB9859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25FD587"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18F80AC" w14:textId="77777777" w:rsidR="005E4516" w:rsidRPr="00193BC1" w:rsidRDefault="005E4516" w:rsidP="00487EAF">
            <w:pPr>
              <w:pStyle w:val="TableText0"/>
              <w:keepNext w:val="0"/>
            </w:pPr>
            <w:r w:rsidRPr="00193BC1">
              <w:rPr>
                <w:b/>
              </w:rPr>
              <w:t>Treatment phase:</w:t>
            </w:r>
          </w:p>
          <w:p w14:paraId="39481E27" w14:textId="77777777" w:rsidR="005E4516" w:rsidRPr="00193BC1" w:rsidRDefault="005E4516" w:rsidP="00415BF8">
            <w:pPr>
              <w:pStyle w:val="TableText0"/>
              <w:keepNext w:val="0"/>
            </w:pPr>
            <w:r w:rsidRPr="00193BC1">
              <w:t xml:space="preserve">Initial treatment 1 – </w:t>
            </w:r>
            <w:r w:rsidRPr="00193BC1">
              <w:rPr>
                <w:i/>
              </w:rPr>
              <w:t>(</w:t>
            </w:r>
            <w:r w:rsidRPr="00193BC1">
              <w:t xml:space="preserve">New patient; or </w:t>
            </w:r>
            <w:r w:rsidR="00415BF8" w:rsidRPr="00193BC1">
              <w:t>Recommencement of</w:t>
            </w:r>
            <w:r w:rsidRPr="00193BC1">
              <w:t xml:space="preserve"> treatment in a new treatment cycle following a break in PBS subsidised biological medicine therapy)</w:t>
            </w:r>
            <w:r w:rsidRPr="00193BC1">
              <w:rPr>
                <w:i/>
              </w:rPr>
              <w:t xml:space="preserve"> </w:t>
            </w:r>
          </w:p>
        </w:tc>
      </w:tr>
      <w:tr w:rsidR="006F2ADF" w:rsidRPr="00193BC1" w14:paraId="34B341B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E46363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69A9F57" w14:textId="77777777" w:rsidR="005E4516" w:rsidRPr="00193BC1" w:rsidRDefault="005E4516" w:rsidP="00487EAF">
            <w:pPr>
              <w:pStyle w:val="TableText0"/>
              <w:keepNext w:val="0"/>
              <w:rPr>
                <w:rFonts w:cs="Arial"/>
              </w:rPr>
            </w:pPr>
            <w:r w:rsidRPr="00193BC1">
              <w:rPr>
                <w:b/>
              </w:rPr>
              <w:t>Treatment criteria:</w:t>
            </w:r>
          </w:p>
          <w:p w14:paraId="24DFB1C3" w14:textId="77777777" w:rsidR="005E4516" w:rsidRPr="00193BC1" w:rsidRDefault="005E4516" w:rsidP="00487EAF">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6F2ADF" w:rsidRPr="00193BC1" w14:paraId="5D9AB8E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BEC9B9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F1AAE3A" w14:textId="77777777" w:rsidR="005E4516" w:rsidRPr="00193BC1" w:rsidRDefault="005E4516" w:rsidP="00487EAF">
            <w:pPr>
              <w:pStyle w:val="TableText0"/>
              <w:keepNext w:val="0"/>
              <w:rPr>
                <w:b/>
              </w:rPr>
            </w:pPr>
            <w:r w:rsidRPr="00193BC1">
              <w:rPr>
                <w:b/>
              </w:rPr>
              <w:t>AND</w:t>
            </w:r>
          </w:p>
        </w:tc>
      </w:tr>
      <w:tr w:rsidR="006F2ADF" w:rsidRPr="00193BC1" w14:paraId="1C0E827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3B3EA2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82AC683" w14:textId="77777777" w:rsidR="005E4516" w:rsidRPr="00193BC1" w:rsidRDefault="005E4516" w:rsidP="00487EAF">
            <w:pPr>
              <w:pStyle w:val="TableText0"/>
              <w:keepNext w:val="0"/>
              <w:rPr>
                <w:b/>
              </w:rPr>
            </w:pPr>
            <w:r w:rsidRPr="00193BC1">
              <w:rPr>
                <w:b/>
              </w:rPr>
              <w:t>Clinical criteria:</w:t>
            </w:r>
          </w:p>
        </w:tc>
      </w:tr>
      <w:tr w:rsidR="006F2ADF" w:rsidRPr="00193BC1" w14:paraId="6E54485C"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3AF878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FEE9198" w14:textId="77777777" w:rsidR="005E4516" w:rsidRPr="00193BC1" w:rsidRDefault="005E4516" w:rsidP="00487EAF">
            <w:pPr>
              <w:pStyle w:val="TableText0"/>
              <w:keepNext w:val="0"/>
            </w:pPr>
            <w:r w:rsidRPr="00193BC1">
              <w:t>Patient must be under the care of the same physician for at least 6 months; or</w:t>
            </w:r>
          </w:p>
        </w:tc>
      </w:tr>
      <w:tr w:rsidR="006F2ADF" w:rsidRPr="00193BC1" w14:paraId="6A896A39"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268F0F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EF07A1B" w14:textId="77777777" w:rsidR="005E4516" w:rsidRPr="00193BC1" w:rsidRDefault="005E4516" w:rsidP="00487EAF">
            <w:pPr>
              <w:pStyle w:val="TableText0"/>
              <w:keepNext w:val="0"/>
            </w:pPr>
            <w:r w:rsidRPr="00193BC1">
              <w:t>Patient must have been diagnosed by a multidisciplinary severe asthma clinic team.</w:t>
            </w:r>
          </w:p>
        </w:tc>
      </w:tr>
      <w:tr w:rsidR="006F2ADF" w:rsidRPr="00193BC1" w14:paraId="52EB4E7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4BCF5D5"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02FC026" w14:textId="77777777" w:rsidR="005E4516" w:rsidRPr="00193BC1" w:rsidRDefault="005E4516" w:rsidP="00487EAF">
            <w:pPr>
              <w:pStyle w:val="TableText0"/>
              <w:keepNext w:val="0"/>
              <w:rPr>
                <w:b/>
              </w:rPr>
            </w:pPr>
            <w:r w:rsidRPr="00193BC1">
              <w:rPr>
                <w:b/>
              </w:rPr>
              <w:t>AND</w:t>
            </w:r>
          </w:p>
        </w:tc>
      </w:tr>
      <w:tr w:rsidR="006F2ADF" w:rsidRPr="00193BC1" w14:paraId="5A31858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82F05B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EFA7A45" w14:textId="77777777" w:rsidR="005E4516" w:rsidRPr="00193BC1" w:rsidRDefault="005E4516" w:rsidP="00487EAF">
            <w:pPr>
              <w:pStyle w:val="TableText0"/>
              <w:keepNext w:val="0"/>
              <w:rPr>
                <w:rFonts w:cs="Arial"/>
              </w:rPr>
            </w:pPr>
            <w:r w:rsidRPr="00193BC1">
              <w:rPr>
                <w:b/>
              </w:rPr>
              <w:t>Clinical criteria:</w:t>
            </w:r>
          </w:p>
        </w:tc>
      </w:tr>
      <w:tr w:rsidR="006F2ADF" w:rsidRPr="00193BC1" w14:paraId="0011013C"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8DC6B6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B121733" w14:textId="77777777" w:rsidR="005E4516" w:rsidRPr="00193BC1" w:rsidRDefault="005E4516" w:rsidP="00487EAF">
            <w:pPr>
              <w:pStyle w:val="TableText0"/>
              <w:keepNext w:val="0"/>
              <w:rPr>
                <w:rFonts w:cs="Arial"/>
              </w:rPr>
            </w:pPr>
            <w:r w:rsidRPr="00193BC1">
              <w:rPr>
                <w:rFonts w:cs="Arial"/>
              </w:rPr>
              <w:t>Patient must not have received PBS-subsidised treatment with a biological medicine for severe asthma; or</w:t>
            </w:r>
          </w:p>
        </w:tc>
      </w:tr>
      <w:tr w:rsidR="006F2ADF" w:rsidRPr="00193BC1" w14:paraId="59AA0DD6"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768F81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1028B63" w14:textId="77777777" w:rsidR="005E4516" w:rsidRPr="00193BC1" w:rsidRDefault="005E4516" w:rsidP="00487EAF">
            <w:pPr>
              <w:pStyle w:val="TableText0"/>
              <w:keepNext w:val="0"/>
              <w:rPr>
                <w:rFonts w:cs="Arial"/>
              </w:rPr>
            </w:pPr>
            <w:r w:rsidRPr="00193BC1">
              <w:rPr>
                <w:rFonts w:cs="Arial"/>
              </w:rPr>
              <w:t>Patient must have had a break in treatment from the most recently approved PBS-subsidised biological medicine for severe asthma.</w:t>
            </w:r>
          </w:p>
        </w:tc>
      </w:tr>
      <w:tr w:rsidR="006F2ADF" w:rsidRPr="00193BC1" w14:paraId="1D6908C6"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BE19F6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9AD6E30" w14:textId="77777777" w:rsidR="005E4516" w:rsidRPr="00193BC1" w:rsidRDefault="005E4516" w:rsidP="00487EAF">
            <w:pPr>
              <w:pStyle w:val="TableText0"/>
              <w:keepNext w:val="0"/>
              <w:rPr>
                <w:rFonts w:cs="Arial"/>
              </w:rPr>
            </w:pPr>
            <w:r w:rsidRPr="00193BC1">
              <w:rPr>
                <w:b/>
              </w:rPr>
              <w:t>AND</w:t>
            </w:r>
          </w:p>
        </w:tc>
      </w:tr>
      <w:tr w:rsidR="006F2ADF" w:rsidRPr="00193BC1" w14:paraId="1D8E0E4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182458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DB255AF" w14:textId="77777777" w:rsidR="005E4516" w:rsidRPr="00193BC1" w:rsidRDefault="005E4516" w:rsidP="00487EAF">
            <w:pPr>
              <w:pStyle w:val="TableText0"/>
              <w:keepNext w:val="0"/>
              <w:rPr>
                <w:rFonts w:cs="Arial"/>
              </w:rPr>
            </w:pPr>
            <w:r w:rsidRPr="00193BC1">
              <w:rPr>
                <w:b/>
              </w:rPr>
              <w:t>Clinical criteria:</w:t>
            </w:r>
          </w:p>
        </w:tc>
      </w:tr>
      <w:tr w:rsidR="006F2ADF" w:rsidRPr="00193BC1" w14:paraId="2E1BE7C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DC60B8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1B66A61" w14:textId="77777777" w:rsidR="005E4516" w:rsidRPr="00193BC1" w:rsidRDefault="005E4516" w:rsidP="00487EAF">
            <w:pPr>
              <w:pStyle w:val="TableText0"/>
              <w:keepNext w:val="0"/>
              <w:rPr>
                <w:rFonts w:cs="Arial"/>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6F2ADF" w:rsidRPr="00193BC1" w14:paraId="3DE79C5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F977D47"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1AE11A3" w14:textId="77777777" w:rsidR="005E4516" w:rsidRPr="00193BC1" w:rsidRDefault="005E4516" w:rsidP="00487EAF">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6F2ADF" w:rsidRPr="00193BC1" w14:paraId="0A8E66DB"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966894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DAC6AE9" w14:textId="77777777" w:rsidR="005E4516" w:rsidRPr="00193BC1" w:rsidRDefault="005E4516" w:rsidP="00487EAF">
            <w:pPr>
              <w:pStyle w:val="TableText0"/>
              <w:keepNext w:val="0"/>
              <w:rPr>
                <w:rFonts w:cs="Arial"/>
              </w:rPr>
            </w:pPr>
            <w:r w:rsidRPr="00193BC1">
              <w:rPr>
                <w:b/>
              </w:rPr>
              <w:t>AND</w:t>
            </w:r>
          </w:p>
        </w:tc>
      </w:tr>
      <w:tr w:rsidR="006F2ADF" w:rsidRPr="00193BC1" w14:paraId="19473D8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40C9CE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2ED00DF" w14:textId="77777777" w:rsidR="005E4516" w:rsidRPr="00193BC1" w:rsidRDefault="005E4516" w:rsidP="00487EAF">
            <w:pPr>
              <w:pStyle w:val="TableText0"/>
              <w:keepNext w:val="0"/>
              <w:rPr>
                <w:rFonts w:cs="Arial"/>
              </w:rPr>
            </w:pPr>
            <w:r w:rsidRPr="00193BC1">
              <w:rPr>
                <w:b/>
              </w:rPr>
              <w:t>Clinical criteria:</w:t>
            </w:r>
          </w:p>
        </w:tc>
      </w:tr>
      <w:tr w:rsidR="006F2ADF" w:rsidRPr="00193BC1" w14:paraId="36D32FF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D0F7D8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65004C1" w14:textId="77777777" w:rsidR="005E4516" w:rsidRPr="00193BC1" w:rsidRDefault="005E4516" w:rsidP="00487EAF">
            <w:pPr>
              <w:pStyle w:val="TableText0"/>
              <w:keepNext w:val="0"/>
              <w:rPr>
                <w:rFonts w:cs="Arial"/>
              </w:rPr>
            </w:pPr>
            <w:r w:rsidRPr="00193BC1">
              <w:rPr>
                <w:rFonts w:cs="Arial"/>
              </w:rPr>
              <w:t>Patient must have a duration of asthma of at least 1 year.</w:t>
            </w:r>
          </w:p>
        </w:tc>
      </w:tr>
      <w:tr w:rsidR="006F2ADF" w:rsidRPr="00193BC1" w14:paraId="6B0A526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EE4C88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9ED2DFF" w14:textId="77777777" w:rsidR="005E4516" w:rsidRPr="00193BC1" w:rsidRDefault="005E4516" w:rsidP="00487EAF">
            <w:pPr>
              <w:pStyle w:val="TableText0"/>
              <w:keepNext w:val="0"/>
              <w:rPr>
                <w:rFonts w:cs="Arial"/>
              </w:rPr>
            </w:pPr>
            <w:r w:rsidRPr="00193BC1">
              <w:rPr>
                <w:b/>
              </w:rPr>
              <w:t>AND</w:t>
            </w:r>
          </w:p>
        </w:tc>
      </w:tr>
      <w:tr w:rsidR="006F2ADF" w:rsidRPr="00193BC1" w14:paraId="3F8BDC46"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607E6D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82F097C" w14:textId="77777777" w:rsidR="005E4516" w:rsidRPr="00193BC1" w:rsidRDefault="005E4516" w:rsidP="00487EAF">
            <w:pPr>
              <w:pStyle w:val="TableText0"/>
              <w:keepNext w:val="0"/>
              <w:rPr>
                <w:rFonts w:cs="Arial"/>
              </w:rPr>
            </w:pPr>
            <w:r w:rsidRPr="00193BC1">
              <w:rPr>
                <w:b/>
              </w:rPr>
              <w:t>Clinical criteria:</w:t>
            </w:r>
          </w:p>
        </w:tc>
      </w:tr>
      <w:tr w:rsidR="006F2ADF" w:rsidRPr="00193BC1" w14:paraId="6EC3C841"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38E379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1F713EA" w14:textId="77777777" w:rsidR="005E4516" w:rsidRPr="00193BC1" w:rsidRDefault="005E4516" w:rsidP="00487EAF">
            <w:pPr>
              <w:pStyle w:val="TableText0"/>
              <w:keepNext w:val="0"/>
              <w:rPr>
                <w:rFonts w:cs="Arial"/>
              </w:rPr>
            </w:pPr>
            <w:r w:rsidRPr="00193BC1">
              <w:rPr>
                <w:rFonts w:cs="Arial"/>
              </w:rPr>
              <w:t>Patient must have blood eosinophil count greater than or equal to 300 cells per microlitre in the last 12 months, or</w:t>
            </w:r>
          </w:p>
        </w:tc>
      </w:tr>
      <w:tr w:rsidR="006F2ADF" w:rsidRPr="00193BC1" w14:paraId="77AA829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7E6540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A339367" w14:textId="77777777" w:rsidR="005E4516" w:rsidRPr="00193BC1" w:rsidRDefault="005E4516" w:rsidP="00487EAF">
            <w:pPr>
              <w:pStyle w:val="TableText0"/>
              <w:keepNext w:val="0"/>
              <w:rPr>
                <w:rFonts w:cs="Arial"/>
              </w:rPr>
            </w:pPr>
            <w:r w:rsidRPr="00193BC1">
              <w:rPr>
                <w:rFonts w:cs="Arial"/>
              </w:rPr>
              <w:t>Patient must have blood eosinophil count greater than or equal to 150 cells per microlitre while receiving treatment with oral corticosteroids in the last 12 months, or</w:t>
            </w:r>
          </w:p>
        </w:tc>
      </w:tr>
      <w:tr w:rsidR="006F2ADF" w:rsidRPr="00193BC1" w14:paraId="0C14514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362146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4B5C35B" w14:textId="77777777" w:rsidR="005E4516" w:rsidRPr="00193BC1" w:rsidRDefault="005E4516" w:rsidP="00487EAF">
            <w:pPr>
              <w:pStyle w:val="TableText0"/>
              <w:keepNext w:val="0"/>
              <w:rPr>
                <w:rFonts w:cs="Arial"/>
              </w:rPr>
            </w:pPr>
            <w:r w:rsidRPr="00193BC1">
              <w:rPr>
                <w:rFonts w:cs="Arial"/>
              </w:rPr>
              <w:t>Patient must have total serum human immunoglobulin E greater than or equal to 30 IU/mL with past or current evidence of atopy, documented by skin prick testing or an in vitro measure of specific IgE in the l</w:t>
            </w:r>
            <w:r w:rsidR="00415BF8" w:rsidRPr="00193BC1">
              <w:rPr>
                <w:rFonts w:cs="Arial"/>
              </w:rPr>
              <w:t>ast 12 months</w:t>
            </w:r>
            <w:r w:rsidRPr="00193BC1">
              <w:rPr>
                <w:rFonts w:cs="Arial"/>
              </w:rPr>
              <w:t>.</w:t>
            </w:r>
          </w:p>
        </w:tc>
      </w:tr>
      <w:tr w:rsidR="006F2ADF" w:rsidRPr="00193BC1" w14:paraId="6F4197F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27ED4C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6B4C049"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2715B09B"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270FC8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395DB96" w14:textId="77777777" w:rsidR="005E4516" w:rsidRPr="00193BC1" w:rsidRDefault="005E4516" w:rsidP="00487EAF">
            <w:pPr>
              <w:pStyle w:val="TableText0"/>
              <w:keepNext w:val="0"/>
              <w:rPr>
                <w:rFonts w:cs="Arial"/>
              </w:rPr>
            </w:pPr>
            <w:r w:rsidRPr="00193BC1">
              <w:rPr>
                <w:b/>
              </w:rPr>
              <w:t>Clinical criteria:</w:t>
            </w:r>
          </w:p>
        </w:tc>
      </w:tr>
      <w:tr w:rsidR="006F2ADF" w:rsidRPr="00193BC1" w14:paraId="5573FAF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624FD1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40EC3A2" w14:textId="77777777" w:rsidR="005E4516" w:rsidRPr="00193BC1" w:rsidRDefault="005E4516" w:rsidP="00487EAF">
            <w:pPr>
              <w:pStyle w:val="TableText0"/>
              <w:keepNext w:val="0"/>
              <w:rPr>
                <w:rFonts w:cs="Arial"/>
              </w:rPr>
            </w:pPr>
            <w:r w:rsidRPr="00193BC1">
              <w:rPr>
                <w:rFonts w:cs="Arial"/>
              </w:rPr>
              <w:t>Patient must have failed to achieve adequate control with optimised asthma therapy, despite formal assessment of and adherence to correct inhaler technique, which has been documented.</w:t>
            </w:r>
          </w:p>
        </w:tc>
      </w:tr>
      <w:tr w:rsidR="006F2ADF" w:rsidRPr="00193BC1" w14:paraId="1EF422FB"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D708D4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1E8E709"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1FEC0F5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6EEC17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07FBFC0" w14:textId="77777777" w:rsidR="005E4516" w:rsidRPr="00193BC1" w:rsidRDefault="005E4516" w:rsidP="00487EAF">
            <w:pPr>
              <w:pStyle w:val="TableText0"/>
              <w:keepNext w:val="0"/>
              <w:rPr>
                <w:rFonts w:cs="Arial"/>
              </w:rPr>
            </w:pPr>
            <w:r w:rsidRPr="00193BC1">
              <w:rPr>
                <w:b/>
              </w:rPr>
              <w:t>Clinical criteria:</w:t>
            </w:r>
          </w:p>
        </w:tc>
      </w:tr>
      <w:tr w:rsidR="006F2ADF" w:rsidRPr="00193BC1" w14:paraId="3EF1830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E14D68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07761D8" w14:textId="77777777" w:rsidR="005E4516" w:rsidRPr="00193BC1" w:rsidRDefault="005E4516" w:rsidP="00487EAF">
            <w:pPr>
              <w:pStyle w:val="TableText0"/>
              <w:keepNext w:val="0"/>
              <w:rPr>
                <w:rFonts w:cs="Arial"/>
              </w:rPr>
            </w:pPr>
            <w:r w:rsidRPr="00193BC1">
              <w:rPr>
                <w:rFonts w:cs="Arial"/>
              </w:rPr>
              <w:t>Patient must not receive more than 32 weeks of treatment under this restriction.</w:t>
            </w:r>
          </w:p>
        </w:tc>
      </w:tr>
      <w:tr w:rsidR="006F2ADF" w:rsidRPr="00193BC1" w14:paraId="7434933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23C31B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A4BACE4"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629DC8F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001D1B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0D7672D" w14:textId="77777777" w:rsidR="005E4516" w:rsidRPr="00193BC1" w:rsidRDefault="005E4516" w:rsidP="00487EAF">
            <w:pPr>
              <w:pStyle w:val="TableText0"/>
              <w:keepNext w:val="0"/>
              <w:rPr>
                <w:rFonts w:cs="Arial"/>
              </w:rPr>
            </w:pPr>
            <w:r w:rsidRPr="00193BC1">
              <w:rPr>
                <w:b/>
              </w:rPr>
              <w:t>Clinical criteria:</w:t>
            </w:r>
          </w:p>
        </w:tc>
      </w:tr>
      <w:tr w:rsidR="006F2ADF" w:rsidRPr="00193BC1" w14:paraId="15692A3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A339E9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95823FC" w14:textId="77777777" w:rsidR="005E4516" w:rsidRPr="00193BC1" w:rsidRDefault="005E4516" w:rsidP="00487EAF">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6F2ADF" w:rsidRPr="00193BC1" w14:paraId="6E72238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E84D47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8D70529" w14:textId="77777777" w:rsidR="005E4516" w:rsidRPr="00193BC1" w:rsidRDefault="005E4516" w:rsidP="00487EAF">
            <w:pPr>
              <w:pStyle w:val="TableText0"/>
              <w:keepNext w:val="0"/>
              <w:rPr>
                <w:rFonts w:cs="Arial"/>
              </w:rPr>
            </w:pPr>
            <w:r w:rsidRPr="00193BC1">
              <w:rPr>
                <w:b/>
              </w:rPr>
              <w:t>Population criteria:</w:t>
            </w:r>
          </w:p>
          <w:p w14:paraId="7BEDD786" w14:textId="77777777" w:rsidR="005E4516" w:rsidRPr="00193BC1" w:rsidRDefault="005E4516" w:rsidP="00487EAF">
            <w:pPr>
              <w:pStyle w:val="TableText0"/>
              <w:keepNext w:val="0"/>
              <w:rPr>
                <w:rFonts w:cs="Arial"/>
              </w:rPr>
            </w:pPr>
            <w:r w:rsidRPr="00193BC1">
              <w:rPr>
                <w:rFonts w:cs="Arial"/>
              </w:rPr>
              <w:t>Patients must be aged 12 years or older.</w:t>
            </w:r>
          </w:p>
        </w:tc>
      </w:tr>
      <w:tr w:rsidR="006F2ADF" w:rsidRPr="00193BC1" w14:paraId="27D0FDE8"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BC97843" w14:textId="77777777" w:rsidR="005E4516" w:rsidRPr="00193BC1" w:rsidRDefault="005E4516" w:rsidP="00487EAF">
            <w:pPr>
              <w:pStyle w:val="TableText0"/>
              <w:keepNext w:val="0"/>
              <w:widowControl w:val="0"/>
              <w:jc w:val="center"/>
            </w:pPr>
          </w:p>
        </w:tc>
        <w:tc>
          <w:tcPr>
            <w:tcW w:w="4138" w:type="pct"/>
            <w:tcBorders>
              <w:top w:val="single" w:sz="4" w:space="0" w:color="auto"/>
              <w:left w:val="single" w:sz="4" w:space="0" w:color="auto"/>
              <w:bottom w:val="single" w:sz="4" w:space="0" w:color="auto"/>
              <w:right w:val="single" w:sz="4" w:space="0" w:color="auto"/>
            </w:tcBorders>
          </w:tcPr>
          <w:p w14:paraId="6B177F2C" w14:textId="77777777" w:rsidR="005E4516" w:rsidRPr="00193BC1" w:rsidRDefault="005E4516" w:rsidP="00487EAF">
            <w:pPr>
              <w:pStyle w:val="TableText0"/>
              <w:keepNext w:val="0"/>
              <w:widowControl w:val="0"/>
              <w:rPr>
                <w:b/>
              </w:rPr>
            </w:pPr>
            <w:r w:rsidRPr="00193BC1">
              <w:rPr>
                <w:b/>
              </w:rPr>
              <w:t>Prescribing instructions</w:t>
            </w:r>
          </w:p>
          <w:p w14:paraId="7F76BD35"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The following initiation criteria indicate failure to achieve adequate control and must be demonstrated in all patients at the time of the application:</w:t>
            </w:r>
          </w:p>
          <w:p w14:paraId="09458EC5"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(a) an Asthma Control Questionnaire (ACQ-5) score of at least 2.0, as assessed in the previous month, AND</w:t>
            </w:r>
          </w:p>
          <w:p w14:paraId="4C82E06D"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53E88CAA"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1B693226"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p>
          <w:p w14:paraId="2DB58DDC"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If a patient fails to demonstrate a response to treatment with this drug they will not be eligible to receive further PBS-subsidised treatment with this drug for this condition within the same treatment cycle.</w:t>
            </w:r>
          </w:p>
          <w:p w14:paraId="290FF149"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A treatment break in PBS-subsidised biological medicine therapy of at least 12 months must be observed in a patient who has either failed to achieve or sustain a response to treatment with 4 biological medicines within the same treatment cycle.</w:t>
            </w:r>
          </w:p>
          <w:p w14:paraId="63A8587B"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4C575427"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There is no limit to the number of treatment cycles that a patient may undertake in their lifetime.</w:t>
            </w:r>
          </w:p>
          <w:p w14:paraId="4D444478"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A multidisciplinary severe asthma clinic team comprises of:</w:t>
            </w:r>
          </w:p>
          <w:p w14:paraId="4F038370" w14:textId="77777777" w:rsidR="005E4516" w:rsidRPr="00193BC1" w:rsidRDefault="005E4516" w:rsidP="00F94D70">
            <w:pPr>
              <w:widowControl w:val="0"/>
              <w:numPr>
                <w:ilvl w:val="0"/>
                <w:numId w:val="25"/>
              </w:numPr>
              <w:jc w:val="left"/>
              <w:rPr>
                <w:rFonts w:ascii="Arial Narrow" w:eastAsiaTheme="majorEastAsia" w:hAnsi="Arial Narrow"/>
                <w:bCs/>
                <w:sz w:val="20"/>
              </w:rPr>
            </w:pPr>
            <w:r w:rsidRPr="00193BC1">
              <w:rPr>
                <w:rFonts w:ascii="Arial Narrow" w:eastAsiaTheme="majorEastAsia" w:hAnsi="Arial Narrow"/>
                <w:bCs/>
                <w:sz w:val="20"/>
              </w:rPr>
              <w:t>A respiratory physician; and</w:t>
            </w:r>
          </w:p>
          <w:p w14:paraId="54D64357" w14:textId="77777777" w:rsidR="005E4516" w:rsidRPr="00193BC1" w:rsidRDefault="005E4516" w:rsidP="00F94D70">
            <w:pPr>
              <w:widowControl w:val="0"/>
              <w:numPr>
                <w:ilvl w:val="0"/>
                <w:numId w:val="25"/>
              </w:numPr>
              <w:jc w:val="left"/>
              <w:rPr>
                <w:rFonts w:ascii="Arial Narrow" w:eastAsiaTheme="majorEastAsia" w:hAnsi="Arial Narrow"/>
                <w:bCs/>
                <w:sz w:val="20"/>
              </w:rPr>
            </w:pPr>
            <w:r w:rsidRPr="00193BC1">
              <w:rPr>
                <w:rFonts w:ascii="Arial Narrow" w:eastAsiaTheme="majorEastAsia" w:hAnsi="Arial Narrow"/>
                <w:bCs/>
                <w:sz w:val="20"/>
              </w:rPr>
              <w:t>A pharmacist, nurse or asthma educator.</w:t>
            </w:r>
          </w:p>
          <w:p w14:paraId="3AE250C6"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At the time of the authority application, medical practitioners should request up to 8 repeats to provide for an initial course of dupilumab sufficient for up to 32 weeks of therapy, at a dose of 400 mg as an initial dose, followed by 200 mg every 2 weeks thereafter.</w:t>
            </w:r>
          </w:p>
          <w:p w14:paraId="1741928D"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The authority application must be made in writing and must include:</w:t>
            </w:r>
          </w:p>
          <w:p w14:paraId="499FDDCD"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(a) a completed authority prescription form; and</w:t>
            </w:r>
          </w:p>
          <w:p w14:paraId="150CCC41"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(b) a completed Severe eosinophilic or allergic asthma Initial PBS Authority Application - Supporting Information Form, which includes the following:</w:t>
            </w:r>
          </w:p>
          <w:p w14:paraId="270497BB"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(i) details of prior optimised asthma drug therapy (date of commencement and duration of therapy); and</w:t>
            </w:r>
          </w:p>
          <w:p w14:paraId="763DAAA9"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(ii) details of severe exacerbation/s experienced in the past 12 months while receiving optimised asthma therapy (date and treatment); and</w:t>
            </w:r>
          </w:p>
          <w:p w14:paraId="36C90B68"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(iii) the eosinophil count and date; or</w:t>
            </w:r>
          </w:p>
          <w:p w14:paraId="59C771EA" w14:textId="77777777" w:rsidR="005E4516" w:rsidRPr="00193BC1" w:rsidRDefault="005E4516" w:rsidP="00487EAF">
            <w:pPr>
              <w:widowControl w:val="0"/>
              <w:jc w:val="left"/>
              <w:rPr>
                <w:rFonts w:ascii="Arial Narrow" w:eastAsiaTheme="majorEastAsia" w:hAnsi="Arial Narrow"/>
                <w:bCs/>
                <w:sz w:val="20"/>
              </w:rPr>
            </w:pPr>
            <w:r w:rsidRPr="00193BC1">
              <w:rPr>
                <w:rFonts w:ascii="Arial Narrow" w:eastAsiaTheme="majorEastAsia" w:hAnsi="Arial Narrow"/>
                <w:bCs/>
                <w:sz w:val="20"/>
              </w:rPr>
              <w:t xml:space="preserve">(iv) the IgE result; and </w:t>
            </w:r>
          </w:p>
          <w:p w14:paraId="536A15BE" w14:textId="77777777" w:rsidR="005E4516" w:rsidRPr="00193BC1" w:rsidRDefault="005E4516" w:rsidP="00487EAF">
            <w:pPr>
              <w:pStyle w:val="TableText0"/>
              <w:keepNext w:val="0"/>
              <w:widowControl w:val="0"/>
              <w:rPr>
                <w:b/>
              </w:rPr>
            </w:pPr>
            <w:r w:rsidRPr="00193BC1">
              <w:rPr>
                <w:rFonts w:cs="Arial"/>
              </w:rPr>
              <w:t>(iv) Asthma Control Questionnaire (ACQ-5) score.</w:t>
            </w:r>
          </w:p>
        </w:tc>
      </w:tr>
      <w:tr w:rsidR="006F2ADF" w:rsidRPr="00193BC1" w14:paraId="14F8338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7A965A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8AC9BBE" w14:textId="77777777" w:rsidR="005E4516" w:rsidRPr="00193BC1" w:rsidRDefault="005E4516" w:rsidP="00487EAF">
            <w:pPr>
              <w:pStyle w:val="TableText0"/>
              <w:keepNext w:val="0"/>
              <w:rPr>
                <w:b/>
              </w:rPr>
            </w:pPr>
            <w:r w:rsidRPr="00193BC1">
              <w:rPr>
                <w:b/>
              </w:rPr>
              <w:t>Prescribing instructions:</w:t>
            </w:r>
          </w:p>
          <w:p w14:paraId="70DFA216" w14:textId="77777777" w:rsidR="005E4516" w:rsidRPr="00193BC1" w:rsidRDefault="005E4516" w:rsidP="00487EAF">
            <w:pPr>
              <w:jc w:val="left"/>
              <w:rPr>
                <w:rFonts w:ascii="Arial Narrow" w:eastAsiaTheme="majorEastAsia" w:hAnsi="Arial Narrow"/>
                <w:bCs/>
                <w:sz w:val="20"/>
              </w:rPr>
            </w:pPr>
            <w:r w:rsidRPr="00193BC1">
              <w:rPr>
                <w:rFonts w:ascii="Arial Narrow" w:eastAsiaTheme="majorEastAsia" w:hAnsi="Arial Narrow"/>
                <w:bCs/>
                <w:sz w:val="20"/>
              </w:rPr>
              <w:t>Optimised asthma therapy includes:</w:t>
            </w:r>
          </w:p>
          <w:p w14:paraId="4E5A0C92" w14:textId="77777777" w:rsidR="005E4516" w:rsidRPr="00193BC1" w:rsidRDefault="005E4516" w:rsidP="00487EAF">
            <w:pPr>
              <w:jc w:val="left"/>
              <w:rPr>
                <w:rFonts w:ascii="Arial Narrow" w:eastAsiaTheme="majorEastAsia" w:hAnsi="Arial Narrow"/>
                <w:bCs/>
                <w:sz w:val="20"/>
              </w:rPr>
            </w:pPr>
            <w:r w:rsidRPr="00193BC1">
              <w:rPr>
                <w:rFonts w:ascii="Arial Narrow" w:eastAsiaTheme="majorEastAsia" w:hAnsi="Arial Narrow"/>
                <w:bCs/>
                <w:sz w:val="20"/>
              </w:rPr>
              <w:t>(i) Adherence to maximal inhaled therapy, including high dose inhaled corticosteroid (ICS) plus long-acting beta-2 agonist (LABA) therapy for at least 12 months, unless contraindicated or not tolerated;</w:t>
            </w:r>
          </w:p>
          <w:p w14:paraId="6FA10A23" w14:textId="77777777" w:rsidR="005E4516" w:rsidRPr="00193BC1" w:rsidRDefault="005E4516" w:rsidP="00487EAF">
            <w:pPr>
              <w:jc w:val="left"/>
              <w:rPr>
                <w:rFonts w:ascii="Arial Narrow" w:eastAsiaTheme="majorEastAsia" w:hAnsi="Arial Narrow"/>
                <w:bCs/>
                <w:sz w:val="20"/>
              </w:rPr>
            </w:pPr>
            <w:r w:rsidRPr="00193BC1">
              <w:rPr>
                <w:rFonts w:ascii="Arial Narrow" w:eastAsiaTheme="majorEastAsia" w:hAnsi="Arial Narrow"/>
                <w:bCs/>
                <w:sz w:val="20"/>
              </w:rPr>
              <w:t>AND</w:t>
            </w:r>
          </w:p>
          <w:p w14:paraId="100EDD66" w14:textId="77777777" w:rsidR="005E4516" w:rsidRPr="00193BC1" w:rsidRDefault="005E4516" w:rsidP="00487EAF">
            <w:pPr>
              <w:jc w:val="left"/>
              <w:rPr>
                <w:rFonts w:ascii="Arial Narrow" w:eastAsiaTheme="majorEastAsia" w:hAnsi="Arial Narrow"/>
                <w:bCs/>
                <w:sz w:val="20"/>
              </w:rPr>
            </w:pPr>
            <w:r w:rsidRPr="00193BC1">
              <w:rPr>
                <w:rFonts w:ascii="Arial Narrow" w:eastAsiaTheme="majorEastAsia" w:hAnsi="Arial Narrow"/>
                <w:bCs/>
                <w:sz w:val="20"/>
              </w:rPr>
              <w:t>(ii) treatment with oral corticosteroids, either daily oral corticosteroids for at least 6 weeks, OR a cumulative dose of oral corticosteroids of at least 500 mg prednisolone equivalent in the previous 12 months, unless contraindicated or not tolerated.</w:t>
            </w:r>
          </w:p>
          <w:p w14:paraId="25504F20" w14:textId="77777777" w:rsidR="005E4516" w:rsidRPr="00193BC1" w:rsidRDefault="005E4516" w:rsidP="00487EAF">
            <w:pPr>
              <w:jc w:val="left"/>
              <w:rPr>
                <w:b/>
              </w:rPr>
            </w:pPr>
            <w:r w:rsidRPr="00193BC1">
              <w:rPr>
                <w:rFonts w:ascii="Arial Narrow" w:eastAsiaTheme="majorEastAsia" w:hAnsi="Arial Narrow"/>
                <w:bCs/>
                <w:sz w:val="20"/>
              </w:rPr>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6F2ADF" w:rsidRPr="00193BC1" w14:paraId="594DA7E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0DD7EA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C50F137" w14:textId="77777777" w:rsidR="005E4516" w:rsidRPr="00193BC1" w:rsidRDefault="005E4516" w:rsidP="00487EAF">
            <w:pPr>
              <w:pStyle w:val="TableText0"/>
              <w:keepNext w:val="0"/>
              <w:rPr>
                <w:b/>
              </w:rPr>
            </w:pPr>
            <w:r w:rsidRPr="00193BC1">
              <w:rPr>
                <w:b/>
              </w:rPr>
              <w:t>Administrative Advice:</w:t>
            </w:r>
          </w:p>
          <w:p w14:paraId="684279F5" w14:textId="77777777" w:rsidR="005E4516" w:rsidRPr="00193BC1" w:rsidRDefault="005E4516" w:rsidP="00487EAF">
            <w:pPr>
              <w:pStyle w:val="TableText0"/>
              <w:keepNext w:val="0"/>
              <w:rPr>
                <w:b/>
              </w:rPr>
            </w:pPr>
            <w:r w:rsidRPr="00193BC1">
              <w:rPr>
                <w:rFonts w:cs="Arial"/>
              </w:rPr>
              <w:t>The Services Australia website (www.servicesaustralia.gov.au) has details of the accepted toxicities, including severity, which will be accepted for the purposes of exempting a patient from the requirement of treatment with optimised asthma therapy.</w:t>
            </w:r>
          </w:p>
        </w:tc>
      </w:tr>
      <w:tr w:rsidR="005E4516" w:rsidRPr="00193BC1" w14:paraId="685744E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330664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2D14FB8" w14:textId="77777777" w:rsidR="005E4516" w:rsidRPr="00193BC1" w:rsidRDefault="005E4516" w:rsidP="00487EAF">
            <w:pPr>
              <w:pStyle w:val="TableText0"/>
              <w:keepNext w:val="0"/>
              <w:rPr>
                <w:b/>
              </w:rPr>
            </w:pPr>
            <w:r w:rsidRPr="00193BC1">
              <w:rPr>
                <w:b/>
              </w:rPr>
              <w:t>Administrative Advice:</w:t>
            </w:r>
          </w:p>
          <w:p w14:paraId="72EC2513" w14:textId="77777777" w:rsidR="005E4516" w:rsidRPr="00193BC1" w:rsidRDefault="005E4516" w:rsidP="00487EAF">
            <w:pPr>
              <w:pStyle w:val="TableText0"/>
              <w:keepNext w:val="0"/>
              <w:rPr>
                <w:b/>
              </w:rPr>
            </w:pPr>
            <w:r w:rsidRPr="00193BC1">
              <w:rPr>
                <w:rFonts w:cs="Arial"/>
              </w:rPr>
              <w:t>Formal assessment and correction of inhaler technique should be performed in accordance with the National Asthma Council (NAC) Information Paper for Health Professionals on Inhaler Technique (available at www.servicesaustralia.gov.au or www.nationalasthma.org.au); the assessment and adherence to correct technique should be documented in the patient's medical records. Patients can obtain support with inhaler technique through their local Asthma Foundation (1800 645 130).</w:t>
            </w:r>
          </w:p>
        </w:tc>
      </w:tr>
      <w:tr w:rsidR="003C46BE" w:rsidRPr="00193BC1" w14:paraId="048CFF6E" w14:textId="77777777" w:rsidTr="00F81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76FC688D"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4C43E05C" w14:textId="77777777" w:rsidR="003C46BE" w:rsidRPr="003C46BE" w:rsidRDefault="003C46BE" w:rsidP="00345DF8">
            <w:pPr>
              <w:rPr>
                <w:rFonts w:ascii="Arial Narrow" w:eastAsiaTheme="majorEastAsia" w:hAnsi="Arial Narrow" w:cstheme="majorBidi"/>
                <w:b/>
                <w:bCs/>
                <w:sz w:val="20"/>
                <w:szCs w:val="20"/>
              </w:rPr>
            </w:pPr>
            <w:r w:rsidRPr="003C46BE">
              <w:rPr>
                <w:rFonts w:ascii="Arial Narrow" w:eastAsiaTheme="majorEastAsia" w:hAnsi="Arial Narrow" w:cstheme="majorBidi"/>
                <w:b/>
                <w:bCs/>
                <w:sz w:val="20"/>
                <w:szCs w:val="20"/>
              </w:rPr>
              <w:t>Note:</w:t>
            </w:r>
          </w:p>
          <w:p w14:paraId="6302FC11" w14:textId="77777777" w:rsidR="003C46BE" w:rsidRPr="00193BC1" w:rsidRDefault="003C46BE" w:rsidP="00345DF8">
            <w:r w:rsidRPr="003C46BE">
              <w:rPr>
                <w:rFonts w:ascii="Arial Narrow" w:eastAsiaTheme="majorEastAsia" w:hAnsi="Arial Narrow" w:cstheme="majorBidi"/>
                <w:bCs/>
                <w:sz w:val="20"/>
                <w:szCs w:val="20"/>
              </w:rPr>
              <w:t>For copies of the ACQ and the calculation sheets please contact Sanofi Medical Information on 1800 818 806</w:t>
            </w:r>
            <w:r>
              <w:rPr>
                <w:rFonts w:ascii="Arial Narrow" w:eastAsiaTheme="majorEastAsia" w:hAnsi="Arial Narrow" w:cstheme="majorBidi"/>
                <w:bCs/>
                <w:sz w:val="20"/>
                <w:szCs w:val="20"/>
              </w:rPr>
              <w:t>.</w:t>
            </w:r>
          </w:p>
        </w:tc>
      </w:tr>
    </w:tbl>
    <w:p w14:paraId="302FDDFA" w14:textId="77777777" w:rsidR="005E4516" w:rsidRPr="00193BC1" w:rsidRDefault="005E4516" w:rsidP="005E4516">
      <w:pPr>
        <w:pStyle w:val="TableFigureFooter"/>
      </w:pPr>
    </w:p>
    <w:tbl>
      <w:tblPr>
        <w:tblW w:w="5000" w:type="pct"/>
        <w:tblLook w:val="0000" w:firstRow="0" w:lastRow="0" w:firstColumn="0" w:lastColumn="0" w:noHBand="0" w:noVBand="0"/>
      </w:tblPr>
      <w:tblGrid>
        <w:gridCol w:w="1555"/>
        <w:gridCol w:w="7462"/>
      </w:tblGrid>
      <w:tr w:rsidR="006F2ADF" w:rsidRPr="00193BC1" w14:paraId="5BDCF92E"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37639072" w14:textId="77777777" w:rsidR="005E4516" w:rsidRPr="00193BC1" w:rsidRDefault="005E4516" w:rsidP="00487EAF">
            <w:pPr>
              <w:pStyle w:val="TableText0"/>
              <w:jc w:val="center"/>
              <w:rPr>
                <w:b/>
              </w:rPr>
            </w:pPr>
            <w:r w:rsidRPr="00193BC1">
              <w:rPr>
                <w:b/>
              </w:rPr>
              <w:lastRenderedPageBreak/>
              <w:t>Concept ID</w:t>
            </w:r>
          </w:p>
          <w:p w14:paraId="01A929FA" w14:textId="77777777" w:rsidR="005E4516" w:rsidRPr="00193BC1" w:rsidRDefault="005E4516" w:rsidP="00487EAF">
            <w:pPr>
              <w:pStyle w:val="TableText0"/>
              <w:jc w:val="center"/>
              <w:rPr>
                <w:b/>
              </w:rPr>
            </w:pPr>
          </w:p>
          <w:p w14:paraId="51BC1703"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37CBBAF6" w14:textId="77777777" w:rsidR="005E4516" w:rsidRPr="00193BC1" w:rsidRDefault="005E4516" w:rsidP="00487EAF">
            <w:pPr>
              <w:pStyle w:val="TableText0"/>
            </w:pPr>
            <w:r w:rsidRPr="00193BC1">
              <w:rPr>
                <w:b/>
              </w:rPr>
              <w:t>Category / Program:</w:t>
            </w:r>
          </w:p>
          <w:p w14:paraId="1DD051C0" w14:textId="77777777" w:rsidR="005E4516" w:rsidRPr="00193BC1" w:rsidRDefault="005E4516" w:rsidP="00487EAF">
            <w:pPr>
              <w:pStyle w:val="TableText0"/>
            </w:pPr>
            <w:r w:rsidRPr="00193BC1">
              <w:t>Section 100 – Highly Specialised Drugs Program – public and private</w:t>
            </w:r>
          </w:p>
        </w:tc>
      </w:tr>
      <w:tr w:rsidR="006F2ADF" w:rsidRPr="00193BC1" w14:paraId="6182727A" w14:textId="77777777" w:rsidTr="00F813B9">
        <w:trPr>
          <w:cantSplit/>
        </w:trPr>
        <w:tc>
          <w:tcPr>
            <w:tcW w:w="862" w:type="pct"/>
            <w:vMerge/>
            <w:tcBorders>
              <w:left w:val="single" w:sz="4" w:space="0" w:color="auto"/>
              <w:right w:val="single" w:sz="4" w:space="0" w:color="auto"/>
            </w:tcBorders>
          </w:tcPr>
          <w:p w14:paraId="47505006"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F1AC8C0" w14:textId="77777777" w:rsidR="005E4516" w:rsidRPr="00193BC1" w:rsidRDefault="005E4516" w:rsidP="00487EAF">
            <w:pPr>
              <w:pStyle w:val="TableText0"/>
            </w:pPr>
            <w:r w:rsidRPr="00193BC1">
              <w:rPr>
                <w:b/>
              </w:rPr>
              <w:t>Prescriber type:</w:t>
            </w:r>
          </w:p>
          <w:p w14:paraId="71944E08" w14:textId="77777777" w:rsidR="005E4516" w:rsidRPr="00193BC1" w:rsidRDefault="005E4516" w:rsidP="00487EAF">
            <w:pPr>
              <w:pStyle w:val="TableText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6F2ADF" w:rsidRPr="00193BC1" w14:paraId="441EC153" w14:textId="77777777" w:rsidTr="00F813B9">
        <w:trPr>
          <w:cantSplit/>
        </w:trPr>
        <w:tc>
          <w:tcPr>
            <w:tcW w:w="862" w:type="pct"/>
            <w:vMerge/>
            <w:tcBorders>
              <w:left w:val="single" w:sz="4" w:space="0" w:color="auto"/>
              <w:bottom w:val="single" w:sz="4" w:space="0" w:color="auto"/>
              <w:right w:val="single" w:sz="4" w:space="0" w:color="auto"/>
            </w:tcBorders>
          </w:tcPr>
          <w:p w14:paraId="646EAFF9"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0561D4C1" w14:textId="77777777" w:rsidR="005E4516" w:rsidRPr="00193BC1" w:rsidRDefault="005E4516" w:rsidP="00487EAF">
            <w:pPr>
              <w:pStyle w:val="TableText0"/>
            </w:pPr>
            <w:r w:rsidRPr="00193BC1">
              <w:rPr>
                <w:b/>
              </w:rPr>
              <w:t>Restriction:</w:t>
            </w:r>
          </w:p>
          <w:p w14:paraId="152B95CE" w14:textId="77777777" w:rsidR="005E4516" w:rsidRPr="00193BC1" w:rsidRDefault="005E4516" w:rsidP="00487EAF">
            <w:pPr>
              <w:pStyle w:val="TableText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0107350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AEB5D8C"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6270C03D" w14:textId="77777777" w:rsidR="005E4516" w:rsidRPr="00193BC1" w:rsidRDefault="005E4516" w:rsidP="00487EAF">
            <w:pPr>
              <w:pStyle w:val="TableText0"/>
            </w:pPr>
            <w:r w:rsidRPr="00193BC1">
              <w:rPr>
                <w:b/>
              </w:rPr>
              <w:t>Severity:</w:t>
            </w:r>
          </w:p>
          <w:p w14:paraId="1A8BD215" w14:textId="77777777" w:rsidR="005E4516" w:rsidRPr="00193BC1" w:rsidRDefault="005E4516" w:rsidP="00487EAF">
            <w:pPr>
              <w:pStyle w:val="TableText0"/>
            </w:pPr>
            <w:r w:rsidRPr="00193BC1">
              <w:t>Uncontrolled severe</w:t>
            </w:r>
          </w:p>
        </w:tc>
      </w:tr>
      <w:tr w:rsidR="006F2ADF" w:rsidRPr="00193BC1" w14:paraId="010A221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C899593"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153BE7F2" w14:textId="77777777" w:rsidR="005E4516" w:rsidRPr="00193BC1" w:rsidRDefault="005E4516" w:rsidP="00487EAF">
            <w:pPr>
              <w:pStyle w:val="TableText0"/>
            </w:pPr>
            <w:r w:rsidRPr="00193BC1">
              <w:rPr>
                <w:b/>
              </w:rPr>
              <w:t>Condition:</w:t>
            </w:r>
          </w:p>
          <w:p w14:paraId="363DEF17" w14:textId="77777777" w:rsidR="005E4516" w:rsidRPr="00193BC1" w:rsidRDefault="005E4516" w:rsidP="00487EAF">
            <w:pPr>
              <w:pStyle w:val="TableText0"/>
            </w:pPr>
            <w:r w:rsidRPr="00193BC1">
              <w:rPr>
                <w:rFonts w:eastAsiaTheme="minorHAnsi"/>
                <w:iCs/>
              </w:rPr>
              <w:t>eosinophilic or allergic asthma</w:t>
            </w:r>
          </w:p>
        </w:tc>
      </w:tr>
      <w:tr w:rsidR="006F2ADF" w:rsidRPr="00193BC1" w14:paraId="7AACAC26"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7CCA3DD1"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75B271FC" w14:textId="77777777" w:rsidR="005E4516" w:rsidRPr="00193BC1" w:rsidRDefault="005E4516" w:rsidP="00487EAF">
            <w:pPr>
              <w:pStyle w:val="TableText0"/>
            </w:pPr>
            <w:r w:rsidRPr="00193BC1">
              <w:rPr>
                <w:b/>
              </w:rPr>
              <w:t>PBS Indication:</w:t>
            </w:r>
          </w:p>
          <w:p w14:paraId="59CBCE0D" w14:textId="77777777" w:rsidR="005E4516" w:rsidRPr="00193BC1" w:rsidRDefault="005E4516" w:rsidP="00487EAF">
            <w:pPr>
              <w:pStyle w:val="TableText0"/>
            </w:pPr>
            <w:r w:rsidRPr="00193BC1">
              <w:t xml:space="preserve">Uncontrolled severe </w:t>
            </w:r>
            <w:r w:rsidRPr="00193BC1">
              <w:rPr>
                <w:rFonts w:eastAsiaTheme="minorHAnsi"/>
                <w:iCs/>
              </w:rPr>
              <w:t xml:space="preserve">eosinophilic or allergic </w:t>
            </w:r>
            <w:r w:rsidR="00415BF8" w:rsidRPr="00193BC1">
              <w:t>asthma</w:t>
            </w:r>
          </w:p>
        </w:tc>
      </w:tr>
      <w:tr w:rsidR="006F2ADF" w:rsidRPr="00193BC1" w14:paraId="03A57947" w14:textId="77777777" w:rsidTr="00F813B9">
        <w:trPr>
          <w:cantSplit/>
        </w:trPr>
        <w:tc>
          <w:tcPr>
            <w:tcW w:w="862" w:type="pct"/>
            <w:vMerge/>
            <w:tcBorders>
              <w:left w:val="single" w:sz="4" w:space="0" w:color="auto"/>
              <w:bottom w:val="single" w:sz="4" w:space="0" w:color="auto"/>
              <w:right w:val="single" w:sz="4" w:space="0" w:color="auto"/>
            </w:tcBorders>
            <w:vAlign w:val="center"/>
          </w:tcPr>
          <w:p w14:paraId="4D552F6E"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58097217" w14:textId="77777777" w:rsidR="005E4516" w:rsidRPr="00193BC1" w:rsidRDefault="005E4516" w:rsidP="00487EAF">
            <w:pPr>
              <w:pStyle w:val="TableText0"/>
            </w:pPr>
            <w:r w:rsidRPr="00193BC1">
              <w:rPr>
                <w:b/>
              </w:rPr>
              <w:t>Treatment phase:</w:t>
            </w:r>
          </w:p>
          <w:p w14:paraId="7D6AC21B" w14:textId="77777777" w:rsidR="005E4516" w:rsidRPr="00193BC1" w:rsidRDefault="005E4516" w:rsidP="00415BF8">
            <w:pPr>
              <w:pStyle w:val="TableText0"/>
              <w:rPr>
                <w:i/>
              </w:rPr>
            </w:pPr>
            <w:r w:rsidRPr="00193BC1">
              <w:t>Initial treatment – Initial 2 (Change of treatment)</w:t>
            </w:r>
          </w:p>
        </w:tc>
      </w:tr>
      <w:tr w:rsidR="006F2ADF" w:rsidRPr="00193BC1" w14:paraId="59BF379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E2A48D2"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37388AB0" w14:textId="77777777" w:rsidR="005E4516" w:rsidRPr="00193BC1" w:rsidRDefault="005E4516" w:rsidP="00487EAF">
            <w:pPr>
              <w:pStyle w:val="TableText0"/>
              <w:rPr>
                <w:rFonts w:cs="Arial"/>
              </w:rPr>
            </w:pPr>
            <w:r w:rsidRPr="00193BC1">
              <w:rPr>
                <w:b/>
              </w:rPr>
              <w:t>Treatment criteria:</w:t>
            </w:r>
          </w:p>
          <w:p w14:paraId="0F2D5915" w14:textId="77777777" w:rsidR="005E4516" w:rsidRPr="00193BC1" w:rsidRDefault="005E4516" w:rsidP="00487EAF">
            <w:pPr>
              <w:pStyle w:val="TableText0"/>
            </w:pPr>
            <w:r w:rsidRPr="00193BC1">
              <w:rPr>
                <w:rFonts w:cs="Arial"/>
              </w:rPr>
              <w:t>Must be treated by a respiratory physician, clinical immunologist, allergist or general physician experienced in the management of patients with severe asthma.</w:t>
            </w:r>
          </w:p>
        </w:tc>
      </w:tr>
      <w:tr w:rsidR="006F2ADF" w:rsidRPr="00193BC1" w14:paraId="5A0B03E1"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7C5A30F"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140D3731" w14:textId="77777777" w:rsidR="005E4516" w:rsidRPr="00193BC1" w:rsidRDefault="005E4516" w:rsidP="00487EAF">
            <w:pPr>
              <w:pStyle w:val="TableText0"/>
            </w:pPr>
            <w:r w:rsidRPr="00193BC1">
              <w:rPr>
                <w:b/>
              </w:rPr>
              <w:t>AND</w:t>
            </w:r>
          </w:p>
        </w:tc>
      </w:tr>
      <w:tr w:rsidR="006F2ADF" w:rsidRPr="00193BC1" w14:paraId="4C46CC9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3A0A79A"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754AA91E" w14:textId="77777777" w:rsidR="005E4516" w:rsidRPr="00193BC1" w:rsidRDefault="005E4516" w:rsidP="00487EAF">
            <w:pPr>
              <w:pStyle w:val="TableText0"/>
            </w:pPr>
            <w:r w:rsidRPr="00193BC1">
              <w:rPr>
                <w:b/>
              </w:rPr>
              <w:t>Clinical criteria:</w:t>
            </w:r>
          </w:p>
        </w:tc>
      </w:tr>
      <w:tr w:rsidR="006F2ADF" w:rsidRPr="00193BC1" w14:paraId="51DE0A54"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322F3CD"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7EEFD57D" w14:textId="77777777" w:rsidR="005E4516" w:rsidRPr="00193BC1" w:rsidRDefault="005E4516" w:rsidP="00487EAF">
            <w:pPr>
              <w:pStyle w:val="TableText0"/>
            </w:pPr>
            <w:r w:rsidRPr="00193BC1">
              <w:t>Patient must be under the care of the same physician for at least 6 months; or</w:t>
            </w:r>
          </w:p>
        </w:tc>
      </w:tr>
      <w:tr w:rsidR="006F2ADF" w:rsidRPr="00193BC1" w14:paraId="30CF6B1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E3F2456"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6761DFB1" w14:textId="77777777" w:rsidR="005E4516" w:rsidRPr="00193BC1" w:rsidRDefault="005E4516" w:rsidP="00487EAF">
            <w:pPr>
              <w:pStyle w:val="TableText0"/>
            </w:pPr>
            <w:r w:rsidRPr="00193BC1">
              <w:t>Patient must have been diagnosed by a multidisciplinary severe asthma clinic team.</w:t>
            </w:r>
          </w:p>
        </w:tc>
      </w:tr>
      <w:tr w:rsidR="006F2ADF" w:rsidRPr="00193BC1" w14:paraId="13F380C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04BE00B"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19DED08D" w14:textId="77777777" w:rsidR="005E4516" w:rsidRPr="00193BC1" w:rsidRDefault="005E4516" w:rsidP="00487EAF">
            <w:pPr>
              <w:pStyle w:val="TableText0"/>
            </w:pPr>
            <w:r w:rsidRPr="00193BC1">
              <w:rPr>
                <w:b/>
              </w:rPr>
              <w:t>AND</w:t>
            </w:r>
          </w:p>
        </w:tc>
      </w:tr>
      <w:tr w:rsidR="006F2ADF" w:rsidRPr="00193BC1" w14:paraId="18EC872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FA0E833"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5AF8E16A" w14:textId="77777777" w:rsidR="005E4516" w:rsidRPr="00193BC1" w:rsidRDefault="005E4516" w:rsidP="00487EAF">
            <w:pPr>
              <w:pStyle w:val="TableText0"/>
            </w:pPr>
            <w:r w:rsidRPr="00193BC1">
              <w:rPr>
                <w:b/>
              </w:rPr>
              <w:t>Clinical criteria:</w:t>
            </w:r>
          </w:p>
        </w:tc>
      </w:tr>
      <w:tr w:rsidR="006F2ADF" w:rsidRPr="00193BC1" w14:paraId="20CDC7A6" w14:textId="77777777" w:rsidTr="00F813B9">
        <w:trPr>
          <w:cantSplit/>
        </w:trPr>
        <w:tc>
          <w:tcPr>
            <w:tcW w:w="862" w:type="pct"/>
            <w:tcBorders>
              <w:top w:val="single" w:sz="4" w:space="0" w:color="auto"/>
              <w:left w:val="single" w:sz="4" w:space="0" w:color="auto"/>
              <w:bottom w:val="single" w:sz="4" w:space="0" w:color="auto"/>
              <w:right w:val="single" w:sz="4" w:space="0" w:color="auto"/>
            </w:tcBorders>
          </w:tcPr>
          <w:p w14:paraId="45090535"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0619A4A3" w14:textId="77777777" w:rsidR="005E4516" w:rsidRPr="00193BC1" w:rsidRDefault="005E4516" w:rsidP="00487EAF">
            <w:pPr>
              <w:pStyle w:val="TableText0"/>
            </w:pPr>
            <w:r w:rsidRPr="00193BC1">
              <w:t>Patient must have received prior PBS-subsidised treatment with a biological medicine for severe asthma in this treatment cycle.</w:t>
            </w:r>
          </w:p>
        </w:tc>
      </w:tr>
      <w:tr w:rsidR="006F2ADF" w:rsidRPr="00193BC1" w14:paraId="2BAA4E5C"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170FB42" w14:textId="77777777" w:rsidR="005E4516" w:rsidRPr="00193BC1" w:rsidRDefault="005E4516" w:rsidP="00487EAF">
            <w:pPr>
              <w:pStyle w:val="TableText0"/>
              <w:rPr>
                <w:b/>
              </w:rPr>
            </w:pPr>
          </w:p>
        </w:tc>
        <w:tc>
          <w:tcPr>
            <w:tcW w:w="4138" w:type="pct"/>
            <w:tcBorders>
              <w:top w:val="single" w:sz="4" w:space="0" w:color="auto"/>
              <w:left w:val="single" w:sz="4" w:space="0" w:color="auto"/>
              <w:bottom w:val="single" w:sz="4" w:space="0" w:color="auto"/>
              <w:right w:val="single" w:sz="4" w:space="0" w:color="auto"/>
            </w:tcBorders>
          </w:tcPr>
          <w:p w14:paraId="3663BF2F" w14:textId="77777777" w:rsidR="005E4516" w:rsidRPr="00193BC1" w:rsidRDefault="005E4516" w:rsidP="00487EAF">
            <w:pPr>
              <w:pStyle w:val="TableText0"/>
            </w:pPr>
            <w:r w:rsidRPr="00193BC1">
              <w:rPr>
                <w:b/>
              </w:rPr>
              <w:t>AND</w:t>
            </w:r>
          </w:p>
        </w:tc>
      </w:tr>
      <w:tr w:rsidR="006F2ADF" w:rsidRPr="00193BC1" w14:paraId="1230649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F8CE28F"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1ADC5833" w14:textId="77777777" w:rsidR="005E4516" w:rsidRPr="00193BC1" w:rsidRDefault="005E4516" w:rsidP="00487EAF">
            <w:pPr>
              <w:pStyle w:val="TableText0"/>
            </w:pPr>
            <w:r w:rsidRPr="00193BC1">
              <w:rPr>
                <w:b/>
              </w:rPr>
              <w:t>Clinical criteria:</w:t>
            </w:r>
          </w:p>
        </w:tc>
      </w:tr>
      <w:tr w:rsidR="006F2ADF" w:rsidRPr="00193BC1" w14:paraId="776CBB61" w14:textId="77777777" w:rsidTr="00F813B9">
        <w:trPr>
          <w:cantSplit/>
        </w:trPr>
        <w:tc>
          <w:tcPr>
            <w:tcW w:w="862" w:type="pct"/>
            <w:tcBorders>
              <w:top w:val="single" w:sz="4" w:space="0" w:color="auto"/>
              <w:left w:val="single" w:sz="4" w:space="0" w:color="auto"/>
              <w:bottom w:val="single" w:sz="4" w:space="0" w:color="auto"/>
              <w:right w:val="single" w:sz="4" w:space="0" w:color="auto"/>
            </w:tcBorders>
          </w:tcPr>
          <w:p w14:paraId="65908478"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7436DA97" w14:textId="77777777" w:rsidR="005E4516" w:rsidRPr="00193BC1" w:rsidRDefault="005E4516" w:rsidP="00487EAF">
            <w:pPr>
              <w:pStyle w:val="TableText0"/>
            </w:pPr>
            <w:r w:rsidRPr="00193BC1">
              <w:t>Patient must not have failed, or ceased to respond to, PBS-subsidised treatment with this drug for severe asthma during the current treatment cycle.</w:t>
            </w:r>
          </w:p>
        </w:tc>
      </w:tr>
      <w:tr w:rsidR="006F2ADF" w:rsidRPr="00193BC1" w14:paraId="35A45C9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15D6111" w14:textId="77777777" w:rsidR="005E4516" w:rsidRPr="00193BC1" w:rsidRDefault="005E4516" w:rsidP="00487EAF">
            <w:pPr>
              <w:pStyle w:val="TableText0"/>
              <w:rPr>
                <w:b/>
              </w:rPr>
            </w:pPr>
          </w:p>
        </w:tc>
        <w:tc>
          <w:tcPr>
            <w:tcW w:w="4138" w:type="pct"/>
            <w:tcBorders>
              <w:top w:val="single" w:sz="4" w:space="0" w:color="auto"/>
              <w:left w:val="single" w:sz="4" w:space="0" w:color="auto"/>
              <w:bottom w:val="single" w:sz="4" w:space="0" w:color="auto"/>
              <w:right w:val="single" w:sz="4" w:space="0" w:color="auto"/>
            </w:tcBorders>
          </w:tcPr>
          <w:p w14:paraId="16618126" w14:textId="77777777" w:rsidR="005E4516" w:rsidRPr="00193BC1" w:rsidRDefault="005E4516" w:rsidP="00487EAF">
            <w:pPr>
              <w:pStyle w:val="TableText0"/>
            </w:pPr>
            <w:r w:rsidRPr="00193BC1">
              <w:rPr>
                <w:b/>
              </w:rPr>
              <w:t>AND</w:t>
            </w:r>
          </w:p>
        </w:tc>
      </w:tr>
      <w:tr w:rsidR="006F2ADF" w:rsidRPr="00193BC1" w14:paraId="3D24BE2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D80886E"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6FEEF07" w14:textId="77777777" w:rsidR="005E4516" w:rsidRPr="00193BC1" w:rsidRDefault="005E4516" w:rsidP="00487EAF">
            <w:pPr>
              <w:pStyle w:val="TableText0"/>
            </w:pPr>
            <w:r w:rsidRPr="00193BC1">
              <w:rPr>
                <w:b/>
              </w:rPr>
              <w:t>Clinical criteria:</w:t>
            </w:r>
          </w:p>
        </w:tc>
      </w:tr>
      <w:tr w:rsidR="006F2ADF" w:rsidRPr="00193BC1" w14:paraId="6F93777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5A0ADFF"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03FEDD2" w14:textId="77777777" w:rsidR="005E4516" w:rsidRPr="00193BC1" w:rsidRDefault="005E4516" w:rsidP="00487EAF">
            <w:pPr>
              <w:pStyle w:val="TableText0"/>
              <w:rPr>
                <w:rFonts w:cs="Arial"/>
              </w:rPr>
            </w:pPr>
            <w:r w:rsidRPr="00193BC1">
              <w:rPr>
                <w:rFonts w:cs="Arial"/>
              </w:rPr>
              <w:t>Patient must have had a blood eosinophil count greater than or equal to 30</w:t>
            </w:r>
            <w:r w:rsidR="00415BF8" w:rsidRPr="00193BC1">
              <w:rPr>
                <w:rFonts w:cs="Arial"/>
              </w:rPr>
              <w:t>0 cells per microlitre measured</w:t>
            </w:r>
            <w:r w:rsidRPr="00193BC1">
              <w:rPr>
                <w:rFonts w:cs="Arial"/>
              </w:rPr>
              <w:t xml:space="preserve"> no more than 12 months immediately prior to commencing PBS-subsidised biological medicine treatment for severe asthma; or </w:t>
            </w:r>
          </w:p>
        </w:tc>
      </w:tr>
      <w:tr w:rsidR="006F2ADF" w:rsidRPr="00193BC1" w14:paraId="2825AC9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75BED53" w14:textId="77777777" w:rsidR="005E4516" w:rsidRPr="00193BC1" w:rsidRDefault="005E4516" w:rsidP="00487EAF">
            <w:pPr>
              <w:pStyle w:val="TableText0"/>
              <w:jc w:val="center"/>
              <w:rPr>
                <w:rFonts w:cs="Arial"/>
              </w:rPr>
            </w:pPr>
          </w:p>
        </w:tc>
        <w:tc>
          <w:tcPr>
            <w:tcW w:w="4138" w:type="pct"/>
            <w:tcBorders>
              <w:top w:val="single" w:sz="4" w:space="0" w:color="auto"/>
              <w:left w:val="single" w:sz="4" w:space="0" w:color="auto"/>
              <w:bottom w:val="single" w:sz="4" w:space="0" w:color="auto"/>
              <w:right w:val="single" w:sz="4" w:space="0" w:color="auto"/>
            </w:tcBorders>
          </w:tcPr>
          <w:p w14:paraId="6CAC46D1" w14:textId="77777777" w:rsidR="005E4516" w:rsidRPr="00193BC1" w:rsidRDefault="005E4516" w:rsidP="00487EAF">
            <w:pPr>
              <w:pStyle w:val="TableText0"/>
              <w:rPr>
                <w:rFonts w:cs="Arial"/>
              </w:rPr>
            </w:pPr>
            <w:r w:rsidRPr="00193BC1">
              <w:rPr>
                <w:rFonts w:cs="Arial"/>
              </w:rP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p>
        </w:tc>
      </w:tr>
      <w:tr w:rsidR="006F2ADF" w:rsidRPr="00193BC1" w14:paraId="08B07DB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85A4590"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A2B8E10" w14:textId="77777777" w:rsidR="005E4516" w:rsidRPr="00193BC1" w:rsidRDefault="005E4516" w:rsidP="00487EAF">
            <w:pPr>
              <w:pStyle w:val="TableText0"/>
              <w:rPr>
                <w:rFonts w:cs="Arial"/>
              </w:rPr>
            </w:pPr>
            <w:r w:rsidRPr="00193BC1">
              <w:rPr>
                <w:rFonts w:cs="Arial"/>
              </w:rPr>
              <w:t>OR</w:t>
            </w:r>
          </w:p>
          <w:p w14:paraId="03F5D31C" w14:textId="77777777" w:rsidR="005E4516" w:rsidRPr="00193BC1" w:rsidRDefault="00415BF8" w:rsidP="00487EAF">
            <w:pPr>
              <w:pStyle w:val="TableText0"/>
            </w:pPr>
            <w:r w:rsidRPr="00193BC1">
              <w:rPr>
                <w:rFonts w:cs="Arial"/>
              </w:rPr>
              <w:t>Patient must have</w:t>
            </w:r>
            <w:r w:rsidR="005E4516" w:rsidRPr="00193BC1">
              <w:rPr>
                <w:rFonts w:cs="Arial"/>
              </w:rPr>
              <w:t xml:space="preserve"> had a total serum human immunoglobulin E gr</w:t>
            </w:r>
            <w:r w:rsidRPr="00193BC1">
              <w:rPr>
                <w:rFonts w:cs="Arial"/>
              </w:rPr>
              <w:t>eater than or equal to 30 IU/mL</w:t>
            </w:r>
            <w:r w:rsidR="005E4516" w:rsidRPr="00193BC1">
              <w:rPr>
                <w:rFonts w:cs="Arial"/>
              </w:rPr>
              <w:t xml:space="preserve"> with a past or current evidence of atopy, documented by skin prick testing or an in vitro measure of specific IgE  no more than 12 months prior to initiating PBS-subsidised treatment with a biological medicine for severe asthma.</w:t>
            </w:r>
          </w:p>
        </w:tc>
      </w:tr>
      <w:tr w:rsidR="006F2ADF" w:rsidRPr="00193BC1" w14:paraId="140152A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5D487B6"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756738F7" w14:textId="77777777" w:rsidR="005E4516" w:rsidRPr="00193BC1" w:rsidRDefault="005E4516" w:rsidP="00487EAF">
            <w:pPr>
              <w:pStyle w:val="TableText0"/>
            </w:pPr>
            <w:r w:rsidRPr="00193BC1">
              <w:rPr>
                <w:rFonts w:cs="Arial"/>
                <w:b/>
              </w:rPr>
              <w:t>AND</w:t>
            </w:r>
          </w:p>
        </w:tc>
      </w:tr>
      <w:tr w:rsidR="006F2ADF" w:rsidRPr="00193BC1" w14:paraId="1953500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1CC419C"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3FDC3F4" w14:textId="77777777" w:rsidR="005E4516" w:rsidRPr="00193BC1" w:rsidRDefault="005E4516" w:rsidP="00487EAF">
            <w:pPr>
              <w:pStyle w:val="TableText0"/>
            </w:pPr>
            <w:r w:rsidRPr="00193BC1">
              <w:rPr>
                <w:b/>
              </w:rPr>
              <w:t>Clinical criteria:</w:t>
            </w:r>
          </w:p>
        </w:tc>
      </w:tr>
      <w:tr w:rsidR="006F2ADF" w:rsidRPr="00193BC1" w14:paraId="1C2B6257"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C318445"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02AC043E" w14:textId="77777777" w:rsidR="005E4516" w:rsidRPr="00193BC1" w:rsidRDefault="005E4516" w:rsidP="00487EAF">
            <w:pPr>
              <w:pStyle w:val="TableText0"/>
            </w:pPr>
            <w:r w:rsidRPr="00193BC1">
              <w:rPr>
                <w:rFonts w:cs="Arial"/>
              </w:rPr>
              <w:t>Patient must not receive more than 32 weeks of treatment under this restriction.</w:t>
            </w:r>
          </w:p>
        </w:tc>
      </w:tr>
      <w:tr w:rsidR="006F2ADF" w:rsidRPr="00193BC1" w14:paraId="1C3B738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76876B4" w14:textId="77777777" w:rsidR="005E4516" w:rsidRPr="00193BC1" w:rsidRDefault="005E4516" w:rsidP="00487EAF">
            <w:pPr>
              <w:pStyle w:val="TableText0"/>
              <w:rPr>
                <w:b/>
              </w:rPr>
            </w:pPr>
          </w:p>
        </w:tc>
        <w:tc>
          <w:tcPr>
            <w:tcW w:w="4138" w:type="pct"/>
            <w:tcBorders>
              <w:top w:val="single" w:sz="4" w:space="0" w:color="auto"/>
              <w:left w:val="single" w:sz="4" w:space="0" w:color="auto"/>
              <w:bottom w:val="single" w:sz="4" w:space="0" w:color="auto"/>
              <w:right w:val="single" w:sz="4" w:space="0" w:color="auto"/>
            </w:tcBorders>
          </w:tcPr>
          <w:p w14:paraId="0D9EB2BB" w14:textId="77777777" w:rsidR="005E4516" w:rsidRPr="00193BC1" w:rsidRDefault="005E4516" w:rsidP="00487EAF">
            <w:pPr>
              <w:pStyle w:val="TableText0"/>
            </w:pPr>
            <w:r w:rsidRPr="00193BC1">
              <w:rPr>
                <w:rFonts w:cs="Arial"/>
                <w:b/>
              </w:rPr>
              <w:t>AND</w:t>
            </w:r>
          </w:p>
        </w:tc>
      </w:tr>
      <w:tr w:rsidR="006F2ADF" w:rsidRPr="00193BC1" w14:paraId="69A2903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FCB8903"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E540DCF" w14:textId="77777777" w:rsidR="005E4516" w:rsidRPr="00193BC1" w:rsidRDefault="005E4516" w:rsidP="00487EAF">
            <w:pPr>
              <w:pStyle w:val="TableText0"/>
            </w:pPr>
            <w:r w:rsidRPr="00193BC1">
              <w:rPr>
                <w:b/>
              </w:rPr>
              <w:t>Clinical criteria:</w:t>
            </w:r>
          </w:p>
        </w:tc>
      </w:tr>
      <w:tr w:rsidR="006F2ADF" w:rsidRPr="00193BC1" w14:paraId="5E5F6EB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C8496C2"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5984A19" w14:textId="77777777" w:rsidR="005E4516" w:rsidRPr="00193BC1" w:rsidRDefault="005E4516" w:rsidP="00487EAF">
            <w:pPr>
              <w:pStyle w:val="TableText0"/>
            </w:pPr>
            <w:r w:rsidRPr="00193BC1">
              <w:rPr>
                <w:rFonts w:cs="Arial"/>
              </w:rPr>
              <w:t>The treatment must not be used in combination with and within 4 weeks of another PBS-subsidised biological medicine prescribed for severe asthma.</w:t>
            </w:r>
          </w:p>
        </w:tc>
      </w:tr>
      <w:tr w:rsidR="006F2ADF" w:rsidRPr="00193BC1" w14:paraId="51D37C39"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E26F67D" w14:textId="77777777" w:rsidR="005E4516" w:rsidRPr="00193BC1" w:rsidRDefault="005E4516" w:rsidP="00487EAF">
            <w:pPr>
              <w:pStyle w:val="TableText0"/>
              <w:jc w:val="center"/>
              <w:rPr>
                <w:b/>
              </w:rPr>
            </w:pPr>
          </w:p>
        </w:tc>
        <w:tc>
          <w:tcPr>
            <w:tcW w:w="4138" w:type="pct"/>
            <w:tcBorders>
              <w:top w:val="single" w:sz="4" w:space="0" w:color="auto"/>
              <w:left w:val="single" w:sz="4" w:space="0" w:color="auto"/>
              <w:bottom w:val="single" w:sz="4" w:space="0" w:color="auto"/>
              <w:right w:val="single" w:sz="4" w:space="0" w:color="auto"/>
            </w:tcBorders>
          </w:tcPr>
          <w:p w14:paraId="07CADFFF" w14:textId="77777777" w:rsidR="005E4516" w:rsidRPr="00193BC1" w:rsidRDefault="005E4516" w:rsidP="00487EAF">
            <w:pPr>
              <w:pStyle w:val="TableText0"/>
              <w:rPr>
                <w:rFonts w:cs="Arial"/>
              </w:rPr>
            </w:pPr>
            <w:r w:rsidRPr="00193BC1">
              <w:rPr>
                <w:b/>
              </w:rPr>
              <w:t>Population criteria:</w:t>
            </w:r>
          </w:p>
          <w:p w14:paraId="0CFFF129" w14:textId="77777777" w:rsidR="005E4516" w:rsidRPr="00193BC1" w:rsidRDefault="005E4516" w:rsidP="00487EAF">
            <w:pPr>
              <w:pStyle w:val="TableText0"/>
            </w:pPr>
            <w:r w:rsidRPr="00193BC1">
              <w:rPr>
                <w:rFonts w:cs="Arial"/>
              </w:rPr>
              <w:t>Patients must be aged 12 years or older.</w:t>
            </w:r>
          </w:p>
        </w:tc>
      </w:tr>
      <w:tr w:rsidR="005E4516" w:rsidRPr="00193BC1" w14:paraId="29B60D06"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95177BD" w14:textId="77777777" w:rsidR="005E4516" w:rsidRPr="00193BC1" w:rsidRDefault="005E4516" w:rsidP="00487EAF">
            <w:pPr>
              <w:pStyle w:val="TableText0"/>
              <w:jc w:val="center"/>
            </w:pPr>
          </w:p>
        </w:tc>
        <w:tc>
          <w:tcPr>
            <w:tcW w:w="4138" w:type="pct"/>
            <w:tcBorders>
              <w:top w:val="single" w:sz="4" w:space="0" w:color="auto"/>
              <w:left w:val="single" w:sz="4" w:space="0" w:color="auto"/>
              <w:bottom w:val="single" w:sz="4" w:space="0" w:color="auto"/>
              <w:right w:val="single" w:sz="4" w:space="0" w:color="auto"/>
            </w:tcBorders>
          </w:tcPr>
          <w:p w14:paraId="056B701F"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The authority application must be made in writing and must include:</w:t>
            </w:r>
          </w:p>
          <w:p w14:paraId="05B8FC4E"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 a completed authority prescription form; and</w:t>
            </w:r>
          </w:p>
          <w:p w14:paraId="24B3E1CD"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 xml:space="preserve">(b) a completed </w:t>
            </w:r>
            <w:r w:rsidRPr="00193BC1">
              <w:rPr>
                <w:rFonts w:ascii="Arial Narrow" w:eastAsiaTheme="majorEastAsia" w:hAnsi="Arial Narrow"/>
                <w:bCs/>
                <w:sz w:val="20"/>
              </w:rPr>
              <w:t>Uncontrolled severe eosinophilic or allergic asthma</w:t>
            </w:r>
            <w:r w:rsidRPr="00193BC1">
              <w:rPr>
                <w:rFonts w:ascii="Arial Narrow" w:hAnsi="Arial Narrow"/>
                <w:sz w:val="20"/>
                <w:szCs w:val="20"/>
              </w:rPr>
              <w:t xml:space="preserve"> Initial PBS Authority Application - Supporting Information Form, which includes the following:</w:t>
            </w:r>
          </w:p>
          <w:p w14:paraId="23EA486C"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 Asthma Control Questionnaire (ACQ-5 item version) score (where a new baseline is being submitted or where the patient has responded to prior treatment); and</w:t>
            </w:r>
          </w:p>
          <w:p w14:paraId="6DE90DA1"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(ii) the details of prior biological medicine treatment including the details of date and duration of treatment; and</w:t>
            </w:r>
          </w:p>
          <w:p w14:paraId="20BCD4BF"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(iii) eosinophil count and date; and</w:t>
            </w:r>
          </w:p>
          <w:p w14:paraId="073A7596"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(iv) the dose of the maintenance oral corticosteroid (where the response criteria or baseline is based on corticosteroid dose); or</w:t>
            </w:r>
          </w:p>
          <w:p w14:paraId="68BDB8EE"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(v) the IgE results; and</w:t>
            </w:r>
          </w:p>
          <w:p w14:paraId="516C8091"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(vi) the reason for switching therapy (e.g. failure of prior therapy, partial response to prior therapy, adverse event to prior therapy).</w:t>
            </w:r>
          </w:p>
          <w:p w14:paraId="4A8D090D"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1FA1116A"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0125D33F"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This assessment at around 28 weeks,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w:t>
            </w:r>
          </w:p>
          <w:p w14:paraId="2325D328" w14:textId="77777777" w:rsidR="005E4516" w:rsidRPr="00193BC1" w:rsidRDefault="005E4516" w:rsidP="00487EAF">
            <w:pPr>
              <w:jc w:val="left"/>
              <w:rPr>
                <w:rFonts w:ascii="Arial Narrow" w:eastAsiaTheme="majorEastAsia" w:hAnsi="Arial Narrow"/>
                <w:bCs/>
                <w:sz w:val="20"/>
              </w:rPr>
            </w:pPr>
            <w:r w:rsidRPr="00193BC1">
              <w:rPr>
                <w:rFonts w:ascii="Arial Narrow" w:hAnsi="Arial Narrow"/>
                <w:sz w:val="20"/>
                <w:szCs w:val="20"/>
              </w:rPr>
              <w:t xml:space="preserve">At the time of the authority application, medical practitioners should request up to </w:t>
            </w:r>
            <w:r w:rsidRPr="00193BC1">
              <w:rPr>
                <w:rFonts w:ascii="Arial Narrow" w:eastAsiaTheme="majorEastAsia" w:hAnsi="Arial Narrow"/>
                <w:bCs/>
                <w:sz w:val="20"/>
              </w:rPr>
              <w:t>8 repeats to provide for an initial course of dupilumab sufficient for up to 32 weeks of therapy, at a dose of 400 mg as an initial dose, followed by 200 mg every 2 weeks thereafter.</w:t>
            </w:r>
          </w:p>
          <w:p w14:paraId="7D227301"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 multidisciplinary severe asthma clinic team comprises of:</w:t>
            </w:r>
          </w:p>
          <w:p w14:paraId="2DA2F206" w14:textId="77777777" w:rsidR="005E4516" w:rsidRPr="00193BC1" w:rsidRDefault="005E4516" w:rsidP="00F94D70">
            <w:pPr>
              <w:numPr>
                <w:ilvl w:val="0"/>
                <w:numId w:val="26"/>
              </w:numPr>
              <w:jc w:val="left"/>
              <w:rPr>
                <w:rFonts w:ascii="Arial Narrow" w:hAnsi="Arial Narrow"/>
                <w:sz w:val="20"/>
                <w:szCs w:val="20"/>
              </w:rPr>
            </w:pPr>
            <w:r w:rsidRPr="00193BC1">
              <w:rPr>
                <w:rFonts w:ascii="Arial Narrow" w:hAnsi="Arial Narrow"/>
                <w:sz w:val="20"/>
                <w:szCs w:val="20"/>
              </w:rPr>
              <w:t>A respiratory physician; and</w:t>
            </w:r>
          </w:p>
          <w:p w14:paraId="5F2BADC3" w14:textId="77777777" w:rsidR="005E4516" w:rsidRPr="00193BC1" w:rsidRDefault="005E4516" w:rsidP="00F94D70">
            <w:pPr>
              <w:numPr>
                <w:ilvl w:val="0"/>
                <w:numId w:val="26"/>
              </w:numPr>
              <w:jc w:val="left"/>
              <w:rPr>
                <w:b/>
                <w:szCs w:val="20"/>
              </w:rPr>
            </w:pPr>
            <w:r w:rsidRPr="00193BC1">
              <w:rPr>
                <w:rFonts w:ascii="Arial Narrow" w:hAnsi="Arial Narrow"/>
                <w:sz w:val="20"/>
                <w:szCs w:val="20"/>
              </w:rPr>
              <w:t>A pharmacist, nurse or asthma educator.</w:t>
            </w:r>
          </w:p>
        </w:tc>
      </w:tr>
      <w:tr w:rsidR="003C46BE" w:rsidRPr="00193BC1" w14:paraId="020318F6" w14:textId="77777777" w:rsidTr="00F81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481E6A55"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51E21FD6" w14:textId="77777777" w:rsidR="003C46BE" w:rsidRPr="003C46BE" w:rsidRDefault="003C46BE" w:rsidP="00345DF8">
            <w:pPr>
              <w:rPr>
                <w:rFonts w:ascii="Arial Narrow" w:eastAsiaTheme="majorEastAsia" w:hAnsi="Arial Narrow" w:cstheme="majorBidi"/>
                <w:b/>
                <w:bCs/>
                <w:sz w:val="20"/>
                <w:szCs w:val="20"/>
              </w:rPr>
            </w:pPr>
            <w:r w:rsidRPr="003C46BE">
              <w:rPr>
                <w:rFonts w:ascii="Arial Narrow" w:eastAsiaTheme="majorEastAsia" w:hAnsi="Arial Narrow" w:cstheme="majorBidi"/>
                <w:b/>
                <w:bCs/>
                <w:sz w:val="20"/>
                <w:szCs w:val="20"/>
              </w:rPr>
              <w:t>Note:</w:t>
            </w:r>
          </w:p>
          <w:p w14:paraId="6AEC303A" w14:textId="77777777" w:rsidR="003C46BE" w:rsidRPr="00193BC1" w:rsidRDefault="003C46BE" w:rsidP="00345DF8">
            <w:r w:rsidRPr="003C46BE">
              <w:rPr>
                <w:rFonts w:ascii="Arial Narrow" w:eastAsiaTheme="majorEastAsia" w:hAnsi="Arial Narrow" w:cstheme="majorBidi"/>
                <w:bCs/>
                <w:sz w:val="20"/>
                <w:szCs w:val="20"/>
              </w:rPr>
              <w:t>For copies of the ACQ and the calculation sheets please contact Sanofi Medical Information on 1800 818 806</w:t>
            </w:r>
            <w:r>
              <w:rPr>
                <w:rFonts w:ascii="Arial Narrow" w:eastAsiaTheme="majorEastAsia" w:hAnsi="Arial Narrow" w:cstheme="majorBidi"/>
                <w:bCs/>
                <w:sz w:val="20"/>
                <w:szCs w:val="20"/>
              </w:rPr>
              <w:t>.</w:t>
            </w:r>
          </w:p>
        </w:tc>
      </w:tr>
    </w:tbl>
    <w:p w14:paraId="4BE13A75" w14:textId="77777777" w:rsidR="005E4516" w:rsidRPr="00193BC1" w:rsidRDefault="005E4516" w:rsidP="005E4516">
      <w:pPr>
        <w:pStyle w:val="TableFigureFooter"/>
      </w:pPr>
    </w:p>
    <w:p w14:paraId="1A8C70FA" w14:textId="77777777" w:rsidR="005E4516" w:rsidRPr="00193BC1" w:rsidRDefault="005E4516" w:rsidP="005E4516">
      <w:pPr>
        <w:keepNext/>
        <w:rPr>
          <w:sz w:val="20"/>
          <w:szCs w:val="20"/>
        </w:rPr>
      </w:pPr>
      <w:r w:rsidRPr="00193BC1">
        <w:rPr>
          <w:rFonts w:ascii="Arial Narrow" w:hAnsi="Arial Narrow"/>
          <w:b/>
          <w:bCs/>
          <w:sz w:val="20"/>
          <w:szCs w:val="20"/>
        </w:rPr>
        <w:t>Treatment phase: Continuing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833"/>
        <w:gridCol w:w="1369"/>
        <w:gridCol w:w="1349"/>
        <w:gridCol w:w="965"/>
        <w:gridCol w:w="963"/>
        <w:gridCol w:w="1349"/>
      </w:tblGrid>
      <w:tr w:rsidR="006F2ADF" w:rsidRPr="00193BC1" w14:paraId="0B7DEA82" w14:textId="77777777" w:rsidTr="00F813B9">
        <w:tc>
          <w:tcPr>
            <w:tcW w:w="1214" w:type="pct"/>
          </w:tcPr>
          <w:p w14:paraId="18D6E277" w14:textId="77777777" w:rsidR="005E4516" w:rsidRPr="00193BC1" w:rsidRDefault="005E4516" w:rsidP="00487EAF">
            <w:pPr>
              <w:pStyle w:val="Tabletext"/>
              <w:rPr>
                <w:b/>
                <w:bCs/>
              </w:rPr>
            </w:pPr>
            <w:r w:rsidRPr="00193BC1">
              <w:rPr>
                <w:b/>
              </w:rPr>
              <w:t>Name, restriction, manner of administration, form</w:t>
            </w:r>
          </w:p>
        </w:tc>
        <w:tc>
          <w:tcPr>
            <w:tcW w:w="462" w:type="pct"/>
          </w:tcPr>
          <w:p w14:paraId="06BAB930" w14:textId="77777777" w:rsidR="005E4516" w:rsidRPr="00193BC1" w:rsidRDefault="005E4516" w:rsidP="00487EAF">
            <w:pPr>
              <w:pStyle w:val="Tabletext"/>
              <w:rPr>
                <w:b/>
                <w:bCs/>
              </w:rPr>
            </w:pPr>
            <w:r w:rsidRPr="00193BC1">
              <w:rPr>
                <w:b/>
              </w:rPr>
              <w:t>PBS item code</w:t>
            </w:r>
          </w:p>
        </w:tc>
        <w:tc>
          <w:tcPr>
            <w:tcW w:w="759" w:type="pct"/>
          </w:tcPr>
          <w:p w14:paraId="445F24A1" w14:textId="77777777" w:rsidR="005E4516" w:rsidRPr="00193BC1" w:rsidRDefault="005E4516" w:rsidP="00487EAF">
            <w:pPr>
              <w:pStyle w:val="Tabletext"/>
              <w:rPr>
                <w:b/>
                <w:bCs/>
              </w:rPr>
            </w:pPr>
            <w:r w:rsidRPr="00193BC1">
              <w:rPr>
                <w:b/>
              </w:rPr>
              <w:t>Maximum quantity (packs)</w:t>
            </w:r>
          </w:p>
        </w:tc>
        <w:tc>
          <w:tcPr>
            <w:tcW w:w="748" w:type="pct"/>
          </w:tcPr>
          <w:p w14:paraId="110D0530" w14:textId="77777777" w:rsidR="005E4516" w:rsidRPr="00193BC1" w:rsidRDefault="005E4516" w:rsidP="00487EAF">
            <w:pPr>
              <w:pStyle w:val="Tabletext"/>
              <w:jc w:val="center"/>
            </w:pPr>
            <w:r w:rsidRPr="00193BC1">
              <w:rPr>
                <w:b/>
              </w:rPr>
              <w:t>Maximum quantity (units)</w:t>
            </w:r>
          </w:p>
        </w:tc>
        <w:tc>
          <w:tcPr>
            <w:tcW w:w="535" w:type="pct"/>
          </w:tcPr>
          <w:p w14:paraId="3B8CCDF7" w14:textId="77777777" w:rsidR="005E4516" w:rsidRPr="00193BC1" w:rsidRDefault="005E4516" w:rsidP="00487EAF">
            <w:pPr>
              <w:pStyle w:val="Tabletext"/>
              <w:jc w:val="center"/>
            </w:pPr>
            <w:r w:rsidRPr="00193BC1">
              <w:rPr>
                <w:b/>
              </w:rPr>
              <w:t>No. of repeats</w:t>
            </w:r>
          </w:p>
        </w:tc>
        <w:tc>
          <w:tcPr>
            <w:tcW w:w="1283" w:type="pct"/>
            <w:gridSpan w:val="2"/>
          </w:tcPr>
          <w:p w14:paraId="23C65A2B" w14:textId="77777777" w:rsidR="005E4516" w:rsidRPr="00193BC1" w:rsidRDefault="005E4516" w:rsidP="00487EAF">
            <w:pPr>
              <w:pStyle w:val="Tabletext"/>
              <w:jc w:val="center"/>
            </w:pPr>
            <w:r w:rsidRPr="00193BC1">
              <w:rPr>
                <w:b/>
              </w:rPr>
              <w:t>Proprietary name and manufacturer</w:t>
            </w:r>
          </w:p>
        </w:tc>
      </w:tr>
      <w:tr w:rsidR="006F2ADF" w:rsidRPr="00193BC1" w14:paraId="6B7A1303" w14:textId="77777777" w:rsidTr="00F813B9">
        <w:tc>
          <w:tcPr>
            <w:tcW w:w="1214" w:type="pct"/>
            <w:vAlign w:val="center"/>
          </w:tcPr>
          <w:p w14:paraId="789A2A41" w14:textId="77777777" w:rsidR="005E4516" w:rsidRPr="00193BC1" w:rsidRDefault="005E4516" w:rsidP="00487EAF">
            <w:pPr>
              <w:pStyle w:val="Tabletext"/>
            </w:pPr>
            <w:r w:rsidRPr="00193BC1">
              <w:t>DUPILUMAB</w:t>
            </w:r>
          </w:p>
          <w:p w14:paraId="4D54062F" w14:textId="77777777" w:rsidR="005E4516" w:rsidRPr="00193BC1" w:rsidRDefault="005E4516" w:rsidP="00487EAF">
            <w:pPr>
              <w:pStyle w:val="Tabletext"/>
              <w:rPr>
                <w:b/>
                <w:bCs/>
              </w:rPr>
            </w:pPr>
            <w:r w:rsidRPr="00193BC1">
              <w:br/>
              <w:t>200 mg/1.14 mL injection, 2 x 1.14 mL syringes</w:t>
            </w:r>
          </w:p>
        </w:tc>
        <w:tc>
          <w:tcPr>
            <w:tcW w:w="462" w:type="pct"/>
            <w:vAlign w:val="center"/>
          </w:tcPr>
          <w:p w14:paraId="2B7E1B9B" w14:textId="77777777" w:rsidR="005E4516" w:rsidRPr="00193BC1" w:rsidRDefault="005E4516" w:rsidP="00487EAF">
            <w:pPr>
              <w:pStyle w:val="Tabletext"/>
              <w:jc w:val="center"/>
            </w:pPr>
            <w:r w:rsidRPr="00193BC1">
              <w:t>NEW</w:t>
            </w:r>
          </w:p>
        </w:tc>
        <w:tc>
          <w:tcPr>
            <w:tcW w:w="759" w:type="pct"/>
            <w:vAlign w:val="center"/>
          </w:tcPr>
          <w:p w14:paraId="1FF5DDAE" w14:textId="77777777" w:rsidR="005E4516" w:rsidRPr="00193BC1" w:rsidRDefault="005E4516" w:rsidP="00487EAF">
            <w:pPr>
              <w:pStyle w:val="Tabletext"/>
              <w:jc w:val="center"/>
              <w:rPr>
                <w:rFonts w:ascii="Times" w:hAnsi="Times"/>
              </w:rPr>
            </w:pPr>
            <w:r w:rsidRPr="00193BC1">
              <w:t>1</w:t>
            </w:r>
          </w:p>
        </w:tc>
        <w:tc>
          <w:tcPr>
            <w:tcW w:w="748" w:type="pct"/>
            <w:vAlign w:val="center"/>
          </w:tcPr>
          <w:p w14:paraId="364623EB" w14:textId="77777777" w:rsidR="005E4516" w:rsidRPr="00193BC1" w:rsidRDefault="005E4516" w:rsidP="00487EAF">
            <w:pPr>
              <w:pStyle w:val="Tabletext"/>
              <w:jc w:val="center"/>
              <w:rPr>
                <w:rFonts w:ascii="Times" w:hAnsi="Times"/>
              </w:rPr>
            </w:pPr>
            <w:r w:rsidRPr="00193BC1">
              <w:t>2</w:t>
            </w:r>
          </w:p>
        </w:tc>
        <w:tc>
          <w:tcPr>
            <w:tcW w:w="535" w:type="pct"/>
            <w:vAlign w:val="center"/>
          </w:tcPr>
          <w:p w14:paraId="3BDCC1B1" w14:textId="77777777" w:rsidR="005E4516" w:rsidRPr="00193BC1" w:rsidRDefault="005E4516" w:rsidP="00487EAF">
            <w:pPr>
              <w:pStyle w:val="Tabletext"/>
              <w:jc w:val="center"/>
              <w:rPr>
                <w:rFonts w:ascii="Times" w:hAnsi="Times"/>
              </w:rPr>
            </w:pPr>
            <w:r w:rsidRPr="00193BC1">
              <w:t>5</w:t>
            </w:r>
          </w:p>
        </w:tc>
        <w:tc>
          <w:tcPr>
            <w:tcW w:w="534" w:type="pct"/>
            <w:vAlign w:val="center"/>
          </w:tcPr>
          <w:p w14:paraId="1EFF7C8B" w14:textId="77777777" w:rsidR="005E4516" w:rsidRPr="00193BC1" w:rsidRDefault="005E4516" w:rsidP="00487EAF">
            <w:pPr>
              <w:pStyle w:val="TableText0"/>
              <w:spacing w:line="276" w:lineRule="auto"/>
              <w:jc w:val="center"/>
              <w:rPr>
                <w:rFonts w:asciiTheme="minorHAnsi" w:hAnsiTheme="minorHAnsi" w:cstheme="minorHAnsi"/>
                <w:sz w:val="18"/>
                <w:szCs w:val="18"/>
              </w:rPr>
            </w:pPr>
            <w:r w:rsidRPr="00193BC1">
              <w:t>Dupixent</w:t>
            </w:r>
            <w:r w:rsidRPr="00193BC1">
              <w:rPr>
                <w:vertAlign w:val="superscript"/>
              </w:rPr>
              <w:t>®</w:t>
            </w:r>
          </w:p>
        </w:tc>
        <w:tc>
          <w:tcPr>
            <w:tcW w:w="749" w:type="pct"/>
            <w:vAlign w:val="center"/>
          </w:tcPr>
          <w:p w14:paraId="4A59A0C9" w14:textId="77777777" w:rsidR="005E4516" w:rsidRPr="00193BC1" w:rsidRDefault="0084063A" w:rsidP="00487EAF">
            <w:pPr>
              <w:pStyle w:val="Tabletext"/>
              <w:jc w:val="center"/>
              <w:rPr>
                <w:rFonts w:ascii="Times" w:hAnsi="Times"/>
              </w:rPr>
            </w:pPr>
            <w:r w:rsidRPr="00193BC1">
              <w:t>Sanofi-Aventis</w:t>
            </w:r>
            <w:r w:rsidR="005E4516" w:rsidRPr="00193BC1">
              <w:t xml:space="preserve"> Australia Pty Ltd</w:t>
            </w:r>
          </w:p>
        </w:tc>
      </w:tr>
      <w:tr w:rsidR="005E4516" w:rsidRPr="00193BC1" w14:paraId="66FC028D" w14:textId="77777777" w:rsidTr="00F813B9">
        <w:tc>
          <w:tcPr>
            <w:tcW w:w="1214" w:type="pct"/>
            <w:vAlign w:val="center"/>
          </w:tcPr>
          <w:p w14:paraId="45384BAE" w14:textId="77777777" w:rsidR="005E4516" w:rsidRPr="00193BC1" w:rsidRDefault="005E4516" w:rsidP="00487EAF">
            <w:pPr>
              <w:pStyle w:val="Tabletext"/>
            </w:pPr>
            <w:r w:rsidRPr="00193BC1">
              <w:t>300 mg/2 mL injection, 2 x 2 mL syringes</w:t>
            </w:r>
          </w:p>
        </w:tc>
        <w:tc>
          <w:tcPr>
            <w:tcW w:w="462" w:type="pct"/>
            <w:vAlign w:val="center"/>
          </w:tcPr>
          <w:p w14:paraId="1BBC3A24" w14:textId="77777777" w:rsidR="005E4516" w:rsidRPr="00193BC1" w:rsidRDefault="005E4516" w:rsidP="00487EAF">
            <w:pPr>
              <w:pStyle w:val="Tabletext"/>
              <w:jc w:val="center"/>
            </w:pPr>
            <w:r w:rsidRPr="00193BC1">
              <w:t>NEW</w:t>
            </w:r>
          </w:p>
        </w:tc>
        <w:tc>
          <w:tcPr>
            <w:tcW w:w="759" w:type="pct"/>
            <w:vAlign w:val="center"/>
          </w:tcPr>
          <w:p w14:paraId="1F0F2815" w14:textId="77777777" w:rsidR="005E4516" w:rsidRPr="00193BC1" w:rsidRDefault="005E4516" w:rsidP="00487EAF">
            <w:pPr>
              <w:pStyle w:val="Tabletext"/>
              <w:jc w:val="center"/>
            </w:pPr>
            <w:r w:rsidRPr="00193BC1">
              <w:t>1</w:t>
            </w:r>
          </w:p>
        </w:tc>
        <w:tc>
          <w:tcPr>
            <w:tcW w:w="748" w:type="pct"/>
            <w:vAlign w:val="center"/>
          </w:tcPr>
          <w:p w14:paraId="23817F87" w14:textId="77777777" w:rsidR="005E4516" w:rsidRPr="00193BC1" w:rsidRDefault="005E4516" w:rsidP="00487EAF">
            <w:pPr>
              <w:pStyle w:val="Tabletext"/>
              <w:jc w:val="center"/>
            </w:pPr>
            <w:r w:rsidRPr="00193BC1">
              <w:t>2</w:t>
            </w:r>
          </w:p>
        </w:tc>
        <w:tc>
          <w:tcPr>
            <w:tcW w:w="535" w:type="pct"/>
            <w:vAlign w:val="center"/>
          </w:tcPr>
          <w:p w14:paraId="3A0625FA" w14:textId="77777777" w:rsidR="005E4516" w:rsidRPr="00193BC1" w:rsidRDefault="005E4516" w:rsidP="00487EAF">
            <w:pPr>
              <w:pStyle w:val="Tabletext"/>
              <w:jc w:val="center"/>
            </w:pPr>
            <w:r w:rsidRPr="00193BC1">
              <w:t>5</w:t>
            </w:r>
          </w:p>
        </w:tc>
        <w:tc>
          <w:tcPr>
            <w:tcW w:w="534" w:type="pct"/>
            <w:vAlign w:val="center"/>
          </w:tcPr>
          <w:p w14:paraId="18EBA9AF" w14:textId="77777777" w:rsidR="005E4516" w:rsidRPr="00193BC1" w:rsidRDefault="005E4516" w:rsidP="00487EAF">
            <w:pPr>
              <w:pStyle w:val="TableText0"/>
              <w:spacing w:line="276" w:lineRule="auto"/>
              <w:jc w:val="center"/>
            </w:pPr>
            <w:r w:rsidRPr="00193BC1">
              <w:t>Dupixent</w:t>
            </w:r>
            <w:r w:rsidRPr="00193BC1">
              <w:rPr>
                <w:vertAlign w:val="superscript"/>
              </w:rPr>
              <w:t>®</w:t>
            </w:r>
          </w:p>
        </w:tc>
        <w:tc>
          <w:tcPr>
            <w:tcW w:w="749" w:type="pct"/>
            <w:vAlign w:val="center"/>
          </w:tcPr>
          <w:p w14:paraId="23D96B74" w14:textId="77777777" w:rsidR="005E4516" w:rsidRPr="00193BC1" w:rsidRDefault="0084063A" w:rsidP="00487EAF">
            <w:pPr>
              <w:pStyle w:val="Tabletext"/>
              <w:jc w:val="center"/>
            </w:pPr>
            <w:r w:rsidRPr="00193BC1">
              <w:t>Sanofi-Aventis</w:t>
            </w:r>
            <w:r w:rsidR="005E4516" w:rsidRPr="00193BC1">
              <w:t xml:space="preserve"> Australia Pty Ltd</w:t>
            </w:r>
          </w:p>
        </w:tc>
      </w:tr>
    </w:tbl>
    <w:p w14:paraId="6CFACB03" w14:textId="77777777" w:rsidR="005E4516" w:rsidRPr="00193BC1" w:rsidRDefault="005E4516" w:rsidP="005E4516">
      <w:pPr>
        <w:pStyle w:val="TableFigureFooter"/>
      </w:pPr>
    </w:p>
    <w:p w14:paraId="686BB109" w14:textId="77777777" w:rsidR="00026C00" w:rsidRDefault="00026C00">
      <w:r>
        <w:rPr>
          <w:bCs/>
        </w:rPr>
        <w:br w:type="page"/>
      </w:r>
      <w:bookmarkStart w:id="52" w:name="_GoBack"/>
      <w:bookmarkEnd w:id="52"/>
    </w:p>
    <w:tbl>
      <w:tblPr>
        <w:tblW w:w="5000" w:type="pct"/>
        <w:tblLook w:val="0000" w:firstRow="0" w:lastRow="0" w:firstColumn="0" w:lastColumn="0" w:noHBand="0" w:noVBand="0"/>
      </w:tblPr>
      <w:tblGrid>
        <w:gridCol w:w="1555"/>
        <w:gridCol w:w="7462"/>
      </w:tblGrid>
      <w:tr w:rsidR="006F2ADF" w:rsidRPr="00193BC1" w14:paraId="3D68CBA3" w14:textId="77777777" w:rsidTr="00A80C41">
        <w:trPr>
          <w:cantSplit/>
        </w:trPr>
        <w:tc>
          <w:tcPr>
            <w:tcW w:w="862" w:type="pct"/>
            <w:vMerge w:val="restart"/>
            <w:tcBorders>
              <w:top w:val="single" w:sz="4" w:space="0" w:color="auto"/>
              <w:left w:val="single" w:sz="4" w:space="0" w:color="auto"/>
              <w:right w:val="single" w:sz="4" w:space="0" w:color="auto"/>
            </w:tcBorders>
            <w:vAlign w:val="center"/>
          </w:tcPr>
          <w:p w14:paraId="6C4B3297" w14:textId="03658353" w:rsidR="005E4516" w:rsidRPr="00193BC1" w:rsidRDefault="005E4516" w:rsidP="00487EAF">
            <w:pPr>
              <w:pStyle w:val="TableText0"/>
              <w:keepNext w:val="0"/>
              <w:jc w:val="center"/>
              <w:rPr>
                <w:b/>
              </w:rPr>
            </w:pPr>
            <w:r w:rsidRPr="00193BC1">
              <w:rPr>
                <w:b/>
              </w:rPr>
              <w:lastRenderedPageBreak/>
              <w:t>Concept ID</w:t>
            </w:r>
          </w:p>
          <w:p w14:paraId="1BE0B87A" w14:textId="77777777" w:rsidR="005E4516" w:rsidRPr="00193BC1" w:rsidRDefault="005E4516" w:rsidP="00487EAF">
            <w:pPr>
              <w:pStyle w:val="TableText0"/>
              <w:keepNext w:val="0"/>
              <w:jc w:val="center"/>
              <w:rPr>
                <w:b/>
              </w:rPr>
            </w:pPr>
          </w:p>
          <w:p w14:paraId="1711F046"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263B59A4" w14:textId="77777777" w:rsidR="005E4516" w:rsidRPr="00193BC1" w:rsidRDefault="005E4516" w:rsidP="00487EAF">
            <w:pPr>
              <w:pStyle w:val="TableText0"/>
              <w:keepNext w:val="0"/>
            </w:pPr>
            <w:r w:rsidRPr="00193BC1">
              <w:rPr>
                <w:b/>
              </w:rPr>
              <w:t>Category / Program:</w:t>
            </w:r>
          </w:p>
          <w:p w14:paraId="4DEAA27F" w14:textId="77777777" w:rsidR="005E4516" w:rsidRPr="00193BC1" w:rsidRDefault="005E4516" w:rsidP="00487EAF">
            <w:pPr>
              <w:pStyle w:val="TableText0"/>
              <w:keepNext w:val="0"/>
            </w:pPr>
            <w:r w:rsidRPr="00193BC1">
              <w:t>Section 100 – Highly Specialised Drugs Program – public and private</w:t>
            </w:r>
          </w:p>
        </w:tc>
      </w:tr>
      <w:tr w:rsidR="006F2ADF" w:rsidRPr="00193BC1" w14:paraId="3C0CEFA9" w14:textId="77777777" w:rsidTr="00A80C41">
        <w:trPr>
          <w:cantSplit/>
        </w:trPr>
        <w:tc>
          <w:tcPr>
            <w:tcW w:w="862" w:type="pct"/>
            <w:vMerge/>
            <w:tcBorders>
              <w:left w:val="single" w:sz="4" w:space="0" w:color="auto"/>
              <w:right w:val="single" w:sz="4" w:space="0" w:color="auto"/>
            </w:tcBorders>
          </w:tcPr>
          <w:p w14:paraId="7858FC76"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08DA2951" w14:textId="77777777" w:rsidR="005E4516" w:rsidRPr="00193BC1" w:rsidRDefault="005E4516" w:rsidP="00487EAF">
            <w:pPr>
              <w:pStyle w:val="TableText0"/>
              <w:keepNext w:val="0"/>
            </w:pPr>
            <w:r w:rsidRPr="00193BC1">
              <w:rPr>
                <w:b/>
              </w:rPr>
              <w:t>Prescriber type:</w:t>
            </w:r>
          </w:p>
          <w:p w14:paraId="346FB203" w14:textId="77777777" w:rsidR="005E4516" w:rsidRPr="00193BC1" w:rsidRDefault="005E4516" w:rsidP="00487EAF">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6F2ADF" w:rsidRPr="00193BC1" w14:paraId="00120E37" w14:textId="77777777" w:rsidTr="00A80C41">
        <w:trPr>
          <w:cantSplit/>
        </w:trPr>
        <w:tc>
          <w:tcPr>
            <w:tcW w:w="862" w:type="pct"/>
            <w:vMerge/>
            <w:tcBorders>
              <w:left w:val="single" w:sz="4" w:space="0" w:color="auto"/>
              <w:bottom w:val="single" w:sz="4" w:space="0" w:color="auto"/>
              <w:right w:val="single" w:sz="4" w:space="0" w:color="auto"/>
            </w:tcBorders>
          </w:tcPr>
          <w:p w14:paraId="575306AD"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7340459" w14:textId="77777777" w:rsidR="005E4516" w:rsidRPr="00193BC1" w:rsidRDefault="005E4516" w:rsidP="00487EAF">
            <w:pPr>
              <w:pStyle w:val="TableText0"/>
              <w:keepNext w:val="0"/>
            </w:pPr>
            <w:r w:rsidRPr="00193BC1">
              <w:rPr>
                <w:b/>
              </w:rPr>
              <w:t>Restriction:</w:t>
            </w:r>
          </w:p>
          <w:p w14:paraId="11979A95" w14:textId="77777777" w:rsidR="005E4516" w:rsidRPr="00193BC1" w:rsidRDefault="005E4516" w:rsidP="00487EAF">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1420F62E"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FB7FD6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081B681" w14:textId="77777777" w:rsidR="005E4516" w:rsidRPr="00193BC1" w:rsidRDefault="005E4516" w:rsidP="00487EAF">
            <w:pPr>
              <w:pStyle w:val="TableText0"/>
              <w:keepNext w:val="0"/>
            </w:pPr>
            <w:r w:rsidRPr="00193BC1">
              <w:rPr>
                <w:b/>
              </w:rPr>
              <w:t>Severity:</w:t>
            </w:r>
          </w:p>
          <w:p w14:paraId="6B436906" w14:textId="77777777" w:rsidR="005E4516" w:rsidRPr="00193BC1" w:rsidRDefault="005E4516" w:rsidP="00487EAF">
            <w:pPr>
              <w:pStyle w:val="TableText0"/>
              <w:keepNext w:val="0"/>
            </w:pPr>
            <w:r w:rsidRPr="00193BC1">
              <w:t>Uncontrolled severe</w:t>
            </w:r>
          </w:p>
        </w:tc>
      </w:tr>
      <w:tr w:rsidR="006F2ADF" w:rsidRPr="00193BC1" w14:paraId="5454F247"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F9104D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974C7C4" w14:textId="77777777" w:rsidR="005E4516" w:rsidRPr="00193BC1" w:rsidRDefault="005E4516" w:rsidP="00487EAF">
            <w:pPr>
              <w:pStyle w:val="TableText0"/>
              <w:keepNext w:val="0"/>
            </w:pPr>
            <w:r w:rsidRPr="00193BC1">
              <w:rPr>
                <w:b/>
              </w:rPr>
              <w:t>Condition:</w:t>
            </w:r>
          </w:p>
          <w:p w14:paraId="60205B21" w14:textId="77777777" w:rsidR="005E4516" w:rsidRPr="00193BC1" w:rsidRDefault="005E4516" w:rsidP="00487EAF">
            <w:pPr>
              <w:pStyle w:val="TableText0"/>
              <w:keepNext w:val="0"/>
            </w:pPr>
            <w:r w:rsidRPr="00193BC1">
              <w:rPr>
                <w:rFonts w:eastAsiaTheme="minorHAnsi"/>
                <w:iCs/>
              </w:rPr>
              <w:t>eosinophilic or allergic asthma</w:t>
            </w:r>
          </w:p>
        </w:tc>
      </w:tr>
      <w:tr w:rsidR="006F2ADF" w:rsidRPr="00193BC1" w14:paraId="5CCD9458" w14:textId="77777777" w:rsidTr="00A80C41">
        <w:trPr>
          <w:cantSplit/>
        </w:trPr>
        <w:tc>
          <w:tcPr>
            <w:tcW w:w="862" w:type="pct"/>
            <w:vMerge w:val="restart"/>
            <w:tcBorders>
              <w:top w:val="single" w:sz="4" w:space="0" w:color="auto"/>
              <w:left w:val="single" w:sz="4" w:space="0" w:color="auto"/>
              <w:right w:val="single" w:sz="4" w:space="0" w:color="auto"/>
            </w:tcBorders>
            <w:vAlign w:val="center"/>
          </w:tcPr>
          <w:p w14:paraId="59DF8035"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E46591A" w14:textId="77777777" w:rsidR="005E4516" w:rsidRPr="00193BC1" w:rsidRDefault="005E4516" w:rsidP="00487EAF">
            <w:pPr>
              <w:pStyle w:val="TableText0"/>
              <w:keepNext w:val="0"/>
            </w:pPr>
            <w:r w:rsidRPr="00193BC1">
              <w:rPr>
                <w:b/>
              </w:rPr>
              <w:t>PBS Indication:</w:t>
            </w:r>
          </w:p>
          <w:p w14:paraId="1BD53136" w14:textId="77777777" w:rsidR="005E4516" w:rsidRPr="00193BC1" w:rsidRDefault="005E4516" w:rsidP="00487EAF">
            <w:pPr>
              <w:pStyle w:val="TableText0"/>
              <w:keepNext w:val="0"/>
            </w:pPr>
            <w:r w:rsidRPr="00193BC1">
              <w:t xml:space="preserve">Uncontrolled severe </w:t>
            </w:r>
            <w:r w:rsidRPr="00193BC1">
              <w:rPr>
                <w:rFonts w:eastAsiaTheme="minorHAnsi"/>
                <w:iCs/>
              </w:rPr>
              <w:t xml:space="preserve">eosinophilic or allergic </w:t>
            </w:r>
            <w:r w:rsidRPr="00193BC1">
              <w:t>asthma</w:t>
            </w:r>
          </w:p>
        </w:tc>
      </w:tr>
      <w:tr w:rsidR="006F2ADF" w:rsidRPr="00193BC1" w14:paraId="1FF511D8" w14:textId="77777777" w:rsidTr="00A80C41">
        <w:trPr>
          <w:cantSplit/>
        </w:trPr>
        <w:tc>
          <w:tcPr>
            <w:tcW w:w="862" w:type="pct"/>
            <w:vMerge/>
            <w:tcBorders>
              <w:left w:val="single" w:sz="4" w:space="0" w:color="auto"/>
              <w:bottom w:val="single" w:sz="4" w:space="0" w:color="auto"/>
              <w:right w:val="single" w:sz="4" w:space="0" w:color="auto"/>
            </w:tcBorders>
            <w:vAlign w:val="center"/>
          </w:tcPr>
          <w:p w14:paraId="55C0E8D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4B2012F" w14:textId="77777777" w:rsidR="005E4516" w:rsidRPr="00193BC1" w:rsidRDefault="005E4516" w:rsidP="00487EAF">
            <w:pPr>
              <w:pStyle w:val="TableText0"/>
              <w:keepNext w:val="0"/>
            </w:pPr>
            <w:r w:rsidRPr="00193BC1">
              <w:rPr>
                <w:b/>
              </w:rPr>
              <w:t>Treatment phase:</w:t>
            </w:r>
          </w:p>
          <w:p w14:paraId="1BE449EF" w14:textId="77777777" w:rsidR="005E4516" w:rsidRPr="00193BC1" w:rsidRDefault="005E4516" w:rsidP="00487EAF">
            <w:pPr>
              <w:pStyle w:val="TableText0"/>
              <w:keepNext w:val="0"/>
              <w:rPr>
                <w:i/>
              </w:rPr>
            </w:pPr>
            <w:r w:rsidRPr="00193BC1">
              <w:t>Continuing treatment</w:t>
            </w:r>
          </w:p>
        </w:tc>
      </w:tr>
      <w:tr w:rsidR="006F2ADF" w:rsidRPr="00193BC1" w14:paraId="49DEC9A0"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7BA51E7"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1E4DADD" w14:textId="77777777" w:rsidR="005E4516" w:rsidRPr="00193BC1" w:rsidRDefault="005E4516" w:rsidP="00487EAF">
            <w:pPr>
              <w:pStyle w:val="TableText0"/>
              <w:keepNext w:val="0"/>
              <w:rPr>
                <w:rFonts w:cs="Arial"/>
              </w:rPr>
            </w:pPr>
            <w:r w:rsidRPr="00193BC1">
              <w:rPr>
                <w:b/>
              </w:rPr>
              <w:t>Treatment criteria:</w:t>
            </w:r>
          </w:p>
          <w:p w14:paraId="23AD4939" w14:textId="77777777" w:rsidR="005E4516" w:rsidRPr="00193BC1" w:rsidRDefault="005E4516" w:rsidP="00487EAF">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6F2ADF" w:rsidRPr="00193BC1" w14:paraId="7F63B4F4"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2E9E8A1"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28E125F" w14:textId="77777777" w:rsidR="005E4516" w:rsidRPr="00193BC1" w:rsidRDefault="005E4516" w:rsidP="00487EAF">
            <w:pPr>
              <w:pStyle w:val="TableText0"/>
              <w:keepNext w:val="0"/>
              <w:rPr>
                <w:rFonts w:cs="Arial"/>
              </w:rPr>
            </w:pPr>
            <w:r w:rsidRPr="00193BC1">
              <w:rPr>
                <w:b/>
              </w:rPr>
              <w:t>AND</w:t>
            </w:r>
          </w:p>
        </w:tc>
      </w:tr>
      <w:tr w:rsidR="006F2ADF" w:rsidRPr="00193BC1" w14:paraId="53FED18D"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F2201CF"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6AC1DC4" w14:textId="77777777" w:rsidR="005E4516" w:rsidRPr="00193BC1" w:rsidRDefault="005E4516" w:rsidP="00487EAF">
            <w:pPr>
              <w:pStyle w:val="TableText0"/>
              <w:keepNext w:val="0"/>
              <w:rPr>
                <w:rFonts w:cs="Arial"/>
              </w:rPr>
            </w:pPr>
            <w:r w:rsidRPr="00193BC1">
              <w:rPr>
                <w:b/>
              </w:rPr>
              <w:t>Clinical criteria:</w:t>
            </w:r>
          </w:p>
        </w:tc>
      </w:tr>
      <w:tr w:rsidR="006F2ADF" w:rsidRPr="00193BC1" w14:paraId="1F8577C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1B9F6E5"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641A5E2" w14:textId="77777777" w:rsidR="005E4516" w:rsidRPr="00193BC1" w:rsidRDefault="005E4516" w:rsidP="00487EAF">
            <w:pPr>
              <w:pStyle w:val="TableText0"/>
              <w:keepNext w:val="0"/>
              <w:rPr>
                <w:rFonts w:cs="Arial"/>
              </w:rPr>
            </w:pPr>
            <w:r w:rsidRPr="00193BC1">
              <w:rPr>
                <w:rFonts w:cs="Arial"/>
              </w:rPr>
              <w:t>Patient must have demonstrated or sustained an adequate response to PBS-subsidised treatment with this drug for this condition.</w:t>
            </w:r>
          </w:p>
        </w:tc>
      </w:tr>
      <w:tr w:rsidR="006F2ADF" w:rsidRPr="00193BC1" w14:paraId="76DB4B4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E514C0F"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FDFC6D2" w14:textId="77777777" w:rsidR="005E4516" w:rsidRPr="00193BC1" w:rsidRDefault="005E4516" w:rsidP="00487EAF">
            <w:pPr>
              <w:pStyle w:val="TableText0"/>
              <w:keepNext w:val="0"/>
              <w:rPr>
                <w:b/>
              </w:rPr>
            </w:pPr>
            <w:r w:rsidRPr="00193BC1">
              <w:rPr>
                <w:rFonts w:cs="Arial"/>
                <w:b/>
              </w:rPr>
              <w:t>AND</w:t>
            </w:r>
          </w:p>
        </w:tc>
      </w:tr>
      <w:tr w:rsidR="006F2ADF" w:rsidRPr="00193BC1" w14:paraId="452FD254"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5E45064"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2ECE592" w14:textId="77777777" w:rsidR="005E4516" w:rsidRPr="00193BC1" w:rsidRDefault="005E4516" w:rsidP="00487EAF">
            <w:pPr>
              <w:pStyle w:val="TableText0"/>
              <w:keepNext w:val="0"/>
              <w:rPr>
                <w:b/>
              </w:rPr>
            </w:pPr>
            <w:r w:rsidRPr="00193BC1">
              <w:rPr>
                <w:b/>
              </w:rPr>
              <w:t>Clinical criteria:</w:t>
            </w:r>
          </w:p>
        </w:tc>
      </w:tr>
      <w:tr w:rsidR="006F2ADF" w:rsidRPr="00193BC1" w14:paraId="3230C9D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6A4B482"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07ADD0D2" w14:textId="77777777" w:rsidR="005E4516" w:rsidRPr="00193BC1" w:rsidRDefault="005E4516" w:rsidP="00487EAF">
            <w:pPr>
              <w:pStyle w:val="TableText0"/>
              <w:keepNext w:val="0"/>
              <w:rPr>
                <w:b/>
              </w:rPr>
            </w:pPr>
            <w:r w:rsidRPr="00193BC1">
              <w:rPr>
                <w:rFonts w:cs="Arial"/>
              </w:rPr>
              <w:t>The treatment must not be used in combination with and within 4 weeks of another PBS-subsidised biological medicine prescribed for severe asthma.</w:t>
            </w:r>
          </w:p>
        </w:tc>
      </w:tr>
      <w:tr w:rsidR="006F2ADF" w:rsidRPr="00193BC1" w14:paraId="4268EC8C"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4BC879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FA97136" w14:textId="77777777" w:rsidR="005E4516" w:rsidRPr="00193BC1" w:rsidRDefault="005E4516" w:rsidP="00487EAF">
            <w:pPr>
              <w:pStyle w:val="TableText0"/>
              <w:keepNext w:val="0"/>
              <w:rPr>
                <w:b/>
              </w:rPr>
            </w:pPr>
            <w:r w:rsidRPr="00193BC1">
              <w:rPr>
                <w:rFonts w:cs="Arial"/>
                <w:b/>
              </w:rPr>
              <w:t>AND</w:t>
            </w:r>
          </w:p>
        </w:tc>
      </w:tr>
      <w:tr w:rsidR="006F2ADF" w:rsidRPr="00193BC1" w14:paraId="4B35BB6C"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E479F1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CAEDBDF" w14:textId="77777777" w:rsidR="005E4516" w:rsidRPr="00193BC1" w:rsidRDefault="005E4516" w:rsidP="00487EAF">
            <w:pPr>
              <w:pStyle w:val="TableText0"/>
              <w:keepNext w:val="0"/>
              <w:rPr>
                <w:b/>
              </w:rPr>
            </w:pPr>
            <w:r w:rsidRPr="00193BC1">
              <w:rPr>
                <w:b/>
              </w:rPr>
              <w:t>Clinical criteria:</w:t>
            </w:r>
          </w:p>
        </w:tc>
      </w:tr>
      <w:tr w:rsidR="006F2ADF" w:rsidRPr="00193BC1" w14:paraId="7D3C8CC1"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7640E0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47AFCB0" w14:textId="77777777" w:rsidR="005E4516" w:rsidRPr="00193BC1" w:rsidRDefault="005E4516" w:rsidP="00487EAF">
            <w:pPr>
              <w:pStyle w:val="TableText0"/>
              <w:keepNext w:val="0"/>
              <w:rPr>
                <w:b/>
              </w:rPr>
            </w:pPr>
            <w:r w:rsidRPr="00193BC1">
              <w:rPr>
                <w:rFonts w:cs="Arial"/>
              </w:rPr>
              <w:t>Patient must not receive more than 24 weeks of treatment under this restriction.</w:t>
            </w:r>
          </w:p>
        </w:tc>
      </w:tr>
      <w:tr w:rsidR="006F2ADF" w:rsidRPr="00193BC1" w14:paraId="510B093F"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6F0B762"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BB7FA67" w14:textId="77777777" w:rsidR="005E4516" w:rsidRPr="00193BC1" w:rsidRDefault="005E4516" w:rsidP="00487EAF">
            <w:pPr>
              <w:pStyle w:val="TableText0"/>
              <w:keepNext w:val="0"/>
              <w:rPr>
                <w:rFonts w:cs="Arial"/>
              </w:rPr>
            </w:pPr>
            <w:r w:rsidRPr="00193BC1">
              <w:rPr>
                <w:b/>
              </w:rPr>
              <w:t>Population criteria:</w:t>
            </w:r>
          </w:p>
          <w:p w14:paraId="4C0E060D" w14:textId="77777777" w:rsidR="005E4516" w:rsidRPr="00193BC1" w:rsidRDefault="005E4516" w:rsidP="00487EAF">
            <w:pPr>
              <w:pStyle w:val="TableText0"/>
              <w:keepNext w:val="0"/>
              <w:rPr>
                <w:b/>
              </w:rPr>
            </w:pPr>
            <w:r w:rsidRPr="00193BC1">
              <w:rPr>
                <w:rFonts w:cs="Arial"/>
              </w:rPr>
              <w:t>Patients must be aged 12 years or older</w:t>
            </w:r>
          </w:p>
        </w:tc>
      </w:tr>
      <w:tr w:rsidR="006F2ADF" w:rsidRPr="00193BC1" w14:paraId="33299026"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F6E9EA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1C8AA82" w14:textId="77777777" w:rsidR="005E4516" w:rsidRPr="00193BC1" w:rsidRDefault="005E4516" w:rsidP="00487EAF">
            <w:pPr>
              <w:pStyle w:val="TableText0"/>
              <w:keepNext w:val="0"/>
              <w:rPr>
                <w:b/>
              </w:rPr>
            </w:pPr>
            <w:r w:rsidRPr="00193BC1">
              <w:rPr>
                <w:b/>
              </w:rPr>
              <w:t>Prescribing instructions:</w:t>
            </w:r>
          </w:p>
          <w:p w14:paraId="4A420828"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An adequate response to this biological medicine is defined as:</w:t>
            </w:r>
          </w:p>
          <w:p w14:paraId="623FB295"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a reduction in the Asthma Control Questionnaire (ACQ-5) score of at least 0.5 from baseline,</w:t>
            </w:r>
          </w:p>
          <w:p w14:paraId="40B2E5FB"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OR</w:t>
            </w:r>
          </w:p>
          <w:p w14:paraId="2A2D9E95" w14:textId="77777777" w:rsidR="005E4516" w:rsidRPr="00193BC1" w:rsidRDefault="005E4516" w:rsidP="00487EAF">
            <w:pPr>
              <w:pStyle w:val="TableText0"/>
              <w:keepNext w:val="0"/>
              <w:rPr>
                <w:b/>
              </w:rPr>
            </w:pPr>
            <w:r w:rsidRPr="00193BC1">
              <w:rPr>
                <w:szCs w:val="20"/>
              </w:rPr>
              <w:t>(b</w:t>
            </w:r>
            <w:r w:rsidRPr="00193BC1">
              <w:rPr>
                <w:rFonts w:eastAsia="Times New Roman" w:cs="Times New Roman"/>
                <w:bCs w:val="0"/>
                <w:szCs w:val="20"/>
              </w:rPr>
              <w:t>) maintenance oral corticosteroid dose reduced by at least 25% from baseline, and no deterioration in ACQ-5 score from baseline or an increase in ACQ-5 score from baseline</w:t>
            </w:r>
            <w:r w:rsidRPr="00193BC1">
              <w:rPr>
                <w:szCs w:val="20"/>
              </w:rPr>
              <w:t xml:space="preserve"> less than or equal to 0.5.</w:t>
            </w:r>
          </w:p>
        </w:tc>
      </w:tr>
      <w:tr w:rsidR="006F2ADF" w:rsidRPr="00193BC1" w14:paraId="242FB5E0"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C8BC95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9B8BA2A" w14:textId="77777777" w:rsidR="005E4516" w:rsidRPr="00193BC1" w:rsidRDefault="005E4516" w:rsidP="00487EAF">
            <w:pPr>
              <w:pStyle w:val="TableText0"/>
              <w:keepNext w:val="0"/>
              <w:rPr>
                <w:b/>
              </w:rPr>
            </w:pPr>
            <w:r w:rsidRPr="00193BC1">
              <w:rPr>
                <w:b/>
              </w:rPr>
              <w:t>Prescribing instructions:</w:t>
            </w:r>
          </w:p>
          <w:p w14:paraId="3ECAE51A"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All applications for second and subsequent continuing treatments with this drug must include a measurement of response to the prior course of therapy. The Asthma Control Questionnaire (5 item version) assessment of the patient's response to the prior course of treatment or the assessment of oral corticosteroid dose, should be made at around 20 weeks after the first dose of PBS-subsidised dose of this drug under this restriction so that there is adequate time for a response to be demonstrated and for the application for continuing therapy to be processed.</w:t>
            </w:r>
          </w:p>
          <w:p w14:paraId="08C3FC6D"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 assessment should, where possible, be completed by the same physician who initiated treatment with this drug. This assessment, which will be used to determine eligibility for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drug.</w:t>
            </w:r>
          </w:p>
          <w:p w14:paraId="61B79D3D"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Where treatment was ceased for clinical reasons despite the patient experiencing improvement, an assessment of the patient's response to treatment made at the time of treatment cessation or retrospectively will be considered to determine whether the patient demonstrated or sustained an adequate response to treatment.</w:t>
            </w:r>
          </w:p>
          <w:p w14:paraId="5C181D7A" w14:textId="77777777" w:rsidR="005E4516" w:rsidRPr="00193BC1" w:rsidRDefault="005E4516" w:rsidP="00487EAF">
            <w:pPr>
              <w:pStyle w:val="TableText0"/>
              <w:keepNext w:val="0"/>
              <w:rPr>
                <w:b/>
              </w:rPr>
            </w:pPr>
            <w:r w:rsidRPr="00193BC1">
              <w:rPr>
                <w:szCs w:val="20"/>
              </w:rPr>
              <w:t>A patient who fails to respond to treatment with this biological medicine for uncontrolled severe asthma will not be eligible to receive further PBS subsidised treatment with this biological medicine for severe asthma within the current treatment cycle.</w:t>
            </w:r>
          </w:p>
        </w:tc>
      </w:tr>
      <w:tr w:rsidR="005E4516" w:rsidRPr="00193BC1" w14:paraId="094F77AF"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561231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A8B5B6F" w14:textId="77777777" w:rsidR="005E4516" w:rsidRPr="00193BC1" w:rsidRDefault="005E4516" w:rsidP="00487EAF">
            <w:pPr>
              <w:pStyle w:val="NormalWeb"/>
              <w:spacing w:before="0" w:after="0"/>
              <w:rPr>
                <w:b/>
                <w:lang w:val="en-AU"/>
              </w:rPr>
            </w:pPr>
            <w:r w:rsidRPr="00193BC1">
              <w:rPr>
                <w:rFonts w:ascii="Arial Narrow" w:eastAsiaTheme="majorEastAsia" w:hAnsi="Arial Narrow" w:cstheme="majorBidi"/>
                <w:b/>
                <w:bCs/>
                <w:sz w:val="20"/>
                <w:lang w:val="en-AU" w:eastAsia="en-US"/>
              </w:rPr>
              <w:t>Prescribing instructions:</w:t>
            </w:r>
          </w:p>
          <w:p w14:paraId="1F3F6866"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At the time of the authority application, medical practitioners should request the appropriate number of repeats to provide for a continuing course of this drug sufficient for up to 24 weeks of therapy.</w:t>
            </w:r>
          </w:p>
          <w:p w14:paraId="5E94D7EF"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 authority application must be made in writing and must include:</w:t>
            </w:r>
          </w:p>
          <w:p w14:paraId="0F2CE596"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a completed authority prescription form; and</w:t>
            </w:r>
          </w:p>
          <w:p w14:paraId="48706556"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 xml:space="preserve">(b) a completed </w:t>
            </w:r>
            <w:r w:rsidRPr="00193BC1">
              <w:rPr>
                <w:rFonts w:ascii="Arial Narrow" w:eastAsiaTheme="majorEastAsia" w:hAnsi="Arial Narrow" w:cs="Arial"/>
                <w:bCs/>
                <w:sz w:val="20"/>
                <w:lang w:val="en-AU"/>
              </w:rPr>
              <w:t>Uncontrolled severe eosinophilic or allergic asthma</w:t>
            </w:r>
            <w:r w:rsidRPr="00193BC1">
              <w:rPr>
                <w:rFonts w:ascii="Arial Narrow" w:hAnsi="Arial Narrow"/>
                <w:sz w:val="20"/>
                <w:szCs w:val="20"/>
                <w:lang w:val="en-AU"/>
              </w:rPr>
              <w:t xml:space="preserve"> Continuing PBS Authority Application - Supporting Information Form which includes:</w:t>
            </w:r>
          </w:p>
          <w:p w14:paraId="1AEC76C7"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(i) details of maintenance oral corticosteroid dose; or</w:t>
            </w:r>
          </w:p>
          <w:p w14:paraId="7C955E4C" w14:textId="77777777" w:rsidR="005E4516" w:rsidRPr="00193BC1" w:rsidRDefault="005E4516" w:rsidP="00487EAF">
            <w:pPr>
              <w:pStyle w:val="NormalWeb"/>
              <w:spacing w:before="0" w:after="0"/>
              <w:rPr>
                <w:i/>
                <w:szCs w:val="20"/>
                <w:lang w:val="en-AU"/>
              </w:rPr>
            </w:pPr>
            <w:r w:rsidRPr="00193BC1">
              <w:rPr>
                <w:rFonts w:ascii="Arial Narrow" w:hAnsi="Arial Narrow"/>
                <w:sz w:val="20"/>
                <w:szCs w:val="20"/>
                <w:lang w:val="en-AU"/>
              </w:rPr>
              <w:t>(ii) a completed Asthma Control Questionnaire (ACQ-5) score.</w:t>
            </w:r>
          </w:p>
        </w:tc>
      </w:tr>
      <w:tr w:rsidR="003C46BE" w:rsidRPr="00193BC1" w14:paraId="1BF73A6B" w14:textId="77777777" w:rsidTr="00345DF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48AF219B"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01A91785" w14:textId="77777777" w:rsidR="003C46BE" w:rsidRPr="003C46BE" w:rsidRDefault="003C46BE" w:rsidP="00345DF8">
            <w:pPr>
              <w:rPr>
                <w:rFonts w:ascii="Arial Narrow" w:eastAsiaTheme="majorEastAsia" w:hAnsi="Arial Narrow" w:cstheme="majorBidi"/>
                <w:b/>
                <w:bCs/>
                <w:sz w:val="20"/>
                <w:szCs w:val="20"/>
              </w:rPr>
            </w:pPr>
            <w:r w:rsidRPr="003C46BE">
              <w:rPr>
                <w:rFonts w:ascii="Arial Narrow" w:eastAsiaTheme="majorEastAsia" w:hAnsi="Arial Narrow" w:cstheme="majorBidi"/>
                <w:b/>
                <w:bCs/>
                <w:sz w:val="20"/>
                <w:szCs w:val="20"/>
              </w:rPr>
              <w:t>Note:</w:t>
            </w:r>
          </w:p>
          <w:p w14:paraId="4EF8057C" w14:textId="77777777" w:rsidR="003C46BE" w:rsidRPr="00193BC1" w:rsidRDefault="003C46BE" w:rsidP="00345DF8">
            <w:r w:rsidRPr="003C46BE">
              <w:rPr>
                <w:rFonts w:ascii="Arial Narrow" w:eastAsiaTheme="majorEastAsia" w:hAnsi="Arial Narrow" w:cstheme="majorBidi"/>
                <w:bCs/>
                <w:sz w:val="20"/>
                <w:szCs w:val="20"/>
              </w:rPr>
              <w:t>For copies of the ACQ and the calculation sheets please contact Sanofi Medical Information on 1800 818 806</w:t>
            </w:r>
            <w:r>
              <w:rPr>
                <w:rFonts w:ascii="Arial Narrow" w:eastAsiaTheme="majorEastAsia" w:hAnsi="Arial Narrow" w:cstheme="majorBidi"/>
                <w:bCs/>
                <w:sz w:val="20"/>
                <w:szCs w:val="20"/>
              </w:rPr>
              <w:t>.</w:t>
            </w:r>
          </w:p>
        </w:tc>
      </w:tr>
    </w:tbl>
    <w:p w14:paraId="7688EE0A" w14:textId="77777777" w:rsidR="005E4516" w:rsidRPr="00193BC1" w:rsidRDefault="005E4516" w:rsidP="005E4516">
      <w:pPr>
        <w:pStyle w:val="TableFigureFooter"/>
      </w:pPr>
    </w:p>
    <w:p w14:paraId="7E20E74C" w14:textId="77777777" w:rsidR="005E4516" w:rsidRPr="00193BC1" w:rsidRDefault="005E4516" w:rsidP="005E4516">
      <w:r w:rsidRPr="00193BC1">
        <w:rPr>
          <w:rFonts w:ascii="Arial Narrow" w:hAnsi="Arial Narrow"/>
          <w:b/>
          <w:bCs/>
          <w:sz w:val="20"/>
          <w:szCs w:val="20"/>
        </w:rPr>
        <w:t>Treatment phase: Initial 1 and Initial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833"/>
        <w:gridCol w:w="1369"/>
        <w:gridCol w:w="1349"/>
        <w:gridCol w:w="965"/>
        <w:gridCol w:w="963"/>
        <w:gridCol w:w="1349"/>
      </w:tblGrid>
      <w:tr w:rsidR="006F2ADF" w:rsidRPr="00193BC1" w14:paraId="712119C1" w14:textId="77777777" w:rsidTr="00F813B9">
        <w:tc>
          <w:tcPr>
            <w:tcW w:w="1214" w:type="pct"/>
          </w:tcPr>
          <w:p w14:paraId="4F563D94" w14:textId="77777777" w:rsidR="005E4516" w:rsidRPr="00193BC1" w:rsidRDefault="005E4516" w:rsidP="00487EAF">
            <w:pPr>
              <w:pStyle w:val="Tabletext"/>
              <w:rPr>
                <w:b/>
                <w:bCs/>
              </w:rPr>
            </w:pPr>
            <w:r w:rsidRPr="00193BC1">
              <w:rPr>
                <w:b/>
              </w:rPr>
              <w:t>Name, restriction, manner of administration, form</w:t>
            </w:r>
          </w:p>
        </w:tc>
        <w:tc>
          <w:tcPr>
            <w:tcW w:w="462" w:type="pct"/>
          </w:tcPr>
          <w:p w14:paraId="3A85310E" w14:textId="77777777" w:rsidR="005E4516" w:rsidRPr="00193BC1" w:rsidRDefault="005E4516" w:rsidP="00487EAF">
            <w:pPr>
              <w:pStyle w:val="Tabletext"/>
              <w:jc w:val="center"/>
              <w:rPr>
                <w:b/>
              </w:rPr>
            </w:pPr>
            <w:r w:rsidRPr="00193BC1">
              <w:rPr>
                <w:b/>
              </w:rPr>
              <w:t>PBS item code</w:t>
            </w:r>
          </w:p>
        </w:tc>
        <w:tc>
          <w:tcPr>
            <w:tcW w:w="759" w:type="pct"/>
          </w:tcPr>
          <w:p w14:paraId="22B7BB35" w14:textId="77777777" w:rsidR="005E4516" w:rsidRPr="00193BC1" w:rsidRDefault="005E4516" w:rsidP="00487EAF">
            <w:pPr>
              <w:pStyle w:val="Tabletext"/>
              <w:jc w:val="center"/>
              <w:rPr>
                <w:b/>
                <w:bCs/>
              </w:rPr>
            </w:pPr>
            <w:r w:rsidRPr="00193BC1">
              <w:rPr>
                <w:b/>
              </w:rPr>
              <w:t>Maximum quantity (packs)</w:t>
            </w:r>
          </w:p>
        </w:tc>
        <w:tc>
          <w:tcPr>
            <w:tcW w:w="748" w:type="pct"/>
          </w:tcPr>
          <w:p w14:paraId="7D95A0EA" w14:textId="77777777" w:rsidR="005E4516" w:rsidRPr="00193BC1" w:rsidRDefault="005E4516" w:rsidP="00487EAF">
            <w:pPr>
              <w:pStyle w:val="Tabletext"/>
              <w:jc w:val="center"/>
              <w:rPr>
                <w:b/>
                <w:bCs/>
              </w:rPr>
            </w:pPr>
            <w:r w:rsidRPr="00193BC1">
              <w:rPr>
                <w:b/>
              </w:rPr>
              <w:t>Maximum quantity (units)</w:t>
            </w:r>
          </w:p>
        </w:tc>
        <w:tc>
          <w:tcPr>
            <w:tcW w:w="535" w:type="pct"/>
          </w:tcPr>
          <w:p w14:paraId="704B27D7" w14:textId="77777777" w:rsidR="005E4516" w:rsidRPr="00193BC1" w:rsidRDefault="005E4516" w:rsidP="00487EAF">
            <w:pPr>
              <w:pStyle w:val="Tabletext"/>
              <w:rPr>
                <w:b/>
                <w:bCs/>
              </w:rPr>
            </w:pPr>
            <w:r w:rsidRPr="00193BC1">
              <w:rPr>
                <w:b/>
              </w:rPr>
              <w:t>No. of repeats</w:t>
            </w:r>
          </w:p>
        </w:tc>
        <w:tc>
          <w:tcPr>
            <w:tcW w:w="1283" w:type="pct"/>
            <w:gridSpan w:val="2"/>
          </w:tcPr>
          <w:p w14:paraId="0E44669C" w14:textId="77777777" w:rsidR="005E4516" w:rsidRPr="00193BC1" w:rsidRDefault="005E4516" w:rsidP="00487EAF">
            <w:pPr>
              <w:pStyle w:val="Tabletext"/>
              <w:rPr>
                <w:b/>
                <w:bCs/>
              </w:rPr>
            </w:pPr>
            <w:r w:rsidRPr="00193BC1">
              <w:rPr>
                <w:b/>
              </w:rPr>
              <w:t>Proprietary name and manufacturer</w:t>
            </w:r>
          </w:p>
        </w:tc>
      </w:tr>
      <w:tr w:rsidR="005E4516" w:rsidRPr="00193BC1" w14:paraId="4F6C4546" w14:textId="77777777" w:rsidTr="00F813B9">
        <w:tc>
          <w:tcPr>
            <w:tcW w:w="1214" w:type="pct"/>
            <w:vAlign w:val="center"/>
          </w:tcPr>
          <w:p w14:paraId="1DE5EBF7" w14:textId="77777777" w:rsidR="005E4516" w:rsidRPr="00193BC1" w:rsidRDefault="005E4516" w:rsidP="00487EAF">
            <w:pPr>
              <w:pStyle w:val="Tabletext"/>
            </w:pPr>
            <w:r w:rsidRPr="00193BC1">
              <w:t>300 mg/2 mL injection, 2 x 2 mL syringes</w:t>
            </w:r>
          </w:p>
        </w:tc>
        <w:tc>
          <w:tcPr>
            <w:tcW w:w="462" w:type="pct"/>
            <w:vAlign w:val="center"/>
          </w:tcPr>
          <w:p w14:paraId="189A171C" w14:textId="77777777" w:rsidR="005E4516" w:rsidRPr="00193BC1" w:rsidRDefault="005E4516" w:rsidP="00487EAF">
            <w:pPr>
              <w:pStyle w:val="Tabletext"/>
              <w:jc w:val="center"/>
            </w:pPr>
            <w:r w:rsidRPr="00193BC1">
              <w:t>NEW</w:t>
            </w:r>
          </w:p>
        </w:tc>
        <w:tc>
          <w:tcPr>
            <w:tcW w:w="759" w:type="pct"/>
            <w:vAlign w:val="center"/>
          </w:tcPr>
          <w:p w14:paraId="6A753F5F" w14:textId="77777777" w:rsidR="005E4516" w:rsidRPr="00193BC1" w:rsidRDefault="005E4516" w:rsidP="00487EAF">
            <w:pPr>
              <w:pStyle w:val="Tabletext"/>
              <w:jc w:val="center"/>
            </w:pPr>
            <w:r w:rsidRPr="00193BC1">
              <w:t>1</w:t>
            </w:r>
          </w:p>
        </w:tc>
        <w:tc>
          <w:tcPr>
            <w:tcW w:w="748" w:type="pct"/>
            <w:vAlign w:val="center"/>
          </w:tcPr>
          <w:p w14:paraId="2F0D142D" w14:textId="77777777" w:rsidR="005E4516" w:rsidRPr="00193BC1" w:rsidRDefault="005E4516" w:rsidP="00487EAF">
            <w:pPr>
              <w:pStyle w:val="Tabletext"/>
              <w:jc w:val="center"/>
            </w:pPr>
            <w:r w:rsidRPr="00193BC1">
              <w:t>2</w:t>
            </w:r>
          </w:p>
        </w:tc>
        <w:tc>
          <w:tcPr>
            <w:tcW w:w="535" w:type="pct"/>
            <w:vAlign w:val="center"/>
          </w:tcPr>
          <w:p w14:paraId="23CBD512" w14:textId="77777777" w:rsidR="005E4516" w:rsidRPr="00193BC1" w:rsidRDefault="005E4516" w:rsidP="00487EAF">
            <w:pPr>
              <w:pStyle w:val="Tabletext"/>
              <w:jc w:val="center"/>
            </w:pPr>
            <w:r w:rsidRPr="00193BC1">
              <w:t>8</w:t>
            </w:r>
          </w:p>
        </w:tc>
        <w:tc>
          <w:tcPr>
            <w:tcW w:w="534" w:type="pct"/>
            <w:vAlign w:val="center"/>
          </w:tcPr>
          <w:p w14:paraId="5DB9DB65" w14:textId="77777777" w:rsidR="005E4516" w:rsidRPr="00193BC1" w:rsidRDefault="005E4516" w:rsidP="00487EAF">
            <w:pPr>
              <w:pStyle w:val="TableText0"/>
              <w:spacing w:line="276" w:lineRule="auto"/>
              <w:jc w:val="center"/>
            </w:pPr>
            <w:r w:rsidRPr="00193BC1">
              <w:t>Dupixent</w:t>
            </w:r>
            <w:r w:rsidRPr="00193BC1">
              <w:rPr>
                <w:vertAlign w:val="superscript"/>
              </w:rPr>
              <w:t>®</w:t>
            </w:r>
          </w:p>
        </w:tc>
        <w:tc>
          <w:tcPr>
            <w:tcW w:w="749" w:type="pct"/>
            <w:vAlign w:val="center"/>
          </w:tcPr>
          <w:p w14:paraId="3E2292F3" w14:textId="77777777" w:rsidR="005E4516" w:rsidRPr="00193BC1" w:rsidRDefault="0084063A" w:rsidP="00487EAF">
            <w:pPr>
              <w:pStyle w:val="Tabletext"/>
              <w:jc w:val="center"/>
            </w:pPr>
            <w:r w:rsidRPr="00193BC1">
              <w:t>Sanofi-Aventis</w:t>
            </w:r>
            <w:r w:rsidR="005E4516" w:rsidRPr="00193BC1">
              <w:t xml:space="preserve"> Australia Pty Ltd</w:t>
            </w:r>
          </w:p>
        </w:tc>
      </w:tr>
    </w:tbl>
    <w:p w14:paraId="07AA75D6" w14:textId="77777777" w:rsidR="005E4516" w:rsidRPr="00193BC1" w:rsidRDefault="005E4516" w:rsidP="005E4516">
      <w:pPr>
        <w:pStyle w:val="TableFigureFooter"/>
      </w:pPr>
    </w:p>
    <w:tbl>
      <w:tblPr>
        <w:tblW w:w="5000" w:type="pct"/>
        <w:tblLook w:val="0000" w:firstRow="0" w:lastRow="0" w:firstColumn="0" w:lastColumn="0" w:noHBand="0" w:noVBand="0"/>
      </w:tblPr>
      <w:tblGrid>
        <w:gridCol w:w="1555"/>
        <w:gridCol w:w="7462"/>
      </w:tblGrid>
      <w:tr w:rsidR="006F2ADF" w:rsidRPr="00193BC1" w14:paraId="0DB422F2" w14:textId="77777777" w:rsidTr="00F813B9">
        <w:tc>
          <w:tcPr>
            <w:tcW w:w="862" w:type="pct"/>
            <w:vMerge w:val="restart"/>
            <w:tcBorders>
              <w:top w:val="single" w:sz="4" w:space="0" w:color="auto"/>
              <w:left w:val="single" w:sz="4" w:space="0" w:color="auto"/>
              <w:bottom w:val="single" w:sz="4" w:space="0" w:color="auto"/>
              <w:right w:val="single" w:sz="4" w:space="0" w:color="auto"/>
            </w:tcBorders>
            <w:vAlign w:val="center"/>
          </w:tcPr>
          <w:p w14:paraId="31773955" w14:textId="77777777" w:rsidR="005E4516" w:rsidRPr="00193BC1" w:rsidRDefault="005E4516" w:rsidP="00487EAF">
            <w:pPr>
              <w:pStyle w:val="TableText0"/>
              <w:keepNext w:val="0"/>
              <w:jc w:val="center"/>
              <w:rPr>
                <w:b/>
              </w:rPr>
            </w:pPr>
            <w:r w:rsidRPr="00193BC1">
              <w:rPr>
                <w:b/>
              </w:rPr>
              <w:t>Concept ID</w:t>
            </w:r>
          </w:p>
          <w:p w14:paraId="45DF3A42" w14:textId="77777777" w:rsidR="005E4516" w:rsidRPr="00193BC1" w:rsidRDefault="005E4516" w:rsidP="00487EAF">
            <w:pPr>
              <w:pStyle w:val="TableText0"/>
              <w:keepNext w:val="0"/>
              <w:jc w:val="center"/>
              <w:rPr>
                <w:b/>
              </w:rPr>
            </w:pPr>
          </w:p>
          <w:p w14:paraId="1FCAE1A7"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453F77D1" w14:textId="77777777" w:rsidR="005E4516" w:rsidRPr="00193BC1" w:rsidRDefault="005E4516" w:rsidP="00487EAF">
            <w:pPr>
              <w:pStyle w:val="TableText0"/>
              <w:keepNext w:val="0"/>
            </w:pPr>
            <w:r w:rsidRPr="00193BC1">
              <w:rPr>
                <w:b/>
              </w:rPr>
              <w:t>Category / Program:</w:t>
            </w:r>
          </w:p>
          <w:p w14:paraId="2EE476F3" w14:textId="77777777" w:rsidR="005E4516" w:rsidRPr="00193BC1" w:rsidRDefault="005E4516" w:rsidP="00487EAF">
            <w:pPr>
              <w:pStyle w:val="TableText0"/>
              <w:keepNext w:val="0"/>
            </w:pPr>
            <w:r w:rsidRPr="00193BC1">
              <w:t>Section 100 – Highly Specialised Drugs Program – public and private</w:t>
            </w:r>
          </w:p>
        </w:tc>
      </w:tr>
      <w:tr w:rsidR="006F2ADF" w:rsidRPr="00193BC1" w14:paraId="35C77C40" w14:textId="77777777" w:rsidTr="00F813B9">
        <w:tc>
          <w:tcPr>
            <w:tcW w:w="862" w:type="pct"/>
            <w:vMerge/>
            <w:tcBorders>
              <w:top w:val="single" w:sz="4" w:space="0" w:color="auto"/>
              <w:left w:val="single" w:sz="4" w:space="0" w:color="auto"/>
              <w:bottom w:val="single" w:sz="4" w:space="0" w:color="auto"/>
              <w:right w:val="single" w:sz="4" w:space="0" w:color="auto"/>
            </w:tcBorders>
          </w:tcPr>
          <w:p w14:paraId="52AD4926"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5CDC0939" w14:textId="77777777" w:rsidR="005E4516" w:rsidRPr="00193BC1" w:rsidRDefault="005E4516" w:rsidP="00487EAF">
            <w:pPr>
              <w:pStyle w:val="TableText0"/>
              <w:keepNext w:val="0"/>
            </w:pPr>
            <w:r w:rsidRPr="00193BC1">
              <w:rPr>
                <w:b/>
              </w:rPr>
              <w:t>Prescriber type:</w:t>
            </w:r>
          </w:p>
          <w:p w14:paraId="005AC86C" w14:textId="77777777" w:rsidR="005E4516" w:rsidRPr="00193BC1" w:rsidRDefault="005E4516" w:rsidP="00487EAF">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6F2ADF" w:rsidRPr="00193BC1" w14:paraId="4858D413" w14:textId="77777777" w:rsidTr="00F813B9">
        <w:tc>
          <w:tcPr>
            <w:tcW w:w="862" w:type="pct"/>
            <w:vMerge/>
            <w:tcBorders>
              <w:top w:val="single" w:sz="4" w:space="0" w:color="auto"/>
              <w:left w:val="single" w:sz="4" w:space="0" w:color="auto"/>
              <w:bottom w:val="single" w:sz="4" w:space="0" w:color="auto"/>
              <w:right w:val="single" w:sz="4" w:space="0" w:color="auto"/>
            </w:tcBorders>
          </w:tcPr>
          <w:p w14:paraId="40F672C0"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99D0D43" w14:textId="77777777" w:rsidR="005E4516" w:rsidRPr="00193BC1" w:rsidRDefault="005E4516" w:rsidP="00487EAF">
            <w:pPr>
              <w:pStyle w:val="TableText0"/>
              <w:keepNext w:val="0"/>
            </w:pPr>
            <w:r w:rsidRPr="00193BC1">
              <w:rPr>
                <w:b/>
              </w:rPr>
              <w:t>Restriction:</w:t>
            </w:r>
          </w:p>
          <w:p w14:paraId="29129131" w14:textId="77777777" w:rsidR="005E4516" w:rsidRPr="00193BC1" w:rsidRDefault="005E4516" w:rsidP="00487EAF">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525F6F8F"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2CCBD7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38E1D0E" w14:textId="77777777" w:rsidR="005E4516" w:rsidRPr="00193BC1" w:rsidRDefault="005E4516" w:rsidP="00487EAF">
            <w:pPr>
              <w:pStyle w:val="TableText0"/>
              <w:keepNext w:val="0"/>
            </w:pPr>
            <w:r w:rsidRPr="00193BC1">
              <w:rPr>
                <w:b/>
              </w:rPr>
              <w:t>Severity:</w:t>
            </w:r>
          </w:p>
          <w:p w14:paraId="0DFD8837" w14:textId="77777777" w:rsidR="005E4516" w:rsidRPr="00193BC1" w:rsidRDefault="005E4516" w:rsidP="00487EAF">
            <w:pPr>
              <w:pStyle w:val="TableText0"/>
              <w:keepNext w:val="0"/>
            </w:pPr>
            <w:r w:rsidRPr="00193BC1">
              <w:t>Uncontrolled severe</w:t>
            </w:r>
          </w:p>
        </w:tc>
      </w:tr>
      <w:tr w:rsidR="006F2ADF" w:rsidRPr="00193BC1" w14:paraId="41A29813"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247A907"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22C307D" w14:textId="77777777" w:rsidR="005E4516" w:rsidRPr="00193BC1" w:rsidRDefault="005E4516" w:rsidP="00487EAF">
            <w:pPr>
              <w:pStyle w:val="TableText0"/>
              <w:keepNext w:val="0"/>
            </w:pPr>
            <w:r w:rsidRPr="00193BC1">
              <w:rPr>
                <w:b/>
              </w:rPr>
              <w:t>Condition:</w:t>
            </w:r>
          </w:p>
          <w:p w14:paraId="744CCEB3" w14:textId="77777777" w:rsidR="005E4516" w:rsidRPr="00193BC1" w:rsidRDefault="005E4516" w:rsidP="00487EAF">
            <w:pPr>
              <w:pStyle w:val="TableText0"/>
              <w:keepNext w:val="0"/>
            </w:pPr>
            <w:r w:rsidRPr="00193BC1">
              <w:rPr>
                <w:rFonts w:eastAsiaTheme="minorHAnsi"/>
                <w:iCs/>
              </w:rPr>
              <w:t>eosinophilic or allergic asthma</w:t>
            </w:r>
          </w:p>
        </w:tc>
      </w:tr>
      <w:tr w:rsidR="006F2ADF" w:rsidRPr="00193BC1" w14:paraId="7F070BD0" w14:textId="77777777" w:rsidTr="00F813B9">
        <w:tc>
          <w:tcPr>
            <w:tcW w:w="862" w:type="pct"/>
            <w:vMerge w:val="restart"/>
            <w:tcBorders>
              <w:top w:val="single" w:sz="4" w:space="0" w:color="auto"/>
              <w:left w:val="single" w:sz="4" w:space="0" w:color="auto"/>
              <w:right w:val="single" w:sz="4" w:space="0" w:color="auto"/>
            </w:tcBorders>
            <w:vAlign w:val="center"/>
          </w:tcPr>
          <w:p w14:paraId="15B0E2C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DF99A67" w14:textId="77777777" w:rsidR="005E4516" w:rsidRPr="00193BC1" w:rsidRDefault="005E4516" w:rsidP="00487EAF">
            <w:pPr>
              <w:pStyle w:val="TableText0"/>
              <w:keepNext w:val="0"/>
            </w:pPr>
            <w:r w:rsidRPr="00193BC1">
              <w:rPr>
                <w:b/>
              </w:rPr>
              <w:t>PBS Indication:</w:t>
            </w:r>
          </w:p>
          <w:p w14:paraId="2BA549A5" w14:textId="77777777" w:rsidR="005E4516" w:rsidRPr="00193BC1" w:rsidRDefault="005E4516" w:rsidP="00487EAF">
            <w:pPr>
              <w:pStyle w:val="TableText0"/>
              <w:keepNext w:val="0"/>
            </w:pPr>
            <w:r w:rsidRPr="00193BC1">
              <w:t xml:space="preserve">Uncontrolled severe </w:t>
            </w:r>
            <w:r w:rsidRPr="00193BC1">
              <w:rPr>
                <w:rFonts w:eastAsiaTheme="minorHAnsi"/>
                <w:iCs/>
              </w:rPr>
              <w:t xml:space="preserve">eosinophilic or allergic </w:t>
            </w:r>
            <w:r w:rsidR="00415BF8" w:rsidRPr="00193BC1">
              <w:t>asthma</w:t>
            </w:r>
          </w:p>
        </w:tc>
      </w:tr>
      <w:tr w:rsidR="006F2ADF" w:rsidRPr="00193BC1" w14:paraId="60ACE108" w14:textId="77777777" w:rsidTr="00F813B9">
        <w:tc>
          <w:tcPr>
            <w:tcW w:w="862" w:type="pct"/>
            <w:vMerge/>
            <w:tcBorders>
              <w:left w:val="single" w:sz="4" w:space="0" w:color="auto"/>
              <w:bottom w:val="single" w:sz="4" w:space="0" w:color="auto"/>
              <w:right w:val="single" w:sz="4" w:space="0" w:color="auto"/>
            </w:tcBorders>
            <w:vAlign w:val="center"/>
          </w:tcPr>
          <w:p w14:paraId="4C5D38B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F551AE6" w14:textId="77777777" w:rsidR="005E4516" w:rsidRPr="00193BC1" w:rsidRDefault="005E4516" w:rsidP="00487EAF">
            <w:pPr>
              <w:pStyle w:val="TableText0"/>
              <w:keepNext w:val="0"/>
            </w:pPr>
            <w:r w:rsidRPr="00193BC1">
              <w:rPr>
                <w:b/>
              </w:rPr>
              <w:t>Treatment phase:</w:t>
            </w:r>
          </w:p>
          <w:p w14:paraId="6EF5A44C" w14:textId="77777777" w:rsidR="005E4516" w:rsidRPr="00193BC1" w:rsidRDefault="005E4516" w:rsidP="00415BF8">
            <w:pPr>
              <w:pStyle w:val="TableText0"/>
              <w:keepNext w:val="0"/>
            </w:pPr>
            <w:r w:rsidRPr="00193BC1">
              <w:lastRenderedPageBreak/>
              <w:t xml:space="preserve">Initial treatment 1 – </w:t>
            </w:r>
            <w:r w:rsidRPr="00193BC1">
              <w:rPr>
                <w:i/>
              </w:rPr>
              <w:t>(</w:t>
            </w:r>
            <w:r w:rsidRPr="00193BC1">
              <w:t xml:space="preserve">New patients; or </w:t>
            </w:r>
            <w:r w:rsidR="00415BF8" w:rsidRPr="00193BC1">
              <w:t>Recommencement of</w:t>
            </w:r>
            <w:r w:rsidRPr="00193BC1">
              <w:t xml:space="preserve"> treatment in a new treatment cycle following a break in PBS subsidised biological medicine therapy)</w:t>
            </w:r>
            <w:r w:rsidRPr="00193BC1">
              <w:rPr>
                <w:i/>
              </w:rPr>
              <w:t xml:space="preserve"> </w:t>
            </w:r>
          </w:p>
        </w:tc>
      </w:tr>
      <w:tr w:rsidR="006F2ADF" w:rsidRPr="00193BC1" w14:paraId="2B8BDF9D"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6341DF9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12CD04B" w14:textId="77777777" w:rsidR="005E4516" w:rsidRPr="00193BC1" w:rsidRDefault="005E4516" w:rsidP="00487EAF">
            <w:pPr>
              <w:pStyle w:val="TableText0"/>
              <w:keepNext w:val="0"/>
              <w:rPr>
                <w:rFonts w:cs="Arial"/>
              </w:rPr>
            </w:pPr>
            <w:r w:rsidRPr="00193BC1">
              <w:rPr>
                <w:b/>
              </w:rPr>
              <w:t>Treatment criteria:</w:t>
            </w:r>
          </w:p>
          <w:p w14:paraId="5F3FBEE9" w14:textId="77777777" w:rsidR="005E4516" w:rsidRPr="00193BC1" w:rsidRDefault="005E4516" w:rsidP="00487EAF">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6F2ADF" w:rsidRPr="00193BC1" w14:paraId="3C5D6934"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00E644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328B967" w14:textId="77777777" w:rsidR="005E4516" w:rsidRPr="00193BC1" w:rsidRDefault="005E4516" w:rsidP="00487EAF">
            <w:pPr>
              <w:pStyle w:val="TableText0"/>
              <w:keepNext w:val="0"/>
              <w:rPr>
                <w:b/>
              </w:rPr>
            </w:pPr>
            <w:r w:rsidRPr="00193BC1">
              <w:rPr>
                <w:b/>
              </w:rPr>
              <w:t>AND</w:t>
            </w:r>
          </w:p>
        </w:tc>
      </w:tr>
      <w:tr w:rsidR="006F2ADF" w:rsidRPr="00193BC1" w14:paraId="184639EA"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6699BFF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3672D6B" w14:textId="77777777" w:rsidR="005E4516" w:rsidRPr="00193BC1" w:rsidRDefault="005E4516" w:rsidP="00487EAF">
            <w:pPr>
              <w:pStyle w:val="TableText0"/>
              <w:keepNext w:val="0"/>
              <w:rPr>
                <w:b/>
              </w:rPr>
            </w:pPr>
            <w:r w:rsidRPr="00193BC1">
              <w:rPr>
                <w:b/>
              </w:rPr>
              <w:t>Clinical criteria:</w:t>
            </w:r>
          </w:p>
        </w:tc>
      </w:tr>
      <w:tr w:rsidR="006F2ADF" w:rsidRPr="00193BC1" w14:paraId="1E0D114A"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592889E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33EDF66" w14:textId="77777777" w:rsidR="005E4516" w:rsidRPr="00193BC1" w:rsidRDefault="005E4516" w:rsidP="00487EAF">
            <w:pPr>
              <w:pStyle w:val="TableText0"/>
              <w:keepNext w:val="0"/>
            </w:pPr>
            <w:r w:rsidRPr="00193BC1">
              <w:t>Patient must be under the care of the same physician for at least 6 months; or</w:t>
            </w:r>
          </w:p>
        </w:tc>
      </w:tr>
      <w:tr w:rsidR="006F2ADF" w:rsidRPr="00193BC1" w14:paraId="224131B0"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65D176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C58B5BE" w14:textId="77777777" w:rsidR="005E4516" w:rsidRPr="00193BC1" w:rsidRDefault="005E4516" w:rsidP="00487EAF">
            <w:pPr>
              <w:pStyle w:val="TableText0"/>
              <w:keepNext w:val="0"/>
            </w:pPr>
            <w:r w:rsidRPr="00193BC1">
              <w:t>Patient must have been diagnosed by a multidisciplinary severe asthma clinic team.</w:t>
            </w:r>
          </w:p>
        </w:tc>
      </w:tr>
      <w:tr w:rsidR="006F2ADF" w:rsidRPr="00193BC1" w14:paraId="23096183"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A1BE39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AF5CEBF" w14:textId="77777777" w:rsidR="005E4516" w:rsidRPr="00193BC1" w:rsidRDefault="005E4516" w:rsidP="00487EAF">
            <w:pPr>
              <w:pStyle w:val="TableText0"/>
              <w:keepNext w:val="0"/>
              <w:rPr>
                <w:b/>
              </w:rPr>
            </w:pPr>
            <w:r w:rsidRPr="00193BC1">
              <w:rPr>
                <w:b/>
              </w:rPr>
              <w:t>AND</w:t>
            </w:r>
          </w:p>
        </w:tc>
      </w:tr>
      <w:tr w:rsidR="006F2ADF" w:rsidRPr="00193BC1" w14:paraId="74CB8934"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9EE963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10480BD" w14:textId="77777777" w:rsidR="005E4516" w:rsidRPr="00193BC1" w:rsidRDefault="005E4516" w:rsidP="00487EAF">
            <w:pPr>
              <w:pStyle w:val="TableText0"/>
              <w:keepNext w:val="0"/>
              <w:rPr>
                <w:rFonts w:cs="Arial"/>
              </w:rPr>
            </w:pPr>
            <w:r w:rsidRPr="00193BC1">
              <w:rPr>
                <w:b/>
              </w:rPr>
              <w:t>Clinical criteria:</w:t>
            </w:r>
          </w:p>
        </w:tc>
      </w:tr>
      <w:tr w:rsidR="006F2ADF" w:rsidRPr="00193BC1" w14:paraId="5906EA77"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F5B991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80CAAF2" w14:textId="77777777" w:rsidR="005E4516" w:rsidRPr="00193BC1" w:rsidRDefault="005E4516" w:rsidP="00487EAF">
            <w:pPr>
              <w:pStyle w:val="TableText0"/>
              <w:keepNext w:val="0"/>
              <w:rPr>
                <w:rFonts w:cs="Arial"/>
              </w:rPr>
            </w:pPr>
            <w:r w:rsidRPr="00193BC1">
              <w:rPr>
                <w:rFonts w:cs="Arial"/>
              </w:rPr>
              <w:t>Patient must not have received PBS-subsidised treatment with a biological medicine for severe asthma; or</w:t>
            </w:r>
          </w:p>
        </w:tc>
      </w:tr>
      <w:tr w:rsidR="006F2ADF" w:rsidRPr="00193BC1" w14:paraId="41D22F5E"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95DCE4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EBFDEC7" w14:textId="77777777" w:rsidR="005E4516" w:rsidRPr="00193BC1" w:rsidRDefault="005E4516" w:rsidP="00487EAF">
            <w:pPr>
              <w:pStyle w:val="TableText0"/>
              <w:keepNext w:val="0"/>
              <w:rPr>
                <w:rFonts w:cs="Arial"/>
              </w:rPr>
            </w:pPr>
            <w:r w:rsidRPr="00193BC1">
              <w:rPr>
                <w:rFonts w:cs="Arial"/>
              </w:rPr>
              <w:t>Patient must have had a break in treatment from the most recently approved PBS-subsidised biological medicine for severe asthma.</w:t>
            </w:r>
          </w:p>
        </w:tc>
      </w:tr>
      <w:tr w:rsidR="006F2ADF" w:rsidRPr="00193BC1" w14:paraId="3F28082E"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76FF00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C58364D" w14:textId="77777777" w:rsidR="005E4516" w:rsidRPr="00193BC1" w:rsidRDefault="005E4516" w:rsidP="00487EAF">
            <w:pPr>
              <w:pStyle w:val="TableText0"/>
              <w:keepNext w:val="0"/>
              <w:rPr>
                <w:rFonts w:cs="Arial"/>
              </w:rPr>
            </w:pPr>
            <w:r w:rsidRPr="00193BC1">
              <w:rPr>
                <w:b/>
              </w:rPr>
              <w:t>AND</w:t>
            </w:r>
          </w:p>
        </w:tc>
      </w:tr>
      <w:tr w:rsidR="006F2ADF" w:rsidRPr="00193BC1" w14:paraId="2A26660D"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DCEAF3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D25B1E4" w14:textId="77777777" w:rsidR="005E4516" w:rsidRPr="00193BC1" w:rsidRDefault="005E4516" w:rsidP="00487EAF">
            <w:pPr>
              <w:pStyle w:val="TableText0"/>
              <w:keepNext w:val="0"/>
              <w:rPr>
                <w:b/>
              </w:rPr>
            </w:pPr>
            <w:r w:rsidRPr="00193BC1">
              <w:rPr>
                <w:b/>
              </w:rPr>
              <w:t>Clinical criteria:</w:t>
            </w:r>
          </w:p>
        </w:tc>
      </w:tr>
      <w:tr w:rsidR="006F2ADF" w:rsidRPr="00193BC1" w14:paraId="5C070CFB"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E25BBB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89E4D45" w14:textId="77777777" w:rsidR="005E4516" w:rsidRPr="00193BC1" w:rsidRDefault="005E4516" w:rsidP="00487EAF">
            <w:pPr>
              <w:pStyle w:val="TableText0"/>
              <w:keepNext w:val="0"/>
              <w:rPr>
                <w:b/>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6F2ADF" w:rsidRPr="00193BC1" w14:paraId="2C355EDD"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589ECE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751123B" w14:textId="77777777" w:rsidR="005E4516" w:rsidRPr="00193BC1" w:rsidRDefault="005E4516" w:rsidP="00487EAF">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6F2ADF" w:rsidRPr="00193BC1" w14:paraId="0AD0E449"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68520A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C433EE7" w14:textId="77777777" w:rsidR="005E4516" w:rsidRPr="00193BC1" w:rsidRDefault="005E4516" w:rsidP="00487EAF">
            <w:pPr>
              <w:pStyle w:val="TableText0"/>
              <w:keepNext w:val="0"/>
              <w:rPr>
                <w:rFonts w:cs="Arial"/>
              </w:rPr>
            </w:pPr>
            <w:r w:rsidRPr="00193BC1">
              <w:rPr>
                <w:b/>
              </w:rPr>
              <w:t>AND</w:t>
            </w:r>
          </w:p>
        </w:tc>
      </w:tr>
      <w:tr w:rsidR="006F2ADF" w:rsidRPr="00193BC1" w14:paraId="300D3B73"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AD2791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77D615E" w14:textId="77777777" w:rsidR="005E4516" w:rsidRPr="00193BC1" w:rsidRDefault="005E4516" w:rsidP="00487EAF">
            <w:pPr>
              <w:pStyle w:val="TableText0"/>
              <w:keepNext w:val="0"/>
              <w:rPr>
                <w:rFonts w:cs="Arial"/>
              </w:rPr>
            </w:pPr>
            <w:r w:rsidRPr="00193BC1">
              <w:rPr>
                <w:b/>
              </w:rPr>
              <w:t>Clinical criteria:</w:t>
            </w:r>
          </w:p>
        </w:tc>
      </w:tr>
      <w:tr w:rsidR="006F2ADF" w:rsidRPr="00193BC1" w14:paraId="7EA43BAC"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6AE7EA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F3C7D6A" w14:textId="77777777" w:rsidR="005E4516" w:rsidRPr="00193BC1" w:rsidRDefault="005E4516" w:rsidP="00487EAF">
            <w:pPr>
              <w:pStyle w:val="TableText0"/>
              <w:keepNext w:val="0"/>
              <w:rPr>
                <w:rFonts w:cs="Arial"/>
              </w:rPr>
            </w:pPr>
            <w:r w:rsidRPr="00193BC1">
              <w:rPr>
                <w:rFonts w:cs="Arial"/>
              </w:rPr>
              <w:t>Patient must have a duration of asthma of at least 1 year.</w:t>
            </w:r>
          </w:p>
        </w:tc>
      </w:tr>
      <w:tr w:rsidR="006F2ADF" w:rsidRPr="00193BC1" w14:paraId="46092499"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D92328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CA9B81D" w14:textId="77777777" w:rsidR="005E4516" w:rsidRPr="00193BC1" w:rsidRDefault="005E4516" w:rsidP="00487EAF">
            <w:pPr>
              <w:pStyle w:val="TableText0"/>
              <w:keepNext w:val="0"/>
              <w:rPr>
                <w:rFonts w:cs="Arial"/>
              </w:rPr>
            </w:pPr>
            <w:r w:rsidRPr="00193BC1">
              <w:rPr>
                <w:b/>
              </w:rPr>
              <w:t>AND</w:t>
            </w:r>
          </w:p>
        </w:tc>
      </w:tr>
      <w:tr w:rsidR="006F2ADF" w:rsidRPr="00193BC1" w14:paraId="4231805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67CDE95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17E37DA" w14:textId="77777777" w:rsidR="005E4516" w:rsidRPr="00193BC1" w:rsidRDefault="005E4516" w:rsidP="00487EAF">
            <w:pPr>
              <w:pStyle w:val="TableText0"/>
              <w:keepNext w:val="0"/>
              <w:rPr>
                <w:rFonts w:cs="Arial"/>
              </w:rPr>
            </w:pPr>
            <w:r w:rsidRPr="00193BC1">
              <w:rPr>
                <w:b/>
              </w:rPr>
              <w:t>Clinical criteria:</w:t>
            </w:r>
          </w:p>
        </w:tc>
      </w:tr>
      <w:tr w:rsidR="006F2ADF" w:rsidRPr="00193BC1" w14:paraId="4DC8049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0152A6E" w14:textId="77777777" w:rsidR="005E4516" w:rsidRPr="00193BC1" w:rsidDel="00BB3FE6"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7096081" w14:textId="77777777" w:rsidR="005E4516" w:rsidRPr="00193BC1" w:rsidRDefault="005E4516" w:rsidP="00487EAF">
            <w:pPr>
              <w:pStyle w:val="TableText0"/>
              <w:keepNext w:val="0"/>
            </w:pPr>
            <w:r w:rsidRPr="00193BC1">
              <w:t xml:space="preserve">Patient must have been receiving regular maintenance oral corticosteroids (OCS) in the last 6 months with a stable daily OCS dose of 5 to 35 mg/day of prednisolone or equivalent over the 4 weeks prior to treatment initiation. </w:t>
            </w:r>
          </w:p>
        </w:tc>
      </w:tr>
      <w:tr w:rsidR="006F2ADF" w:rsidRPr="00193BC1" w14:paraId="5DBF21D7"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D64E029" w14:textId="77777777" w:rsidR="005E4516" w:rsidRPr="00193BC1" w:rsidDel="00BB3FE6"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1F84D6C" w14:textId="77777777" w:rsidR="005E4516" w:rsidRPr="00193BC1" w:rsidRDefault="005E4516" w:rsidP="00487EAF">
            <w:pPr>
              <w:pStyle w:val="TableText0"/>
              <w:keepNext w:val="0"/>
              <w:rPr>
                <w:b/>
              </w:rPr>
            </w:pPr>
            <w:r w:rsidRPr="00193BC1">
              <w:rPr>
                <w:b/>
              </w:rPr>
              <w:t>AND</w:t>
            </w:r>
          </w:p>
        </w:tc>
      </w:tr>
      <w:tr w:rsidR="006F2ADF" w:rsidRPr="00193BC1" w14:paraId="62DB5DD5"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8822DD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524764F" w14:textId="77777777" w:rsidR="005E4516" w:rsidRPr="00193BC1" w:rsidRDefault="005E4516" w:rsidP="00487EAF">
            <w:pPr>
              <w:pStyle w:val="TableText0"/>
              <w:keepNext w:val="0"/>
              <w:rPr>
                <w:rFonts w:cs="Arial"/>
              </w:rPr>
            </w:pPr>
            <w:r w:rsidRPr="00193BC1">
              <w:rPr>
                <w:rFonts w:cs="Arial"/>
              </w:rPr>
              <w:t>Patient must have blood eosinophil count greater than or equal to 150 cells per microlitre while receiving treatment with oral corticosteroid in the last 12 months, or</w:t>
            </w:r>
          </w:p>
        </w:tc>
      </w:tr>
      <w:tr w:rsidR="006F2ADF" w:rsidRPr="00193BC1" w14:paraId="5FCD307F"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4ABA9D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8A07C4C" w14:textId="77777777" w:rsidR="005E4516" w:rsidRPr="00193BC1" w:rsidRDefault="005E4516" w:rsidP="00487EAF">
            <w:pPr>
              <w:pStyle w:val="TableText0"/>
              <w:keepNext w:val="0"/>
              <w:rPr>
                <w:rFonts w:cs="Arial"/>
              </w:rPr>
            </w:pPr>
            <w:r w:rsidRPr="00193BC1">
              <w:rPr>
                <w:rFonts w:cs="Arial"/>
              </w:rPr>
              <w:t>Patient must have total serum human immunoglobulin E greater than or equal to 30 IU/mL with past or current evidence of atopy, documented by skin prick testing or an in vitro measure of specific IgE, that is no more than 1 year old.</w:t>
            </w:r>
          </w:p>
        </w:tc>
      </w:tr>
      <w:tr w:rsidR="006F2ADF" w:rsidRPr="00193BC1" w14:paraId="3A162F53"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5DCA5D8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7726194"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054DB10C"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02264B7"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27E60A0" w14:textId="77777777" w:rsidR="005E4516" w:rsidRPr="00193BC1" w:rsidRDefault="005E4516" w:rsidP="00487EAF">
            <w:pPr>
              <w:pStyle w:val="TableText0"/>
              <w:keepNext w:val="0"/>
              <w:rPr>
                <w:rFonts w:cs="Arial"/>
              </w:rPr>
            </w:pPr>
            <w:r w:rsidRPr="00193BC1">
              <w:rPr>
                <w:b/>
              </w:rPr>
              <w:t>Clinical criteria:</w:t>
            </w:r>
          </w:p>
        </w:tc>
      </w:tr>
      <w:tr w:rsidR="006F2ADF" w:rsidRPr="00193BC1" w14:paraId="420EEA8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08DCFD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B6AFA3E" w14:textId="77777777" w:rsidR="005E4516" w:rsidRPr="00193BC1" w:rsidRDefault="005E4516" w:rsidP="00487EAF">
            <w:pPr>
              <w:pStyle w:val="TableText0"/>
              <w:keepNext w:val="0"/>
              <w:rPr>
                <w:rFonts w:cs="Arial"/>
              </w:rPr>
            </w:pPr>
            <w:r w:rsidRPr="00193BC1">
              <w:rPr>
                <w:rFonts w:cs="Arial"/>
              </w:rPr>
              <w:t>Patient must have failed to achieve adequate control with optimised asthma therapy, despite formal assessment of and adherence to correct inhaler technique, which has been documented.</w:t>
            </w:r>
          </w:p>
        </w:tc>
      </w:tr>
      <w:tr w:rsidR="006F2ADF" w:rsidRPr="00193BC1" w14:paraId="327E3361"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5147F3E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0644A2B"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6AF70EEC"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2E85EF5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33B09E2" w14:textId="77777777" w:rsidR="005E4516" w:rsidRPr="00193BC1" w:rsidRDefault="005E4516" w:rsidP="00487EAF">
            <w:pPr>
              <w:pStyle w:val="TableText0"/>
              <w:keepNext w:val="0"/>
              <w:rPr>
                <w:rFonts w:cs="Arial"/>
              </w:rPr>
            </w:pPr>
            <w:r w:rsidRPr="00193BC1">
              <w:rPr>
                <w:b/>
              </w:rPr>
              <w:t>Clinical criteria:</w:t>
            </w:r>
          </w:p>
        </w:tc>
      </w:tr>
      <w:tr w:rsidR="006F2ADF" w:rsidRPr="00193BC1" w14:paraId="40D064B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23045C3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9515901" w14:textId="77777777" w:rsidR="005E4516" w:rsidRPr="00193BC1" w:rsidRDefault="005E4516" w:rsidP="00487EAF">
            <w:pPr>
              <w:pStyle w:val="TableText0"/>
              <w:keepNext w:val="0"/>
              <w:rPr>
                <w:rFonts w:cs="Arial"/>
              </w:rPr>
            </w:pPr>
            <w:r w:rsidRPr="00193BC1">
              <w:rPr>
                <w:rFonts w:cs="Arial"/>
              </w:rPr>
              <w:t>Patient must not receive more than 32 weeks of treatment under this restriction.</w:t>
            </w:r>
          </w:p>
        </w:tc>
      </w:tr>
      <w:tr w:rsidR="006F2ADF" w:rsidRPr="00193BC1" w14:paraId="0DED3360"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5B482F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91035CF"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0FFD801D"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5FD88FF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216CE85" w14:textId="77777777" w:rsidR="005E4516" w:rsidRPr="00193BC1" w:rsidRDefault="005E4516" w:rsidP="00487EAF">
            <w:pPr>
              <w:pStyle w:val="TableText0"/>
              <w:keepNext w:val="0"/>
              <w:rPr>
                <w:rFonts w:cs="Arial"/>
              </w:rPr>
            </w:pPr>
            <w:r w:rsidRPr="00193BC1">
              <w:rPr>
                <w:b/>
              </w:rPr>
              <w:t>Clinical criteria:</w:t>
            </w:r>
          </w:p>
        </w:tc>
      </w:tr>
      <w:tr w:rsidR="006F2ADF" w:rsidRPr="00193BC1" w14:paraId="5A1EF112"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0B288A1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D456420" w14:textId="77777777" w:rsidR="005E4516" w:rsidRPr="00193BC1" w:rsidRDefault="005E4516" w:rsidP="00487EAF">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6F2ADF" w:rsidRPr="00193BC1" w14:paraId="56018064"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0132A6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A4DF28E" w14:textId="77777777" w:rsidR="005E4516" w:rsidRPr="00193BC1" w:rsidRDefault="005E4516" w:rsidP="00487EAF">
            <w:pPr>
              <w:pStyle w:val="TableText0"/>
              <w:keepNext w:val="0"/>
              <w:rPr>
                <w:rFonts w:cs="Arial"/>
              </w:rPr>
            </w:pPr>
            <w:r w:rsidRPr="00193BC1">
              <w:rPr>
                <w:b/>
              </w:rPr>
              <w:t>Population criteria:</w:t>
            </w:r>
          </w:p>
          <w:p w14:paraId="0B5EFC4B" w14:textId="77777777" w:rsidR="005E4516" w:rsidRPr="00193BC1" w:rsidRDefault="005E4516" w:rsidP="00487EAF">
            <w:pPr>
              <w:pStyle w:val="TableText0"/>
              <w:keepNext w:val="0"/>
              <w:rPr>
                <w:rFonts w:cs="Arial"/>
              </w:rPr>
            </w:pPr>
            <w:r w:rsidRPr="00193BC1">
              <w:rPr>
                <w:rFonts w:cs="Arial"/>
              </w:rPr>
              <w:lastRenderedPageBreak/>
              <w:t>Patients must be aged 12 years or older.</w:t>
            </w:r>
          </w:p>
        </w:tc>
      </w:tr>
      <w:tr w:rsidR="006F2ADF" w:rsidRPr="00193BC1" w14:paraId="35088504"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2A7708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C9553C5" w14:textId="77777777" w:rsidR="005E4516" w:rsidRPr="00193BC1" w:rsidRDefault="005E4516" w:rsidP="00487EAF">
            <w:pPr>
              <w:pStyle w:val="TableText0"/>
              <w:keepNext w:val="0"/>
              <w:rPr>
                <w:b/>
              </w:rPr>
            </w:pPr>
            <w:r w:rsidRPr="00193BC1">
              <w:rPr>
                <w:b/>
              </w:rPr>
              <w:t>Prescribing instructions:</w:t>
            </w:r>
          </w:p>
          <w:p w14:paraId="47BB8D26" w14:textId="77777777" w:rsidR="005E4516" w:rsidRPr="00193BC1" w:rsidRDefault="005E4516" w:rsidP="00487EAF">
            <w:pPr>
              <w:pStyle w:val="TableText0"/>
              <w:keepNext w:val="0"/>
            </w:pPr>
            <w:r w:rsidRPr="00193BC1">
              <w:t>Optimised asthma therapy includes:</w:t>
            </w:r>
          </w:p>
          <w:p w14:paraId="0122C9D1" w14:textId="77777777" w:rsidR="005E4516" w:rsidRPr="00193BC1" w:rsidRDefault="005E4516" w:rsidP="00487EAF">
            <w:pPr>
              <w:pStyle w:val="TableText0"/>
              <w:keepNext w:val="0"/>
            </w:pPr>
            <w:r w:rsidRPr="00193BC1">
              <w:t>(i) Adherence to maximal inhaled therapy, including high dose inhaled corticosteroid (ICS) plus long-acting beta-2 agonist (LABA) therapy for at least 12 months, unless contraindicated or not tolerated;</w:t>
            </w:r>
          </w:p>
          <w:p w14:paraId="2EA516B1" w14:textId="77777777" w:rsidR="005E4516" w:rsidRPr="00193BC1" w:rsidRDefault="005E4516" w:rsidP="00487EAF">
            <w:pPr>
              <w:pStyle w:val="TableText0"/>
              <w:keepNext w:val="0"/>
            </w:pPr>
            <w:r w:rsidRPr="00193BC1">
              <w:t>AND</w:t>
            </w:r>
          </w:p>
          <w:p w14:paraId="0E644DE3" w14:textId="77777777" w:rsidR="005E4516" w:rsidRPr="00193BC1" w:rsidRDefault="005E4516" w:rsidP="00487EAF">
            <w:pPr>
              <w:pStyle w:val="TableText0"/>
              <w:keepNext w:val="0"/>
            </w:pPr>
            <w:r w:rsidRPr="00193BC1">
              <w:t xml:space="preserve">(ii) treatment with oral corticosteroids as outlined in the clinical criteria. </w:t>
            </w:r>
          </w:p>
          <w:p w14:paraId="390CA451" w14:textId="77777777" w:rsidR="005E4516" w:rsidRPr="00193BC1" w:rsidRDefault="005E4516" w:rsidP="00487EAF">
            <w:pPr>
              <w:pStyle w:val="TableText0"/>
              <w:keepNext w:val="0"/>
              <w:rPr>
                <w:b/>
              </w:rPr>
            </w:pPr>
            <w:r w:rsidRPr="00193BC1">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6F2ADF" w:rsidRPr="00193BC1" w14:paraId="239B9D5B"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22E3B47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48FBE35" w14:textId="77777777" w:rsidR="005E4516" w:rsidRPr="00193BC1" w:rsidRDefault="005E4516" w:rsidP="00487EAF">
            <w:pPr>
              <w:pStyle w:val="TableText0"/>
              <w:keepNext w:val="0"/>
              <w:widowControl w:val="0"/>
              <w:rPr>
                <w:b/>
              </w:rPr>
            </w:pPr>
            <w:r w:rsidRPr="00193BC1">
              <w:rPr>
                <w:b/>
              </w:rPr>
              <w:t>Prescribing instructions</w:t>
            </w:r>
          </w:p>
          <w:p w14:paraId="6980C3D4" w14:textId="77777777" w:rsidR="005E4516" w:rsidRPr="00193BC1" w:rsidRDefault="005E4516" w:rsidP="00487EAF">
            <w:pPr>
              <w:pStyle w:val="TableText0"/>
              <w:keepNext w:val="0"/>
              <w:widowControl w:val="0"/>
            </w:pPr>
            <w:r w:rsidRPr="00193BC1">
              <w:t>The following initiation criteria indicate failure to achieve adequate control and must be demonstrated in all patients at the time of the application:</w:t>
            </w:r>
          </w:p>
          <w:p w14:paraId="0BE58E49" w14:textId="77777777" w:rsidR="005E4516" w:rsidRPr="00193BC1" w:rsidRDefault="005E4516" w:rsidP="00487EAF">
            <w:pPr>
              <w:pStyle w:val="TableText0"/>
              <w:keepNext w:val="0"/>
              <w:widowControl w:val="0"/>
            </w:pPr>
            <w:r w:rsidRPr="00193BC1">
              <w:t>(a) an Asthma Control Questionnaire (ACQ-5) score of at least 2.0, as assessed in the previous month, AND</w:t>
            </w:r>
          </w:p>
          <w:p w14:paraId="00903A13" w14:textId="77777777" w:rsidR="005E4516" w:rsidRPr="00193BC1" w:rsidRDefault="005E4516" w:rsidP="00487EAF">
            <w:pPr>
              <w:pStyle w:val="TableText0"/>
              <w:keepNext w:val="0"/>
              <w:widowControl w:val="0"/>
            </w:pPr>
            <w:r w:rsidRPr="00193BC1">
              <w:t>(b) while receiving optimised asthma therapy in the past 12 months,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38109D2E" w14:textId="77777777" w:rsidR="005E4516" w:rsidRPr="00193BC1" w:rsidRDefault="005E4516" w:rsidP="00487EAF">
            <w:pPr>
              <w:pStyle w:val="TableText0"/>
              <w:keepNext w:val="0"/>
              <w:widowControl w:val="0"/>
            </w:pPr>
            <w:r w:rsidRPr="00193BC1">
              <w:t>The Asthma Control Questionnaire (5 item version) assessment of the patient's response to this initial course of treatment, and the assessment of oral corticosteroid dose, should be made at around 28 weeks after the first PBS-subsidised dose of this drug under this restriction so that there is adequate time for a response to be demonstrated and for the application for the first continuing therapy to be processed.</w:t>
            </w:r>
          </w:p>
          <w:p w14:paraId="706AC2FA" w14:textId="77777777" w:rsidR="005E4516" w:rsidRPr="00193BC1" w:rsidRDefault="005E4516" w:rsidP="00487EAF">
            <w:pPr>
              <w:pStyle w:val="TableText0"/>
              <w:keepNext w:val="0"/>
              <w:widowControl w:val="0"/>
            </w:pPr>
            <w:r w:rsidRPr="00193BC1">
              <w:t>This assessment, which will be used to determine eligibility for the first continuing treatment, should be submitted within 4 weeks of the date of assessment, and no later than 2 weeks prior to the patient completing their current treatment course, to avoid an interruption to supply.</w:t>
            </w:r>
          </w:p>
          <w:p w14:paraId="4AC6F13F" w14:textId="77777777" w:rsidR="005E4516" w:rsidRPr="00193BC1" w:rsidRDefault="005E4516" w:rsidP="00487EAF">
            <w:pPr>
              <w:pStyle w:val="TableText0"/>
              <w:keepNext w:val="0"/>
              <w:widowControl w:val="0"/>
            </w:pPr>
            <w:r w:rsidRPr="00193BC1">
              <w:t>If a patient fails to demonstrate a response to treatment with this drug they will not be eligible to receive further PBS-subsidised treatment with this drug for this condition within the same treatment cycle.</w:t>
            </w:r>
          </w:p>
          <w:p w14:paraId="4D21E49D" w14:textId="77777777" w:rsidR="005E4516" w:rsidRPr="00193BC1" w:rsidRDefault="005E4516" w:rsidP="00487EAF">
            <w:pPr>
              <w:pStyle w:val="TableText0"/>
              <w:keepNext w:val="0"/>
              <w:widowControl w:val="0"/>
            </w:pPr>
            <w:r w:rsidRPr="00193BC1">
              <w:t>A treatment break in PBS-subsidised biological medicine therapy of at least 12 months must be observed in a patient who has either failed to achieve or sustain a response to treatment with 4 biological medicines within the same treatment cycle.</w:t>
            </w:r>
          </w:p>
          <w:p w14:paraId="284C3600" w14:textId="77777777" w:rsidR="005E4516" w:rsidRPr="00193BC1" w:rsidRDefault="005E4516" w:rsidP="00487EAF">
            <w:pPr>
              <w:pStyle w:val="TableText0"/>
              <w:keepNext w:val="0"/>
              <w:widowControl w:val="0"/>
            </w:pPr>
            <w:r w:rsidRPr="00193BC1">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0EC0651C" w14:textId="77777777" w:rsidR="005E4516" w:rsidRPr="00193BC1" w:rsidRDefault="005E4516" w:rsidP="00487EAF">
            <w:pPr>
              <w:pStyle w:val="TableText0"/>
              <w:keepNext w:val="0"/>
              <w:widowControl w:val="0"/>
            </w:pPr>
            <w:r w:rsidRPr="00193BC1">
              <w:t>There is no limit to the number of treatment cycles that a patient may undertake in their lifetime.</w:t>
            </w:r>
          </w:p>
          <w:p w14:paraId="05F3A51D" w14:textId="77777777" w:rsidR="005E4516" w:rsidRPr="00193BC1" w:rsidRDefault="005E4516" w:rsidP="00487EAF">
            <w:pPr>
              <w:pStyle w:val="TableText0"/>
              <w:keepNext w:val="0"/>
              <w:widowControl w:val="0"/>
            </w:pPr>
            <w:r w:rsidRPr="00193BC1">
              <w:t>A multidisciplinary severe asthma clinic team comprises of:</w:t>
            </w:r>
          </w:p>
          <w:p w14:paraId="6F11F704" w14:textId="77777777" w:rsidR="005E4516" w:rsidRPr="00193BC1" w:rsidRDefault="005E4516" w:rsidP="00F94D70">
            <w:pPr>
              <w:widowControl w:val="0"/>
              <w:numPr>
                <w:ilvl w:val="0"/>
                <w:numId w:val="25"/>
              </w:numPr>
              <w:jc w:val="left"/>
              <w:rPr>
                <w:rFonts w:ascii="Arial Narrow" w:eastAsiaTheme="majorEastAsia" w:hAnsi="Arial Narrow" w:cstheme="majorBidi"/>
                <w:bCs/>
                <w:sz w:val="20"/>
              </w:rPr>
            </w:pPr>
            <w:r w:rsidRPr="00193BC1">
              <w:rPr>
                <w:rFonts w:ascii="Arial Narrow" w:eastAsiaTheme="majorEastAsia" w:hAnsi="Arial Narrow" w:cstheme="majorBidi"/>
                <w:bCs/>
                <w:sz w:val="20"/>
              </w:rPr>
              <w:t>A respiratory physician; and</w:t>
            </w:r>
          </w:p>
          <w:p w14:paraId="1F3E381C" w14:textId="77777777" w:rsidR="005E4516" w:rsidRPr="00193BC1" w:rsidRDefault="005E4516" w:rsidP="00F94D70">
            <w:pPr>
              <w:widowControl w:val="0"/>
              <w:numPr>
                <w:ilvl w:val="0"/>
                <w:numId w:val="25"/>
              </w:numPr>
              <w:jc w:val="left"/>
              <w:rPr>
                <w:rFonts w:ascii="Arial Narrow" w:eastAsiaTheme="majorEastAsia" w:hAnsi="Arial Narrow" w:cstheme="majorBidi"/>
                <w:bCs/>
                <w:sz w:val="20"/>
              </w:rPr>
            </w:pPr>
            <w:r w:rsidRPr="00193BC1">
              <w:rPr>
                <w:rFonts w:ascii="Arial Narrow" w:eastAsiaTheme="majorEastAsia" w:hAnsi="Arial Narrow" w:cstheme="majorBidi"/>
                <w:bCs/>
                <w:sz w:val="20"/>
              </w:rPr>
              <w:t>A pharmacist, nurse or asthma educator.</w:t>
            </w:r>
          </w:p>
          <w:p w14:paraId="30FB5421" w14:textId="77777777" w:rsidR="005E4516" w:rsidRPr="00193BC1" w:rsidRDefault="005E4516" w:rsidP="00487EAF">
            <w:pPr>
              <w:pStyle w:val="TableText0"/>
              <w:keepNext w:val="0"/>
              <w:widowControl w:val="0"/>
            </w:pPr>
            <w:r w:rsidRPr="00193BC1">
              <w:t>At the time of the authority application, medical practitioners should request up to 8 repeats to provide for an initial course of dupilumab sufficient for up to 32 weeks of therapy, at a dose of 600 mg as an initial dose, followed by 300 mg every 2 weeks thereafter.</w:t>
            </w:r>
          </w:p>
          <w:p w14:paraId="34D7342E" w14:textId="77777777" w:rsidR="005E4516" w:rsidRPr="00193BC1" w:rsidRDefault="005E4516" w:rsidP="00487EAF">
            <w:pPr>
              <w:pStyle w:val="TableText0"/>
              <w:keepNext w:val="0"/>
              <w:widowControl w:val="0"/>
            </w:pPr>
            <w:r w:rsidRPr="00193BC1">
              <w:t>The authority application must be made in writing and must include:</w:t>
            </w:r>
          </w:p>
          <w:p w14:paraId="3EF99969" w14:textId="77777777" w:rsidR="005E4516" w:rsidRPr="00193BC1" w:rsidRDefault="005E4516" w:rsidP="00487EAF">
            <w:pPr>
              <w:pStyle w:val="TableText0"/>
              <w:keepNext w:val="0"/>
              <w:widowControl w:val="0"/>
            </w:pPr>
            <w:r w:rsidRPr="00193BC1">
              <w:t>(a) a completed authority prescription form; and</w:t>
            </w:r>
          </w:p>
          <w:p w14:paraId="087F1CAD" w14:textId="77777777" w:rsidR="005E4516" w:rsidRPr="00193BC1" w:rsidRDefault="005E4516" w:rsidP="00487EAF">
            <w:pPr>
              <w:pStyle w:val="TableText0"/>
              <w:keepNext w:val="0"/>
              <w:widowControl w:val="0"/>
            </w:pPr>
            <w:r w:rsidRPr="00193BC1">
              <w:t>(b) a completed Uncontrolled severe eosinophilic or allergic asthma Initial PBS Authority Application - Supporting Information Form, which includes the following:</w:t>
            </w:r>
          </w:p>
          <w:p w14:paraId="0F7BCFEC" w14:textId="77777777" w:rsidR="005E4516" w:rsidRPr="00193BC1" w:rsidRDefault="005E4516" w:rsidP="00487EAF">
            <w:pPr>
              <w:pStyle w:val="TableText0"/>
              <w:keepNext w:val="0"/>
              <w:widowControl w:val="0"/>
            </w:pPr>
            <w:r w:rsidRPr="00193BC1">
              <w:t>(i) details of prior optimised asthma drug therapy (date of commencement and duration of therapy); and</w:t>
            </w:r>
          </w:p>
          <w:p w14:paraId="1BE4579E" w14:textId="77777777" w:rsidR="005E4516" w:rsidRPr="00193BC1" w:rsidRDefault="005E4516" w:rsidP="00487EAF">
            <w:pPr>
              <w:pStyle w:val="TableText0"/>
              <w:keepNext w:val="0"/>
              <w:widowControl w:val="0"/>
            </w:pPr>
            <w:r w:rsidRPr="00193BC1">
              <w:t>(ii) details of severe exacerbation/s experienced in the past 12 months while receiving optimised asthma therapy (date and treatment); and</w:t>
            </w:r>
          </w:p>
          <w:p w14:paraId="22021BCC" w14:textId="77777777" w:rsidR="005E4516" w:rsidRPr="00193BC1" w:rsidRDefault="005E4516" w:rsidP="00487EAF">
            <w:pPr>
              <w:pStyle w:val="TableText0"/>
              <w:keepNext w:val="0"/>
              <w:widowControl w:val="0"/>
            </w:pPr>
            <w:r w:rsidRPr="00193BC1">
              <w:t>(iii) the eosinophil count and date; or</w:t>
            </w:r>
          </w:p>
          <w:p w14:paraId="45F11AF4" w14:textId="77777777" w:rsidR="005E4516" w:rsidRPr="00193BC1" w:rsidRDefault="005E4516" w:rsidP="00487EAF">
            <w:pPr>
              <w:pStyle w:val="TableText0"/>
              <w:keepNext w:val="0"/>
              <w:widowControl w:val="0"/>
            </w:pPr>
            <w:r w:rsidRPr="00193BC1">
              <w:t xml:space="preserve">(iv) the IgE result; and </w:t>
            </w:r>
          </w:p>
          <w:p w14:paraId="4DA3E52C" w14:textId="77777777" w:rsidR="005E4516" w:rsidRPr="00193BC1" w:rsidRDefault="005E4516" w:rsidP="00487EAF">
            <w:pPr>
              <w:pStyle w:val="TableText0"/>
              <w:keepNext w:val="0"/>
              <w:widowControl w:val="0"/>
            </w:pPr>
            <w:r w:rsidRPr="00193BC1">
              <w:lastRenderedPageBreak/>
              <w:t>(iv) Asthma Control Questionnaire (ACQ-5) score.</w:t>
            </w:r>
          </w:p>
        </w:tc>
      </w:tr>
      <w:tr w:rsidR="006F2ADF" w:rsidRPr="00193BC1" w14:paraId="78E9B805"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23F073C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A95F986" w14:textId="77777777" w:rsidR="005E4516" w:rsidRPr="00193BC1" w:rsidRDefault="005E4516" w:rsidP="00487EAF">
            <w:pPr>
              <w:pStyle w:val="TableText0"/>
              <w:keepNext w:val="0"/>
              <w:rPr>
                <w:b/>
              </w:rPr>
            </w:pPr>
            <w:r w:rsidRPr="00193BC1">
              <w:rPr>
                <w:b/>
              </w:rPr>
              <w:t>Administrative Advice:</w:t>
            </w:r>
          </w:p>
          <w:p w14:paraId="469262EB" w14:textId="77777777" w:rsidR="005E4516" w:rsidRPr="00193BC1" w:rsidRDefault="005E4516" w:rsidP="00487EAF">
            <w:pPr>
              <w:pStyle w:val="TableText0"/>
              <w:keepNext w:val="0"/>
              <w:rPr>
                <w:b/>
              </w:rPr>
            </w:pPr>
            <w:r w:rsidRPr="00193BC1">
              <w:t>The Services Australia website (www.servicesaustralia.gov.au) has details of the accepted toxicities, including severity, which will be accepted for the purposes of exempting a patient from the requirement of treatment with optimised asthma therapy</w:t>
            </w:r>
            <w:r w:rsidRPr="00193BC1">
              <w:rPr>
                <w:b/>
              </w:rPr>
              <w:t>.</w:t>
            </w:r>
          </w:p>
        </w:tc>
      </w:tr>
      <w:tr w:rsidR="005E4516" w:rsidRPr="00193BC1" w14:paraId="487215C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3945922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D0593A7" w14:textId="77777777" w:rsidR="005E4516" w:rsidRPr="00193BC1" w:rsidRDefault="005E4516" w:rsidP="00487EAF">
            <w:pPr>
              <w:pStyle w:val="TableText0"/>
              <w:keepNext w:val="0"/>
              <w:rPr>
                <w:b/>
              </w:rPr>
            </w:pPr>
            <w:r w:rsidRPr="00193BC1">
              <w:rPr>
                <w:b/>
              </w:rPr>
              <w:t>Administrative Advice:</w:t>
            </w:r>
          </w:p>
          <w:p w14:paraId="19FE3634" w14:textId="77777777" w:rsidR="005E4516" w:rsidRPr="00193BC1" w:rsidRDefault="005E4516" w:rsidP="00487EAF">
            <w:pPr>
              <w:pStyle w:val="TableText0"/>
              <w:keepNext w:val="0"/>
            </w:pPr>
            <w:r w:rsidRPr="00193BC1">
              <w:t>Formal assessment and correction of inhaler technique should be performed in accordance with the National Asthma Council (NAC) Information Paper for Health Professionals on Inhaler Technique (available at www.servicesaustralia.gov.au or www.nationalasthma.org.au); the assessment and adherence to correct technique should be documented in the patient's medical records. Patients can obtain support with inhaler technique through their local Asthma Foundation (1800 645 130).</w:t>
            </w:r>
          </w:p>
        </w:tc>
      </w:tr>
      <w:tr w:rsidR="003C46BE" w:rsidRPr="00193BC1" w14:paraId="725D40F7" w14:textId="77777777" w:rsidTr="00F81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5BBA1F33"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0E4BD24E" w14:textId="77777777" w:rsidR="003C46BE" w:rsidRPr="003C46BE" w:rsidRDefault="003C46BE" w:rsidP="00345DF8">
            <w:pPr>
              <w:rPr>
                <w:rFonts w:ascii="Arial Narrow" w:eastAsiaTheme="majorEastAsia" w:hAnsi="Arial Narrow" w:cstheme="majorBidi"/>
                <w:b/>
                <w:bCs/>
                <w:sz w:val="20"/>
                <w:szCs w:val="20"/>
              </w:rPr>
            </w:pPr>
            <w:r w:rsidRPr="003C46BE">
              <w:rPr>
                <w:rFonts w:ascii="Arial Narrow" w:eastAsiaTheme="majorEastAsia" w:hAnsi="Arial Narrow" w:cstheme="majorBidi"/>
                <w:b/>
                <w:bCs/>
                <w:sz w:val="20"/>
                <w:szCs w:val="20"/>
              </w:rPr>
              <w:t>Note:</w:t>
            </w:r>
          </w:p>
          <w:p w14:paraId="0DCFA799" w14:textId="77777777" w:rsidR="003C46BE" w:rsidRPr="00193BC1" w:rsidRDefault="003C46BE" w:rsidP="00345DF8">
            <w:r w:rsidRPr="003C46BE">
              <w:rPr>
                <w:rFonts w:ascii="Arial Narrow" w:eastAsiaTheme="majorEastAsia" w:hAnsi="Arial Narrow" w:cstheme="majorBidi"/>
                <w:bCs/>
                <w:sz w:val="20"/>
                <w:szCs w:val="20"/>
              </w:rPr>
              <w:t>For copies of the ACQ and the calculation sheets please contact Sanofi Medical Information on 1800 818 806</w:t>
            </w:r>
            <w:r>
              <w:rPr>
                <w:rFonts w:ascii="Arial Narrow" w:eastAsiaTheme="majorEastAsia" w:hAnsi="Arial Narrow" w:cstheme="majorBidi"/>
                <w:bCs/>
                <w:sz w:val="20"/>
                <w:szCs w:val="20"/>
              </w:rPr>
              <w:t>.</w:t>
            </w:r>
          </w:p>
        </w:tc>
      </w:tr>
    </w:tbl>
    <w:p w14:paraId="7E924042" w14:textId="77777777" w:rsidR="005E4516" w:rsidRPr="00193BC1" w:rsidRDefault="005E4516" w:rsidP="005E4516">
      <w:pPr>
        <w:pStyle w:val="TableFigureFooter"/>
      </w:pPr>
    </w:p>
    <w:p w14:paraId="4BB81FFC" w14:textId="77777777" w:rsidR="005E4516" w:rsidRPr="00193BC1" w:rsidRDefault="005E4516" w:rsidP="005E4516">
      <w:pPr>
        <w:pStyle w:val="TableFigureFooter"/>
      </w:pPr>
    </w:p>
    <w:tbl>
      <w:tblPr>
        <w:tblW w:w="5000" w:type="pct"/>
        <w:tblLook w:val="0000" w:firstRow="0" w:lastRow="0" w:firstColumn="0" w:lastColumn="0" w:noHBand="0" w:noVBand="0"/>
      </w:tblPr>
      <w:tblGrid>
        <w:gridCol w:w="1555"/>
        <w:gridCol w:w="7462"/>
      </w:tblGrid>
      <w:tr w:rsidR="006F2ADF" w:rsidRPr="00193BC1" w14:paraId="0646979E"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71AFD1B2" w14:textId="77777777" w:rsidR="005E4516" w:rsidRPr="00193BC1" w:rsidRDefault="005E4516" w:rsidP="00487EAF">
            <w:pPr>
              <w:pStyle w:val="TableText0"/>
              <w:keepNext w:val="0"/>
              <w:jc w:val="center"/>
              <w:rPr>
                <w:b/>
              </w:rPr>
            </w:pPr>
            <w:r w:rsidRPr="00193BC1">
              <w:rPr>
                <w:b/>
              </w:rPr>
              <w:t>Concept ID</w:t>
            </w:r>
          </w:p>
          <w:p w14:paraId="010CA0FD" w14:textId="77777777" w:rsidR="005E4516" w:rsidRPr="00193BC1" w:rsidRDefault="005E4516" w:rsidP="00487EAF">
            <w:pPr>
              <w:pStyle w:val="TableText0"/>
              <w:keepNext w:val="0"/>
              <w:jc w:val="center"/>
              <w:rPr>
                <w:b/>
              </w:rPr>
            </w:pPr>
          </w:p>
          <w:p w14:paraId="5C88BF2F"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051B4D8A" w14:textId="77777777" w:rsidR="005E4516" w:rsidRPr="00193BC1" w:rsidRDefault="005E4516" w:rsidP="00487EAF">
            <w:pPr>
              <w:pStyle w:val="TableText0"/>
              <w:keepNext w:val="0"/>
            </w:pPr>
            <w:r w:rsidRPr="00193BC1">
              <w:rPr>
                <w:b/>
              </w:rPr>
              <w:t>Category / Program:</w:t>
            </w:r>
          </w:p>
          <w:p w14:paraId="037A4F73" w14:textId="77777777" w:rsidR="005E4516" w:rsidRPr="00193BC1" w:rsidRDefault="005E4516" w:rsidP="00487EAF">
            <w:pPr>
              <w:pStyle w:val="TableText0"/>
              <w:keepNext w:val="0"/>
            </w:pPr>
            <w:r w:rsidRPr="00193BC1">
              <w:t>Section 100 – Highly Specialised Drugs Program – public and private</w:t>
            </w:r>
          </w:p>
        </w:tc>
      </w:tr>
      <w:tr w:rsidR="006F2ADF" w:rsidRPr="00193BC1" w14:paraId="7EAF765D" w14:textId="77777777" w:rsidTr="00F813B9">
        <w:trPr>
          <w:cantSplit/>
        </w:trPr>
        <w:tc>
          <w:tcPr>
            <w:tcW w:w="862" w:type="pct"/>
            <w:vMerge/>
            <w:tcBorders>
              <w:left w:val="single" w:sz="4" w:space="0" w:color="auto"/>
              <w:right w:val="single" w:sz="4" w:space="0" w:color="auto"/>
            </w:tcBorders>
          </w:tcPr>
          <w:p w14:paraId="5D333BA6"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11843270" w14:textId="77777777" w:rsidR="005E4516" w:rsidRPr="00193BC1" w:rsidRDefault="005E4516" w:rsidP="00487EAF">
            <w:pPr>
              <w:pStyle w:val="TableText0"/>
              <w:keepNext w:val="0"/>
            </w:pPr>
            <w:r w:rsidRPr="00193BC1">
              <w:rPr>
                <w:b/>
              </w:rPr>
              <w:t>Prescriber type:</w:t>
            </w:r>
          </w:p>
          <w:p w14:paraId="178FB214" w14:textId="77777777" w:rsidR="005E4516" w:rsidRPr="00193BC1" w:rsidRDefault="005E4516" w:rsidP="00487EAF">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6F2ADF" w:rsidRPr="00193BC1" w14:paraId="3D6F3029" w14:textId="77777777" w:rsidTr="00F813B9">
        <w:trPr>
          <w:cantSplit/>
        </w:trPr>
        <w:tc>
          <w:tcPr>
            <w:tcW w:w="862" w:type="pct"/>
            <w:vMerge/>
            <w:tcBorders>
              <w:left w:val="single" w:sz="4" w:space="0" w:color="auto"/>
              <w:bottom w:val="single" w:sz="4" w:space="0" w:color="auto"/>
              <w:right w:val="single" w:sz="4" w:space="0" w:color="auto"/>
            </w:tcBorders>
          </w:tcPr>
          <w:p w14:paraId="2C5CCA78"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7ED01AA8" w14:textId="77777777" w:rsidR="005E4516" w:rsidRPr="00193BC1" w:rsidRDefault="005E4516" w:rsidP="00487EAF">
            <w:pPr>
              <w:pStyle w:val="TableText0"/>
              <w:keepNext w:val="0"/>
            </w:pPr>
            <w:r w:rsidRPr="00193BC1">
              <w:rPr>
                <w:b/>
              </w:rPr>
              <w:t>Restriction:</w:t>
            </w:r>
          </w:p>
          <w:p w14:paraId="109BA0A9" w14:textId="77777777" w:rsidR="005E4516" w:rsidRPr="00193BC1" w:rsidRDefault="005E4516" w:rsidP="00487EAF">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6A01F561"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D977AA5"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748FF67" w14:textId="77777777" w:rsidR="005E4516" w:rsidRPr="00193BC1" w:rsidRDefault="005E4516" w:rsidP="00487EAF">
            <w:pPr>
              <w:pStyle w:val="TableText0"/>
              <w:keepNext w:val="0"/>
            </w:pPr>
            <w:r w:rsidRPr="00193BC1">
              <w:rPr>
                <w:b/>
              </w:rPr>
              <w:t>Severity:</w:t>
            </w:r>
          </w:p>
          <w:p w14:paraId="767B0F2C" w14:textId="77777777" w:rsidR="005E4516" w:rsidRPr="00193BC1" w:rsidRDefault="005E4516" w:rsidP="00487EAF">
            <w:pPr>
              <w:pStyle w:val="TableText0"/>
              <w:keepNext w:val="0"/>
            </w:pPr>
            <w:r w:rsidRPr="00193BC1">
              <w:t>Uncontrolled severe</w:t>
            </w:r>
          </w:p>
        </w:tc>
      </w:tr>
      <w:tr w:rsidR="006F2ADF" w:rsidRPr="00193BC1" w14:paraId="73AAF082"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82F87B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2776762" w14:textId="77777777" w:rsidR="005E4516" w:rsidRPr="00193BC1" w:rsidRDefault="005E4516" w:rsidP="00487EAF">
            <w:pPr>
              <w:pStyle w:val="TableText0"/>
              <w:keepNext w:val="0"/>
            </w:pPr>
            <w:r w:rsidRPr="00193BC1">
              <w:rPr>
                <w:b/>
              </w:rPr>
              <w:t>Condition:</w:t>
            </w:r>
          </w:p>
          <w:p w14:paraId="39C5C889" w14:textId="77777777" w:rsidR="005E4516" w:rsidRPr="00193BC1" w:rsidRDefault="005E4516" w:rsidP="00487EAF">
            <w:pPr>
              <w:pStyle w:val="TableText0"/>
              <w:keepNext w:val="0"/>
            </w:pPr>
            <w:r w:rsidRPr="00193BC1">
              <w:rPr>
                <w:rFonts w:eastAsiaTheme="minorHAnsi"/>
                <w:iCs/>
              </w:rPr>
              <w:t>eosinophilic or allergic asthma</w:t>
            </w:r>
          </w:p>
        </w:tc>
      </w:tr>
      <w:tr w:rsidR="006F2ADF" w:rsidRPr="00193BC1" w14:paraId="25EEF859"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7FD999A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9E92B6E" w14:textId="77777777" w:rsidR="005E4516" w:rsidRPr="00193BC1" w:rsidRDefault="005E4516" w:rsidP="00487EAF">
            <w:pPr>
              <w:pStyle w:val="TableText0"/>
              <w:keepNext w:val="0"/>
            </w:pPr>
            <w:r w:rsidRPr="00193BC1">
              <w:rPr>
                <w:b/>
              </w:rPr>
              <w:t>PBS Indication:</w:t>
            </w:r>
          </w:p>
          <w:p w14:paraId="613413F8" w14:textId="77777777" w:rsidR="005E4516" w:rsidRPr="00193BC1" w:rsidRDefault="00A80C41" w:rsidP="00487EAF">
            <w:pPr>
              <w:pStyle w:val="TableText0"/>
              <w:keepNext w:val="0"/>
            </w:pPr>
            <w:r w:rsidRPr="00193BC1">
              <w:t>Uncontrolled severe</w:t>
            </w:r>
            <w:r w:rsidR="005E4516" w:rsidRPr="00193BC1">
              <w:t xml:space="preserve"> </w:t>
            </w:r>
            <w:r w:rsidR="005E4516" w:rsidRPr="00193BC1">
              <w:rPr>
                <w:rFonts w:eastAsiaTheme="minorHAnsi"/>
                <w:iCs/>
              </w:rPr>
              <w:t xml:space="preserve">eosinophilic or allergic </w:t>
            </w:r>
            <w:r w:rsidRPr="00193BC1">
              <w:t>asthma</w:t>
            </w:r>
          </w:p>
        </w:tc>
      </w:tr>
      <w:tr w:rsidR="006F2ADF" w:rsidRPr="00193BC1" w14:paraId="18BEDBDF" w14:textId="77777777" w:rsidTr="00F813B9">
        <w:trPr>
          <w:cantSplit/>
        </w:trPr>
        <w:tc>
          <w:tcPr>
            <w:tcW w:w="862" w:type="pct"/>
            <w:vMerge/>
            <w:tcBorders>
              <w:left w:val="single" w:sz="4" w:space="0" w:color="auto"/>
              <w:bottom w:val="single" w:sz="4" w:space="0" w:color="auto"/>
              <w:right w:val="single" w:sz="4" w:space="0" w:color="auto"/>
            </w:tcBorders>
            <w:vAlign w:val="center"/>
          </w:tcPr>
          <w:p w14:paraId="5BBA2D5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06A7FF5" w14:textId="77777777" w:rsidR="005E4516" w:rsidRPr="00193BC1" w:rsidRDefault="005E4516" w:rsidP="00487EAF">
            <w:pPr>
              <w:pStyle w:val="TableText0"/>
              <w:keepNext w:val="0"/>
            </w:pPr>
            <w:r w:rsidRPr="00193BC1">
              <w:rPr>
                <w:b/>
              </w:rPr>
              <w:t>Treatment phase:</w:t>
            </w:r>
          </w:p>
          <w:p w14:paraId="60BB9E90" w14:textId="77777777" w:rsidR="005E4516" w:rsidRPr="00193BC1" w:rsidRDefault="005E4516" w:rsidP="00A80C41">
            <w:pPr>
              <w:pStyle w:val="TableText0"/>
              <w:keepNext w:val="0"/>
              <w:rPr>
                <w:i/>
              </w:rPr>
            </w:pPr>
            <w:r w:rsidRPr="00193BC1">
              <w:t>Initial treatment – Initial 2 (Change of treatment)</w:t>
            </w:r>
          </w:p>
        </w:tc>
      </w:tr>
      <w:tr w:rsidR="006F2ADF" w:rsidRPr="00193BC1" w14:paraId="0691DA8C"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D05C08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0B7853D" w14:textId="77777777" w:rsidR="005E4516" w:rsidRPr="00193BC1" w:rsidRDefault="005E4516" w:rsidP="00487EAF">
            <w:pPr>
              <w:pStyle w:val="TableText0"/>
              <w:keepNext w:val="0"/>
              <w:rPr>
                <w:rFonts w:cs="Arial"/>
              </w:rPr>
            </w:pPr>
            <w:r w:rsidRPr="00193BC1">
              <w:rPr>
                <w:b/>
              </w:rPr>
              <w:t>Treatment criteria:</w:t>
            </w:r>
          </w:p>
          <w:p w14:paraId="6B7F1D3F" w14:textId="77777777" w:rsidR="005E4516" w:rsidRPr="00193BC1" w:rsidRDefault="005E4516" w:rsidP="00487EAF">
            <w:pPr>
              <w:pStyle w:val="TableText0"/>
              <w:keepNext w:val="0"/>
            </w:pPr>
            <w:r w:rsidRPr="00193BC1">
              <w:rPr>
                <w:rFonts w:cs="Arial"/>
              </w:rPr>
              <w:t>Must be treated by a respiratory physician, clinical immunologist, allergist or general physician experienced in the management of patients with severe asthma.</w:t>
            </w:r>
          </w:p>
        </w:tc>
      </w:tr>
      <w:tr w:rsidR="006F2ADF" w:rsidRPr="00193BC1" w14:paraId="276B0478"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479ECA0"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4777FB4" w14:textId="77777777" w:rsidR="005E4516" w:rsidRPr="00193BC1" w:rsidRDefault="005E4516" w:rsidP="00487EAF">
            <w:pPr>
              <w:pStyle w:val="TableText0"/>
              <w:keepNext w:val="0"/>
            </w:pPr>
            <w:r w:rsidRPr="00193BC1">
              <w:rPr>
                <w:b/>
              </w:rPr>
              <w:t>AND</w:t>
            </w:r>
          </w:p>
        </w:tc>
      </w:tr>
      <w:tr w:rsidR="006F2ADF" w:rsidRPr="00193BC1" w14:paraId="432D132B"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F972E9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5E3E74B" w14:textId="77777777" w:rsidR="005E4516" w:rsidRPr="00193BC1" w:rsidRDefault="005E4516" w:rsidP="00487EAF">
            <w:pPr>
              <w:pStyle w:val="TableText0"/>
              <w:keepNext w:val="0"/>
            </w:pPr>
            <w:r w:rsidRPr="00193BC1">
              <w:rPr>
                <w:b/>
              </w:rPr>
              <w:t>Clinical criteria:</w:t>
            </w:r>
          </w:p>
        </w:tc>
      </w:tr>
      <w:tr w:rsidR="006F2ADF" w:rsidRPr="00193BC1" w14:paraId="6E0F4E26"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3453A4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1D89D18" w14:textId="77777777" w:rsidR="005E4516" w:rsidRPr="00193BC1" w:rsidRDefault="005E4516" w:rsidP="00487EAF">
            <w:pPr>
              <w:pStyle w:val="TableText0"/>
              <w:keepNext w:val="0"/>
            </w:pPr>
            <w:r w:rsidRPr="00193BC1">
              <w:t>Patient must be under the care of the same physician for at least 6 months; or</w:t>
            </w:r>
          </w:p>
        </w:tc>
      </w:tr>
      <w:tr w:rsidR="006F2ADF" w:rsidRPr="00193BC1" w14:paraId="54AEDAA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C35FCF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E37907D" w14:textId="77777777" w:rsidR="005E4516" w:rsidRPr="00193BC1" w:rsidRDefault="005E4516" w:rsidP="00487EAF">
            <w:pPr>
              <w:pStyle w:val="TableText0"/>
              <w:keepNext w:val="0"/>
            </w:pPr>
            <w:r w:rsidRPr="00193BC1">
              <w:t>Patient must have been diagnosed by a multidisciplinary severe asthma clinic team.</w:t>
            </w:r>
          </w:p>
        </w:tc>
      </w:tr>
      <w:tr w:rsidR="006F2ADF" w:rsidRPr="00193BC1" w14:paraId="4369894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3084C2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05E798B" w14:textId="77777777" w:rsidR="005E4516" w:rsidRPr="00193BC1" w:rsidRDefault="005E4516" w:rsidP="00487EAF">
            <w:pPr>
              <w:pStyle w:val="TableText0"/>
              <w:keepNext w:val="0"/>
            </w:pPr>
            <w:r w:rsidRPr="00193BC1">
              <w:rPr>
                <w:b/>
              </w:rPr>
              <w:t>AND</w:t>
            </w:r>
          </w:p>
        </w:tc>
      </w:tr>
      <w:tr w:rsidR="006F2ADF" w:rsidRPr="00193BC1" w14:paraId="5D257CE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2C398E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4CE65D5" w14:textId="77777777" w:rsidR="005E4516" w:rsidRPr="00193BC1" w:rsidRDefault="005E4516" w:rsidP="00487EAF">
            <w:pPr>
              <w:pStyle w:val="TableText0"/>
              <w:keepNext w:val="0"/>
            </w:pPr>
            <w:r w:rsidRPr="00193BC1">
              <w:rPr>
                <w:b/>
              </w:rPr>
              <w:t>Clinical criteria:</w:t>
            </w:r>
          </w:p>
        </w:tc>
      </w:tr>
      <w:tr w:rsidR="006F2ADF" w:rsidRPr="00193BC1" w14:paraId="21F42CBF" w14:textId="77777777" w:rsidTr="00F813B9">
        <w:trPr>
          <w:cantSplit/>
        </w:trPr>
        <w:tc>
          <w:tcPr>
            <w:tcW w:w="862" w:type="pct"/>
            <w:tcBorders>
              <w:top w:val="single" w:sz="4" w:space="0" w:color="auto"/>
              <w:left w:val="single" w:sz="4" w:space="0" w:color="auto"/>
              <w:bottom w:val="single" w:sz="4" w:space="0" w:color="auto"/>
              <w:right w:val="single" w:sz="4" w:space="0" w:color="auto"/>
            </w:tcBorders>
          </w:tcPr>
          <w:p w14:paraId="0234E88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2C8871D" w14:textId="77777777" w:rsidR="005E4516" w:rsidRPr="00193BC1" w:rsidRDefault="005E4516" w:rsidP="00487EAF">
            <w:pPr>
              <w:pStyle w:val="TableText0"/>
              <w:keepNext w:val="0"/>
            </w:pPr>
            <w:r w:rsidRPr="00193BC1">
              <w:t>Patient must have received prior PBS-subsidised treatment with a biological medicine for severe asthma in this treatment cycle.</w:t>
            </w:r>
          </w:p>
        </w:tc>
      </w:tr>
      <w:tr w:rsidR="006F2ADF" w:rsidRPr="00193BC1" w14:paraId="4848DDE5"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F655143" w14:textId="77777777" w:rsidR="005E4516" w:rsidRPr="00193BC1" w:rsidRDefault="005E4516" w:rsidP="00487EAF">
            <w:pPr>
              <w:pStyle w:val="TableText0"/>
              <w:keepNext w:val="0"/>
              <w:rPr>
                <w:b/>
              </w:rPr>
            </w:pPr>
          </w:p>
        </w:tc>
        <w:tc>
          <w:tcPr>
            <w:tcW w:w="4138" w:type="pct"/>
            <w:tcBorders>
              <w:top w:val="single" w:sz="4" w:space="0" w:color="auto"/>
              <w:left w:val="single" w:sz="4" w:space="0" w:color="auto"/>
              <w:bottom w:val="single" w:sz="4" w:space="0" w:color="auto"/>
              <w:right w:val="single" w:sz="4" w:space="0" w:color="auto"/>
            </w:tcBorders>
          </w:tcPr>
          <w:p w14:paraId="5CEB41D1" w14:textId="77777777" w:rsidR="005E4516" w:rsidRPr="00193BC1" w:rsidRDefault="005E4516" w:rsidP="00487EAF">
            <w:pPr>
              <w:pStyle w:val="TableText0"/>
              <w:keepNext w:val="0"/>
            </w:pPr>
            <w:r w:rsidRPr="00193BC1">
              <w:rPr>
                <w:b/>
              </w:rPr>
              <w:t>AND</w:t>
            </w:r>
          </w:p>
        </w:tc>
      </w:tr>
      <w:tr w:rsidR="006F2ADF" w:rsidRPr="00193BC1" w14:paraId="680EA09B"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E75746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AFF87EE" w14:textId="77777777" w:rsidR="005E4516" w:rsidRPr="00193BC1" w:rsidRDefault="005E4516" w:rsidP="00487EAF">
            <w:pPr>
              <w:pStyle w:val="TableText0"/>
              <w:keepNext w:val="0"/>
            </w:pPr>
            <w:r w:rsidRPr="00193BC1">
              <w:rPr>
                <w:b/>
              </w:rPr>
              <w:t>Clinical criteria:</w:t>
            </w:r>
          </w:p>
        </w:tc>
      </w:tr>
      <w:tr w:rsidR="006F2ADF" w:rsidRPr="00193BC1" w14:paraId="4D4A62B9" w14:textId="77777777" w:rsidTr="00F813B9">
        <w:trPr>
          <w:cantSplit/>
        </w:trPr>
        <w:tc>
          <w:tcPr>
            <w:tcW w:w="862" w:type="pct"/>
            <w:tcBorders>
              <w:top w:val="single" w:sz="4" w:space="0" w:color="auto"/>
              <w:left w:val="single" w:sz="4" w:space="0" w:color="auto"/>
              <w:bottom w:val="single" w:sz="4" w:space="0" w:color="auto"/>
              <w:right w:val="single" w:sz="4" w:space="0" w:color="auto"/>
            </w:tcBorders>
          </w:tcPr>
          <w:p w14:paraId="143450E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61135D1" w14:textId="77777777" w:rsidR="005E4516" w:rsidRPr="00193BC1" w:rsidRDefault="005E4516" w:rsidP="009D4D7E">
            <w:pPr>
              <w:pStyle w:val="TableText0"/>
              <w:keepNext w:val="0"/>
            </w:pPr>
            <w:r w:rsidRPr="00193BC1">
              <w:t>Patient must not have failed, or ceased to respond to PBS-subsidised treatment with this drug for severe asthma during the current treatment cycle.</w:t>
            </w:r>
          </w:p>
        </w:tc>
      </w:tr>
      <w:tr w:rsidR="006F2ADF" w:rsidRPr="00193BC1" w14:paraId="1934804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9BA3E35" w14:textId="77777777" w:rsidR="005E4516" w:rsidRPr="00193BC1" w:rsidRDefault="005E4516" w:rsidP="00487EAF">
            <w:pPr>
              <w:pStyle w:val="TableText0"/>
              <w:keepNext w:val="0"/>
              <w:rPr>
                <w:b/>
              </w:rPr>
            </w:pPr>
          </w:p>
        </w:tc>
        <w:tc>
          <w:tcPr>
            <w:tcW w:w="4138" w:type="pct"/>
            <w:tcBorders>
              <w:top w:val="single" w:sz="4" w:space="0" w:color="auto"/>
              <w:left w:val="single" w:sz="4" w:space="0" w:color="auto"/>
              <w:bottom w:val="single" w:sz="4" w:space="0" w:color="auto"/>
              <w:right w:val="single" w:sz="4" w:space="0" w:color="auto"/>
            </w:tcBorders>
          </w:tcPr>
          <w:p w14:paraId="38F1396B" w14:textId="77777777" w:rsidR="005E4516" w:rsidRPr="00193BC1" w:rsidRDefault="005E4516" w:rsidP="00487EAF">
            <w:pPr>
              <w:pStyle w:val="TableText0"/>
              <w:keepNext w:val="0"/>
            </w:pPr>
            <w:r w:rsidRPr="00193BC1">
              <w:rPr>
                <w:b/>
              </w:rPr>
              <w:t>AND</w:t>
            </w:r>
          </w:p>
        </w:tc>
      </w:tr>
      <w:tr w:rsidR="006F2ADF" w:rsidRPr="00193BC1" w14:paraId="756E52B0"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E293B4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5ED390FE" w14:textId="77777777" w:rsidR="005E4516" w:rsidRPr="00193BC1" w:rsidRDefault="005E4516" w:rsidP="00487EAF">
            <w:pPr>
              <w:pStyle w:val="TableText0"/>
              <w:keepNext w:val="0"/>
            </w:pPr>
            <w:r w:rsidRPr="00193BC1">
              <w:rPr>
                <w:b/>
              </w:rPr>
              <w:t>Clinical criteria:</w:t>
            </w:r>
          </w:p>
        </w:tc>
      </w:tr>
      <w:tr w:rsidR="006F2ADF" w:rsidRPr="00193BC1" w14:paraId="3A6E886A"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46711CA"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12242EF" w14:textId="77777777" w:rsidR="005E4516" w:rsidRPr="00193BC1" w:rsidRDefault="005E4516" w:rsidP="00487EAF">
            <w:pPr>
              <w:pStyle w:val="TableText0"/>
              <w:keepNext w:val="0"/>
              <w:rPr>
                <w:rFonts w:cs="Arial"/>
              </w:rPr>
            </w:pPr>
            <w:r w:rsidRPr="00193BC1">
              <w:rPr>
                <w:rFonts w:cs="Arial"/>
              </w:rPr>
              <w:t>Patient must have had a blood eosinophil count greater than or equal to 150 cells per microlitre while receiving treatment with oral corticosteroids and that is no older than 12 months immediately prior to commencing PBS-subsidised biological medicine treatment for severe asthma; or</w:t>
            </w:r>
          </w:p>
        </w:tc>
      </w:tr>
      <w:tr w:rsidR="006F2ADF" w:rsidRPr="00193BC1" w14:paraId="3FB7267A"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D743030"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D696792" w14:textId="77777777" w:rsidR="005E4516" w:rsidRPr="00193BC1" w:rsidRDefault="005E4516" w:rsidP="00487EAF">
            <w:pPr>
              <w:pStyle w:val="TableText0"/>
              <w:keepNext w:val="0"/>
            </w:pPr>
            <w:r w:rsidRPr="00193BC1">
              <w:rPr>
                <w:rFonts w:cs="Arial"/>
              </w:rPr>
              <w:t>Patient must have each of: i) total serum human immunoglobulin E greater than or equal to 30 IU/mL measured no more than 12 months prior to initiating PBS-subsidised treatment with a biological medicine for severe asthma, ii) past or current evidence of atopy, documented by skin prick testing or an in vitro measure of specific IgE in the past 12 months or in the 12 months prior to initiating PBS-subsidised treatment with a biological medicine for severe asthma.</w:t>
            </w:r>
          </w:p>
        </w:tc>
      </w:tr>
      <w:tr w:rsidR="006F2ADF" w:rsidRPr="00193BC1" w14:paraId="092E42B2"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04BF95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DAAB6A9" w14:textId="77777777" w:rsidR="005E4516" w:rsidRPr="00193BC1" w:rsidRDefault="005E4516" w:rsidP="00487EAF">
            <w:pPr>
              <w:pStyle w:val="TableText0"/>
              <w:keepNext w:val="0"/>
              <w:rPr>
                <w:rFonts w:cs="Arial"/>
              </w:rPr>
            </w:pPr>
            <w:r w:rsidRPr="00193BC1">
              <w:rPr>
                <w:b/>
              </w:rPr>
              <w:t>AND</w:t>
            </w:r>
          </w:p>
        </w:tc>
      </w:tr>
      <w:tr w:rsidR="006F2ADF" w:rsidRPr="00193BC1" w14:paraId="0953DCA9"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EC15D3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B21C372" w14:textId="77777777" w:rsidR="005E4516" w:rsidRPr="00193BC1" w:rsidRDefault="005E4516" w:rsidP="00487EAF">
            <w:pPr>
              <w:pStyle w:val="TableText0"/>
              <w:keepNext w:val="0"/>
              <w:rPr>
                <w:rFonts w:cs="Arial"/>
              </w:rPr>
            </w:pPr>
            <w:r w:rsidRPr="00193BC1">
              <w:rPr>
                <w:b/>
              </w:rPr>
              <w:t>Clinical criteria:</w:t>
            </w:r>
          </w:p>
        </w:tc>
      </w:tr>
      <w:tr w:rsidR="006F2ADF" w:rsidRPr="00193BC1" w14:paraId="21F4636E"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144F6C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DBB9FF5" w14:textId="77777777" w:rsidR="005E4516" w:rsidRPr="00193BC1" w:rsidRDefault="005E4516" w:rsidP="00487EAF">
            <w:pPr>
              <w:pStyle w:val="TableText0"/>
              <w:keepNext w:val="0"/>
              <w:rPr>
                <w:rFonts w:cs="Arial"/>
                <w:strike/>
              </w:rPr>
            </w:pPr>
            <w:r w:rsidRPr="00193BC1">
              <w:t>Patient must have received regular maintenance oral corticosteroids (OCS) in the last 6 months with a stable daily OCS dose of 5 to 35 mg/day of prednisolone or equivalent over the 4 weeks prior to treatment initiation.</w:t>
            </w:r>
          </w:p>
        </w:tc>
      </w:tr>
      <w:tr w:rsidR="006F2ADF" w:rsidRPr="00193BC1" w14:paraId="38C332E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7973C51"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FF1C299" w14:textId="77777777" w:rsidR="005E4516" w:rsidRPr="00193BC1" w:rsidRDefault="005E4516" w:rsidP="00487EAF">
            <w:pPr>
              <w:pStyle w:val="TableText0"/>
              <w:keepNext w:val="0"/>
            </w:pPr>
            <w:r w:rsidRPr="00193BC1">
              <w:rPr>
                <w:rFonts w:cs="Arial"/>
                <w:b/>
              </w:rPr>
              <w:t>AND</w:t>
            </w:r>
          </w:p>
        </w:tc>
      </w:tr>
      <w:tr w:rsidR="006F2ADF" w:rsidRPr="00193BC1" w14:paraId="79491B5F"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383F6FF"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8A767E1" w14:textId="77777777" w:rsidR="005E4516" w:rsidRPr="00193BC1" w:rsidRDefault="005E4516" w:rsidP="00487EAF">
            <w:pPr>
              <w:pStyle w:val="TableText0"/>
              <w:keepNext w:val="0"/>
            </w:pPr>
            <w:r w:rsidRPr="00193BC1">
              <w:rPr>
                <w:b/>
              </w:rPr>
              <w:t>Clinical criteria:</w:t>
            </w:r>
          </w:p>
        </w:tc>
      </w:tr>
      <w:tr w:rsidR="006F2ADF" w:rsidRPr="00193BC1" w14:paraId="23716DB3"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4ABF64A"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54142237" w14:textId="77777777" w:rsidR="005E4516" w:rsidRPr="00193BC1" w:rsidRDefault="005E4516" w:rsidP="00487EAF">
            <w:pPr>
              <w:pStyle w:val="TableText0"/>
              <w:keepNext w:val="0"/>
            </w:pPr>
            <w:r w:rsidRPr="00193BC1">
              <w:rPr>
                <w:rFonts w:cs="Arial"/>
              </w:rPr>
              <w:t>Patient must not receive more than 32 weeks of treatment under this restriction.</w:t>
            </w:r>
          </w:p>
        </w:tc>
      </w:tr>
      <w:tr w:rsidR="006F2ADF" w:rsidRPr="00193BC1" w14:paraId="1B01498D"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18A3E13" w14:textId="77777777" w:rsidR="005E4516" w:rsidRPr="00193BC1" w:rsidRDefault="005E4516" w:rsidP="00487EAF">
            <w:pPr>
              <w:pStyle w:val="TableText0"/>
              <w:keepNext w:val="0"/>
              <w:rPr>
                <w:b/>
              </w:rPr>
            </w:pPr>
          </w:p>
        </w:tc>
        <w:tc>
          <w:tcPr>
            <w:tcW w:w="4138" w:type="pct"/>
            <w:tcBorders>
              <w:top w:val="single" w:sz="4" w:space="0" w:color="auto"/>
              <w:left w:val="single" w:sz="4" w:space="0" w:color="auto"/>
              <w:bottom w:val="single" w:sz="4" w:space="0" w:color="auto"/>
              <w:right w:val="single" w:sz="4" w:space="0" w:color="auto"/>
            </w:tcBorders>
          </w:tcPr>
          <w:p w14:paraId="3F7C34C5" w14:textId="77777777" w:rsidR="005E4516" w:rsidRPr="00193BC1" w:rsidRDefault="005E4516" w:rsidP="00487EAF">
            <w:pPr>
              <w:pStyle w:val="TableText0"/>
              <w:keepNext w:val="0"/>
            </w:pPr>
            <w:r w:rsidRPr="00193BC1">
              <w:rPr>
                <w:rFonts w:cs="Arial"/>
                <w:b/>
              </w:rPr>
              <w:t>AND</w:t>
            </w:r>
          </w:p>
        </w:tc>
      </w:tr>
      <w:tr w:rsidR="006F2ADF" w:rsidRPr="00193BC1" w14:paraId="57067D42"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B6F73DA"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1DBC2C91" w14:textId="77777777" w:rsidR="005E4516" w:rsidRPr="00193BC1" w:rsidRDefault="005E4516" w:rsidP="00487EAF">
            <w:pPr>
              <w:pStyle w:val="TableText0"/>
              <w:keepNext w:val="0"/>
            </w:pPr>
            <w:r w:rsidRPr="00193BC1">
              <w:rPr>
                <w:b/>
              </w:rPr>
              <w:t>Clinical criteria:</w:t>
            </w:r>
          </w:p>
        </w:tc>
      </w:tr>
      <w:tr w:rsidR="006F2ADF" w:rsidRPr="00193BC1" w14:paraId="2764AA12"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F002ADD"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4792A9D" w14:textId="77777777" w:rsidR="005E4516" w:rsidRPr="00193BC1" w:rsidRDefault="005E4516" w:rsidP="00487EAF">
            <w:pPr>
              <w:pStyle w:val="TableText0"/>
              <w:keepNext w:val="0"/>
            </w:pPr>
            <w:r w:rsidRPr="00193BC1">
              <w:rPr>
                <w:rFonts w:cs="Arial"/>
              </w:rPr>
              <w:t>The treatment must not be used in combination with and within 4 weeks of another PBS-subsidised biological medicine prescribed for severe asthma.</w:t>
            </w:r>
          </w:p>
        </w:tc>
      </w:tr>
      <w:tr w:rsidR="006F2ADF" w:rsidRPr="00193BC1" w14:paraId="0F562B00" w14:textId="77777777" w:rsidTr="00F813B9">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BDD30A1"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4F9F8440" w14:textId="77777777" w:rsidR="005E4516" w:rsidRPr="00193BC1" w:rsidRDefault="005E4516" w:rsidP="00487EAF">
            <w:pPr>
              <w:pStyle w:val="TableText0"/>
              <w:keepNext w:val="0"/>
              <w:rPr>
                <w:rFonts w:cs="Arial"/>
              </w:rPr>
            </w:pPr>
            <w:r w:rsidRPr="00193BC1">
              <w:rPr>
                <w:b/>
              </w:rPr>
              <w:t>Population criteria:</w:t>
            </w:r>
          </w:p>
          <w:p w14:paraId="35A17D71" w14:textId="77777777" w:rsidR="005E4516" w:rsidRPr="00193BC1" w:rsidRDefault="005E4516" w:rsidP="00487EAF">
            <w:pPr>
              <w:pStyle w:val="TableText0"/>
              <w:keepNext w:val="0"/>
            </w:pPr>
            <w:r w:rsidRPr="00193BC1">
              <w:rPr>
                <w:rFonts w:cs="Arial"/>
              </w:rPr>
              <w:t>Patients must be aged 12 years or older.</w:t>
            </w:r>
          </w:p>
        </w:tc>
      </w:tr>
      <w:tr w:rsidR="006F2ADF" w:rsidRPr="00193BC1" w14:paraId="7A3BDE0B"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77BC5565"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F24FEF4"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The authority application must be made in writing and must include:</w:t>
            </w:r>
          </w:p>
          <w:p w14:paraId="1955827A"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 a completed authority prescription form; and</w:t>
            </w:r>
          </w:p>
          <w:p w14:paraId="007B3FC4"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 xml:space="preserve">(b) a completed </w:t>
            </w:r>
            <w:r w:rsidRPr="00193BC1">
              <w:rPr>
                <w:rFonts w:ascii="Arial Narrow" w:eastAsiaTheme="majorEastAsia" w:hAnsi="Arial Narrow"/>
                <w:bCs/>
                <w:sz w:val="20"/>
              </w:rPr>
              <w:t>Uncontrolled severe eosinophilic or allergic asthma</w:t>
            </w:r>
            <w:r w:rsidRPr="00193BC1">
              <w:rPr>
                <w:rFonts w:ascii="Arial Narrow" w:hAnsi="Arial Narrow"/>
                <w:sz w:val="20"/>
                <w:szCs w:val="20"/>
              </w:rPr>
              <w:t xml:space="preserve"> Initial PBS Authority Application - Supporting Information Form, which includes the following:</w:t>
            </w:r>
          </w:p>
          <w:p w14:paraId="1349F395"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 Asthma Control Questionnaire (ACQ-5 item version) score (where a new baseline is being submitted or where the patient has responded to prior treatment); and</w:t>
            </w:r>
          </w:p>
          <w:p w14:paraId="17126982"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(ii) the details of prior biological medicine treatment including the details of date and duration of treatment; and</w:t>
            </w:r>
          </w:p>
          <w:p w14:paraId="38665F0E"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(iii) eosinophil count and date; and</w:t>
            </w:r>
          </w:p>
          <w:p w14:paraId="4A596E78"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(iv) the dose of the maintenance oral corticosteroid (where the response criteria or baseline is based on corticosteroid dose); or</w:t>
            </w:r>
          </w:p>
          <w:p w14:paraId="63EFD399"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(v) the IgE results; and</w:t>
            </w:r>
          </w:p>
          <w:p w14:paraId="029584E7"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(vi) the reason for switching therapy (e.g. failure of prior therapy, partial response to prior therapy, adverse event to prior therapy).</w:t>
            </w:r>
          </w:p>
          <w:p w14:paraId="3D18501C"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An application for a patient who has received PBS-subsidised biological medicine treatment for severe asthma who wishes to change therapy to this biological medicine, must be accompanied by the results of an ACQ-5 assessment of the patient's most recent course of PBS-subsidised biological medicine treatment. The assessment must have been made not more than 4 weeks after the last dose of biological medicine. Where a response assessment was not undertaken, the patient will be deemed to have failed to respond to treatment with that previous biological medicine.</w:t>
            </w:r>
          </w:p>
          <w:p w14:paraId="68C612DF"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An ACQ-5 assessment of the patient may be made at the time of application for treatment (to establish a new baseline score), but should be made again around 28 weeks after the first PBS-subsidised dose of this biological medicine under this restriction so that there is adequate time for a response to be demonstrated and for the application for the first continuing therapy to be processed.</w:t>
            </w:r>
          </w:p>
          <w:p w14:paraId="11CED78C"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This assessment at around 28 weeks, which will be used to determine eligibility for the first continuing treatment, should be submitted within 4 weeks of the date of assessment, and no later than 2 weeks prior to the patient completing their current treatment course, to avoid an interruption to supply. Where a response assessment is not undertaken and submitted, the patient will be deemed to have failed to respond to treatment with this biological medicine.</w:t>
            </w:r>
          </w:p>
          <w:p w14:paraId="472FC3DE" w14:textId="77777777" w:rsidR="005E4516" w:rsidRPr="00193BC1" w:rsidRDefault="005E4516" w:rsidP="00487EAF">
            <w:pPr>
              <w:jc w:val="left"/>
              <w:rPr>
                <w:rFonts w:ascii="Arial Narrow" w:eastAsiaTheme="majorEastAsia" w:hAnsi="Arial Narrow"/>
                <w:bCs/>
                <w:sz w:val="20"/>
              </w:rPr>
            </w:pPr>
            <w:r w:rsidRPr="00193BC1">
              <w:rPr>
                <w:rFonts w:ascii="Arial Narrow" w:hAnsi="Arial Narrow"/>
                <w:sz w:val="20"/>
                <w:szCs w:val="20"/>
              </w:rPr>
              <w:t xml:space="preserve">At the time of the authority application, medical practitioners should request up to </w:t>
            </w:r>
            <w:r w:rsidRPr="00193BC1">
              <w:rPr>
                <w:rFonts w:ascii="Arial Narrow" w:eastAsiaTheme="majorEastAsia" w:hAnsi="Arial Narrow"/>
                <w:bCs/>
                <w:sz w:val="20"/>
              </w:rPr>
              <w:t>8 repeats to provide for an initial course of dupilumab sufficient for up to 32 weeks of therapy</w:t>
            </w:r>
            <w:r w:rsidR="000F0AF0" w:rsidRPr="00193BC1">
              <w:rPr>
                <w:rFonts w:ascii="Arial Narrow" w:eastAsiaTheme="majorEastAsia" w:hAnsi="Arial Narrow"/>
                <w:bCs/>
                <w:sz w:val="20"/>
              </w:rPr>
              <w:t xml:space="preserve"> at a dose of 600 mg as an initial dose, followed by 300 mg every 2 weeks thereafter</w:t>
            </w:r>
            <w:r w:rsidRPr="00193BC1">
              <w:rPr>
                <w:rFonts w:ascii="Arial Narrow" w:eastAsiaTheme="majorEastAsia" w:hAnsi="Arial Narrow"/>
                <w:bCs/>
                <w:sz w:val="20"/>
              </w:rPr>
              <w:t>.</w:t>
            </w:r>
          </w:p>
          <w:p w14:paraId="0E79E35C" w14:textId="77777777" w:rsidR="005E4516" w:rsidRPr="00193BC1" w:rsidRDefault="005E4516" w:rsidP="00487EAF">
            <w:pPr>
              <w:jc w:val="left"/>
              <w:rPr>
                <w:rFonts w:ascii="Arial Narrow" w:hAnsi="Arial Narrow"/>
                <w:sz w:val="20"/>
                <w:szCs w:val="20"/>
              </w:rPr>
            </w:pPr>
            <w:r w:rsidRPr="00193BC1">
              <w:rPr>
                <w:rFonts w:ascii="Arial Narrow" w:hAnsi="Arial Narrow"/>
                <w:sz w:val="20"/>
                <w:szCs w:val="20"/>
              </w:rPr>
              <w:t>A multidisciplinary severe asthma clinic team comprises of:</w:t>
            </w:r>
          </w:p>
          <w:p w14:paraId="7513ED60" w14:textId="77777777" w:rsidR="005E4516" w:rsidRPr="00193BC1" w:rsidRDefault="005E4516" w:rsidP="00F94D70">
            <w:pPr>
              <w:numPr>
                <w:ilvl w:val="0"/>
                <w:numId w:val="26"/>
              </w:numPr>
              <w:jc w:val="left"/>
              <w:rPr>
                <w:rFonts w:ascii="Arial Narrow" w:hAnsi="Arial Narrow"/>
                <w:sz w:val="20"/>
                <w:szCs w:val="20"/>
              </w:rPr>
            </w:pPr>
            <w:r w:rsidRPr="00193BC1">
              <w:rPr>
                <w:rFonts w:ascii="Arial Narrow" w:hAnsi="Arial Narrow"/>
                <w:sz w:val="20"/>
                <w:szCs w:val="20"/>
              </w:rPr>
              <w:t>A respiratory physician; and</w:t>
            </w:r>
          </w:p>
          <w:p w14:paraId="18867B7B" w14:textId="77777777" w:rsidR="005E4516" w:rsidRPr="00193BC1" w:rsidRDefault="005E4516" w:rsidP="00F94D70">
            <w:pPr>
              <w:numPr>
                <w:ilvl w:val="0"/>
                <w:numId w:val="26"/>
              </w:numPr>
              <w:jc w:val="left"/>
              <w:rPr>
                <w:rFonts w:ascii="Arial Narrow" w:hAnsi="Arial Narrow"/>
                <w:b/>
                <w:sz w:val="20"/>
                <w:szCs w:val="20"/>
              </w:rPr>
            </w:pPr>
            <w:r w:rsidRPr="00193BC1">
              <w:rPr>
                <w:rFonts w:ascii="Arial Narrow" w:hAnsi="Arial Narrow"/>
                <w:sz w:val="20"/>
                <w:szCs w:val="20"/>
              </w:rPr>
              <w:t>A pharmacist, nurse or asthma educator.</w:t>
            </w:r>
          </w:p>
        </w:tc>
      </w:tr>
      <w:tr w:rsidR="003C46BE" w:rsidRPr="00193BC1" w14:paraId="5E8F176B" w14:textId="77777777" w:rsidTr="00F813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5C24D52"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6A1D3068" w14:textId="77777777" w:rsidR="003C46BE" w:rsidRPr="003C46BE" w:rsidRDefault="003C46BE" w:rsidP="00345DF8">
            <w:pPr>
              <w:rPr>
                <w:rFonts w:ascii="Arial Narrow" w:eastAsiaTheme="majorEastAsia" w:hAnsi="Arial Narrow" w:cstheme="majorBidi"/>
                <w:b/>
                <w:bCs/>
                <w:sz w:val="20"/>
                <w:szCs w:val="20"/>
              </w:rPr>
            </w:pPr>
            <w:r w:rsidRPr="003C46BE">
              <w:rPr>
                <w:rFonts w:ascii="Arial Narrow" w:eastAsiaTheme="majorEastAsia" w:hAnsi="Arial Narrow" w:cstheme="majorBidi"/>
                <w:b/>
                <w:bCs/>
                <w:sz w:val="20"/>
                <w:szCs w:val="20"/>
              </w:rPr>
              <w:t>Note:</w:t>
            </w:r>
          </w:p>
          <w:p w14:paraId="7CD6FC04" w14:textId="77777777" w:rsidR="003C46BE" w:rsidRPr="00193BC1" w:rsidRDefault="003C46BE" w:rsidP="00345DF8">
            <w:r w:rsidRPr="003C46BE">
              <w:rPr>
                <w:rFonts w:ascii="Arial Narrow" w:eastAsiaTheme="majorEastAsia" w:hAnsi="Arial Narrow" w:cstheme="majorBidi"/>
                <w:bCs/>
                <w:sz w:val="20"/>
                <w:szCs w:val="20"/>
              </w:rPr>
              <w:t>For copies of the ACQ and the calculation sheets please contact Sanofi Medical Information on 1800 818 806</w:t>
            </w:r>
            <w:r>
              <w:rPr>
                <w:rFonts w:ascii="Arial Narrow" w:eastAsiaTheme="majorEastAsia" w:hAnsi="Arial Narrow" w:cstheme="majorBidi"/>
                <w:bCs/>
                <w:sz w:val="20"/>
                <w:szCs w:val="20"/>
              </w:rPr>
              <w:t>.</w:t>
            </w:r>
          </w:p>
        </w:tc>
      </w:tr>
    </w:tbl>
    <w:p w14:paraId="3282485A" w14:textId="77777777" w:rsidR="005E4516" w:rsidRPr="00193BC1" w:rsidRDefault="005E4516" w:rsidP="005E4516">
      <w:pPr>
        <w:pStyle w:val="TableFigureFooter"/>
      </w:pPr>
    </w:p>
    <w:p w14:paraId="4B1E6E6D" w14:textId="77777777" w:rsidR="005E4516" w:rsidRPr="00193BC1" w:rsidRDefault="005E4516" w:rsidP="005E4516">
      <w:r w:rsidRPr="00193BC1">
        <w:rPr>
          <w:rFonts w:ascii="Arial Narrow" w:hAnsi="Arial Narrow"/>
          <w:b/>
          <w:bCs/>
          <w:sz w:val="20"/>
          <w:szCs w:val="20"/>
        </w:rPr>
        <w:t>Treatment phase: Grandfather treatment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0"/>
        <w:gridCol w:w="809"/>
        <w:gridCol w:w="1330"/>
        <w:gridCol w:w="1310"/>
        <w:gridCol w:w="937"/>
        <w:gridCol w:w="942"/>
        <w:gridCol w:w="1559"/>
      </w:tblGrid>
      <w:tr w:rsidR="006F2ADF" w:rsidRPr="00193BC1" w14:paraId="17D29B2E" w14:textId="77777777" w:rsidTr="00F813B9">
        <w:tc>
          <w:tcPr>
            <w:tcW w:w="1182" w:type="pct"/>
          </w:tcPr>
          <w:p w14:paraId="697F1B3F" w14:textId="77777777" w:rsidR="005E4516" w:rsidRPr="00193BC1" w:rsidRDefault="005E4516" w:rsidP="00487EAF">
            <w:pPr>
              <w:pStyle w:val="Tabletext"/>
              <w:rPr>
                <w:b/>
                <w:bCs/>
              </w:rPr>
            </w:pPr>
            <w:r w:rsidRPr="00193BC1">
              <w:rPr>
                <w:b/>
              </w:rPr>
              <w:t>Name, restriction, manner of administration, form</w:t>
            </w:r>
          </w:p>
        </w:tc>
        <w:tc>
          <w:tcPr>
            <w:tcW w:w="449" w:type="pct"/>
          </w:tcPr>
          <w:p w14:paraId="4C451CF2" w14:textId="77777777" w:rsidR="005E4516" w:rsidRPr="00193BC1" w:rsidRDefault="005E4516" w:rsidP="00487EAF">
            <w:pPr>
              <w:pStyle w:val="Tabletext"/>
              <w:rPr>
                <w:b/>
                <w:bCs/>
              </w:rPr>
            </w:pPr>
            <w:r w:rsidRPr="00193BC1">
              <w:rPr>
                <w:b/>
              </w:rPr>
              <w:t>PBS item code</w:t>
            </w:r>
          </w:p>
        </w:tc>
        <w:tc>
          <w:tcPr>
            <w:tcW w:w="738" w:type="pct"/>
          </w:tcPr>
          <w:p w14:paraId="127460AF" w14:textId="77777777" w:rsidR="005E4516" w:rsidRPr="00193BC1" w:rsidRDefault="005E4516" w:rsidP="00487EAF">
            <w:pPr>
              <w:pStyle w:val="Tabletext"/>
              <w:rPr>
                <w:b/>
                <w:bCs/>
              </w:rPr>
            </w:pPr>
            <w:r w:rsidRPr="00193BC1">
              <w:rPr>
                <w:b/>
              </w:rPr>
              <w:t>Maximum quantity (packs)</w:t>
            </w:r>
          </w:p>
        </w:tc>
        <w:tc>
          <w:tcPr>
            <w:tcW w:w="727" w:type="pct"/>
          </w:tcPr>
          <w:p w14:paraId="15ADDB37" w14:textId="77777777" w:rsidR="005E4516" w:rsidRPr="00193BC1" w:rsidRDefault="005E4516" w:rsidP="00487EAF">
            <w:pPr>
              <w:pStyle w:val="Tabletext"/>
              <w:jc w:val="center"/>
            </w:pPr>
            <w:r w:rsidRPr="00193BC1">
              <w:rPr>
                <w:b/>
              </w:rPr>
              <w:t>Maximum quantity (units)</w:t>
            </w:r>
          </w:p>
        </w:tc>
        <w:tc>
          <w:tcPr>
            <w:tcW w:w="520" w:type="pct"/>
          </w:tcPr>
          <w:p w14:paraId="49BF84F4" w14:textId="77777777" w:rsidR="005E4516" w:rsidRPr="00193BC1" w:rsidRDefault="005E4516" w:rsidP="00487EAF">
            <w:pPr>
              <w:pStyle w:val="Tabletext"/>
              <w:jc w:val="center"/>
            </w:pPr>
            <w:r w:rsidRPr="00193BC1">
              <w:rPr>
                <w:b/>
              </w:rPr>
              <w:t>No. of repeats</w:t>
            </w:r>
          </w:p>
        </w:tc>
        <w:tc>
          <w:tcPr>
            <w:tcW w:w="1384" w:type="pct"/>
            <w:gridSpan w:val="2"/>
          </w:tcPr>
          <w:p w14:paraId="535C526A" w14:textId="77777777" w:rsidR="005E4516" w:rsidRPr="00193BC1" w:rsidRDefault="005E4516" w:rsidP="00487EAF">
            <w:pPr>
              <w:pStyle w:val="Tabletext"/>
              <w:jc w:val="center"/>
            </w:pPr>
            <w:r w:rsidRPr="00193BC1">
              <w:rPr>
                <w:b/>
              </w:rPr>
              <w:t>Proprietary name and manufacturer</w:t>
            </w:r>
          </w:p>
        </w:tc>
      </w:tr>
      <w:tr w:rsidR="005E4516" w:rsidRPr="00193BC1" w14:paraId="19F7920A" w14:textId="77777777" w:rsidTr="00F813B9">
        <w:tc>
          <w:tcPr>
            <w:tcW w:w="1182" w:type="pct"/>
            <w:vAlign w:val="center"/>
          </w:tcPr>
          <w:p w14:paraId="0597F20E" w14:textId="77777777" w:rsidR="005E4516" w:rsidRPr="00193BC1" w:rsidRDefault="005E4516" w:rsidP="00487EAF">
            <w:pPr>
              <w:pStyle w:val="Tabletext"/>
            </w:pPr>
            <w:r w:rsidRPr="00193BC1">
              <w:t>DUPILUMAB</w:t>
            </w:r>
          </w:p>
          <w:p w14:paraId="312DBB5C" w14:textId="77777777" w:rsidR="005E4516" w:rsidRPr="00193BC1" w:rsidRDefault="005E4516" w:rsidP="00487EAF">
            <w:pPr>
              <w:pStyle w:val="Tabletext"/>
              <w:rPr>
                <w:b/>
                <w:bCs/>
              </w:rPr>
            </w:pPr>
            <w:r w:rsidRPr="00193BC1">
              <w:br/>
              <w:t>300 mg/2 mL injection, 2 x 2 mL syringes</w:t>
            </w:r>
          </w:p>
        </w:tc>
        <w:tc>
          <w:tcPr>
            <w:tcW w:w="449" w:type="pct"/>
            <w:vAlign w:val="center"/>
          </w:tcPr>
          <w:p w14:paraId="42797BB5" w14:textId="77777777" w:rsidR="005E4516" w:rsidRPr="00193BC1" w:rsidRDefault="005E4516" w:rsidP="00487EAF">
            <w:pPr>
              <w:pStyle w:val="Tabletext"/>
              <w:jc w:val="center"/>
            </w:pPr>
            <w:r w:rsidRPr="00193BC1">
              <w:t>NEW</w:t>
            </w:r>
          </w:p>
        </w:tc>
        <w:tc>
          <w:tcPr>
            <w:tcW w:w="738" w:type="pct"/>
            <w:vAlign w:val="center"/>
          </w:tcPr>
          <w:p w14:paraId="498BACF0" w14:textId="77777777" w:rsidR="005E4516" w:rsidRPr="00193BC1" w:rsidRDefault="005E4516" w:rsidP="00487EAF">
            <w:pPr>
              <w:pStyle w:val="Tabletext"/>
              <w:jc w:val="center"/>
              <w:rPr>
                <w:rFonts w:ascii="Times" w:hAnsi="Times"/>
              </w:rPr>
            </w:pPr>
            <w:r w:rsidRPr="00193BC1">
              <w:t>1</w:t>
            </w:r>
          </w:p>
        </w:tc>
        <w:tc>
          <w:tcPr>
            <w:tcW w:w="727" w:type="pct"/>
            <w:vAlign w:val="center"/>
          </w:tcPr>
          <w:p w14:paraId="0E765965" w14:textId="77777777" w:rsidR="005E4516" w:rsidRPr="00193BC1" w:rsidRDefault="005E4516" w:rsidP="00487EAF">
            <w:pPr>
              <w:pStyle w:val="Tabletext"/>
              <w:jc w:val="center"/>
              <w:rPr>
                <w:rFonts w:ascii="Times" w:hAnsi="Times"/>
              </w:rPr>
            </w:pPr>
            <w:r w:rsidRPr="00193BC1">
              <w:t>2</w:t>
            </w:r>
          </w:p>
        </w:tc>
        <w:tc>
          <w:tcPr>
            <w:tcW w:w="520" w:type="pct"/>
            <w:vAlign w:val="center"/>
          </w:tcPr>
          <w:p w14:paraId="6D5021E0" w14:textId="77777777" w:rsidR="005E4516" w:rsidRPr="00193BC1" w:rsidRDefault="005E4516" w:rsidP="00487EAF">
            <w:pPr>
              <w:pStyle w:val="Tabletext"/>
              <w:jc w:val="center"/>
              <w:rPr>
                <w:rFonts w:ascii="Times" w:hAnsi="Times"/>
              </w:rPr>
            </w:pPr>
            <w:r w:rsidRPr="00193BC1">
              <w:t>5</w:t>
            </w:r>
          </w:p>
        </w:tc>
        <w:tc>
          <w:tcPr>
            <w:tcW w:w="519" w:type="pct"/>
            <w:vAlign w:val="center"/>
          </w:tcPr>
          <w:p w14:paraId="36307255" w14:textId="77777777" w:rsidR="005E4516" w:rsidRPr="00193BC1" w:rsidRDefault="005E4516" w:rsidP="00487EAF">
            <w:pPr>
              <w:pStyle w:val="TableText0"/>
              <w:spacing w:line="276" w:lineRule="auto"/>
              <w:jc w:val="center"/>
              <w:rPr>
                <w:rFonts w:asciiTheme="minorHAnsi" w:hAnsiTheme="minorHAnsi" w:cstheme="minorHAnsi"/>
                <w:sz w:val="18"/>
                <w:szCs w:val="18"/>
              </w:rPr>
            </w:pPr>
            <w:r w:rsidRPr="00193BC1">
              <w:t>Dupixent</w:t>
            </w:r>
            <w:r w:rsidRPr="00193BC1">
              <w:rPr>
                <w:vertAlign w:val="superscript"/>
              </w:rPr>
              <w:t>®</w:t>
            </w:r>
          </w:p>
        </w:tc>
        <w:tc>
          <w:tcPr>
            <w:tcW w:w="864" w:type="pct"/>
            <w:vAlign w:val="center"/>
          </w:tcPr>
          <w:p w14:paraId="7B9EE657" w14:textId="77777777" w:rsidR="005E4516" w:rsidRPr="00193BC1" w:rsidRDefault="0084063A" w:rsidP="00487EAF">
            <w:pPr>
              <w:pStyle w:val="Tabletext"/>
              <w:jc w:val="center"/>
              <w:rPr>
                <w:rFonts w:ascii="Times" w:hAnsi="Times"/>
              </w:rPr>
            </w:pPr>
            <w:r w:rsidRPr="00193BC1">
              <w:t>Sanofi-Aventis</w:t>
            </w:r>
            <w:r w:rsidR="005E4516" w:rsidRPr="00193BC1">
              <w:t xml:space="preserve"> Australia Pty Ltd</w:t>
            </w:r>
          </w:p>
        </w:tc>
      </w:tr>
    </w:tbl>
    <w:p w14:paraId="49AA5BFB" w14:textId="77777777" w:rsidR="005E4516" w:rsidRPr="00193BC1" w:rsidRDefault="005E4516" w:rsidP="005E4516">
      <w:pPr>
        <w:pStyle w:val="TableFigureFooter"/>
      </w:pPr>
    </w:p>
    <w:tbl>
      <w:tblPr>
        <w:tblW w:w="5000" w:type="pct"/>
        <w:tblLook w:val="0000" w:firstRow="0" w:lastRow="0" w:firstColumn="0" w:lastColumn="0" w:noHBand="0" w:noVBand="0"/>
      </w:tblPr>
      <w:tblGrid>
        <w:gridCol w:w="1555"/>
        <w:gridCol w:w="7462"/>
      </w:tblGrid>
      <w:tr w:rsidR="006F2ADF" w:rsidRPr="00193BC1" w14:paraId="540AFF9E" w14:textId="77777777" w:rsidTr="00F813B9">
        <w:trPr>
          <w:cantSplit/>
        </w:trPr>
        <w:tc>
          <w:tcPr>
            <w:tcW w:w="862" w:type="pct"/>
            <w:vMerge w:val="restart"/>
            <w:tcBorders>
              <w:top w:val="single" w:sz="4" w:space="0" w:color="auto"/>
              <w:left w:val="single" w:sz="4" w:space="0" w:color="auto"/>
              <w:right w:val="single" w:sz="4" w:space="0" w:color="auto"/>
            </w:tcBorders>
            <w:vAlign w:val="center"/>
          </w:tcPr>
          <w:p w14:paraId="27977790" w14:textId="77777777" w:rsidR="005E4516" w:rsidRPr="00193BC1" w:rsidRDefault="005E4516" w:rsidP="00487EAF">
            <w:pPr>
              <w:pStyle w:val="TableText0"/>
              <w:keepNext w:val="0"/>
              <w:jc w:val="center"/>
              <w:rPr>
                <w:b/>
              </w:rPr>
            </w:pPr>
            <w:r w:rsidRPr="00193BC1">
              <w:rPr>
                <w:b/>
              </w:rPr>
              <w:t>Concept ID</w:t>
            </w:r>
          </w:p>
          <w:p w14:paraId="78D29ECF" w14:textId="77777777" w:rsidR="005E4516" w:rsidRPr="00193BC1" w:rsidRDefault="005E4516" w:rsidP="00487EAF">
            <w:pPr>
              <w:pStyle w:val="TableText0"/>
              <w:keepNext w:val="0"/>
              <w:jc w:val="center"/>
              <w:rPr>
                <w:b/>
              </w:rPr>
            </w:pPr>
          </w:p>
          <w:p w14:paraId="432360B0" w14:textId="77777777" w:rsidR="005E4516" w:rsidRPr="00193BC1" w:rsidRDefault="005E4516" w:rsidP="00487EAF">
            <w:pPr>
              <w:jc w:val="center"/>
              <w:rPr>
                <w:b/>
              </w:rPr>
            </w:pPr>
          </w:p>
        </w:tc>
        <w:tc>
          <w:tcPr>
            <w:tcW w:w="4138" w:type="pct"/>
            <w:tcBorders>
              <w:top w:val="single" w:sz="4" w:space="0" w:color="auto"/>
              <w:left w:val="single" w:sz="4" w:space="0" w:color="auto"/>
              <w:bottom w:val="single" w:sz="4" w:space="0" w:color="auto"/>
              <w:right w:val="single" w:sz="4" w:space="0" w:color="auto"/>
            </w:tcBorders>
          </w:tcPr>
          <w:p w14:paraId="3F411295" w14:textId="77777777" w:rsidR="005E4516" w:rsidRPr="00193BC1" w:rsidRDefault="005E4516" w:rsidP="00487EAF">
            <w:pPr>
              <w:pStyle w:val="TableText0"/>
              <w:keepNext w:val="0"/>
            </w:pPr>
            <w:r w:rsidRPr="00193BC1">
              <w:rPr>
                <w:b/>
              </w:rPr>
              <w:t>Category / Program:</w:t>
            </w:r>
          </w:p>
          <w:p w14:paraId="3E72C561" w14:textId="77777777" w:rsidR="005E4516" w:rsidRPr="00193BC1" w:rsidRDefault="005E4516" w:rsidP="00487EAF">
            <w:pPr>
              <w:pStyle w:val="TableText0"/>
              <w:keepNext w:val="0"/>
            </w:pPr>
            <w:r w:rsidRPr="00193BC1">
              <w:t>Section 100 – Highly Specialised Drugs Program – public and private</w:t>
            </w:r>
          </w:p>
        </w:tc>
      </w:tr>
      <w:tr w:rsidR="006F2ADF" w:rsidRPr="00193BC1" w14:paraId="0EBB2DDB" w14:textId="77777777" w:rsidTr="00A80C41">
        <w:trPr>
          <w:cantSplit/>
        </w:trPr>
        <w:tc>
          <w:tcPr>
            <w:tcW w:w="862" w:type="pct"/>
            <w:vMerge/>
            <w:tcBorders>
              <w:left w:val="single" w:sz="4" w:space="0" w:color="auto"/>
              <w:right w:val="single" w:sz="4" w:space="0" w:color="auto"/>
            </w:tcBorders>
          </w:tcPr>
          <w:p w14:paraId="44FD210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DE8A7BD" w14:textId="77777777" w:rsidR="005E4516" w:rsidRPr="00193BC1" w:rsidRDefault="005E4516" w:rsidP="00487EAF">
            <w:pPr>
              <w:pStyle w:val="TableText0"/>
              <w:keepNext w:val="0"/>
            </w:pPr>
            <w:r w:rsidRPr="00193BC1">
              <w:rPr>
                <w:b/>
              </w:rPr>
              <w:t>Prescriber type:</w:t>
            </w:r>
          </w:p>
          <w:p w14:paraId="2177DF38" w14:textId="77777777" w:rsidR="005E4516" w:rsidRPr="00193BC1" w:rsidRDefault="005E4516" w:rsidP="00487EAF">
            <w:pPr>
              <w:pStyle w:val="TableText0"/>
              <w:keepNext w:val="0"/>
            </w:pPr>
            <w:r w:rsidRPr="00193BC1">
              <w:fldChar w:fldCharType="begin">
                <w:ffData>
                  <w:name w:val="Check1"/>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Medical Practitioners</w:t>
            </w:r>
          </w:p>
        </w:tc>
      </w:tr>
      <w:tr w:rsidR="006F2ADF" w:rsidRPr="00193BC1" w14:paraId="75B561DD" w14:textId="77777777" w:rsidTr="00A80C41">
        <w:trPr>
          <w:cantSplit/>
        </w:trPr>
        <w:tc>
          <w:tcPr>
            <w:tcW w:w="862" w:type="pct"/>
            <w:vMerge/>
            <w:tcBorders>
              <w:left w:val="single" w:sz="4" w:space="0" w:color="auto"/>
              <w:bottom w:val="single" w:sz="4" w:space="0" w:color="auto"/>
              <w:right w:val="single" w:sz="4" w:space="0" w:color="auto"/>
            </w:tcBorders>
          </w:tcPr>
          <w:p w14:paraId="3DDADB1D"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1014B5FD" w14:textId="77777777" w:rsidR="005E4516" w:rsidRPr="00193BC1" w:rsidRDefault="005E4516" w:rsidP="00487EAF">
            <w:pPr>
              <w:pStyle w:val="TableText0"/>
              <w:keepNext w:val="0"/>
            </w:pPr>
            <w:r w:rsidRPr="00193BC1">
              <w:rPr>
                <w:b/>
              </w:rPr>
              <w:t>Restriction:</w:t>
            </w:r>
          </w:p>
          <w:p w14:paraId="05966535" w14:textId="77777777" w:rsidR="005E4516" w:rsidRPr="00193BC1" w:rsidRDefault="005E4516" w:rsidP="00487EAF">
            <w:pPr>
              <w:pStyle w:val="TableText0"/>
              <w:keepNext w:val="0"/>
              <w:rPr>
                <w:b/>
              </w:rPr>
            </w:pPr>
            <w:r w:rsidRPr="00193BC1">
              <w:fldChar w:fldCharType="begin">
                <w:ffData>
                  <w:name w:val=""/>
                  <w:enabled/>
                  <w:calcOnExit w:val="0"/>
                  <w:checkBox>
                    <w:sizeAuto/>
                    <w:default w:val="1"/>
                  </w:checkBox>
                </w:ffData>
              </w:fldChar>
            </w:r>
            <w:r w:rsidRPr="00193BC1">
              <w:instrText xml:space="preserve"> FORMCHECKBOX </w:instrText>
            </w:r>
            <w:r w:rsidR="00026C00">
              <w:fldChar w:fldCharType="separate"/>
            </w:r>
            <w:r w:rsidRPr="00193BC1">
              <w:fldChar w:fldCharType="end"/>
            </w:r>
            <w:r w:rsidRPr="00193BC1">
              <w:t>Authority Required - In Writing</w:t>
            </w:r>
          </w:p>
        </w:tc>
      </w:tr>
      <w:tr w:rsidR="006F2ADF" w:rsidRPr="00193BC1" w14:paraId="7D85D324"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A7863A8"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793EDFD" w14:textId="77777777" w:rsidR="005E4516" w:rsidRPr="00193BC1" w:rsidRDefault="005E4516" w:rsidP="00487EAF">
            <w:pPr>
              <w:pStyle w:val="TableText0"/>
              <w:keepNext w:val="0"/>
            </w:pPr>
            <w:r w:rsidRPr="00193BC1">
              <w:rPr>
                <w:b/>
              </w:rPr>
              <w:t>Severity:</w:t>
            </w:r>
          </w:p>
          <w:p w14:paraId="511DC11A" w14:textId="77777777" w:rsidR="005E4516" w:rsidRPr="00193BC1" w:rsidRDefault="005E4516" w:rsidP="00487EAF">
            <w:pPr>
              <w:pStyle w:val="TableText0"/>
              <w:keepNext w:val="0"/>
            </w:pPr>
            <w:r w:rsidRPr="00193BC1">
              <w:t>Uncontrolled severe</w:t>
            </w:r>
          </w:p>
        </w:tc>
      </w:tr>
      <w:tr w:rsidR="006F2ADF" w:rsidRPr="00193BC1" w14:paraId="5337E26D"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201FDF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178F087" w14:textId="77777777" w:rsidR="005E4516" w:rsidRPr="00193BC1" w:rsidRDefault="005E4516" w:rsidP="00487EAF">
            <w:pPr>
              <w:pStyle w:val="TableText0"/>
              <w:keepNext w:val="0"/>
            </w:pPr>
            <w:r w:rsidRPr="00193BC1">
              <w:rPr>
                <w:b/>
              </w:rPr>
              <w:t>Condition:</w:t>
            </w:r>
          </w:p>
          <w:p w14:paraId="47B0584A" w14:textId="77777777" w:rsidR="005E4516" w:rsidRPr="00193BC1" w:rsidRDefault="005E4516" w:rsidP="00487EAF">
            <w:pPr>
              <w:pStyle w:val="TableText0"/>
              <w:keepNext w:val="0"/>
            </w:pPr>
            <w:r w:rsidRPr="00193BC1">
              <w:rPr>
                <w:rFonts w:eastAsiaTheme="minorHAnsi"/>
                <w:iCs/>
              </w:rPr>
              <w:t>eosinophilic or allergic asthma</w:t>
            </w:r>
          </w:p>
        </w:tc>
      </w:tr>
      <w:tr w:rsidR="006F2ADF" w:rsidRPr="00193BC1" w14:paraId="2E7511BD" w14:textId="77777777" w:rsidTr="00A80C41">
        <w:trPr>
          <w:cantSplit/>
        </w:trPr>
        <w:tc>
          <w:tcPr>
            <w:tcW w:w="862" w:type="pct"/>
            <w:vMerge w:val="restart"/>
            <w:tcBorders>
              <w:top w:val="single" w:sz="4" w:space="0" w:color="auto"/>
              <w:left w:val="single" w:sz="4" w:space="0" w:color="auto"/>
              <w:right w:val="single" w:sz="4" w:space="0" w:color="auto"/>
            </w:tcBorders>
            <w:vAlign w:val="center"/>
          </w:tcPr>
          <w:p w14:paraId="21F65DB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3771C51" w14:textId="77777777" w:rsidR="005E4516" w:rsidRPr="00193BC1" w:rsidRDefault="005E4516" w:rsidP="00487EAF">
            <w:pPr>
              <w:pStyle w:val="TableText0"/>
              <w:keepNext w:val="0"/>
            </w:pPr>
            <w:r w:rsidRPr="00193BC1">
              <w:rPr>
                <w:b/>
              </w:rPr>
              <w:t>PBS Indication:</w:t>
            </w:r>
          </w:p>
          <w:p w14:paraId="0B85FE2F" w14:textId="77777777" w:rsidR="005E4516" w:rsidRPr="00193BC1" w:rsidRDefault="005E4516" w:rsidP="00487EAF">
            <w:pPr>
              <w:pStyle w:val="TableText0"/>
              <w:keepNext w:val="0"/>
            </w:pPr>
            <w:r w:rsidRPr="00193BC1">
              <w:t xml:space="preserve">Uncontrolled severe </w:t>
            </w:r>
            <w:r w:rsidRPr="00193BC1">
              <w:rPr>
                <w:rFonts w:eastAsiaTheme="minorHAnsi"/>
                <w:iCs/>
              </w:rPr>
              <w:t>eosinophilic or allergic</w:t>
            </w:r>
            <w:r w:rsidRPr="00193BC1">
              <w:rPr>
                <w:rFonts w:eastAsiaTheme="minorHAnsi"/>
                <w:i/>
                <w:iCs/>
              </w:rPr>
              <w:t xml:space="preserve"> </w:t>
            </w:r>
            <w:r w:rsidR="00A80C41" w:rsidRPr="00193BC1">
              <w:t>asthma</w:t>
            </w:r>
          </w:p>
        </w:tc>
      </w:tr>
      <w:tr w:rsidR="006F2ADF" w:rsidRPr="00193BC1" w14:paraId="4165D1C1" w14:textId="77777777" w:rsidTr="00A80C41">
        <w:trPr>
          <w:cantSplit/>
        </w:trPr>
        <w:tc>
          <w:tcPr>
            <w:tcW w:w="862" w:type="pct"/>
            <w:vMerge/>
            <w:tcBorders>
              <w:left w:val="single" w:sz="4" w:space="0" w:color="auto"/>
              <w:bottom w:val="single" w:sz="4" w:space="0" w:color="auto"/>
              <w:right w:val="single" w:sz="4" w:space="0" w:color="auto"/>
            </w:tcBorders>
            <w:vAlign w:val="center"/>
          </w:tcPr>
          <w:p w14:paraId="5C36502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AAD0557" w14:textId="77777777" w:rsidR="005E4516" w:rsidRPr="00193BC1" w:rsidRDefault="005E4516" w:rsidP="00487EAF">
            <w:pPr>
              <w:pStyle w:val="TableText0"/>
              <w:keepNext w:val="0"/>
            </w:pPr>
            <w:r w:rsidRPr="00193BC1">
              <w:rPr>
                <w:b/>
              </w:rPr>
              <w:t>Treatment phase:</w:t>
            </w:r>
          </w:p>
          <w:p w14:paraId="4AB29E0A" w14:textId="77777777" w:rsidR="005E4516" w:rsidRPr="00193BC1" w:rsidRDefault="005E4516" w:rsidP="00487EAF">
            <w:pPr>
              <w:pStyle w:val="TableText0"/>
              <w:keepNext w:val="0"/>
            </w:pPr>
            <w:r w:rsidRPr="00193BC1">
              <w:t>Grandfather treatment</w:t>
            </w:r>
          </w:p>
        </w:tc>
      </w:tr>
      <w:tr w:rsidR="006F2ADF" w:rsidRPr="00193BC1" w14:paraId="495F7563"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A2CB712"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0782534" w14:textId="77777777" w:rsidR="005E4516" w:rsidRPr="00193BC1" w:rsidRDefault="005E4516" w:rsidP="00487EAF">
            <w:pPr>
              <w:pStyle w:val="TableText0"/>
              <w:keepNext w:val="0"/>
              <w:rPr>
                <w:rFonts w:cs="Arial"/>
              </w:rPr>
            </w:pPr>
            <w:r w:rsidRPr="00193BC1">
              <w:rPr>
                <w:b/>
              </w:rPr>
              <w:t>Treatment criteria:</w:t>
            </w:r>
          </w:p>
          <w:p w14:paraId="3C37F284" w14:textId="77777777" w:rsidR="005E4516" w:rsidRPr="00193BC1" w:rsidRDefault="005E4516" w:rsidP="00487EAF">
            <w:pPr>
              <w:pStyle w:val="TableText0"/>
              <w:keepNext w:val="0"/>
              <w:rPr>
                <w:rFonts w:cs="Arial"/>
              </w:rPr>
            </w:pPr>
            <w:r w:rsidRPr="00193BC1">
              <w:rPr>
                <w:rFonts w:cs="Arial"/>
              </w:rPr>
              <w:t>Must be treated by a respiratory physician, clinical immunologist, allergist or general physician experienced in the management of patients with severe asthma.</w:t>
            </w:r>
          </w:p>
        </w:tc>
      </w:tr>
      <w:tr w:rsidR="006F2ADF" w:rsidRPr="00193BC1" w14:paraId="4C70E216"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E27431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734580F3" w14:textId="77777777" w:rsidR="005E4516" w:rsidRPr="00193BC1" w:rsidRDefault="005E4516" w:rsidP="00487EAF">
            <w:pPr>
              <w:pStyle w:val="TableText0"/>
              <w:keepNext w:val="0"/>
              <w:rPr>
                <w:rFonts w:cs="Arial"/>
              </w:rPr>
            </w:pPr>
            <w:r w:rsidRPr="00193BC1">
              <w:rPr>
                <w:b/>
              </w:rPr>
              <w:t>AND</w:t>
            </w:r>
          </w:p>
        </w:tc>
      </w:tr>
      <w:tr w:rsidR="006F2ADF" w:rsidRPr="00193BC1" w14:paraId="0FD63B30"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19E50E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1930290" w14:textId="77777777" w:rsidR="005E4516" w:rsidRPr="00193BC1" w:rsidRDefault="005E4516" w:rsidP="00487EAF">
            <w:pPr>
              <w:pStyle w:val="TableText0"/>
              <w:keepNext w:val="0"/>
              <w:rPr>
                <w:b/>
              </w:rPr>
            </w:pPr>
            <w:r w:rsidRPr="00193BC1">
              <w:rPr>
                <w:b/>
              </w:rPr>
              <w:t>Clinical criteria:</w:t>
            </w:r>
          </w:p>
        </w:tc>
      </w:tr>
      <w:tr w:rsidR="006F2ADF" w:rsidRPr="00193BC1" w14:paraId="26970FDE"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8A950F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294EEBA" w14:textId="77777777" w:rsidR="005E4516" w:rsidRPr="00193BC1" w:rsidRDefault="005E4516" w:rsidP="00487EAF">
            <w:pPr>
              <w:pStyle w:val="TableText0"/>
              <w:keepNext w:val="0"/>
              <w:rPr>
                <w:b/>
              </w:rPr>
            </w:pPr>
            <w:r w:rsidRPr="00193BC1">
              <w:rPr>
                <w:rFonts w:cs="Arial"/>
              </w:rPr>
              <w:t>Patient must have received non-PBS-subsidised</w:t>
            </w:r>
            <w:r w:rsidRPr="00193BC1">
              <w:rPr>
                <w:rFonts w:cs="Arial"/>
                <w:strike/>
              </w:rPr>
              <w:t xml:space="preserve"> </w:t>
            </w:r>
            <w:r w:rsidRPr="00193BC1">
              <w:rPr>
                <w:rFonts w:cs="Arial"/>
              </w:rPr>
              <w:t>treatment with this biological medicine</w:t>
            </w:r>
            <w:r w:rsidR="00A80C41" w:rsidRPr="00193BC1">
              <w:rPr>
                <w:rFonts w:cs="Arial"/>
                <w:strike/>
              </w:rPr>
              <w:t xml:space="preserve"> </w:t>
            </w:r>
            <w:r w:rsidRPr="00193BC1">
              <w:rPr>
                <w:rFonts w:cs="Arial"/>
              </w:rPr>
              <w:t>for this condition prior to [listing date].</w:t>
            </w:r>
          </w:p>
        </w:tc>
      </w:tr>
      <w:tr w:rsidR="006F2ADF" w:rsidRPr="00193BC1" w14:paraId="4AA8C395"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C48774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53143E59" w14:textId="77777777" w:rsidR="005E4516" w:rsidRPr="00193BC1" w:rsidRDefault="005E4516" w:rsidP="00487EAF">
            <w:pPr>
              <w:pStyle w:val="TableText0"/>
              <w:keepNext w:val="0"/>
              <w:rPr>
                <w:b/>
              </w:rPr>
            </w:pPr>
            <w:r w:rsidRPr="00193BC1">
              <w:rPr>
                <w:b/>
              </w:rPr>
              <w:t>AND</w:t>
            </w:r>
          </w:p>
        </w:tc>
      </w:tr>
      <w:tr w:rsidR="006F2ADF" w:rsidRPr="00193BC1" w14:paraId="1E6B3EC2"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764108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4DA1BD9" w14:textId="77777777" w:rsidR="005E4516" w:rsidRPr="00193BC1" w:rsidRDefault="005E4516" w:rsidP="00487EAF">
            <w:pPr>
              <w:pStyle w:val="TableText0"/>
              <w:keepNext w:val="0"/>
              <w:rPr>
                <w:b/>
              </w:rPr>
            </w:pPr>
            <w:r w:rsidRPr="00193BC1">
              <w:rPr>
                <w:b/>
              </w:rPr>
              <w:t>Clinical criteria:</w:t>
            </w:r>
          </w:p>
        </w:tc>
      </w:tr>
      <w:tr w:rsidR="006F2ADF" w:rsidRPr="00193BC1" w14:paraId="4EAEEE31"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35353A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EBDB3FD" w14:textId="77777777" w:rsidR="005E4516" w:rsidRPr="00193BC1" w:rsidRDefault="005E4516" w:rsidP="00487EAF">
            <w:pPr>
              <w:pStyle w:val="TableText0"/>
              <w:keepNext w:val="0"/>
              <w:rPr>
                <w:b/>
              </w:rPr>
            </w:pPr>
            <w:r w:rsidRPr="00193BC1">
              <w:rPr>
                <w:rFonts w:cs="Arial"/>
              </w:rPr>
              <w:t>Patient must have demonstrated or sustained an adequate response to treatment with this drug if the patient has received at least the week 28 dose of this biological medicine.</w:t>
            </w:r>
          </w:p>
        </w:tc>
      </w:tr>
      <w:tr w:rsidR="006F2ADF" w:rsidRPr="00193BC1" w14:paraId="223D6143"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7F49C41"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E1B23E8" w14:textId="77777777" w:rsidR="005E4516" w:rsidRPr="00193BC1" w:rsidRDefault="005E4516" w:rsidP="00487EAF">
            <w:pPr>
              <w:pStyle w:val="TableText0"/>
              <w:keepNext w:val="0"/>
              <w:rPr>
                <w:b/>
              </w:rPr>
            </w:pPr>
            <w:r w:rsidRPr="00193BC1">
              <w:rPr>
                <w:b/>
              </w:rPr>
              <w:t>AND</w:t>
            </w:r>
          </w:p>
        </w:tc>
      </w:tr>
      <w:tr w:rsidR="006F2ADF" w:rsidRPr="00193BC1" w14:paraId="0CFE47F3"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7C9030F"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587275F" w14:textId="77777777" w:rsidR="005E4516" w:rsidRPr="00193BC1" w:rsidRDefault="005E4516" w:rsidP="00487EAF">
            <w:pPr>
              <w:pStyle w:val="TableText0"/>
              <w:keepNext w:val="0"/>
              <w:rPr>
                <w:b/>
              </w:rPr>
            </w:pPr>
            <w:r w:rsidRPr="00193BC1">
              <w:rPr>
                <w:b/>
              </w:rPr>
              <w:t>Clinical criteria:</w:t>
            </w:r>
          </w:p>
        </w:tc>
      </w:tr>
      <w:tr w:rsidR="006F2ADF" w:rsidRPr="00193BC1" w14:paraId="719C6433"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21ADFF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C0FB4EB" w14:textId="77777777" w:rsidR="005E4516" w:rsidRPr="00193BC1" w:rsidRDefault="005E4516" w:rsidP="00487EAF">
            <w:pPr>
              <w:pStyle w:val="TableText0"/>
              <w:keepNext w:val="0"/>
              <w:rPr>
                <w:b/>
              </w:rPr>
            </w:pPr>
            <w:r w:rsidRPr="00193BC1">
              <w:rPr>
                <w:rFonts w:cs="Arial"/>
              </w:rPr>
              <w:t>Patient must be receiving treatment with this drug for this condition at the time of application.</w:t>
            </w:r>
          </w:p>
        </w:tc>
      </w:tr>
      <w:tr w:rsidR="006F2ADF" w:rsidRPr="00193BC1" w14:paraId="00A77780"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7BCE7A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450F8D2B" w14:textId="77777777" w:rsidR="005E4516" w:rsidRPr="00193BC1" w:rsidRDefault="005E4516" w:rsidP="00487EAF">
            <w:pPr>
              <w:pStyle w:val="TableText0"/>
              <w:keepNext w:val="0"/>
              <w:rPr>
                <w:b/>
              </w:rPr>
            </w:pPr>
            <w:r w:rsidRPr="00193BC1">
              <w:rPr>
                <w:b/>
              </w:rPr>
              <w:t>AND</w:t>
            </w:r>
          </w:p>
        </w:tc>
      </w:tr>
      <w:tr w:rsidR="006F2ADF" w:rsidRPr="00193BC1" w14:paraId="339EDA54"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3A02AEA"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29B1C71" w14:textId="77777777" w:rsidR="005E4516" w:rsidRPr="00193BC1" w:rsidRDefault="005E4516" w:rsidP="00487EAF">
            <w:pPr>
              <w:pStyle w:val="TableText0"/>
              <w:keepNext w:val="0"/>
              <w:rPr>
                <w:b/>
              </w:rPr>
            </w:pPr>
            <w:r w:rsidRPr="00193BC1">
              <w:rPr>
                <w:b/>
              </w:rPr>
              <w:t>Clinical criteria:</w:t>
            </w:r>
          </w:p>
        </w:tc>
      </w:tr>
      <w:tr w:rsidR="006F2ADF" w:rsidRPr="00193BC1" w14:paraId="3E591449"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02A9E58"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E0985A7" w14:textId="77777777" w:rsidR="005E4516" w:rsidRPr="00193BC1" w:rsidRDefault="005E4516" w:rsidP="00487EAF">
            <w:pPr>
              <w:pStyle w:val="TableText0"/>
              <w:keepNext w:val="0"/>
              <w:rPr>
                <w:b/>
              </w:rPr>
            </w:pPr>
            <w:r w:rsidRPr="00193BC1">
              <w:t>Patient must be under the care of the same physician for at least 6 months; or</w:t>
            </w:r>
          </w:p>
        </w:tc>
      </w:tr>
      <w:tr w:rsidR="006F2ADF" w:rsidRPr="00193BC1" w14:paraId="1C7C9423"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A6C0C5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1E221497" w14:textId="77777777" w:rsidR="005E4516" w:rsidRPr="00193BC1" w:rsidRDefault="005E4516" w:rsidP="00487EAF">
            <w:pPr>
              <w:pStyle w:val="TableText0"/>
              <w:keepNext w:val="0"/>
              <w:rPr>
                <w:rFonts w:cs="Arial"/>
              </w:rPr>
            </w:pPr>
            <w:r w:rsidRPr="00193BC1">
              <w:t>Patient must have been diagnosed with severe asthma by a multidisciplinary severe asthma clinic team.</w:t>
            </w:r>
          </w:p>
        </w:tc>
      </w:tr>
      <w:tr w:rsidR="006F2ADF" w:rsidRPr="00193BC1" w14:paraId="0CFC11FC"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24BCDCA"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6122BEBC" w14:textId="77777777" w:rsidR="005E4516" w:rsidRPr="00193BC1" w:rsidRDefault="005E4516" w:rsidP="00487EAF">
            <w:pPr>
              <w:pStyle w:val="TableText0"/>
              <w:keepNext w:val="0"/>
              <w:rPr>
                <w:b/>
              </w:rPr>
            </w:pPr>
            <w:r w:rsidRPr="00193BC1">
              <w:rPr>
                <w:b/>
              </w:rPr>
              <w:t>AND</w:t>
            </w:r>
          </w:p>
        </w:tc>
      </w:tr>
      <w:tr w:rsidR="006F2ADF" w:rsidRPr="00193BC1" w14:paraId="26AE401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D4AA24D"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73412ED3" w14:textId="77777777" w:rsidR="005E4516" w:rsidRPr="00193BC1" w:rsidRDefault="005E4516" w:rsidP="00487EAF">
            <w:pPr>
              <w:pStyle w:val="TableText0"/>
              <w:keepNext w:val="0"/>
              <w:rPr>
                <w:b/>
              </w:rPr>
            </w:pPr>
            <w:r w:rsidRPr="00193BC1">
              <w:rPr>
                <w:b/>
              </w:rPr>
              <w:t>Clinical criteria:</w:t>
            </w:r>
          </w:p>
        </w:tc>
      </w:tr>
      <w:tr w:rsidR="006F2ADF" w:rsidRPr="00193BC1" w14:paraId="495B077E"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5DDEB35"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2D9507DA" w14:textId="77777777" w:rsidR="005E4516" w:rsidRPr="00193BC1" w:rsidRDefault="005E4516" w:rsidP="00487EAF">
            <w:pPr>
              <w:pStyle w:val="TableText0"/>
              <w:keepNext w:val="0"/>
              <w:rPr>
                <w:b/>
              </w:rPr>
            </w:pPr>
            <w:r w:rsidRPr="00193BC1">
              <w:rPr>
                <w:rFonts w:cs="Arial"/>
              </w:rPr>
              <w:t>Patient must have a diagnosis of asthma confirmed and documented by a respiratory physician, clinical immunologist, allergist or general physician experienced in the management of patients with severe asthma, defined by the following standard clinical features: (i) forced expiratory volume (FEV1) reversibility greater than or equal to 12% and greater than or equal to 200 mL at baseline within 30 minutes after administration of salbutamol (200 to 400 micrograms), or (ii) airway hyperresponsiveness defined as a greater than 20% decline in FEV1 during a direct bronchial provocation test or greater than 15% decline during an indirect bronchial provocation test, or (iii) peak expiratory flow (PEF) variability of greater than 15% between the two highest and two lowest peak expiratory flow rates during 14 days; or</w:t>
            </w:r>
          </w:p>
        </w:tc>
      </w:tr>
      <w:tr w:rsidR="006F2ADF" w:rsidRPr="00193BC1" w14:paraId="14EADCA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443B49AF" w14:textId="77777777" w:rsidR="005E4516" w:rsidRPr="00193BC1" w:rsidRDefault="005E4516" w:rsidP="00487EAF">
            <w:pPr>
              <w:pStyle w:val="TableText0"/>
              <w:keepNext w:val="0"/>
              <w:jc w:val="center"/>
              <w:rPr>
                <w:b/>
              </w:rPr>
            </w:pPr>
          </w:p>
        </w:tc>
        <w:tc>
          <w:tcPr>
            <w:tcW w:w="4138" w:type="pct"/>
            <w:tcBorders>
              <w:top w:val="single" w:sz="4" w:space="0" w:color="auto"/>
              <w:left w:val="single" w:sz="4" w:space="0" w:color="auto"/>
              <w:bottom w:val="single" w:sz="4" w:space="0" w:color="auto"/>
              <w:right w:val="single" w:sz="4" w:space="0" w:color="auto"/>
            </w:tcBorders>
          </w:tcPr>
          <w:p w14:paraId="3186A168" w14:textId="77777777" w:rsidR="005E4516" w:rsidRPr="00193BC1" w:rsidRDefault="005E4516" w:rsidP="00487EAF">
            <w:pPr>
              <w:pStyle w:val="TableText0"/>
              <w:keepNext w:val="0"/>
              <w:rPr>
                <w:rFonts w:cs="Arial"/>
              </w:rPr>
            </w:pPr>
            <w:r w:rsidRPr="00193BC1">
              <w:rPr>
                <w:rFonts w:cs="Arial"/>
              </w:rPr>
              <w:t>Patient must have a diagnosis of asthma from at least two physicians experienced in the management of patients with severe asthma.</w:t>
            </w:r>
          </w:p>
        </w:tc>
      </w:tr>
      <w:tr w:rsidR="006F2ADF" w:rsidRPr="00193BC1" w14:paraId="042E5785"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1201CFC" w14:textId="77777777" w:rsidR="005E4516" w:rsidRPr="00193BC1" w:rsidRDefault="005E4516" w:rsidP="00487EAF">
            <w:pPr>
              <w:pStyle w:val="TableText0"/>
              <w:keepNext w:val="0"/>
              <w:rPr>
                <w:b/>
              </w:rPr>
            </w:pPr>
          </w:p>
        </w:tc>
        <w:tc>
          <w:tcPr>
            <w:tcW w:w="4138" w:type="pct"/>
            <w:tcBorders>
              <w:top w:val="single" w:sz="4" w:space="0" w:color="auto"/>
              <w:left w:val="single" w:sz="4" w:space="0" w:color="auto"/>
              <w:bottom w:val="single" w:sz="4" w:space="0" w:color="auto"/>
              <w:right w:val="single" w:sz="4" w:space="0" w:color="auto"/>
            </w:tcBorders>
          </w:tcPr>
          <w:p w14:paraId="18049E01" w14:textId="77777777" w:rsidR="005E4516" w:rsidRPr="00193BC1" w:rsidRDefault="005E4516" w:rsidP="00487EAF">
            <w:pPr>
              <w:pStyle w:val="TableText0"/>
              <w:keepNext w:val="0"/>
              <w:rPr>
                <w:rFonts w:cs="Arial"/>
              </w:rPr>
            </w:pPr>
            <w:r w:rsidRPr="00193BC1">
              <w:rPr>
                <w:b/>
              </w:rPr>
              <w:t>AND</w:t>
            </w:r>
          </w:p>
        </w:tc>
      </w:tr>
      <w:tr w:rsidR="006F2ADF" w:rsidRPr="00193BC1" w14:paraId="515C72E0" w14:textId="77777777" w:rsidTr="00A80C41">
        <w:trPr>
          <w:cantSplit/>
        </w:trPr>
        <w:tc>
          <w:tcPr>
            <w:tcW w:w="862" w:type="pct"/>
            <w:tcBorders>
              <w:top w:val="single" w:sz="4" w:space="0" w:color="auto"/>
              <w:left w:val="single" w:sz="4" w:space="0" w:color="auto"/>
              <w:bottom w:val="single" w:sz="4" w:space="0" w:color="auto"/>
              <w:right w:val="single" w:sz="4" w:space="0" w:color="auto"/>
            </w:tcBorders>
          </w:tcPr>
          <w:p w14:paraId="00E043E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69A1D22" w14:textId="77777777" w:rsidR="005E4516" w:rsidRPr="00193BC1" w:rsidRDefault="005E4516" w:rsidP="00487EAF">
            <w:pPr>
              <w:pStyle w:val="TableText0"/>
              <w:keepNext w:val="0"/>
              <w:rPr>
                <w:rFonts w:cs="Arial"/>
              </w:rPr>
            </w:pPr>
            <w:r w:rsidRPr="00193BC1">
              <w:rPr>
                <w:b/>
              </w:rPr>
              <w:t>Clinical criteria:</w:t>
            </w:r>
          </w:p>
        </w:tc>
      </w:tr>
      <w:tr w:rsidR="006F2ADF" w:rsidRPr="00193BC1" w14:paraId="7C9B6E51" w14:textId="77777777" w:rsidTr="00A80C41">
        <w:trPr>
          <w:cantSplit/>
        </w:trPr>
        <w:tc>
          <w:tcPr>
            <w:tcW w:w="862" w:type="pct"/>
            <w:tcBorders>
              <w:top w:val="single" w:sz="4" w:space="0" w:color="auto"/>
              <w:left w:val="single" w:sz="4" w:space="0" w:color="auto"/>
              <w:bottom w:val="single" w:sz="4" w:space="0" w:color="auto"/>
              <w:right w:val="single" w:sz="4" w:space="0" w:color="auto"/>
            </w:tcBorders>
          </w:tcPr>
          <w:p w14:paraId="62AFD24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0E2355B3" w14:textId="77777777" w:rsidR="005E4516" w:rsidRPr="00193BC1" w:rsidRDefault="005E4516" w:rsidP="00A80C41">
            <w:pPr>
              <w:pStyle w:val="TableText0"/>
              <w:keepNext w:val="0"/>
              <w:rPr>
                <w:rFonts w:cs="Arial"/>
              </w:rPr>
            </w:pPr>
            <w:r w:rsidRPr="00193BC1">
              <w:rPr>
                <w:rFonts w:cs="Arial"/>
              </w:rPr>
              <w:t>Patient must have had a documented blood eosinophil count greater than or equal to 150 cells per microlitre while receiving treatment with oral corticosteroids prior to initiating non-PBS subsidised treatment of this drug for severe asthma; or</w:t>
            </w:r>
          </w:p>
        </w:tc>
      </w:tr>
      <w:tr w:rsidR="006F2ADF" w:rsidRPr="00193BC1" w14:paraId="35896B85" w14:textId="77777777" w:rsidTr="00A80C41">
        <w:trPr>
          <w:cantSplit/>
          <w:trHeight w:val="1012"/>
        </w:trPr>
        <w:tc>
          <w:tcPr>
            <w:tcW w:w="862" w:type="pct"/>
            <w:tcBorders>
              <w:top w:val="single" w:sz="4" w:space="0" w:color="auto"/>
              <w:left w:val="single" w:sz="4" w:space="0" w:color="auto"/>
              <w:bottom w:val="single" w:sz="4" w:space="0" w:color="auto"/>
              <w:right w:val="single" w:sz="4" w:space="0" w:color="auto"/>
            </w:tcBorders>
          </w:tcPr>
          <w:p w14:paraId="71E425C4"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889B248" w14:textId="77777777" w:rsidR="005E4516" w:rsidRPr="00193BC1" w:rsidRDefault="005E4516" w:rsidP="00487EAF">
            <w:pPr>
              <w:pStyle w:val="TableText0"/>
              <w:keepNext w:val="0"/>
              <w:rPr>
                <w:rFonts w:cs="Arial"/>
              </w:rPr>
            </w:pPr>
            <w:r w:rsidRPr="00193BC1">
              <w:rPr>
                <w:rFonts w:cs="Arial"/>
              </w:rPr>
              <w:t>Pati</w:t>
            </w:r>
            <w:r w:rsidR="00A80C41" w:rsidRPr="00193BC1">
              <w:rPr>
                <w:rFonts w:cs="Arial"/>
              </w:rPr>
              <w:t xml:space="preserve">ent must have had a documented </w:t>
            </w:r>
            <w:r w:rsidRPr="00193BC1">
              <w:rPr>
                <w:rFonts w:cs="Arial"/>
              </w:rPr>
              <w:t>total serum human immunoglobulin E greater than or equal to 30 IU/mL measured no more than 12 months prior to initiating non-PBS-subsidised treatment with a biological medicine for severe asthma, with past or current evidence of atopy, documented by skin prick testing or an in vitro measure of specific IgE no more than 12 months prior to initiating PBS-subsidised treatment wit</w:t>
            </w:r>
            <w:r w:rsidR="000F0AF0" w:rsidRPr="00193BC1">
              <w:rPr>
                <w:rFonts w:cs="Arial"/>
              </w:rPr>
              <w:t>h this drug</w:t>
            </w:r>
            <w:r w:rsidR="000D6C18" w:rsidRPr="00193BC1">
              <w:rPr>
                <w:rFonts w:cs="Arial"/>
              </w:rPr>
              <w:t xml:space="preserve"> for severe asthma.</w:t>
            </w:r>
          </w:p>
        </w:tc>
      </w:tr>
      <w:tr w:rsidR="000D6C18" w:rsidRPr="00193BC1" w14:paraId="776B698B"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3EE8E5A" w14:textId="77777777" w:rsidR="000D6C18" w:rsidRPr="00193BC1" w:rsidRDefault="000D6C18"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1D80603" w14:textId="77777777" w:rsidR="000D6C18" w:rsidRPr="00193BC1" w:rsidRDefault="000D6C18" w:rsidP="00487EAF">
            <w:pPr>
              <w:pStyle w:val="TableText0"/>
              <w:keepNext w:val="0"/>
              <w:rPr>
                <w:b/>
              </w:rPr>
            </w:pPr>
            <w:r w:rsidRPr="00193BC1">
              <w:rPr>
                <w:rFonts w:cs="Arial"/>
                <w:b/>
              </w:rPr>
              <w:t>AND</w:t>
            </w:r>
          </w:p>
        </w:tc>
      </w:tr>
      <w:tr w:rsidR="006F2ADF" w:rsidRPr="00193BC1" w14:paraId="2057A306"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6EBCEC22"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0BBD141" w14:textId="77777777" w:rsidR="005E4516" w:rsidRPr="00193BC1" w:rsidRDefault="005E4516" w:rsidP="00487EAF">
            <w:pPr>
              <w:pStyle w:val="TableText0"/>
              <w:keepNext w:val="0"/>
              <w:rPr>
                <w:b/>
              </w:rPr>
            </w:pPr>
            <w:r w:rsidRPr="00193BC1">
              <w:rPr>
                <w:b/>
              </w:rPr>
              <w:t>Clinical criteria:</w:t>
            </w:r>
          </w:p>
        </w:tc>
      </w:tr>
      <w:tr w:rsidR="006F2ADF" w:rsidRPr="00193BC1" w14:paraId="34994498"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D15F30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E19F358" w14:textId="77777777" w:rsidR="005E4516" w:rsidRPr="00193BC1" w:rsidRDefault="005E4516" w:rsidP="00487EAF">
            <w:pPr>
              <w:pStyle w:val="TableText0"/>
              <w:keepNext w:val="0"/>
              <w:rPr>
                <w:b/>
              </w:rPr>
            </w:pPr>
            <w:r w:rsidRPr="00193BC1">
              <w:t>Patient must have received regular maintenance oral corticosteroids (OCS) in the last 6 months with a stable daily OCS dose of 5 to 35 mg/day of prednisolone or equivalent over the 4 weeks prior to commencement of a biological medicine treatment for severe asthma.</w:t>
            </w:r>
          </w:p>
        </w:tc>
      </w:tr>
      <w:tr w:rsidR="006F2ADF" w:rsidRPr="00193BC1" w14:paraId="595376BE"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6E95BF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1796638" w14:textId="77777777" w:rsidR="005E4516" w:rsidRPr="00193BC1" w:rsidRDefault="005E4516" w:rsidP="00487EAF">
            <w:pPr>
              <w:pStyle w:val="TableText0"/>
              <w:keepNext w:val="0"/>
              <w:rPr>
                <w:rFonts w:cs="Arial"/>
              </w:rPr>
            </w:pPr>
            <w:r w:rsidRPr="00193BC1">
              <w:rPr>
                <w:b/>
              </w:rPr>
              <w:t>AND</w:t>
            </w:r>
          </w:p>
        </w:tc>
      </w:tr>
      <w:tr w:rsidR="006F2ADF" w:rsidRPr="00193BC1" w14:paraId="66A7CDBA" w14:textId="77777777" w:rsidTr="00A80C41">
        <w:trPr>
          <w:cantSplit/>
        </w:trPr>
        <w:tc>
          <w:tcPr>
            <w:tcW w:w="862" w:type="pct"/>
            <w:tcBorders>
              <w:top w:val="single" w:sz="4" w:space="0" w:color="auto"/>
              <w:left w:val="single" w:sz="4" w:space="0" w:color="auto"/>
              <w:bottom w:val="single" w:sz="4" w:space="0" w:color="auto"/>
              <w:right w:val="single" w:sz="4" w:space="0" w:color="auto"/>
            </w:tcBorders>
          </w:tcPr>
          <w:p w14:paraId="71FF2F5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65C8E28B" w14:textId="77777777" w:rsidR="005E4516" w:rsidRPr="00193BC1" w:rsidRDefault="005E4516" w:rsidP="00487EAF">
            <w:pPr>
              <w:pStyle w:val="TableText0"/>
              <w:keepNext w:val="0"/>
              <w:rPr>
                <w:rFonts w:cs="Arial"/>
              </w:rPr>
            </w:pPr>
            <w:r w:rsidRPr="00193BC1">
              <w:rPr>
                <w:b/>
              </w:rPr>
              <w:t>Clinical criteria:</w:t>
            </w:r>
          </w:p>
        </w:tc>
      </w:tr>
      <w:tr w:rsidR="006F2ADF" w:rsidRPr="00193BC1" w14:paraId="004FE3E2" w14:textId="77777777" w:rsidTr="00A80C41">
        <w:trPr>
          <w:cantSplit/>
        </w:trPr>
        <w:tc>
          <w:tcPr>
            <w:tcW w:w="862" w:type="pct"/>
            <w:tcBorders>
              <w:top w:val="single" w:sz="4" w:space="0" w:color="auto"/>
              <w:left w:val="single" w:sz="4" w:space="0" w:color="auto"/>
              <w:bottom w:val="single" w:sz="4" w:space="0" w:color="auto"/>
              <w:right w:val="single" w:sz="4" w:space="0" w:color="auto"/>
            </w:tcBorders>
          </w:tcPr>
          <w:p w14:paraId="4E8C539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8701E86" w14:textId="77777777" w:rsidR="005E4516" w:rsidRPr="00193BC1" w:rsidRDefault="005E4516" w:rsidP="00487EAF">
            <w:pPr>
              <w:pStyle w:val="TableText0"/>
              <w:keepNext w:val="0"/>
              <w:rPr>
                <w:rFonts w:cs="Arial"/>
              </w:rPr>
            </w:pPr>
            <w:r w:rsidRPr="00193BC1">
              <w:rPr>
                <w:rFonts w:cs="Arial"/>
              </w:rPr>
              <w:t>Patient must have a documented a duration of asthma of at least 1 year prior to commencement of this biological medicine.</w:t>
            </w:r>
          </w:p>
        </w:tc>
      </w:tr>
      <w:tr w:rsidR="006F2ADF" w:rsidRPr="00193BC1" w14:paraId="3F7F9222" w14:textId="77777777" w:rsidTr="00A80C41">
        <w:trPr>
          <w:cantSplit/>
        </w:trPr>
        <w:tc>
          <w:tcPr>
            <w:tcW w:w="862" w:type="pct"/>
            <w:tcBorders>
              <w:top w:val="single" w:sz="4" w:space="0" w:color="auto"/>
              <w:left w:val="single" w:sz="4" w:space="0" w:color="auto"/>
              <w:bottom w:val="single" w:sz="4" w:space="0" w:color="auto"/>
              <w:right w:val="single" w:sz="4" w:space="0" w:color="auto"/>
            </w:tcBorders>
          </w:tcPr>
          <w:p w14:paraId="13E6097B"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7B0665E2" w14:textId="77777777" w:rsidR="005E4516" w:rsidRPr="00193BC1" w:rsidRDefault="005E4516" w:rsidP="00487EAF">
            <w:pPr>
              <w:pStyle w:val="TableText0"/>
              <w:keepNext w:val="0"/>
              <w:rPr>
                <w:rFonts w:cs="Arial"/>
                <w:b/>
              </w:rPr>
            </w:pPr>
            <w:r w:rsidRPr="00193BC1">
              <w:rPr>
                <w:rFonts w:cs="Arial"/>
                <w:b/>
              </w:rPr>
              <w:t>AND</w:t>
            </w:r>
          </w:p>
        </w:tc>
      </w:tr>
      <w:tr w:rsidR="006F2ADF" w:rsidRPr="00193BC1" w14:paraId="78FC663F"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C15F826"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1DD7C76" w14:textId="77777777" w:rsidR="005E4516" w:rsidRPr="00193BC1" w:rsidRDefault="005E4516" w:rsidP="00487EAF">
            <w:pPr>
              <w:pStyle w:val="TableText0"/>
              <w:keepNext w:val="0"/>
              <w:rPr>
                <w:rFonts w:cs="Arial"/>
              </w:rPr>
            </w:pPr>
            <w:r w:rsidRPr="00193BC1">
              <w:rPr>
                <w:b/>
              </w:rPr>
              <w:t>Clinical criteria:</w:t>
            </w:r>
          </w:p>
        </w:tc>
      </w:tr>
      <w:tr w:rsidR="006F2ADF" w:rsidRPr="00193BC1" w14:paraId="17AC0D2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05EB859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7717BED" w14:textId="77777777" w:rsidR="005E4516" w:rsidRPr="00193BC1" w:rsidRDefault="005E4516" w:rsidP="00487EAF">
            <w:pPr>
              <w:pStyle w:val="TableText0"/>
              <w:keepNext w:val="0"/>
              <w:rPr>
                <w:rFonts w:cs="Arial"/>
              </w:rPr>
            </w:pPr>
            <w:r w:rsidRPr="00193BC1">
              <w:rPr>
                <w:rFonts w:cs="Arial"/>
              </w:rPr>
              <w:t>Patient must have documented a failure to achieve adequate control with optimised asthma therapy, despite formal assessment of and adherence to correct inhaler technique, prior to initiating non-PBS subsidised treatment with this drug for this condition</w:t>
            </w:r>
            <w:r w:rsidR="00A80C41" w:rsidRPr="00193BC1">
              <w:rPr>
                <w:rFonts w:cs="Arial"/>
              </w:rPr>
              <w:t>.</w:t>
            </w:r>
          </w:p>
        </w:tc>
      </w:tr>
      <w:tr w:rsidR="006F2ADF" w:rsidRPr="00193BC1" w14:paraId="2A59ECE6"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3E81C479"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135B22FD" w14:textId="77777777" w:rsidR="005E4516" w:rsidRPr="00193BC1" w:rsidRDefault="005E4516" w:rsidP="00487EAF">
            <w:pPr>
              <w:pStyle w:val="TableText0"/>
              <w:keepNext w:val="0"/>
              <w:rPr>
                <w:rFonts w:cs="Arial"/>
              </w:rPr>
            </w:pPr>
            <w:r w:rsidRPr="00193BC1">
              <w:rPr>
                <w:rFonts w:cs="Arial"/>
                <w:b/>
              </w:rPr>
              <w:t>AND</w:t>
            </w:r>
          </w:p>
        </w:tc>
      </w:tr>
      <w:tr w:rsidR="006F2ADF" w:rsidRPr="00193BC1" w14:paraId="30118C26"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56E1F4B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576F7EA" w14:textId="77777777" w:rsidR="005E4516" w:rsidRPr="00193BC1" w:rsidRDefault="005E4516" w:rsidP="00487EAF">
            <w:pPr>
              <w:pStyle w:val="TableText0"/>
              <w:keepNext w:val="0"/>
              <w:rPr>
                <w:rFonts w:cs="Arial"/>
              </w:rPr>
            </w:pPr>
            <w:r w:rsidRPr="00193BC1">
              <w:rPr>
                <w:b/>
              </w:rPr>
              <w:t>Clinical criteria:</w:t>
            </w:r>
          </w:p>
        </w:tc>
      </w:tr>
      <w:tr w:rsidR="006F2ADF" w:rsidRPr="00193BC1" w14:paraId="02B28B4B"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2C3A53D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4B018C1" w14:textId="77777777" w:rsidR="005E4516" w:rsidRPr="00193BC1" w:rsidRDefault="005E4516" w:rsidP="00487EAF">
            <w:pPr>
              <w:pStyle w:val="TableText0"/>
              <w:keepNext w:val="0"/>
              <w:rPr>
                <w:rFonts w:cs="Arial"/>
              </w:rPr>
            </w:pPr>
            <w:r w:rsidRPr="00193BC1">
              <w:rPr>
                <w:rFonts w:cs="Arial"/>
              </w:rPr>
              <w:t>The treatment must not be used in combination with and within 4 weeks of another PBS-subsidised biological medicine prescribed for severe asthma.</w:t>
            </w:r>
          </w:p>
        </w:tc>
      </w:tr>
      <w:tr w:rsidR="006F2ADF" w:rsidRPr="00193BC1" w14:paraId="5C8286E1"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696744C"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4F835FF" w14:textId="77777777" w:rsidR="005E4516" w:rsidRPr="00193BC1" w:rsidRDefault="005E4516" w:rsidP="00487EAF">
            <w:pPr>
              <w:pStyle w:val="TableText0"/>
              <w:keepNext w:val="0"/>
              <w:rPr>
                <w:rFonts w:cs="Arial"/>
              </w:rPr>
            </w:pPr>
            <w:r w:rsidRPr="00193BC1">
              <w:rPr>
                <w:b/>
              </w:rPr>
              <w:t>Population criteria:</w:t>
            </w:r>
          </w:p>
          <w:p w14:paraId="613C2C76" w14:textId="77777777" w:rsidR="005E4516" w:rsidRPr="00193BC1" w:rsidRDefault="005E4516" w:rsidP="00487EAF">
            <w:pPr>
              <w:pStyle w:val="TableText0"/>
              <w:keepNext w:val="0"/>
              <w:rPr>
                <w:rFonts w:cs="Arial"/>
              </w:rPr>
            </w:pPr>
            <w:r w:rsidRPr="00193BC1">
              <w:rPr>
                <w:rFonts w:cs="Arial"/>
              </w:rPr>
              <w:t>Patients must be aged 12 years or older.</w:t>
            </w:r>
          </w:p>
        </w:tc>
      </w:tr>
      <w:tr w:rsidR="006F2ADF" w:rsidRPr="00193BC1" w14:paraId="0C8BFA66"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167D41AE"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E4D5ED1" w14:textId="77777777" w:rsidR="005E4516" w:rsidRPr="00193BC1" w:rsidRDefault="005E4516" w:rsidP="00487EAF">
            <w:pPr>
              <w:pStyle w:val="TableText0"/>
              <w:keepNext w:val="0"/>
              <w:rPr>
                <w:b/>
              </w:rPr>
            </w:pPr>
            <w:r w:rsidRPr="00193BC1">
              <w:rPr>
                <w:b/>
              </w:rPr>
              <w:t>Prescribing instructions:</w:t>
            </w:r>
          </w:p>
          <w:p w14:paraId="593B5104" w14:textId="77777777" w:rsidR="005E4516" w:rsidRPr="00193BC1" w:rsidRDefault="005E4516" w:rsidP="00487EAF">
            <w:pPr>
              <w:pStyle w:val="TableText0"/>
              <w:keepNext w:val="0"/>
            </w:pPr>
            <w:r w:rsidRPr="00193BC1">
              <w:t>Optimised asthma therapy includes:</w:t>
            </w:r>
          </w:p>
          <w:p w14:paraId="539FDF2B" w14:textId="77777777" w:rsidR="005E4516" w:rsidRPr="00193BC1" w:rsidRDefault="005E4516" w:rsidP="00487EAF">
            <w:pPr>
              <w:pStyle w:val="TableText0"/>
              <w:keepNext w:val="0"/>
            </w:pPr>
            <w:r w:rsidRPr="00193BC1">
              <w:t>(i) Adherence to maximal inhaled therapy, including high dose inhaled corticosteroid (ICS) plus long-acting beta-2 agonist (LABA) therapy for at least 12 months, unless contraindicated or not tolerated;</w:t>
            </w:r>
          </w:p>
          <w:p w14:paraId="374150DC" w14:textId="77777777" w:rsidR="005E4516" w:rsidRPr="00193BC1" w:rsidRDefault="005E4516" w:rsidP="00487EAF">
            <w:pPr>
              <w:pStyle w:val="TableText0"/>
              <w:keepNext w:val="0"/>
            </w:pPr>
            <w:r w:rsidRPr="00193BC1">
              <w:t>AND</w:t>
            </w:r>
          </w:p>
          <w:p w14:paraId="5FC7D266" w14:textId="77777777" w:rsidR="005E4516" w:rsidRPr="00193BC1" w:rsidRDefault="005E4516" w:rsidP="00487EAF">
            <w:pPr>
              <w:pStyle w:val="TableText0"/>
              <w:keepNext w:val="0"/>
            </w:pPr>
            <w:r w:rsidRPr="00193BC1">
              <w:t xml:space="preserve">(ii) treatment with oral corticosteroids as outlined in the clinical criteria. </w:t>
            </w:r>
          </w:p>
          <w:p w14:paraId="0FDF8207" w14:textId="77777777" w:rsidR="005E4516" w:rsidRPr="00193BC1" w:rsidRDefault="005E4516" w:rsidP="00487EAF">
            <w:pPr>
              <w:pStyle w:val="TableText0"/>
              <w:keepNext w:val="0"/>
              <w:rPr>
                <w:b/>
              </w:rPr>
            </w:pPr>
            <w:r w:rsidRPr="00193BC1">
              <w:t>If the requirement for treatment with optimised asthma therapy cannot be met because of contraindications according to the relevant TGA-approved Product Information and/or intolerances of a severity necessitating permanent treatment withdrawal, details of the contraindication and/or intolerance must be provided in the Authority application.</w:t>
            </w:r>
          </w:p>
        </w:tc>
      </w:tr>
      <w:tr w:rsidR="006F2ADF" w:rsidRPr="00193BC1" w14:paraId="575276AD"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111C2D7"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516C9D41" w14:textId="77777777" w:rsidR="005E4516" w:rsidRPr="00193BC1" w:rsidRDefault="005E4516" w:rsidP="00487EAF">
            <w:pPr>
              <w:pStyle w:val="TableText0"/>
              <w:keepNext w:val="0"/>
              <w:widowControl w:val="0"/>
              <w:rPr>
                <w:b/>
                <w:szCs w:val="20"/>
              </w:rPr>
            </w:pPr>
            <w:r w:rsidRPr="00193BC1">
              <w:rPr>
                <w:b/>
                <w:szCs w:val="20"/>
              </w:rPr>
              <w:t>Prescribing instructions</w:t>
            </w:r>
          </w:p>
          <w:p w14:paraId="4ED996DC"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 following initiation criteria indicate failure to achieve adequate control with optimised asthma therapy and must be declared to have been met at the time of the application:</w:t>
            </w:r>
          </w:p>
          <w:p w14:paraId="0C7D645F"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an Asthma Control Questionnaire (ACQ-5) score of at least 2.0 prior to commencement with a biological medicine for severe asthma; AND</w:t>
            </w:r>
          </w:p>
          <w:p w14:paraId="418039F3"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(b) while receiving optimised asthma therapy in the 12 months prior to commencing treatment with a biological medicine for severe asthma, experienced at least 1 admission to hospital for a severe asthma exacerbation, OR 1 severe asthma exacerbation, requiring documented use of systemic corticosteroids (oral corticosteroids initiated or increased for at least 3 days, or parenteral corticosteroids) prescribed/supervised by a physician.</w:t>
            </w:r>
          </w:p>
          <w:p w14:paraId="6F3BE3E9"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An Asthma Control Questionnaire (5 item version) assessment and/or an assessment of a reduction in the patient's maintenance oral corticosteroid dose to determine whether the patient has achieved or sustained an adequate response to non-PBS-subsidised treatment, must be conducted immediately (no later than 4 weeks after the last dose of non-PBS-subsidised treatment) prior to this application if the treatment duration has been 28 weeks or greater.</w:t>
            </w:r>
          </w:p>
          <w:p w14:paraId="67A34A2B"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If a patient fails to demonstrate a response to treatment with this drug they will not be eligible to receive further PBS-subsidised treatment with this drug for this condition within the same treatment cycle.</w:t>
            </w:r>
          </w:p>
          <w:p w14:paraId="7E613C71"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treatment break in PBS-subsidised biological medicine therapy of at least 12 months must be observed in a patient who has either failed to achieve or sustain a response to treatment with 4 biological medicines within the same treatment cycle.</w:t>
            </w:r>
          </w:p>
          <w:p w14:paraId="7358BFAC"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 length of the break in therapy is measured from the date the most recent treatment with a PBS-subsidised biological medicine was administered until the date of the first application for recommencement of treatment with a biological medicine under the new treatment cycle.</w:t>
            </w:r>
          </w:p>
          <w:p w14:paraId="2EBE16CE"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There is no limit to the number of treatment cycles that a patient may undertake in their lifetime.</w:t>
            </w:r>
          </w:p>
          <w:p w14:paraId="4D7DB746"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multidisciplinary severe asthma clinic team comprises of:</w:t>
            </w:r>
          </w:p>
          <w:p w14:paraId="6AECDB7C" w14:textId="77777777" w:rsidR="005E4516" w:rsidRPr="00193BC1" w:rsidRDefault="005E4516" w:rsidP="00F94D70">
            <w:pPr>
              <w:numPr>
                <w:ilvl w:val="0"/>
                <w:numId w:val="27"/>
              </w:numPr>
              <w:jc w:val="left"/>
              <w:rPr>
                <w:rFonts w:ascii="Arial Narrow" w:hAnsi="Arial Narrow"/>
                <w:sz w:val="20"/>
                <w:szCs w:val="20"/>
              </w:rPr>
            </w:pPr>
            <w:r w:rsidRPr="00193BC1">
              <w:rPr>
                <w:rFonts w:ascii="Arial Narrow" w:hAnsi="Arial Narrow"/>
                <w:sz w:val="20"/>
                <w:szCs w:val="20"/>
              </w:rPr>
              <w:t>A respiratory physician; and</w:t>
            </w:r>
          </w:p>
          <w:p w14:paraId="1BAD02D5" w14:textId="77777777" w:rsidR="005E4516" w:rsidRPr="00193BC1" w:rsidRDefault="005E4516" w:rsidP="00F94D70">
            <w:pPr>
              <w:numPr>
                <w:ilvl w:val="0"/>
                <w:numId w:val="27"/>
              </w:numPr>
              <w:jc w:val="left"/>
              <w:rPr>
                <w:b/>
                <w:szCs w:val="20"/>
              </w:rPr>
            </w:pPr>
            <w:r w:rsidRPr="00193BC1">
              <w:rPr>
                <w:rFonts w:ascii="Arial Narrow" w:hAnsi="Arial Narrow"/>
                <w:sz w:val="20"/>
                <w:szCs w:val="20"/>
              </w:rPr>
              <w:t xml:space="preserve">A pharmacist, nurse or asthma educator. </w:t>
            </w:r>
          </w:p>
        </w:tc>
      </w:tr>
      <w:tr w:rsidR="006F2ADF" w:rsidRPr="00193BC1" w14:paraId="21B68FDA"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119FA7C3"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4F3A04F" w14:textId="77777777" w:rsidR="005E4516" w:rsidRPr="00193BC1" w:rsidRDefault="005E4516" w:rsidP="00487EAF">
            <w:pPr>
              <w:pStyle w:val="TableText0"/>
              <w:keepNext w:val="0"/>
              <w:rPr>
                <w:b/>
              </w:rPr>
            </w:pPr>
            <w:r w:rsidRPr="00193BC1">
              <w:rPr>
                <w:b/>
              </w:rPr>
              <w:t>Prescribing instructions:</w:t>
            </w:r>
          </w:p>
          <w:p w14:paraId="0159C095"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An adequate response to this biological medicine is defined as:</w:t>
            </w:r>
          </w:p>
          <w:p w14:paraId="6B3DCB59"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a reduction in the Asthma Control Questionnaire (ACQ-5) score of at least 0.5 from baseline,</w:t>
            </w:r>
          </w:p>
          <w:p w14:paraId="3CAF1084"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OR</w:t>
            </w:r>
          </w:p>
          <w:p w14:paraId="23196EA6" w14:textId="77777777" w:rsidR="005E4516" w:rsidRPr="00193BC1" w:rsidRDefault="005E4516" w:rsidP="00487EAF">
            <w:pPr>
              <w:pStyle w:val="TableText0"/>
              <w:keepNext w:val="0"/>
              <w:widowControl w:val="0"/>
              <w:rPr>
                <w:b/>
              </w:rPr>
            </w:pPr>
            <w:r w:rsidRPr="00193BC1">
              <w:rPr>
                <w:szCs w:val="20"/>
              </w:rPr>
              <w:t>(b</w:t>
            </w:r>
            <w:r w:rsidRPr="00193BC1">
              <w:rPr>
                <w:rFonts w:eastAsia="Times New Roman" w:cs="Times New Roman"/>
                <w:bCs w:val="0"/>
                <w:szCs w:val="20"/>
              </w:rPr>
              <w:t>) maintenance oral corticosteroid dose reduced by at least 25% from baseline, and no deterioration in ACQ-5 score from baseline or an increase in ACQ-5 score from baseline</w:t>
            </w:r>
            <w:r w:rsidRPr="00193BC1">
              <w:rPr>
                <w:szCs w:val="20"/>
              </w:rPr>
              <w:t xml:space="preserve"> less than or equal to 0.5.</w:t>
            </w:r>
          </w:p>
        </w:tc>
      </w:tr>
      <w:tr w:rsidR="006F2ADF" w:rsidRPr="00193BC1" w14:paraId="0DB4279D" w14:textId="77777777" w:rsidTr="00A80C41">
        <w:trPr>
          <w:cantSplit/>
        </w:trPr>
        <w:tc>
          <w:tcPr>
            <w:tcW w:w="862" w:type="pct"/>
            <w:tcBorders>
              <w:top w:val="single" w:sz="4" w:space="0" w:color="auto"/>
              <w:left w:val="single" w:sz="4" w:space="0" w:color="auto"/>
              <w:bottom w:val="single" w:sz="4" w:space="0" w:color="auto"/>
              <w:right w:val="single" w:sz="4" w:space="0" w:color="auto"/>
            </w:tcBorders>
            <w:vAlign w:val="center"/>
          </w:tcPr>
          <w:p w14:paraId="73B964DA"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2A5EE40D" w14:textId="77777777" w:rsidR="005E4516" w:rsidRPr="00193BC1" w:rsidRDefault="005E4516" w:rsidP="00487EAF">
            <w:pPr>
              <w:pStyle w:val="TableText0"/>
              <w:keepNext w:val="0"/>
              <w:rPr>
                <w:b/>
              </w:rPr>
            </w:pPr>
            <w:r w:rsidRPr="00193BC1">
              <w:rPr>
                <w:b/>
              </w:rPr>
              <w:t>Prescribing instructions:</w:t>
            </w:r>
          </w:p>
          <w:p w14:paraId="155F8D15" w14:textId="77777777" w:rsidR="005E4516" w:rsidRPr="00193BC1" w:rsidRDefault="005E4516" w:rsidP="00487EAF">
            <w:pPr>
              <w:pStyle w:val="TableText0"/>
              <w:keepNext w:val="0"/>
              <w:rPr>
                <w:b/>
              </w:rPr>
            </w:pPr>
            <w:r w:rsidRPr="00193BC1">
              <w:rPr>
                <w:rFonts w:eastAsia="Times New Roman" w:cs="Times New Roman"/>
                <w:bCs w:val="0"/>
                <w:szCs w:val="20"/>
              </w:rPr>
              <w:t>A Grandfathered patient may qualify for PBS-subsidised treatment under this restriction once only. For continuing PBS-subsidised treatment, a Grandfathered patient must qualify under the continuing treatment criteria.</w:t>
            </w:r>
          </w:p>
        </w:tc>
      </w:tr>
      <w:tr w:rsidR="006F2ADF" w:rsidRPr="00193BC1" w14:paraId="0BE3AC50" w14:textId="77777777" w:rsidTr="00F813B9">
        <w:tc>
          <w:tcPr>
            <w:tcW w:w="862" w:type="pct"/>
            <w:tcBorders>
              <w:top w:val="single" w:sz="4" w:space="0" w:color="auto"/>
              <w:left w:val="single" w:sz="4" w:space="0" w:color="auto"/>
              <w:bottom w:val="single" w:sz="4" w:space="0" w:color="auto"/>
              <w:right w:val="single" w:sz="4" w:space="0" w:color="auto"/>
            </w:tcBorders>
            <w:vAlign w:val="center"/>
          </w:tcPr>
          <w:p w14:paraId="5360625D" w14:textId="77777777" w:rsidR="005E4516" w:rsidRPr="00193BC1" w:rsidRDefault="005E4516" w:rsidP="00487EAF">
            <w:pPr>
              <w:pStyle w:val="TableText0"/>
              <w:keepNext w:val="0"/>
              <w:jc w:val="center"/>
            </w:pPr>
          </w:p>
        </w:tc>
        <w:tc>
          <w:tcPr>
            <w:tcW w:w="4138" w:type="pct"/>
            <w:tcBorders>
              <w:top w:val="single" w:sz="4" w:space="0" w:color="auto"/>
              <w:left w:val="single" w:sz="4" w:space="0" w:color="auto"/>
              <w:bottom w:val="single" w:sz="4" w:space="0" w:color="auto"/>
              <w:right w:val="single" w:sz="4" w:space="0" w:color="auto"/>
            </w:tcBorders>
          </w:tcPr>
          <w:p w14:paraId="33AA69B2" w14:textId="77777777" w:rsidR="005E4516" w:rsidRPr="00193BC1" w:rsidRDefault="005E4516" w:rsidP="00487EAF">
            <w:pPr>
              <w:pStyle w:val="TableText0"/>
              <w:keepNext w:val="0"/>
              <w:rPr>
                <w:b/>
              </w:rPr>
            </w:pPr>
            <w:r w:rsidRPr="00193BC1">
              <w:rPr>
                <w:b/>
              </w:rPr>
              <w:t>Prescribing instructions:</w:t>
            </w:r>
          </w:p>
          <w:p w14:paraId="2BA59853"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The authority application must be made in writing and must include:</w:t>
            </w:r>
          </w:p>
          <w:p w14:paraId="0AD166A5"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(a) a completed authority prescription form; and</w:t>
            </w:r>
          </w:p>
          <w:p w14:paraId="1E5B8E27"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 xml:space="preserve">(b) a completed </w:t>
            </w:r>
            <w:r w:rsidRPr="00193BC1">
              <w:rPr>
                <w:rFonts w:ascii="Arial Narrow" w:eastAsiaTheme="majorEastAsia" w:hAnsi="Arial Narrow" w:cs="Arial"/>
                <w:bCs/>
                <w:sz w:val="20"/>
                <w:lang w:val="en-AU"/>
              </w:rPr>
              <w:t xml:space="preserve">Uncontrolled severe eosinophilic or allergic </w:t>
            </w:r>
            <w:r w:rsidRPr="00193BC1">
              <w:rPr>
                <w:rFonts w:ascii="Arial Narrow" w:hAnsi="Arial Narrow"/>
                <w:sz w:val="20"/>
                <w:szCs w:val="20"/>
                <w:lang w:val="en-AU"/>
              </w:rPr>
              <w:t>asthma Grandfather PBS Authority Application - Supporting Information Form which seeks details of the following (if not already provided):</w:t>
            </w:r>
          </w:p>
          <w:p w14:paraId="39692936"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(i) prior optimised asthma drug therapy (date of commencement and duration of therapy); and</w:t>
            </w:r>
          </w:p>
          <w:p w14:paraId="125EDB8E" w14:textId="77777777" w:rsidR="005E4516" w:rsidRPr="00193BC1" w:rsidRDefault="005E4516" w:rsidP="00487EAF">
            <w:pPr>
              <w:pStyle w:val="NormalWeb"/>
              <w:spacing w:before="0" w:after="0"/>
              <w:rPr>
                <w:rFonts w:ascii="Arial Narrow" w:hAnsi="Arial Narrow"/>
                <w:sz w:val="20"/>
                <w:szCs w:val="20"/>
                <w:lang w:val="en-AU"/>
              </w:rPr>
            </w:pPr>
            <w:r w:rsidRPr="00193BC1">
              <w:rPr>
                <w:rFonts w:ascii="Arial Narrow" w:hAnsi="Arial Narrow"/>
                <w:sz w:val="20"/>
                <w:szCs w:val="20"/>
                <w:lang w:val="en-AU"/>
              </w:rPr>
              <w:t>(ii) a eosinophil pathology report (eosinophil counts and dates) prior to initiating non-PBS-subsidised treatment with this drug; and an eosinophil pathology report (eosinophil counts and dates) no more than 4 weeks old at the time of application; or</w:t>
            </w:r>
          </w:p>
          <w:p w14:paraId="5C198F61" w14:textId="77777777" w:rsidR="005E4516" w:rsidRPr="00193BC1" w:rsidRDefault="005E4516" w:rsidP="00487EAF">
            <w:pPr>
              <w:pStyle w:val="TableText0"/>
              <w:keepNext w:val="0"/>
              <w:rPr>
                <w:rFonts w:eastAsia="Times New Roman" w:cs="Times New Roman"/>
                <w:bCs w:val="0"/>
                <w:szCs w:val="20"/>
              </w:rPr>
            </w:pPr>
            <w:r w:rsidRPr="00193BC1">
              <w:rPr>
                <w:rFonts w:eastAsia="Times New Roman" w:cs="Times New Roman"/>
                <w:bCs w:val="0"/>
                <w:szCs w:val="20"/>
              </w:rPr>
              <w:t xml:space="preserve">(iii) </w:t>
            </w:r>
            <w:r w:rsidRPr="00193BC1">
              <w:rPr>
                <w:szCs w:val="20"/>
              </w:rPr>
              <w:t xml:space="preserve"> IgE results prior to initiating non-PBS-subsidised treatment with this drug; and IgE results no more than 4 weeks old at the time of application; and</w:t>
            </w:r>
          </w:p>
          <w:p w14:paraId="5B9E704D" w14:textId="77777777" w:rsidR="005E4516" w:rsidRPr="00193BC1" w:rsidRDefault="005E4516" w:rsidP="00487EAF">
            <w:pPr>
              <w:pStyle w:val="TableText0"/>
              <w:keepNext w:val="0"/>
              <w:rPr>
                <w:rFonts w:eastAsia="Times New Roman" w:cs="Times New Roman"/>
                <w:bCs w:val="0"/>
                <w:szCs w:val="20"/>
              </w:rPr>
            </w:pPr>
            <w:r w:rsidRPr="00193BC1">
              <w:rPr>
                <w:rFonts w:eastAsia="Times New Roman" w:cs="Times New Roman"/>
                <w:bCs w:val="0"/>
                <w:szCs w:val="20"/>
              </w:rPr>
              <w:t>(iv) ACQ-5 scores including the date of assessment of the patient's symptoms, or details of the maintenance oral corticosteroid dose; and</w:t>
            </w:r>
          </w:p>
          <w:p w14:paraId="684721AC" w14:textId="77777777" w:rsidR="005E4516" w:rsidRPr="00193BC1" w:rsidRDefault="005E4516" w:rsidP="00487EAF">
            <w:pPr>
              <w:pStyle w:val="TableText0"/>
              <w:keepNext w:val="0"/>
              <w:rPr>
                <w:b/>
              </w:rPr>
            </w:pPr>
            <w:r w:rsidRPr="00193BC1">
              <w:rPr>
                <w:rFonts w:eastAsia="Times New Roman" w:cs="Times New Roman"/>
                <w:bCs w:val="0"/>
                <w:szCs w:val="20"/>
              </w:rPr>
              <w:t>(v) Date of commencing non-PBS subsidised treatment with this drug</w:t>
            </w:r>
          </w:p>
        </w:tc>
      </w:tr>
      <w:tr w:rsidR="006F2ADF" w:rsidRPr="00193BC1" w14:paraId="32FC6643" w14:textId="77777777" w:rsidTr="00A80C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385630F6" w14:textId="77777777" w:rsidR="005E4516" w:rsidRPr="00193BC1" w:rsidRDefault="005E4516" w:rsidP="00487EAF">
            <w:pPr>
              <w:jc w:val="center"/>
              <w:rPr>
                <w:rFonts w:ascii="Arial Narrow" w:hAnsi="Arial Narrow"/>
                <w:sz w:val="18"/>
                <w:szCs w:val="18"/>
                <w:highlight w:val="yellow"/>
              </w:rPr>
            </w:pPr>
          </w:p>
        </w:tc>
        <w:tc>
          <w:tcPr>
            <w:tcW w:w="4138" w:type="pct"/>
            <w:tcBorders>
              <w:top w:val="single" w:sz="4" w:space="0" w:color="auto"/>
              <w:left w:val="single" w:sz="4" w:space="0" w:color="auto"/>
              <w:bottom w:val="single" w:sz="4" w:space="0" w:color="auto"/>
              <w:right w:val="single" w:sz="4" w:space="0" w:color="auto"/>
            </w:tcBorders>
            <w:vAlign w:val="center"/>
          </w:tcPr>
          <w:p w14:paraId="5DA1142C" w14:textId="77777777" w:rsidR="005E4516" w:rsidRPr="00193BC1" w:rsidRDefault="005E4516" w:rsidP="000F0AF0">
            <w:pPr>
              <w:pStyle w:val="TableText0"/>
              <w:keepNext w:val="0"/>
              <w:rPr>
                <w:b/>
              </w:rPr>
            </w:pPr>
            <w:r w:rsidRPr="00193BC1">
              <w:rPr>
                <w:b/>
              </w:rPr>
              <w:t>Administrative advice:</w:t>
            </w:r>
          </w:p>
          <w:p w14:paraId="078FCEC7" w14:textId="77777777" w:rsidR="005E4516" w:rsidRPr="00193BC1" w:rsidRDefault="005E4516" w:rsidP="000F0AF0">
            <w:pPr>
              <w:pStyle w:val="TableText0"/>
              <w:keepNext w:val="0"/>
              <w:rPr>
                <w:sz w:val="18"/>
                <w:szCs w:val="18"/>
              </w:rPr>
            </w:pPr>
            <w:r w:rsidRPr="00193BC1">
              <w:rPr>
                <w:szCs w:val="20"/>
              </w:rPr>
              <w:lastRenderedPageBreak/>
              <w:t>This grandfather restriction will cease to operate from 12 months after the date specified in the clinical criteria.</w:t>
            </w:r>
            <w:r w:rsidRPr="00193BC1">
              <w:rPr>
                <w:sz w:val="18"/>
                <w:szCs w:val="18"/>
              </w:rPr>
              <w:t xml:space="preserve"> </w:t>
            </w:r>
          </w:p>
        </w:tc>
      </w:tr>
      <w:tr w:rsidR="003C46BE" w:rsidRPr="00193BC1" w14:paraId="3C5D4531" w14:textId="77777777" w:rsidTr="003C46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Ex>
        <w:tc>
          <w:tcPr>
            <w:tcW w:w="862" w:type="pct"/>
            <w:tcBorders>
              <w:top w:val="single" w:sz="4" w:space="0" w:color="auto"/>
              <w:left w:val="single" w:sz="4" w:space="0" w:color="auto"/>
              <w:bottom w:val="single" w:sz="4" w:space="0" w:color="auto"/>
              <w:right w:val="single" w:sz="4" w:space="0" w:color="auto"/>
            </w:tcBorders>
            <w:vAlign w:val="center"/>
          </w:tcPr>
          <w:p w14:paraId="17EBD423" w14:textId="77777777" w:rsidR="003C46BE" w:rsidRPr="00193BC1" w:rsidRDefault="003C46BE" w:rsidP="00345DF8">
            <w:pPr>
              <w:jc w:val="center"/>
              <w:rPr>
                <w:rFonts w:ascii="Arial Narrow" w:hAnsi="Arial Narrow"/>
                <w:sz w:val="18"/>
                <w:szCs w:val="18"/>
              </w:rPr>
            </w:pPr>
          </w:p>
        </w:tc>
        <w:tc>
          <w:tcPr>
            <w:tcW w:w="4138" w:type="pct"/>
            <w:tcBorders>
              <w:top w:val="single" w:sz="4" w:space="0" w:color="auto"/>
              <w:left w:val="single" w:sz="4" w:space="0" w:color="auto"/>
              <w:bottom w:val="single" w:sz="4" w:space="0" w:color="auto"/>
              <w:right w:val="single" w:sz="4" w:space="0" w:color="auto"/>
            </w:tcBorders>
            <w:vAlign w:val="center"/>
          </w:tcPr>
          <w:p w14:paraId="4D35F43E" w14:textId="77777777" w:rsidR="003C46BE" w:rsidRPr="003C46BE" w:rsidRDefault="003C46BE" w:rsidP="003C46BE">
            <w:pPr>
              <w:pStyle w:val="TableText0"/>
              <w:rPr>
                <w:b/>
              </w:rPr>
            </w:pPr>
            <w:r w:rsidRPr="003C46BE">
              <w:rPr>
                <w:b/>
              </w:rPr>
              <w:t>Note:</w:t>
            </w:r>
          </w:p>
          <w:p w14:paraId="29E7CAD6" w14:textId="77777777" w:rsidR="003C46BE" w:rsidRPr="00873D93" w:rsidRDefault="003C46BE" w:rsidP="003C46BE">
            <w:pPr>
              <w:pStyle w:val="TableText0"/>
            </w:pPr>
            <w:r w:rsidRPr="00873D93">
              <w:t>For copies of the ACQ and the calculation sheets please contact Sanofi Medical Information on 1800 818 806.</w:t>
            </w:r>
          </w:p>
        </w:tc>
      </w:tr>
      <w:bookmarkEnd w:id="48"/>
      <w:bookmarkEnd w:id="49"/>
      <w:bookmarkEnd w:id="50"/>
    </w:tbl>
    <w:p w14:paraId="61342D49" w14:textId="77777777" w:rsidR="00F94D70" w:rsidRPr="00193BC1" w:rsidRDefault="00F94D70" w:rsidP="00F94D70">
      <w:pPr>
        <w:jc w:val="left"/>
        <w:rPr>
          <w:highlight w:val="yellow"/>
        </w:rPr>
      </w:pPr>
    </w:p>
    <w:p w14:paraId="29BA241C" w14:textId="77777777" w:rsidR="00B44DFB" w:rsidRPr="00193BC1" w:rsidRDefault="000710E2" w:rsidP="005863D4">
      <w:pPr>
        <w:pStyle w:val="3-BodyText"/>
      </w:pPr>
      <w:r w:rsidRPr="00193BC1">
        <w:t>Follow on changes to the Overarching Note for this indication</w:t>
      </w:r>
      <w:r w:rsidR="00B44DFB" w:rsidRPr="00193BC1">
        <w:t xml:space="preserve"> </w:t>
      </w:r>
      <w:r w:rsidR="007242EB" w:rsidRPr="00193BC1">
        <w:t xml:space="preserve">are </w:t>
      </w:r>
      <w:r w:rsidR="00B44DFB" w:rsidRPr="00193BC1">
        <w:t>required as are changes to omalizumab, benralizumab, mepolizumab restrictions as outlined below</w:t>
      </w:r>
      <w:r w:rsidRPr="00193BC1">
        <w:t xml:space="preserve">. </w:t>
      </w:r>
    </w:p>
    <w:p w14:paraId="650810CC" w14:textId="77777777" w:rsidR="00B44DFB" w:rsidRPr="00193BC1" w:rsidRDefault="00B44DFB" w:rsidP="00B44DFB"/>
    <w:p w14:paraId="01795F05" w14:textId="77777777" w:rsidR="00B44DFB" w:rsidRPr="00193BC1" w:rsidRDefault="00B44DFB" w:rsidP="00B44DFB">
      <w:pPr>
        <w:rPr>
          <w:b/>
        </w:rPr>
      </w:pPr>
      <w:r w:rsidRPr="00193BC1">
        <w:rPr>
          <w:b/>
        </w:rPr>
        <w:t>FLOW ON CHANGES TO THE OVERARCHING NOTE:</w:t>
      </w:r>
    </w:p>
    <w:p w14:paraId="283EEE6D" w14:textId="77777777" w:rsidR="00B44DFB" w:rsidRPr="00193BC1" w:rsidRDefault="00B44DFB" w:rsidP="00B44DFB"/>
    <w:p w14:paraId="114D9A80" w14:textId="77777777" w:rsidR="00B44DFB" w:rsidRPr="00193BC1" w:rsidRDefault="00B44DFB" w:rsidP="00B44DFB">
      <w:r w:rsidRPr="00193BC1">
        <w:t xml:space="preserve">[24994] requires edits as below. Applicable to omalizumab, benralizumab and mepolizumab. </w:t>
      </w:r>
    </w:p>
    <w:p w14:paraId="692CE9BD" w14:textId="77777777" w:rsidR="00B44DFB" w:rsidRPr="00193BC1" w:rsidRDefault="00B44DFB" w:rsidP="00B44DFB"/>
    <w:p w14:paraId="7B0FF9EB" w14:textId="77777777" w:rsidR="00B44DFB" w:rsidRPr="00193BC1" w:rsidRDefault="00B44DFB" w:rsidP="00B44DFB">
      <w:pPr>
        <w:rPr>
          <w:b/>
        </w:rPr>
      </w:pPr>
      <w:r w:rsidRPr="00193BC1">
        <w:rPr>
          <w:b/>
        </w:rPr>
        <w:t>Note</w:t>
      </w:r>
    </w:p>
    <w:p w14:paraId="2EF3B770" w14:textId="77777777" w:rsidR="00B44DFB" w:rsidRPr="00193BC1" w:rsidRDefault="00B44DFB" w:rsidP="00B44DFB">
      <w:r w:rsidRPr="00193BC1">
        <w:t xml:space="preserve">Any queries concerning the arrangements to prescribe may be directed to Services </w:t>
      </w:r>
      <w:r w:rsidR="00C0147A" w:rsidRPr="00193BC1">
        <w:t>Australia on</w:t>
      </w:r>
      <w:r w:rsidRPr="00193BC1">
        <w:t xml:space="preserve"> 1800 700 270 (hours of operation 8 a.m. to 5 p.m. EST Monday to Friday). </w:t>
      </w:r>
    </w:p>
    <w:p w14:paraId="56D12252" w14:textId="77777777" w:rsidR="00B44DFB" w:rsidRPr="00193BC1" w:rsidRDefault="00B44DFB" w:rsidP="00B44DFB"/>
    <w:p w14:paraId="301E8D70" w14:textId="77777777" w:rsidR="00B44DFB" w:rsidRPr="00193BC1" w:rsidRDefault="00B44DFB" w:rsidP="00B44DFB">
      <w:r w:rsidRPr="00193BC1">
        <w:t xml:space="preserve">Prescribing information (including Authority Application forms and other </w:t>
      </w:r>
      <w:r w:rsidR="00C0147A" w:rsidRPr="00193BC1">
        <w:t>relevant documentation</w:t>
      </w:r>
      <w:r w:rsidRPr="00193BC1">
        <w:t xml:space="preserve"> as applicable) is available on the Services Australia website at www.servicesaustralia.gov.au </w:t>
      </w:r>
    </w:p>
    <w:p w14:paraId="1F24DFE0" w14:textId="77777777" w:rsidR="00B44DFB" w:rsidRPr="00193BC1" w:rsidRDefault="00B44DFB" w:rsidP="00B44DFB"/>
    <w:p w14:paraId="64AD5436" w14:textId="77777777" w:rsidR="00B44DFB" w:rsidRPr="00193BC1" w:rsidRDefault="00B44DFB" w:rsidP="00B44DFB">
      <w:r w:rsidRPr="00193BC1">
        <w:t xml:space="preserve">Applications for authority to prescribe should be submitted online using the </w:t>
      </w:r>
      <w:r w:rsidR="00C0147A" w:rsidRPr="00193BC1">
        <w:t>form upload</w:t>
      </w:r>
      <w:r w:rsidRPr="00193BC1">
        <w:t xml:space="preserve"> facility in Health Professional Online Services (HPOS) at www.servicesaustralia.gov.au/hpos </w:t>
      </w:r>
    </w:p>
    <w:p w14:paraId="68849287" w14:textId="77777777" w:rsidR="00B44DFB" w:rsidRPr="00193BC1" w:rsidRDefault="00B44DFB" w:rsidP="00B44DFB"/>
    <w:p w14:paraId="40F628FF" w14:textId="77777777" w:rsidR="00B44DFB" w:rsidRPr="00193BC1" w:rsidRDefault="00B44DFB" w:rsidP="00B44DFB">
      <w:r w:rsidRPr="00193BC1">
        <w:t>Or mailed to:</w:t>
      </w:r>
    </w:p>
    <w:p w14:paraId="3E8FA451" w14:textId="77777777" w:rsidR="00B44DFB" w:rsidRPr="00193BC1" w:rsidRDefault="00B44DFB" w:rsidP="00B44DFB"/>
    <w:p w14:paraId="279F7D8F" w14:textId="77777777" w:rsidR="00B44DFB" w:rsidRPr="00193BC1" w:rsidRDefault="00B44DFB" w:rsidP="00B44DFB">
      <w:r w:rsidRPr="00193BC1">
        <w:t>Services Australia</w:t>
      </w:r>
    </w:p>
    <w:p w14:paraId="2CA0B164" w14:textId="77777777" w:rsidR="00B44DFB" w:rsidRPr="00193BC1" w:rsidRDefault="00B44DFB" w:rsidP="00B44DFB"/>
    <w:p w14:paraId="2BC20606" w14:textId="77777777" w:rsidR="00B44DFB" w:rsidRPr="00193BC1" w:rsidRDefault="00B44DFB" w:rsidP="00B44DFB">
      <w:r w:rsidRPr="00193BC1">
        <w:t>Complex Drugs</w:t>
      </w:r>
    </w:p>
    <w:p w14:paraId="4D6DCC9A" w14:textId="77777777" w:rsidR="00B44DFB" w:rsidRPr="00193BC1" w:rsidRDefault="00B44DFB" w:rsidP="00B44DFB"/>
    <w:p w14:paraId="084F012C" w14:textId="77777777" w:rsidR="00B44DFB" w:rsidRPr="00193BC1" w:rsidRDefault="00B44DFB" w:rsidP="00B44DFB">
      <w:r w:rsidRPr="00193BC1">
        <w:t>Reply Paid 9826</w:t>
      </w:r>
    </w:p>
    <w:p w14:paraId="59ECA490" w14:textId="77777777" w:rsidR="00B44DFB" w:rsidRPr="00193BC1" w:rsidRDefault="00B44DFB" w:rsidP="00B44DFB"/>
    <w:p w14:paraId="66720F43" w14:textId="77777777" w:rsidR="00B44DFB" w:rsidRPr="00193BC1" w:rsidRDefault="00B44DFB" w:rsidP="00B44DFB">
      <w:r w:rsidRPr="00193BC1">
        <w:t>HOBART TAS 7001</w:t>
      </w:r>
    </w:p>
    <w:p w14:paraId="40C06D35" w14:textId="77777777" w:rsidR="00B44DFB" w:rsidRPr="00193BC1" w:rsidRDefault="00B44DFB" w:rsidP="00B44DFB"/>
    <w:p w14:paraId="312A6B5D" w14:textId="77777777" w:rsidR="00B44DFB" w:rsidRPr="00193BC1" w:rsidRDefault="00B44DFB" w:rsidP="00B44DFB">
      <w:pPr>
        <w:rPr>
          <w:b/>
        </w:rPr>
      </w:pPr>
      <w:r w:rsidRPr="00193BC1">
        <w:rPr>
          <w:b/>
        </w:rPr>
        <w:t>Note</w:t>
      </w:r>
    </w:p>
    <w:p w14:paraId="436591D9" w14:textId="77777777" w:rsidR="00B44DFB" w:rsidRPr="00193BC1" w:rsidRDefault="00B44DFB" w:rsidP="00B44DFB">
      <w:r w:rsidRPr="00193BC1">
        <w:t>TREATMENT OF ADULT AND ADOLESCENT PATIENTS WITH UNCONTROLLED SEVERE EOSINOPHILIC OR ALLERGIC ASTHMA</w:t>
      </w:r>
    </w:p>
    <w:p w14:paraId="2A98FB1D" w14:textId="77777777" w:rsidR="00B44DFB" w:rsidRPr="00193BC1" w:rsidRDefault="00B44DFB" w:rsidP="00B44DFB"/>
    <w:p w14:paraId="49E653BD" w14:textId="77777777" w:rsidR="00B44DFB" w:rsidRPr="00193BC1" w:rsidRDefault="00B44DFB" w:rsidP="00B44DFB">
      <w:r w:rsidRPr="00193BC1">
        <w:t xml:space="preserve">The following information applies to the prescribing under the Pharmaceutical </w:t>
      </w:r>
      <w:r w:rsidR="00C0147A" w:rsidRPr="00193BC1">
        <w:t>Benefits Scheme</w:t>
      </w:r>
      <w:r w:rsidRPr="00193BC1">
        <w:t xml:space="preserve"> (PBS) of the biological medicines benralizumab and mepolizumab for adult and adolescent patients with uncontrolled severe eosinophilic asthma; omalizumab for adult and adolescent patients with uncontrolled severe allergic asthma; and dupilumab for uncontrolled severe eosinophilic or allergic asthma. Therefore, where the term 'biological </w:t>
      </w:r>
      <w:r w:rsidRPr="00193BC1">
        <w:lastRenderedPageBreak/>
        <w:t xml:space="preserve">medicine' appears in notes and restrictions, it refers to dupilumab, benralizumab, mepolizumab, and omalizumab only. </w:t>
      </w:r>
    </w:p>
    <w:p w14:paraId="24274916" w14:textId="77777777" w:rsidR="00B44DFB" w:rsidRPr="00193BC1" w:rsidRDefault="00B44DFB" w:rsidP="00B44DFB"/>
    <w:p w14:paraId="122B9927" w14:textId="77777777" w:rsidR="00B44DFB" w:rsidRPr="00193BC1" w:rsidRDefault="00B44DFB" w:rsidP="00B44DFB">
      <w:r w:rsidRPr="00193BC1">
        <w:t xml:space="preserve">A patient is eligible for PBS-subsidised treatment with only 1 of the above biological medicines at any 1 time. </w:t>
      </w:r>
    </w:p>
    <w:p w14:paraId="2D9F1D93" w14:textId="77777777" w:rsidR="00B44DFB" w:rsidRPr="00193BC1" w:rsidRDefault="00B44DFB" w:rsidP="00B44DFB"/>
    <w:p w14:paraId="4C3E50EA" w14:textId="77777777" w:rsidR="00B44DFB" w:rsidRPr="00193BC1" w:rsidRDefault="00B44DFB" w:rsidP="00B44DFB">
      <w:r w:rsidRPr="00193BC1">
        <w:t xml:space="preserve">A patient receiving PBS-subsidised treatment for uncontrolled severe </w:t>
      </w:r>
      <w:r w:rsidR="00C0147A" w:rsidRPr="00193BC1">
        <w:t>eosinophilic or</w:t>
      </w:r>
      <w:r w:rsidRPr="00193BC1">
        <w:t xml:space="preserve"> allergic asthma or allergic asthma is able to commence a treatment cycle where they may trial a biological medicine without having to experience a disease flare when swapping to an </w:t>
      </w:r>
      <w:r w:rsidR="00C0147A" w:rsidRPr="00193BC1">
        <w:t>alternate biological</w:t>
      </w:r>
      <w:r w:rsidRPr="00193BC1">
        <w:t xml:space="preserve"> medicine within the same treatment cycle. </w:t>
      </w:r>
    </w:p>
    <w:p w14:paraId="0DB309E9" w14:textId="77777777" w:rsidR="00B44DFB" w:rsidRPr="00193BC1" w:rsidRDefault="00B44DFB" w:rsidP="00B44DFB"/>
    <w:p w14:paraId="288FEE83" w14:textId="77777777" w:rsidR="00B44DFB" w:rsidRPr="00193BC1" w:rsidRDefault="00B44DFB" w:rsidP="00B44DFB">
      <w:r w:rsidRPr="00193BC1">
        <w:t xml:space="preserve">Under these arrangements, within a treatment cycle, a patient may receive long-term treatment with a biological medicine as long as they sustain a response to therapy. </w:t>
      </w:r>
    </w:p>
    <w:p w14:paraId="34BDDA47" w14:textId="77777777" w:rsidR="00B44DFB" w:rsidRPr="00193BC1" w:rsidRDefault="00B44DFB" w:rsidP="00B44DFB"/>
    <w:p w14:paraId="726BA297" w14:textId="77777777" w:rsidR="00B44DFB" w:rsidRPr="00193BC1" w:rsidRDefault="00B44DFB" w:rsidP="003F5570">
      <w:pPr>
        <w:tabs>
          <w:tab w:val="left" w:pos="2268"/>
        </w:tabs>
      </w:pPr>
      <w:r w:rsidRPr="00193BC1">
        <w:t xml:space="preserve">A patient currently receiving PBS-subsidised treatment as </w:t>
      </w:r>
      <w:r w:rsidR="003F5570" w:rsidRPr="00193BC1">
        <w:t>of [</w:t>
      </w:r>
      <w:r w:rsidRPr="00193BC1">
        <w:t xml:space="preserve">PBS listing date of dupilumab] is considered to have started a cycle of treatment. </w:t>
      </w:r>
    </w:p>
    <w:p w14:paraId="26498207" w14:textId="77777777" w:rsidR="00B44DFB" w:rsidRPr="00193BC1" w:rsidRDefault="00B44DFB" w:rsidP="00B44DFB"/>
    <w:p w14:paraId="6D0E1417" w14:textId="77777777" w:rsidR="00B44DFB" w:rsidRPr="00193BC1" w:rsidRDefault="00B44DFB" w:rsidP="00B44DFB">
      <w:r w:rsidRPr="00193BC1">
        <w:t>Within the same treatment cycle, a patient cannot trial and fail, or cease to respond</w:t>
      </w:r>
      <w:r w:rsidR="007242EB" w:rsidRPr="00193BC1">
        <w:t xml:space="preserve"> </w:t>
      </w:r>
      <w:r w:rsidRPr="00193BC1">
        <w:t xml:space="preserve">to, the same PBS-subsidised biological medicine more than once. </w:t>
      </w:r>
    </w:p>
    <w:p w14:paraId="5025B67B" w14:textId="77777777" w:rsidR="00B44DFB" w:rsidRPr="00193BC1" w:rsidRDefault="00B44DFB" w:rsidP="00B44DFB"/>
    <w:p w14:paraId="51D67DE6" w14:textId="77777777" w:rsidR="00B44DFB" w:rsidRPr="00193BC1" w:rsidRDefault="00B44DFB" w:rsidP="00B44DFB">
      <w:r w:rsidRPr="00193BC1">
        <w:t>Therefore, once a patient fails to meet the response criteria for a PBS-subsidised</w:t>
      </w:r>
      <w:r w:rsidR="00617C56" w:rsidRPr="00193BC1">
        <w:t xml:space="preserve"> </w:t>
      </w:r>
      <w:r w:rsidRPr="00193BC1">
        <w:t xml:space="preserve">biological medicine, they must change to an alternate biological medicine if they wish to continue PBS-subsidised biological treatment. </w:t>
      </w:r>
    </w:p>
    <w:p w14:paraId="2CA8CC01" w14:textId="77777777" w:rsidR="00B44DFB" w:rsidRPr="00193BC1" w:rsidRDefault="00B44DFB" w:rsidP="00B44DFB"/>
    <w:p w14:paraId="62A707F8" w14:textId="77777777" w:rsidR="00B44DFB" w:rsidRPr="00193BC1" w:rsidRDefault="00B44DFB" w:rsidP="00B44DFB">
      <w:r w:rsidRPr="00193BC1">
        <w:t xml:space="preserve">Once a patient has either failed to achieve or sustain a response to treatment </w:t>
      </w:r>
      <w:r w:rsidRPr="00193BC1">
        <w:rPr>
          <w:b/>
        </w:rPr>
        <w:t>4</w:t>
      </w:r>
      <w:r w:rsidRPr="00193BC1">
        <w:t xml:space="preserve"> times,</w:t>
      </w:r>
      <w:r w:rsidR="007242EB" w:rsidRPr="00193BC1">
        <w:t xml:space="preserve"> </w:t>
      </w:r>
      <w:r w:rsidRPr="00193BC1">
        <w:t>they are deemed to have completed a single treatment cycle. They must have at least</w:t>
      </w:r>
      <w:r w:rsidR="00617C56" w:rsidRPr="00193BC1">
        <w:t xml:space="preserve"> </w:t>
      </w:r>
      <w:r w:rsidRPr="00193BC1">
        <w:t xml:space="preserve">a 12-month break in PBS-subsidised biological medicine therapy before they are </w:t>
      </w:r>
      <w:r w:rsidR="00C0147A" w:rsidRPr="00193BC1">
        <w:t>eligible to</w:t>
      </w:r>
      <w:r w:rsidRPr="00193BC1">
        <w:t xml:space="preserve"> recommence another new treatment cycle [further details are under '</w:t>
      </w:r>
      <w:r w:rsidR="00C0147A" w:rsidRPr="00193BC1">
        <w:t>Recommencement of</w:t>
      </w:r>
      <w:r w:rsidRPr="00193BC1">
        <w:t xml:space="preserve"> treatment after a treatment break in PBS-subsidised therapy' below]. </w:t>
      </w:r>
    </w:p>
    <w:p w14:paraId="3CE9AB7B" w14:textId="77777777" w:rsidR="00B44DFB" w:rsidRPr="00193BC1" w:rsidRDefault="00B44DFB" w:rsidP="00B44DFB"/>
    <w:p w14:paraId="6B646738" w14:textId="77777777" w:rsidR="00B44DFB" w:rsidRPr="00193BC1" w:rsidRDefault="00B44DFB" w:rsidP="00B44DFB">
      <w:r w:rsidRPr="00193BC1">
        <w:t xml:space="preserve">The length of the break in therapy is measured from the date the most recent </w:t>
      </w:r>
      <w:r w:rsidR="00C0147A" w:rsidRPr="00193BC1">
        <w:t>treatment with</w:t>
      </w:r>
      <w:r w:rsidRPr="00193BC1">
        <w:t xml:space="preserve"> a PBS-subsidised biological medicine is ceased until the date of the first </w:t>
      </w:r>
      <w:r w:rsidR="00C0147A" w:rsidRPr="00193BC1">
        <w:t>application for</w:t>
      </w:r>
      <w:r w:rsidRPr="00193BC1">
        <w:t xml:space="preserve"> recommencement of treatment with a biological medicine under the new </w:t>
      </w:r>
      <w:r w:rsidR="00C0147A" w:rsidRPr="00193BC1">
        <w:t>treatment cycle</w:t>
      </w:r>
      <w:r w:rsidRPr="00193BC1">
        <w:t xml:space="preserve">. </w:t>
      </w:r>
    </w:p>
    <w:p w14:paraId="05D8D1DF" w14:textId="77777777" w:rsidR="00B44DFB" w:rsidRPr="00193BC1" w:rsidRDefault="00B44DFB" w:rsidP="00B44DFB"/>
    <w:p w14:paraId="69F81BAB" w14:textId="77777777" w:rsidR="00B44DFB" w:rsidRPr="00193BC1" w:rsidRDefault="00B44DFB" w:rsidP="00B44DFB">
      <w:r w:rsidRPr="00193BC1">
        <w:t>There is no limit to the number of treatment cycles that a patient may undertake in</w:t>
      </w:r>
      <w:r w:rsidR="00AB75D7" w:rsidRPr="00193BC1">
        <w:t xml:space="preserve"> </w:t>
      </w:r>
      <w:r w:rsidRPr="00193BC1">
        <w:t xml:space="preserve">their lifetime. </w:t>
      </w:r>
    </w:p>
    <w:p w14:paraId="6E4A7025" w14:textId="77777777" w:rsidR="00B44DFB" w:rsidRPr="00193BC1" w:rsidRDefault="00B44DFB" w:rsidP="00B44DFB"/>
    <w:p w14:paraId="38BD3367" w14:textId="77777777" w:rsidR="00B44DFB" w:rsidRPr="00193BC1" w:rsidRDefault="00B44DFB" w:rsidP="00B44DFB">
      <w:r w:rsidRPr="00193BC1">
        <w:t>How to prescribe PBS-subsidised biological medicine treatment for uncontrolled severe</w:t>
      </w:r>
      <w:r w:rsidR="00AB75D7" w:rsidRPr="00193BC1">
        <w:t xml:space="preserve"> </w:t>
      </w:r>
      <w:r w:rsidRPr="00193BC1">
        <w:t xml:space="preserve">eosinophilic or allergic asthma. </w:t>
      </w:r>
    </w:p>
    <w:p w14:paraId="4D69C8EA" w14:textId="77777777" w:rsidR="00B44DFB" w:rsidRPr="00193BC1" w:rsidRDefault="00B44DFB" w:rsidP="00B44DFB"/>
    <w:p w14:paraId="6E4D9252" w14:textId="77777777" w:rsidR="00B44DFB" w:rsidRPr="00193BC1" w:rsidRDefault="00B44DFB" w:rsidP="00B44DFB">
      <w:r w:rsidRPr="00193BC1">
        <w:t>(1) Initial treatment:</w:t>
      </w:r>
    </w:p>
    <w:p w14:paraId="30F34169" w14:textId="77777777" w:rsidR="00B44DFB" w:rsidRPr="00193BC1" w:rsidRDefault="00B44DFB" w:rsidP="00B44DFB"/>
    <w:p w14:paraId="7F212917" w14:textId="77777777" w:rsidR="00B44DFB" w:rsidRPr="00193BC1" w:rsidRDefault="00B44DFB" w:rsidP="00B44DFB">
      <w:r w:rsidRPr="00193BC1">
        <w:t>Applications for initial treatment should be made where:</w:t>
      </w:r>
    </w:p>
    <w:p w14:paraId="3632504A" w14:textId="77777777" w:rsidR="00B44DFB" w:rsidRPr="00193BC1" w:rsidRDefault="00B44DFB" w:rsidP="00B44DFB"/>
    <w:p w14:paraId="433F0751" w14:textId="77777777" w:rsidR="00B44DFB" w:rsidRPr="00193BC1" w:rsidRDefault="00B44DFB" w:rsidP="00B44DFB">
      <w:r w:rsidRPr="00193BC1">
        <w:t>(</w:t>
      </w:r>
      <w:r w:rsidR="00C0147A" w:rsidRPr="00193BC1">
        <w:t>I</w:t>
      </w:r>
      <w:r w:rsidRPr="00193BC1">
        <w:t xml:space="preserve">) a patient has not received prior PBS-subsidised biological medicine </w:t>
      </w:r>
      <w:r w:rsidR="00C0147A" w:rsidRPr="00193BC1">
        <w:t>treatment and</w:t>
      </w:r>
      <w:r w:rsidRPr="00193BC1">
        <w:t xml:space="preserve"> wishes to commence such therapy (Initial 1 restriction); or </w:t>
      </w:r>
    </w:p>
    <w:p w14:paraId="64087F7F" w14:textId="77777777" w:rsidR="00B44DFB" w:rsidRPr="00193BC1" w:rsidRDefault="00B44DFB" w:rsidP="00B44DFB"/>
    <w:p w14:paraId="35101982" w14:textId="77777777" w:rsidR="00B44DFB" w:rsidRPr="00193BC1" w:rsidRDefault="00B44DFB" w:rsidP="00B44DFB">
      <w:r w:rsidRPr="00193BC1">
        <w:t>(ii) a patient has received prior PBS-subsidised treatment with a biological medicine</w:t>
      </w:r>
      <w:r w:rsidR="00AB75D7" w:rsidRPr="00193BC1">
        <w:t xml:space="preserve"> </w:t>
      </w:r>
      <w:r w:rsidRPr="00193BC1">
        <w:t>and wishes to recommence a new treatment cycle with this biological medicine following</w:t>
      </w:r>
      <w:r w:rsidR="00AB75D7" w:rsidRPr="00193BC1">
        <w:t xml:space="preserve"> </w:t>
      </w:r>
      <w:r w:rsidRPr="00193BC1">
        <w:t xml:space="preserve">a treatment break in PBS-subsidised therapy (Initial 1 restriction); or </w:t>
      </w:r>
    </w:p>
    <w:p w14:paraId="45AF590F" w14:textId="77777777" w:rsidR="00B44DFB" w:rsidRPr="00193BC1" w:rsidRDefault="00B44DFB" w:rsidP="00B44DFB"/>
    <w:p w14:paraId="72F85D34" w14:textId="77777777" w:rsidR="00B44DFB" w:rsidRPr="00193BC1" w:rsidRDefault="00B44DFB" w:rsidP="00B44DFB">
      <w:r w:rsidRPr="00193BC1">
        <w:t>(iii) a patient has received prior PBS-subsidised biological medicine therapy and</w:t>
      </w:r>
      <w:r w:rsidR="00AB75D7" w:rsidRPr="00193BC1">
        <w:t xml:space="preserve"> </w:t>
      </w:r>
      <w:r w:rsidRPr="00193BC1">
        <w:t>wishes to trial an alternate biological medicine within the same treatment cycle (Initial</w:t>
      </w:r>
      <w:r w:rsidR="00AB75D7" w:rsidRPr="00193BC1">
        <w:t xml:space="preserve"> </w:t>
      </w:r>
      <w:r w:rsidRPr="00193BC1">
        <w:t xml:space="preserve">2 restriction) - [further details are under 'Swapping therapy' below]. </w:t>
      </w:r>
    </w:p>
    <w:p w14:paraId="3D1C7C0B" w14:textId="77777777" w:rsidR="00B44DFB" w:rsidRPr="00193BC1" w:rsidRDefault="00B44DFB" w:rsidP="00B44DFB"/>
    <w:p w14:paraId="08CF780F" w14:textId="77777777" w:rsidR="00B44DFB" w:rsidRPr="00193BC1" w:rsidRDefault="00B44DFB" w:rsidP="00B44DFB">
      <w:r w:rsidRPr="00193BC1">
        <w:t>All applications for initial treatment will be limited to provide for a maximum of</w:t>
      </w:r>
      <w:r w:rsidR="00AB75D7" w:rsidRPr="00193BC1">
        <w:t xml:space="preserve"> </w:t>
      </w:r>
      <w:r w:rsidRPr="00193BC1">
        <w:t>up to 32 weeks of therapy of a biological medicine. It is recommended that a patient be reviewed in the month prior to completing their course of initial treatment to</w:t>
      </w:r>
      <w:r w:rsidR="00AB75D7" w:rsidRPr="00193BC1">
        <w:t xml:space="preserve"> </w:t>
      </w:r>
      <w:r w:rsidRPr="00193BC1">
        <w:t xml:space="preserve">ensure uninterrupted biological medicine supply. </w:t>
      </w:r>
    </w:p>
    <w:p w14:paraId="1A3D848F" w14:textId="77777777" w:rsidR="00B44DFB" w:rsidRPr="00193BC1" w:rsidRDefault="00B44DFB" w:rsidP="00B44DFB"/>
    <w:p w14:paraId="451322C3" w14:textId="77777777" w:rsidR="00B44DFB" w:rsidRPr="00193BC1" w:rsidRDefault="00B44DFB" w:rsidP="00B44DFB">
      <w:r w:rsidRPr="00193BC1">
        <w:t>(2) Continuing treatment:</w:t>
      </w:r>
    </w:p>
    <w:p w14:paraId="0A297141" w14:textId="77777777" w:rsidR="00B44DFB" w:rsidRPr="00193BC1" w:rsidRDefault="00B44DFB" w:rsidP="00B44DFB"/>
    <w:p w14:paraId="72EA78FE" w14:textId="77777777" w:rsidR="00B44DFB" w:rsidRPr="00193BC1" w:rsidRDefault="00B44DFB" w:rsidP="00B44DFB">
      <w:r w:rsidRPr="00193BC1">
        <w:t>Following the completion of an initial treatment course with a specific biological</w:t>
      </w:r>
      <w:r w:rsidR="00AB75D7" w:rsidRPr="00193BC1">
        <w:t xml:space="preserve"> </w:t>
      </w:r>
      <w:r w:rsidRPr="00193BC1">
        <w:t>medicine, a patient may qualify to receive up to 24 weeks of continuing treatment</w:t>
      </w:r>
      <w:r w:rsidR="00AB75D7" w:rsidRPr="00193BC1">
        <w:t xml:space="preserve"> </w:t>
      </w:r>
      <w:r w:rsidRPr="00193BC1">
        <w:t>with that biological medicine providing they have demonstrated an adequate response</w:t>
      </w:r>
      <w:r w:rsidR="00AB75D7" w:rsidRPr="00193BC1">
        <w:t xml:space="preserve"> </w:t>
      </w:r>
      <w:r w:rsidRPr="00193BC1">
        <w:t>to treatment. The patient remains eligible to receive continuing biological medicine</w:t>
      </w:r>
      <w:r w:rsidR="00AB75D7" w:rsidRPr="00193BC1">
        <w:t xml:space="preserve"> </w:t>
      </w:r>
      <w:r w:rsidRPr="00193BC1">
        <w:t>treatment with the same drug in courses of up to 24 weeks providing they continue</w:t>
      </w:r>
      <w:r w:rsidR="00AB75D7" w:rsidRPr="00193BC1">
        <w:t xml:space="preserve"> </w:t>
      </w:r>
      <w:r w:rsidRPr="00193BC1">
        <w:t>to sustain the response. It is recommended that a patient be reviewed the month prior</w:t>
      </w:r>
      <w:r w:rsidR="00AB75D7" w:rsidRPr="00193BC1">
        <w:t xml:space="preserve"> </w:t>
      </w:r>
      <w:r w:rsidRPr="00193BC1">
        <w:t>to completing their current course of treatment to ensure uninterrupted biological</w:t>
      </w:r>
      <w:r w:rsidR="00AB75D7" w:rsidRPr="00193BC1">
        <w:t xml:space="preserve"> </w:t>
      </w:r>
      <w:r w:rsidRPr="00193BC1">
        <w:t xml:space="preserve">medicine supply. </w:t>
      </w:r>
    </w:p>
    <w:p w14:paraId="283092D3" w14:textId="77777777" w:rsidR="00B44DFB" w:rsidRPr="00193BC1" w:rsidRDefault="00B44DFB" w:rsidP="00B44DFB"/>
    <w:p w14:paraId="6A7D6784" w14:textId="77777777" w:rsidR="00B44DFB" w:rsidRPr="00193BC1" w:rsidRDefault="00B44DFB" w:rsidP="00B44DFB">
      <w:r w:rsidRPr="00193BC1">
        <w:t>(3) Baseline measurements to determine response:</w:t>
      </w:r>
    </w:p>
    <w:p w14:paraId="67F91C00" w14:textId="77777777" w:rsidR="00B44DFB" w:rsidRPr="00193BC1" w:rsidRDefault="00B44DFB" w:rsidP="00B44DFB"/>
    <w:p w14:paraId="5AB41F2A" w14:textId="77777777" w:rsidR="00B44DFB" w:rsidRPr="00193BC1" w:rsidRDefault="00B44DFB" w:rsidP="00B44DFB">
      <w:r w:rsidRPr="00193BC1">
        <w:t>Baseline measurements of the Asthma Control Questionnaire (ACQ; 5 item version) or</w:t>
      </w:r>
      <w:r w:rsidR="00AB75D7" w:rsidRPr="00193BC1">
        <w:t xml:space="preserve"> </w:t>
      </w:r>
      <w:r w:rsidRPr="00193BC1">
        <w:t>oral corticosteroid dose submitted with the Initial authority application for a biological</w:t>
      </w:r>
      <w:r w:rsidR="00AB75D7" w:rsidRPr="00193BC1">
        <w:t xml:space="preserve"> </w:t>
      </w:r>
      <w:r w:rsidRPr="00193BC1">
        <w:t>medicine must be used to determine whether an adequate response to treatment has been</w:t>
      </w:r>
      <w:r w:rsidR="00AB75D7" w:rsidRPr="00193BC1">
        <w:t xml:space="preserve"> </w:t>
      </w:r>
      <w:r w:rsidRPr="00193BC1">
        <w:t xml:space="preserve">achieved or sustained. </w:t>
      </w:r>
    </w:p>
    <w:p w14:paraId="4B1C6F11" w14:textId="77777777" w:rsidR="00B44DFB" w:rsidRPr="00193BC1" w:rsidRDefault="00B44DFB" w:rsidP="00B44DFB"/>
    <w:p w14:paraId="1CDDACBB" w14:textId="77777777" w:rsidR="00B44DFB" w:rsidRPr="00193BC1" w:rsidRDefault="00B44DFB" w:rsidP="00B44DFB">
      <w:r w:rsidRPr="00193BC1">
        <w:t>For patients transitioned from the paediatric to the adolescent/adult restriction,</w:t>
      </w:r>
      <w:r w:rsidR="007242EB" w:rsidRPr="00193BC1">
        <w:t xml:space="preserve"> </w:t>
      </w:r>
      <w:r w:rsidRPr="00193BC1">
        <w:t xml:space="preserve">the exacerbation history may also be used to determine response. </w:t>
      </w:r>
    </w:p>
    <w:p w14:paraId="7F383555" w14:textId="77777777" w:rsidR="00B44DFB" w:rsidRPr="00193BC1" w:rsidRDefault="00B44DFB" w:rsidP="00B44DFB"/>
    <w:p w14:paraId="2A62EEF3" w14:textId="77777777" w:rsidR="00B44DFB" w:rsidRPr="00193BC1" w:rsidRDefault="00B44DFB" w:rsidP="00B44DFB">
      <w:r w:rsidRPr="00193BC1">
        <w:t>However, prescribers may provide new baseline measurements when a new Initial treatment</w:t>
      </w:r>
      <w:r w:rsidR="00AB75D7" w:rsidRPr="00193BC1">
        <w:t xml:space="preserve"> </w:t>
      </w:r>
      <w:r w:rsidRPr="00193BC1">
        <w:t>authority application is submitted and these new baseline measurements may be used</w:t>
      </w:r>
      <w:r w:rsidR="00AB75D7" w:rsidRPr="00193BC1">
        <w:t xml:space="preserve"> </w:t>
      </w:r>
      <w:r w:rsidRPr="00193BC1">
        <w:t xml:space="preserve">to assess response. </w:t>
      </w:r>
    </w:p>
    <w:p w14:paraId="30759780" w14:textId="77777777" w:rsidR="00B44DFB" w:rsidRPr="00193BC1" w:rsidRDefault="00B44DFB" w:rsidP="00B44DFB"/>
    <w:p w14:paraId="2A41DE52" w14:textId="77777777" w:rsidR="00B44DFB" w:rsidRPr="00193BC1" w:rsidRDefault="00B44DFB" w:rsidP="00B44DFB">
      <w:r w:rsidRPr="00193BC1">
        <w:t>(4) Swapping therapy within the same treatment cycle.</w:t>
      </w:r>
    </w:p>
    <w:p w14:paraId="3BFABAF1" w14:textId="77777777" w:rsidR="00B44DFB" w:rsidRPr="00193BC1" w:rsidRDefault="00B44DFB" w:rsidP="00B44DFB"/>
    <w:p w14:paraId="1CE29083" w14:textId="77777777" w:rsidR="00B44DFB" w:rsidRPr="00193BC1" w:rsidRDefault="00B44DFB" w:rsidP="00B44DFB">
      <w:r w:rsidRPr="00193BC1">
        <w:lastRenderedPageBreak/>
        <w:t>Once initial treatment with the first PBS-subsidised biological medicine is approved,</w:t>
      </w:r>
      <w:r w:rsidR="00AB75D7" w:rsidRPr="00193BC1">
        <w:t xml:space="preserve"> </w:t>
      </w:r>
      <w:r w:rsidRPr="00193BC1">
        <w:t>a patient may swap to an alternate biological medicine at any time by qualifying under</w:t>
      </w:r>
      <w:r w:rsidR="00AB75D7" w:rsidRPr="00193BC1">
        <w:t xml:space="preserve"> </w:t>
      </w:r>
      <w:r w:rsidRPr="00193BC1">
        <w:t xml:space="preserve">an Initial 2 restriction. </w:t>
      </w:r>
    </w:p>
    <w:p w14:paraId="3ACEA6B7" w14:textId="77777777" w:rsidR="00B44DFB" w:rsidRPr="00193BC1" w:rsidRDefault="00B44DFB" w:rsidP="00B44DFB"/>
    <w:p w14:paraId="24DE8C01" w14:textId="77777777" w:rsidR="00B44DFB" w:rsidRPr="00193BC1" w:rsidRDefault="00B44DFB" w:rsidP="00B44DFB">
      <w:r w:rsidRPr="00193BC1">
        <w:t>However, they cannot swap to a particular biological medicine if they have failed</w:t>
      </w:r>
      <w:r w:rsidR="00AB75D7" w:rsidRPr="00193BC1">
        <w:t xml:space="preserve"> </w:t>
      </w:r>
      <w:r w:rsidRPr="00193BC1">
        <w:t xml:space="preserve">to respond to prior treatment with that drug within the same treatment cycle. </w:t>
      </w:r>
    </w:p>
    <w:p w14:paraId="08ADCDD2" w14:textId="77777777" w:rsidR="00B44DFB" w:rsidRPr="00193BC1" w:rsidRDefault="00B44DFB" w:rsidP="00B44DFB"/>
    <w:p w14:paraId="0EBDA165" w14:textId="77777777" w:rsidR="00B44DFB" w:rsidRPr="00193BC1" w:rsidRDefault="00B44DFB" w:rsidP="00B44DFB">
      <w:r w:rsidRPr="00193BC1">
        <w:t>Within the same treatment cycle a patient may alternate between therapy with any biological</w:t>
      </w:r>
      <w:r w:rsidR="00AB75D7" w:rsidRPr="00193BC1">
        <w:t xml:space="preserve"> </w:t>
      </w:r>
      <w:r w:rsidRPr="00193BC1">
        <w:t xml:space="preserve">medicine of their choice (1 at a time) providing: </w:t>
      </w:r>
    </w:p>
    <w:p w14:paraId="1BE56AB2" w14:textId="77777777" w:rsidR="00B44DFB" w:rsidRPr="00193BC1" w:rsidRDefault="00B44DFB" w:rsidP="00B44DFB"/>
    <w:p w14:paraId="4B3B01AF" w14:textId="77777777" w:rsidR="00B44DFB" w:rsidRPr="00193BC1" w:rsidRDefault="00B44DFB" w:rsidP="00B44DFB">
      <w:r w:rsidRPr="00193BC1">
        <w:t>(i) they have not received PBS-subsidised treatment with that particular biological</w:t>
      </w:r>
      <w:r w:rsidR="00AB75D7" w:rsidRPr="00193BC1">
        <w:t xml:space="preserve"> </w:t>
      </w:r>
      <w:r w:rsidRPr="00193BC1">
        <w:t xml:space="preserve">medicine previously; or </w:t>
      </w:r>
    </w:p>
    <w:p w14:paraId="31BC7A4E" w14:textId="77777777" w:rsidR="00B44DFB" w:rsidRPr="00193BC1" w:rsidRDefault="00B44DFB" w:rsidP="00B44DFB"/>
    <w:p w14:paraId="26ACD31C" w14:textId="77777777" w:rsidR="00B44DFB" w:rsidRPr="00193BC1" w:rsidRDefault="00B44DFB" w:rsidP="00B44DFB">
      <w:r w:rsidRPr="00193BC1">
        <w:t>(ii) they have demonstrated an adequate response to that particular biological medicine</w:t>
      </w:r>
      <w:r w:rsidR="00AB75D7" w:rsidRPr="00193BC1">
        <w:t xml:space="preserve"> </w:t>
      </w:r>
      <w:r w:rsidRPr="00193BC1">
        <w:t xml:space="preserve">if they have previously trialled it on the PBS; and </w:t>
      </w:r>
    </w:p>
    <w:p w14:paraId="4F2BABAB" w14:textId="77777777" w:rsidR="00B44DFB" w:rsidRPr="00193BC1" w:rsidRDefault="00B44DFB" w:rsidP="00B44DFB"/>
    <w:p w14:paraId="5965986F" w14:textId="77777777" w:rsidR="00B44DFB" w:rsidRPr="00193BC1" w:rsidRDefault="00B44DFB" w:rsidP="00B44DFB">
      <w:r w:rsidRPr="00193BC1">
        <w:t>(iii) they have not previously failed to respond to treatment with all 4 biological</w:t>
      </w:r>
      <w:r w:rsidR="00AB75D7" w:rsidRPr="00193BC1">
        <w:t xml:space="preserve"> </w:t>
      </w:r>
      <w:r w:rsidRPr="00193BC1">
        <w:t xml:space="preserve">medicines in this treatment cycle. </w:t>
      </w:r>
    </w:p>
    <w:p w14:paraId="2995C7F2" w14:textId="77777777" w:rsidR="00B44DFB" w:rsidRPr="00193BC1" w:rsidRDefault="00B44DFB" w:rsidP="00B44DFB"/>
    <w:p w14:paraId="72245EC9" w14:textId="77777777" w:rsidR="00B44DFB" w:rsidRPr="00193BC1" w:rsidRDefault="00B44DFB" w:rsidP="00B44DFB">
      <w:r w:rsidRPr="00193BC1">
        <w:t>(5) Re-commencement of a new treatment cycle after a treatment break in PBS-subsidised</w:t>
      </w:r>
      <w:r w:rsidR="00AB75D7" w:rsidRPr="00193BC1">
        <w:t xml:space="preserve"> </w:t>
      </w:r>
      <w:r w:rsidRPr="00193BC1">
        <w:t xml:space="preserve">therapy: </w:t>
      </w:r>
    </w:p>
    <w:p w14:paraId="785536FB" w14:textId="77777777" w:rsidR="00B44DFB" w:rsidRPr="00193BC1" w:rsidRDefault="00B44DFB" w:rsidP="00B44DFB"/>
    <w:p w14:paraId="782B4606" w14:textId="77777777" w:rsidR="00B44DFB" w:rsidRPr="00193BC1" w:rsidRDefault="00B44DFB" w:rsidP="00B44DFB">
      <w:r w:rsidRPr="00193BC1">
        <w:t>A patient who wishes to trial a second or subsequent new treatment cycle, following a break in PBS-subsidised therapy of 12 months (in patients who have failed to achieve or ceased to sustain a response</w:t>
      </w:r>
      <w:r w:rsidR="00AE1789" w:rsidRPr="00193BC1">
        <w:t xml:space="preserve"> </w:t>
      </w:r>
      <w:r w:rsidRPr="00193BC1">
        <w:t xml:space="preserve">to treatment </w:t>
      </w:r>
      <w:r w:rsidR="00C66A29" w:rsidRPr="00193BC1">
        <w:t xml:space="preserve">4 </w:t>
      </w:r>
      <w:r w:rsidRPr="00193BC1">
        <w:t xml:space="preserve">times within a treatment cycle), must re-qualify through an Initial 1 restriction. </w:t>
      </w:r>
    </w:p>
    <w:p w14:paraId="2F2A4459" w14:textId="77777777" w:rsidR="00B44DFB" w:rsidRPr="00193BC1" w:rsidRDefault="00B44DFB" w:rsidP="00B44DFB"/>
    <w:p w14:paraId="038CE107" w14:textId="77777777" w:rsidR="00B44DFB" w:rsidRPr="00193BC1" w:rsidRDefault="00B44DFB" w:rsidP="00B44DFB">
      <w:r w:rsidRPr="00193BC1">
        <w:t>(6) Monitoring of patients:</w:t>
      </w:r>
    </w:p>
    <w:p w14:paraId="4EA18316" w14:textId="77777777" w:rsidR="00B44DFB" w:rsidRPr="00193BC1" w:rsidRDefault="00B44DFB" w:rsidP="00B44DFB"/>
    <w:p w14:paraId="252ED004" w14:textId="77777777" w:rsidR="00B44DFB" w:rsidRPr="00193BC1" w:rsidRDefault="00B44DFB" w:rsidP="00B44DFB">
      <w:r w:rsidRPr="00193BC1">
        <w:t>Omalizumab only:</w:t>
      </w:r>
    </w:p>
    <w:p w14:paraId="0FEEE7F2" w14:textId="77777777" w:rsidR="00B44DFB" w:rsidRPr="00193BC1" w:rsidRDefault="00B44DFB" w:rsidP="00B44DFB"/>
    <w:p w14:paraId="5B44F51F" w14:textId="77777777" w:rsidR="00B44DFB" w:rsidRPr="00193BC1" w:rsidRDefault="00B44DFB" w:rsidP="00B44DFB">
      <w:r w:rsidRPr="00193BC1">
        <w:t>Anaphylaxis and anaphylactoid reactions have been reported following first or subsequent</w:t>
      </w:r>
      <w:r w:rsidR="00AE1789" w:rsidRPr="00193BC1">
        <w:t xml:space="preserve"> </w:t>
      </w:r>
      <w:r w:rsidRPr="00193BC1">
        <w:t>administration of omalizumab (see Product Information). Patients should be monitored</w:t>
      </w:r>
      <w:r w:rsidR="00AE1789" w:rsidRPr="00193BC1">
        <w:t xml:space="preserve"> </w:t>
      </w:r>
      <w:r w:rsidRPr="00193BC1">
        <w:t>post-injection, and medications for the treatment of anaphylactic reactions should</w:t>
      </w:r>
      <w:r w:rsidR="00AE1789" w:rsidRPr="00193BC1">
        <w:t xml:space="preserve"> </w:t>
      </w:r>
      <w:r w:rsidRPr="00193BC1">
        <w:t>be available for immediate use following administration of omalizumab. Patients should</w:t>
      </w:r>
      <w:r w:rsidR="00AE1789" w:rsidRPr="00193BC1">
        <w:t xml:space="preserve"> </w:t>
      </w:r>
      <w:r w:rsidRPr="00193BC1">
        <w:t>be informed that such reactions are possible and prompt medical attention should be</w:t>
      </w:r>
      <w:r w:rsidR="00AE1789" w:rsidRPr="00193BC1">
        <w:t xml:space="preserve"> </w:t>
      </w:r>
      <w:r w:rsidRPr="00193BC1">
        <w:t xml:space="preserve">sought if allergic reactions occur. </w:t>
      </w:r>
    </w:p>
    <w:p w14:paraId="7F7C87AA" w14:textId="77777777" w:rsidR="007242EB" w:rsidRPr="00193BC1" w:rsidRDefault="007242EB" w:rsidP="00B44DFB"/>
    <w:p w14:paraId="676D8A0E" w14:textId="77777777" w:rsidR="00B44DFB" w:rsidRPr="00193BC1" w:rsidRDefault="00B44DFB" w:rsidP="00B44DFB">
      <w:r w:rsidRPr="00193BC1">
        <w:t>Note</w:t>
      </w:r>
    </w:p>
    <w:p w14:paraId="70561A51" w14:textId="77777777" w:rsidR="00B44DFB" w:rsidRPr="00193BC1" w:rsidRDefault="00B44DFB" w:rsidP="00B44DFB">
      <w:r w:rsidRPr="00193BC1">
        <w:t>Special Pricing Arrangements apply.</w:t>
      </w:r>
    </w:p>
    <w:p w14:paraId="323C9076" w14:textId="77777777" w:rsidR="00B44DFB" w:rsidRPr="00193BC1" w:rsidRDefault="00B44DFB" w:rsidP="00B44DFB">
      <w:pPr>
        <w:jc w:val="left"/>
      </w:pPr>
    </w:p>
    <w:p w14:paraId="587EBC3B" w14:textId="77777777" w:rsidR="00B44DFB" w:rsidRPr="00193BC1" w:rsidRDefault="00B44DFB" w:rsidP="00B44DFB">
      <w:r w:rsidRPr="00193BC1">
        <w:t>FLOW ON CHANGES TO OMALIZUMAB, BENRALIZUMAB AND MEPOLIZUMAB:</w:t>
      </w:r>
    </w:p>
    <w:p w14:paraId="11081A93" w14:textId="77777777" w:rsidR="00B44DFB" w:rsidRPr="00193BC1" w:rsidRDefault="00B44DFB" w:rsidP="00B44DFB"/>
    <w:p w14:paraId="7EF02588" w14:textId="77777777" w:rsidR="00B44DFB" w:rsidRPr="00193BC1" w:rsidRDefault="00B44DFB" w:rsidP="00B44DFB">
      <w:r w:rsidRPr="00193BC1">
        <w:lastRenderedPageBreak/>
        <w:t xml:space="preserve">Flow on change required – change the </w:t>
      </w:r>
      <w:r w:rsidR="00C0147A" w:rsidRPr="00193BC1">
        <w:t>numeral</w:t>
      </w:r>
      <w:r w:rsidRPr="00193BC1">
        <w:t xml:space="preserve"> ‘3’ to ‘4’for the following PBS items: </w:t>
      </w:r>
    </w:p>
    <w:p w14:paraId="5DDCD215" w14:textId="77777777" w:rsidR="00B44DFB" w:rsidRPr="00193BC1" w:rsidRDefault="00B44DFB" w:rsidP="00B44DFB"/>
    <w:p w14:paraId="7B745D3F" w14:textId="77777777" w:rsidR="00B44DFB" w:rsidRPr="00193BC1" w:rsidRDefault="00B44DFB" w:rsidP="00B44DFB">
      <w:pPr>
        <w:pStyle w:val="ListParagraph"/>
        <w:numPr>
          <w:ilvl w:val="0"/>
          <w:numId w:val="29"/>
        </w:numPr>
        <w:rPr>
          <w:rFonts w:cstheme="minorHAnsi"/>
        </w:rPr>
      </w:pPr>
      <w:r w:rsidRPr="00193BC1">
        <w:rPr>
          <w:rFonts w:cstheme="minorHAnsi"/>
        </w:rPr>
        <w:t xml:space="preserve">Applicable to omalizumab 10109C, 10122R, 10110D, 10118M </w:t>
      </w:r>
    </w:p>
    <w:p w14:paraId="3A2A3020" w14:textId="77777777" w:rsidR="00B44DFB" w:rsidRPr="00193BC1" w:rsidRDefault="00B44DFB" w:rsidP="00B44DFB">
      <w:pPr>
        <w:rPr>
          <w:rFonts w:asciiTheme="minorHAnsi" w:hAnsiTheme="minorHAnsi" w:cstheme="minorHAnsi"/>
        </w:rPr>
      </w:pPr>
      <w:r w:rsidRPr="00193BC1">
        <w:rPr>
          <w:rFonts w:asciiTheme="minorHAnsi" w:hAnsiTheme="minorHAnsi" w:cstheme="minorHAnsi"/>
        </w:rPr>
        <w:t>[25384] edits required to ‘A treatment break in PBS-subsidised biological medicine therapy of at least 12 months must be observed in a patient who has either failed to achieve or sustain a response to treatment with 3 biological medicines for severe asthma within the same treatment cycle.’</w:t>
      </w:r>
    </w:p>
    <w:p w14:paraId="7F850760" w14:textId="77777777" w:rsidR="00B44DFB" w:rsidRPr="00193BC1" w:rsidRDefault="00B44DFB" w:rsidP="00B44DFB">
      <w:pPr>
        <w:rPr>
          <w:rFonts w:asciiTheme="minorHAnsi" w:hAnsiTheme="minorHAnsi" w:cstheme="minorHAnsi"/>
        </w:rPr>
      </w:pPr>
    </w:p>
    <w:p w14:paraId="2D78E038" w14:textId="77777777" w:rsidR="00B44DFB" w:rsidRPr="00193BC1" w:rsidRDefault="00B44DFB" w:rsidP="00B44DFB">
      <w:pPr>
        <w:pStyle w:val="ListParagraph"/>
        <w:numPr>
          <w:ilvl w:val="0"/>
          <w:numId w:val="29"/>
        </w:numPr>
        <w:rPr>
          <w:rFonts w:cstheme="minorHAnsi"/>
        </w:rPr>
      </w:pPr>
      <w:r w:rsidRPr="00193BC1">
        <w:rPr>
          <w:rFonts w:cstheme="minorHAnsi"/>
        </w:rPr>
        <w:t xml:space="preserve">Applicable to </w:t>
      </w:r>
      <w:r w:rsidR="00C0147A" w:rsidRPr="00193BC1">
        <w:rPr>
          <w:rFonts w:cstheme="minorHAnsi"/>
        </w:rPr>
        <w:t>benralizumab</w:t>
      </w:r>
      <w:r w:rsidRPr="00193BC1">
        <w:rPr>
          <w:rFonts w:cstheme="minorHAnsi"/>
        </w:rPr>
        <w:t xml:space="preserve"> </w:t>
      </w:r>
      <w:r w:rsidRPr="00193BC1">
        <w:rPr>
          <w:rStyle w:val="text-widget3"/>
          <w:rFonts w:cstheme="minorHAnsi"/>
          <w:color w:val="333333"/>
        </w:rPr>
        <w:t>11994G, 11997K, 11523L, 11549W</w:t>
      </w:r>
    </w:p>
    <w:p w14:paraId="113E7F04" w14:textId="77777777" w:rsidR="00B44DFB" w:rsidRPr="00193BC1" w:rsidRDefault="00B44DFB" w:rsidP="00B44DFB">
      <w:pPr>
        <w:rPr>
          <w:rFonts w:asciiTheme="minorHAnsi" w:hAnsiTheme="minorHAnsi" w:cstheme="minorHAnsi"/>
          <w:color w:val="333333"/>
        </w:rPr>
      </w:pPr>
      <w:r w:rsidRPr="00193BC1">
        <w:rPr>
          <w:rFonts w:asciiTheme="minorHAnsi" w:hAnsiTheme="minorHAnsi" w:cstheme="minorHAnsi"/>
        </w:rPr>
        <w:t xml:space="preserve">[25459] edits </w:t>
      </w:r>
      <w:r w:rsidR="00C0147A" w:rsidRPr="00193BC1">
        <w:rPr>
          <w:rFonts w:asciiTheme="minorHAnsi" w:hAnsiTheme="minorHAnsi" w:cstheme="minorHAnsi"/>
        </w:rPr>
        <w:t>required</w:t>
      </w:r>
      <w:r w:rsidRPr="00193BC1">
        <w:rPr>
          <w:rFonts w:asciiTheme="minorHAnsi" w:hAnsiTheme="minorHAnsi" w:cstheme="minorHAnsi"/>
        </w:rPr>
        <w:t xml:space="preserve"> to ‘</w:t>
      </w:r>
      <w:r w:rsidRPr="00193BC1">
        <w:rPr>
          <w:rFonts w:asciiTheme="minorHAnsi" w:hAnsiTheme="minorHAnsi" w:cstheme="minorHAnsi"/>
          <w:color w:val="333333"/>
        </w:rPr>
        <w:t>A treatment break in PBS-subsidised biological medicine therapy of at least 12 months must be observed in a patient who has either failed to achieve or sustain a response to treatment with 3 biological medicines within the same treatment cycle.’</w:t>
      </w:r>
    </w:p>
    <w:p w14:paraId="259B788C" w14:textId="77777777" w:rsidR="00B44DFB" w:rsidRPr="00193BC1" w:rsidRDefault="00B44DFB" w:rsidP="00B44DFB">
      <w:pPr>
        <w:rPr>
          <w:rFonts w:asciiTheme="minorHAnsi" w:hAnsiTheme="minorHAnsi" w:cstheme="minorHAnsi"/>
          <w:color w:val="333333"/>
        </w:rPr>
      </w:pPr>
    </w:p>
    <w:p w14:paraId="586C6042" w14:textId="77777777" w:rsidR="00B44DFB" w:rsidRPr="00193BC1" w:rsidRDefault="00B44DFB" w:rsidP="00B44DFB">
      <w:pPr>
        <w:pStyle w:val="ListParagraph"/>
        <w:numPr>
          <w:ilvl w:val="0"/>
          <w:numId w:val="29"/>
        </w:numPr>
        <w:rPr>
          <w:rStyle w:val="text-widget3"/>
          <w:rFonts w:cstheme="minorHAnsi"/>
        </w:rPr>
      </w:pPr>
      <w:r w:rsidRPr="00193BC1">
        <w:rPr>
          <w:rFonts w:cstheme="minorHAnsi"/>
        </w:rPr>
        <w:t xml:space="preserve">Applicable to </w:t>
      </w:r>
      <w:r w:rsidR="00C0147A" w:rsidRPr="00193BC1">
        <w:rPr>
          <w:rFonts w:cstheme="minorHAnsi"/>
        </w:rPr>
        <w:t>mepolizumab</w:t>
      </w:r>
      <w:r w:rsidRPr="00193BC1">
        <w:rPr>
          <w:rFonts w:cstheme="minorHAnsi"/>
        </w:rPr>
        <w:t xml:space="preserve"> </w:t>
      </w:r>
      <w:r w:rsidRPr="00193BC1">
        <w:rPr>
          <w:rStyle w:val="text-widget3"/>
          <w:rFonts w:cstheme="minorHAnsi"/>
          <w:color w:val="333333"/>
        </w:rPr>
        <w:t xml:space="preserve">10996R, 11003D, 12007Y, 12051G </w:t>
      </w:r>
    </w:p>
    <w:p w14:paraId="50B5B62B" w14:textId="77777777" w:rsidR="00BF75AD" w:rsidRDefault="00B44DFB" w:rsidP="009305AD">
      <w:pPr>
        <w:rPr>
          <w:rFonts w:asciiTheme="minorHAnsi" w:hAnsiTheme="minorHAnsi" w:cstheme="minorHAnsi"/>
          <w:color w:val="333333"/>
        </w:rPr>
      </w:pPr>
      <w:r w:rsidRPr="00193BC1">
        <w:rPr>
          <w:rFonts w:asciiTheme="minorHAnsi" w:hAnsiTheme="minorHAnsi" w:cstheme="minorHAnsi"/>
        </w:rPr>
        <w:t>[</w:t>
      </w:r>
      <w:r w:rsidRPr="00193BC1">
        <w:rPr>
          <w:rFonts w:asciiTheme="minorHAnsi" w:hAnsiTheme="minorHAnsi" w:cstheme="minorHAnsi"/>
          <w:color w:val="333333"/>
        </w:rPr>
        <w:t xml:space="preserve">25450] </w:t>
      </w:r>
      <w:r w:rsidRPr="00193BC1">
        <w:rPr>
          <w:rFonts w:asciiTheme="minorHAnsi" w:hAnsiTheme="minorHAnsi" w:cstheme="minorHAnsi"/>
        </w:rPr>
        <w:t xml:space="preserve">edits </w:t>
      </w:r>
      <w:r w:rsidR="00C0147A" w:rsidRPr="00193BC1">
        <w:rPr>
          <w:rFonts w:asciiTheme="minorHAnsi" w:hAnsiTheme="minorHAnsi" w:cstheme="minorHAnsi"/>
        </w:rPr>
        <w:t>required</w:t>
      </w:r>
      <w:r w:rsidRPr="00193BC1">
        <w:rPr>
          <w:rFonts w:asciiTheme="minorHAnsi" w:hAnsiTheme="minorHAnsi" w:cstheme="minorHAnsi"/>
        </w:rPr>
        <w:t xml:space="preserve"> to ‘</w:t>
      </w:r>
      <w:r w:rsidRPr="00193BC1">
        <w:rPr>
          <w:rFonts w:asciiTheme="minorHAnsi" w:hAnsiTheme="minorHAnsi" w:cstheme="minorHAnsi"/>
          <w:color w:val="333333"/>
        </w:rPr>
        <w:t>A treatment break in PBS-subsidised biological medicine therapy of at least 12 months must be observed in a patient who has either failed to achieve or sustain a response to treatment with 3 biological medicines within the same treatment cycle.’</w:t>
      </w:r>
    </w:p>
    <w:p w14:paraId="661A6291" w14:textId="77777777" w:rsidR="00BF75AD" w:rsidRDefault="00BF75AD" w:rsidP="00BF75AD">
      <w:pPr>
        <w:pStyle w:val="2-SectionHeading"/>
        <w:rPr>
          <w:bCs/>
          <w:lang w:val="en-GB"/>
        </w:rPr>
      </w:pPr>
      <w:r w:rsidRPr="00C07617">
        <w:t>Context for Decision</w:t>
      </w:r>
    </w:p>
    <w:p w14:paraId="1D443170" w14:textId="77777777" w:rsidR="00BF75AD" w:rsidRPr="007129F2" w:rsidRDefault="00BF75AD" w:rsidP="00AB5255">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5C296A94" w14:textId="77777777" w:rsidR="00BF75AD" w:rsidRPr="00C07617" w:rsidRDefault="00BF75AD" w:rsidP="00BF75AD">
      <w:pPr>
        <w:pStyle w:val="2-SectionHeading"/>
      </w:pPr>
      <w:r>
        <w:t>Sponsor’s Comment</w:t>
      </w:r>
    </w:p>
    <w:p w14:paraId="3BEAA840" w14:textId="77777777" w:rsidR="00BF75AD" w:rsidRPr="001179AC" w:rsidRDefault="00BF75AD" w:rsidP="00AB5255">
      <w:pPr>
        <w:spacing w:after="120"/>
        <w:ind w:firstLine="720"/>
        <w:rPr>
          <w:rFonts w:asciiTheme="minorHAnsi" w:hAnsiTheme="minorHAnsi"/>
          <w:bCs/>
        </w:rPr>
      </w:pPr>
      <w:r w:rsidRPr="00C07617">
        <w:rPr>
          <w:rFonts w:asciiTheme="minorHAnsi" w:hAnsiTheme="minorHAnsi"/>
          <w:bCs/>
        </w:rPr>
        <w:t>The sponsor had no comment.</w:t>
      </w:r>
    </w:p>
    <w:p w14:paraId="34457C16" w14:textId="77777777" w:rsidR="00BF75AD" w:rsidRPr="00B57220" w:rsidRDefault="00BF75AD" w:rsidP="009305AD">
      <w:pPr>
        <w:rPr>
          <w:rFonts w:asciiTheme="minorHAnsi" w:hAnsiTheme="minorHAnsi" w:cstheme="minorHAnsi"/>
        </w:rPr>
      </w:pPr>
    </w:p>
    <w:sectPr w:rsidR="00BF75AD" w:rsidRPr="00B57220" w:rsidSect="000104E0">
      <w:headerReference w:type="default" r:id="rId14"/>
      <w:footerReference w:type="default" r:id="rId15"/>
      <w:pgSz w:w="11907" w:h="16840" w:code="9"/>
      <w:pgMar w:top="1440" w:right="1440" w:bottom="1440" w:left="1440" w:header="1440" w:footer="144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4C9AB" w16cex:dateUtc="2020-11-22T00:27:00Z"/>
  <w16cex:commentExtensible w16cex:durableId="2364C9FC" w16cex:dateUtc="2020-11-22T00: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4E9D1C5" w16cid:durableId="23628CD1"/>
  <w16cid:commentId w16cid:paraId="567E7E64" w16cid:durableId="2364C9AB"/>
  <w16cid:commentId w16cid:paraId="0DA6CD3C" w16cid:durableId="23628CD2"/>
  <w16cid:commentId w16cid:paraId="559DDF5A" w16cid:durableId="2364C9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89DC83" w14:textId="77777777" w:rsidR="00545372" w:rsidRDefault="00545372" w:rsidP="00124A51">
      <w:r>
        <w:separator/>
      </w:r>
    </w:p>
    <w:p w14:paraId="32DD6482" w14:textId="77777777" w:rsidR="00545372" w:rsidRDefault="00545372"/>
  </w:endnote>
  <w:endnote w:type="continuationSeparator" w:id="0">
    <w:p w14:paraId="3F5ED681" w14:textId="77777777" w:rsidR="00545372" w:rsidRDefault="00545372" w:rsidP="00124A51">
      <w:r>
        <w:continuationSeparator/>
      </w:r>
    </w:p>
    <w:p w14:paraId="3457F8FE" w14:textId="77777777" w:rsidR="00545372" w:rsidRDefault="005453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Headings)">
    <w:altName w:val="Calibri Light"/>
    <w:charset w:val="00"/>
    <w:family w:val="roman"/>
    <w:pitch w:val="default"/>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405206"/>
      <w:docPartObj>
        <w:docPartGallery w:val="Page Numbers (Bottom of Page)"/>
        <w:docPartUnique/>
      </w:docPartObj>
    </w:sdtPr>
    <w:sdtEndPr>
      <w:rPr>
        <w:b/>
        <w:noProof/>
      </w:rPr>
    </w:sdtEndPr>
    <w:sdtContent>
      <w:p w14:paraId="1E2741AD" w14:textId="77777777" w:rsidR="00545372" w:rsidRDefault="00545372">
        <w:pPr>
          <w:pStyle w:val="Footer"/>
          <w:jc w:val="center"/>
        </w:pPr>
      </w:p>
      <w:p w14:paraId="630F3D66" w14:textId="4A65EFD5" w:rsidR="00545372" w:rsidRPr="00BE3882" w:rsidRDefault="00545372" w:rsidP="00BE3882">
        <w:pPr>
          <w:pStyle w:val="Footer"/>
          <w:jc w:val="center"/>
          <w:rPr>
            <w:b/>
          </w:rPr>
        </w:pPr>
        <w:r w:rsidRPr="00B805AB">
          <w:rPr>
            <w:b/>
          </w:rPr>
          <w:fldChar w:fldCharType="begin"/>
        </w:r>
        <w:r w:rsidRPr="00B805AB">
          <w:rPr>
            <w:b/>
          </w:rPr>
          <w:instrText xml:space="preserve"> PAGE   \* MERGEFORMAT </w:instrText>
        </w:r>
        <w:r w:rsidRPr="00B805AB">
          <w:rPr>
            <w:b/>
          </w:rPr>
          <w:fldChar w:fldCharType="separate"/>
        </w:r>
        <w:r w:rsidR="00026C00">
          <w:rPr>
            <w:b/>
            <w:noProof/>
          </w:rPr>
          <w:t>60</w:t>
        </w:r>
        <w:r w:rsidRPr="00B805AB">
          <w:rPr>
            <w:b/>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C78FF6" w14:textId="77777777" w:rsidR="00545372" w:rsidRDefault="00545372">
      <w:r>
        <w:separator/>
      </w:r>
    </w:p>
  </w:footnote>
  <w:footnote w:type="continuationSeparator" w:id="0">
    <w:p w14:paraId="60BDD4E4" w14:textId="77777777" w:rsidR="00545372" w:rsidRDefault="00545372" w:rsidP="00124A51">
      <w:r>
        <w:continuationSeparator/>
      </w:r>
    </w:p>
    <w:p w14:paraId="6D9D10AF" w14:textId="77777777" w:rsidR="00545372" w:rsidRDefault="00545372"/>
  </w:footnote>
  <w:footnote w:id="1">
    <w:p w14:paraId="6DAC7F23" w14:textId="77777777" w:rsidR="00545372" w:rsidRPr="00014DEA" w:rsidRDefault="00545372" w:rsidP="002A6DC1">
      <w:pPr>
        <w:pStyle w:val="FootnoteText"/>
        <w:jc w:val="both"/>
        <w:rPr>
          <w:lang w:val="en-US"/>
        </w:rPr>
      </w:pPr>
      <w:r>
        <w:rPr>
          <w:rStyle w:val="FootnoteReference"/>
        </w:rPr>
        <w:footnoteRef/>
      </w:r>
      <w:r>
        <w:t xml:space="preserve"> </w:t>
      </w:r>
      <w:r w:rsidRPr="00014DEA">
        <w:t>Australian Institute of Health and Welfare 2020. Asthma. Cat. no. ACM 33. Canberra: AIHW.</w:t>
      </w:r>
    </w:p>
  </w:footnote>
  <w:footnote w:id="2">
    <w:p w14:paraId="0D96436D" w14:textId="77777777" w:rsidR="00545372" w:rsidRPr="00014DEA" w:rsidRDefault="00545372" w:rsidP="002A6DC1">
      <w:pPr>
        <w:pStyle w:val="FootnoteText"/>
        <w:jc w:val="both"/>
        <w:rPr>
          <w:lang w:val="en-US"/>
        </w:rPr>
      </w:pPr>
      <w:r>
        <w:rPr>
          <w:rStyle w:val="FootnoteReference"/>
        </w:rPr>
        <w:footnoteRef/>
      </w:r>
      <w:r>
        <w:t xml:space="preserve"> Bel EH, Sousa A, Fleming L, et al. Diagnosis and definition of severe refractory asthma: an international consensus statement from the Innovative Medicine Initiative (IMI). </w:t>
      </w:r>
      <w:r>
        <w:rPr>
          <w:i/>
          <w:iCs/>
        </w:rPr>
        <w:t>Thorax</w:t>
      </w:r>
      <w:r>
        <w:t>. 2011;66(10):910-917.</w:t>
      </w:r>
    </w:p>
  </w:footnote>
  <w:footnote w:id="3">
    <w:p w14:paraId="58A55AAD" w14:textId="77777777" w:rsidR="00545372" w:rsidRPr="00014DEA" w:rsidRDefault="00545372" w:rsidP="002A6DC1">
      <w:pPr>
        <w:pStyle w:val="FootnoteText"/>
        <w:jc w:val="both"/>
        <w:rPr>
          <w:lang w:val="en-US"/>
        </w:rPr>
      </w:pPr>
      <w:r>
        <w:rPr>
          <w:rStyle w:val="FootnoteReference"/>
        </w:rPr>
        <w:footnoteRef/>
      </w:r>
      <w:r>
        <w:t xml:space="preserve"> </w:t>
      </w:r>
      <w:r>
        <w:rPr>
          <w:lang w:val="en-US"/>
        </w:rPr>
        <w:t xml:space="preserve">Wenzel, S. Severe asthma phenotypes. </w:t>
      </w:r>
      <w:r>
        <w:rPr>
          <w:i/>
          <w:iCs/>
          <w:lang w:val="en-US"/>
        </w:rPr>
        <w:t>UpToDate</w:t>
      </w:r>
      <w:r>
        <w:rPr>
          <w:lang w:val="en-US"/>
        </w:rPr>
        <w:t>. March 2020.</w:t>
      </w:r>
    </w:p>
  </w:footnote>
  <w:footnote w:id="4">
    <w:p w14:paraId="5A9493E2" w14:textId="77777777" w:rsidR="00545372" w:rsidRPr="001D53B9" w:rsidRDefault="00545372" w:rsidP="002A6DC1">
      <w:pPr>
        <w:pStyle w:val="FootnoteText"/>
        <w:jc w:val="both"/>
        <w:rPr>
          <w:lang w:val="en-US"/>
        </w:rPr>
      </w:pPr>
      <w:r>
        <w:rPr>
          <w:rStyle w:val="FootnoteReference"/>
        </w:rPr>
        <w:footnoteRef/>
      </w:r>
      <w:r>
        <w:t xml:space="preserve"> </w:t>
      </w:r>
      <w:r>
        <w:rPr>
          <w:lang w:val="en-US"/>
        </w:rPr>
        <w:t>Data provided from the Severe Asthma Web-Based Database, at the request of the sponsor.</w:t>
      </w:r>
    </w:p>
  </w:footnote>
  <w:footnote w:id="5">
    <w:p w14:paraId="10FA3AAB" w14:textId="77777777" w:rsidR="00545372" w:rsidRPr="00835E68" w:rsidRDefault="00545372" w:rsidP="002A6DC1">
      <w:pPr>
        <w:pStyle w:val="FootnoteText"/>
        <w:jc w:val="both"/>
        <w:rPr>
          <w:lang w:val="en-US"/>
        </w:rPr>
      </w:pPr>
      <w:r>
        <w:rPr>
          <w:rStyle w:val="FootnoteReference"/>
        </w:rPr>
        <w:footnoteRef/>
      </w:r>
      <w:r>
        <w:t xml:space="preserve"> </w:t>
      </w:r>
      <w:r w:rsidRPr="00835E68">
        <w:t xml:space="preserve">Heaney LG, Brightling CE, Menzies-Gow A, Stevenson M, Niven RM; British Thoracic Society Difficult Asthma Network. Refractory asthma in the UK: cross-sectional findings from a UK multicentre registry. </w:t>
      </w:r>
      <w:r w:rsidRPr="000D1CC9">
        <w:rPr>
          <w:i/>
          <w:iCs/>
        </w:rPr>
        <w:t>Thorax</w:t>
      </w:r>
      <w:r w:rsidRPr="00835E68">
        <w:t>. 2010;65(9):787-794.</w:t>
      </w:r>
    </w:p>
  </w:footnote>
  <w:footnote w:id="6">
    <w:p w14:paraId="6AA9655F" w14:textId="77777777" w:rsidR="00545372" w:rsidRPr="00835E68" w:rsidRDefault="00545372" w:rsidP="002A6DC1">
      <w:pPr>
        <w:pStyle w:val="FootnoteText"/>
        <w:jc w:val="both"/>
        <w:rPr>
          <w:lang w:val="en-US"/>
        </w:rPr>
      </w:pPr>
      <w:r>
        <w:rPr>
          <w:rStyle w:val="FootnoteReference"/>
        </w:rPr>
        <w:footnoteRef/>
      </w:r>
      <w:r>
        <w:t xml:space="preserve"> Hiles SA, Harvey ES, McDonald VM, et al. Working while unwell: Workplace impairment in people with severe asthma. </w:t>
      </w:r>
      <w:r>
        <w:rPr>
          <w:i/>
          <w:iCs/>
        </w:rPr>
        <w:t>Clin Exp Allergy</w:t>
      </w:r>
      <w:r>
        <w:t>. 2018;48(6):650-662.</w:t>
      </w:r>
    </w:p>
  </w:footnote>
  <w:footnote w:id="7">
    <w:p w14:paraId="7FA2D0A3" w14:textId="77777777" w:rsidR="00545372" w:rsidRPr="00835E68" w:rsidRDefault="00545372" w:rsidP="002A6DC1">
      <w:pPr>
        <w:pStyle w:val="FootnoteText"/>
        <w:jc w:val="both"/>
        <w:rPr>
          <w:lang w:val="en-US"/>
        </w:rPr>
      </w:pPr>
      <w:r>
        <w:rPr>
          <w:rStyle w:val="FootnoteReference"/>
        </w:rPr>
        <w:footnoteRef/>
      </w:r>
      <w:r>
        <w:t xml:space="preserve"> </w:t>
      </w:r>
      <w:r>
        <w:rPr>
          <w:lang w:val="en-US"/>
        </w:rPr>
        <w:t xml:space="preserve">Sullivan, PW, Ghushchyan, VH, Globe, G, Schatz, M. </w:t>
      </w:r>
      <w:r w:rsidRPr="00835E68">
        <w:rPr>
          <w:lang w:val="en-US"/>
        </w:rPr>
        <w:t>Oral corticosteroid exposure and adverse effects in asthmatic patients</w:t>
      </w:r>
      <w:r>
        <w:rPr>
          <w:lang w:val="en-US"/>
        </w:rPr>
        <w:t xml:space="preserve">. </w:t>
      </w:r>
      <w:r>
        <w:rPr>
          <w:i/>
          <w:iCs/>
          <w:lang w:val="en-US"/>
        </w:rPr>
        <w:t>Asthma and Lower Airway Disease</w:t>
      </w:r>
      <w:r>
        <w:rPr>
          <w:lang w:val="en-US"/>
        </w:rPr>
        <w:t>. 2017; 141(1):110-116.E7</w:t>
      </w:r>
    </w:p>
  </w:footnote>
  <w:footnote w:id="8">
    <w:p w14:paraId="242B0955" w14:textId="77777777" w:rsidR="00545372" w:rsidRPr="00096334" w:rsidRDefault="00545372" w:rsidP="002A6DC1">
      <w:pPr>
        <w:pStyle w:val="FootnoteText"/>
        <w:jc w:val="both"/>
        <w:rPr>
          <w:lang w:val="en-US"/>
        </w:rPr>
      </w:pPr>
      <w:r>
        <w:rPr>
          <w:rStyle w:val="FootnoteReference"/>
        </w:rPr>
        <w:footnoteRef/>
      </w:r>
      <w:r>
        <w:t xml:space="preserve"> </w:t>
      </w:r>
      <w:r w:rsidRPr="00096334">
        <w:t xml:space="preserve">Ortega HG, Liu MC, Pavord ID, et al. Mepolizumab treatment in patients with severe eosinophilic asthma [published correction appears in N Engl J Med. 2015 Apr 30;372(18):1777]. </w:t>
      </w:r>
      <w:r w:rsidRPr="00096334">
        <w:rPr>
          <w:i/>
        </w:rPr>
        <w:t>N Engl J Med</w:t>
      </w:r>
      <w:r w:rsidRPr="00096334">
        <w:t>. 2014;371(13):1198-1207</w:t>
      </w:r>
    </w:p>
  </w:footnote>
  <w:footnote w:id="9">
    <w:p w14:paraId="2211CF22" w14:textId="77777777" w:rsidR="00545372" w:rsidRPr="00B94E97" w:rsidRDefault="00545372">
      <w:pPr>
        <w:pStyle w:val="FootnoteText"/>
        <w:rPr>
          <w:lang w:val="en-US"/>
        </w:rPr>
      </w:pPr>
      <w:r>
        <w:rPr>
          <w:rStyle w:val="FootnoteReference"/>
        </w:rPr>
        <w:footnoteRef/>
      </w:r>
      <w:r>
        <w:t xml:space="preserve"> </w:t>
      </w:r>
      <w:r w:rsidRPr="00B94E97">
        <w:t xml:space="preserve">Limb SL, Starke PR, Lee CE, Chowdhury BA. Delayed onset and protracted progression of anaphylaxis after omalizumab administration in patients with asthma. </w:t>
      </w:r>
      <w:r w:rsidRPr="0069466F">
        <w:rPr>
          <w:i/>
        </w:rPr>
        <w:t>J Allergy Clin Immunol</w:t>
      </w:r>
      <w:r w:rsidRPr="00B94E97">
        <w:t>. 2007 Dec;120(6):1378-81.</w:t>
      </w:r>
    </w:p>
  </w:footnote>
  <w:footnote w:id="10">
    <w:p w14:paraId="2044093F" w14:textId="77777777" w:rsidR="00545372" w:rsidRDefault="00545372" w:rsidP="00714639">
      <w:pPr>
        <w:pStyle w:val="FootnoteText"/>
      </w:pPr>
      <w:r>
        <w:rPr>
          <w:rStyle w:val="FootnoteReference"/>
        </w:rPr>
        <w:footnoteRef/>
      </w:r>
      <w:r>
        <w:t xml:space="preserve"> </w:t>
      </w:r>
      <w:hyperlink r:id="rId1" w:history="1">
        <w:r w:rsidRPr="00FB7A92">
          <w:rPr>
            <w:rStyle w:val="Hyperlink"/>
          </w:rPr>
          <w:t>www.pbs.gov.au/info/industry/pricing/pbs-items/therapeutic-relativity-sheets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2F22A" w14:textId="77777777" w:rsidR="00545372" w:rsidRDefault="00545372" w:rsidP="005863D4">
    <w:pPr>
      <w:tabs>
        <w:tab w:val="center" w:pos="4153"/>
        <w:tab w:val="right" w:pos="8306"/>
      </w:tabs>
      <w:autoSpaceDE w:val="0"/>
      <w:autoSpaceDN w:val="0"/>
      <w:adjustRightInd w:val="0"/>
      <w:ind w:left="360"/>
      <w:jc w:val="center"/>
      <w:rPr>
        <w:rFonts w:asciiTheme="minorHAnsi" w:hAnsiTheme="minorHAnsi" w:cstheme="minorHAnsi"/>
        <w:i/>
        <w:iCs/>
      </w:rPr>
    </w:pPr>
    <w:r>
      <w:rPr>
        <w:rFonts w:asciiTheme="minorHAnsi" w:hAnsiTheme="minorHAnsi" w:cstheme="minorHAnsi"/>
        <w:i/>
        <w:iCs/>
      </w:rPr>
      <w:t>Public Summary Document – November 2020</w:t>
    </w:r>
    <w:r w:rsidRPr="00B805AB">
      <w:rPr>
        <w:rFonts w:asciiTheme="minorHAnsi" w:hAnsiTheme="minorHAnsi" w:cstheme="minorHAnsi"/>
        <w:i/>
        <w:iCs/>
      </w:rPr>
      <w:t xml:space="preserve"> PBAC Meeting</w:t>
    </w:r>
  </w:p>
  <w:p w14:paraId="7B8A7F27" w14:textId="77777777" w:rsidR="00545372" w:rsidRPr="00EF2BB6" w:rsidRDefault="00545372" w:rsidP="00B43E10">
    <w:pPr>
      <w:tabs>
        <w:tab w:val="left" w:pos="142"/>
        <w:tab w:val="right" w:pos="902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4EC66906"/>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84EE470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61C0510"/>
    <w:multiLevelType w:val="hybridMultilevel"/>
    <w:tmpl w:val="C64A822E"/>
    <w:lvl w:ilvl="0" w:tplc="A3DE2B22">
      <w:start w:val="1"/>
      <w:numFmt w:val="bullet"/>
      <w:pStyle w:val="BoxBullet"/>
      <w:lvlText w:val=""/>
      <w:lvlJc w:val="left"/>
      <w:pPr>
        <w:ind w:left="1791" w:hanging="360"/>
      </w:pPr>
      <w:rPr>
        <w:rFonts w:ascii="Symbol" w:hAnsi="Symbol" w:hint="default"/>
      </w:rPr>
    </w:lvl>
    <w:lvl w:ilvl="1" w:tplc="0C090003" w:tentative="1">
      <w:start w:val="1"/>
      <w:numFmt w:val="bullet"/>
      <w:lvlText w:val="o"/>
      <w:lvlJc w:val="left"/>
      <w:pPr>
        <w:ind w:left="2511" w:hanging="360"/>
      </w:pPr>
      <w:rPr>
        <w:rFonts w:ascii="Courier New" w:hAnsi="Courier New" w:cs="Courier New" w:hint="default"/>
      </w:rPr>
    </w:lvl>
    <w:lvl w:ilvl="2" w:tplc="0C090005" w:tentative="1">
      <w:start w:val="1"/>
      <w:numFmt w:val="bullet"/>
      <w:lvlText w:val=""/>
      <w:lvlJc w:val="left"/>
      <w:pPr>
        <w:ind w:left="3231" w:hanging="360"/>
      </w:pPr>
      <w:rPr>
        <w:rFonts w:ascii="Wingdings" w:hAnsi="Wingdings"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3" w15:restartNumberingAfterBreak="0">
    <w:nsid w:val="08BF3E1E"/>
    <w:multiLevelType w:val="hybridMultilevel"/>
    <w:tmpl w:val="26362A7C"/>
    <w:lvl w:ilvl="0" w:tplc="D310C04A">
      <w:numFmt w:val="bullet"/>
      <w:lvlText w:val="•"/>
      <w:lvlJc w:val="left"/>
      <w:pPr>
        <w:ind w:left="810" w:hanging="90"/>
      </w:pPr>
      <w:rPr>
        <w:rFonts w:asciiTheme="minorHAnsi" w:eastAsiaTheme="minorHAnsi" w:hAnsiTheme="minorHAns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0FFF556F"/>
    <w:multiLevelType w:val="hybridMultilevel"/>
    <w:tmpl w:val="6BC035C4"/>
    <w:lvl w:ilvl="0" w:tplc="FB942214">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208A8"/>
    <w:multiLevelType w:val="hybridMultilevel"/>
    <w:tmpl w:val="93E09266"/>
    <w:lvl w:ilvl="0" w:tplc="945635C4">
      <w:start w:val="1"/>
      <w:numFmt w:val="decimal"/>
      <w:pStyle w:val="TableNumbered"/>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150509A7"/>
    <w:multiLevelType w:val="hybridMultilevel"/>
    <w:tmpl w:val="DB8AF54E"/>
    <w:lvl w:ilvl="0" w:tplc="01A44E6E">
      <w:start w:val="1"/>
      <w:numFmt w:val="bullet"/>
      <w:pStyle w:val="DashEndLi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D414871"/>
    <w:multiLevelType w:val="hybridMultilevel"/>
    <w:tmpl w:val="33E402E6"/>
    <w:lvl w:ilvl="0" w:tplc="B3DA2C6A">
      <w:start w:val="1"/>
      <w:numFmt w:val="bullet"/>
      <w:pStyle w:val="BulletBefore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FD530A6"/>
    <w:multiLevelType w:val="hybridMultilevel"/>
    <w:tmpl w:val="1AB03954"/>
    <w:lvl w:ilvl="0" w:tplc="D310C04A">
      <w:numFmt w:val="bullet"/>
      <w:lvlText w:val="•"/>
      <w:lvlJc w:val="left"/>
      <w:pPr>
        <w:ind w:left="1530" w:hanging="90"/>
      </w:pPr>
      <w:rPr>
        <w:rFonts w:asciiTheme="minorHAnsi" w:eastAsiaTheme="minorHAnsi" w:hAnsiTheme="minorHAnsi" w:cstheme="minorBidi"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312D5244"/>
    <w:multiLevelType w:val="hybridMultilevel"/>
    <w:tmpl w:val="00E250B2"/>
    <w:lvl w:ilvl="0" w:tplc="32AE89D0">
      <w:start w:val="1"/>
      <w:numFmt w:val="bullet"/>
      <w:pStyle w:val="Das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3F69F4"/>
    <w:multiLevelType w:val="hybridMultilevel"/>
    <w:tmpl w:val="BA52736E"/>
    <w:lvl w:ilvl="0" w:tplc="9C96C702">
      <w:start w:val="1"/>
      <w:numFmt w:val="bullet"/>
      <w:pStyle w:val="TableNot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854661"/>
    <w:multiLevelType w:val="multilevel"/>
    <w:tmpl w:val="9362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C150C"/>
    <w:multiLevelType w:val="multilevel"/>
    <w:tmpl w:val="B0FC4C04"/>
    <w:lvl w:ilvl="0">
      <w:start w:val="1"/>
      <w:numFmt w:val="decimal"/>
      <w:pStyle w:val="Appendix"/>
      <w:lvlText w:val="%1)Appendix A"/>
      <w:lvlJc w:val="left"/>
      <w:pPr>
        <w:ind w:left="360" w:hanging="360"/>
      </w:pPr>
      <w:rPr>
        <w:rFonts w:ascii="Calibri Light (Headings)" w:hAnsi="Calibri Light (Headings)" w:hint="default"/>
        <w:b/>
        <w:i w:val="0"/>
        <w:sz w:val="22"/>
      </w:rPr>
    </w:lvl>
    <w:lvl w:ilvl="1">
      <w:start w:val="1"/>
      <w:numFmt w:val="upperLetter"/>
      <w:lvlText w:val="%2)Appendix A.%1"/>
      <w:lvlJc w:val="left"/>
      <w:pPr>
        <w:ind w:left="720" w:hanging="360"/>
      </w:pPr>
      <w:rPr>
        <w:rFonts w:hint="default"/>
      </w:rPr>
    </w:lvl>
    <w:lvl w:ilvl="2">
      <w:start w:val="1"/>
      <w:numFmt w:val="decimal"/>
      <w:lvlText w:val="%3)Appendix A.%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9610729"/>
    <w:multiLevelType w:val="hybridMultilevel"/>
    <w:tmpl w:val="D528182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DC17DF"/>
    <w:multiLevelType w:val="hybridMultilevel"/>
    <w:tmpl w:val="E99EFEF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2864EFC"/>
    <w:multiLevelType w:val="hybridMultilevel"/>
    <w:tmpl w:val="4C0488BC"/>
    <w:lvl w:ilvl="0" w:tplc="0C090001">
      <w:start w:val="1"/>
      <w:numFmt w:val="bullet"/>
      <w:lvlText w:val=""/>
      <w:lvlJc w:val="left"/>
      <w:pPr>
        <w:ind w:left="415" w:hanging="360"/>
      </w:pPr>
      <w:rPr>
        <w:rFonts w:ascii="Symbol" w:hAnsi="Symbol" w:hint="default"/>
      </w:rPr>
    </w:lvl>
    <w:lvl w:ilvl="1" w:tplc="8EC0E9DE">
      <w:numFmt w:val="bullet"/>
      <w:lvlText w:val="•"/>
      <w:lvlJc w:val="left"/>
      <w:pPr>
        <w:ind w:left="1135" w:hanging="360"/>
      </w:pPr>
      <w:rPr>
        <w:rFonts w:ascii="Arial Narrow" w:eastAsiaTheme="majorEastAsia" w:hAnsi="Arial Narrow" w:cstheme="majorBidi" w:hint="default"/>
      </w:rPr>
    </w:lvl>
    <w:lvl w:ilvl="2" w:tplc="0C090005" w:tentative="1">
      <w:start w:val="1"/>
      <w:numFmt w:val="bullet"/>
      <w:lvlText w:val=""/>
      <w:lvlJc w:val="left"/>
      <w:pPr>
        <w:ind w:left="1855" w:hanging="360"/>
      </w:pPr>
      <w:rPr>
        <w:rFonts w:ascii="Wingdings" w:hAnsi="Wingdings" w:hint="default"/>
      </w:rPr>
    </w:lvl>
    <w:lvl w:ilvl="3" w:tplc="0C090001" w:tentative="1">
      <w:start w:val="1"/>
      <w:numFmt w:val="bullet"/>
      <w:lvlText w:val=""/>
      <w:lvlJc w:val="left"/>
      <w:pPr>
        <w:ind w:left="2575" w:hanging="360"/>
      </w:pPr>
      <w:rPr>
        <w:rFonts w:ascii="Symbol" w:hAnsi="Symbol" w:hint="default"/>
      </w:rPr>
    </w:lvl>
    <w:lvl w:ilvl="4" w:tplc="0C090003" w:tentative="1">
      <w:start w:val="1"/>
      <w:numFmt w:val="bullet"/>
      <w:lvlText w:val="o"/>
      <w:lvlJc w:val="left"/>
      <w:pPr>
        <w:ind w:left="3295" w:hanging="360"/>
      </w:pPr>
      <w:rPr>
        <w:rFonts w:ascii="Courier New" w:hAnsi="Courier New" w:cs="Courier New" w:hint="default"/>
      </w:rPr>
    </w:lvl>
    <w:lvl w:ilvl="5" w:tplc="0C090005" w:tentative="1">
      <w:start w:val="1"/>
      <w:numFmt w:val="bullet"/>
      <w:lvlText w:val=""/>
      <w:lvlJc w:val="left"/>
      <w:pPr>
        <w:ind w:left="4015" w:hanging="360"/>
      </w:pPr>
      <w:rPr>
        <w:rFonts w:ascii="Wingdings" w:hAnsi="Wingdings" w:hint="default"/>
      </w:rPr>
    </w:lvl>
    <w:lvl w:ilvl="6" w:tplc="0C090001" w:tentative="1">
      <w:start w:val="1"/>
      <w:numFmt w:val="bullet"/>
      <w:lvlText w:val=""/>
      <w:lvlJc w:val="left"/>
      <w:pPr>
        <w:ind w:left="4735" w:hanging="360"/>
      </w:pPr>
      <w:rPr>
        <w:rFonts w:ascii="Symbol" w:hAnsi="Symbol" w:hint="default"/>
      </w:rPr>
    </w:lvl>
    <w:lvl w:ilvl="7" w:tplc="0C090003" w:tentative="1">
      <w:start w:val="1"/>
      <w:numFmt w:val="bullet"/>
      <w:lvlText w:val="o"/>
      <w:lvlJc w:val="left"/>
      <w:pPr>
        <w:ind w:left="5455" w:hanging="360"/>
      </w:pPr>
      <w:rPr>
        <w:rFonts w:ascii="Courier New" w:hAnsi="Courier New" w:cs="Courier New" w:hint="default"/>
      </w:rPr>
    </w:lvl>
    <w:lvl w:ilvl="8" w:tplc="0C090005" w:tentative="1">
      <w:start w:val="1"/>
      <w:numFmt w:val="bullet"/>
      <w:lvlText w:val=""/>
      <w:lvlJc w:val="left"/>
      <w:pPr>
        <w:ind w:left="6175" w:hanging="360"/>
      </w:pPr>
      <w:rPr>
        <w:rFonts w:ascii="Wingdings" w:hAnsi="Wingdings" w:hint="default"/>
      </w:rPr>
    </w:lvl>
  </w:abstractNum>
  <w:abstractNum w:abstractNumId="17"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58D67A6"/>
    <w:multiLevelType w:val="multilevel"/>
    <w:tmpl w:val="3AB6D22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62F4A0B"/>
    <w:multiLevelType w:val="hybridMultilevel"/>
    <w:tmpl w:val="8230ED46"/>
    <w:lvl w:ilvl="0" w:tplc="37762F46">
      <w:start w:val="1"/>
      <w:numFmt w:val="bullet"/>
      <w:pStyle w:val="TableBullet0"/>
      <w:lvlText w:val="•"/>
      <w:lvlJc w:val="left"/>
      <w:pPr>
        <w:tabs>
          <w:tab w:val="num" w:pos="360"/>
        </w:tabs>
        <w:ind w:left="360" w:hanging="360"/>
      </w:pPr>
      <w:rPr>
        <w:rFonts w:ascii="Verdana" w:hAnsi="Verdana" w:hint="default"/>
        <w:sz w:val="18"/>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1B73D7"/>
    <w:multiLevelType w:val="multilevel"/>
    <w:tmpl w:val="93C69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95D3768"/>
    <w:multiLevelType w:val="hybridMultilevel"/>
    <w:tmpl w:val="2690D56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B436509"/>
    <w:multiLevelType w:val="hybridMultilevel"/>
    <w:tmpl w:val="8AEAD076"/>
    <w:lvl w:ilvl="0" w:tplc="020A74BC">
      <w:start w:val="1"/>
      <w:numFmt w:val="bullet"/>
      <w:pStyle w:val="DashLas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3" w15:restartNumberingAfterBreak="0">
    <w:nsid w:val="5C6264B4"/>
    <w:multiLevelType w:val="hybridMultilevel"/>
    <w:tmpl w:val="04C2F852"/>
    <w:lvl w:ilvl="0" w:tplc="2E5E2236">
      <w:start w:val="1"/>
      <w:numFmt w:val="bullet"/>
      <w:pStyle w:val="TableDash"/>
      <w:lvlText w:val="–"/>
      <w:lvlJc w:val="left"/>
      <w:pPr>
        <w:tabs>
          <w:tab w:val="num" w:pos="216"/>
        </w:tabs>
        <w:ind w:left="432" w:hanging="216"/>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376012"/>
    <w:multiLevelType w:val="multilevel"/>
    <w:tmpl w:val="AAE48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2724BA"/>
    <w:multiLevelType w:val="hybridMultilevel"/>
    <w:tmpl w:val="058C4D0E"/>
    <w:lvl w:ilvl="0" w:tplc="775200BE">
      <w:start w:val="1"/>
      <w:numFmt w:val="bullet"/>
      <w:pStyle w:val="BulletLa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1848E0"/>
    <w:multiLevelType w:val="hybridMultilevel"/>
    <w:tmpl w:val="815047A4"/>
    <w:lvl w:ilvl="0" w:tplc="D310C04A">
      <w:numFmt w:val="bullet"/>
      <w:lvlText w:val="•"/>
      <w:lvlJc w:val="left"/>
      <w:pPr>
        <w:ind w:left="810" w:hanging="90"/>
      </w:pPr>
      <w:rPr>
        <w:rFonts w:asciiTheme="minorHAnsi" w:eastAsiaTheme="minorHAnsi" w:hAnsiTheme="minorHAns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5210219"/>
    <w:multiLevelType w:val="hybridMultilevel"/>
    <w:tmpl w:val="6A34E4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7033A66"/>
    <w:multiLevelType w:val="hybridMultilevel"/>
    <w:tmpl w:val="3FBA45E0"/>
    <w:lvl w:ilvl="0" w:tplc="D310C04A">
      <w:numFmt w:val="bullet"/>
      <w:lvlText w:val="•"/>
      <w:lvlJc w:val="left"/>
      <w:pPr>
        <w:ind w:left="810" w:hanging="90"/>
      </w:pPr>
      <w:rPr>
        <w:rFonts w:asciiTheme="minorHAnsi" w:eastAsiaTheme="minorHAnsi" w:hAnsiTheme="minorHAns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CC348B"/>
    <w:multiLevelType w:val="hybridMultilevel"/>
    <w:tmpl w:val="894A5532"/>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6BD109D"/>
    <w:multiLevelType w:val="hybridMultilevel"/>
    <w:tmpl w:val="F8D837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pStyle w:val="StyleHeading5p511ptBoldNotItalic"/>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0C1813"/>
    <w:multiLevelType w:val="hybridMultilevel"/>
    <w:tmpl w:val="BC4AE6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9742700"/>
    <w:multiLevelType w:val="hybridMultilevel"/>
    <w:tmpl w:val="8982E212"/>
    <w:lvl w:ilvl="0" w:tplc="06C64488">
      <w:start w:val="1"/>
      <w:numFmt w:val="bullet"/>
      <w:pStyle w:val="BoxTickbox"/>
      <w:lvlText w:val=""/>
      <w:lvlJc w:val="left"/>
      <w:pPr>
        <w:ind w:left="36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3645F6"/>
    <w:multiLevelType w:val="hybridMultilevel"/>
    <w:tmpl w:val="1542DFE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8"/>
  </w:num>
  <w:num w:numId="3">
    <w:abstractNumId w:val="1"/>
  </w:num>
  <w:num w:numId="4">
    <w:abstractNumId w:val="7"/>
  </w:num>
  <w:num w:numId="5">
    <w:abstractNumId w:val="5"/>
  </w:num>
  <w:num w:numId="6">
    <w:abstractNumId w:val="11"/>
  </w:num>
  <w:num w:numId="7">
    <w:abstractNumId w:val="23"/>
  </w:num>
  <w:num w:numId="8">
    <w:abstractNumId w:val="4"/>
  </w:num>
  <w:num w:numId="9">
    <w:abstractNumId w:val="25"/>
  </w:num>
  <w:num w:numId="10">
    <w:abstractNumId w:val="8"/>
  </w:num>
  <w:num w:numId="11">
    <w:abstractNumId w:val="10"/>
  </w:num>
  <w:num w:numId="12">
    <w:abstractNumId w:val="22"/>
  </w:num>
  <w:num w:numId="13">
    <w:abstractNumId w:val="6"/>
  </w:num>
  <w:num w:numId="14">
    <w:abstractNumId w:val="32"/>
  </w:num>
  <w:num w:numId="15">
    <w:abstractNumId w:val="2"/>
  </w:num>
  <w:num w:numId="16">
    <w:abstractNumId w:val="0"/>
  </w:num>
  <w:num w:numId="17">
    <w:abstractNumId w:val="19"/>
  </w:num>
  <w:num w:numId="18">
    <w:abstractNumId w:val="30"/>
  </w:num>
  <w:num w:numId="19">
    <w:abstractNumId w:val="13"/>
  </w:num>
  <w:num w:numId="20">
    <w:abstractNumId w:val="15"/>
  </w:num>
  <w:num w:numId="21">
    <w:abstractNumId w:val="27"/>
  </w:num>
  <w:num w:numId="22">
    <w:abstractNumId w:val="16"/>
  </w:num>
  <w:num w:numId="23">
    <w:abstractNumId w:val="29"/>
  </w:num>
  <w:num w:numId="24">
    <w:abstractNumId w:val="31"/>
  </w:num>
  <w:num w:numId="25">
    <w:abstractNumId w:val="12"/>
  </w:num>
  <w:num w:numId="26">
    <w:abstractNumId w:val="24"/>
  </w:num>
  <w:num w:numId="27">
    <w:abstractNumId w:val="20"/>
  </w:num>
  <w:num w:numId="28">
    <w:abstractNumId w:val="21"/>
  </w:num>
  <w:num w:numId="29">
    <w:abstractNumId w:val="33"/>
  </w:num>
  <w:num w:numId="30">
    <w:abstractNumId w:val="14"/>
  </w:num>
  <w:num w:numId="31">
    <w:abstractNumId w:val="26"/>
  </w:num>
  <w:num w:numId="32">
    <w:abstractNumId w:val="9"/>
  </w:num>
  <w:num w:numId="33">
    <w:abstractNumId w:val="3"/>
  </w:num>
  <w:num w:numId="34">
    <w:abstractNumId w:val="2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modified&lt;/Style&gt;&lt;LeftDelim&gt;{&lt;/LeftDelim&gt;&lt;RightDelim&gt;}&lt;/RightDelim&gt;&lt;FontName&gt;Arial Narrow&lt;/FontName&gt;&lt;FontSize&gt;9&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eea0zptowr0t5erarrpezebaftwvt9etdt0&quot;&gt;Dupilumab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8&lt;/item&gt;&lt;item&gt;19&lt;/item&gt;&lt;item&gt;20&lt;/item&gt;&lt;item&gt;21&lt;/item&gt;&lt;item&gt;22&lt;/item&gt;&lt;/record-ids&gt;&lt;/item&gt;&lt;/Libraries&gt;"/>
  </w:docVars>
  <w:rsids>
    <w:rsidRoot w:val="00E65E79"/>
    <w:rsid w:val="00000790"/>
    <w:rsid w:val="0000110B"/>
    <w:rsid w:val="000011C0"/>
    <w:rsid w:val="0000201A"/>
    <w:rsid w:val="0000255D"/>
    <w:rsid w:val="00003499"/>
    <w:rsid w:val="000039B7"/>
    <w:rsid w:val="00003B28"/>
    <w:rsid w:val="000060A0"/>
    <w:rsid w:val="000062A5"/>
    <w:rsid w:val="0000639A"/>
    <w:rsid w:val="00007BDC"/>
    <w:rsid w:val="000104E0"/>
    <w:rsid w:val="00010EFF"/>
    <w:rsid w:val="0001115F"/>
    <w:rsid w:val="00011F7B"/>
    <w:rsid w:val="00013247"/>
    <w:rsid w:val="00013A10"/>
    <w:rsid w:val="0001425A"/>
    <w:rsid w:val="00014DEA"/>
    <w:rsid w:val="00014F80"/>
    <w:rsid w:val="00015886"/>
    <w:rsid w:val="000162EF"/>
    <w:rsid w:val="00016DB5"/>
    <w:rsid w:val="00016F71"/>
    <w:rsid w:val="0001766A"/>
    <w:rsid w:val="000202FF"/>
    <w:rsid w:val="000207C9"/>
    <w:rsid w:val="00020EBA"/>
    <w:rsid w:val="0002225F"/>
    <w:rsid w:val="00022364"/>
    <w:rsid w:val="00023763"/>
    <w:rsid w:val="00023E77"/>
    <w:rsid w:val="00024467"/>
    <w:rsid w:val="00024652"/>
    <w:rsid w:val="00026A9D"/>
    <w:rsid w:val="00026C00"/>
    <w:rsid w:val="0002731A"/>
    <w:rsid w:val="000274B8"/>
    <w:rsid w:val="00027E94"/>
    <w:rsid w:val="00031086"/>
    <w:rsid w:val="00033863"/>
    <w:rsid w:val="00033F25"/>
    <w:rsid w:val="000340B7"/>
    <w:rsid w:val="000345CA"/>
    <w:rsid w:val="00035CC2"/>
    <w:rsid w:val="00035DC0"/>
    <w:rsid w:val="00036829"/>
    <w:rsid w:val="00037275"/>
    <w:rsid w:val="00040895"/>
    <w:rsid w:val="00041041"/>
    <w:rsid w:val="00042F0D"/>
    <w:rsid w:val="00043494"/>
    <w:rsid w:val="000435EE"/>
    <w:rsid w:val="00043C37"/>
    <w:rsid w:val="00043C6F"/>
    <w:rsid w:val="00044251"/>
    <w:rsid w:val="00045017"/>
    <w:rsid w:val="0004542A"/>
    <w:rsid w:val="00045774"/>
    <w:rsid w:val="00045A2B"/>
    <w:rsid w:val="0004698F"/>
    <w:rsid w:val="0005003F"/>
    <w:rsid w:val="000504DF"/>
    <w:rsid w:val="00051EA0"/>
    <w:rsid w:val="00051FE0"/>
    <w:rsid w:val="000539D0"/>
    <w:rsid w:val="00053DE8"/>
    <w:rsid w:val="00054492"/>
    <w:rsid w:val="00054621"/>
    <w:rsid w:val="000546D7"/>
    <w:rsid w:val="00055633"/>
    <w:rsid w:val="00056ECF"/>
    <w:rsid w:val="0006043B"/>
    <w:rsid w:val="00060488"/>
    <w:rsid w:val="000604DF"/>
    <w:rsid w:val="0006175D"/>
    <w:rsid w:val="000620EE"/>
    <w:rsid w:val="000653B5"/>
    <w:rsid w:val="000662D1"/>
    <w:rsid w:val="00066307"/>
    <w:rsid w:val="00066360"/>
    <w:rsid w:val="00066A77"/>
    <w:rsid w:val="00066AF8"/>
    <w:rsid w:val="00067362"/>
    <w:rsid w:val="000710E2"/>
    <w:rsid w:val="00071248"/>
    <w:rsid w:val="00071570"/>
    <w:rsid w:val="0007194C"/>
    <w:rsid w:val="000720B9"/>
    <w:rsid w:val="00072127"/>
    <w:rsid w:val="00073394"/>
    <w:rsid w:val="000737F7"/>
    <w:rsid w:val="00074572"/>
    <w:rsid w:val="00074C21"/>
    <w:rsid w:val="00074E8C"/>
    <w:rsid w:val="00075ACF"/>
    <w:rsid w:val="0007672F"/>
    <w:rsid w:val="000769A3"/>
    <w:rsid w:val="00076B54"/>
    <w:rsid w:val="00076D56"/>
    <w:rsid w:val="000774F0"/>
    <w:rsid w:val="00077602"/>
    <w:rsid w:val="00080909"/>
    <w:rsid w:val="000812CA"/>
    <w:rsid w:val="00081E63"/>
    <w:rsid w:val="000824DC"/>
    <w:rsid w:val="0008258D"/>
    <w:rsid w:val="0008369F"/>
    <w:rsid w:val="00083B28"/>
    <w:rsid w:val="00083E99"/>
    <w:rsid w:val="000846CF"/>
    <w:rsid w:val="00084FA8"/>
    <w:rsid w:val="000856C5"/>
    <w:rsid w:val="00085C31"/>
    <w:rsid w:val="0008710F"/>
    <w:rsid w:val="000902D9"/>
    <w:rsid w:val="00090519"/>
    <w:rsid w:val="00090B86"/>
    <w:rsid w:val="00090C7E"/>
    <w:rsid w:val="00091999"/>
    <w:rsid w:val="00091AB0"/>
    <w:rsid w:val="00091E7F"/>
    <w:rsid w:val="00092600"/>
    <w:rsid w:val="0009262B"/>
    <w:rsid w:val="00093310"/>
    <w:rsid w:val="000940CD"/>
    <w:rsid w:val="0009445C"/>
    <w:rsid w:val="00094A93"/>
    <w:rsid w:val="00094CEA"/>
    <w:rsid w:val="00095200"/>
    <w:rsid w:val="00095A9D"/>
    <w:rsid w:val="00095FE5"/>
    <w:rsid w:val="00096284"/>
    <w:rsid w:val="00096334"/>
    <w:rsid w:val="000965A3"/>
    <w:rsid w:val="0009668E"/>
    <w:rsid w:val="0009717E"/>
    <w:rsid w:val="000A057B"/>
    <w:rsid w:val="000A190D"/>
    <w:rsid w:val="000A1BC0"/>
    <w:rsid w:val="000A1DB7"/>
    <w:rsid w:val="000A4951"/>
    <w:rsid w:val="000A5D45"/>
    <w:rsid w:val="000A6039"/>
    <w:rsid w:val="000A7453"/>
    <w:rsid w:val="000A7664"/>
    <w:rsid w:val="000A7D08"/>
    <w:rsid w:val="000B0121"/>
    <w:rsid w:val="000B0670"/>
    <w:rsid w:val="000B0E75"/>
    <w:rsid w:val="000B13AF"/>
    <w:rsid w:val="000B1DED"/>
    <w:rsid w:val="000B28DF"/>
    <w:rsid w:val="000B2DCB"/>
    <w:rsid w:val="000B4A6D"/>
    <w:rsid w:val="000B4ECF"/>
    <w:rsid w:val="000B5709"/>
    <w:rsid w:val="000B5CE0"/>
    <w:rsid w:val="000B620D"/>
    <w:rsid w:val="000B6247"/>
    <w:rsid w:val="000B6CAC"/>
    <w:rsid w:val="000B7612"/>
    <w:rsid w:val="000B78AE"/>
    <w:rsid w:val="000C02D4"/>
    <w:rsid w:val="000C0B82"/>
    <w:rsid w:val="000C0CD0"/>
    <w:rsid w:val="000C2F86"/>
    <w:rsid w:val="000C39E5"/>
    <w:rsid w:val="000C3DF9"/>
    <w:rsid w:val="000C626C"/>
    <w:rsid w:val="000C6713"/>
    <w:rsid w:val="000C6CA8"/>
    <w:rsid w:val="000C70BE"/>
    <w:rsid w:val="000C7D32"/>
    <w:rsid w:val="000D1BFC"/>
    <w:rsid w:val="000D1CC9"/>
    <w:rsid w:val="000D1D5D"/>
    <w:rsid w:val="000D281A"/>
    <w:rsid w:val="000D2848"/>
    <w:rsid w:val="000D326A"/>
    <w:rsid w:val="000D42E9"/>
    <w:rsid w:val="000D450B"/>
    <w:rsid w:val="000D51FB"/>
    <w:rsid w:val="000D5CDF"/>
    <w:rsid w:val="000D6C18"/>
    <w:rsid w:val="000E0253"/>
    <w:rsid w:val="000E0640"/>
    <w:rsid w:val="000E0F87"/>
    <w:rsid w:val="000E135D"/>
    <w:rsid w:val="000E1A08"/>
    <w:rsid w:val="000E326B"/>
    <w:rsid w:val="000E3B9D"/>
    <w:rsid w:val="000E4B98"/>
    <w:rsid w:val="000E590E"/>
    <w:rsid w:val="000E5F20"/>
    <w:rsid w:val="000F00BA"/>
    <w:rsid w:val="000F065D"/>
    <w:rsid w:val="000F0AF0"/>
    <w:rsid w:val="000F283C"/>
    <w:rsid w:val="000F292B"/>
    <w:rsid w:val="000F2B4B"/>
    <w:rsid w:val="000F316A"/>
    <w:rsid w:val="000F3C74"/>
    <w:rsid w:val="000F4147"/>
    <w:rsid w:val="000F48CD"/>
    <w:rsid w:val="000F4BB8"/>
    <w:rsid w:val="000F4FA9"/>
    <w:rsid w:val="000F516D"/>
    <w:rsid w:val="000F53FB"/>
    <w:rsid w:val="000F7127"/>
    <w:rsid w:val="000F7B54"/>
    <w:rsid w:val="000F7BA0"/>
    <w:rsid w:val="001000C4"/>
    <w:rsid w:val="0010036C"/>
    <w:rsid w:val="001003E9"/>
    <w:rsid w:val="00100F8A"/>
    <w:rsid w:val="001018CE"/>
    <w:rsid w:val="001022FB"/>
    <w:rsid w:val="00102B3E"/>
    <w:rsid w:val="0010452E"/>
    <w:rsid w:val="001048CE"/>
    <w:rsid w:val="00104937"/>
    <w:rsid w:val="00104A16"/>
    <w:rsid w:val="00105AE2"/>
    <w:rsid w:val="001060C6"/>
    <w:rsid w:val="00106B80"/>
    <w:rsid w:val="001074CE"/>
    <w:rsid w:val="00110119"/>
    <w:rsid w:val="0011032E"/>
    <w:rsid w:val="001117A6"/>
    <w:rsid w:val="00111821"/>
    <w:rsid w:val="0011218F"/>
    <w:rsid w:val="001121FB"/>
    <w:rsid w:val="001125B0"/>
    <w:rsid w:val="0011348B"/>
    <w:rsid w:val="0011484D"/>
    <w:rsid w:val="00115982"/>
    <w:rsid w:val="0011599C"/>
    <w:rsid w:val="00115A5D"/>
    <w:rsid w:val="00116C53"/>
    <w:rsid w:val="0012175E"/>
    <w:rsid w:val="00121799"/>
    <w:rsid w:val="001222FC"/>
    <w:rsid w:val="0012291F"/>
    <w:rsid w:val="00123902"/>
    <w:rsid w:val="00124110"/>
    <w:rsid w:val="00124A51"/>
    <w:rsid w:val="00126172"/>
    <w:rsid w:val="00126621"/>
    <w:rsid w:val="00126B1D"/>
    <w:rsid w:val="00126CFA"/>
    <w:rsid w:val="00126D12"/>
    <w:rsid w:val="00127136"/>
    <w:rsid w:val="0012760B"/>
    <w:rsid w:val="00127CD4"/>
    <w:rsid w:val="001301E9"/>
    <w:rsid w:val="001308F9"/>
    <w:rsid w:val="0013115B"/>
    <w:rsid w:val="00131D2C"/>
    <w:rsid w:val="00131D82"/>
    <w:rsid w:val="0013240C"/>
    <w:rsid w:val="00132B22"/>
    <w:rsid w:val="00133D36"/>
    <w:rsid w:val="00134313"/>
    <w:rsid w:val="001344D0"/>
    <w:rsid w:val="001352A9"/>
    <w:rsid w:val="00135701"/>
    <w:rsid w:val="00137645"/>
    <w:rsid w:val="0014015A"/>
    <w:rsid w:val="00140E99"/>
    <w:rsid w:val="001417D5"/>
    <w:rsid w:val="00141E7A"/>
    <w:rsid w:val="001420D2"/>
    <w:rsid w:val="00143F67"/>
    <w:rsid w:val="00145540"/>
    <w:rsid w:val="001456B0"/>
    <w:rsid w:val="00145F7A"/>
    <w:rsid w:val="0014714D"/>
    <w:rsid w:val="00150EDD"/>
    <w:rsid w:val="00150F87"/>
    <w:rsid w:val="0015203B"/>
    <w:rsid w:val="00152305"/>
    <w:rsid w:val="001529AB"/>
    <w:rsid w:val="00152B2A"/>
    <w:rsid w:val="00153117"/>
    <w:rsid w:val="001533C6"/>
    <w:rsid w:val="0015390C"/>
    <w:rsid w:val="00153E7B"/>
    <w:rsid w:val="001541AE"/>
    <w:rsid w:val="0015446D"/>
    <w:rsid w:val="001554B9"/>
    <w:rsid w:val="00155860"/>
    <w:rsid w:val="00156F8F"/>
    <w:rsid w:val="00157130"/>
    <w:rsid w:val="001576B1"/>
    <w:rsid w:val="0016047B"/>
    <w:rsid w:val="00160679"/>
    <w:rsid w:val="00160A4C"/>
    <w:rsid w:val="00160D78"/>
    <w:rsid w:val="001621C9"/>
    <w:rsid w:val="00162913"/>
    <w:rsid w:val="00163325"/>
    <w:rsid w:val="00163A1F"/>
    <w:rsid w:val="00163EFF"/>
    <w:rsid w:val="00163F66"/>
    <w:rsid w:val="00164741"/>
    <w:rsid w:val="00165045"/>
    <w:rsid w:val="001651A9"/>
    <w:rsid w:val="001661FB"/>
    <w:rsid w:val="001671A0"/>
    <w:rsid w:val="0016767F"/>
    <w:rsid w:val="00170D27"/>
    <w:rsid w:val="0017145F"/>
    <w:rsid w:val="001716E0"/>
    <w:rsid w:val="00171EAC"/>
    <w:rsid w:val="00172286"/>
    <w:rsid w:val="00173228"/>
    <w:rsid w:val="00173565"/>
    <w:rsid w:val="001737EE"/>
    <w:rsid w:val="00173B07"/>
    <w:rsid w:val="0017452C"/>
    <w:rsid w:val="001751FA"/>
    <w:rsid w:val="00177A73"/>
    <w:rsid w:val="0018027F"/>
    <w:rsid w:val="00180724"/>
    <w:rsid w:val="001818EF"/>
    <w:rsid w:val="00181D9C"/>
    <w:rsid w:val="00181FCB"/>
    <w:rsid w:val="0018396A"/>
    <w:rsid w:val="00184371"/>
    <w:rsid w:val="00184B0E"/>
    <w:rsid w:val="00185207"/>
    <w:rsid w:val="001874C3"/>
    <w:rsid w:val="0018752F"/>
    <w:rsid w:val="00187A5F"/>
    <w:rsid w:val="00190E37"/>
    <w:rsid w:val="00192A45"/>
    <w:rsid w:val="0019339C"/>
    <w:rsid w:val="00193838"/>
    <w:rsid w:val="00193902"/>
    <w:rsid w:val="00193B1F"/>
    <w:rsid w:val="00193BC1"/>
    <w:rsid w:val="00193C58"/>
    <w:rsid w:val="00193C72"/>
    <w:rsid w:val="00194AD8"/>
    <w:rsid w:val="00195222"/>
    <w:rsid w:val="00195350"/>
    <w:rsid w:val="00196431"/>
    <w:rsid w:val="00196870"/>
    <w:rsid w:val="00196C69"/>
    <w:rsid w:val="001975D8"/>
    <w:rsid w:val="0019789D"/>
    <w:rsid w:val="00197ABA"/>
    <w:rsid w:val="001A178E"/>
    <w:rsid w:val="001A273A"/>
    <w:rsid w:val="001A2FF2"/>
    <w:rsid w:val="001A43FA"/>
    <w:rsid w:val="001A47C5"/>
    <w:rsid w:val="001A59FB"/>
    <w:rsid w:val="001A5E9E"/>
    <w:rsid w:val="001A6354"/>
    <w:rsid w:val="001A6366"/>
    <w:rsid w:val="001A7AE8"/>
    <w:rsid w:val="001B026C"/>
    <w:rsid w:val="001B05AA"/>
    <w:rsid w:val="001B204E"/>
    <w:rsid w:val="001B22A3"/>
    <w:rsid w:val="001B2372"/>
    <w:rsid w:val="001B3443"/>
    <w:rsid w:val="001B384D"/>
    <w:rsid w:val="001B4D20"/>
    <w:rsid w:val="001B587D"/>
    <w:rsid w:val="001B639A"/>
    <w:rsid w:val="001B6CF1"/>
    <w:rsid w:val="001C13C4"/>
    <w:rsid w:val="001C15F3"/>
    <w:rsid w:val="001C1867"/>
    <w:rsid w:val="001C2A9B"/>
    <w:rsid w:val="001C2E18"/>
    <w:rsid w:val="001C3138"/>
    <w:rsid w:val="001C4299"/>
    <w:rsid w:val="001C4874"/>
    <w:rsid w:val="001C4CAD"/>
    <w:rsid w:val="001C5351"/>
    <w:rsid w:val="001C5F94"/>
    <w:rsid w:val="001C6E66"/>
    <w:rsid w:val="001C7C14"/>
    <w:rsid w:val="001D1100"/>
    <w:rsid w:val="001D1391"/>
    <w:rsid w:val="001D13E9"/>
    <w:rsid w:val="001D18D4"/>
    <w:rsid w:val="001D1D6F"/>
    <w:rsid w:val="001D25D7"/>
    <w:rsid w:val="001D3421"/>
    <w:rsid w:val="001D4E92"/>
    <w:rsid w:val="001D4FFF"/>
    <w:rsid w:val="001D50B2"/>
    <w:rsid w:val="001D53B9"/>
    <w:rsid w:val="001D5B02"/>
    <w:rsid w:val="001D7645"/>
    <w:rsid w:val="001E062C"/>
    <w:rsid w:val="001E0F88"/>
    <w:rsid w:val="001E1E86"/>
    <w:rsid w:val="001E238E"/>
    <w:rsid w:val="001E2483"/>
    <w:rsid w:val="001E2B1E"/>
    <w:rsid w:val="001E2CFF"/>
    <w:rsid w:val="001E2F24"/>
    <w:rsid w:val="001E30D4"/>
    <w:rsid w:val="001E34DF"/>
    <w:rsid w:val="001E52EB"/>
    <w:rsid w:val="001E58F5"/>
    <w:rsid w:val="001E5CF4"/>
    <w:rsid w:val="001E61D2"/>
    <w:rsid w:val="001E6247"/>
    <w:rsid w:val="001E627D"/>
    <w:rsid w:val="001E6463"/>
    <w:rsid w:val="001E740C"/>
    <w:rsid w:val="001F0132"/>
    <w:rsid w:val="001F1235"/>
    <w:rsid w:val="001F1CB3"/>
    <w:rsid w:val="001F2B35"/>
    <w:rsid w:val="001F38B5"/>
    <w:rsid w:val="001F4081"/>
    <w:rsid w:val="001F533C"/>
    <w:rsid w:val="001F6648"/>
    <w:rsid w:val="001F667A"/>
    <w:rsid w:val="001F66E4"/>
    <w:rsid w:val="001F7361"/>
    <w:rsid w:val="00200153"/>
    <w:rsid w:val="002011B0"/>
    <w:rsid w:val="00201ACC"/>
    <w:rsid w:val="00202358"/>
    <w:rsid w:val="00203181"/>
    <w:rsid w:val="00203783"/>
    <w:rsid w:val="0020385F"/>
    <w:rsid w:val="0020412F"/>
    <w:rsid w:val="00205792"/>
    <w:rsid w:val="00206296"/>
    <w:rsid w:val="002067FB"/>
    <w:rsid w:val="002068A0"/>
    <w:rsid w:val="00207021"/>
    <w:rsid w:val="0020732F"/>
    <w:rsid w:val="00207D00"/>
    <w:rsid w:val="00207F6A"/>
    <w:rsid w:val="00210051"/>
    <w:rsid w:val="002105C1"/>
    <w:rsid w:val="00211445"/>
    <w:rsid w:val="0021353E"/>
    <w:rsid w:val="00213D1C"/>
    <w:rsid w:val="00213EF5"/>
    <w:rsid w:val="0021479D"/>
    <w:rsid w:val="002156F2"/>
    <w:rsid w:val="002158C1"/>
    <w:rsid w:val="00215D63"/>
    <w:rsid w:val="00216BF5"/>
    <w:rsid w:val="00217219"/>
    <w:rsid w:val="00217CA7"/>
    <w:rsid w:val="002207B1"/>
    <w:rsid w:val="00222004"/>
    <w:rsid w:val="00223B49"/>
    <w:rsid w:val="00223D5A"/>
    <w:rsid w:val="002244A0"/>
    <w:rsid w:val="00224DD4"/>
    <w:rsid w:val="00225B87"/>
    <w:rsid w:val="00226B41"/>
    <w:rsid w:val="002270A3"/>
    <w:rsid w:val="00227130"/>
    <w:rsid w:val="002278A0"/>
    <w:rsid w:val="0023064C"/>
    <w:rsid w:val="00230895"/>
    <w:rsid w:val="002309CC"/>
    <w:rsid w:val="00231DC6"/>
    <w:rsid w:val="00231FA8"/>
    <w:rsid w:val="0023209F"/>
    <w:rsid w:val="00232A18"/>
    <w:rsid w:val="00232F48"/>
    <w:rsid w:val="00233C01"/>
    <w:rsid w:val="0023413C"/>
    <w:rsid w:val="002346F0"/>
    <w:rsid w:val="00234A1B"/>
    <w:rsid w:val="002351E8"/>
    <w:rsid w:val="002353C7"/>
    <w:rsid w:val="00235437"/>
    <w:rsid w:val="00235575"/>
    <w:rsid w:val="0023629D"/>
    <w:rsid w:val="002364CB"/>
    <w:rsid w:val="00236719"/>
    <w:rsid w:val="00236F6F"/>
    <w:rsid w:val="00237255"/>
    <w:rsid w:val="00237F66"/>
    <w:rsid w:val="00240167"/>
    <w:rsid w:val="002401CA"/>
    <w:rsid w:val="0024044B"/>
    <w:rsid w:val="00241B71"/>
    <w:rsid w:val="002424AF"/>
    <w:rsid w:val="002439DC"/>
    <w:rsid w:val="002441D2"/>
    <w:rsid w:val="00244300"/>
    <w:rsid w:val="002446CD"/>
    <w:rsid w:val="00244B7D"/>
    <w:rsid w:val="00244DC8"/>
    <w:rsid w:val="00245023"/>
    <w:rsid w:val="00245463"/>
    <w:rsid w:val="002458BA"/>
    <w:rsid w:val="00245CE9"/>
    <w:rsid w:val="0024636C"/>
    <w:rsid w:val="00246DF1"/>
    <w:rsid w:val="00247925"/>
    <w:rsid w:val="002507C6"/>
    <w:rsid w:val="00251006"/>
    <w:rsid w:val="002522A6"/>
    <w:rsid w:val="002524D5"/>
    <w:rsid w:val="00253B1D"/>
    <w:rsid w:val="002542A5"/>
    <w:rsid w:val="00254813"/>
    <w:rsid w:val="00254DCF"/>
    <w:rsid w:val="0025534B"/>
    <w:rsid w:val="00255AD9"/>
    <w:rsid w:val="00255BB7"/>
    <w:rsid w:val="00255F5C"/>
    <w:rsid w:val="00256514"/>
    <w:rsid w:val="00257541"/>
    <w:rsid w:val="0025794D"/>
    <w:rsid w:val="00257A39"/>
    <w:rsid w:val="00257AC4"/>
    <w:rsid w:val="0026030E"/>
    <w:rsid w:val="00260E98"/>
    <w:rsid w:val="002611EC"/>
    <w:rsid w:val="00261720"/>
    <w:rsid w:val="00261745"/>
    <w:rsid w:val="00261EEF"/>
    <w:rsid w:val="00262A1A"/>
    <w:rsid w:val="00262A87"/>
    <w:rsid w:val="00263A31"/>
    <w:rsid w:val="00264D26"/>
    <w:rsid w:val="0026539C"/>
    <w:rsid w:val="0026726C"/>
    <w:rsid w:val="00267642"/>
    <w:rsid w:val="0026797A"/>
    <w:rsid w:val="00267AEA"/>
    <w:rsid w:val="00267C46"/>
    <w:rsid w:val="002700E6"/>
    <w:rsid w:val="0027057D"/>
    <w:rsid w:val="00270712"/>
    <w:rsid w:val="0027192B"/>
    <w:rsid w:val="002719FB"/>
    <w:rsid w:val="002721F0"/>
    <w:rsid w:val="00272892"/>
    <w:rsid w:val="0027294B"/>
    <w:rsid w:val="00273EB4"/>
    <w:rsid w:val="00274682"/>
    <w:rsid w:val="00274B71"/>
    <w:rsid w:val="00275644"/>
    <w:rsid w:val="00275C5A"/>
    <w:rsid w:val="00275D83"/>
    <w:rsid w:val="00276EC8"/>
    <w:rsid w:val="00276F1C"/>
    <w:rsid w:val="002773C3"/>
    <w:rsid w:val="00277AB3"/>
    <w:rsid w:val="00277ADE"/>
    <w:rsid w:val="00280353"/>
    <w:rsid w:val="0028053E"/>
    <w:rsid w:val="00281014"/>
    <w:rsid w:val="00281229"/>
    <w:rsid w:val="00281AE5"/>
    <w:rsid w:val="00281CD7"/>
    <w:rsid w:val="0028254A"/>
    <w:rsid w:val="002842B9"/>
    <w:rsid w:val="002851FA"/>
    <w:rsid w:val="00285A42"/>
    <w:rsid w:val="0028665C"/>
    <w:rsid w:val="0028665D"/>
    <w:rsid w:val="002871DE"/>
    <w:rsid w:val="00287281"/>
    <w:rsid w:val="00287A37"/>
    <w:rsid w:val="00292A3F"/>
    <w:rsid w:val="002942E7"/>
    <w:rsid w:val="00294736"/>
    <w:rsid w:val="00295C69"/>
    <w:rsid w:val="002A14AB"/>
    <w:rsid w:val="002A285E"/>
    <w:rsid w:val="002A2ADE"/>
    <w:rsid w:val="002A2F50"/>
    <w:rsid w:val="002A3C2C"/>
    <w:rsid w:val="002A3DA0"/>
    <w:rsid w:val="002A4910"/>
    <w:rsid w:val="002A6792"/>
    <w:rsid w:val="002A6DC1"/>
    <w:rsid w:val="002A7ABF"/>
    <w:rsid w:val="002B05A1"/>
    <w:rsid w:val="002B09A4"/>
    <w:rsid w:val="002B1C1F"/>
    <w:rsid w:val="002B22E8"/>
    <w:rsid w:val="002B2937"/>
    <w:rsid w:val="002B36E3"/>
    <w:rsid w:val="002B3E3A"/>
    <w:rsid w:val="002B432F"/>
    <w:rsid w:val="002B4549"/>
    <w:rsid w:val="002B501D"/>
    <w:rsid w:val="002B59D9"/>
    <w:rsid w:val="002B5D8F"/>
    <w:rsid w:val="002B62B3"/>
    <w:rsid w:val="002B6754"/>
    <w:rsid w:val="002B6CCE"/>
    <w:rsid w:val="002B76AC"/>
    <w:rsid w:val="002C18DD"/>
    <w:rsid w:val="002C22F3"/>
    <w:rsid w:val="002C2510"/>
    <w:rsid w:val="002C2775"/>
    <w:rsid w:val="002C27C1"/>
    <w:rsid w:val="002C2944"/>
    <w:rsid w:val="002C36D2"/>
    <w:rsid w:val="002C3C6F"/>
    <w:rsid w:val="002C490D"/>
    <w:rsid w:val="002C4A6C"/>
    <w:rsid w:val="002C5099"/>
    <w:rsid w:val="002C5889"/>
    <w:rsid w:val="002C5909"/>
    <w:rsid w:val="002C5F03"/>
    <w:rsid w:val="002C71CE"/>
    <w:rsid w:val="002D08F8"/>
    <w:rsid w:val="002D0C0F"/>
    <w:rsid w:val="002D1A1F"/>
    <w:rsid w:val="002D2DBD"/>
    <w:rsid w:val="002D577C"/>
    <w:rsid w:val="002D6717"/>
    <w:rsid w:val="002D6993"/>
    <w:rsid w:val="002D69E7"/>
    <w:rsid w:val="002E1071"/>
    <w:rsid w:val="002E14D6"/>
    <w:rsid w:val="002E15B9"/>
    <w:rsid w:val="002E1752"/>
    <w:rsid w:val="002E20B5"/>
    <w:rsid w:val="002E2158"/>
    <w:rsid w:val="002E30E7"/>
    <w:rsid w:val="002E365E"/>
    <w:rsid w:val="002E3B3C"/>
    <w:rsid w:val="002E4F02"/>
    <w:rsid w:val="002E532C"/>
    <w:rsid w:val="002E55F2"/>
    <w:rsid w:val="002E5CA3"/>
    <w:rsid w:val="002E5EF6"/>
    <w:rsid w:val="002E61D4"/>
    <w:rsid w:val="002E7386"/>
    <w:rsid w:val="002E7722"/>
    <w:rsid w:val="002F058E"/>
    <w:rsid w:val="002F07BA"/>
    <w:rsid w:val="002F0ABA"/>
    <w:rsid w:val="002F0DA9"/>
    <w:rsid w:val="002F0F27"/>
    <w:rsid w:val="002F1014"/>
    <w:rsid w:val="002F24A7"/>
    <w:rsid w:val="002F30F9"/>
    <w:rsid w:val="002F3421"/>
    <w:rsid w:val="002F3C9B"/>
    <w:rsid w:val="002F3D9C"/>
    <w:rsid w:val="002F4B0C"/>
    <w:rsid w:val="002F5F6F"/>
    <w:rsid w:val="002F643C"/>
    <w:rsid w:val="002F66DE"/>
    <w:rsid w:val="002F6D1B"/>
    <w:rsid w:val="002F6F05"/>
    <w:rsid w:val="002F71C0"/>
    <w:rsid w:val="002F74F1"/>
    <w:rsid w:val="00301017"/>
    <w:rsid w:val="003014DF"/>
    <w:rsid w:val="0030155F"/>
    <w:rsid w:val="003020BB"/>
    <w:rsid w:val="003043AD"/>
    <w:rsid w:val="00304B2E"/>
    <w:rsid w:val="0030587B"/>
    <w:rsid w:val="00306895"/>
    <w:rsid w:val="00306D98"/>
    <w:rsid w:val="0030786C"/>
    <w:rsid w:val="00307B81"/>
    <w:rsid w:val="0031031A"/>
    <w:rsid w:val="003103B5"/>
    <w:rsid w:val="003105D7"/>
    <w:rsid w:val="00310981"/>
    <w:rsid w:val="00311054"/>
    <w:rsid w:val="0031171F"/>
    <w:rsid w:val="003120A0"/>
    <w:rsid w:val="003120F0"/>
    <w:rsid w:val="003124D9"/>
    <w:rsid w:val="00312594"/>
    <w:rsid w:val="00312A77"/>
    <w:rsid w:val="0031365F"/>
    <w:rsid w:val="0031387A"/>
    <w:rsid w:val="00315498"/>
    <w:rsid w:val="00316474"/>
    <w:rsid w:val="00316738"/>
    <w:rsid w:val="003169D3"/>
    <w:rsid w:val="00320DF9"/>
    <w:rsid w:val="00320E7F"/>
    <w:rsid w:val="00321379"/>
    <w:rsid w:val="00322107"/>
    <w:rsid w:val="00322355"/>
    <w:rsid w:val="00322846"/>
    <w:rsid w:val="00322F11"/>
    <w:rsid w:val="0032588F"/>
    <w:rsid w:val="00325BB0"/>
    <w:rsid w:val="00325E18"/>
    <w:rsid w:val="00326DA7"/>
    <w:rsid w:val="003270E4"/>
    <w:rsid w:val="00327E5C"/>
    <w:rsid w:val="0033075A"/>
    <w:rsid w:val="00330DAA"/>
    <w:rsid w:val="00330F5C"/>
    <w:rsid w:val="0033138B"/>
    <w:rsid w:val="0033261D"/>
    <w:rsid w:val="00334B9A"/>
    <w:rsid w:val="00335123"/>
    <w:rsid w:val="0033549D"/>
    <w:rsid w:val="003355C1"/>
    <w:rsid w:val="003366C9"/>
    <w:rsid w:val="00336B1F"/>
    <w:rsid w:val="003371B0"/>
    <w:rsid w:val="00337E9E"/>
    <w:rsid w:val="00340048"/>
    <w:rsid w:val="003405CF"/>
    <w:rsid w:val="00340D15"/>
    <w:rsid w:val="00340DF1"/>
    <w:rsid w:val="003413CD"/>
    <w:rsid w:val="003417DB"/>
    <w:rsid w:val="00341877"/>
    <w:rsid w:val="00343174"/>
    <w:rsid w:val="0034383E"/>
    <w:rsid w:val="003441D7"/>
    <w:rsid w:val="00344738"/>
    <w:rsid w:val="00344750"/>
    <w:rsid w:val="003447CF"/>
    <w:rsid w:val="00344F34"/>
    <w:rsid w:val="003457D0"/>
    <w:rsid w:val="00345DF8"/>
    <w:rsid w:val="00347D35"/>
    <w:rsid w:val="00350BFE"/>
    <w:rsid w:val="003517F9"/>
    <w:rsid w:val="00351BA9"/>
    <w:rsid w:val="003525AB"/>
    <w:rsid w:val="003526F5"/>
    <w:rsid w:val="0035285A"/>
    <w:rsid w:val="00354F64"/>
    <w:rsid w:val="0035620E"/>
    <w:rsid w:val="00356EEF"/>
    <w:rsid w:val="00357BB7"/>
    <w:rsid w:val="00360345"/>
    <w:rsid w:val="003613B9"/>
    <w:rsid w:val="00361A05"/>
    <w:rsid w:val="00361A45"/>
    <w:rsid w:val="00361F39"/>
    <w:rsid w:val="003624C4"/>
    <w:rsid w:val="0036330A"/>
    <w:rsid w:val="00363B00"/>
    <w:rsid w:val="0036422A"/>
    <w:rsid w:val="00364632"/>
    <w:rsid w:val="003654AC"/>
    <w:rsid w:val="00365AAF"/>
    <w:rsid w:val="00366325"/>
    <w:rsid w:val="00370CE8"/>
    <w:rsid w:val="00370ECC"/>
    <w:rsid w:val="003710CF"/>
    <w:rsid w:val="00371669"/>
    <w:rsid w:val="003724FE"/>
    <w:rsid w:val="0037320C"/>
    <w:rsid w:val="0037358A"/>
    <w:rsid w:val="003736D2"/>
    <w:rsid w:val="003750F6"/>
    <w:rsid w:val="00375470"/>
    <w:rsid w:val="003759D8"/>
    <w:rsid w:val="00375C04"/>
    <w:rsid w:val="00376030"/>
    <w:rsid w:val="003760FC"/>
    <w:rsid w:val="00376154"/>
    <w:rsid w:val="00383185"/>
    <w:rsid w:val="0038329A"/>
    <w:rsid w:val="0038365C"/>
    <w:rsid w:val="0038369B"/>
    <w:rsid w:val="00383B78"/>
    <w:rsid w:val="00383D1A"/>
    <w:rsid w:val="0038454D"/>
    <w:rsid w:val="00384E2E"/>
    <w:rsid w:val="0038552E"/>
    <w:rsid w:val="00385A93"/>
    <w:rsid w:val="00385A9D"/>
    <w:rsid w:val="0039009C"/>
    <w:rsid w:val="003902B1"/>
    <w:rsid w:val="00391250"/>
    <w:rsid w:val="0039179C"/>
    <w:rsid w:val="00391E28"/>
    <w:rsid w:val="00392FA5"/>
    <w:rsid w:val="0039493B"/>
    <w:rsid w:val="003963D8"/>
    <w:rsid w:val="00396896"/>
    <w:rsid w:val="00396C43"/>
    <w:rsid w:val="00396FD0"/>
    <w:rsid w:val="003A0DD1"/>
    <w:rsid w:val="003A1A7A"/>
    <w:rsid w:val="003A2392"/>
    <w:rsid w:val="003A2831"/>
    <w:rsid w:val="003A2F66"/>
    <w:rsid w:val="003A3CB6"/>
    <w:rsid w:val="003A3ED1"/>
    <w:rsid w:val="003A44DB"/>
    <w:rsid w:val="003A49CD"/>
    <w:rsid w:val="003A50A7"/>
    <w:rsid w:val="003A5625"/>
    <w:rsid w:val="003A5E0C"/>
    <w:rsid w:val="003A6AC2"/>
    <w:rsid w:val="003A6DF6"/>
    <w:rsid w:val="003A7299"/>
    <w:rsid w:val="003B0768"/>
    <w:rsid w:val="003B1BF6"/>
    <w:rsid w:val="003B246E"/>
    <w:rsid w:val="003B2AE2"/>
    <w:rsid w:val="003B3971"/>
    <w:rsid w:val="003B4297"/>
    <w:rsid w:val="003B4A83"/>
    <w:rsid w:val="003B52C3"/>
    <w:rsid w:val="003B55D1"/>
    <w:rsid w:val="003B5B61"/>
    <w:rsid w:val="003B625E"/>
    <w:rsid w:val="003B66F5"/>
    <w:rsid w:val="003B7C3F"/>
    <w:rsid w:val="003C1654"/>
    <w:rsid w:val="003C1DE9"/>
    <w:rsid w:val="003C46BE"/>
    <w:rsid w:val="003C4C81"/>
    <w:rsid w:val="003C5542"/>
    <w:rsid w:val="003C6B11"/>
    <w:rsid w:val="003C6E41"/>
    <w:rsid w:val="003C753D"/>
    <w:rsid w:val="003C75C7"/>
    <w:rsid w:val="003C7D19"/>
    <w:rsid w:val="003C7D2F"/>
    <w:rsid w:val="003D0506"/>
    <w:rsid w:val="003D1828"/>
    <w:rsid w:val="003D1DE4"/>
    <w:rsid w:val="003D1E51"/>
    <w:rsid w:val="003D1E9A"/>
    <w:rsid w:val="003D203D"/>
    <w:rsid w:val="003D2422"/>
    <w:rsid w:val="003D26F9"/>
    <w:rsid w:val="003D39A1"/>
    <w:rsid w:val="003D3FBF"/>
    <w:rsid w:val="003D41B8"/>
    <w:rsid w:val="003D4A30"/>
    <w:rsid w:val="003D53AE"/>
    <w:rsid w:val="003D63CA"/>
    <w:rsid w:val="003D7452"/>
    <w:rsid w:val="003D7791"/>
    <w:rsid w:val="003D79BB"/>
    <w:rsid w:val="003D7C98"/>
    <w:rsid w:val="003D7D9D"/>
    <w:rsid w:val="003E0543"/>
    <w:rsid w:val="003E116A"/>
    <w:rsid w:val="003E11C4"/>
    <w:rsid w:val="003E1FB8"/>
    <w:rsid w:val="003E2DAA"/>
    <w:rsid w:val="003E4751"/>
    <w:rsid w:val="003E749E"/>
    <w:rsid w:val="003F0ED8"/>
    <w:rsid w:val="003F2083"/>
    <w:rsid w:val="003F2525"/>
    <w:rsid w:val="003F28A4"/>
    <w:rsid w:val="003F2FC4"/>
    <w:rsid w:val="003F335C"/>
    <w:rsid w:val="003F3546"/>
    <w:rsid w:val="003F4156"/>
    <w:rsid w:val="003F5570"/>
    <w:rsid w:val="003F5ADF"/>
    <w:rsid w:val="003F6A35"/>
    <w:rsid w:val="003F78D5"/>
    <w:rsid w:val="003F7FBF"/>
    <w:rsid w:val="00400148"/>
    <w:rsid w:val="00400640"/>
    <w:rsid w:val="00400B29"/>
    <w:rsid w:val="00401FE9"/>
    <w:rsid w:val="004026DB"/>
    <w:rsid w:val="0040289D"/>
    <w:rsid w:val="00402F3B"/>
    <w:rsid w:val="004032D5"/>
    <w:rsid w:val="004035EC"/>
    <w:rsid w:val="00404252"/>
    <w:rsid w:val="0040433A"/>
    <w:rsid w:val="0040504B"/>
    <w:rsid w:val="0040545D"/>
    <w:rsid w:val="004059F4"/>
    <w:rsid w:val="004066DB"/>
    <w:rsid w:val="0040763D"/>
    <w:rsid w:val="00407E93"/>
    <w:rsid w:val="00407FE5"/>
    <w:rsid w:val="004101B0"/>
    <w:rsid w:val="00410326"/>
    <w:rsid w:val="00410708"/>
    <w:rsid w:val="00410979"/>
    <w:rsid w:val="00410E28"/>
    <w:rsid w:val="00410EC7"/>
    <w:rsid w:val="00411B39"/>
    <w:rsid w:val="00411CAC"/>
    <w:rsid w:val="004122D4"/>
    <w:rsid w:val="00412630"/>
    <w:rsid w:val="004127A7"/>
    <w:rsid w:val="00413616"/>
    <w:rsid w:val="0041377B"/>
    <w:rsid w:val="004138D0"/>
    <w:rsid w:val="00413A1E"/>
    <w:rsid w:val="00414476"/>
    <w:rsid w:val="00414C2E"/>
    <w:rsid w:val="0041509C"/>
    <w:rsid w:val="004151CF"/>
    <w:rsid w:val="00415BF8"/>
    <w:rsid w:val="00415D4A"/>
    <w:rsid w:val="004160F5"/>
    <w:rsid w:val="00416364"/>
    <w:rsid w:val="004166A5"/>
    <w:rsid w:val="00416FF3"/>
    <w:rsid w:val="0042047F"/>
    <w:rsid w:val="00420A6C"/>
    <w:rsid w:val="00420AA6"/>
    <w:rsid w:val="00420B9F"/>
    <w:rsid w:val="00420DE9"/>
    <w:rsid w:val="0042192C"/>
    <w:rsid w:val="00422260"/>
    <w:rsid w:val="00423CEC"/>
    <w:rsid w:val="00423FF9"/>
    <w:rsid w:val="0042409B"/>
    <w:rsid w:val="0042413F"/>
    <w:rsid w:val="004252B5"/>
    <w:rsid w:val="00425B57"/>
    <w:rsid w:val="0042644D"/>
    <w:rsid w:val="004271D4"/>
    <w:rsid w:val="0042793A"/>
    <w:rsid w:val="00427B5F"/>
    <w:rsid w:val="00431344"/>
    <w:rsid w:val="004319F8"/>
    <w:rsid w:val="00431BD2"/>
    <w:rsid w:val="00431E55"/>
    <w:rsid w:val="004321F6"/>
    <w:rsid w:val="004322AC"/>
    <w:rsid w:val="00433044"/>
    <w:rsid w:val="004332C6"/>
    <w:rsid w:val="00433872"/>
    <w:rsid w:val="00434088"/>
    <w:rsid w:val="00434693"/>
    <w:rsid w:val="00434C77"/>
    <w:rsid w:val="0043567A"/>
    <w:rsid w:val="00436750"/>
    <w:rsid w:val="004375B9"/>
    <w:rsid w:val="004400B7"/>
    <w:rsid w:val="004415AB"/>
    <w:rsid w:val="00441CD4"/>
    <w:rsid w:val="004421A0"/>
    <w:rsid w:val="004428D0"/>
    <w:rsid w:val="004434D0"/>
    <w:rsid w:val="00444185"/>
    <w:rsid w:val="004443A7"/>
    <w:rsid w:val="0044442C"/>
    <w:rsid w:val="004444AF"/>
    <w:rsid w:val="00444FE6"/>
    <w:rsid w:val="004451ED"/>
    <w:rsid w:val="0044584A"/>
    <w:rsid w:val="00445941"/>
    <w:rsid w:val="00446405"/>
    <w:rsid w:val="004464EB"/>
    <w:rsid w:val="00447502"/>
    <w:rsid w:val="00447D26"/>
    <w:rsid w:val="00447DFC"/>
    <w:rsid w:val="004510D0"/>
    <w:rsid w:val="00452074"/>
    <w:rsid w:val="00452773"/>
    <w:rsid w:val="00453D64"/>
    <w:rsid w:val="004543F1"/>
    <w:rsid w:val="00454DAB"/>
    <w:rsid w:val="00455D45"/>
    <w:rsid w:val="00456082"/>
    <w:rsid w:val="00456822"/>
    <w:rsid w:val="00457C08"/>
    <w:rsid w:val="00457C54"/>
    <w:rsid w:val="004604D3"/>
    <w:rsid w:val="004613F3"/>
    <w:rsid w:val="00461A3F"/>
    <w:rsid w:val="0046216A"/>
    <w:rsid w:val="00464595"/>
    <w:rsid w:val="004658B5"/>
    <w:rsid w:val="00465CA0"/>
    <w:rsid w:val="004710D1"/>
    <w:rsid w:val="00471EA5"/>
    <w:rsid w:val="00472A79"/>
    <w:rsid w:val="00473F19"/>
    <w:rsid w:val="00474627"/>
    <w:rsid w:val="004759E7"/>
    <w:rsid w:val="00475E22"/>
    <w:rsid w:val="00476016"/>
    <w:rsid w:val="004768F6"/>
    <w:rsid w:val="00476A78"/>
    <w:rsid w:val="00476BF6"/>
    <w:rsid w:val="00477A8B"/>
    <w:rsid w:val="0048088E"/>
    <w:rsid w:val="0048090D"/>
    <w:rsid w:val="00480CF4"/>
    <w:rsid w:val="00480D18"/>
    <w:rsid w:val="00480F2B"/>
    <w:rsid w:val="00482331"/>
    <w:rsid w:val="00482720"/>
    <w:rsid w:val="004835E7"/>
    <w:rsid w:val="0048480F"/>
    <w:rsid w:val="00484EB7"/>
    <w:rsid w:val="00485029"/>
    <w:rsid w:val="00485304"/>
    <w:rsid w:val="004861CF"/>
    <w:rsid w:val="004867E2"/>
    <w:rsid w:val="00487270"/>
    <w:rsid w:val="00487441"/>
    <w:rsid w:val="00487EAF"/>
    <w:rsid w:val="00490B17"/>
    <w:rsid w:val="00491B3A"/>
    <w:rsid w:val="004926BD"/>
    <w:rsid w:val="00492CFD"/>
    <w:rsid w:val="004941D6"/>
    <w:rsid w:val="00494207"/>
    <w:rsid w:val="00494320"/>
    <w:rsid w:val="00494361"/>
    <w:rsid w:val="00494BE5"/>
    <w:rsid w:val="00494DD5"/>
    <w:rsid w:val="00495E44"/>
    <w:rsid w:val="00495ECF"/>
    <w:rsid w:val="004962D2"/>
    <w:rsid w:val="00496B0A"/>
    <w:rsid w:val="00497DA1"/>
    <w:rsid w:val="00497DC9"/>
    <w:rsid w:val="004A0DA1"/>
    <w:rsid w:val="004A13D6"/>
    <w:rsid w:val="004A20F1"/>
    <w:rsid w:val="004A2B57"/>
    <w:rsid w:val="004A2CB9"/>
    <w:rsid w:val="004A2ECF"/>
    <w:rsid w:val="004A3D6A"/>
    <w:rsid w:val="004A4041"/>
    <w:rsid w:val="004A416C"/>
    <w:rsid w:val="004A52E9"/>
    <w:rsid w:val="004A6040"/>
    <w:rsid w:val="004A6597"/>
    <w:rsid w:val="004A6BE3"/>
    <w:rsid w:val="004A7847"/>
    <w:rsid w:val="004A7848"/>
    <w:rsid w:val="004B07BB"/>
    <w:rsid w:val="004B19A5"/>
    <w:rsid w:val="004B1CB4"/>
    <w:rsid w:val="004B2F18"/>
    <w:rsid w:val="004B315F"/>
    <w:rsid w:val="004B3DDB"/>
    <w:rsid w:val="004B43B3"/>
    <w:rsid w:val="004B44FD"/>
    <w:rsid w:val="004B4B3C"/>
    <w:rsid w:val="004B4CBE"/>
    <w:rsid w:val="004B4D91"/>
    <w:rsid w:val="004B5686"/>
    <w:rsid w:val="004B5A65"/>
    <w:rsid w:val="004B5CED"/>
    <w:rsid w:val="004B5CFC"/>
    <w:rsid w:val="004B66E7"/>
    <w:rsid w:val="004B6D31"/>
    <w:rsid w:val="004B6F79"/>
    <w:rsid w:val="004B774D"/>
    <w:rsid w:val="004B78D3"/>
    <w:rsid w:val="004C29E8"/>
    <w:rsid w:val="004C313F"/>
    <w:rsid w:val="004C3725"/>
    <w:rsid w:val="004C3A66"/>
    <w:rsid w:val="004C4AED"/>
    <w:rsid w:val="004C54B6"/>
    <w:rsid w:val="004C58ED"/>
    <w:rsid w:val="004C7418"/>
    <w:rsid w:val="004C75CD"/>
    <w:rsid w:val="004D05E5"/>
    <w:rsid w:val="004D06BB"/>
    <w:rsid w:val="004D0710"/>
    <w:rsid w:val="004D13B9"/>
    <w:rsid w:val="004D248E"/>
    <w:rsid w:val="004D2C2D"/>
    <w:rsid w:val="004D3A8F"/>
    <w:rsid w:val="004D4B7C"/>
    <w:rsid w:val="004D4F20"/>
    <w:rsid w:val="004D53B5"/>
    <w:rsid w:val="004D69B5"/>
    <w:rsid w:val="004D7227"/>
    <w:rsid w:val="004E0BB5"/>
    <w:rsid w:val="004E0E7F"/>
    <w:rsid w:val="004E0EB8"/>
    <w:rsid w:val="004E18E9"/>
    <w:rsid w:val="004E2ADC"/>
    <w:rsid w:val="004E35A9"/>
    <w:rsid w:val="004E43B2"/>
    <w:rsid w:val="004E45F2"/>
    <w:rsid w:val="004E792B"/>
    <w:rsid w:val="004F06ED"/>
    <w:rsid w:val="004F0C47"/>
    <w:rsid w:val="004F1D02"/>
    <w:rsid w:val="004F1FCA"/>
    <w:rsid w:val="004F237A"/>
    <w:rsid w:val="004F2679"/>
    <w:rsid w:val="004F2F21"/>
    <w:rsid w:val="004F3DE5"/>
    <w:rsid w:val="004F3FBB"/>
    <w:rsid w:val="004F4037"/>
    <w:rsid w:val="004F50F1"/>
    <w:rsid w:val="004F59B9"/>
    <w:rsid w:val="004F5F61"/>
    <w:rsid w:val="004F6899"/>
    <w:rsid w:val="004F6913"/>
    <w:rsid w:val="004F7865"/>
    <w:rsid w:val="004F7EFB"/>
    <w:rsid w:val="0050174E"/>
    <w:rsid w:val="00501854"/>
    <w:rsid w:val="0050219B"/>
    <w:rsid w:val="00502790"/>
    <w:rsid w:val="005027C6"/>
    <w:rsid w:val="00502D9F"/>
    <w:rsid w:val="0050354A"/>
    <w:rsid w:val="00503923"/>
    <w:rsid w:val="00503F17"/>
    <w:rsid w:val="0050455F"/>
    <w:rsid w:val="0050551A"/>
    <w:rsid w:val="005064B7"/>
    <w:rsid w:val="00506928"/>
    <w:rsid w:val="005069C9"/>
    <w:rsid w:val="005073DE"/>
    <w:rsid w:val="005077EF"/>
    <w:rsid w:val="00507B24"/>
    <w:rsid w:val="00510BD9"/>
    <w:rsid w:val="005116D8"/>
    <w:rsid w:val="00511AD5"/>
    <w:rsid w:val="00511DC7"/>
    <w:rsid w:val="00512CF8"/>
    <w:rsid w:val="0051370E"/>
    <w:rsid w:val="00513778"/>
    <w:rsid w:val="005142C5"/>
    <w:rsid w:val="0051501B"/>
    <w:rsid w:val="005152B5"/>
    <w:rsid w:val="00515745"/>
    <w:rsid w:val="005202F1"/>
    <w:rsid w:val="0052123C"/>
    <w:rsid w:val="00521319"/>
    <w:rsid w:val="00521747"/>
    <w:rsid w:val="00521F7E"/>
    <w:rsid w:val="00522BC8"/>
    <w:rsid w:val="005233C7"/>
    <w:rsid w:val="00523957"/>
    <w:rsid w:val="00523C28"/>
    <w:rsid w:val="00524A5C"/>
    <w:rsid w:val="005251BA"/>
    <w:rsid w:val="00525342"/>
    <w:rsid w:val="00525351"/>
    <w:rsid w:val="00527C03"/>
    <w:rsid w:val="005308BC"/>
    <w:rsid w:val="00530B66"/>
    <w:rsid w:val="005310E3"/>
    <w:rsid w:val="00531515"/>
    <w:rsid w:val="005315D6"/>
    <w:rsid w:val="0053176B"/>
    <w:rsid w:val="00533027"/>
    <w:rsid w:val="005331D2"/>
    <w:rsid w:val="00533A06"/>
    <w:rsid w:val="00533BBD"/>
    <w:rsid w:val="00534198"/>
    <w:rsid w:val="00536F42"/>
    <w:rsid w:val="00537069"/>
    <w:rsid w:val="00537182"/>
    <w:rsid w:val="00541EDD"/>
    <w:rsid w:val="00542743"/>
    <w:rsid w:val="00542C2D"/>
    <w:rsid w:val="00543CDB"/>
    <w:rsid w:val="00544904"/>
    <w:rsid w:val="00544FC7"/>
    <w:rsid w:val="00544FEB"/>
    <w:rsid w:val="0054501C"/>
    <w:rsid w:val="00545372"/>
    <w:rsid w:val="00545B73"/>
    <w:rsid w:val="00545EA9"/>
    <w:rsid w:val="0054641F"/>
    <w:rsid w:val="005467C7"/>
    <w:rsid w:val="005478BD"/>
    <w:rsid w:val="005479E3"/>
    <w:rsid w:val="00551985"/>
    <w:rsid w:val="00551BA4"/>
    <w:rsid w:val="00552142"/>
    <w:rsid w:val="00552BD3"/>
    <w:rsid w:val="00552E12"/>
    <w:rsid w:val="0055315E"/>
    <w:rsid w:val="005532A0"/>
    <w:rsid w:val="00555109"/>
    <w:rsid w:val="00556132"/>
    <w:rsid w:val="005565D1"/>
    <w:rsid w:val="00556B35"/>
    <w:rsid w:val="0055725A"/>
    <w:rsid w:val="0055741A"/>
    <w:rsid w:val="0056095A"/>
    <w:rsid w:val="00560B21"/>
    <w:rsid w:val="005611B7"/>
    <w:rsid w:val="005618D4"/>
    <w:rsid w:val="00562887"/>
    <w:rsid w:val="00562B68"/>
    <w:rsid w:val="00564084"/>
    <w:rsid w:val="00565DD9"/>
    <w:rsid w:val="00565DF0"/>
    <w:rsid w:val="0056696F"/>
    <w:rsid w:val="00567012"/>
    <w:rsid w:val="0056746E"/>
    <w:rsid w:val="005703C3"/>
    <w:rsid w:val="00572269"/>
    <w:rsid w:val="0057244A"/>
    <w:rsid w:val="00572F26"/>
    <w:rsid w:val="0057356E"/>
    <w:rsid w:val="005738BA"/>
    <w:rsid w:val="00573F37"/>
    <w:rsid w:val="005741AA"/>
    <w:rsid w:val="00574998"/>
    <w:rsid w:val="00574FDE"/>
    <w:rsid w:val="005750C5"/>
    <w:rsid w:val="005752DE"/>
    <w:rsid w:val="00575B6B"/>
    <w:rsid w:val="00575D8D"/>
    <w:rsid w:val="0057669F"/>
    <w:rsid w:val="00576972"/>
    <w:rsid w:val="00580E2F"/>
    <w:rsid w:val="00581167"/>
    <w:rsid w:val="00582CCC"/>
    <w:rsid w:val="00583699"/>
    <w:rsid w:val="005839A1"/>
    <w:rsid w:val="00583D54"/>
    <w:rsid w:val="00585CDD"/>
    <w:rsid w:val="005863D4"/>
    <w:rsid w:val="00586535"/>
    <w:rsid w:val="00586782"/>
    <w:rsid w:val="00586A29"/>
    <w:rsid w:val="00587058"/>
    <w:rsid w:val="005879A7"/>
    <w:rsid w:val="00590BE1"/>
    <w:rsid w:val="00591827"/>
    <w:rsid w:val="00591957"/>
    <w:rsid w:val="00591C99"/>
    <w:rsid w:val="00591FDD"/>
    <w:rsid w:val="00592777"/>
    <w:rsid w:val="00592A55"/>
    <w:rsid w:val="00595537"/>
    <w:rsid w:val="00596414"/>
    <w:rsid w:val="00597247"/>
    <w:rsid w:val="00597393"/>
    <w:rsid w:val="0059773E"/>
    <w:rsid w:val="00597BF9"/>
    <w:rsid w:val="00597E37"/>
    <w:rsid w:val="005A0141"/>
    <w:rsid w:val="005A0158"/>
    <w:rsid w:val="005A0953"/>
    <w:rsid w:val="005A2910"/>
    <w:rsid w:val="005A309A"/>
    <w:rsid w:val="005A373D"/>
    <w:rsid w:val="005A38ED"/>
    <w:rsid w:val="005A7BFE"/>
    <w:rsid w:val="005B050D"/>
    <w:rsid w:val="005B0B58"/>
    <w:rsid w:val="005B2837"/>
    <w:rsid w:val="005B29D6"/>
    <w:rsid w:val="005B37DB"/>
    <w:rsid w:val="005B3930"/>
    <w:rsid w:val="005B4522"/>
    <w:rsid w:val="005B4C19"/>
    <w:rsid w:val="005B4E53"/>
    <w:rsid w:val="005B5857"/>
    <w:rsid w:val="005B5F7C"/>
    <w:rsid w:val="005B6457"/>
    <w:rsid w:val="005B6980"/>
    <w:rsid w:val="005B72CD"/>
    <w:rsid w:val="005C1B83"/>
    <w:rsid w:val="005C25FF"/>
    <w:rsid w:val="005C2D55"/>
    <w:rsid w:val="005C346B"/>
    <w:rsid w:val="005C3F51"/>
    <w:rsid w:val="005C4C1B"/>
    <w:rsid w:val="005C53E6"/>
    <w:rsid w:val="005C617D"/>
    <w:rsid w:val="005C7749"/>
    <w:rsid w:val="005D044D"/>
    <w:rsid w:val="005D0ABD"/>
    <w:rsid w:val="005D0B51"/>
    <w:rsid w:val="005D18AD"/>
    <w:rsid w:val="005D2063"/>
    <w:rsid w:val="005D2068"/>
    <w:rsid w:val="005D26B4"/>
    <w:rsid w:val="005D2985"/>
    <w:rsid w:val="005D3031"/>
    <w:rsid w:val="005D450F"/>
    <w:rsid w:val="005D54C6"/>
    <w:rsid w:val="005D629A"/>
    <w:rsid w:val="005D76D5"/>
    <w:rsid w:val="005E10D6"/>
    <w:rsid w:val="005E264A"/>
    <w:rsid w:val="005E2A0E"/>
    <w:rsid w:val="005E4516"/>
    <w:rsid w:val="005E46FD"/>
    <w:rsid w:val="005E4D01"/>
    <w:rsid w:val="005E58B1"/>
    <w:rsid w:val="005E595F"/>
    <w:rsid w:val="005E6CBC"/>
    <w:rsid w:val="005E72FF"/>
    <w:rsid w:val="005E73C0"/>
    <w:rsid w:val="005E7DDA"/>
    <w:rsid w:val="005F2706"/>
    <w:rsid w:val="005F3850"/>
    <w:rsid w:val="005F38DC"/>
    <w:rsid w:val="005F508F"/>
    <w:rsid w:val="005F513A"/>
    <w:rsid w:val="005F576F"/>
    <w:rsid w:val="005F5DFE"/>
    <w:rsid w:val="005F6A8F"/>
    <w:rsid w:val="005F6BB7"/>
    <w:rsid w:val="005F743E"/>
    <w:rsid w:val="005F7588"/>
    <w:rsid w:val="00600330"/>
    <w:rsid w:val="006019A0"/>
    <w:rsid w:val="00601AB9"/>
    <w:rsid w:val="00603DB9"/>
    <w:rsid w:val="00604186"/>
    <w:rsid w:val="00604B64"/>
    <w:rsid w:val="006055EA"/>
    <w:rsid w:val="00606FBA"/>
    <w:rsid w:val="00607669"/>
    <w:rsid w:val="006076F4"/>
    <w:rsid w:val="00607AFD"/>
    <w:rsid w:val="00607C6F"/>
    <w:rsid w:val="0061014A"/>
    <w:rsid w:val="00611CD8"/>
    <w:rsid w:val="00612215"/>
    <w:rsid w:val="00612F97"/>
    <w:rsid w:val="00613400"/>
    <w:rsid w:val="0061345D"/>
    <w:rsid w:val="006148EE"/>
    <w:rsid w:val="00615407"/>
    <w:rsid w:val="0061549B"/>
    <w:rsid w:val="00615D5C"/>
    <w:rsid w:val="00616802"/>
    <w:rsid w:val="00617266"/>
    <w:rsid w:val="00617C56"/>
    <w:rsid w:val="00617E12"/>
    <w:rsid w:val="00620968"/>
    <w:rsid w:val="00620C25"/>
    <w:rsid w:val="00621041"/>
    <w:rsid w:val="00621477"/>
    <w:rsid w:val="00621ADA"/>
    <w:rsid w:val="00621C13"/>
    <w:rsid w:val="006223C6"/>
    <w:rsid w:val="0062267A"/>
    <w:rsid w:val="00623F7B"/>
    <w:rsid w:val="006245FF"/>
    <w:rsid w:val="00624CDB"/>
    <w:rsid w:val="00627166"/>
    <w:rsid w:val="0063045E"/>
    <w:rsid w:val="00631263"/>
    <w:rsid w:val="0063158F"/>
    <w:rsid w:val="00631D6B"/>
    <w:rsid w:val="00632183"/>
    <w:rsid w:val="00632540"/>
    <w:rsid w:val="006330A1"/>
    <w:rsid w:val="00633388"/>
    <w:rsid w:val="006337FB"/>
    <w:rsid w:val="00633FC2"/>
    <w:rsid w:val="0063479F"/>
    <w:rsid w:val="006351DA"/>
    <w:rsid w:val="006353F0"/>
    <w:rsid w:val="00635642"/>
    <w:rsid w:val="006357B5"/>
    <w:rsid w:val="00635984"/>
    <w:rsid w:val="006364A1"/>
    <w:rsid w:val="0063678E"/>
    <w:rsid w:val="006372CF"/>
    <w:rsid w:val="00637BFD"/>
    <w:rsid w:val="006410DB"/>
    <w:rsid w:val="0064193B"/>
    <w:rsid w:val="00641C4E"/>
    <w:rsid w:val="00641FB3"/>
    <w:rsid w:val="0064434C"/>
    <w:rsid w:val="006471CC"/>
    <w:rsid w:val="0064750A"/>
    <w:rsid w:val="00647A29"/>
    <w:rsid w:val="00647E25"/>
    <w:rsid w:val="00647E4D"/>
    <w:rsid w:val="0065079F"/>
    <w:rsid w:val="006515E7"/>
    <w:rsid w:val="0065228C"/>
    <w:rsid w:val="00652779"/>
    <w:rsid w:val="00652A28"/>
    <w:rsid w:val="00653708"/>
    <w:rsid w:val="0065379F"/>
    <w:rsid w:val="00655041"/>
    <w:rsid w:val="0065525D"/>
    <w:rsid w:val="0065579E"/>
    <w:rsid w:val="006559C4"/>
    <w:rsid w:val="00656188"/>
    <w:rsid w:val="0065629A"/>
    <w:rsid w:val="0065703D"/>
    <w:rsid w:val="0065715A"/>
    <w:rsid w:val="006572F0"/>
    <w:rsid w:val="00657318"/>
    <w:rsid w:val="006610F1"/>
    <w:rsid w:val="00661C6B"/>
    <w:rsid w:val="00664112"/>
    <w:rsid w:val="00664C4A"/>
    <w:rsid w:val="00664EBE"/>
    <w:rsid w:val="006654AD"/>
    <w:rsid w:val="00665F3A"/>
    <w:rsid w:val="00666A90"/>
    <w:rsid w:val="00667B82"/>
    <w:rsid w:val="006705A9"/>
    <w:rsid w:val="0067072A"/>
    <w:rsid w:val="00670E75"/>
    <w:rsid w:val="00671004"/>
    <w:rsid w:val="00671CD0"/>
    <w:rsid w:val="00672646"/>
    <w:rsid w:val="006738A6"/>
    <w:rsid w:val="00673B14"/>
    <w:rsid w:val="00674E42"/>
    <w:rsid w:val="0067565E"/>
    <w:rsid w:val="00675BE8"/>
    <w:rsid w:val="006773A7"/>
    <w:rsid w:val="0068095C"/>
    <w:rsid w:val="006813BD"/>
    <w:rsid w:val="006813F8"/>
    <w:rsid w:val="0068198D"/>
    <w:rsid w:val="00682112"/>
    <w:rsid w:val="00682698"/>
    <w:rsid w:val="00682BA6"/>
    <w:rsid w:val="00683FE6"/>
    <w:rsid w:val="00684C27"/>
    <w:rsid w:val="006854F5"/>
    <w:rsid w:val="0068582F"/>
    <w:rsid w:val="0068591B"/>
    <w:rsid w:val="00685EEB"/>
    <w:rsid w:val="006861A5"/>
    <w:rsid w:val="00686957"/>
    <w:rsid w:val="006872BA"/>
    <w:rsid w:val="00687F84"/>
    <w:rsid w:val="00690431"/>
    <w:rsid w:val="00690795"/>
    <w:rsid w:val="00691621"/>
    <w:rsid w:val="00691648"/>
    <w:rsid w:val="00691781"/>
    <w:rsid w:val="006917D7"/>
    <w:rsid w:val="0069434C"/>
    <w:rsid w:val="0069466F"/>
    <w:rsid w:val="00694AD2"/>
    <w:rsid w:val="00694F44"/>
    <w:rsid w:val="00696F51"/>
    <w:rsid w:val="006979A5"/>
    <w:rsid w:val="006A14E3"/>
    <w:rsid w:val="006A22A8"/>
    <w:rsid w:val="006A61C1"/>
    <w:rsid w:val="006A6942"/>
    <w:rsid w:val="006A6B99"/>
    <w:rsid w:val="006A7E5F"/>
    <w:rsid w:val="006B0AD7"/>
    <w:rsid w:val="006B261B"/>
    <w:rsid w:val="006B2C90"/>
    <w:rsid w:val="006B2C94"/>
    <w:rsid w:val="006B3110"/>
    <w:rsid w:val="006B35E6"/>
    <w:rsid w:val="006B465A"/>
    <w:rsid w:val="006B47BC"/>
    <w:rsid w:val="006B4B58"/>
    <w:rsid w:val="006B52B0"/>
    <w:rsid w:val="006B6DD0"/>
    <w:rsid w:val="006B6FFA"/>
    <w:rsid w:val="006B70A0"/>
    <w:rsid w:val="006C0399"/>
    <w:rsid w:val="006C0ED9"/>
    <w:rsid w:val="006C1445"/>
    <w:rsid w:val="006C14A6"/>
    <w:rsid w:val="006C1C7A"/>
    <w:rsid w:val="006C23BE"/>
    <w:rsid w:val="006C2A8E"/>
    <w:rsid w:val="006C3255"/>
    <w:rsid w:val="006C3C32"/>
    <w:rsid w:val="006C3F26"/>
    <w:rsid w:val="006C5F2D"/>
    <w:rsid w:val="006C60DC"/>
    <w:rsid w:val="006C69DC"/>
    <w:rsid w:val="006C6B39"/>
    <w:rsid w:val="006C7E16"/>
    <w:rsid w:val="006D0543"/>
    <w:rsid w:val="006D0D17"/>
    <w:rsid w:val="006D106C"/>
    <w:rsid w:val="006D1E5C"/>
    <w:rsid w:val="006D2D26"/>
    <w:rsid w:val="006D3C7D"/>
    <w:rsid w:val="006D3DBE"/>
    <w:rsid w:val="006D4659"/>
    <w:rsid w:val="006D58F6"/>
    <w:rsid w:val="006D5D5F"/>
    <w:rsid w:val="006D68FB"/>
    <w:rsid w:val="006E0BA6"/>
    <w:rsid w:val="006E0BF8"/>
    <w:rsid w:val="006E0CE7"/>
    <w:rsid w:val="006E0FFE"/>
    <w:rsid w:val="006E2868"/>
    <w:rsid w:val="006E2F07"/>
    <w:rsid w:val="006E309C"/>
    <w:rsid w:val="006E38A8"/>
    <w:rsid w:val="006E4EFD"/>
    <w:rsid w:val="006E5404"/>
    <w:rsid w:val="006E76E2"/>
    <w:rsid w:val="006E7D29"/>
    <w:rsid w:val="006E7D93"/>
    <w:rsid w:val="006F11EA"/>
    <w:rsid w:val="006F2211"/>
    <w:rsid w:val="006F2ADF"/>
    <w:rsid w:val="006F306C"/>
    <w:rsid w:val="006F346A"/>
    <w:rsid w:val="006F42E4"/>
    <w:rsid w:val="006F4544"/>
    <w:rsid w:val="006F4E7D"/>
    <w:rsid w:val="006F5312"/>
    <w:rsid w:val="006F5454"/>
    <w:rsid w:val="006F63A5"/>
    <w:rsid w:val="00700457"/>
    <w:rsid w:val="00700BB9"/>
    <w:rsid w:val="00700D03"/>
    <w:rsid w:val="0070142B"/>
    <w:rsid w:val="0070276E"/>
    <w:rsid w:val="00702F8F"/>
    <w:rsid w:val="007035C6"/>
    <w:rsid w:val="00703718"/>
    <w:rsid w:val="00704162"/>
    <w:rsid w:val="00704FB1"/>
    <w:rsid w:val="0070512A"/>
    <w:rsid w:val="00705D63"/>
    <w:rsid w:val="0070664B"/>
    <w:rsid w:val="007079FC"/>
    <w:rsid w:val="00710275"/>
    <w:rsid w:val="007113C5"/>
    <w:rsid w:val="0071165C"/>
    <w:rsid w:val="00711A36"/>
    <w:rsid w:val="00712FB9"/>
    <w:rsid w:val="00714639"/>
    <w:rsid w:val="007146D5"/>
    <w:rsid w:val="00714C26"/>
    <w:rsid w:val="00714DE9"/>
    <w:rsid w:val="0071529C"/>
    <w:rsid w:val="00715424"/>
    <w:rsid w:val="007168C3"/>
    <w:rsid w:val="007170DA"/>
    <w:rsid w:val="007172AD"/>
    <w:rsid w:val="00717BA1"/>
    <w:rsid w:val="00720387"/>
    <w:rsid w:val="00720617"/>
    <w:rsid w:val="00720801"/>
    <w:rsid w:val="0072298A"/>
    <w:rsid w:val="00722A02"/>
    <w:rsid w:val="00722B1B"/>
    <w:rsid w:val="00722B23"/>
    <w:rsid w:val="007236AC"/>
    <w:rsid w:val="00723E38"/>
    <w:rsid w:val="0072416F"/>
    <w:rsid w:val="007242EB"/>
    <w:rsid w:val="0072461D"/>
    <w:rsid w:val="00725668"/>
    <w:rsid w:val="00725D18"/>
    <w:rsid w:val="007276D4"/>
    <w:rsid w:val="00727C94"/>
    <w:rsid w:val="00730E9D"/>
    <w:rsid w:val="00731B0A"/>
    <w:rsid w:val="00731EAE"/>
    <w:rsid w:val="0073255A"/>
    <w:rsid w:val="00733073"/>
    <w:rsid w:val="00735033"/>
    <w:rsid w:val="00735328"/>
    <w:rsid w:val="00735BCC"/>
    <w:rsid w:val="0073685B"/>
    <w:rsid w:val="00743BD2"/>
    <w:rsid w:val="007447A4"/>
    <w:rsid w:val="007449BF"/>
    <w:rsid w:val="00746BC0"/>
    <w:rsid w:val="007479CE"/>
    <w:rsid w:val="007510B4"/>
    <w:rsid w:val="00752142"/>
    <w:rsid w:val="007523F9"/>
    <w:rsid w:val="007530E8"/>
    <w:rsid w:val="0075357E"/>
    <w:rsid w:val="00753C84"/>
    <w:rsid w:val="00755630"/>
    <w:rsid w:val="0075675C"/>
    <w:rsid w:val="00756FAC"/>
    <w:rsid w:val="007573E8"/>
    <w:rsid w:val="0076028F"/>
    <w:rsid w:val="00760A22"/>
    <w:rsid w:val="00760C4E"/>
    <w:rsid w:val="00760F9E"/>
    <w:rsid w:val="0076112D"/>
    <w:rsid w:val="007613B4"/>
    <w:rsid w:val="00761D1E"/>
    <w:rsid w:val="00762085"/>
    <w:rsid w:val="007627BE"/>
    <w:rsid w:val="00764617"/>
    <w:rsid w:val="007649C8"/>
    <w:rsid w:val="00764F03"/>
    <w:rsid w:val="00765B1A"/>
    <w:rsid w:val="007668A3"/>
    <w:rsid w:val="00770822"/>
    <w:rsid w:val="007726C2"/>
    <w:rsid w:val="007738F3"/>
    <w:rsid w:val="007752EA"/>
    <w:rsid w:val="007772CE"/>
    <w:rsid w:val="00777335"/>
    <w:rsid w:val="00777A69"/>
    <w:rsid w:val="00780220"/>
    <w:rsid w:val="00780CD4"/>
    <w:rsid w:val="00781BBD"/>
    <w:rsid w:val="007833F7"/>
    <w:rsid w:val="0078348F"/>
    <w:rsid w:val="00783AF0"/>
    <w:rsid w:val="00783DFB"/>
    <w:rsid w:val="007843F2"/>
    <w:rsid w:val="00784F1A"/>
    <w:rsid w:val="00785A9F"/>
    <w:rsid w:val="00786221"/>
    <w:rsid w:val="00786F38"/>
    <w:rsid w:val="00787A22"/>
    <w:rsid w:val="007905B0"/>
    <w:rsid w:val="007925DF"/>
    <w:rsid w:val="00792F25"/>
    <w:rsid w:val="007939D1"/>
    <w:rsid w:val="00793A6F"/>
    <w:rsid w:val="00794EED"/>
    <w:rsid w:val="007951E4"/>
    <w:rsid w:val="007979E3"/>
    <w:rsid w:val="00797BC5"/>
    <w:rsid w:val="007A0456"/>
    <w:rsid w:val="007A0639"/>
    <w:rsid w:val="007A08AA"/>
    <w:rsid w:val="007A0A12"/>
    <w:rsid w:val="007A12C1"/>
    <w:rsid w:val="007A132D"/>
    <w:rsid w:val="007A1345"/>
    <w:rsid w:val="007A178B"/>
    <w:rsid w:val="007A2DDB"/>
    <w:rsid w:val="007A32B0"/>
    <w:rsid w:val="007A70BA"/>
    <w:rsid w:val="007A7A2A"/>
    <w:rsid w:val="007B0286"/>
    <w:rsid w:val="007B02CC"/>
    <w:rsid w:val="007B058F"/>
    <w:rsid w:val="007B0D68"/>
    <w:rsid w:val="007B251D"/>
    <w:rsid w:val="007B43DB"/>
    <w:rsid w:val="007B4F58"/>
    <w:rsid w:val="007B528D"/>
    <w:rsid w:val="007B63CA"/>
    <w:rsid w:val="007B659A"/>
    <w:rsid w:val="007B6D61"/>
    <w:rsid w:val="007B77D1"/>
    <w:rsid w:val="007C008E"/>
    <w:rsid w:val="007C07C7"/>
    <w:rsid w:val="007C18A5"/>
    <w:rsid w:val="007C1CD9"/>
    <w:rsid w:val="007C1E0C"/>
    <w:rsid w:val="007C2CC6"/>
    <w:rsid w:val="007C32EF"/>
    <w:rsid w:val="007C33F7"/>
    <w:rsid w:val="007C361D"/>
    <w:rsid w:val="007C45B0"/>
    <w:rsid w:val="007C4B84"/>
    <w:rsid w:val="007C4D6F"/>
    <w:rsid w:val="007C4DBF"/>
    <w:rsid w:val="007C7085"/>
    <w:rsid w:val="007C70FF"/>
    <w:rsid w:val="007C7C25"/>
    <w:rsid w:val="007D004F"/>
    <w:rsid w:val="007D059E"/>
    <w:rsid w:val="007D0730"/>
    <w:rsid w:val="007D093E"/>
    <w:rsid w:val="007D0B38"/>
    <w:rsid w:val="007D21BB"/>
    <w:rsid w:val="007D2D97"/>
    <w:rsid w:val="007D515C"/>
    <w:rsid w:val="007D5440"/>
    <w:rsid w:val="007D6167"/>
    <w:rsid w:val="007D6394"/>
    <w:rsid w:val="007D69EB"/>
    <w:rsid w:val="007E0F6F"/>
    <w:rsid w:val="007E128F"/>
    <w:rsid w:val="007E1B7F"/>
    <w:rsid w:val="007E37FA"/>
    <w:rsid w:val="007E4AD1"/>
    <w:rsid w:val="007E4C67"/>
    <w:rsid w:val="007E699A"/>
    <w:rsid w:val="007E760F"/>
    <w:rsid w:val="007F01E9"/>
    <w:rsid w:val="007F0AB2"/>
    <w:rsid w:val="007F0E70"/>
    <w:rsid w:val="007F1017"/>
    <w:rsid w:val="007F1E98"/>
    <w:rsid w:val="007F21F6"/>
    <w:rsid w:val="007F2E4E"/>
    <w:rsid w:val="007F3824"/>
    <w:rsid w:val="007F3FD3"/>
    <w:rsid w:val="007F4941"/>
    <w:rsid w:val="007F4A3F"/>
    <w:rsid w:val="007F4A61"/>
    <w:rsid w:val="007F4CA5"/>
    <w:rsid w:val="007F4F63"/>
    <w:rsid w:val="007F5255"/>
    <w:rsid w:val="007F56CC"/>
    <w:rsid w:val="007F5C65"/>
    <w:rsid w:val="007F61C2"/>
    <w:rsid w:val="007F7499"/>
    <w:rsid w:val="008010E9"/>
    <w:rsid w:val="0080114F"/>
    <w:rsid w:val="0080145F"/>
    <w:rsid w:val="00801BD6"/>
    <w:rsid w:val="008021BE"/>
    <w:rsid w:val="00802560"/>
    <w:rsid w:val="00803B1C"/>
    <w:rsid w:val="00804D6B"/>
    <w:rsid w:val="00805142"/>
    <w:rsid w:val="00805FCE"/>
    <w:rsid w:val="0080767A"/>
    <w:rsid w:val="00807A8B"/>
    <w:rsid w:val="00811383"/>
    <w:rsid w:val="00811842"/>
    <w:rsid w:val="00812149"/>
    <w:rsid w:val="00812500"/>
    <w:rsid w:val="008126B8"/>
    <w:rsid w:val="00812CAC"/>
    <w:rsid w:val="00814CED"/>
    <w:rsid w:val="00815756"/>
    <w:rsid w:val="00816361"/>
    <w:rsid w:val="008166EF"/>
    <w:rsid w:val="00816D2D"/>
    <w:rsid w:val="00816FEF"/>
    <w:rsid w:val="00820A8C"/>
    <w:rsid w:val="008215FB"/>
    <w:rsid w:val="00823174"/>
    <w:rsid w:val="008242DE"/>
    <w:rsid w:val="0082514D"/>
    <w:rsid w:val="008252B2"/>
    <w:rsid w:val="00825751"/>
    <w:rsid w:val="00825F7F"/>
    <w:rsid w:val="008264EB"/>
    <w:rsid w:val="00827007"/>
    <w:rsid w:val="00830DC1"/>
    <w:rsid w:val="0083162C"/>
    <w:rsid w:val="008322EA"/>
    <w:rsid w:val="00832543"/>
    <w:rsid w:val="00832989"/>
    <w:rsid w:val="00833548"/>
    <w:rsid w:val="00833B05"/>
    <w:rsid w:val="00833DDD"/>
    <w:rsid w:val="00834DB8"/>
    <w:rsid w:val="00835E68"/>
    <w:rsid w:val="008360B7"/>
    <w:rsid w:val="0083613B"/>
    <w:rsid w:val="008362B4"/>
    <w:rsid w:val="008364B4"/>
    <w:rsid w:val="00836791"/>
    <w:rsid w:val="00836A32"/>
    <w:rsid w:val="00837484"/>
    <w:rsid w:val="0084063A"/>
    <w:rsid w:val="0084084A"/>
    <w:rsid w:val="00840CA2"/>
    <w:rsid w:val="00842715"/>
    <w:rsid w:val="00842AEA"/>
    <w:rsid w:val="0084374F"/>
    <w:rsid w:val="00843823"/>
    <w:rsid w:val="00843C91"/>
    <w:rsid w:val="008441CC"/>
    <w:rsid w:val="00844400"/>
    <w:rsid w:val="00844A22"/>
    <w:rsid w:val="00845E59"/>
    <w:rsid w:val="008466BF"/>
    <w:rsid w:val="008468C6"/>
    <w:rsid w:val="00847703"/>
    <w:rsid w:val="00847DF5"/>
    <w:rsid w:val="00847EB1"/>
    <w:rsid w:val="00850960"/>
    <w:rsid w:val="00850B6D"/>
    <w:rsid w:val="0085205F"/>
    <w:rsid w:val="00852CC8"/>
    <w:rsid w:val="0085309D"/>
    <w:rsid w:val="00854E10"/>
    <w:rsid w:val="008558B4"/>
    <w:rsid w:val="00855E47"/>
    <w:rsid w:val="008561CF"/>
    <w:rsid w:val="00856897"/>
    <w:rsid w:val="00856E9A"/>
    <w:rsid w:val="00860184"/>
    <w:rsid w:val="0086075D"/>
    <w:rsid w:val="00860AFA"/>
    <w:rsid w:val="0086187B"/>
    <w:rsid w:val="008619E0"/>
    <w:rsid w:val="00862502"/>
    <w:rsid w:val="008627ED"/>
    <w:rsid w:val="00862CC1"/>
    <w:rsid w:val="00864443"/>
    <w:rsid w:val="008660D4"/>
    <w:rsid w:val="008669F9"/>
    <w:rsid w:val="008709BE"/>
    <w:rsid w:val="00871FA9"/>
    <w:rsid w:val="008728E9"/>
    <w:rsid w:val="00872C7C"/>
    <w:rsid w:val="0087368F"/>
    <w:rsid w:val="00873889"/>
    <w:rsid w:val="00873D93"/>
    <w:rsid w:val="008741BD"/>
    <w:rsid w:val="00874F2A"/>
    <w:rsid w:val="00876139"/>
    <w:rsid w:val="008776B2"/>
    <w:rsid w:val="00880F99"/>
    <w:rsid w:val="00881517"/>
    <w:rsid w:val="00881CC1"/>
    <w:rsid w:val="00882874"/>
    <w:rsid w:val="0088298F"/>
    <w:rsid w:val="008829A5"/>
    <w:rsid w:val="00882E3C"/>
    <w:rsid w:val="00883787"/>
    <w:rsid w:val="00884A34"/>
    <w:rsid w:val="008855E4"/>
    <w:rsid w:val="008856A5"/>
    <w:rsid w:val="00885DAA"/>
    <w:rsid w:val="00885F99"/>
    <w:rsid w:val="00886456"/>
    <w:rsid w:val="00886CD2"/>
    <w:rsid w:val="0089071E"/>
    <w:rsid w:val="00891660"/>
    <w:rsid w:val="00891E6F"/>
    <w:rsid w:val="0089275D"/>
    <w:rsid w:val="008929E7"/>
    <w:rsid w:val="00892A36"/>
    <w:rsid w:val="00893239"/>
    <w:rsid w:val="008938FF"/>
    <w:rsid w:val="00894489"/>
    <w:rsid w:val="0089635C"/>
    <w:rsid w:val="008963A5"/>
    <w:rsid w:val="00896D5D"/>
    <w:rsid w:val="00897C4E"/>
    <w:rsid w:val="008A11BE"/>
    <w:rsid w:val="008A3363"/>
    <w:rsid w:val="008A3371"/>
    <w:rsid w:val="008A3C3E"/>
    <w:rsid w:val="008A4F1C"/>
    <w:rsid w:val="008A648A"/>
    <w:rsid w:val="008A66DB"/>
    <w:rsid w:val="008A79DE"/>
    <w:rsid w:val="008A7F0D"/>
    <w:rsid w:val="008B0B8B"/>
    <w:rsid w:val="008B1757"/>
    <w:rsid w:val="008B1A91"/>
    <w:rsid w:val="008B5BE8"/>
    <w:rsid w:val="008B798D"/>
    <w:rsid w:val="008B7992"/>
    <w:rsid w:val="008B7D7E"/>
    <w:rsid w:val="008C0267"/>
    <w:rsid w:val="008C0773"/>
    <w:rsid w:val="008C3359"/>
    <w:rsid w:val="008C465D"/>
    <w:rsid w:val="008C5610"/>
    <w:rsid w:val="008C5739"/>
    <w:rsid w:val="008C6623"/>
    <w:rsid w:val="008C6B89"/>
    <w:rsid w:val="008C6C5F"/>
    <w:rsid w:val="008C7ECB"/>
    <w:rsid w:val="008D1147"/>
    <w:rsid w:val="008D1918"/>
    <w:rsid w:val="008D2051"/>
    <w:rsid w:val="008D3B86"/>
    <w:rsid w:val="008D3C6F"/>
    <w:rsid w:val="008D430C"/>
    <w:rsid w:val="008D43A9"/>
    <w:rsid w:val="008D4755"/>
    <w:rsid w:val="008D4C3D"/>
    <w:rsid w:val="008D64BD"/>
    <w:rsid w:val="008D6B4B"/>
    <w:rsid w:val="008D6FA6"/>
    <w:rsid w:val="008D743C"/>
    <w:rsid w:val="008E0A45"/>
    <w:rsid w:val="008E0D3C"/>
    <w:rsid w:val="008E130A"/>
    <w:rsid w:val="008E1B9E"/>
    <w:rsid w:val="008E25D8"/>
    <w:rsid w:val="008E5419"/>
    <w:rsid w:val="008E55AB"/>
    <w:rsid w:val="008E61D9"/>
    <w:rsid w:val="008F08A7"/>
    <w:rsid w:val="008F0C1E"/>
    <w:rsid w:val="008F120A"/>
    <w:rsid w:val="008F212E"/>
    <w:rsid w:val="008F213B"/>
    <w:rsid w:val="008F23E2"/>
    <w:rsid w:val="008F27E0"/>
    <w:rsid w:val="008F48EB"/>
    <w:rsid w:val="008F4F0B"/>
    <w:rsid w:val="008F5EA2"/>
    <w:rsid w:val="008F6724"/>
    <w:rsid w:val="008F675F"/>
    <w:rsid w:val="008F6F94"/>
    <w:rsid w:val="008F7132"/>
    <w:rsid w:val="008F7199"/>
    <w:rsid w:val="008F73FC"/>
    <w:rsid w:val="008F74FB"/>
    <w:rsid w:val="009027FE"/>
    <w:rsid w:val="00903EFF"/>
    <w:rsid w:val="009046C4"/>
    <w:rsid w:val="00904CF9"/>
    <w:rsid w:val="00905B1F"/>
    <w:rsid w:val="009062A5"/>
    <w:rsid w:val="00910069"/>
    <w:rsid w:val="00910185"/>
    <w:rsid w:val="00910FA7"/>
    <w:rsid w:val="00911272"/>
    <w:rsid w:val="00913056"/>
    <w:rsid w:val="0091350C"/>
    <w:rsid w:val="009135D6"/>
    <w:rsid w:val="00913BAF"/>
    <w:rsid w:val="00913C14"/>
    <w:rsid w:val="00914C77"/>
    <w:rsid w:val="00915202"/>
    <w:rsid w:val="0091581C"/>
    <w:rsid w:val="0091590A"/>
    <w:rsid w:val="0091648B"/>
    <w:rsid w:val="009168C7"/>
    <w:rsid w:val="00921ACB"/>
    <w:rsid w:val="00921F4D"/>
    <w:rsid w:val="009224D2"/>
    <w:rsid w:val="00922E10"/>
    <w:rsid w:val="00923457"/>
    <w:rsid w:val="0092369B"/>
    <w:rsid w:val="00924B47"/>
    <w:rsid w:val="0092503B"/>
    <w:rsid w:val="0092516C"/>
    <w:rsid w:val="0092571A"/>
    <w:rsid w:val="0092675F"/>
    <w:rsid w:val="00927497"/>
    <w:rsid w:val="0093003A"/>
    <w:rsid w:val="00930114"/>
    <w:rsid w:val="009305AD"/>
    <w:rsid w:val="00931584"/>
    <w:rsid w:val="009316DE"/>
    <w:rsid w:val="00932053"/>
    <w:rsid w:val="00933552"/>
    <w:rsid w:val="00934290"/>
    <w:rsid w:val="00934988"/>
    <w:rsid w:val="00936788"/>
    <w:rsid w:val="009368B7"/>
    <w:rsid w:val="00936BCB"/>
    <w:rsid w:val="00937089"/>
    <w:rsid w:val="00940198"/>
    <w:rsid w:val="00940228"/>
    <w:rsid w:val="00940875"/>
    <w:rsid w:val="009410F7"/>
    <w:rsid w:val="00941738"/>
    <w:rsid w:val="00941867"/>
    <w:rsid w:val="00941AAC"/>
    <w:rsid w:val="0094257D"/>
    <w:rsid w:val="00944CEF"/>
    <w:rsid w:val="00944F8A"/>
    <w:rsid w:val="009462B9"/>
    <w:rsid w:val="00947DDF"/>
    <w:rsid w:val="009503B9"/>
    <w:rsid w:val="009510A2"/>
    <w:rsid w:val="009510C9"/>
    <w:rsid w:val="00951A3B"/>
    <w:rsid w:val="00952050"/>
    <w:rsid w:val="00952219"/>
    <w:rsid w:val="00953257"/>
    <w:rsid w:val="00954685"/>
    <w:rsid w:val="0095474C"/>
    <w:rsid w:val="009547B4"/>
    <w:rsid w:val="009561F7"/>
    <w:rsid w:val="00956615"/>
    <w:rsid w:val="009566AA"/>
    <w:rsid w:val="00957F23"/>
    <w:rsid w:val="0096192C"/>
    <w:rsid w:val="00962CB9"/>
    <w:rsid w:val="00962E77"/>
    <w:rsid w:val="00963B4E"/>
    <w:rsid w:val="00964312"/>
    <w:rsid w:val="00964799"/>
    <w:rsid w:val="00965B8A"/>
    <w:rsid w:val="0097071F"/>
    <w:rsid w:val="00971185"/>
    <w:rsid w:val="009717AC"/>
    <w:rsid w:val="00972609"/>
    <w:rsid w:val="00972685"/>
    <w:rsid w:val="00972F6F"/>
    <w:rsid w:val="00972FD1"/>
    <w:rsid w:val="009738DF"/>
    <w:rsid w:val="009747B0"/>
    <w:rsid w:val="009751C1"/>
    <w:rsid w:val="00976903"/>
    <w:rsid w:val="0097699C"/>
    <w:rsid w:val="00976BC5"/>
    <w:rsid w:val="009775DF"/>
    <w:rsid w:val="0097799F"/>
    <w:rsid w:val="00980E4A"/>
    <w:rsid w:val="009811F1"/>
    <w:rsid w:val="0098207D"/>
    <w:rsid w:val="00983E57"/>
    <w:rsid w:val="00984EE8"/>
    <w:rsid w:val="00985DE2"/>
    <w:rsid w:val="0098675D"/>
    <w:rsid w:val="009869E6"/>
    <w:rsid w:val="00986AE7"/>
    <w:rsid w:val="0099062F"/>
    <w:rsid w:val="00990D6C"/>
    <w:rsid w:val="009926E0"/>
    <w:rsid w:val="0099451E"/>
    <w:rsid w:val="00995AC7"/>
    <w:rsid w:val="00996455"/>
    <w:rsid w:val="00996B1A"/>
    <w:rsid w:val="009A1919"/>
    <w:rsid w:val="009A1D42"/>
    <w:rsid w:val="009A2951"/>
    <w:rsid w:val="009A2DCC"/>
    <w:rsid w:val="009A3ABB"/>
    <w:rsid w:val="009A3FD1"/>
    <w:rsid w:val="009A4E38"/>
    <w:rsid w:val="009A5ABC"/>
    <w:rsid w:val="009A5E1B"/>
    <w:rsid w:val="009A6D67"/>
    <w:rsid w:val="009A7F10"/>
    <w:rsid w:val="009B3493"/>
    <w:rsid w:val="009B371D"/>
    <w:rsid w:val="009B3E26"/>
    <w:rsid w:val="009C09EB"/>
    <w:rsid w:val="009C11C1"/>
    <w:rsid w:val="009C233C"/>
    <w:rsid w:val="009C2731"/>
    <w:rsid w:val="009C3706"/>
    <w:rsid w:val="009C3A3A"/>
    <w:rsid w:val="009C3B47"/>
    <w:rsid w:val="009C49E8"/>
    <w:rsid w:val="009C4E4D"/>
    <w:rsid w:val="009C6858"/>
    <w:rsid w:val="009C6CEA"/>
    <w:rsid w:val="009C71D5"/>
    <w:rsid w:val="009C7B85"/>
    <w:rsid w:val="009C7F78"/>
    <w:rsid w:val="009D0254"/>
    <w:rsid w:val="009D1A64"/>
    <w:rsid w:val="009D22C4"/>
    <w:rsid w:val="009D4D7E"/>
    <w:rsid w:val="009D5B91"/>
    <w:rsid w:val="009D792E"/>
    <w:rsid w:val="009D7B30"/>
    <w:rsid w:val="009E0DFE"/>
    <w:rsid w:val="009E18F8"/>
    <w:rsid w:val="009E264F"/>
    <w:rsid w:val="009E31F6"/>
    <w:rsid w:val="009E3424"/>
    <w:rsid w:val="009E3931"/>
    <w:rsid w:val="009E4990"/>
    <w:rsid w:val="009E4C07"/>
    <w:rsid w:val="009E6731"/>
    <w:rsid w:val="009F2885"/>
    <w:rsid w:val="009F3617"/>
    <w:rsid w:val="009F47C4"/>
    <w:rsid w:val="009F4ABD"/>
    <w:rsid w:val="009F4D24"/>
    <w:rsid w:val="009F5084"/>
    <w:rsid w:val="009F6058"/>
    <w:rsid w:val="009F6EC4"/>
    <w:rsid w:val="009F7B65"/>
    <w:rsid w:val="00A01184"/>
    <w:rsid w:val="00A022FB"/>
    <w:rsid w:val="00A02303"/>
    <w:rsid w:val="00A026C7"/>
    <w:rsid w:val="00A02B13"/>
    <w:rsid w:val="00A02B53"/>
    <w:rsid w:val="00A037C2"/>
    <w:rsid w:val="00A03D43"/>
    <w:rsid w:val="00A04380"/>
    <w:rsid w:val="00A04C7B"/>
    <w:rsid w:val="00A05472"/>
    <w:rsid w:val="00A05C32"/>
    <w:rsid w:val="00A0653F"/>
    <w:rsid w:val="00A07CCF"/>
    <w:rsid w:val="00A1077C"/>
    <w:rsid w:val="00A10D04"/>
    <w:rsid w:val="00A11CD0"/>
    <w:rsid w:val="00A1246D"/>
    <w:rsid w:val="00A1247C"/>
    <w:rsid w:val="00A12B6A"/>
    <w:rsid w:val="00A13948"/>
    <w:rsid w:val="00A13EF4"/>
    <w:rsid w:val="00A146A9"/>
    <w:rsid w:val="00A15202"/>
    <w:rsid w:val="00A15246"/>
    <w:rsid w:val="00A1555B"/>
    <w:rsid w:val="00A155C5"/>
    <w:rsid w:val="00A16518"/>
    <w:rsid w:val="00A16AD8"/>
    <w:rsid w:val="00A21380"/>
    <w:rsid w:val="00A2171F"/>
    <w:rsid w:val="00A21C95"/>
    <w:rsid w:val="00A21CF3"/>
    <w:rsid w:val="00A23A11"/>
    <w:rsid w:val="00A247E7"/>
    <w:rsid w:val="00A24813"/>
    <w:rsid w:val="00A257FC"/>
    <w:rsid w:val="00A259C1"/>
    <w:rsid w:val="00A27AEC"/>
    <w:rsid w:val="00A307BF"/>
    <w:rsid w:val="00A320DB"/>
    <w:rsid w:val="00A35D16"/>
    <w:rsid w:val="00A37BCD"/>
    <w:rsid w:val="00A40315"/>
    <w:rsid w:val="00A41689"/>
    <w:rsid w:val="00A420F9"/>
    <w:rsid w:val="00A42592"/>
    <w:rsid w:val="00A43C59"/>
    <w:rsid w:val="00A446A3"/>
    <w:rsid w:val="00A45B77"/>
    <w:rsid w:val="00A46FBA"/>
    <w:rsid w:val="00A476E1"/>
    <w:rsid w:val="00A50AF2"/>
    <w:rsid w:val="00A50ECD"/>
    <w:rsid w:val="00A518F3"/>
    <w:rsid w:val="00A52729"/>
    <w:rsid w:val="00A5345E"/>
    <w:rsid w:val="00A53675"/>
    <w:rsid w:val="00A56434"/>
    <w:rsid w:val="00A564D7"/>
    <w:rsid w:val="00A56B6A"/>
    <w:rsid w:val="00A57791"/>
    <w:rsid w:val="00A578DC"/>
    <w:rsid w:val="00A57CC4"/>
    <w:rsid w:val="00A60A93"/>
    <w:rsid w:val="00A61685"/>
    <w:rsid w:val="00A61C29"/>
    <w:rsid w:val="00A63261"/>
    <w:rsid w:val="00A640E2"/>
    <w:rsid w:val="00A6423C"/>
    <w:rsid w:val="00A64BE1"/>
    <w:rsid w:val="00A64D65"/>
    <w:rsid w:val="00A6725B"/>
    <w:rsid w:val="00A70605"/>
    <w:rsid w:val="00A70AD6"/>
    <w:rsid w:val="00A70D6F"/>
    <w:rsid w:val="00A721A9"/>
    <w:rsid w:val="00A7239E"/>
    <w:rsid w:val="00A73134"/>
    <w:rsid w:val="00A73DD4"/>
    <w:rsid w:val="00A74F4F"/>
    <w:rsid w:val="00A75216"/>
    <w:rsid w:val="00A753FF"/>
    <w:rsid w:val="00A75437"/>
    <w:rsid w:val="00A76001"/>
    <w:rsid w:val="00A777B2"/>
    <w:rsid w:val="00A77D9C"/>
    <w:rsid w:val="00A80C41"/>
    <w:rsid w:val="00A810F3"/>
    <w:rsid w:val="00A81295"/>
    <w:rsid w:val="00A824F4"/>
    <w:rsid w:val="00A825D4"/>
    <w:rsid w:val="00A828F6"/>
    <w:rsid w:val="00A82B73"/>
    <w:rsid w:val="00A82C7A"/>
    <w:rsid w:val="00A83202"/>
    <w:rsid w:val="00A835D5"/>
    <w:rsid w:val="00A84FA1"/>
    <w:rsid w:val="00A85503"/>
    <w:rsid w:val="00A86817"/>
    <w:rsid w:val="00A86E8B"/>
    <w:rsid w:val="00A87164"/>
    <w:rsid w:val="00A87461"/>
    <w:rsid w:val="00A87938"/>
    <w:rsid w:val="00A90E8D"/>
    <w:rsid w:val="00A924E3"/>
    <w:rsid w:val="00A93072"/>
    <w:rsid w:val="00A935BD"/>
    <w:rsid w:val="00A938BD"/>
    <w:rsid w:val="00A93953"/>
    <w:rsid w:val="00A94CE0"/>
    <w:rsid w:val="00A959D8"/>
    <w:rsid w:val="00A960ED"/>
    <w:rsid w:val="00A96710"/>
    <w:rsid w:val="00A9720E"/>
    <w:rsid w:val="00A976AB"/>
    <w:rsid w:val="00AA113D"/>
    <w:rsid w:val="00AA339A"/>
    <w:rsid w:val="00AA3E51"/>
    <w:rsid w:val="00AA63A2"/>
    <w:rsid w:val="00AA6BD5"/>
    <w:rsid w:val="00AA6BD8"/>
    <w:rsid w:val="00AA6C7D"/>
    <w:rsid w:val="00AA7A42"/>
    <w:rsid w:val="00AA7FD6"/>
    <w:rsid w:val="00AB042A"/>
    <w:rsid w:val="00AB0E8E"/>
    <w:rsid w:val="00AB164D"/>
    <w:rsid w:val="00AB19EF"/>
    <w:rsid w:val="00AB21B9"/>
    <w:rsid w:val="00AB2D34"/>
    <w:rsid w:val="00AB3072"/>
    <w:rsid w:val="00AB3430"/>
    <w:rsid w:val="00AB35F2"/>
    <w:rsid w:val="00AB37B9"/>
    <w:rsid w:val="00AB43D3"/>
    <w:rsid w:val="00AB4AD1"/>
    <w:rsid w:val="00AB5255"/>
    <w:rsid w:val="00AB544A"/>
    <w:rsid w:val="00AB5E07"/>
    <w:rsid w:val="00AB75D7"/>
    <w:rsid w:val="00AB7CFA"/>
    <w:rsid w:val="00AC0387"/>
    <w:rsid w:val="00AC2118"/>
    <w:rsid w:val="00AC44BB"/>
    <w:rsid w:val="00AC4708"/>
    <w:rsid w:val="00AC52F2"/>
    <w:rsid w:val="00AC5B48"/>
    <w:rsid w:val="00AC5EE6"/>
    <w:rsid w:val="00AC669A"/>
    <w:rsid w:val="00AC6751"/>
    <w:rsid w:val="00AC68EC"/>
    <w:rsid w:val="00AC6AA0"/>
    <w:rsid w:val="00AC75BC"/>
    <w:rsid w:val="00AD037B"/>
    <w:rsid w:val="00AD0468"/>
    <w:rsid w:val="00AD0FB2"/>
    <w:rsid w:val="00AD1450"/>
    <w:rsid w:val="00AD3E67"/>
    <w:rsid w:val="00AD420C"/>
    <w:rsid w:val="00AD5030"/>
    <w:rsid w:val="00AD60D6"/>
    <w:rsid w:val="00AD622F"/>
    <w:rsid w:val="00AD6502"/>
    <w:rsid w:val="00AD6C98"/>
    <w:rsid w:val="00AD7550"/>
    <w:rsid w:val="00AD77A0"/>
    <w:rsid w:val="00AD7B70"/>
    <w:rsid w:val="00AD7C49"/>
    <w:rsid w:val="00AE0695"/>
    <w:rsid w:val="00AE1789"/>
    <w:rsid w:val="00AE25CA"/>
    <w:rsid w:val="00AE2A22"/>
    <w:rsid w:val="00AE2ACA"/>
    <w:rsid w:val="00AE3D82"/>
    <w:rsid w:val="00AE3E7E"/>
    <w:rsid w:val="00AE58D0"/>
    <w:rsid w:val="00AE5960"/>
    <w:rsid w:val="00AE6AEC"/>
    <w:rsid w:val="00AE6AEF"/>
    <w:rsid w:val="00AF1315"/>
    <w:rsid w:val="00AF1572"/>
    <w:rsid w:val="00AF19BF"/>
    <w:rsid w:val="00AF1A94"/>
    <w:rsid w:val="00AF213A"/>
    <w:rsid w:val="00AF261C"/>
    <w:rsid w:val="00AF2C84"/>
    <w:rsid w:val="00AF2DC3"/>
    <w:rsid w:val="00AF34C8"/>
    <w:rsid w:val="00AF3630"/>
    <w:rsid w:val="00AF4E1A"/>
    <w:rsid w:val="00B02739"/>
    <w:rsid w:val="00B033E5"/>
    <w:rsid w:val="00B03A63"/>
    <w:rsid w:val="00B040BA"/>
    <w:rsid w:val="00B04736"/>
    <w:rsid w:val="00B05895"/>
    <w:rsid w:val="00B05B36"/>
    <w:rsid w:val="00B05D0B"/>
    <w:rsid w:val="00B067C6"/>
    <w:rsid w:val="00B06C30"/>
    <w:rsid w:val="00B07099"/>
    <w:rsid w:val="00B070AF"/>
    <w:rsid w:val="00B074E3"/>
    <w:rsid w:val="00B0778A"/>
    <w:rsid w:val="00B1060F"/>
    <w:rsid w:val="00B10D3F"/>
    <w:rsid w:val="00B113E4"/>
    <w:rsid w:val="00B13ADB"/>
    <w:rsid w:val="00B14DBB"/>
    <w:rsid w:val="00B14DF7"/>
    <w:rsid w:val="00B150BB"/>
    <w:rsid w:val="00B15147"/>
    <w:rsid w:val="00B1542C"/>
    <w:rsid w:val="00B172AF"/>
    <w:rsid w:val="00B201A4"/>
    <w:rsid w:val="00B201D1"/>
    <w:rsid w:val="00B20257"/>
    <w:rsid w:val="00B213A6"/>
    <w:rsid w:val="00B22524"/>
    <w:rsid w:val="00B235B0"/>
    <w:rsid w:val="00B243AA"/>
    <w:rsid w:val="00B24650"/>
    <w:rsid w:val="00B247AB"/>
    <w:rsid w:val="00B24DF6"/>
    <w:rsid w:val="00B25513"/>
    <w:rsid w:val="00B317FA"/>
    <w:rsid w:val="00B32489"/>
    <w:rsid w:val="00B32DB3"/>
    <w:rsid w:val="00B34788"/>
    <w:rsid w:val="00B34A19"/>
    <w:rsid w:val="00B34FE2"/>
    <w:rsid w:val="00B35120"/>
    <w:rsid w:val="00B35166"/>
    <w:rsid w:val="00B357D8"/>
    <w:rsid w:val="00B360F4"/>
    <w:rsid w:val="00B36113"/>
    <w:rsid w:val="00B3647C"/>
    <w:rsid w:val="00B36A00"/>
    <w:rsid w:val="00B37BFC"/>
    <w:rsid w:val="00B37C95"/>
    <w:rsid w:val="00B40358"/>
    <w:rsid w:val="00B41156"/>
    <w:rsid w:val="00B41614"/>
    <w:rsid w:val="00B42851"/>
    <w:rsid w:val="00B42B2C"/>
    <w:rsid w:val="00B42F80"/>
    <w:rsid w:val="00B435CB"/>
    <w:rsid w:val="00B43E10"/>
    <w:rsid w:val="00B4471E"/>
    <w:rsid w:val="00B44DFB"/>
    <w:rsid w:val="00B45074"/>
    <w:rsid w:val="00B4525C"/>
    <w:rsid w:val="00B46300"/>
    <w:rsid w:val="00B505C8"/>
    <w:rsid w:val="00B5071C"/>
    <w:rsid w:val="00B50DB8"/>
    <w:rsid w:val="00B5142A"/>
    <w:rsid w:val="00B51F9F"/>
    <w:rsid w:val="00B52375"/>
    <w:rsid w:val="00B52587"/>
    <w:rsid w:val="00B528D0"/>
    <w:rsid w:val="00B53654"/>
    <w:rsid w:val="00B53905"/>
    <w:rsid w:val="00B542FE"/>
    <w:rsid w:val="00B54B5B"/>
    <w:rsid w:val="00B5508C"/>
    <w:rsid w:val="00B55389"/>
    <w:rsid w:val="00B5562E"/>
    <w:rsid w:val="00B55822"/>
    <w:rsid w:val="00B55D65"/>
    <w:rsid w:val="00B56EF3"/>
    <w:rsid w:val="00B57000"/>
    <w:rsid w:val="00B57220"/>
    <w:rsid w:val="00B600A2"/>
    <w:rsid w:val="00B60939"/>
    <w:rsid w:val="00B60AFD"/>
    <w:rsid w:val="00B61AA9"/>
    <w:rsid w:val="00B62028"/>
    <w:rsid w:val="00B62715"/>
    <w:rsid w:val="00B62F8F"/>
    <w:rsid w:val="00B62FB8"/>
    <w:rsid w:val="00B634FD"/>
    <w:rsid w:val="00B6420B"/>
    <w:rsid w:val="00B6427B"/>
    <w:rsid w:val="00B64C55"/>
    <w:rsid w:val="00B65611"/>
    <w:rsid w:val="00B70E8E"/>
    <w:rsid w:val="00B73428"/>
    <w:rsid w:val="00B739B1"/>
    <w:rsid w:val="00B75B26"/>
    <w:rsid w:val="00B76BAB"/>
    <w:rsid w:val="00B76C92"/>
    <w:rsid w:val="00B76F99"/>
    <w:rsid w:val="00B77137"/>
    <w:rsid w:val="00B805AB"/>
    <w:rsid w:val="00B80F56"/>
    <w:rsid w:val="00B818A4"/>
    <w:rsid w:val="00B81D0A"/>
    <w:rsid w:val="00B81D9A"/>
    <w:rsid w:val="00B81F2C"/>
    <w:rsid w:val="00B82372"/>
    <w:rsid w:val="00B82494"/>
    <w:rsid w:val="00B82C36"/>
    <w:rsid w:val="00B83BB0"/>
    <w:rsid w:val="00B83D0B"/>
    <w:rsid w:val="00B84025"/>
    <w:rsid w:val="00B84117"/>
    <w:rsid w:val="00B845AC"/>
    <w:rsid w:val="00B850CA"/>
    <w:rsid w:val="00B85410"/>
    <w:rsid w:val="00B858F0"/>
    <w:rsid w:val="00B85AA2"/>
    <w:rsid w:val="00B85AB5"/>
    <w:rsid w:val="00B85D83"/>
    <w:rsid w:val="00B861B7"/>
    <w:rsid w:val="00B8649C"/>
    <w:rsid w:val="00B8695D"/>
    <w:rsid w:val="00B87F0A"/>
    <w:rsid w:val="00B90C33"/>
    <w:rsid w:val="00B90EFD"/>
    <w:rsid w:val="00B91644"/>
    <w:rsid w:val="00B91DBA"/>
    <w:rsid w:val="00B9216F"/>
    <w:rsid w:val="00B9233E"/>
    <w:rsid w:val="00B92D0B"/>
    <w:rsid w:val="00B94945"/>
    <w:rsid w:val="00B94A99"/>
    <w:rsid w:val="00B94DD6"/>
    <w:rsid w:val="00B94E97"/>
    <w:rsid w:val="00B95581"/>
    <w:rsid w:val="00B9570A"/>
    <w:rsid w:val="00B9576A"/>
    <w:rsid w:val="00B9695F"/>
    <w:rsid w:val="00B976D1"/>
    <w:rsid w:val="00B97ED6"/>
    <w:rsid w:val="00BA1402"/>
    <w:rsid w:val="00BA22E6"/>
    <w:rsid w:val="00BA300A"/>
    <w:rsid w:val="00BA322D"/>
    <w:rsid w:val="00BA3333"/>
    <w:rsid w:val="00BA34C3"/>
    <w:rsid w:val="00BA378A"/>
    <w:rsid w:val="00BA405F"/>
    <w:rsid w:val="00BA4DA5"/>
    <w:rsid w:val="00BA534C"/>
    <w:rsid w:val="00BA63FA"/>
    <w:rsid w:val="00BB00B3"/>
    <w:rsid w:val="00BB0BDD"/>
    <w:rsid w:val="00BB104B"/>
    <w:rsid w:val="00BB176C"/>
    <w:rsid w:val="00BB2A73"/>
    <w:rsid w:val="00BB341A"/>
    <w:rsid w:val="00BB3A45"/>
    <w:rsid w:val="00BB4714"/>
    <w:rsid w:val="00BB4953"/>
    <w:rsid w:val="00BB4A33"/>
    <w:rsid w:val="00BB4ACC"/>
    <w:rsid w:val="00BB598E"/>
    <w:rsid w:val="00BB703E"/>
    <w:rsid w:val="00BB7095"/>
    <w:rsid w:val="00BB732D"/>
    <w:rsid w:val="00BB7405"/>
    <w:rsid w:val="00BB796E"/>
    <w:rsid w:val="00BC0F67"/>
    <w:rsid w:val="00BC2C03"/>
    <w:rsid w:val="00BC30CE"/>
    <w:rsid w:val="00BC3631"/>
    <w:rsid w:val="00BC42CF"/>
    <w:rsid w:val="00BC51AE"/>
    <w:rsid w:val="00BC591F"/>
    <w:rsid w:val="00BC66D2"/>
    <w:rsid w:val="00BC6F3F"/>
    <w:rsid w:val="00BC7445"/>
    <w:rsid w:val="00BC7508"/>
    <w:rsid w:val="00BC7D6D"/>
    <w:rsid w:val="00BC7EE6"/>
    <w:rsid w:val="00BD00E3"/>
    <w:rsid w:val="00BD06D9"/>
    <w:rsid w:val="00BD09C6"/>
    <w:rsid w:val="00BD0B8F"/>
    <w:rsid w:val="00BD1E52"/>
    <w:rsid w:val="00BD2108"/>
    <w:rsid w:val="00BD2A84"/>
    <w:rsid w:val="00BD3DBA"/>
    <w:rsid w:val="00BD523C"/>
    <w:rsid w:val="00BD5515"/>
    <w:rsid w:val="00BD68A3"/>
    <w:rsid w:val="00BD6938"/>
    <w:rsid w:val="00BD6CF3"/>
    <w:rsid w:val="00BD7CE3"/>
    <w:rsid w:val="00BE02F3"/>
    <w:rsid w:val="00BE07E8"/>
    <w:rsid w:val="00BE0ECA"/>
    <w:rsid w:val="00BE107E"/>
    <w:rsid w:val="00BE2180"/>
    <w:rsid w:val="00BE21F2"/>
    <w:rsid w:val="00BE250A"/>
    <w:rsid w:val="00BE2D3A"/>
    <w:rsid w:val="00BE3882"/>
    <w:rsid w:val="00BE3BEE"/>
    <w:rsid w:val="00BE4275"/>
    <w:rsid w:val="00BE46C5"/>
    <w:rsid w:val="00BE5284"/>
    <w:rsid w:val="00BE5767"/>
    <w:rsid w:val="00BE5CA2"/>
    <w:rsid w:val="00BE6B81"/>
    <w:rsid w:val="00BF06AE"/>
    <w:rsid w:val="00BF0F95"/>
    <w:rsid w:val="00BF155F"/>
    <w:rsid w:val="00BF19B2"/>
    <w:rsid w:val="00BF23E9"/>
    <w:rsid w:val="00BF2433"/>
    <w:rsid w:val="00BF25CF"/>
    <w:rsid w:val="00BF2CF1"/>
    <w:rsid w:val="00BF2EA2"/>
    <w:rsid w:val="00BF33B3"/>
    <w:rsid w:val="00BF61C9"/>
    <w:rsid w:val="00BF6B68"/>
    <w:rsid w:val="00BF6C94"/>
    <w:rsid w:val="00BF75AD"/>
    <w:rsid w:val="00BF7C1D"/>
    <w:rsid w:val="00C00424"/>
    <w:rsid w:val="00C0147A"/>
    <w:rsid w:val="00C01CE2"/>
    <w:rsid w:val="00C028E2"/>
    <w:rsid w:val="00C03465"/>
    <w:rsid w:val="00C03965"/>
    <w:rsid w:val="00C04159"/>
    <w:rsid w:val="00C05797"/>
    <w:rsid w:val="00C0700C"/>
    <w:rsid w:val="00C10B08"/>
    <w:rsid w:val="00C10D53"/>
    <w:rsid w:val="00C115E6"/>
    <w:rsid w:val="00C116E7"/>
    <w:rsid w:val="00C1179F"/>
    <w:rsid w:val="00C12C14"/>
    <w:rsid w:val="00C134F9"/>
    <w:rsid w:val="00C13BC9"/>
    <w:rsid w:val="00C151CA"/>
    <w:rsid w:val="00C15F04"/>
    <w:rsid w:val="00C16CCC"/>
    <w:rsid w:val="00C179B3"/>
    <w:rsid w:val="00C17A4E"/>
    <w:rsid w:val="00C17B67"/>
    <w:rsid w:val="00C17E3F"/>
    <w:rsid w:val="00C200AA"/>
    <w:rsid w:val="00C20CEC"/>
    <w:rsid w:val="00C20CFF"/>
    <w:rsid w:val="00C20FD4"/>
    <w:rsid w:val="00C2344A"/>
    <w:rsid w:val="00C237ED"/>
    <w:rsid w:val="00C24632"/>
    <w:rsid w:val="00C24C48"/>
    <w:rsid w:val="00C25418"/>
    <w:rsid w:val="00C25D9C"/>
    <w:rsid w:val="00C26C0E"/>
    <w:rsid w:val="00C26E39"/>
    <w:rsid w:val="00C2778B"/>
    <w:rsid w:val="00C31649"/>
    <w:rsid w:val="00C317D4"/>
    <w:rsid w:val="00C31A0C"/>
    <w:rsid w:val="00C31A65"/>
    <w:rsid w:val="00C340C5"/>
    <w:rsid w:val="00C3434C"/>
    <w:rsid w:val="00C343C2"/>
    <w:rsid w:val="00C3575F"/>
    <w:rsid w:val="00C36FB4"/>
    <w:rsid w:val="00C40385"/>
    <w:rsid w:val="00C416F2"/>
    <w:rsid w:val="00C41768"/>
    <w:rsid w:val="00C41979"/>
    <w:rsid w:val="00C475AA"/>
    <w:rsid w:val="00C476FD"/>
    <w:rsid w:val="00C47F0E"/>
    <w:rsid w:val="00C50E6E"/>
    <w:rsid w:val="00C53C98"/>
    <w:rsid w:val="00C540CA"/>
    <w:rsid w:val="00C54277"/>
    <w:rsid w:val="00C54DB2"/>
    <w:rsid w:val="00C567E4"/>
    <w:rsid w:val="00C56C7B"/>
    <w:rsid w:val="00C56FCF"/>
    <w:rsid w:val="00C57B6C"/>
    <w:rsid w:val="00C6211B"/>
    <w:rsid w:val="00C628A6"/>
    <w:rsid w:val="00C62AF4"/>
    <w:rsid w:val="00C64344"/>
    <w:rsid w:val="00C6484D"/>
    <w:rsid w:val="00C65108"/>
    <w:rsid w:val="00C65571"/>
    <w:rsid w:val="00C65576"/>
    <w:rsid w:val="00C66165"/>
    <w:rsid w:val="00C66A29"/>
    <w:rsid w:val="00C670A6"/>
    <w:rsid w:val="00C67792"/>
    <w:rsid w:val="00C704B0"/>
    <w:rsid w:val="00C7060A"/>
    <w:rsid w:val="00C70870"/>
    <w:rsid w:val="00C7151A"/>
    <w:rsid w:val="00C717E3"/>
    <w:rsid w:val="00C718EA"/>
    <w:rsid w:val="00C71F60"/>
    <w:rsid w:val="00C72241"/>
    <w:rsid w:val="00C72BC9"/>
    <w:rsid w:val="00C73274"/>
    <w:rsid w:val="00C733E7"/>
    <w:rsid w:val="00C7353D"/>
    <w:rsid w:val="00C73AAA"/>
    <w:rsid w:val="00C750C8"/>
    <w:rsid w:val="00C7538C"/>
    <w:rsid w:val="00C7560F"/>
    <w:rsid w:val="00C776CF"/>
    <w:rsid w:val="00C77EE8"/>
    <w:rsid w:val="00C80693"/>
    <w:rsid w:val="00C80A0E"/>
    <w:rsid w:val="00C80B1F"/>
    <w:rsid w:val="00C81845"/>
    <w:rsid w:val="00C819BC"/>
    <w:rsid w:val="00C8213F"/>
    <w:rsid w:val="00C84F23"/>
    <w:rsid w:val="00C85154"/>
    <w:rsid w:val="00C85A46"/>
    <w:rsid w:val="00C869F9"/>
    <w:rsid w:val="00C87006"/>
    <w:rsid w:val="00C873A3"/>
    <w:rsid w:val="00C8797A"/>
    <w:rsid w:val="00C87E4A"/>
    <w:rsid w:val="00C900B8"/>
    <w:rsid w:val="00C90C71"/>
    <w:rsid w:val="00C91262"/>
    <w:rsid w:val="00C912EA"/>
    <w:rsid w:val="00C91FD1"/>
    <w:rsid w:val="00C931CF"/>
    <w:rsid w:val="00C93450"/>
    <w:rsid w:val="00C93492"/>
    <w:rsid w:val="00C938CF"/>
    <w:rsid w:val="00C93A80"/>
    <w:rsid w:val="00C94053"/>
    <w:rsid w:val="00C94684"/>
    <w:rsid w:val="00C9624D"/>
    <w:rsid w:val="00C96393"/>
    <w:rsid w:val="00C968C1"/>
    <w:rsid w:val="00C969DA"/>
    <w:rsid w:val="00C97261"/>
    <w:rsid w:val="00C9736C"/>
    <w:rsid w:val="00C97C9D"/>
    <w:rsid w:val="00CA01FF"/>
    <w:rsid w:val="00CA02DB"/>
    <w:rsid w:val="00CA11CF"/>
    <w:rsid w:val="00CA1E51"/>
    <w:rsid w:val="00CA2C77"/>
    <w:rsid w:val="00CA39C2"/>
    <w:rsid w:val="00CA444F"/>
    <w:rsid w:val="00CA50CB"/>
    <w:rsid w:val="00CA5245"/>
    <w:rsid w:val="00CA6BA8"/>
    <w:rsid w:val="00CA71F4"/>
    <w:rsid w:val="00CA7B09"/>
    <w:rsid w:val="00CA7B90"/>
    <w:rsid w:val="00CB038F"/>
    <w:rsid w:val="00CB12A5"/>
    <w:rsid w:val="00CB1B47"/>
    <w:rsid w:val="00CB1CAC"/>
    <w:rsid w:val="00CB1E47"/>
    <w:rsid w:val="00CB259A"/>
    <w:rsid w:val="00CB2F2A"/>
    <w:rsid w:val="00CB34E8"/>
    <w:rsid w:val="00CB3E1C"/>
    <w:rsid w:val="00CB5966"/>
    <w:rsid w:val="00CB5B1A"/>
    <w:rsid w:val="00CB6B22"/>
    <w:rsid w:val="00CB7BED"/>
    <w:rsid w:val="00CB7F5F"/>
    <w:rsid w:val="00CC05EE"/>
    <w:rsid w:val="00CC09DA"/>
    <w:rsid w:val="00CC1B39"/>
    <w:rsid w:val="00CC35EA"/>
    <w:rsid w:val="00CC3848"/>
    <w:rsid w:val="00CC390B"/>
    <w:rsid w:val="00CC4A57"/>
    <w:rsid w:val="00CC74BD"/>
    <w:rsid w:val="00CC7701"/>
    <w:rsid w:val="00CC7917"/>
    <w:rsid w:val="00CC7E3B"/>
    <w:rsid w:val="00CC7ECF"/>
    <w:rsid w:val="00CD0204"/>
    <w:rsid w:val="00CD16BE"/>
    <w:rsid w:val="00CD2BF5"/>
    <w:rsid w:val="00CD3F77"/>
    <w:rsid w:val="00CD56E6"/>
    <w:rsid w:val="00CD5749"/>
    <w:rsid w:val="00CD593F"/>
    <w:rsid w:val="00CD6ADC"/>
    <w:rsid w:val="00CD7193"/>
    <w:rsid w:val="00CD7AAC"/>
    <w:rsid w:val="00CE063B"/>
    <w:rsid w:val="00CE0C8A"/>
    <w:rsid w:val="00CE130A"/>
    <w:rsid w:val="00CE1D38"/>
    <w:rsid w:val="00CE1F61"/>
    <w:rsid w:val="00CE1F7D"/>
    <w:rsid w:val="00CE38C8"/>
    <w:rsid w:val="00CE6274"/>
    <w:rsid w:val="00CE6AA9"/>
    <w:rsid w:val="00CE713F"/>
    <w:rsid w:val="00CE7255"/>
    <w:rsid w:val="00CE72F6"/>
    <w:rsid w:val="00CE738F"/>
    <w:rsid w:val="00CE77B6"/>
    <w:rsid w:val="00CE7B67"/>
    <w:rsid w:val="00CF255E"/>
    <w:rsid w:val="00CF2B8D"/>
    <w:rsid w:val="00CF456B"/>
    <w:rsid w:val="00CF515E"/>
    <w:rsid w:val="00CF58D2"/>
    <w:rsid w:val="00CF5A22"/>
    <w:rsid w:val="00CF6583"/>
    <w:rsid w:val="00CF71C8"/>
    <w:rsid w:val="00CF7E53"/>
    <w:rsid w:val="00D00926"/>
    <w:rsid w:val="00D014F8"/>
    <w:rsid w:val="00D02523"/>
    <w:rsid w:val="00D02562"/>
    <w:rsid w:val="00D0262E"/>
    <w:rsid w:val="00D02674"/>
    <w:rsid w:val="00D02E5A"/>
    <w:rsid w:val="00D0342A"/>
    <w:rsid w:val="00D04054"/>
    <w:rsid w:val="00D04801"/>
    <w:rsid w:val="00D04B74"/>
    <w:rsid w:val="00D04D6D"/>
    <w:rsid w:val="00D04DEA"/>
    <w:rsid w:val="00D050CB"/>
    <w:rsid w:val="00D0559E"/>
    <w:rsid w:val="00D05BBB"/>
    <w:rsid w:val="00D05E21"/>
    <w:rsid w:val="00D05E3D"/>
    <w:rsid w:val="00D06139"/>
    <w:rsid w:val="00D0780F"/>
    <w:rsid w:val="00D103B8"/>
    <w:rsid w:val="00D110BD"/>
    <w:rsid w:val="00D11340"/>
    <w:rsid w:val="00D11B88"/>
    <w:rsid w:val="00D1218A"/>
    <w:rsid w:val="00D132E2"/>
    <w:rsid w:val="00D13675"/>
    <w:rsid w:val="00D13684"/>
    <w:rsid w:val="00D141E1"/>
    <w:rsid w:val="00D146F0"/>
    <w:rsid w:val="00D15314"/>
    <w:rsid w:val="00D15B5D"/>
    <w:rsid w:val="00D15DDA"/>
    <w:rsid w:val="00D17A24"/>
    <w:rsid w:val="00D17D6C"/>
    <w:rsid w:val="00D20B72"/>
    <w:rsid w:val="00D214C6"/>
    <w:rsid w:val="00D2155B"/>
    <w:rsid w:val="00D23D11"/>
    <w:rsid w:val="00D23D42"/>
    <w:rsid w:val="00D244B6"/>
    <w:rsid w:val="00D265A9"/>
    <w:rsid w:val="00D266DA"/>
    <w:rsid w:val="00D27313"/>
    <w:rsid w:val="00D2754D"/>
    <w:rsid w:val="00D27B27"/>
    <w:rsid w:val="00D30689"/>
    <w:rsid w:val="00D30D1D"/>
    <w:rsid w:val="00D3174E"/>
    <w:rsid w:val="00D31D18"/>
    <w:rsid w:val="00D31FDB"/>
    <w:rsid w:val="00D33BE9"/>
    <w:rsid w:val="00D33F93"/>
    <w:rsid w:val="00D34930"/>
    <w:rsid w:val="00D357FF"/>
    <w:rsid w:val="00D364CE"/>
    <w:rsid w:val="00D37D96"/>
    <w:rsid w:val="00D40B10"/>
    <w:rsid w:val="00D413BB"/>
    <w:rsid w:val="00D41450"/>
    <w:rsid w:val="00D418EB"/>
    <w:rsid w:val="00D424C7"/>
    <w:rsid w:val="00D42D5C"/>
    <w:rsid w:val="00D43B2A"/>
    <w:rsid w:val="00D43D83"/>
    <w:rsid w:val="00D45642"/>
    <w:rsid w:val="00D47213"/>
    <w:rsid w:val="00D47575"/>
    <w:rsid w:val="00D5082E"/>
    <w:rsid w:val="00D50CA5"/>
    <w:rsid w:val="00D51753"/>
    <w:rsid w:val="00D5243B"/>
    <w:rsid w:val="00D533EC"/>
    <w:rsid w:val="00D53FDD"/>
    <w:rsid w:val="00D55292"/>
    <w:rsid w:val="00D5616D"/>
    <w:rsid w:val="00D563C3"/>
    <w:rsid w:val="00D56527"/>
    <w:rsid w:val="00D56657"/>
    <w:rsid w:val="00D56A95"/>
    <w:rsid w:val="00D56F53"/>
    <w:rsid w:val="00D60081"/>
    <w:rsid w:val="00D6084D"/>
    <w:rsid w:val="00D60F75"/>
    <w:rsid w:val="00D64ADC"/>
    <w:rsid w:val="00D658C9"/>
    <w:rsid w:val="00D66069"/>
    <w:rsid w:val="00D66D88"/>
    <w:rsid w:val="00D7048E"/>
    <w:rsid w:val="00D70F16"/>
    <w:rsid w:val="00D71F39"/>
    <w:rsid w:val="00D7264A"/>
    <w:rsid w:val="00D72F57"/>
    <w:rsid w:val="00D7477D"/>
    <w:rsid w:val="00D75F6D"/>
    <w:rsid w:val="00D76A44"/>
    <w:rsid w:val="00D76ABE"/>
    <w:rsid w:val="00D76DEF"/>
    <w:rsid w:val="00D7731A"/>
    <w:rsid w:val="00D80FC5"/>
    <w:rsid w:val="00D815EF"/>
    <w:rsid w:val="00D81F26"/>
    <w:rsid w:val="00D82162"/>
    <w:rsid w:val="00D826C9"/>
    <w:rsid w:val="00D85A77"/>
    <w:rsid w:val="00D86231"/>
    <w:rsid w:val="00D86259"/>
    <w:rsid w:val="00D8647B"/>
    <w:rsid w:val="00D86B0F"/>
    <w:rsid w:val="00D87237"/>
    <w:rsid w:val="00D87284"/>
    <w:rsid w:val="00D87904"/>
    <w:rsid w:val="00D87B13"/>
    <w:rsid w:val="00D9029B"/>
    <w:rsid w:val="00D91923"/>
    <w:rsid w:val="00D9246A"/>
    <w:rsid w:val="00D924C8"/>
    <w:rsid w:val="00D92D1E"/>
    <w:rsid w:val="00D93753"/>
    <w:rsid w:val="00D94DCB"/>
    <w:rsid w:val="00D95409"/>
    <w:rsid w:val="00D957A5"/>
    <w:rsid w:val="00DA3167"/>
    <w:rsid w:val="00DA328B"/>
    <w:rsid w:val="00DA39C1"/>
    <w:rsid w:val="00DA3AA2"/>
    <w:rsid w:val="00DA4DC3"/>
    <w:rsid w:val="00DA53B9"/>
    <w:rsid w:val="00DA54EA"/>
    <w:rsid w:val="00DA62E7"/>
    <w:rsid w:val="00DA71E1"/>
    <w:rsid w:val="00DA7352"/>
    <w:rsid w:val="00DA77A5"/>
    <w:rsid w:val="00DA78C9"/>
    <w:rsid w:val="00DB0D15"/>
    <w:rsid w:val="00DB16CC"/>
    <w:rsid w:val="00DB2C9C"/>
    <w:rsid w:val="00DB2DF7"/>
    <w:rsid w:val="00DB3DBF"/>
    <w:rsid w:val="00DB40C5"/>
    <w:rsid w:val="00DB44A5"/>
    <w:rsid w:val="00DB4616"/>
    <w:rsid w:val="00DB484F"/>
    <w:rsid w:val="00DB6751"/>
    <w:rsid w:val="00DC04F6"/>
    <w:rsid w:val="00DC0690"/>
    <w:rsid w:val="00DC0A76"/>
    <w:rsid w:val="00DC0DD8"/>
    <w:rsid w:val="00DC0E6A"/>
    <w:rsid w:val="00DC164B"/>
    <w:rsid w:val="00DC1D65"/>
    <w:rsid w:val="00DC2EE8"/>
    <w:rsid w:val="00DC3480"/>
    <w:rsid w:val="00DC37D3"/>
    <w:rsid w:val="00DC3C57"/>
    <w:rsid w:val="00DC3D30"/>
    <w:rsid w:val="00DC4928"/>
    <w:rsid w:val="00DC5501"/>
    <w:rsid w:val="00DC5567"/>
    <w:rsid w:val="00DC7154"/>
    <w:rsid w:val="00DC76C7"/>
    <w:rsid w:val="00DC7A9B"/>
    <w:rsid w:val="00DC7E8A"/>
    <w:rsid w:val="00DD010E"/>
    <w:rsid w:val="00DD07C7"/>
    <w:rsid w:val="00DD0B68"/>
    <w:rsid w:val="00DD0F78"/>
    <w:rsid w:val="00DD1000"/>
    <w:rsid w:val="00DD273C"/>
    <w:rsid w:val="00DD2DB4"/>
    <w:rsid w:val="00DD3648"/>
    <w:rsid w:val="00DD37F7"/>
    <w:rsid w:val="00DD3F15"/>
    <w:rsid w:val="00DD3F28"/>
    <w:rsid w:val="00DD4537"/>
    <w:rsid w:val="00DD4E15"/>
    <w:rsid w:val="00DD733C"/>
    <w:rsid w:val="00DE067E"/>
    <w:rsid w:val="00DE0744"/>
    <w:rsid w:val="00DE1D5D"/>
    <w:rsid w:val="00DE2304"/>
    <w:rsid w:val="00DE3138"/>
    <w:rsid w:val="00DE3500"/>
    <w:rsid w:val="00DE37F8"/>
    <w:rsid w:val="00DE46F1"/>
    <w:rsid w:val="00DE4FCB"/>
    <w:rsid w:val="00DE5934"/>
    <w:rsid w:val="00DE5D07"/>
    <w:rsid w:val="00DE5FCF"/>
    <w:rsid w:val="00DE72A7"/>
    <w:rsid w:val="00DE7832"/>
    <w:rsid w:val="00DF18FC"/>
    <w:rsid w:val="00DF2B4E"/>
    <w:rsid w:val="00DF3259"/>
    <w:rsid w:val="00DF46F3"/>
    <w:rsid w:val="00DF5D2B"/>
    <w:rsid w:val="00DF69B6"/>
    <w:rsid w:val="00E00E8E"/>
    <w:rsid w:val="00E01650"/>
    <w:rsid w:val="00E01AF2"/>
    <w:rsid w:val="00E0386F"/>
    <w:rsid w:val="00E03BE2"/>
    <w:rsid w:val="00E03DD7"/>
    <w:rsid w:val="00E04425"/>
    <w:rsid w:val="00E05630"/>
    <w:rsid w:val="00E058C7"/>
    <w:rsid w:val="00E05CC0"/>
    <w:rsid w:val="00E06068"/>
    <w:rsid w:val="00E06A14"/>
    <w:rsid w:val="00E06AE0"/>
    <w:rsid w:val="00E06DBB"/>
    <w:rsid w:val="00E078B2"/>
    <w:rsid w:val="00E07A7B"/>
    <w:rsid w:val="00E10149"/>
    <w:rsid w:val="00E11340"/>
    <w:rsid w:val="00E122A1"/>
    <w:rsid w:val="00E124BA"/>
    <w:rsid w:val="00E12651"/>
    <w:rsid w:val="00E134B2"/>
    <w:rsid w:val="00E16372"/>
    <w:rsid w:val="00E1645C"/>
    <w:rsid w:val="00E16ECD"/>
    <w:rsid w:val="00E17CC4"/>
    <w:rsid w:val="00E20E4D"/>
    <w:rsid w:val="00E20ED6"/>
    <w:rsid w:val="00E21358"/>
    <w:rsid w:val="00E21F30"/>
    <w:rsid w:val="00E2249B"/>
    <w:rsid w:val="00E22A0D"/>
    <w:rsid w:val="00E233FE"/>
    <w:rsid w:val="00E238CC"/>
    <w:rsid w:val="00E23AEA"/>
    <w:rsid w:val="00E244F6"/>
    <w:rsid w:val="00E26F26"/>
    <w:rsid w:val="00E2727D"/>
    <w:rsid w:val="00E2744D"/>
    <w:rsid w:val="00E2771E"/>
    <w:rsid w:val="00E27EAA"/>
    <w:rsid w:val="00E310C3"/>
    <w:rsid w:val="00E311EF"/>
    <w:rsid w:val="00E31FE2"/>
    <w:rsid w:val="00E32180"/>
    <w:rsid w:val="00E32CEA"/>
    <w:rsid w:val="00E32F39"/>
    <w:rsid w:val="00E33236"/>
    <w:rsid w:val="00E33557"/>
    <w:rsid w:val="00E34948"/>
    <w:rsid w:val="00E349A1"/>
    <w:rsid w:val="00E35895"/>
    <w:rsid w:val="00E35C82"/>
    <w:rsid w:val="00E36240"/>
    <w:rsid w:val="00E366C6"/>
    <w:rsid w:val="00E37569"/>
    <w:rsid w:val="00E37877"/>
    <w:rsid w:val="00E401B2"/>
    <w:rsid w:val="00E40F78"/>
    <w:rsid w:val="00E41CAD"/>
    <w:rsid w:val="00E41E30"/>
    <w:rsid w:val="00E42F73"/>
    <w:rsid w:val="00E4377A"/>
    <w:rsid w:val="00E43D70"/>
    <w:rsid w:val="00E44971"/>
    <w:rsid w:val="00E4543C"/>
    <w:rsid w:val="00E4593C"/>
    <w:rsid w:val="00E466F3"/>
    <w:rsid w:val="00E4680C"/>
    <w:rsid w:val="00E47A11"/>
    <w:rsid w:val="00E47B2C"/>
    <w:rsid w:val="00E47CCA"/>
    <w:rsid w:val="00E47FDF"/>
    <w:rsid w:val="00E504D6"/>
    <w:rsid w:val="00E50846"/>
    <w:rsid w:val="00E51560"/>
    <w:rsid w:val="00E51ACF"/>
    <w:rsid w:val="00E520A5"/>
    <w:rsid w:val="00E539B9"/>
    <w:rsid w:val="00E53FC8"/>
    <w:rsid w:val="00E54347"/>
    <w:rsid w:val="00E54904"/>
    <w:rsid w:val="00E55248"/>
    <w:rsid w:val="00E55424"/>
    <w:rsid w:val="00E55620"/>
    <w:rsid w:val="00E55915"/>
    <w:rsid w:val="00E55BB5"/>
    <w:rsid w:val="00E56128"/>
    <w:rsid w:val="00E5681D"/>
    <w:rsid w:val="00E61115"/>
    <w:rsid w:val="00E611C5"/>
    <w:rsid w:val="00E61DBE"/>
    <w:rsid w:val="00E623D6"/>
    <w:rsid w:val="00E627F9"/>
    <w:rsid w:val="00E630F7"/>
    <w:rsid w:val="00E65E79"/>
    <w:rsid w:val="00E66184"/>
    <w:rsid w:val="00E66BA2"/>
    <w:rsid w:val="00E67416"/>
    <w:rsid w:val="00E70DAF"/>
    <w:rsid w:val="00E718B6"/>
    <w:rsid w:val="00E723BA"/>
    <w:rsid w:val="00E72596"/>
    <w:rsid w:val="00E72B22"/>
    <w:rsid w:val="00E72F78"/>
    <w:rsid w:val="00E72FAC"/>
    <w:rsid w:val="00E73581"/>
    <w:rsid w:val="00E73794"/>
    <w:rsid w:val="00E73B1A"/>
    <w:rsid w:val="00E73FE7"/>
    <w:rsid w:val="00E749FE"/>
    <w:rsid w:val="00E764D2"/>
    <w:rsid w:val="00E76AC7"/>
    <w:rsid w:val="00E80CC6"/>
    <w:rsid w:val="00E82073"/>
    <w:rsid w:val="00E833F7"/>
    <w:rsid w:val="00E836B8"/>
    <w:rsid w:val="00E83BDF"/>
    <w:rsid w:val="00E86631"/>
    <w:rsid w:val="00E86E53"/>
    <w:rsid w:val="00E87A1D"/>
    <w:rsid w:val="00E903F8"/>
    <w:rsid w:val="00E90916"/>
    <w:rsid w:val="00E9094A"/>
    <w:rsid w:val="00E9115C"/>
    <w:rsid w:val="00E912E6"/>
    <w:rsid w:val="00E9172C"/>
    <w:rsid w:val="00E91D35"/>
    <w:rsid w:val="00E926A5"/>
    <w:rsid w:val="00E93154"/>
    <w:rsid w:val="00E944F2"/>
    <w:rsid w:val="00E94736"/>
    <w:rsid w:val="00E95D61"/>
    <w:rsid w:val="00EA17C3"/>
    <w:rsid w:val="00EA2CAA"/>
    <w:rsid w:val="00EA31D8"/>
    <w:rsid w:val="00EA3864"/>
    <w:rsid w:val="00EA3D63"/>
    <w:rsid w:val="00EA41A5"/>
    <w:rsid w:val="00EA67E1"/>
    <w:rsid w:val="00EA7F1C"/>
    <w:rsid w:val="00EA7FCF"/>
    <w:rsid w:val="00EB0A43"/>
    <w:rsid w:val="00EB0B7C"/>
    <w:rsid w:val="00EB0FB9"/>
    <w:rsid w:val="00EB15B6"/>
    <w:rsid w:val="00EB231D"/>
    <w:rsid w:val="00EB2488"/>
    <w:rsid w:val="00EB3318"/>
    <w:rsid w:val="00EB36D5"/>
    <w:rsid w:val="00EB3D06"/>
    <w:rsid w:val="00EB3D1A"/>
    <w:rsid w:val="00EB4916"/>
    <w:rsid w:val="00EB4E63"/>
    <w:rsid w:val="00EB6F93"/>
    <w:rsid w:val="00EB7E8D"/>
    <w:rsid w:val="00EC00C9"/>
    <w:rsid w:val="00EC04CB"/>
    <w:rsid w:val="00EC06D5"/>
    <w:rsid w:val="00EC0DD9"/>
    <w:rsid w:val="00EC192E"/>
    <w:rsid w:val="00EC1FE7"/>
    <w:rsid w:val="00EC21CB"/>
    <w:rsid w:val="00EC2400"/>
    <w:rsid w:val="00EC2649"/>
    <w:rsid w:val="00EC2FBB"/>
    <w:rsid w:val="00EC31ED"/>
    <w:rsid w:val="00EC32E6"/>
    <w:rsid w:val="00EC5836"/>
    <w:rsid w:val="00EC66D9"/>
    <w:rsid w:val="00EC688C"/>
    <w:rsid w:val="00ED1918"/>
    <w:rsid w:val="00ED3232"/>
    <w:rsid w:val="00ED339B"/>
    <w:rsid w:val="00ED4445"/>
    <w:rsid w:val="00ED57EA"/>
    <w:rsid w:val="00ED5BD4"/>
    <w:rsid w:val="00ED62ED"/>
    <w:rsid w:val="00ED6811"/>
    <w:rsid w:val="00ED6CA9"/>
    <w:rsid w:val="00ED6F39"/>
    <w:rsid w:val="00ED7A4A"/>
    <w:rsid w:val="00ED7AE7"/>
    <w:rsid w:val="00EE02B9"/>
    <w:rsid w:val="00EE07D3"/>
    <w:rsid w:val="00EE0E88"/>
    <w:rsid w:val="00EE1996"/>
    <w:rsid w:val="00EE1C01"/>
    <w:rsid w:val="00EE2036"/>
    <w:rsid w:val="00EE22AF"/>
    <w:rsid w:val="00EE29DA"/>
    <w:rsid w:val="00EE37EE"/>
    <w:rsid w:val="00EE3CF7"/>
    <w:rsid w:val="00EE502E"/>
    <w:rsid w:val="00EE6934"/>
    <w:rsid w:val="00EF0171"/>
    <w:rsid w:val="00EF1B25"/>
    <w:rsid w:val="00EF1DA0"/>
    <w:rsid w:val="00EF2BB6"/>
    <w:rsid w:val="00EF357F"/>
    <w:rsid w:val="00EF40A1"/>
    <w:rsid w:val="00EF4747"/>
    <w:rsid w:val="00EF4BF8"/>
    <w:rsid w:val="00EF4C31"/>
    <w:rsid w:val="00EF5498"/>
    <w:rsid w:val="00EF6861"/>
    <w:rsid w:val="00EF6B7B"/>
    <w:rsid w:val="00EF7BE0"/>
    <w:rsid w:val="00F003AD"/>
    <w:rsid w:val="00F00448"/>
    <w:rsid w:val="00F01FA0"/>
    <w:rsid w:val="00F02253"/>
    <w:rsid w:val="00F029AF"/>
    <w:rsid w:val="00F030D4"/>
    <w:rsid w:val="00F037D1"/>
    <w:rsid w:val="00F03992"/>
    <w:rsid w:val="00F03C2E"/>
    <w:rsid w:val="00F03C87"/>
    <w:rsid w:val="00F03D0E"/>
    <w:rsid w:val="00F04A66"/>
    <w:rsid w:val="00F04B4B"/>
    <w:rsid w:val="00F04C3A"/>
    <w:rsid w:val="00F0516C"/>
    <w:rsid w:val="00F054E8"/>
    <w:rsid w:val="00F05839"/>
    <w:rsid w:val="00F05ACB"/>
    <w:rsid w:val="00F0642A"/>
    <w:rsid w:val="00F067A2"/>
    <w:rsid w:val="00F07B9E"/>
    <w:rsid w:val="00F1116F"/>
    <w:rsid w:val="00F12535"/>
    <w:rsid w:val="00F1263A"/>
    <w:rsid w:val="00F1336A"/>
    <w:rsid w:val="00F13ABB"/>
    <w:rsid w:val="00F145FC"/>
    <w:rsid w:val="00F1493D"/>
    <w:rsid w:val="00F15B77"/>
    <w:rsid w:val="00F16D5E"/>
    <w:rsid w:val="00F16DFC"/>
    <w:rsid w:val="00F17C70"/>
    <w:rsid w:val="00F2030D"/>
    <w:rsid w:val="00F20F45"/>
    <w:rsid w:val="00F2205D"/>
    <w:rsid w:val="00F2224D"/>
    <w:rsid w:val="00F22F5D"/>
    <w:rsid w:val="00F23452"/>
    <w:rsid w:val="00F23872"/>
    <w:rsid w:val="00F24837"/>
    <w:rsid w:val="00F2575F"/>
    <w:rsid w:val="00F27417"/>
    <w:rsid w:val="00F27565"/>
    <w:rsid w:val="00F310D4"/>
    <w:rsid w:val="00F31231"/>
    <w:rsid w:val="00F31306"/>
    <w:rsid w:val="00F31D5A"/>
    <w:rsid w:val="00F32AF8"/>
    <w:rsid w:val="00F331B6"/>
    <w:rsid w:val="00F337C7"/>
    <w:rsid w:val="00F33975"/>
    <w:rsid w:val="00F33DE9"/>
    <w:rsid w:val="00F33E16"/>
    <w:rsid w:val="00F35E6D"/>
    <w:rsid w:val="00F3619A"/>
    <w:rsid w:val="00F362C1"/>
    <w:rsid w:val="00F3640A"/>
    <w:rsid w:val="00F40AAA"/>
    <w:rsid w:val="00F40BA7"/>
    <w:rsid w:val="00F40F9D"/>
    <w:rsid w:val="00F410F1"/>
    <w:rsid w:val="00F41ACD"/>
    <w:rsid w:val="00F41FF1"/>
    <w:rsid w:val="00F439D5"/>
    <w:rsid w:val="00F45A5B"/>
    <w:rsid w:val="00F46CB6"/>
    <w:rsid w:val="00F4756D"/>
    <w:rsid w:val="00F47DE8"/>
    <w:rsid w:val="00F47F34"/>
    <w:rsid w:val="00F50664"/>
    <w:rsid w:val="00F51F57"/>
    <w:rsid w:val="00F52DC8"/>
    <w:rsid w:val="00F52E7D"/>
    <w:rsid w:val="00F52EC1"/>
    <w:rsid w:val="00F53C77"/>
    <w:rsid w:val="00F542C1"/>
    <w:rsid w:val="00F54910"/>
    <w:rsid w:val="00F55E73"/>
    <w:rsid w:val="00F55EDA"/>
    <w:rsid w:val="00F568C3"/>
    <w:rsid w:val="00F569C9"/>
    <w:rsid w:val="00F56C80"/>
    <w:rsid w:val="00F5710D"/>
    <w:rsid w:val="00F57374"/>
    <w:rsid w:val="00F60092"/>
    <w:rsid w:val="00F612F5"/>
    <w:rsid w:val="00F61C18"/>
    <w:rsid w:val="00F61FE0"/>
    <w:rsid w:val="00F628A4"/>
    <w:rsid w:val="00F64B54"/>
    <w:rsid w:val="00F65F4B"/>
    <w:rsid w:val="00F66445"/>
    <w:rsid w:val="00F67A69"/>
    <w:rsid w:val="00F67B3F"/>
    <w:rsid w:val="00F70A75"/>
    <w:rsid w:val="00F70BFF"/>
    <w:rsid w:val="00F70C18"/>
    <w:rsid w:val="00F70C9D"/>
    <w:rsid w:val="00F71740"/>
    <w:rsid w:val="00F71E48"/>
    <w:rsid w:val="00F73665"/>
    <w:rsid w:val="00F740D0"/>
    <w:rsid w:val="00F74CD9"/>
    <w:rsid w:val="00F75899"/>
    <w:rsid w:val="00F76037"/>
    <w:rsid w:val="00F7700E"/>
    <w:rsid w:val="00F770F8"/>
    <w:rsid w:val="00F803AB"/>
    <w:rsid w:val="00F807F8"/>
    <w:rsid w:val="00F80A7B"/>
    <w:rsid w:val="00F80E5D"/>
    <w:rsid w:val="00F813B9"/>
    <w:rsid w:val="00F81BEC"/>
    <w:rsid w:val="00F81E78"/>
    <w:rsid w:val="00F8225D"/>
    <w:rsid w:val="00F837EB"/>
    <w:rsid w:val="00F84CBB"/>
    <w:rsid w:val="00F851CE"/>
    <w:rsid w:val="00F907F6"/>
    <w:rsid w:val="00F91219"/>
    <w:rsid w:val="00F9233B"/>
    <w:rsid w:val="00F92444"/>
    <w:rsid w:val="00F9393E"/>
    <w:rsid w:val="00F94D70"/>
    <w:rsid w:val="00F96FD0"/>
    <w:rsid w:val="00F97A78"/>
    <w:rsid w:val="00F97A83"/>
    <w:rsid w:val="00FA0B20"/>
    <w:rsid w:val="00FA1F58"/>
    <w:rsid w:val="00FA24E7"/>
    <w:rsid w:val="00FA2713"/>
    <w:rsid w:val="00FA37FE"/>
    <w:rsid w:val="00FA5EE6"/>
    <w:rsid w:val="00FA6B37"/>
    <w:rsid w:val="00FA7956"/>
    <w:rsid w:val="00FA7FE4"/>
    <w:rsid w:val="00FB03C4"/>
    <w:rsid w:val="00FB08CD"/>
    <w:rsid w:val="00FB0BCB"/>
    <w:rsid w:val="00FB0D5E"/>
    <w:rsid w:val="00FB0D75"/>
    <w:rsid w:val="00FB21CF"/>
    <w:rsid w:val="00FB2DF1"/>
    <w:rsid w:val="00FB2FCB"/>
    <w:rsid w:val="00FB2FF3"/>
    <w:rsid w:val="00FB39F3"/>
    <w:rsid w:val="00FB3E61"/>
    <w:rsid w:val="00FB41F8"/>
    <w:rsid w:val="00FB4274"/>
    <w:rsid w:val="00FB555A"/>
    <w:rsid w:val="00FB68E0"/>
    <w:rsid w:val="00FB75A1"/>
    <w:rsid w:val="00FB7A4E"/>
    <w:rsid w:val="00FB7C55"/>
    <w:rsid w:val="00FC0094"/>
    <w:rsid w:val="00FC09C5"/>
    <w:rsid w:val="00FC1074"/>
    <w:rsid w:val="00FC1884"/>
    <w:rsid w:val="00FC1EF9"/>
    <w:rsid w:val="00FC2CD1"/>
    <w:rsid w:val="00FC371D"/>
    <w:rsid w:val="00FC3CF1"/>
    <w:rsid w:val="00FC4543"/>
    <w:rsid w:val="00FC5182"/>
    <w:rsid w:val="00FC52C6"/>
    <w:rsid w:val="00FC5F0B"/>
    <w:rsid w:val="00FC636F"/>
    <w:rsid w:val="00FC6B01"/>
    <w:rsid w:val="00FC7906"/>
    <w:rsid w:val="00FD0609"/>
    <w:rsid w:val="00FD08B2"/>
    <w:rsid w:val="00FD19AD"/>
    <w:rsid w:val="00FD1B60"/>
    <w:rsid w:val="00FD1F18"/>
    <w:rsid w:val="00FD2100"/>
    <w:rsid w:val="00FD26B4"/>
    <w:rsid w:val="00FD30A0"/>
    <w:rsid w:val="00FD436C"/>
    <w:rsid w:val="00FD446D"/>
    <w:rsid w:val="00FD4F2C"/>
    <w:rsid w:val="00FD59B7"/>
    <w:rsid w:val="00FD6394"/>
    <w:rsid w:val="00FD6B8F"/>
    <w:rsid w:val="00FD70E5"/>
    <w:rsid w:val="00FE065A"/>
    <w:rsid w:val="00FE0A13"/>
    <w:rsid w:val="00FE0B3D"/>
    <w:rsid w:val="00FE0E6C"/>
    <w:rsid w:val="00FE1030"/>
    <w:rsid w:val="00FE1CDC"/>
    <w:rsid w:val="00FE1F77"/>
    <w:rsid w:val="00FE2EDD"/>
    <w:rsid w:val="00FE3AD2"/>
    <w:rsid w:val="00FE3F2C"/>
    <w:rsid w:val="00FE3F54"/>
    <w:rsid w:val="00FE51D9"/>
    <w:rsid w:val="00FE70C3"/>
    <w:rsid w:val="00FF0EBD"/>
    <w:rsid w:val="00FF2AD9"/>
    <w:rsid w:val="00FF359F"/>
    <w:rsid w:val="00FF3DCF"/>
    <w:rsid w:val="00FF492C"/>
    <w:rsid w:val="00FF4A21"/>
    <w:rsid w:val="00FF4DAD"/>
    <w:rsid w:val="00FF5387"/>
    <w:rsid w:val="00FF5AA3"/>
    <w:rsid w:val="00FF5AA9"/>
    <w:rsid w:val="00FF5AD8"/>
    <w:rsid w:val="00FF6CAC"/>
    <w:rsid w:val="00FF6F70"/>
    <w:rsid w:val="00FF7F3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BCE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3" w:uiPriority="9"/>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qFormat="1"/>
    <w:lsdException w:name="footer" w:semiHidden="1" w:uiPriority="99"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16E0"/>
    <w:pPr>
      <w:jc w:val="both"/>
    </w:pPr>
    <w:rPr>
      <w:rFonts w:ascii="Calibri" w:hAnsi="Calibri" w:cs="Arial"/>
      <w:sz w:val="24"/>
      <w:szCs w:val="24"/>
    </w:rPr>
  </w:style>
  <w:style w:type="paragraph" w:styleId="Heading1">
    <w:name w:val="heading 1"/>
    <w:aliases w:val="Header 1,H1,Heading 12,Titre 1 Car Car,Titre 1 Car,Outline1,p1"/>
    <w:basedOn w:val="Normal"/>
    <w:next w:val="Normal"/>
    <w:link w:val="Heading1Char"/>
    <w:uiPriority w:val="1"/>
    <w:rsid w:val="001B204E"/>
    <w:pPr>
      <w:ind w:left="720" w:hanging="720"/>
      <w:outlineLvl w:val="0"/>
    </w:pPr>
    <w:rPr>
      <w:b/>
      <w:caps/>
      <w:sz w:val="32"/>
    </w:rPr>
  </w:style>
  <w:style w:type="paragraph" w:styleId="Heading2">
    <w:name w:val="heading 2"/>
    <w:aliases w:val="H2,Heading h2,h2,Heading 2x,p2 Char"/>
    <w:basedOn w:val="Normal"/>
    <w:next w:val="Normal"/>
    <w:link w:val="Heading2Char"/>
    <w:rsid w:val="001B204E"/>
    <w:pPr>
      <w:outlineLvl w:val="1"/>
    </w:pPr>
    <w:rPr>
      <w:b/>
      <w:i/>
      <w:sz w:val="28"/>
    </w:rPr>
  </w:style>
  <w:style w:type="paragraph" w:styleId="Heading3">
    <w:name w:val="heading 3"/>
    <w:aliases w:val="H3,Heading h3,h3,Don 3,Heading 3x,p3 Char"/>
    <w:basedOn w:val="Normal"/>
    <w:next w:val="Normal"/>
    <w:link w:val="Heading3Char"/>
    <w:uiPriority w:val="9"/>
    <w:rsid w:val="001F7361"/>
    <w:pPr>
      <w:outlineLvl w:val="2"/>
    </w:pPr>
    <w:rPr>
      <w:u w:val="single"/>
    </w:rPr>
  </w:style>
  <w:style w:type="paragraph" w:styleId="Heading4">
    <w:name w:val="heading 4"/>
    <w:aliases w:val="Heading 4 Char1,Heading 4 Char Char,Heading 4 Char2 Char Char,Heading 4 Char Char1 Char Char,Heading 4 Char1 Char Char Char Char Char,Heading 4 Char Char Char Char Char Char Char,Heading 4 Char1 Char1 Char Char,Char,p4"/>
    <w:basedOn w:val="Normal"/>
    <w:next w:val="Normal"/>
    <w:link w:val="Heading4Char"/>
    <w:rsid w:val="00124A51"/>
    <w:pPr>
      <w:keepNext/>
      <w:spacing w:before="240" w:after="60"/>
      <w:outlineLvl w:val="3"/>
    </w:pPr>
    <w:rPr>
      <w:b/>
      <w:bCs/>
      <w:i/>
      <w:sz w:val="26"/>
      <w:szCs w:val="28"/>
    </w:rPr>
  </w:style>
  <w:style w:type="paragraph" w:styleId="Heading5">
    <w:name w:val="heading 5"/>
    <w:aliases w:val="p5"/>
    <w:basedOn w:val="Normal"/>
    <w:next w:val="Normal"/>
    <w:link w:val="Heading5Char"/>
    <w:rsid w:val="00124A51"/>
    <w:pPr>
      <w:spacing w:before="240" w:after="60"/>
      <w:outlineLvl w:val="4"/>
    </w:pPr>
    <w:rPr>
      <w:b/>
      <w:bCs/>
      <w:iCs/>
      <w:sz w:val="26"/>
      <w:szCs w:val="26"/>
    </w:rPr>
  </w:style>
  <w:style w:type="paragraph" w:styleId="Heading6">
    <w:name w:val="heading 6"/>
    <w:aliases w:val="Heading 6 - DO NOT USE,DO NOT USE,DO NOT USE4"/>
    <w:basedOn w:val="Normal"/>
    <w:next w:val="Normal"/>
    <w:link w:val="Heading6Char"/>
    <w:rsid w:val="00124A51"/>
    <w:pPr>
      <w:spacing w:before="240" w:after="60"/>
      <w:outlineLvl w:val="5"/>
    </w:pPr>
    <w:rPr>
      <w:b/>
      <w:bCs/>
      <w:i/>
    </w:rPr>
  </w:style>
  <w:style w:type="paragraph" w:styleId="Heading7">
    <w:name w:val="heading 7"/>
    <w:aliases w:val="Heading 7 - DO NOT USE"/>
    <w:basedOn w:val="Normal"/>
    <w:next w:val="Normal"/>
    <w:link w:val="Heading7Char"/>
    <w:rsid w:val="00124A51"/>
    <w:pPr>
      <w:keepNext/>
      <w:jc w:val="center"/>
      <w:outlineLvl w:val="6"/>
    </w:pPr>
    <w:rPr>
      <w:b/>
      <w:sz w:val="20"/>
    </w:rPr>
  </w:style>
  <w:style w:type="paragraph" w:styleId="Heading8">
    <w:name w:val="heading 8"/>
    <w:aliases w:val="Heading 8 - - DO NOT USE"/>
    <w:basedOn w:val="Normal"/>
    <w:next w:val="Normal"/>
    <w:link w:val="Heading8Char"/>
    <w:uiPriority w:val="7"/>
    <w:rsid w:val="00124A51"/>
    <w:pPr>
      <w:keepNext/>
      <w:jc w:val="right"/>
      <w:outlineLvl w:val="7"/>
    </w:pPr>
    <w:rPr>
      <w:b/>
    </w:rPr>
  </w:style>
  <w:style w:type="paragraph" w:styleId="Heading9">
    <w:name w:val="heading 9"/>
    <w:aliases w:val="Heading 9 - DO NOT USE,cover page title"/>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eading h2 Char,h2 Char,Heading 2x Char,p2 Char Char"/>
    <w:link w:val="Heading2"/>
    <w:rsid w:val="001B204E"/>
    <w:rPr>
      <w:rFonts w:ascii="Calibri" w:hAnsi="Calibri" w:cs="Arial"/>
      <w:b/>
      <w:i/>
      <w:snapToGrid w:val="0"/>
      <w:sz w:val="28"/>
      <w:szCs w:val="22"/>
      <w:lang w:eastAsia="en-US"/>
    </w:rPr>
  </w:style>
  <w:style w:type="character" w:customStyle="1" w:styleId="Heading7Char">
    <w:name w:val="Heading 7 Char"/>
    <w:aliases w:val="Heading 7 - DO NOT USE Char"/>
    <w:basedOn w:val="DefaultParagraphFont"/>
    <w:link w:val="Heading7"/>
    <w:rsid w:val="00124A51"/>
    <w:rPr>
      <w:rFonts w:ascii="Arial" w:hAnsi="Arial"/>
      <w:b/>
      <w:snapToGrid w:val="0"/>
      <w:lang w:eastAsia="en-US"/>
    </w:rPr>
  </w:style>
  <w:style w:type="character" w:customStyle="1" w:styleId="Heading8Char">
    <w:name w:val="Heading 8 Char"/>
    <w:aliases w:val="Heading 8 - - DO NOT USE Char"/>
    <w:basedOn w:val="DefaultParagraphFont"/>
    <w:link w:val="Heading8"/>
    <w:rsid w:val="00124A51"/>
    <w:rPr>
      <w:b/>
      <w:snapToGrid w:val="0"/>
      <w:sz w:val="24"/>
      <w:lang w:eastAsia="en-US"/>
    </w:rPr>
  </w:style>
  <w:style w:type="character" w:customStyle="1" w:styleId="Heading9Char">
    <w:name w:val="Heading 9 Char"/>
    <w:aliases w:val="Heading 9 - DO NOT USE Char,cover page title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wcp_Caption,Légende_Legend,Char1,Bayer Caption,IB Caption,Medical Caption,B Caption,Caption2,Caption Char1 Char,Caption Char Char Char,Caption Char1 Char Char Char,Caption Char Char Char Char Char,Caption Char Char1 Char,Caption Char1 Char1"/>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aliases w:val="wcp_Caption Char,Légende_Legend Char,Char1 Char,Bayer Caption Char,IB Caption Char,Medical Caption Char,B Caption Char,Caption2 Char,Caption Char1 Char Char,Caption Char Char Char Char,Caption Char1 Char Char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aliases w:val="- H16,- H161,- H162,- H163,- H164, Char,Char Char Char Char Char Char Char Char Char Char Char Char Char Char Char Char Char Char Char Char,Char Char Char Char Char Char Char Char Char Char Char Char Char Char,Char11,Body Text Char Char,GS"/>
    <w:basedOn w:val="Normal"/>
    <w:link w:val="BodyTextChar"/>
    <w:rsid w:val="004B3DDB"/>
    <w:pPr>
      <w:jc w:val="left"/>
    </w:pPr>
  </w:style>
  <w:style w:type="character" w:customStyle="1" w:styleId="BodyTextChar">
    <w:name w:val="Body Text Char"/>
    <w:aliases w:val="- H16 Char,- H161 Char,- H162 Char,- H163 Char,- H164 Char, Char Char,Char Char Char Char Char Char Char Char Char Char Char Char Char Char Char Char Char Char Char Char Char,Char11 Char,Body Text Char Char Char,GS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Bullets Points,Bullet 1,Listenabsatz 2,Bullet List,Lista viñetas,Explanation &amp; guidance,ES Paragraph"/>
    <w:next w:val="ListBullet"/>
    <w:link w:val="ListParagraphChar"/>
    <w:uiPriority w:val="72"/>
    <w:qFormat/>
    <w:rsid w:val="001716E0"/>
    <w:pPr>
      <w:spacing w:after="120"/>
      <w:ind w:left="1134" w:hanging="357"/>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Bullets Points Char,Bullet 1 Char,Bullet List Char"/>
    <w:basedOn w:val="DefaultParagraphFont"/>
    <w:link w:val="ListParagraph"/>
    <w:uiPriority w:val="72"/>
    <w:qFormat/>
    <w:locked/>
    <w:rsid w:val="001716E0"/>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1716E0"/>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1716E0"/>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rsid w:val="001E30D4"/>
    <w:rPr>
      <w:rFonts w:ascii="Arial Narrow" w:hAnsi="Arial Narrow"/>
      <w:b/>
      <w:sz w:val="20"/>
      <w:szCs w:val="16"/>
    </w:rPr>
  </w:style>
  <w:style w:type="paragraph" w:customStyle="1" w:styleId="Tabletext">
    <w:name w:val="Table text"/>
    <w:basedOn w:val="Normal"/>
    <w:link w:val="TabletextChar"/>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uiPriority w:val="99"/>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Comment Text Char1 Char,Comment Text Char Char Char"/>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Comment Text Char1 Char Char,Comment Text Char Char Char Char"/>
    <w:basedOn w:val="DefaultParagraphFont"/>
    <w:link w:val="CommentText"/>
    <w:uiPriority w:val="99"/>
    <w:rsid w:val="00FD2100"/>
    <w:rPr>
      <w:snapToGrid w:val="0"/>
      <w:lang w:eastAsia="en-US"/>
    </w:rPr>
  </w:style>
  <w:style w:type="paragraph" w:customStyle="1" w:styleId="Bulletpoints">
    <w:name w:val="Bullet points"/>
    <w:basedOn w:val="ListParagraph"/>
    <w:uiPriority w:val="99"/>
    <w:rsid w:val="00B70E8E"/>
    <w:pPr>
      <w:numPr>
        <w:numId w:val="1"/>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uiPriority w:val="99"/>
    <w:rsid w:val="004319F8"/>
    <w:rPr>
      <w:rFonts w:ascii="Arial" w:hAnsi="Arial" w:cs="Arial"/>
      <w:b/>
      <w:bCs/>
    </w:rPr>
  </w:style>
  <w:style w:type="character" w:customStyle="1" w:styleId="CommentSubjectChar">
    <w:name w:val="Comment Subject Char"/>
    <w:basedOn w:val="CommentTextChar"/>
    <w:link w:val="CommentSubject"/>
    <w:uiPriority w:val="99"/>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uiPriority w:val="99"/>
    <w:unhideWhenUsed/>
    <w:rsid w:val="00B34FE2"/>
    <w:rPr>
      <w:rFonts w:ascii="Tahoma" w:hAnsi="Tahoma" w:cs="Tahoma"/>
      <w:sz w:val="16"/>
      <w:szCs w:val="16"/>
    </w:rPr>
  </w:style>
  <w:style w:type="character" w:customStyle="1" w:styleId="BalloonTextChar">
    <w:name w:val="Balloon Text Char"/>
    <w:basedOn w:val="DefaultParagraphFont"/>
    <w:link w:val="BalloonText"/>
    <w:uiPriority w:val="99"/>
    <w:rsid w:val="00B34FE2"/>
    <w:rPr>
      <w:rFonts w:ascii="Tahoma" w:hAnsi="Tahoma" w:cs="Tahoma"/>
      <w:snapToGrid w:val="0"/>
      <w:sz w:val="16"/>
      <w:szCs w:val="16"/>
      <w:lang w:eastAsia="en-US"/>
    </w:rPr>
  </w:style>
  <w:style w:type="paragraph" w:customStyle="1" w:styleId="TableText0">
    <w:name w:val="Table Text"/>
    <w:link w:val="TableTextChar0"/>
    <w:qFormat/>
    <w:rsid w:val="001716E0"/>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1716E0"/>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1716E0"/>
    <w:pPr>
      <w:keepNext/>
    </w:pPr>
    <w:rPr>
      <w:rFonts w:ascii="Arial Narrow" w:eastAsiaTheme="majorEastAsia" w:hAnsi="Arial Narrow"/>
      <w:b/>
      <w:szCs w:val="24"/>
      <w:lang w:val="en-US"/>
    </w:rPr>
  </w:style>
  <w:style w:type="paragraph" w:customStyle="1" w:styleId="2-SectionHeading">
    <w:name w:val="2-Section Heading"/>
    <w:qFormat/>
    <w:rsid w:val="001716E0"/>
    <w:pPr>
      <w:keepNext/>
      <w:numPr>
        <w:numId w:val="2"/>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1716E0"/>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1716E0"/>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1716E0"/>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1716E0"/>
    <w:rPr>
      <w:rFonts w:ascii="Arial Narrow" w:eastAsiaTheme="majorEastAsia" w:hAnsi="Arial Narrow" w:cstheme="majorBidi"/>
      <w:b/>
      <w:bCs/>
      <w:szCs w:val="24"/>
    </w:rPr>
  </w:style>
  <w:style w:type="paragraph" w:customStyle="1" w:styleId="3-BodyText">
    <w:name w:val="3-Body Text"/>
    <w:link w:val="3-BodyTextChar"/>
    <w:qFormat/>
    <w:rsid w:val="001716E0"/>
    <w:pPr>
      <w:numPr>
        <w:ilvl w:val="1"/>
        <w:numId w:val="2"/>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1716E0"/>
    <w:rPr>
      <w:rFonts w:asciiTheme="minorHAnsi" w:eastAsiaTheme="minorHAnsi" w:hAnsiTheme="minorHAnsi" w:cstheme="minorBidi"/>
      <w:snapToGrid/>
      <w:sz w:val="24"/>
      <w:szCs w:val="22"/>
    </w:rPr>
  </w:style>
  <w:style w:type="paragraph" w:customStyle="1" w:styleId="PageFooter">
    <w:name w:val="Page Footer"/>
    <w:basedOn w:val="Normal"/>
    <w:link w:val="PageFooterChar"/>
    <w:qFormat/>
    <w:rsid w:val="001716E0"/>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1716E0"/>
    <w:rPr>
      <w:rFonts w:ascii="Calibri" w:hAnsi="Calibri" w:cs="Arial"/>
      <w:b/>
      <w:sz w:val="24"/>
      <w:szCs w:val="24"/>
    </w:rPr>
  </w:style>
  <w:style w:type="paragraph" w:customStyle="1" w:styleId="TableFigureFooter">
    <w:name w:val="Table/Figure Footer"/>
    <w:basedOn w:val="Normal"/>
    <w:link w:val="TableFigureFooterChar"/>
    <w:qFormat/>
    <w:rsid w:val="001716E0"/>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1716E0"/>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1716E0"/>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1716E0"/>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1716E0"/>
    <w:pPr>
      <w:keepNext/>
      <w:keepLines/>
      <w:spacing w:before="4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Heading3Char"/>
    <w:link w:val="5-SubsectionSubheading"/>
    <w:rsid w:val="001716E0"/>
    <w:rPr>
      <w:rFonts w:asciiTheme="minorHAnsi" w:eastAsiaTheme="majorEastAsia" w:hAnsiTheme="minorHAnsi" w:cstheme="majorBidi"/>
      <w:b/>
      <w:color w:val="000000" w:themeColor="text1"/>
      <w:sz w:val="24"/>
      <w:szCs w:val="24"/>
      <w:u w:val="single"/>
    </w:rPr>
  </w:style>
  <w:style w:type="paragraph" w:styleId="ListBullet">
    <w:name w:val="List Bullet"/>
    <w:aliases w:val="List Bullet 1"/>
    <w:basedOn w:val="Normal"/>
    <w:uiPriority w:val="99"/>
    <w:unhideWhenUsed/>
    <w:rsid w:val="00EE1996"/>
    <w:pPr>
      <w:numPr>
        <w:numId w:val="3"/>
      </w:numPr>
      <w:contextualSpacing/>
    </w:pPr>
  </w:style>
  <w:style w:type="character" w:customStyle="1" w:styleId="TableTextChar0">
    <w:name w:val="Table Text Char"/>
    <w:basedOn w:val="DefaultParagraphFont"/>
    <w:link w:val="TableText0"/>
    <w:rsid w:val="001716E0"/>
    <w:rPr>
      <w:rFonts w:ascii="Arial Narrow" w:eastAsiaTheme="majorEastAsia" w:hAnsi="Arial Narrow" w:cstheme="majorBidi"/>
      <w:bCs/>
      <w:szCs w:val="24"/>
    </w:rPr>
  </w:style>
  <w:style w:type="paragraph" w:customStyle="1" w:styleId="TableBullet">
    <w:name w:val="Table Bullet"/>
    <w:basedOn w:val="TableText0"/>
    <w:rsid w:val="006D2D26"/>
    <w:pPr>
      <w:keepNext w:val="0"/>
      <w:numPr>
        <w:numId w:val="4"/>
      </w:numPr>
      <w:spacing w:before="40" w:after="40"/>
      <w:ind w:left="357" w:hanging="357"/>
    </w:pPr>
    <w:rPr>
      <w:rFonts w:asciiTheme="minorHAnsi" w:eastAsiaTheme="minorHAnsi" w:hAnsiTheme="minorHAnsi" w:cstheme="minorHAnsi"/>
      <w:bCs w:val="0"/>
      <w:sz w:val="18"/>
      <w:szCs w:val="18"/>
      <w:lang w:eastAsia="en-US"/>
    </w:rPr>
  </w:style>
  <w:style w:type="character" w:customStyle="1" w:styleId="UnresolvedMention1">
    <w:name w:val="Unresolved Mention1"/>
    <w:basedOn w:val="DefaultParagraphFont"/>
    <w:uiPriority w:val="99"/>
    <w:semiHidden/>
    <w:unhideWhenUsed/>
    <w:rsid w:val="00A721A9"/>
    <w:rPr>
      <w:color w:val="605E5C"/>
      <w:shd w:val="clear" w:color="auto" w:fill="E1DFDD"/>
    </w:rPr>
  </w:style>
  <w:style w:type="character" w:customStyle="1" w:styleId="lrzxr">
    <w:name w:val="lrzxr"/>
    <w:basedOn w:val="DefaultParagraphFont"/>
    <w:rsid w:val="00F8225D"/>
  </w:style>
  <w:style w:type="paragraph" w:customStyle="1" w:styleId="TableFigNote">
    <w:name w:val="TableFigNote"/>
    <w:basedOn w:val="Normal"/>
    <w:uiPriority w:val="99"/>
    <w:rsid w:val="00AF3630"/>
    <w:pPr>
      <w:jc w:val="left"/>
    </w:pPr>
    <w:rPr>
      <w:rFonts w:asciiTheme="minorHAnsi" w:eastAsiaTheme="minorHAnsi" w:hAnsiTheme="minorHAnsi" w:cstheme="minorBidi"/>
      <w:sz w:val="16"/>
      <w:szCs w:val="22"/>
      <w:lang w:eastAsia="en-US"/>
    </w:rPr>
  </w:style>
  <w:style w:type="paragraph" w:customStyle="1" w:styleId="TableFigNoteLast">
    <w:name w:val="TableFigNote Last"/>
    <w:basedOn w:val="TableFigNote"/>
    <w:next w:val="Normal"/>
    <w:uiPriority w:val="99"/>
    <w:rsid w:val="00D71F39"/>
    <w:pPr>
      <w:spacing w:after="120"/>
    </w:pPr>
    <w:rPr>
      <w:rFonts w:ascii="Arial Narrow" w:hAnsi="Arial Narrow"/>
      <w:sz w:val="18"/>
    </w:rPr>
  </w:style>
  <w:style w:type="paragraph" w:customStyle="1" w:styleId="BodyText1">
    <w:name w:val="Body Text1"/>
    <w:basedOn w:val="Normal"/>
    <w:link w:val="BodytextChar0"/>
    <w:uiPriority w:val="99"/>
    <w:rsid w:val="00C87E4A"/>
    <w:pPr>
      <w:spacing w:before="120" w:after="120" w:line="360" w:lineRule="auto"/>
    </w:pPr>
    <w:rPr>
      <w:rFonts w:asciiTheme="minorHAnsi" w:eastAsiaTheme="minorHAnsi" w:hAnsiTheme="minorHAnsi" w:cstheme="minorBidi"/>
      <w:sz w:val="22"/>
      <w:szCs w:val="22"/>
      <w:lang w:eastAsia="en-US"/>
    </w:rPr>
  </w:style>
  <w:style w:type="character" w:customStyle="1" w:styleId="BodytextChar0">
    <w:name w:val="Body text Char"/>
    <w:basedOn w:val="DefaultParagraphFont"/>
    <w:link w:val="BodyText1"/>
    <w:uiPriority w:val="99"/>
    <w:rsid w:val="00C87E4A"/>
    <w:rPr>
      <w:rFonts w:asciiTheme="minorHAnsi" w:eastAsiaTheme="minorHAnsi" w:hAnsiTheme="minorHAnsi" w:cstheme="minorBidi"/>
      <w:sz w:val="22"/>
      <w:szCs w:val="22"/>
      <w:lang w:eastAsia="en-US"/>
    </w:rPr>
  </w:style>
  <w:style w:type="paragraph" w:customStyle="1" w:styleId="TableNumbered">
    <w:name w:val="Table Numbered"/>
    <w:basedOn w:val="TableBullet"/>
    <w:rsid w:val="008F212E"/>
    <w:pPr>
      <w:numPr>
        <w:numId w:val="5"/>
      </w:numPr>
      <w:ind w:left="357" w:hanging="357"/>
    </w:pPr>
  </w:style>
  <w:style w:type="character" w:styleId="Emphasis">
    <w:name w:val="Emphasis"/>
    <w:basedOn w:val="DefaultParagraphFont"/>
    <w:uiPriority w:val="20"/>
    <w:rsid w:val="00A6423C"/>
    <w:rPr>
      <w:b w:val="0"/>
      <w:i/>
      <w:iCs/>
    </w:rPr>
  </w:style>
  <w:style w:type="character" w:customStyle="1" w:styleId="normaltextrun">
    <w:name w:val="normaltextrun"/>
    <w:basedOn w:val="DefaultParagraphFont"/>
    <w:rsid w:val="009224D2"/>
  </w:style>
  <w:style w:type="paragraph" w:customStyle="1" w:styleId="paragraph">
    <w:name w:val="paragraph"/>
    <w:basedOn w:val="Normal"/>
    <w:uiPriority w:val="99"/>
    <w:rsid w:val="009224D2"/>
    <w:pPr>
      <w:spacing w:before="100" w:beforeAutospacing="1" w:after="100" w:afterAutospacing="1"/>
      <w:jc w:val="left"/>
    </w:pPr>
    <w:rPr>
      <w:rFonts w:ascii="Times" w:eastAsiaTheme="minorHAnsi" w:hAnsi="Times" w:cstheme="minorBidi"/>
      <w:sz w:val="20"/>
      <w:szCs w:val="20"/>
      <w:lang w:eastAsia="en-US"/>
    </w:rPr>
  </w:style>
  <w:style w:type="character" w:customStyle="1" w:styleId="eop">
    <w:name w:val="eop"/>
    <w:basedOn w:val="DefaultParagraphFont"/>
    <w:rsid w:val="009224D2"/>
  </w:style>
  <w:style w:type="character" w:customStyle="1" w:styleId="spellingerror">
    <w:name w:val="spellingerror"/>
    <w:basedOn w:val="DefaultParagraphFont"/>
    <w:rsid w:val="009224D2"/>
  </w:style>
  <w:style w:type="character" w:customStyle="1" w:styleId="Heading1Char">
    <w:name w:val="Heading 1 Char"/>
    <w:aliases w:val="Header 1 Char,H1 Char,Heading 12 Char,Titre 1 Car Car Char,Titre 1 Car Char,Outline1 Char,p1 Char"/>
    <w:basedOn w:val="DefaultParagraphFont"/>
    <w:link w:val="Heading1"/>
    <w:uiPriority w:val="9"/>
    <w:rsid w:val="005064B7"/>
    <w:rPr>
      <w:rFonts w:ascii="Calibri" w:hAnsi="Calibri" w:cs="Arial"/>
      <w:b/>
      <w:caps/>
      <w:sz w:val="32"/>
      <w:szCs w:val="24"/>
    </w:rPr>
  </w:style>
  <w:style w:type="character" w:customStyle="1" w:styleId="Heading3Char">
    <w:name w:val="Heading 3 Char"/>
    <w:aliases w:val="H3 Char,Heading h3 Char,h3 Char,Don 3 Char,Heading 3x Char,p3 Char Char"/>
    <w:basedOn w:val="DefaultParagraphFont"/>
    <w:link w:val="Heading3"/>
    <w:uiPriority w:val="9"/>
    <w:rsid w:val="005064B7"/>
    <w:rPr>
      <w:rFonts w:ascii="Calibri" w:hAnsi="Calibri" w:cs="Arial"/>
      <w:sz w:val="24"/>
      <w:szCs w:val="24"/>
      <w:u w:val="single"/>
    </w:rPr>
  </w:style>
  <w:style w:type="character" w:customStyle="1" w:styleId="Heading4Char">
    <w:name w:val="Heading 4 Char"/>
    <w:aliases w:val="Heading 4 Char1 Char,Heading 4 Char Char Char,Heading 4 Char2 Char Char Char,Heading 4 Char Char1 Char Char Char,Heading 4 Char1 Char Char Char Char Char Char,Heading 4 Char Char Char Char Char Char Char Char,Char Char,p4 Char"/>
    <w:basedOn w:val="DefaultParagraphFont"/>
    <w:link w:val="Heading4"/>
    <w:rsid w:val="005064B7"/>
    <w:rPr>
      <w:rFonts w:ascii="Calibri" w:hAnsi="Calibri" w:cs="Arial"/>
      <w:b/>
      <w:bCs/>
      <w:i/>
      <w:sz w:val="26"/>
      <w:szCs w:val="28"/>
    </w:rPr>
  </w:style>
  <w:style w:type="character" w:customStyle="1" w:styleId="Heading5Char">
    <w:name w:val="Heading 5 Char"/>
    <w:aliases w:val="p5 Char"/>
    <w:basedOn w:val="DefaultParagraphFont"/>
    <w:link w:val="Heading5"/>
    <w:uiPriority w:val="9"/>
    <w:rsid w:val="005064B7"/>
    <w:rPr>
      <w:rFonts w:ascii="Calibri" w:hAnsi="Calibri" w:cs="Arial"/>
      <w:b/>
      <w:bCs/>
      <w:iCs/>
      <w:sz w:val="26"/>
      <w:szCs w:val="26"/>
    </w:rPr>
  </w:style>
  <w:style w:type="character" w:customStyle="1" w:styleId="Heading6Char">
    <w:name w:val="Heading 6 Char"/>
    <w:aliases w:val="Heading 6 - DO NOT USE Char,DO NOT USE Char,DO NOT USE4 Char"/>
    <w:basedOn w:val="DefaultParagraphFont"/>
    <w:link w:val="Heading6"/>
    <w:rsid w:val="005064B7"/>
    <w:rPr>
      <w:rFonts w:ascii="Calibri" w:hAnsi="Calibri" w:cs="Arial"/>
      <w:b/>
      <w:bCs/>
      <w:i/>
      <w:sz w:val="24"/>
      <w:szCs w:val="24"/>
    </w:rPr>
  </w:style>
  <w:style w:type="paragraph" w:customStyle="1" w:styleId="NumberList">
    <w:name w:val="NumberList"/>
    <w:basedOn w:val="Normal"/>
    <w:uiPriority w:val="99"/>
    <w:rsid w:val="005064B7"/>
    <w:pPr>
      <w:tabs>
        <w:tab w:val="left" w:pos="360"/>
      </w:tabs>
      <w:spacing w:after="240"/>
      <w:ind w:left="360" w:hanging="360"/>
      <w:jc w:val="left"/>
    </w:pPr>
    <w:rPr>
      <w:rFonts w:cs="Times New Roman"/>
      <w:color w:val="000000"/>
      <w:sz w:val="22"/>
      <w:szCs w:val="20"/>
    </w:rPr>
  </w:style>
  <w:style w:type="paragraph" w:customStyle="1" w:styleId="TableHeadingCA">
    <w:name w:val="Table Heading CA"/>
    <w:basedOn w:val="TableHeading0"/>
    <w:rsid w:val="005064B7"/>
    <w:pPr>
      <w:jc w:val="center"/>
    </w:pPr>
  </w:style>
  <w:style w:type="paragraph" w:customStyle="1" w:styleId="TableHeading0">
    <w:name w:val="Table Heading"/>
    <w:basedOn w:val="Normal"/>
    <w:uiPriority w:val="99"/>
    <w:rsid w:val="005064B7"/>
    <w:pPr>
      <w:spacing w:after="60"/>
      <w:jc w:val="left"/>
    </w:pPr>
    <w:rPr>
      <w:rFonts w:ascii="Arial Narrow" w:eastAsiaTheme="minorHAnsi" w:hAnsi="Arial Narrow" w:cstheme="minorBidi"/>
      <w:b/>
      <w:sz w:val="20"/>
      <w:szCs w:val="22"/>
      <w:lang w:eastAsia="en-US"/>
    </w:rPr>
  </w:style>
  <w:style w:type="character" w:styleId="Strong">
    <w:name w:val="Strong"/>
    <w:basedOn w:val="DefaultParagraphFont"/>
    <w:uiPriority w:val="22"/>
    <w:rsid w:val="005064B7"/>
    <w:rPr>
      <w:b/>
      <w:bCs/>
    </w:rPr>
  </w:style>
  <w:style w:type="paragraph" w:styleId="Quote">
    <w:name w:val="Quote"/>
    <w:basedOn w:val="Normal"/>
    <w:next w:val="Normal"/>
    <w:link w:val="QuoteChar"/>
    <w:uiPriority w:val="29"/>
    <w:rsid w:val="005064B7"/>
    <w:pPr>
      <w:spacing w:after="240"/>
      <w:ind w:left="720"/>
      <w:jc w:val="left"/>
    </w:pPr>
    <w:rPr>
      <w:rFonts w:asciiTheme="minorHAnsi" w:eastAsiaTheme="minorEastAsia" w:hAnsiTheme="minorHAnsi" w:cstheme="minorBidi"/>
      <w:iCs/>
      <w:sz w:val="22"/>
      <w:szCs w:val="22"/>
      <w:lang w:eastAsia="en-US" w:bidi="hi-IN"/>
    </w:rPr>
  </w:style>
  <w:style w:type="character" w:customStyle="1" w:styleId="QuoteChar">
    <w:name w:val="Quote Char"/>
    <w:basedOn w:val="DefaultParagraphFont"/>
    <w:link w:val="Quote"/>
    <w:uiPriority w:val="29"/>
    <w:rsid w:val="005064B7"/>
    <w:rPr>
      <w:rFonts w:asciiTheme="minorHAnsi" w:eastAsiaTheme="minorEastAsia" w:hAnsiTheme="minorHAnsi" w:cstheme="minorBidi"/>
      <w:iCs/>
      <w:sz w:val="22"/>
      <w:szCs w:val="22"/>
      <w:lang w:eastAsia="en-US" w:bidi="hi-IN"/>
    </w:rPr>
  </w:style>
  <w:style w:type="table" w:customStyle="1" w:styleId="TableGridLight1">
    <w:name w:val="Table Grid Light1"/>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paragraph" w:customStyle="1" w:styleId="FigureName">
    <w:name w:val="FigureName"/>
    <w:basedOn w:val="Normal"/>
    <w:uiPriority w:val="99"/>
    <w:rsid w:val="005064B7"/>
    <w:pPr>
      <w:keepNext/>
      <w:spacing w:after="240"/>
      <w:ind w:left="1531" w:hanging="1531"/>
      <w:jc w:val="left"/>
    </w:pPr>
    <w:rPr>
      <w:rFonts w:ascii="Franklin Gothic Medium" w:eastAsiaTheme="minorHAnsi" w:hAnsi="Franklin Gothic Medium" w:cstheme="minorBidi"/>
      <w:sz w:val="22"/>
      <w:szCs w:val="22"/>
      <w:lang w:eastAsia="en-US"/>
    </w:rPr>
  </w:style>
  <w:style w:type="paragraph" w:styleId="FootnoteText">
    <w:name w:val="footnote text"/>
    <w:basedOn w:val="Normal"/>
    <w:link w:val="FootnoteTextChar"/>
    <w:uiPriority w:val="99"/>
    <w:unhideWhenUsed/>
    <w:rsid w:val="005064B7"/>
    <w:pPr>
      <w:jc w:val="left"/>
    </w:pPr>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uiPriority w:val="99"/>
    <w:rsid w:val="005064B7"/>
    <w:rPr>
      <w:rFonts w:asciiTheme="minorHAnsi" w:eastAsiaTheme="minorHAnsi" w:hAnsiTheme="minorHAnsi" w:cstheme="minorBidi"/>
      <w:sz w:val="18"/>
      <w:lang w:eastAsia="en-US"/>
    </w:rPr>
  </w:style>
  <w:style w:type="character" w:styleId="FootnoteReference">
    <w:name w:val="footnote reference"/>
    <w:basedOn w:val="DefaultParagraphFont"/>
    <w:uiPriority w:val="99"/>
    <w:unhideWhenUsed/>
    <w:rsid w:val="005064B7"/>
    <w:rPr>
      <w:vertAlign w:val="superscript"/>
    </w:rPr>
  </w:style>
  <w:style w:type="paragraph" w:customStyle="1" w:styleId="TableDash">
    <w:name w:val="TableDash"/>
    <w:basedOn w:val="Normal"/>
    <w:uiPriority w:val="99"/>
    <w:rsid w:val="005064B7"/>
    <w:pPr>
      <w:keepNext/>
      <w:numPr>
        <w:numId w:val="7"/>
      </w:numPr>
      <w:tabs>
        <w:tab w:val="clear" w:pos="216"/>
        <w:tab w:val="num" w:pos="432"/>
      </w:tabs>
      <w:spacing w:before="60" w:after="60"/>
      <w:jc w:val="left"/>
    </w:pPr>
    <w:rPr>
      <w:rFonts w:cs="Times New Roman"/>
      <w:color w:val="000000"/>
      <w:sz w:val="21"/>
      <w:szCs w:val="21"/>
    </w:rPr>
  </w:style>
  <w:style w:type="paragraph" w:styleId="TableofFigures">
    <w:name w:val="table of figures"/>
    <w:basedOn w:val="Normal"/>
    <w:next w:val="Normal"/>
    <w:uiPriority w:val="99"/>
    <w:rsid w:val="005064B7"/>
    <w:pPr>
      <w:tabs>
        <w:tab w:val="left" w:pos="1080"/>
        <w:tab w:val="right" w:leader="dot" w:pos="9000"/>
      </w:tabs>
      <w:spacing w:after="120"/>
      <w:ind w:left="1000" w:right="720" w:hangingChars="1000" w:hanging="1000"/>
      <w:jc w:val="left"/>
    </w:pPr>
    <w:rPr>
      <w:rFonts w:cs="Times New Roman"/>
      <w:color w:val="000000"/>
      <w:sz w:val="22"/>
      <w:szCs w:val="20"/>
    </w:rPr>
  </w:style>
  <w:style w:type="paragraph" w:customStyle="1" w:styleId="TableFigNoteHangingLast">
    <w:name w:val="TableFigNoteHanging Last"/>
    <w:basedOn w:val="TableFigNote"/>
    <w:rsid w:val="005064B7"/>
    <w:pPr>
      <w:spacing w:after="360"/>
      <w:ind w:left="142" w:hanging="142"/>
    </w:pPr>
  </w:style>
  <w:style w:type="paragraph" w:customStyle="1" w:styleId="EndNoteBibliographyTitle">
    <w:name w:val="EndNote Bibliography Title"/>
    <w:basedOn w:val="Normal"/>
    <w:link w:val="EndNoteBibliographyTitleChar"/>
    <w:rsid w:val="005064B7"/>
    <w:pPr>
      <w:jc w:val="center"/>
    </w:pPr>
    <w:rPr>
      <w:rFonts w:ascii="Arial Narrow" w:eastAsiaTheme="minorHAnsi" w:hAnsi="Arial Narrow" w:cs="Calibri"/>
      <w:noProof/>
      <w:sz w:val="18"/>
      <w:szCs w:val="22"/>
      <w:lang w:val="en-US" w:eastAsia="en-US"/>
    </w:rPr>
  </w:style>
  <w:style w:type="character" w:customStyle="1" w:styleId="EndNoteBibliographyTitleChar">
    <w:name w:val="EndNote Bibliography Title Char"/>
    <w:basedOn w:val="DefaultParagraphFont"/>
    <w:link w:val="EndNoteBibliographyTitle"/>
    <w:rsid w:val="005064B7"/>
    <w:rPr>
      <w:rFonts w:ascii="Arial Narrow" w:eastAsiaTheme="minorHAnsi" w:hAnsi="Arial Narrow" w:cs="Calibri"/>
      <w:noProof/>
      <w:sz w:val="18"/>
      <w:szCs w:val="22"/>
      <w:lang w:val="en-US" w:eastAsia="en-US"/>
    </w:rPr>
  </w:style>
  <w:style w:type="paragraph" w:customStyle="1" w:styleId="EndNoteBibliography">
    <w:name w:val="EndNote Bibliography"/>
    <w:basedOn w:val="Normal"/>
    <w:link w:val="EndNoteBibliographyChar"/>
    <w:rsid w:val="005064B7"/>
    <w:pPr>
      <w:spacing w:after="240"/>
      <w:jc w:val="left"/>
    </w:pPr>
    <w:rPr>
      <w:rFonts w:ascii="Arial Narrow" w:eastAsiaTheme="minorHAnsi" w:hAnsi="Arial Narrow" w:cs="Calibri"/>
      <w:noProof/>
      <w:sz w:val="18"/>
      <w:szCs w:val="22"/>
      <w:lang w:val="en-US" w:eastAsia="en-US"/>
    </w:rPr>
  </w:style>
  <w:style w:type="character" w:customStyle="1" w:styleId="EndNoteBibliographyChar">
    <w:name w:val="EndNote Bibliography Char"/>
    <w:basedOn w:val="DefaultParagraphFont"/>
    <w:link w:val="EndNoteBibliography"/>
    <w:rsid w:val="005064B7"/>
    <w:rPr>
      <w:rFonts w:ascii="Arial Narrow" w:eastAsiaTheme="minorHAnsi" w:hAnsi="Arial Narrow" w:cs="Calibri"/>
      <w:noProof/>
      <w:sz w:val="18"/>
      <w:szCs w:val="22"/>
      <w:lang w:val="en-US" w:eastAsia="en-US"/>
    </w:rPr>
  </w:style>
  <w:style w:type="paragraph" w:customStyle="1" w:styleId="BoxName">
    <w:name w:val="Box Name"/>
    <w:basedOn w:val="Normal"/>
    <w:uiPriority w:val="99"/>
    <w:rsid w:val="005064B7"/>
    <w:pPr>
      <w:pBdr>
        <w:top w:val="single" w:sz="4" w:space="4" w:color="auto"/>
        <w:left w:val="single" w:sz="4" w:space="4" w:color="auto"/>
        <w:bottom w:val="single" w:sz="4" w:space="4" w:color="auto"/>
        <w:right w:val="single" w:sz="4" w:space="4" w:color="auto"/>
      </w:pBdr>
      <w:spacing w:after="120"/>
      <w:jc w:val="left"/>
    </w:pPr>
    <w:rPr>
      <w:rFonts w:ascii="Franklin Gothic Medium" w:eastAsiaTheme="minorHAnsi" w:hAnsi="Franklin Gothic Medium" w:cstheme="minorBidi"/>
      <w:sz w:val="21"/>
      <w:szCs w:val="22"/>
      <w:lang w:eastAsia="en-US"/>
    </w:rPr>
  </w:style>
  <w:style w:type="paragraph" w:customStyle="1" w:styleId="TableNoteBullet">
    <w:name w:val="Table Note Bullet"/>
    <w:basedOn w:val="Normal"/>
    <w:uiPriority w:val="99"/>
    <w:rsid w:val="005064B7"/>
    <w:pPr>
      <w:numPr>
        <w:numId w:val="6"/>
      </w:numPr>
      <w:spacing w:after="60"/>
      <w:ind w:left="357" w:hanging="357"/>
      <w:jc w:val="left"/>
    </w:pPr>
    <w:rPr>
      <w:rFonts w:asciiTheme="minorHAnsi" w:eastAsiaTheme="minorHAnsi" w:hAnsiTheme="minorHAnsi" w:cstheme="minorBidi"/>
      <w:sz w:val="18"/>
      <w:szCs w:val="22"/>
      <w:lang w:eastAsia="en-US"/>
    </w:rPr>
  </w:style>
  <w:style w:type="paragraph" w:customStyle="1" w:styleId="BoxText">
    <w:name w:val="Box Text"/>
    <w:basedOn w:val="Normal"/>
    <w:uiPriority w:val="99"/>
    <w:rsid w:val="005064B7"/>
    <w:pPr>
      <w:pBdr>
        <w:top w:val="single" w:sz="4" w:space="4" w:color="auto"/>
        <w:left w:val="single" w:sz="4" w:space="4" w:color="auto"/>
        <w:bottom w:val="single" w:sz="4" w:space="4" w:color="auto"/>
        <w:right w:val="single" w:sz="4" w:space="4" w:color="auto"/>
      </w:pBdr>
      <w:spacing w:after="120"/>
      <w:jc w:val="left"/>
    </w:pPr>
    <w:rPr>
      <w:rFonts w:asciiTheme="minorHAnsi" w:eastAsiaTheme="minorHAnsi" w:hAnsiTheme="minorHAnsi" w:cstheme="minorBidi"/>
      <w:sz w:val="22"/>
      <w:szCs w:val="22"/>
      <w:lang w:eastAsia="en-US"/>
    </w:rPr>
  </w:style>
  <w:style w:type="paragraph" w:customStyle="1" w:styleId="BoxBullet">
    <w:name w:val="Box Bullet"/>
    <w:basedOn w:val="BoxText"/>
    <w:uiPriority w:val="99"/>
    <w:rsid w:val="005064B7"/>
    <w:pPr>
      <w:numPr>
        <w:numId w:val="15"/>
      </w:numPr>
      <w:tabs>
        <w:tab w:val="left" w:pos="357"/>
      </w:tabs>
      <w:ind w:left="357" w:hanging="357"/>
    </w:pPr>
    <w:rPr>
      <w:sz w:val="21"/>
    </w:rPr>
  </w:style>
  <w:style w:type="paragraph" w:customStyle="1" w:styleId="TableTextCA">
    <w:name w:val="Table Text CA"/>
    <w:basedOn w:val="TableText0"/>
    <w:rsid w:val="005064B7"/>
    <w:pPr>
      <w:keepNext w:val="0"/>
      <w:spacing w:before="40" w:after="40"/>
      <w:jc w:val="center"/>
    </w:pPr>
    <w:rPr>
      <w:rFonts w:asciiTheme="minorHAnsi" w:eastAsiaTheme="minorHAnsi" w:hAnsiTheme="minorHAnsi" w:cstheme="minorHAnsi"/>
      <w:bCs w:val="0"/>
      <w:sz w:val="18"/>
      <w:szCs w:val="18"/>
      <w:lang w:eastAsia="en-US"/>
    </w:rPr>
  </w:style>
  <w:style w:type="paragraph" w:customStyle="1" w:styleId="NormalBeforeBullet">
    <w:name w:val="Normal Before Bullet"/>
    <w:basedOn w:val="Normal"/>
    <w:uiPriority w:val="99"/>
    <w:rsid w:val="005064B7"/>
    <w:pPr>
      <w:keepNext/>
      <w:spacing w:after="120"/>
      <w:jc w:val="left"/>
    </w:pPr>
    <w:rPr>
      <w:rFonts w:asciiTheme="minorHAnsi" w:eastAsiaTheme="minorHAnsi" w:hAnsiTheme="minorHAnsi" w:cstheme="minorBidi"/>
      <w:sz w:val="22"/>
      <w:szCs w:val="22"/>
      <w:lang w:eastAsia="en-US"/>
    </w:rPr>
  </w:style>
  <w:style w:type="paragraph" w:customStyle="1" w:styleId="Bullet">
    <w:name w:val="Bullet"/>
    <w:basedOn w:val="Normal"/>
    <w:uiPriority w:val="99"/>
    <w:rsid w:val="005064B7"/>
    <w:pPr>
      <w:numPr>
        <w:numId w:val="8"/>
      </w:numPr>
      <w:spacing w:after="120"/>
      <w:ind w:left="357" w:hanging="357"/>
      <w:jc w:val="left"/>
    </w:pPr>
    <w:rPr>
      <w:rFonts w:asciiTheme="minorHAnsi" w:eastAsiaTheme="minorHAnsi" w:hAnsiTheme="minorHAnsi" w:cstheme="minorBidi"/>
      <w:sz w:val="22"/>
      <w:szCs w:val="22"/>
      <w:lang w:eastAsia="en-US"/>
    </w:rPr>
  </w:style>
  <w:style w:type="paragraph" w:customStyle="1" w:styleId="BulletLast">
    <w:name w:val="Bullet Last"/>
    <w:basedOn w:val="Bullet"/>
    <w:uiPriority w:val="99"/>
    <w:rsid w:val="005064B7"/>
    <w:pPr>
      <w:numPr>
        <w:numId w:val="9"/>
      </w:numPr>
      <w:spacing w:after="240"/>
      <w:ind w:left="357" w:hanging="357"/>
    </w:pPr>
  </w:style>
  <w:style w:type="paragraph" w:customStyle="1" w:styleId="BulletBeforeDash">
    <w:name w:val="Bullet Before Dash"/>
    <w:basedOn w:val="Bullet"/>
    <w:uiPriority w:val="99"/>
    <w:rsid w:val="005064B7"/>
    <w:pPr>
      <w:numPr>
        <w:numId w:val="10"/>
      </w:numPr>
      <w:spacing w:after="60"/>
      <w:ind w:left="357" w:hanging="357"/>
    </w:pPr>
  </w:style>
  <w:style w:type="paragraph" w:customStyle="1" w:styleId="Dash">
    <w:name w:val="Dash"/>
    <w:basedOn w:val="Bullet"/>
    <w:uiPriority w:val="99"/>
    <w:rsid w:val="005064B7"/>
    <w:pPr>
      <w:numPr>
        <w:numId w:val="11"/>
      </w:numPr>
      <w:spacing w:after="40"/>
      <w:ind w:left="714" w:hanging="357"/>
    </w:pPr>
  </w:style>
  <w:style w:type="paragraph" w:customStyle="1" w:styleId="DashLast">
    <w:name w:val="Dash Last"/>
    <w:basedOn w:val="Dash"/>
    <w:uiPriority w:val="99"/>
    <w:rsid w:val="005064B7"/>
    <w:pPr>
      <w:numPr>
        <w:numId w:val="12"/>
      </w:numPr>
      <w:ind w:left="714" w:hanging="357"/>
    </w:pPr>
  </w:style>
  <w:style w:type="paragraph" w:customStyle="1" w:styleId="DashEndList">
    <w:name w:val="Dash End List"/>
    <w:basedOn w:val="DashLast"/>
    <w:uiPriority w:val="99"/>
    <w:rsid w:val="005064B7"/>
    <w:pPr>
      <w:numPr>
        <w:numId w:val="13"/>
      </w:numPr>
      <w:spacing w:after="240"/>
      <w:ind w:left="714" w:hanging="357"/>
    </w:pPr>
  </w:style>
  <w:style w:type="paragraph" w:customStyle="1" w:styleId="BoxTickbox">
    <w:name w:val="Box Tickbox"/>
    <w:basedOn w:val="BoxName"/>
    <w:uiPriority w:val="99"/>
    <w:rsid w:val="005064B7"/>
    <w:pPr>
      <w:numPr>
        <w:numId w:val="14"/>
      </w:numPr>
    </w:pPr>
  </w:style>
  <w:style w:type="paragraph" w:customStyle="1" w:styleId="TableFigNoteHanging">
    <w:name w:val="TableFigNoteHanging"/>
    <w:basedOn w:val="TableFigNoteHangingLast"/>
    <w:rsid w:val="005064B7"/>
    <w:pPr>
      <w:spacing w:after="0"/>
    </w:pPr>
  </w:style>
  <w:style w:type="paragraph" w:styleId="DocumentMap">
    <w:name w:val="Document Map"/>
    <w:basedOn w:val="Normal"/>
    <w:link w:val="DocumentMapChar"/>
    <w:uiPriority w:val="99"/>
    <w:semiHidden/>
    <w:unhideWhenUsed/>
    <w:rsid w:val="005064B7"/>
    <w:pPr>
      <w:jc w:val="left"/>
    </w:pPr>
    <w:rPr>
      <w:rFonts w:ascii="Times New Roman" w:eastAsiaTheme="minorHAnsi" w:hAnsi="Times New Roman" w:cs="Times New Roman"/>
      <w:sz w:val="22"/>
      <w:lang w:eastAsia="en-US"/>
    </w:rPr>
  </w:style>
  <w:style w:type="character" w:customStyle="1" w:styleId="DocumentMapChar">
    <w:name w:val="Document Map Char"/>
    <w:basedOn w:val="DefaultParagraphFont"/>
    <w:link w:val="DocumentMap"/>
    <w:uiPriority w:val="99"/>
    <w:semiHidden/>
    <w:rsid w:val="005064B7"/>
    <w:rPr>
      <w:rFonts w:eastAsiaTheme="minorHAnsi"/>
      <w:sz w:val="22"/>
      <w:szCs w:val="24"/>
      <w:lang w:eastAsia="en-US"/>
    </w:rPr>
  </w:style>
  <w:style w:type="paragraph" w:styleId="ListNumber">
    <w:name w:val="List Number"/>
    <w:basedOn w:val="Normal"/>
    <w:uiPriority w:val="99"/>
    <w:unhideWhenUsed/>
    <w:rsid w:val="005064B7"/>
    <w:pPr>
      <w:numPr>
        <w:numId w:val="16"/>
      </w:numPr>
      <w:spacing w:after="240"/>
      <w:contextualSpacing/>
      <w:jc w:val="left"/>
    </w:pPr>
    <w:rPr>
      <w:rFonts w:asciiTheme="minorHAnsi" w:eastAsiaTheme="minorHAnsi" w:hAnsiTheme="minorHAnsi" w:cstheme="minorBidi"/>
      <w:sz w:val="22"/>
      <w:szCs w:val="22"/>
      <w:lang w:eastAsia="en-US"/>
    </w:rPr>
  </w:style>
  <w:style w:type="table" w:customStyle="1" w:styleId="TableGridLight2">
    <w:name w:val="Table Grid Light2"/>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1">
    <w:name w:val="TableText"/>
    <w:basedOn w:val="Normal"/>
    <w:uiPriority w:val="99"/>
    <w:rsid w:val="005064B7"/>
    <w:pPr>
      <w:keepNext/>
      <w:spacing w:before="60" w:after="60"/>
      <w:jc w:val="left"/>
    </w:pPr>
    <w:rPr>
      <w:rFonts w:cs="Times New Roman"/>
      <w:color w:val="000000"/>
      <w:sz w:val="22"/>
      <w:szCs w:val="21"/>
    </w:rPr>
  </w:style>
  <w:style w:type="paragraph" w:customStyle="1" w:styleId="TableBullet0">
    <w:name w:val="TableBullet"/>
    <w:basedOn w:val="TableText1"/>
    <w:uiPriority w:val="99"/>
    <w:rsid w:val="005064B7"/>
    <w:pPr>
      <w:numPr>
        <w:numId w:val="17"/>
      </w:numPr>
      <w:tabs>
        <w:tab w:val="clear" w:pos="360"/>
        <w:tab w:val="left" w:pos="216"/>
      </w:tabs>
      <w:spacing w:before="20" w:after="20"/>
      <w:ind w:left="216" w:hanging="216"/>
    </w:pPr>
    <w:rPr>
      <w:rFonts w:ascii="Arial Narrow" w:hAnsi="Arial Narrow"/>
      <w:sz w:val="20"/>
    </w:rPr>
  </w:style>
  <w:style w:type="table" w:customStyle="1" w:styleId="LightList1">
    <w:name w:val="Light List1"/>
    <w:basedOn w:val="TableNormal"/>
    <w:uiPriority w:val="61"/>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TMLPreformatted">
    <w:name w:val="HTML Preformatted"/>
    <w:basedOn w:val="Normal"/>
    <w:link w:val="HTMLPreformattedChar"/>
    <w:uiPriority w:val="99"/>
    <w:semiHidden/>
    <w:unhideWhenUsed/>
    <w:rsid w:val="005064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5064B7"/>
    <w:rPr>
      <w:rFonts w:ascii="Courier New" w:hAnsi="Courier New" w:cs="Courier New"/>
    </w:rPr>
  </w:style>
  <w:style w:type="table" w:styleId="ColorfulList-Accent4">
    <w:name w:val="Colorful List Accent 4"/>
    <w:basedOn w:val="TableNormal"/>
    <w:uiPriority w:val="72"/>
    <w:rsid w:val="005064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character" w:styleId="HTMLCite">
    <w:name w:val="HTML Cite"/>
    <w:basedOn w:val="DefaultParagraphFont"/>
    <w:uiPriority w:val="99"/>
    <w:semiHidden/>
    <w:unhideWhenUsed/>
    <w:rsid w:val="005064B7"/>
    <w:rPr>
      <w:i/>
      <w:iCs/>
    </w:rPr>
  </w:style>
  <w:style w:type="table" w:customStyle="1" w:styleId="MediumShading11">
    <w:name w:val="Medium Shading 11"/>
    <w:basedOn w:val="TableNormal"/>
    <w:uiPriority w:val="63"/>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
    <w:name w:val="Grid Table 1 Light1"/>
    <w:basedOn w:val="TableNormal"/>
    <w:uiPriority w:val="46"/>
    <w:rsid w:val="005064B7"/>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laceholderText">
    <w:name w:val="Placeholder Text"/>
    <w:basedOn w:val="DefaultParagraphFont"/>
    <w:uiPriority w:val="99"/>
    <w:semiHidden/>
    <w:rsid w:val="005064B7"/>
    <w:rPr>
      <w:color w:val="808080"/>
    </w:rPr>
  </w:style>
  <w:style w:type="table" w:styleId="LightShading">
    <w:name w:val="Light Shading"/>
    <w:basedOn w:val="TableNormal"/>
    <w:uiPriority w:val="60"/>
    <w:rsid w:val="005064B7"/>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
    <w:name w:val="Default table"/>
    <w:basedOn w:val="TableNormal"/>
    <w:uiPriority w:val="99"/>
    <w:rsid w:val="005064B7"/>
    <w:rPr>
      <w:rFonts w:asciiTheme="minorHAnsi" w:eastAsiaTheme="minorHAnsi" w:hAnsiTheme="minorHAnsi" w:cstheme="minorBidi"/>
      <w:sz w:val="22"/>
      <w:szCs w:val="22"/>
      <w:lang w:val="en-US" w:eastAsia="en-US"/>
    </w:rPr>
    <w:tblPr/>
  </w:style>
  <w:style w:type="character" w:customStyle="1" w:styleId="UnresolvedMention2">
    <w:name w:val="Unresolved Mention2"/>
    <w:basedOn w:val="DefaultParagraphFont"/>
    <w:uiPriority w:val="99"/>
    <w:semiHidden/>
    <w:unhideWhenUsed/>
    <w:rsid w:val="005064B7"/>
    <w:rPr>
      <w:color w:val="605E5C"/>
      <w:shd w:val="clear" w:color="auto" w:fill="E1DFDD"/>
    </w:rPr>
  </w:style>
  <w:style w:type="paragraph" w:customStyle="1" w:styleId="msonormal0">
    <w:name w:val="msonormal"/>
    <w:basedOn w:val="Normal"/>
    <w:uiPriority w:val="99"/>
    <w:rsid w:val="005064B7"/>
    <w:pPr>
      <w:spacing w:before="100" w:beforeAutospacing="1" w:after="100" w:afterAutospacing="1"/>
      <w:jc w:val="left"/>
    </w:pPr>
    <w:rPr>
      <w:rFonts w:ascii="Times New Roman" w:hAnsi="Times New Roman" w:cs="Times New Roman"/>
      <w:sz w:val="22"/>
    </w:rPr>
  </w:style>
  <w:style w:type="table" w:styleId="ListTable3-Accent5">
    <w:name w:val="List Table 3 Accent 5"/>
    <w:basedOn w:val="TableNormal"/>
    <w:uiPriority w:val="48"/>
    <w:rsid w:val="005064B7"/>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paragraph" w:customStyle="1" w:styleId="StyleHeading5p511ptBoldNotItalic">
    <w:name w:val="Style Heading 5p5 + 11 pt Bold Not Italic"/>
    <w:basedOn w:val="Heading5"/>
    <w:uiPriority w:val="99"/>
    <w:rsid w:val="005064B7"/>
    <w:pPr>
      <w:keepNext/>
      <w:numPr>
        <w:ilvl w:val="4"/>
        <w:numId w:val="18"/>
      </w:numPr>
      <w:spacing w:before="0" w:after="40"/>
      <w:ind w:left="1009" w:hanging="1009"/>
      <w:jc w:val="left"/>
    </w:pPr>
    <w:rPr>
      <w:rFonts w:asciiTheme="minorHAnsi" w:eastAsiaTheme="majorEastAsia" w:hAnsiTheme="minorHAnsi" w:cstheme="majorBidi"/>
      <w:iCs w:val="0"/>
      <w:sz w:val="22"/>
      <w:szCs w:val="22"/>
      <w:lang w:eastAsia="en-US"/>
    </w:rPr>
  </w:style>
  <w:style w:type="table" w:customStyle="1" w:styleId="ListTable3-Accent51">
    <w:name w:val="List Table 3 - Accent 51"/>
    <w:basedOn w:val="TableNormal"/>
    <w:uiPriority w:val="48"/>
    <w:rsid w:val="005064B7"/>
    <w:rPr>
      <w:rFonts w:asciiTheme="minorHAnsi" w:eastAsiaTheme="minorHAnsi" w:hAnsiTheme="minorHAnsi" w:cstheme="minorBidi"/>
      <w:sz w:val="22"/>
      <w:szCs w:val="22"/>
      <w:lang w:val="en-US" w:eastAsia="en-US"/>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ghtShading-Accent6">
    <w:name w:val="Light Shading Accent 6"/>
    <w:basedOn w:val="TableNormal"/>
    <w:uiPriority w:val="60"/>
    <w:rsid w:val="005064B7"/>
    <w:rPr>
      <w:rFonts w:asciiTheme="minorHAnsi" w:eastAsiaTheme="minorHAnsi" w:hAnsiTheme="minorHAnsi" w:cstheme="minorBidi"/>
      <w:color w:val="E36C0A" w:themeColor="accent6" w:themeShade="BF"/>
      <w:sz w:val="22"/>
      <w:szCs w:val="22"/>
      <w:lang w:val="en-US" w:eastAsia="en-US"/>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customStyle="1" w:styleId="apple-converted-space">
    <w:name w:val="apple-converted-space"/>
    <w:basedOn w:val="DefaultParagraphFont"/>
    <w:rsid w:val="005064B7"/>
  </w:style>
  <w:style w:type="paragraph" w:customStyle="1" w:styleId="Tablefooter0">
    <w:name w:val="Table footer"/>
    <w:basedOn w:val="Normal"/>
    <w:link w:val="TablefooterChar0"/>
    <w:rsid w:val="005064B7"/>
    <w:rPr>
      <w:rFonts w:eastAsia="SimSun" w:cs="Times New Roman"/>
      <w:sz w:val="16"/>
      <w:szCs w:val="20"/>
      <w:lang w:eastAsia="zh-CN"/>
    </w:rPr>
  </w:style>
  <w:style w:type="character" w:customStyle="1" w:styleId="TablefooterChar0">
    <w:name w:val="Table footer Char"/>
    <w:link w:val="Tablefooter0"/>
    <w:rsid w:val="005064B7"/>
    <w:rPr>
      <w:rFonts w:ascii="Calibri" w:eastAsia="SimSun" w:hAnsi="Calibri"/>
      <w:sz w:val="16"/>
      <w:lang w:eastAsia="zh-CN"/>
    </w:rPr>
  </w:style>
  <w:style w:type="table" w:customStyle="1" w:styleId="TableGrid1">
    <w:name w:val="Table Grid1"/>
    <w:basedOn w:val="TableNormal"/>
    <w:next w:val="TableGrid"/>
    <w:uiPriority w:val="5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5p511ptBoldNotItalic1">
    <w:name w:val="Style Heading 5p5 + 11 pt Bold Not Italic1"/>
    <w:basedOn w:val="Heading5"/>
    <w:uiPriority w:val="99"/>
    <w:rsid w:val="005064B7"/>
    <w:pPr>
      <w:keepNext/>
      <w:spacing w:before="0" w:after="40"/>
      <w:ind w:left="1009" w:hanging="1009"/>
      <w:jc w:val="left"/>
    </w:pPr>
    <w:rPr>
      <w:rFonts w:asciiTheme="minorHAnsi" w:eastAsiaTheme="majorEastAsia" w:hAnsiTheme="minorHAnsi" w:cstheme="majorBidi"/>
      <w:iCs w:val="0"/>
      <w:sz w:val="22"/>
      <w:szCs w:val="22"/>
      <w:lang w:eastAsia="en-US"/>
    </w:rPr>
  </w:style>
  <w:style w:type="paragraph" w:customStyle="1" w:styleId="Default">
    <w:name w:val="Default"/>
    <w:rsid w:val="005064B7"/>
    <w:pPr>
      <w:autoSpaceDE w:val="0"/>
      <w:autoSpaceDN w:val="0"/>
      <w:adjustRightInd w:val="0"/>
    </w:pPr>
    <w:rPr>
      <w:rFonts w:ascii="Calibri" w:eastAsiaTheme="minorHAnsi" w:hAnsi="Calibri" w:cs="Calibri"/>
      <w:color w:val="000000"/>
      <w:sz w:val="24"/>
      <w:szCs w:val="24"/>
      <w:lang w:eastAsia="en-US"/>
    </w:rPr>
  </w:style>
  <w:style w:type="character" w:customStyle="1" w:styleId="highlight2">
    <w:name w:val="highlight2"/>
    <w:uiPriority w:val="99"/>
    <w:rsid w:val="005064B7"/>
  </w:style>
  <w:style w:type="character" w:customStyle="1" w:styleId="StyleCalibri">
    <w:name w:val="Style Calibri"/>
    <w:unhideWhenUsed/>
    <w:locked/>
    <w:rsid w:val="005064B7"/>
    <w:rPr>
      <w:rFonts w:ascii="Calibri" w:hAnsi="Calibri"/>
      <w:sz w:val="24"/>
    </w:rPr>
  </w:style>
  <w:style w:type="character" w:customStyle="1" w:styleId="offscreennoflow">
    <w:name w:val="offscreen_noflow"/>
    <w:basedOn w:val="DefaultParagraphFont"/>
    <w:rsid w:val="005064B7"/>
  </w:style>
  <w:style w:type="character" w:customStyle="1" w:styleId="label">
    <w:name w:val="label"/>
    <w:basedOn w:val="DefaultParagraphFont"/>
    <w:rsid w:val="005064B7"/>
  </w:style>
  <w:style w:type="character" w:customStyle="1" w:styleId="separator">
    <w:name w:val="separator"/>
    <w:basedOn w:val="DefaultParagraphFont"/>
    <w:rsid w:val="005064B7"/>
  </w:style>
  <w:style w:type="character" w:customStyle="1" w:styleId="value">
    <w:name w:val="value"/>
    <w:basedOn w:val="DefaultParagraphFont"/>
    <w:rsid w:val="005064B7"/>
  </w:style>
  <w:style w:type="paragraph" w:customStyle="1" w:styleId="icon--meta-keyline-before1">
    <w:name w:val="icon--meta-keyline-before1"/>
    <w:basedOn w:val="Normal"/>
    <w:uiPriority w:val="99"/>
    <w:rsid w:val="005064B7"/>
    <w:pPr>
      <w:jc w:val="left"/>
    </w:pPr>
    <w:rPr>
      <w:rFonts w:ascii="Times New Roman" w:hAnsi="Times New Roman" w:cs="Times New Roman"/>
    </w:rPr>
  </w:style>
  <w:style w:type="character" w:customStyle="1" w:styleId="articlecitationyear">
    <w:name w:val="articlecitation_year"/>
    <w:basedOn w:val="DefaultParagraphFont"/>
    <w:rsid w:val="005064B7"/>
  </w:style>
  <w:style w:type="character" w:customStyle="1" w:styleId="articlecitationvolume">
    <w:name w:val="articlecitation_volume"/>
    <w:basedOn w:val="DefaultParagraphFont"/>
    <w:rsid w:val="005064B7"/>
  </w:style>
  <w:style w:type="character" w:customStyle="1" w:styleId="articlecitationpages">
    <w:name w:val="articlecitation_pages"/>
    <w:basedOn w:val="DefaultParagraphFont"/>
    <w:rsid w:val="005064B7"/>
  </w:style>
  <w:style w:type="character" w:customStyle="1" w:styleId="h41">
    <w:name w:val="h41"/>
    <w:basedOn w:val="DefaultParagraphFont"/>
    <w:rsid w:val="005064B7"/>
    <w:rPr>
      <w:b/>
      <w:bCs/>
      <w:sz w:val="24"/>
      <w:szCs w:val="24"/>
    </w:rPr>
  </w:style>
  <w:style w:type="character" w:customStyle="1" w:styleId="label1">
    <w:name w:val="label1"/>
    <w:basedOn w:val="DefaultParagraphFont"/>
    <w:rsid w:val="005064B7"/>
    <w:rPr>
      <w:b/>
      <w:bCs/>
    </w:rPr>
  </w:style>
  <w:style w:type="paragraph" w:customStyle="1" w:styleId="TableHeading-H56">
    <w:name w:val="Table Heading - H56"/>
    <w:basedOn w:val="Heading4"/>
    <w:link w:val="TableHeading-H56Char"/>
    <w:rsid w:val="005064B7"/>
    <w:pPr>
      <w:tabs>
        <w:tab w:val="left" w:pos="1440"/>
      </w:tabs>
      <w:spacing w:before="80" w:after="40"/>
      <w:ind w:left="1021"/>
      <w:jc w:val="left"/>
      <w:outlineLvl w:val="9"/>
    </w:pPr>
    <w:rPr>
      <w:rFonts w:ascii="Arial" w:eastAsia="Arial Unicode MS" w:hAnsi="Arial" w:cs="Times New Roman"/>
      <w:bCs w:val="0"/>
      <w:i w:val="0"/>
      <w:color w:val="1F497D" w:themeColor="text2"/>
      <w:sz w:val="16"/>
      <w:szCs w:val="44"/>
      <w:lang w:val="en-GB" w:eastAsia="en-US"/>
    </w:rPr>
  </w:style>
  <w:style w:type="character" w:customStyle="1" w:styleId="TableHeading-H56Char">
    <w:name w:val="Table Heading - H56 Char"/>
    <w:basedOn w:val="DefaultParagraphFont"/>
    <w:link w:val="TableHeading-H56"/>
    <w:rsid w:val="005064B7"/>
    <w:rPr>
      <w:rFonts w:ascii="Arial" w:eastAsia="Arial Unicode MS" w:hAnsi="Arial"/>
      <w:b/>
      <w:color w:val="1F497D" w:themeColor="text2"/>
      <w:sz w:val="16"/>
      <w:szCs w:val="44"/>
      <w:lang w:val="en-GB" w:eastAsia="en-US"/>
    </w:rPr>
  </w:style>
  <w:style w:type="paragraph" w:customStyle="1" w:styleId="Bullet2">
    <w:name w:val="Bullet 2"/>
    <w:basedOn w:val="Normal"/>
    <w:next w:val="Normal"/>
    <w:uiPriority w:val="99"/>
    <w:locked/>
    <w:rsid w:val="005064B7"/>
    <w:pPr>
      <w:tabs>
        <w:tab w:val="num" w:pos="800"/>
      </w:tabs>
      <w:spacing w:after="120"/>
      <w:ind w:left="800" w:hanging="400"/>
    </w:pPr>
    <w:rPr>
      <w:rFonts w:cs="Times New Roman"/>
      <w:sz w:val="22"/>
      <w:lang w:eastAsia="en-US"/>
    </w:rPr>
  </w:style>
  <w:style w:type="paragraph" w:customStyle="1" w:styleId="TableNotesCV">
    <w:name w:val="Table Notes CV"/>
    <w:basedOn w:val="Normal"/>
    <w:uiPriority w:val="99"/>
    <w:rsid w:val="005064B7"/>
    <w:pPr>
      <w:tabs>
        <w:tab w:val="left" w:pos="1559"/>
      </w:tabs>
      <w:spacing w:after="120"/>
      <w:ind w:left="1559" w:hanging="1559"/>
    </w:pPr>
    <w:rPr>
      <w:rFonts w:eastAsia="SimSun" w:cs="Times New Roman"/>
      <w:sz w:val="16"/>
      <w:szCs w:val="20"/>
      <w:lang w:eastAsia="x-none"/>
    </w:rPr>
  </w:style>
  <w:style w:type="table" w:customStyle="1" w:styleId="TableGrid15">
    <w:name w:val="Table Grid15"/>
    <w:basedOn w:val="TableNormal"/>
    <w:next w:val="TableGrid"/>
    <w:rsid w:val="005064B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numbering" w:customStyle="1" w:styleId="Style112">
    <w:name w:val="Style112"/>
    <w:uiPriority w:val="99"/>
    <w:rsid w:val="005064B7"/>
  </w:style>
  <w:style w:type="numbering" w:customStyle="1" w:styleId="NoList1">
    <w:name w:val="No List1"/>
    <w:next w:val="NoList"/>
    <w:uiPriority w:val="99"/>
    <w:semiHidden/>
    <w:unhideWhenUsed/>
    <w:rsid w:val="005064B7"/>
  </w:style>
  <w:style w:type="table" w:customStyle="1" w:styleId="TableGridLight11">
    <w:name w:val="Table Grid Light11"/>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tblPr/>
      <w:tcPr>
        <w:shd w:val="clear" w:color="auto" w:fill="F2F2F2" w:themeFill="background1" w:themeFillShade="F2"/>
      </w:tcPr>
    </w:tblStylePr>
  </w:style>
  <w:style w:type="table" w:customStyle="1" w:styleId="Summarybox1">
    <w:name w:val="Summary box1"/>
    <w:basedOn w:val="TableNormal"/>
    <w:next w:val="TableGrid"/>
    <w:uiPriority w:val="39"/>
    <w:rsid w:val="005064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1">
    <w:name w:val="Table Grid Light21"/>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LightList11">
    <w:name w:val="Light List11"/>
    <w:basedOn w:val="TableNormal"/>
    <w:uiPriority w:val="61"/>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ColorfulList-Accent41">
    <w:name w:val="Colorful List - Accent 41"/>
    <w:basedOn w:val="TableNormal"/>
    <w:next w:val="ColorfulList-Accent4"/>
    <w:uiPriority w:val="72"/>
    <w:rsid w:val="005064B7"/>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MediumShading111">
    <w:name w:val="Medium Shading 111"/>
    <w:basedOn w:val="TableNormal"/>
    <w:uiPriority w:val="63"/>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GridTable1Light11">
    <w:name w:val="Grid Table 1 Light11"/>
    <w:basedOn w:val="TableNormal"/>
    <w:uiPriority w:val="46"/>
    <w:rsid w:val="005064B7"/>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LightShading1">
    <w:name w:val="Light Shading1"/>
    <w:basedOn w:val="TableNormal"/>
    <w:next w:val="LightShading"/>
    <w:uiPriority w:val="60"/>
    <w:rsid w:val="005064B7"/>
    <w:rPr>
      <w:rFonts w:asciiTheme="minorHAnsi" w:eastAsiaTheme="minorHAnsi"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Defaulttable1">
    <w:name w:val="Default table1"/>
    <w:basedOn w:val="TableNormal"/>
    <w:uiPriority w:val="99"/>
    <w:rsid w:val="005064B7"/>
    <w:rPr>
      <w:rFonts w:asciiTheme="minorHAnsi" w:eastAsiaTheme="minorHAnsi" w:hAnsiTheme="minorHAnsi" w:cstheme="minorBidi"/>
      <w:sz w:val="22"/>
      <w:szCs w:val="22"/>
      <w:lang w:val="en-US" w:eastAsia="en-US"/>
    </w:rPr>
    <w:tblPr/>
  </w:style>
  <w:style w:type="table" w:customStyle="1" w:styleId="TableGrid11">
    <w:name w:val="Table Grid11"/>
    <w:basedOn w:val="TableNormal"/>
    <w:next w:val="TableGrid"/>
    <w:uiPriority w:val="59"/>
    <w:rsid w:val="005064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5064B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numbering" w:customStyle="1" w:styleId="Style1121">
    <w:name w:val="Style1121"/>
    <w:uiPriority w:val="99"/>
    <w:rsid w:val="005064B7"/>
  </w:style>
  <w:style w:type="table" w:customStyle="1" w:styleId="TableGrid4021">
    <w:name w:val="Table Grid4021"/>
    <w:basedOn w:val="TableNormal"/>
    <w:next w:val="TableGrid"/>
    <w:uiPriority w:val="59"/>
    <w:rsid w:val="005064B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s">
    <w:name w:val="Table Notes"/>
    <w:basedOn w:val="Normal"/>
    <w:next w:val="Normal"/>
    <w:uiPriority w:val="99"/>
    <w:rsid w:val="005064B7"/>
    <w:pPr>
      <w:keepNext/>
      <w:keepLines/>
      <w:spacing w:before="60" w:after="240"/>
      <w:contextualSpacing/>
      <w:jc w:val="left"/>
    </w:pPr>
    <w:rPr>
      <w:rFonts w:ascii="Arial" w:hAnsi="Arial" w:cs="Times New Roman"/>
      <w:sz w:val="16"/>
      <w:szCs w:val="16"/>
    </w:rPr>
  </w:style>
  <w:style w:type="paragraph" w:styleId="BlockText">
    <w:name w:val="Block Text"/>
    <w:basedOn w:val="Normal"/>
    <w:uiPriority w:val="99"/>
    <w:semiHidden/>
    <w:unhideWhenUsed/>
    <w:rsid w:val="005064B7"/>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240"/>
      <w:ind w:left="1152" w:right="1152"/>
      <w:jc w:val="left"/>
    </w:pPr>
    <w:rPr>
      <w:rFonts w:asciiTheme="minorHAnsi" w:eastAsiaTheme="minorEastAsia" w:hAnsiTheme="minorHAnsi" w:cstheme="minorBidi"/>
      <w:i/>
      <w:iCs/>
      <w:color w:val="4F81BD" w:themeColor="accent1"/>
      <w:sz w:val="22"/>
      <w:szCs w:val="22"/>
      <w:lang w:eastAsia="en-US"/>
    </w:rPr>
  </w:style>
  <w:style w:type="table" w:customStyle="1" w:styleId="GridTable4-Accent61">
    <w:name w:val="Grid Table 4 - Accent 61"/>
    <w:basedOn w:val="TableNormal"/>
    <w:uiPriority w:val="49"/>
    <w:rsid w:val="005064B7"/>
    <w:rPr>
      <w:rFonts w:asciiTheme="minorHAnsi" w:hAnsiTheme="minorHAnsi" w:cs="Arial"/>
      <w:sz w:val="22"/>
      <w:szCs w:val="22"/>
      <w:lang w:eastAsia="en-US"/>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rFonts w:cs="Arial"/>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rFonts w:cs="Arial"/>
        <w:b/>
        <w:bCs/>
      </w:rPr>
      <w:tblPr/>
      <w:tcPr>
        <w:tcBorders>
          <w:top w:val="double" w:sz="4" w:space="0" w:color="F79646" w:themeColor="accent6"/>
        </w:tcBorders>
      </w:tcPr>
    </w:tblStylePr>
    <w:tblStylePr w:type="firstCol">
      <w:rPr>
        <w:rFonts w:cs="Arial"/>
        <w:b/>
        <w:bCs/>
      </w:rPr>
    </w:tblStylePr>
    <w:tblStylePr w:type="lastCol">
      <w:rPr>
        <w:rFonts w:cs="Arial"/>
        <w:b/>
        <w:bCs/>
      </w:rPr>
    </w:tblStylePr>
    <w:tblStylePr w:type="band1Vert">
      <w:rPr>
        <w:rFonts w:cs="Arial"/>
      </w:rPr>
      <w:tblPr/>
      <w:tcPr>
        <w:shd w:val="clear" w:color="auto" w:fill="FDE9D9" w:themeFill="accent6" w:themeFillTint="33"/>
      </w:tcPr>
    </w:tblStylePr>
    <w:tblStylePr w:type="band1Horz">
      <w:rPr>
        <w:rFonts w:cs="Arial"/>
      </w:rPr>
      <w:tblPr/>
      <w:tcPr>
        <w:shd w:val="clear" w:color="auto" w:fill="FDE9D9" w:themeFill="accent6" w:themeFillTint="33"/>
      </w:tcPr>
    </w:tblStylePr>
  </w:style>
  <w:style w:type="paragraph" w:customStyle="1" w:styleId="Tabletext2">
    <w:name w:val="Tabletext"/>
    <w:basedOn w:val="Normal"/>
    <w:uiPriority w:val="99"/>
    <w:rsid w:val="005064B7"/>
    <w:pPr>
      <w:jc w:val="left"/>
    </w:pPr>
    <w:rPr>
      <w:rFonts w:asciiTheme="minorHAnsi" w:hAnsiTheme="minorHAnsi"/>
      <w:sz w:val="18"/>
      <w:szCs w:val="22"/>
      <w:lang w:eastAsia="en-US"/>
    </w:rPr>
  </w:style>
  <w:style w:type="paragraph" w:customStyle="1" w:styleId="TableNotes1">
    <w:name w:val="TableNotes"/>
    <w:basedOn w:val="Normal"/>
    <w:rsid w:val="005064B7"/>
    <w:pPr>
      <w:spacing w:after="160" w:line="256" w:lineRule="auto"/>
      <w:contextualSpacing/>
      <w:jc w:val="left"/>
    </w:pPr>
    <w:rPr>
      <w:rFonts w:asciiTheme="minorHAnsi" w:eastAsiaTheme="minorHAnsi" w:hAnsiTheme="minorHAnsi" w:cstheme="minorBidi"/>
      <w:sz w:val="16"/>
      <w:szCs w:val="16"/>
      <w:lang w:eastAsia="en-US"/>
    </w:rPr>
  </w:style>
  <w:style w:type="paragraph" w:customStyle="1" w:styleId="xpdxpnd">
    <w:name w:val="xpdxpnd"/>
    <w:basedOn w:val="Normal"/>
    <w:uiPriority w:val="99"/>
    <w:rsid w:val="005064B7"/>
    <w:pPr>
      <w:jc w:val="left"/>
    </w:pPr>
    <w:rPr>
      <w:rFonts w:ascii="Times New Roman" w:hAnsi="Times New Roman" w:cs="Times New Roman"/>
    </w:rPr>
  </w:style>
  <w:style w:type="character" w:customStyle="1" w:styleId="mqo3nc">
    <w:name w:val="mqo3nc"/>
    <w:basedOn w:val="DefaultParagraphFont"/>
    <w:rsid w:val="005064B7"/>
  </w:style>
  <w:style w:type="numbering" w:customStyle="1" w:styleId="NoList2">
    <w:name w:val="No List2"/>
    <w:next w:val="NoList"/>
    <w:uiPriority w:val="99"/>
    <w:semiHidden/>
    <w:unhideWhenUsed/>
    <w:rsid w:val="005064B7"/>
  </w:style>
  <w:style w:type="table" w:customStyle="1" w:styleId="TableGridLight12">
    <w:name w:val="Table Grid Light12"/>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tblPr/>
      <w:tcPr>
        <w:shd w:val="clear" w:color="auto" w:fill="F2F2F2"/>
      </w:tcPr>
    </w:tblStylePr>
  </w:style>
  <w:style w:type="table" w:customStyle="1" w:styleId="Summarybox2">
    <w:name w:val="Summary box2"/>
    <w:basedOn w:val="TableNormal"/>
    <w:next w:val="TableGrid"/>
    <w:uiPriority w:val="39"/>
    <w:rsid w:val="005064B7"/>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b w:val="0"/>
      </w:rPr>
    </w:tblStylePr>
  </w:style>
  <w:style w:type="table" w:customStyle="1" w:styleId="TableGridLight22">
    <w:name w:val="Table Grid Light22"/>
    <w:basedOn w:val="TableNormal"/>
    <w:uiPriority w:val="40"/>
    <w:rsid w:val="005064B7"/>
    <w:rPr>
      <w:rFonts w:asciiTheme="minorHAnsi" w:eastAsiaTheme="minorHAnsi" w:hAnsiTheme="minorHAnsi" w:cstheme="minorBid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ightList12">
    <w:name w:val="Light List12"/>
    <w:basedOn w:val="TableNormal"/>
    <w:uiPriority w:val="61"/>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ColorfulList-Accent42">
    <w:name w:val="Colorful List - Accent 42"/>
    <w:basedOn w:val="TableNormal"/>
    <w:next w:val="ColorfulList-Accent4"/>
    <w:uiPriority w:val="72"/>
    <w:rsid w:val="005064B7"/>
    <w:rPr>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customStyle="1" w:styleId="MediumShading112">
    <w:name w:val="Medium Shading 112"/>
    <w:basedOn w:val="TableNormal"/>
    <w:uiPriority w:val="63"/>
    <w:rsid w:val="005064B7"/>
    <w:rPr>
      <w:rFonts w:asciiTheme="minorHAnsi" w:eastAsiaTheme="minorHAnsi" w:hAnsiTheme="minorHAnsi" w:cstheme="minorBidi"/>
      <w:sz w:val="22"/>
      <w:szCs w:val="22"/>
      <w:lang w:val="en-US" w:eastAsia="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GridTable1Light12">
    <w:name w:val="Grid Table 1 Light12"/>
    <w:basedOn w:val="TableNormal"/>
    <w:uiPriority w:val="46"/>
    <w:rsid w:val="005064B7"/>
    <w:rPr>
      <w:rFonts w:asciiTheme="minorHAnsi" w:eastAsiaTheme="minorHAnsi" w:hAnsiTheme="minorHAnsi" w:cstheme="minorBidi"/>
      <w:sz w:val="22"/>
      <w:szCs w:val="22"/>
      <w:lang w:val="en-US"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ghtShading2">
    <w:name w:val="Light Shading2"/>
    <w:basedOn w:val="TableNormal"/>
    <w:next w:val="LightShading"/>
    <w:uiPriority w:val="60"/>
    <w:rsid w:val="005064B7"/>
    <w:rPr>
      <w:rFonts w:asciiTheme="minorHAnsi" w:eastAsiaTheme="minorHAnsi" w:hAnsiTheme="minorHAnsi" w:cstheme="minorBid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efaulttable2">
    <w:name w:val="Default table2"/>
    <w:basedOn w:val="TableNormal"/>
    <w:uiPriority w:val="99"/>
    <w:rsid w:val="005064B7"/>
    <w:rPr>
      <w:rFonts w:asciiTheme="minorHAnsi" w:eastAsiaTheme="minorHAnsi" w:hAnsiTheme="minorHAnsi" w:cstheme="minorBidi"/>
      <w:sz w:val="22"/>
      <w:szCs w:val="22"/>
      <w:lang w:val="en-US" w:eastAsia="en-US"/>
    </w:rPr>
    <w:tblPr/>
  </w:style>
  <w:style w:type="table" w:customStyle="1" w:styleId="TableGrid12">
    <w:name w:val="Table Grid12"/>
    <w:basedOn w:val="TableNormal"/>
    <w:next w:val="TableGrid"/>
    <w:uiPriority w:val="59"/>
    <w:rsid w:val="005064B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5064B7"/>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vAlign w:val="center"/>
    </w:tcPr>
  </w:style>
  <w:style w:type="numbering" w:customStyle="1" w:styleId="Style1122">
    <w:name w:val="Style1122"/>
    <w:uiPriority w:val="99"/>
    <w:rsid w:val="005064B7"/>
  </w:style>
  <w:style w:type="paragraph" w:customStyle="1" w:styleId="Appendix">
    <w:name w:val="Appendix"/>
    <w:basedOn w:val="Heading3"/>
    <w:next w:val="Normal"/>
    <w:link w:val="AppendixChar"/>
    <w:uiPriority w:val="99"/>
    <w:rsid w:val="005064B7"/>
    <w:pPr>
      <w:keepNext/>
      <w:keepLines/>
      <w:numPr>
        <w:numId w:val="19"/>
      </w:numPr>
      <w:spacing w:after="200"/>
      <w:ind w:left="763"/>
      <w:jc w:val="left"/>
    </w:pPr>
    <w:rPr>
      <w:rFonts w:asciiTheme="minorHAnsi" w:eastAsiaTheme="majorEastAsia" w:hAnsiTheme="minorHAnsi" w:cstheme="minorHAnsi"/>
      <w:b/>
      <w:sz w:val="28"/>
      <w:szCs w:val="28"/>
      <w:lang w:eastAsia="en-US"/>
    </w:rPr>
  </w:style>
  <w:style w:type="paragraph" w:customStyle="1" w:styleId="Style1">
    <w:name w:val="Style1"/>
    <w:basedOn w:val="BodyText1"/>
    <w:uiPriority w:val="99"/>
    <w:rsid w:val="005064B7"/>
    <w:rPr>
      <w:sz w:val="28"/>
      <w:szCs w:val="28"/>
    </w:rPr>
  </w:style>
  <w:style w:type="character" w:customStyle="1" w:styleId="AppendixChar">
    <w:name w:val="Appendix Char"/>
    <w:basedOn w:val="Heading3Char"/>
    <w:link w:val="Appendix"/>
    <w:uiPriority w:val="99"/>
    <w:rsid w:val="005064B7"/>
    <w:rPr>
      <w:rFonts w:asciiTheme="minorHAnsi" w:eastAsiaTheme="majorEastAsia" w:hAnsiTheme="minorHAnsi" w:cstheme="minorHAnsi"/>
      <w:b/>
      <w:sz w:val="28"/>
      <w:szCs w:val="28"/>
      <w:u w:val="single"/>
      <w:lang w:eastAsia="en-US"/>
    </w:rPr>
  </w:style>
  <w:style w:type="paragraph" w:styleId="Bibliography">
    <w:name w:val="Bibliography"/>
    <w:basedOn w:val="Normal"/>
    <w:next w:val="Normal"/>
    <w:uiPriority w:val="37"/>
    <w:unhideWhenUsed/>
    <w:rsid w:val="005064B7"/>
    <w:pPr>
      <w:spacing w:after="240"/>
      <w:jc w:val="left"/>
    </w:pPr>
    <w:rPr>
      <w:rFonts w:asciiTheme="minorHAnsi" w:eastAsiaTheme="minorHAnsi" w:hAnsiTheme="minorHAnsi" w:cstheme="minorBidi"/>
      <w:sz w:val="22"/>
      <w:szCs w:val="22"/>
      <w:lang w:eastAsia="en-US"/>
    </w:rPr>
  </w:style>
  <w:style w:type="table" w:customStyle="1" w:styleId="Eviera-201811">
    <w:name w:val="Eviera - 201811"/>
    <w:basedOn w:val="TableNormal"/>
    <w:uiPriority w:val="99"/>
    <w:qFormat/>
    <w:rsid w:val="005064B7"/>
    <w:pPr>
      <w:spacing w:before="40" w:after="40"/>
    </w:pPr>
    <w:rPr>
      <w:rFonts w:ascii="Calibri Light" w:eastAsia="Batang" w:hAnsi="Calibri Light" w:cstheme="minorBidi"/>
      <w:sz w:val="18"/>
      <w:szCs w:val="22"/>
      <w:lang w:val="en-US" w:eastAsia="en-US"/>
    </w:rPr>
    <w:tblPr>
      <w:tblStyleRowBandSize w:val="1"/>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4" w:space="0" w:color="FFFFFF" w:themeColor="background1"/>
        <w:insideV w:val="single" w:sz="4" w:space="0" w:color="FFFFFF" w:themeColor="background1"/>
      </w:tblBorders>
    </w:tblPr>
    <w:tcPr>
      <w:shd w:val="clear" w:color="auto" w:fill="auto"/>
    </w:tcPr>
    <w:tblStylePr w:type="firstRow">
      <w:pPr>
        <w:jc w:val="center"/>
      </w:pPr>
      <w:rPr>
        <w:rFonts w:ascii="Calibri Light" w:hAnsi="Calibri Light"/>
        <w:b/>
        <w:color w:val="F79646" w:themeColor="accent6"/>
        <w:sz w:val="18"/>
      </w:rPr>
      <w:tblPr/>
      <w:trPr>
        <w:tblHeader/>
      </w:trPr>
      <w:tcPr>
        <w:shd w:val="clear" w:color="auto" w:fill="FFFFFF" w:themeFill="background1"/>
      </w:tcPr>
    </w:tblStylePr>
    <w:tblStylePr w:type="firstCol">
      <w:pPr>
        <w:jc w:val="left"/>
      </w:pPr>
      <w:tblPr/>
      <w:tcPr>
        <w:vAlign w:val="center"/>
      </w:tcPr>
    </w:tblStylePr>
    <w:tblStylePr w:type="band1Horz">
      <w:pPr>
        <w:jc w:val="center"/>
      </w:pPr>
      <w:tblPr/>
      <w:tcPr>
        <w:vAlign w:val="center"/>
      </w:tcPr>
    </w:tblStylePr>
    <w:tblStylePr w:type="band2Horz">
      <w:pPr>
        <w:jc w:val="center"/>
      </w:pPr>
      <w:tblPr/>
      <w:tcPr>
        <w:vAlign w:val="center"/>
      </w:tcPr>
    </w:tblStylePr>
    <w:tblStylePr w:type="nwCell">
      <w:pPr>
        <w:jc w:val="left"/>
      </w:pPr>
      <w:rPr>
        <w:rFonts w:ascii="Calibri Light" w:hAnsi="Calibri Light"/>
        <w:color w:val="FFFFFF" w:themeColor="background1"/>
        <w:sz w:val="18"/>
      </w:rPr>
      <w:tblPr/>
      <w:tcPr>
        <w:vAlign w:val="center"/>
      </w:tcPr>
    </w:tblStylePr>
  </w:style>
  <w:style w:type="paragraph" w:customStyle="1" w:styleId="TableFootnotesAbbreviations">
    <w:name w:val="Table Footnotes/Abbreviations"/>
    <w:basedOn w:val="BodyText"/>
    <w:link w:val="TableFootnotesAbbreviationsChar"/>
    <w:rsid w:val="005064B7"/>
    <w:pPr>
      <w:spacing w:before="60"/>
    </w:pPr>
    <w:rPr>
      <w:rFonts w:ascii="Calibri Light" w:hAnsi="Calibri Light" w:cs="Times New Roman"/>
      <w:sz w:val="18"/>
      <w:szCs w:val="20"/>
      <w:lang w:val="en-US" w:eastAsia="en-US"/>
    </w:rPr>
  </w:style>
  <w:style w:type="character" w:customStyle="1" w:styleId="TableFootnotesAbbreviationsChar">
    <w:name w:val="Table Footnotes/Abbreviations Char"/>
    <w:basedOn w:val="DefaultParagraphFont"/>
    <w:link w:val="TableFootnotesAbbreviations"/>
    <w:rsid w:val="005064B7"/>
    <w:rPr>
      <w:rFonts w:ascii="Calibri Light" w:hAnsi="Calibri Light"/>
      <w:sz w:val="18"/>
      <w:lang w:val="en-US" w:eastAsia="en-US"/>
    </w:rPr>
  </w:style>
  <w:style w:type="character" w:customStyle="1" w:styleId="Heading1Char1">
    <w:name w:val="Heading 1 Char1"/>
    <w:aliases w:val="Header 1 Char1,H1 Char1,Heading 12 Char1,Titre 1 Car Car Char1,Titre 1 Car Char1,Outline1 Char1,p1 Char1"/>
    <w:basedOn w:val="DefaultParagraphFont"/>
    <w:uiPriority w:val="9"/>
    <w:rsid w:val="005064B7"/>
    <w:rPr>
      <w:rFonts w:asciiTheme="majorHAnsi" w:eastAsiaTheme="majorEastAsia" w:hAnsiTheme="majorHAnsi" w:cstheme="majorBidi"/>
      <w:color w:val="365F91" w:themeColor="accent1" w:themeShade="BF"/>
      <w:sz w:val="32"/>
      <w:szCs w:val="32"/>
    </w:rPr>
  </w:style>
  <w:style w:type="character" w:customStyle="1" w:styleId="Heading2Char1">
    <w:name w:val="Heading 2 Char1"/>
    <w:aliases w:val="H2 Char1,Heading h2 Char1,h2 Char1,Heading 2x Char1,p2 Char Char1"/>
    <w:basedOn w:val="DefaultParagraphFont"/>
    <w:uiPriority w:val="9"/>
    <w:semiHidden/>
    <w:rsid w:val="005064B7"/>
    <w:rPr>
      <w:rFonts w:asciiTheme="majorHAnsi" w:eastAsiaTheme="majorEastAsia" w:hAnsiTheme="majorHAnsi" w:cstheme="majorBidi"/>
      <w:color w:val="365F91" w:themeColor="accent1" w:themeShade="BF"/>
      <w:sz w:val="26"/>
      <w:szCs w:val="26"/>
    </w:rPr>
  </w:style>
  <w:style w:type="character" w:customStyle="1" w:styleId="Heading3Char1">
    <w:name w:val="Heading 3 Char1"/>
    <w:aliases w:val="H3 Char1,Heading h3 Char1,h3 Char1,Don 3 Char1,Heading 3x Char1,p3 Char Char1"/>
    <w:basedOn w:val="DefaultParagraphFont"/>
    <w:semiHidden/>
    <w:rsid w:val="005064B7"/>
    <w:rPr>
      <w:rFonts w:asciiTheme="majorHAnsi" w:eastAsiaTheme="majorEastAsia" w:hAnsiTheme="majorHAnsi" w:cstheme="majorBidi"/>
      <w:color w:val="243F60" w:themeColor="accent1" w:themeShade="7F"/>
      <w:sz w:val="24"/>
      <w:szCs w:val="24"/>
    </w:rPr>
  </w:style>
  <w:style w:type="character" w:customStyle="1" w:styleId="Heading4Char2">
    <w:name w:val="Heading 4 Char2"/>
    <w:aliases w:val="Heading 4 Char1 Char1,Heading 4 Char Char Char1,Heading 4 Char2 Char Char Char1,Heading 4 Char Char1 Char Char Char1,Heading 4 Char1 Char Char Char Char Char Char1,Heading 4 Char Char Char Char Char Char Char Char1,Char Char1,p4 Char1"/>
    <w:basedOn w:val="DefaultParagraphFont"/>
    <w:uiPriority w:val="9"/>
    <w:semiHidden/>
    <w:rsid w:val="005064B7"/>
    <w:rPr>
      <w:rFonts w:asciiTheme="majorHAnsi" w:eastAsiaTheme="majorEastAsia" w:hAnsiTheme="majorHAnsi" w:cstheme="majorBidi"/>
      <w:i/>
      <w:iCs/>
      <w:color w:val="365F91" w:themeColor="accent1" w:themeShade="BF"/>
      <w:sz w:val="22"/>
      <w:szCs w:val="22"/>
    </w:rPr>
  </w:style>
  <w:style w:type="character" w:customStyle="1" w:styleId="Heading5Char1">
    <w:name w:val="Heading 5 Char1"/>
    <w:aliases w:val="p5 Char1"/>
    <w:basedOn w:val="DefaultParagraphFont"/>
    <w:uiPriority w:val="9"/>
    <w:semiHidden/>
    <w:rsid w:val="005064B7"/>
    <w:rPr>
      <w:rFonts w:asciiTheme="majorHAnsi" w:eastAsiaTheme="majorEastAsia" w:hAnsiTheme="majorHAnsi" w:cstheme="majorBidi"/>
      <w:color w:val="365F91" w:themeColor="accent1" w:themeShade="BF"/>
      <w:sz w:val="22"/>
      <w:szCs w:val="22"/>
    </w:rPr>
  </w:style>
  <w:style w:type="character" w:customStyle="1" w:styleId="Heading6Char1">
    <w:name w:val="Heading 6 Char1"/>
    <w:aliases w:val="Heading 6 - DO NOT USE Char1,DO NOT USE Char1,DO NOT USE4 Char1"/>
    <w:basedOn w:val="DefaultParagraphFont"/>
    <w:semiHidden/>
    <w:rsid w:val="005064B7"/>
    <w:rPr>
      <w:rFonts w:asciiTheme="majorHAnsi" w:eastAsiaTheme="majorEastAsia" w:hAnsiTheme="majorHAnsi" w:cstheme="majorBidi"/>
      <w:color w:val="243F60" w:themeColor="accent1" w:themeShade="7F"/>
      <w:sz w:val="22"/>
      <w:szCs w:val="22"/>
    </w:rPr>
  </w:style>
  <w:style w:type="character" w:customStyle="1" w:styleId="Heading7Char1">
    <w:name w:val="Heading 7 Char1"/>
    <w:aliases w:val="Heading 7 - DO NOT USE Char1"/>
    <w:basedOn w:val="DefaultParagraphFont"/>
    <w:uiPriority w:val="99"/>
    <w:semiHidden/>
    <w:rsid w:val="005064B7"/>
    <w:rPr>
      <w:rFonts w:asciiTheme="majorHAnsi" w:eastAsiaTheme="majorEastAsia" w:hAnsiTheme="majorHAnsi" w:cstheme="majorBidi"/>
      <w:i/>
      <w:iCs/>
      <w:color w:val="243F60" w:themeColor="accent1" w:themeShade="7F"/>
      <w:sz w:val="22"/>
      <w:szCs w:val="22"/>
    </w:rPr>
  </w:style>
  <w:style w:type="character" w:customStyle="1" w:styleId="Heading8Char1">
    <w:name w:val="Heading 8 Char1"/>
    <w:aliases w:val="Heading 8 - - DO NOT USE Char1"/>
    <w:basedOn w:val="DefaultParagraphFont"/>
    <w:uiPriority w:val="99"/>
    <w:semiHidden/>
    <w:rsid w:val="005064B7"/>
    <w:rPr>
      <w:rFonts w:asciiTheme="majorHAnsi" w:eastAsiaTheme="majorEastAsia" w:hAnsiTheme="majorHAnsi" w:cstheme="majorBidi"/>
      <w:color w:val="272727" w:themeColor="text1" w:themeTint="D8"/>
      <w:sz w:val="21"/>
      <w:szCs w:val="21"/>
    </w:rPr>
  </w:style>
  <w:style w:type="character" w:customStyle="1" w:styleId="Heading9Char1">
    <w:name w:val="Heading 9 Char1"/>
    <w:aliases w:val="Heading 9 - DO NOT USE Char1,cover page title Char1"/>
    <w:basedOn w:val="DefaultParagraphFont"/>
    <w:uiPriority w:val="99"/>
    <w:semiHidden/>
    <w:rsid w:val="005064B7"/>
    <w:rPr>
      <w:rFonts w:asciiTheme="majorHAnsi" w:eastAsiaTheme="majorEastAsia" w:hAnsiTheme="majorHAnsi" w:cstheme="majorBidi"/>
      <w:i/>
      <w:iCs/>
      <w:color w:val="272727" w:themeColor="text1" w:themeTint="D8"/>
      <w:sz w:val="21"/>
      <w:szCs w:val="21"/>
    </w:rPr>
  </w:style>
  <w:style w:type="character" w:customStyle="1" w:styleId="CommentTextChar1">
    <w:name w:val="Comment Text Char1"/>
    <w:aliases w:val="Comment Text Char1 Char Char1,Comment Text Char Char Char Char1"/>
    <w:basedOn w:val="DefaultParagraphFont"/>
    <w:uiPriority w:val="99"/>
    <w:semiHidden/>
    <w:rsid w:val="00EB0B7C"/>
    <w:rPr>
      <w:rFonts w:asciiTheme="minorHAnsi" w:eastAsiaTheme="minorHAnsi" w:hAnsiTheme="minorHAnsi" w:cstheme="minorBidi"/>
      <w:lang w:eastAsia="en-US"/>
    </w:rPr>
  </w:style>
  <w:style w:type="paragraph" w:customStyle="1" w:styleId="Heading3NOTOC">
    <w:name w:val="Heading 3 (NO TOC)"/>
    <w:basedOn w:val="Heading3"/>
    <w:link w:val="Heading3NOTOCChar"/>
    <w:rsid w:val="00192A45"/>
    <w:pPr>
      <w:keepNext/>
      <w:spacing w:before="180" w:after="60"/>
      <w:jc w:val="left"/>
    </w:pPr>
    <w:rPr>
      <w:b/>
      <w:color w:val="000000" w:themeColor="text1"/>
      <w:sz w:val="28"/>
      <w:lang w:val="en-US" w:eastAsia="en-US"/>
    </w:rPr>
  </w:style>
  <w:style w:type="character" w:customStyle="1" w:styleId="Heading3NOTOCChar">
    <w:name w:val="Heading 3 (NO TOC) Char"/>
    <w:basedOn w:val="Heading3Char"/>
    <w:link w:val="Heading3NOTOC"/>
    <w:rsid w:val="00192A45"/>
    <w:rPr>
      <w:rFonts w:ascii="Calibri" w:hAnsi="Calibri" w:cs="Arial"/>
      <w:b/>
      <w:color w:val="000000" w:themeColor="text1"/>
      <w:sz w:val="28"/>
      <w:szCs w:val="24"/>
      <w:u w:val="single"/>
      <w:lang w:val="en-US" w:eastAsia="en-US"/>
    </w:rPr>
  </w:style>
  <w:style w:type="table" w:customStyle="1" w:styleId="Summarybox13">
    <w:name w:val="Summary box13"/>
    <w:basedOn w:val="TableNormal"/>
    <w:next w:val="TableGrid"/>
    <w:uiPriority w:val="59"/>
    <w:rsid w:val="0071463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Continue">
    <w:name w:val="List Continue"/>
    <w:basedOn w:val="Normal"/>
    <w:uiPriority w:val="99"/>
    <w:semiHidden/>
    <w:unhideWhenUsed/>
    <w:rsid w:val="00F030D4"/>
    <w:pPr>
      <w:spacing w:after="120"/>
      <w:ind w:left="283"/>
      <w:contextualSpacing/>
    </w:pPr>
    <w:rPr>
      <w:rFonts w:cs="Times New Roman"/>
      <w:lang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F030D4"/>
    <w:pPr>
      <w:spacing w:after="160" w:line="240" w:lineRule="exact"/>
      <w:jc w:val="left"/>
    </w:pPr>
    <w:rPr>
      <w:rFonts w:ascii="Verdana" w:eastAsia="MS Mincho" w:hAnsi="Verdana" w:cs="Verdana"/>
      <w:sz w:val="20"/>
      <w:szCs w:val="20"/>
      <w:lang w:val="en-US" w:eastAsia="en-US"/>
    </w:rPr>
  </w:style>
  <w:style w:type="character" w:customStyle="1" w:styleId="text-widget3">
    <w:name w:val="text-widget3"/>
    <w:basedOn w:val="DefaultParagraphFont"/>
    <w:rsid w:val="00B44D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73130">
      <w:bodyDiv w:val="1"/>
      <w:marLeft w:val="0"/>
      <w:marRight w:val="0"/>
      <w:marTop w:val="0"/>
      <w:marBottom w:val="0"/>
      <w:divBdr>
        <w:top w:val="none" w:sz="0" w:space="0" w:color="auto"/>
        <w:left w:val="none" w:sz="0" w:space="0" w:color="auto"/>
        <w:bottom w:val="none" w:sz="0" w:space="0" w:color="auto"/>
        <w:right w:val="none" w:sz="0" w:space="0" w:color="auto"/>
      </w:divBdr>
    </w:div>
    <w:div w:id="13578571">
      <w:bodyDiv w:val="1"/>
      <w:marLeft w:val="0"/>
      <w:marRight w:val="0"/>
      <w:marTop w:val="0"/>
      <w:marBottom w:val="0"/>
      <w:divBdr>
        <w:top w:val="none" w:sz="0" w:space="0" w:color="auto"/>
        <w:left w:val="none" w:sz="0" w:space="0" w:color="auto"/>
        <w:bottom w:val="none" w:sz="0" w:space="0" w:color="auto"/>
        <w:right w:val="none" w:sz="0" w:space="0" w:color="auto"/>
      </w:divBdr>
    </w:div>
    <w:div w:id="53429053">
      <w:bodyDiv w:val="1"/>
      <w:marLeft w:val="0"/>
      <w:marRight w:val="0"/>
      <w:marTop w:val="0"/>
      <w:marBottom w:val="0"/>
      <w:divBdr>
        <w:top w:val="none" w:sz="0" w:space="0" w:color="auto"/>
        <w:left w:val="none" w:sz="0" w:space="0" w:color="auto"/>
        <w:bottom w:val="none" w:sz="0" w:space="0" w:color="auto"/>
        <w:right w:val="none" w:sz="0" w:space="0" w:color="auto"/>
      </w:divBdr>
    </w:div>
    <w:div w:id="59064352">
      <w:bodyDiv w:val="1"/>
      <w:marLeft w:val="0"/>
      <w:marRight w:val="0"/>
      <w:marTop w:val="0"/>
      <w:marBottom w:val="0"/>
      <w:divBdr>
        <w:top w:val="none" w:sz="0" w:space="0" w:color="auto"/>
        <w:left w:val="none" w:sz="0" w:space="0" w:color="auto"/>
        <w:bottom w:val="none" w:sz="0" w:space="0" w:color="auto"/>
        <w:right w:val="none" w:sz="0" w:space="0" w:color="auto"/>
      </w:divBdr>
    </w:div>
    <w:div w:id="62729219">
      <w:bodyDiv w:val="1"/>
      <w:marLeft w:val="0"/>
      <w:marRight w:val="0"/>
      <w:marTop w:val="0"/>
      <w:marBottom w:val="0"/>
      <w:divBdr>
        <w:top w:val="none" w:sz="0" w:space="0" w:color="auto"/>
        <w:left w:val="none" w:sz="0" w:space="0" w:color="auto"/>
        <w:bottom w:val="none" w:sz="0" w:space="0" w:color="auto"/>
        <w:right w:val="none" w:sz="0" w:space="0" w:color="auto"/>
      </w:divBdr>
    </w:div>
    <w:div w:id="6935608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03572373">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2913728">
      <w:bodyDiv w:val="1"/>
      <w:marLeft w:val="0"/>
      <w:marRight w:val="0"/>
      <w:marTop w:val="0"/>
      <w:marBottom w:val="0"/>
      <w:divBdr>
        <w:top w:val="none" w:sz="0" w:space="0" w:color="auto"/>
        <w:left w:val="none" w:sz="0" w:space="0" w:color="auto"/>
        <w:bottom w:val="none" w:sz="0" w:space="0" w:color="auto"/>
        <w:right w:val="none" w:sz="0" w:space="0" w:color="auto"/>
      </w:divBdr>
    </w:div>
    <w:div w:id="145317337">
      <w:bodyDiv w:val="1"/>
      <w:marLeft w:val="0"/>
      <w:marRight w:val="0"/>
      <w:marTop w:val="0"/>
      <w:marBottom w:val="0"/>
      <w:divBdr>
        <w:top w:val="none" w:sz="0" w:space="0" w:color="auto"/>
        <w:left w:val="none" w:sz="0" w:space="0" w:color="auto"/>
        <w:bottom w:val="none" w:sz="0" w:space="0" w:color="auto"/>
        <w:right w:val="none" w:sz="0" w:space="0" w:color="auto"/>
      </w:divBdr>
    </w:div>
    <w:div w:id="148592852">
      <w:bodyDiv w:val="1"/>
      <w:marLeft w:val="0"/>
      <w:marRight w:val="0"/>
      <w:marTop w:val="0"/>
      <w:marBottom w:val="0"/>
      <w:divBdr>
        <w:top w:val="none" w:sz="0" w:space="0" w:color="auto"/>
        <w:left w:val="none" w:sz="0" w:space="0" w:color="auto"/>
        <w:bottom w:val="none" w:sz="0" w:space="0" w:color="auto"/>
        <w:right w:val="none" w:sz="0" w:space="0" w:color="auto"/>
      </w:divBdr>
    </w:div>
    <w:div w:id="173351477">
      <w:bodyDiv w:val="1"/>
      <w:marLeft w:val="0"/>
      <w:marRight w:val="0"/>
      <w:marTop w:val="0"/>
      <w:marBottom w:val="0"/>
      <w:divBdr>
        <w:top w:val="none" w:sz="0" w:space="0" w:color="auto"/>
        <w:left w:val="none" w:sz="0" w:space="0" w:color="auto"/>
        <w:bottom w:val="none" w:sz="0" w:space="0" w:color="auto"/>
        <w:right w:val="none" w:sz="0" w:space="0" w:color="auto"/>
      </w:divBdr>
    </w:div>
    <w:div w:id="173767825">
      <w:bodyDiv w:val="1"/>
      <w:marLeft w:val="0"/>
      <w:marRight w:val="0"/>
      <w:marTop w:val="0"/>
      <w:marBottom w:val="0"/>
      <w:divBdr>
        <w:top w:val="none" w:sz="0" w:space="0" w:color="auto"/>
        <w:left w:val="none" w:sz="0" w:space="0" w:color="auto"/>
        <w:bottom w:val="none" w:sz="0" w:space="0" w:color="auto"/>
        <w:right w:val="none" w:sz="0" w:space="0" w:color="auto"/>
      </w:divBdr>
    </w:div>
    <w:div w:id="175730547">
      <w:bodyDiv w:val="1"/>
      <w:marLeft w:val="0"/>
      <w:marRight w:val="0"/>
      <w:marTop w:val="0"/>
      <w:marBottom w:val="0"/>
      <w:divBdr>
        <w:top w:val="none" w:sz="0" w:space="0" w:color="auto"/>
        <w:left w:val="none" w:sz="0" w:space="0" w:color="auto"/>
        <w:bottom w:val="none" w:sz="0" w:space="0" w:color="auto"/>
        <w:right w:val="none" w:sz="0" w:space="0" w:color="auto"/>
      </w:divBdr>
      <w:divsChild>
        <w:div w:id="2053070813">
          <w:marLeft w:val="0"/>
          <w:marRight w:val="0"/>
          <w:marTop w:val="0"/>
          <w:marBottom w:val="0"/>
          <w:divBdr>
            <w:top w:val="none" w:sz="0" w:space="0" w:color="auto"/>
            <w:left w:val="none" w:sz="0" w:space="0" w:color="auto"/>
            <w:bottom w:val="none" w:sz="0" w:space="0" w:color="auto"/>
            <w:right w:val="none" w:sz="0" w:space="0" w:color="auto"/>
          </w:divBdr>
        </w:div>
      </w:divsChild>
    </w:div>
    <w:div w:id="180244903">
      <w:bodyDiv w:val="1"/>
      <w:marLeft w:val="0"/>
      <w:marRight w:val="0"/>
      <w:marTop w:val="0"/>
      <w:marBottom w:val="0"/>
      <w:divBdr>
        <w:top w:val="none" w:sz="0" w:space="0" w:color="auto"/>
        <w:left w:val="none" w:sz="0" w:space="0" w:color="auto"/>
        <w:bottom w:val="none" w:sz="0" w:space="0" w:color="auto"/>
        <w:right w:val="none" w:sz="0" w:space="0" w:color="auto"/>
      </w:divBdr>
    </w:div>
    <w:div w:id="187570210">
      <w:bodyDiv w:val="1"/>
      <w:marLeft w:val="0"/>
      <w:marRight w:val="0"/>
      <w:marTop w:val="0"/>
      <w:marBottom w:val="0"/>
      <w:divBdr>
        <w:top w:val="none" w:sz="0" w:space="0" w:color="auto"/>
        <w:left w:val="none" w:sz="0" w:space="0" w:color="auto"/>
        <w:bottom w:val="none" w:sz="0" w:space="0" w:color="auto"/>
        <w:right w:val="none" w:sz="0" w:space="0" w:color="auto"/>
      </w:divBdr>
    </w:div>
    <w:div w:id="200552485">
      <w:bodyDiv w:val="1"/>
      <w:marLeft w:val="0"/>
      <w:marRight w:val="0"/>
      <w:marTop w:val="0"/>
      <w:marBottom w:val="0"/>
      <w:divBdr>
        <w:top w:val="none" w:sz="0" w:space="0" w:color="auto"/>
        <w:left w:val="none" w:sz="0" w:space="0" w:color="auto"/>
        <w:bottom w:val="none" w:sz="0" w:space="0" w:color="auto"/>
        <w:right w:val="none" w:sz="0" w:space="0" w:color="auto"/>
      </w:divBdr>
    </w:div>
    <w:div w:id="217404519">
      <w:bodyDiv w:val="1"/>
      <w:marLeft w:val="0"/>
      <w:marRight w:val="0"/>
      <w:marTop w:val="0"/>
      <w:marBottom w:val="0"/>
      <w:divBdr>
        <w:top w:val="none" w:sz="0" w:space="0" w:color="auto"/>
        <w:left w:val="none" w:sz="0" w:space="0" w:color="auto"/>
        <w:bottom w:val="none" w:sz="0" w:space="0" w:color="auto"/>
        <w:right w:val="none" w:sz="0" w:space="0" w:color="auto"/>
      </w:divBdr>
    </w:div>
    <w:div w:id="240990328">
      <w:bodyDiv w:val="1"/>
      <w:marLeft w:val="0"/>
      <w:marRight w:val="0"/>
      <w:marTop w:val="0"/>
      <w:marBottom w:val="0"/>
      <w:divBdr>
        <w:top w:val="none" w:sz="0" w:space="0" w:color="auto"/>
        <w:left w:val="none" w:sz="0" w:space="0" w:color="auto"/>
        <w:bottom w:val="none" w:sz="0" w:space="0" w:color="auto"/>
        <w:right w:val="none" w:sz="0" w:space="0" w:color="auto"/>
      </w:divBdr>
    </w:div>
    <w:div w:id="290477304">
      <w:bodyDiv w:val="1"/>
      <w:marLeft w:val="0"/>
      <w:marRight w:val="0"/>
      <w:marTop w:val="0"/>
      <w:marBottom w:val="0"/>
      <w:divBdr>
        <w:top w:val="none" w:sz="0" w:space="0" w:color="auto"/>
        <w:left w:val="none" w:sz="0" w:space="0" w:color="auto"/>
        <w:bottom w:val="none" w:sz="0" w:space="0" w:color="auto"/>
        <w:right w:val="none" w:sz="0" w:space="0" w:color="auto"/>
      </w:divBdr>
    </w:div>
    <w:div w:id="299313019">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7053222">
      <w:bodyDiv w:val="1"/>
      <w:marLeft w:val="0"/>
      <w:marRight w:val="0"/>
      <w:marTop w:val="0"/>
      <w:marBottom w:val="0"/>
      <w:divBdr>
        <w:top w:val="none" w:sz="0" w:space="0" w:color="auto"/>
        <w:left w:val="none" w:sz="0" w:space="0" w:color="auto"/>
        <w:bottom w:val="none" w:sz="0" w:space="0" w:color="auto"/>
        <w:right w:val="none" w:sz="0" w:space="0" w:color="auto"/>
      </w:divBdr>
    </w:div>
    <w:div w:id="397092990">
      <w:bodyDiv w:val="1"/>
      <w:marLeft w:val="0"/>
      <w:marRight w:val="0"/>
      <w:marTop w:val="0"/>
      <w:marBottom w:val="0"/>
      <w:divBdr>
        <w:top w:val="none" w:sz="0" w:space="0" w:color="auto"/>
        <w:left w:val="none" w:sz="0" w:space="0" w:color="auto"/>
        <w:bottom w:val="none" w:sz="0" w:space="0" w:color="auto"/>
        <w:right w:val="none" w:sz="0" w:space="0" w:color="auto"/>
      </w:divBdr>
    </w:div>
    <w:div w:id="416825150">
      <w:bodyDiv w:val="1"/>
      <w:marLeft w:val="0"/>
      <w:marRight w:val="0"/>
      <w:marTop w:val="0"/>
      <w:marBottom w:val="0"/>
      <w:divBdr>
        <w:top w:val="none" w:sz="0" w:space="0" w:color="auto"/>
        <w:left w:val="none" w:sz="0" w:space="0" w:color="auto"/>
        <w:bottom w:val="none" w:sz="0" w:space="0" w:color="auto"/>
        <w:right w:val="none" w:sz="0" w:space="0" w:color="auto"/>
      </w:divBdr>
    </w:div>
    <w:div w:id="418252786">
      <w:bodyDiv w:val="1"/>
      <w:marLeft w:val="0"/>
      <w:marRight w:val="0"/>
      <w:marTop w:val="0"/>
      <w:marBottom w:val="0"/>
      <w:divBdr>
        <w:top w:val="none" w:sz="0" w:space="0" w:color="auto"/>
        <w:left w:val="none" w:sz="0" w:space="0" w:color="auto"/>
        <w:bottom w:val="none" w:sz="0" w:space="0" w:color="auto"/>
        <w:right w:val="none" w:sz="0" w:space="0" w:color="auto"/>
      </w:divBdr>
    </w:div>
    <w:div w:id="422915825">
      <w:bodyDiv w:val="1"/>
      <w:marLeft w:val="0"/>
      <w:marRight w:val="0"/>
      <w:marTop w:val="0"/>
      <w:marBottom w:val="0"/>
      <w:divBdr>
        <w:top w:val="none" w:sz="0" w:space="0" w:color="auto"/>
        <w:left w:val="none" w:sz="0" w:space="0" w:color="auto"/>
        <w:bottom w:val="none" w:sz="0" w:space="0" w:color="auto"/>
        <w:right w:val="none" w:sz="0" w:space="0" w:color="auto"/>
      </w:divBdr>
    </w:div>
    <w:div w:id="452401669">
      <w:bodyDiv w:val="1"/>
      <w:marLeft w:val="0"/>
      <w:marRight w:val="0"/>
      <w:marTop w:val="0"/>
      <w:marBottom w:val="0"/>
      <w:divBdr>
        <w:top w:val="none" w:sz="0" w:space="0" w:color="auto"/>
        <w:left w:val="none" w:sz="0" w:space="0" w:color="auto"/>
        <w:bottom w:val="none" w:sz="0" w:space="0" w:color="auto"/>
        <w:right w:val="none" w:sz="0" w:space="0" w:color="auto"/>
      </w:divBdr>
    </w:div>
    <w:div w:id="463930347">
      <w:bodyDiv w:val="1"/>
      <w:marLeft w:val="0"/>
      <w:marRight w:val="0"/>
      <w:marTop w:val="0"/>
      <w:marBottom w:val="0"/>
      <w:divBdr>
        <w:top w:val="none" w:sz="0" w:space="0" w:color="auto"/>
        <w:left w:val="none" w:sz="0" w:space="0" w:color="auto"/>
        <w:bottom w:val="none" w:sz="0" w:space="0" w:color="auto"/>
        <w:right w:val="none" w:sz="0" w:space="0" w:color="auto"/>
      </w:divBdr>
    </w:div>
    <w:div w:id="537933698">
      <w:bodyDiv w:val="1"/>
      <w:marLeft w:val="0"/>
      <w:marRight w:val="0"/>
      <w:marTop w:val="0"/>
      <w:marBottom w:val="0"/>
      <w:divBdr>
        <w:top w:val="none" w:sz="0" w:space="0" w:color="auto"/>
        <w:left w:val="none" w:sz="0" w:space="0" w:color="auto"/>
        <w:bottom w:val="none" w:sz="0" w:space="0" w:color="auto"/>
        <w:right w:val="none" w:sz="0" w:space="0" w:color="auto"/>
      </w:divBdr>
    </w:div>
    <w:div w:id="546571224">
      <w:bodyDiv w:val="1"/>
      <w:marLeft w:val="0"/>
      <w:marRight w:val="0"/>
      <w:marTop w:val="0"/>
      <w:marBottom w:val="0"/>
      <w:divBdr>
        <w:top w:val="none" w:sz="0" w:space="0" w:color="auto"/>
        <w:left w:val="none" w:sz="0" w:space="0" w:color="auto"/>
        <w:bottom w:val="none" w:sz="0" w:space="0" w:color="auto"/>
        <w:right w:val="none" w:sz="0" w:space="0" w:color="auto"/>
      </w:divBdr>
    </w:div>
    <w:div w:id="563569572">
      <w:bodyDiv w:val="1"/>
      <w:marLeft w:val="0"/>
      <w:marRight w:val="0"/>
      <w:marTop w:val="0"/>
      <w:marBottom w:val="0"/>
      <w:divBdr>
        <w:top w:val="none" w:sz="0" w:space="0" w:color="auto"/>
        <w:left w:val="none" w:sz="0" w:space="0" w:color="auto"/>
        <w:bottom w:val="none" w:sz="0" w:space="0" w:color="auto"/>
        <w:right w:val="none" w:sz="0" w:space="0" w:color="auto"/>
      </w:divBdr>
    </w:div>
    <w:div w:id="568157812">
      <w:bodyDiv w:val="1"/>
      <w:marLeft w:val="0"/>
      <w:marRight w:val="0"/>
      <w:marTop w:val="0"/>
      <w:marBottom w:val="0"/>
      <w:divBdr>
        <w:top w:val="none" w:sz="0" w:space="0" w:color="auto"/>
        <w:left w:val="none" w:sz="0" w:space="0" w:color="auto"/>
        <w:bottom w:val="none" w:sz="0" w:space="0" w:color="auto"/>
        <w:right w:val="none" w:sz="0" w:space="0" w:color="auto"/>
      </w:divBdr>
    </w:div>
    <w:div w:id="576551398">
      <w:bodyDiv w:val="1"/>
      <w:marLeft w:val="0"/>
      <w:marRight w:val="0"/>
      <w:marTop w:val="0"/>
      <w:marBottom w:val="0"/>
      <w:divBdr>
        <w:top w:val="none" w:sz="0" w:space="0" w:color="auto"/>
        <w:left w:val="none" w:sz="0" w:space="0" w:color="auto"/>
        <w:bottom w:val="none" w:sz="0" w:space="0" w:color="auto"/>
        <w:right w:val="none" w:sz="0" w:space="0" w:color="auto"/>
      </w:divBdr>
    </w:div>
    <w:div w:id="577905458">
      <w:bodyDiv w:val="1"/>
      <w:marLeft w:val="0"/>
      <w:marRight w:val="0"/>
      <w:marTop w:val="0"/>
      <w:marBottom w:val="0"/>
      <w:divBdr>
        <w:top w:val="none" w:sz="0" w:space="0" w:color="auto"/>
        <w:left w:val="none" w:sz="0" w:space="0" w:color="auto"/>
        <w:bottom w:val="none" w:sz="0" w:space="0" w:color="auto"/>
        <w:right w:val="none" w:sz="0" w:space="0" w:color="auto"/>
      </w:divBdr>
    </w:div>
    <w:div w:id="580986691">
      <w:bodyDiv w:val="1"/>
      <w:marLeft w:val="0"/>
      <w:marRight w:val="0"/>
      <w:marTop w:val="0"/>
      <w:marBottom w:val="0"/>
      <w:divBdr>
        <w:top w:val="none" w:sz="0" w:space="0" w:color="auto"/>
        <w:left w:val="none" w:sz="0" w:space="0" w:color="auto"/>
        <w:bottom w:val="none" w:sz="0" w:space="0" w:color="auto"/>
        <w:right w:val="none" w:sz="0" w:space="0" w:color="auto"/>
      </w:divBdr>
    </w:div>
    <w:div w:id="606347688">
      <w:bodyDiv w:val="1"/>
      <w:marLeft w:val="0"/>
      <w:marRight w:val="0"/>
      <w:marTop w:val="0"/>
      <w:marBottom w:val="0"/>
      <w:divBdr>
        <w:top w:val="none" w:sz="0" w:space="0" w:color="auto"/>
        <w:left w:val="none" w:sz="0" w:space="0" w:color="auto"/>
        <w:bottom w:val="none" w:sz="0" w:space="0" w:color="auto"/>
        <w:right w:val="none" w:sz="0" w:space="0" w:color="auto"/>
      </w:divBdr>
    </w:div>
    <w:div w:id="618225322">
      <w:bodyDiv w:val="1"/>
      <w:marLeft w:val="0"/>
      <w:marRight w:val="0"/>
      <w:marTop w:val="0"/>
      <w:marBottom w:val="0"/>
      <w:divBdr>
        <w:top w:val="none" w:sz="0" w:space="0" w:color="auto"/>
        <w:left w:val="none" w:sz="0" w:space="0" w:color="auto"/>
        <w:bottom w:val="none" w:sz="0" w:space="0" w:color="auto"/>
        <w:right w:val="none" w:sz="0" w:space="0" w:color="auto"/>
      </w:divBdr>
    </w:div>
    <w:div w:id="629744947">
      <w:bodyDiv w:val="1"/>
      <w:marLeft w:val="0"/>
      <w:marRight w:val="0"/>
      <w:marTop w:val="0"/>
      <w:marBottom w:val="0"/>
      <w:divBdr>
        <w:top w:val="none" w:sz="0" w:space="0" w:color="auto"/>
        <w:left w:val="none" w:sz="0" w:space="0" w:color="auto"/>
        <w:bottom w:val="none" w:sz="0" w:space="0" w:color="auto"/>
        <w:right w:val="none" w:sz="0" w:space="0" w:color="auto"/>
      </w:divBdr>
    </w:div>
    <w:div w:id="637615898">
      <w:bodyDiv w:val="1"/>
      <w:marLeft w:val="0"/>
      <w:marRight w:val="0"/>
      <w:marTop w:val="0"/>
      <w:marBottom w:val="0"/>
      <w:divBdr>
        <w:top w:val="none" w:sz="0" w:space="0" w:color="auto"/>
        <w:left w:val="none" w:sz="0" w:space="0" w:color="auto"/>
        <w:bottom w:val="none" w:sz="0" w:space="0" w:color="auto"/>
        <w:right w:val="none" w:sz="0" w:space="0" w:color="auto"/>
      </w:divBdr>
    </w:div>
    <w:div w:id="638073513">
      <w:bodyDiv w:val="1"/>
      <w:marLeft w:val="0"/>
      <w:marRight w:val="0"/>
      <w:marTop w:val="0"/>
      <w:marBottom w:val="0"/>
      <w:divBdr>
        <w:top w:val="none" w:sz="0" w:space="0" w:color="auto"/>
        <w:left w:val="none" w:sz="0" w:space="0" w:color="auto"/>
        <w:bottom w:val="none" w:sz="0" w:space="0" w:color="auto"/>
        <w:right w:val="none" w:sz="0" w:space="0" w:color="auto"/>
      </w:divBdr>
    </w:div>
    <w:div w:id="649291898">
      <w:bodyDiv w:val="1"/>
      <w:marLeft w:val="0"/>
      <w:marRight w:val="0"/>
      <w:marTop w:val="0"/>
      <w:marBottom w:val="0"/>
      <w:divBdr>
        <w:top w:val="none" w:sz="0" w:space="0" w:color="auto"/>
        <w:left w:val="none" w:sz="0" w:space="0" w:color="auto"/>
        <w:bottom w:val="none" w:sz="0" w:space="0" w:color="auto"/>
        <w:right w:val="none" w:sz="0" w:space="0" w:color="auto"/>
      </w:divBdr>
    </w:div>
    <w:div w:id="655259855">
      <w:bodyDiv w:val="1"/>
      <w:marLeft w:val="0"/>
      <w:marRight w:val="0"/>
      <w:marTop w:val="0"/>
      <w:marBottom w:val="0"/>
      <w:divBdr>
        <w:top w:val="none" w:sz="0" w:space="0" w:color="auto"/>
        <w:left w:val="none" w:sz="0" w:space="0" w:color="auto"/>
        <w:bottom w:val="none" w:sz="0" w:space="0" w:color="auto"/>
        <w:right w:val="none" w:sz="0" w:space="0" w:color="auto"/>
      </w:divBdr>
    </w:div>
    <w:div w:id="705525885">
      <w:bodyDiv w:val="1"/>
      <w:marLeft w:val="0"/>
      <w:marRight w:val="0"/>
      <w:marTop w:val="0"/>
      <w:marBottom w:val="0"/>
      <w:divBdr>
        <w:top w:val="none" w:sz="0" w:space="0" w:color="auto"/>
        <w:left w:val="none" w:sz="0" w:space="0" w:color="auto"/>
        <w:bottom w:val="none" w:sz="0" w:space="0" w:color="auto"/>
        <w:right w:val="none" w:sz="0" w:space="0" w:color="auto"/>
      </w:divBdr>
    </w:div>
    <w:div w:id="714087652">
      <w:bodyDiv w:val="1"/>
      <w:marLeft w:val="0"/>
      <w:marRight w:val="0"/>
      <w:marTop w:val="0"/>
      <w:marBottom w:val="0"/>
      <w:divBdr>
        <w:top w:val="none" w:sz="0" w:space="0" w:color="auto"/>
        <w:left w:val="none" w:sz="0" w:space="0" w:color="auto"/>
        <w:bottom w:val="none" w:sz="0" w:space="0" w:color="auto"/>
        <w:right w:val="none" w:sz="0" w:space="0" w:color="auto"/>
      </w:divBdr>
    </w:div>
    <w:div w:id="743182058">
      <w:bodyDiv w:val="1"/>
      <w:marLeft w:val="0"/>
      <w:marRight w:val="0"/>
      <w:marTop w:val="0"/>
      <w:marBottom w:val="0"/>
      <w:divBdr>
        <w:top w:val="none" w:sz="0" w:space="0" w:color="auto"/>
        <w:left w:val="none" w:sz="0" w:space="0" w:color="auto"/>
        <w:bottom w:val="none" w:sz="0" w:space="0" w:color="auto"/>
        <w:right w:val="none" w:sz="0" w:space="0" w:color="auto"/>
      </w:divBdr>
    </w:div>
    <w:div w:id="765005752">
      <w:bodyDiv w:val="1"/>
      <w:marLeft w:val="0"/>
      <w:marRight w:val="0"/>
      <w:marTop w:val="0"/>
      <w:marBottom w:val="0"/>
      <w:divBdr>
        <w:top w:val="none" w:sz="0" w:space="0" w:color="auto"/>
        <w:left w:val="none" w:sz="0" w:space="0" w:color="auto"/>
        <w:bottom w:val="none" w:sz="0" w:space="0" w:color="auto"/>
        <w:right w:val="none" w:sz="0" w:space="0" w:color="auto"/>
      </w:divBdr>
    </w:div>
    <w:div w:id="780953034">
      <w:bodyDiv w:val="1"/>
      <w:marLeft w:val="0"/>
      <w:marRight w:val="0"/>
      <w:marTop w:val="0"/>
      <w:marBottom w:val="0"/>
      <w:divBdr>
        <w:top w:val="none" w:sz="0" w:space="0" w:color="auto"/>
        <w:left w:val="none" w:sz="0" w:space="0" w:color="auto"/>
        <w:bottom w:val="none" w:sz="0" w:space="0" w:color="auto"/>
        <w:right w:val="none" w:sz="0" w:space="0" w:color="auto"/>
      </w:divBdr>
    </w:div>
    <w:div w:id="789398112">
      <w:bodyDiv w:val="1"/>
      <w:marLeft w:val="0"/>
      <w:marRight w:val="0"/>
      <w:marTop w:val="0"/>
      <w:marBottom w:val="0"/>
      <w:divBdr>
        <w:top w:val="none" w:sz="0" w:space="0" w:color="auto"/>
        <w:left w:val="none" w:sz="0" w:space="0" w:color="auto"/>
        <w:bottom w:val="none" w:sz="0" w:space="0" w:color="auto"/>
        <w:right w:val="none" w:sz="0" w:space="0" w:color="auto"/>
      </w:divBdr>
    </w:div>
    <w:div w:id="801266919">
      <w:bodyDiv w:val="1"/>
      <w:marLeft w:val="0"/>
      <w:marRight w:val="0"/>
      <w:marTop w:val="0"/>
      <w:marBottom w:val="0"/>
      <w:divBdr>
        <w:top w:val="none" w:sz="0" w:space="0" w:color="auto"/>
        <w:left w:val="none" w:sz="0" w:space="0" w:color="auto"/>
        <w:bottom w:val="none" w:sz="0" w:space="0" w:color="auto"/>
        <w:right w:val="none" w:sz="0" w:space="0" w:color="auto"/>
      </w:divBdr>
    </w:div>
    <w:div w:id="801578987">
      <w:bodyDiv w:val="1"/>
      <w:marLeft w:val="0"/>
      <w:marRight w:val="0"/>
      <w:marTop w:val="0"/>
      <w:marBottom w:val="0"/>
      <w:divBdr>
        <w:top w:val="none" w:sz="0" w:space="0" w:color="auto"/>
        <w:left w:val="none" w:sz="0" w:space="0" w:color="auto"/>
        <w:bottom w:val="none" w:sz="0" w:space="0" w:color="auto"/>
        <w:right w:val="none" w:sz="0" w:space="0" w:color="auto"/>
      </w:divBdr>
    </w:div>
    <w:div w:id="808591406">
      <w:bodyDiv w:val="1"/>
      <w:marLeft w:val="0"/>
      <w:marRight w:val="0"/>
      <w:marTop w:val="0"/>
      <w:marBottom w:val="0"/>
      <w:divBdr>
        <w:top w:val="none" w:sz="0" w:space="0" w:color="auto"/>
        <w:left w:val="none" w:sz="0" w:space="0" w:color="auto"/>
        <w:bottom w:val="none" w:sz="0" w:space="0" w:color="auto"/>
        <w:right w:val="none" w:sz="0" w:space="0" w:color="auto"/>
      </w:divBdr>
    </w:div>
    <w:div w:id="833762781">
      <w:bodyDiv w:val="1"/>
      <w:marLeft w:val="0"/>
      <w:marRight w:val="0"/>
      <w:marTop w:val="0"/>
      <w:marBottom w:val="0"/>
      <w:divBdr>
        <w:top w:val="none" w:sz="0" w:space="0" w:color="auto"/>
        <w:left w:val="none" w:sz="0" w:space="0" w:color="auto"/>
        <w:bottom w:val="none" w:sz="0" w:space="0" w:color="auto"/>
        <w:right w:val="none" w:sz="0" w:space="0" w:color="auto"/>
      </w:divBdr>
    </w:div>
    <w:div w:id="834027891">
      <w:bodyDiv w:val="1"/>
      <w:marLeft w:val="0"/>
      <w:marRight w:val="0"/>
      <w:marTop w:val="0"/>
      <w:marBottom w:val="0"/>
      <w:divBdr>
        <w:top w:val="none" w:sz="0" w:space="0" w:color="auto"/>
        <w:left w:val="none" w:sz="0" w:space="0" w:color="auto"/>
        <w:bottom w:val="none" w:sz="0" w:space="0" w:color="auto"/>
        <w:right w:val="none" w:sz="0" w:space="0" w:color="auto"/>
      </w:divBdr>
    </w:div>
    <w:div w:id="836044308">
      <w:bodyDiv w:val="1"/>
      <w:marLeft w:val="0"/>
      <w:marRight w:val="0"/>
      <w:marTop w:val="0"/>
      <w:marBottom w:val="0"/>
      <w:divBdr>
        <w:top w:val="none" w:sz="0" w:space="0" w:color="auto"/>
        <w:left w:val="none" w:sz="0" w:space="0" w:color="auto"/>
        <w:bottom w:val="none" w:sz="0" w:space="0" w:color="auto"/>
        <w:right w:val="none" w:sz="0" w:space="0" w:color="auto"/>
      </w:divBdr>
    </w:div>
    <w:div w:id="846293208">
      <w:bodyDiv w:val="1"/>
      <w:marLeft w:val="0"/>
      <w:marRight w:val="0"/>
      <w:marTop w:val="0"/>
      <w:marBottom w:val="0"/>
      <w:divBdr>
        <w:top w:val="none" w:sz="0" w:space="0" w:color="auto"/>
        <w:left w:val="none" w:sz="0" w:space="0" w:color="auto"/>
        <w:bottom w:val="none" w:sz="0" w:space="0" w:color="auto"/>
        <w:right w:val="none" w:sz="0" w:space="0" w:color="auto"/>
      </w:divBdr>
    </w:div>
    <w:div w:id="861819802">
      <w:bodyDiv w:val="1"/>
      <w:marLeft w:val="0"/>
      <w:marRight w:val="0"/>
      <w:marTop w:val="0"/>
      <w:marBottom w:val="0"/>
      <w:divBdr>
        <w:top w:val="none" w:sz="0" w:space="0" w:color="auto"/>
        <w:left w:val="none" w:sz="0" w:space="0" w:color="auto"/>
        <w:bottom w:val="none" w:sz="0" w:space="0" w:color="auto"/>
        <w:right w:val="none" w:sz="0" w:space="0" w:color="auto"/>
      </w:divBdr>
    </w:div>
    <w:div w:id="889419626">
      <w:bodyDiv w:val="1"/>
      <w:marLeft w:val="0"/>
      <w:marRight w:val="0"/>
      <w:marTop w:val="0"/>
      <w:marBottom w:val="0"/>
      <w:divBdr>
        <w:top w:val="none" w:sz="0" w:space="0" w:color="auto"/>
        <w:left w:val="none" w:sz="0" w:space="0" w:color="auto"/>
        <w:bottom w:val="none" w:sz="0" w:space="0" w:color="auto"/>
        <w:right w:val="none" w:sz="0" w:space="0" w:color="auto"/>
      </w:divBdr>
    </w:div>
    <w:div w:id="915044652">
      <w:bodyDiv w:val="1"/>
      <w:marLeft w:val="0"/>
      <w:marRight w:val="0"/>
      <w:marTop w:val="0"/>
      <w:marBottom w:val="0"/>
      <w:divBdr>
        <w:top w:val="none" w:sz="0" w:space="0" w:color="auto"/>
        <w:left w:val="none" w:sz="0" w:space="0" w:color="auto"/>
        <w:bottom w:val="none" w:sz="0" w:space="0" w:color="auto"/>
        <w:right w:val="none" w:sz="0" w:space="0" w:color="auto"/>
      </w:divBdr>
    </w:div>
    <w:div w:id="920874019">
      <w:bodyDiv w:val="1"/>
      <w:marLeft w:val="0"/>
      <w:marRight w:val="0"/>
      <w:marTop w:val="0"/>
      <w:marBottom w:val="0"/>
      <w:divBdr>
        <w:top w:val="none" w:sz="0" w:space="0" w:color="auto"/>
        <w:left w:val="none" w:sz="0" w:space="0" w:color="auto"/>
        <w:bottom w:val="none" w:sz="0" w:space="0" w:color="auto"/>
        <w:right w:val="none" w:sz="0" w:space="0" w:color="auto"/>
      </w:divBdr>
    </w:div>
    <w:div w:id="926615705">
      <w:bodyDiv w:val="1"/>
      <w:marLeft w:val="0"/>
      <w:marRight w:val="0"/>
      <w:marTop w:val="0"/>
      <w:marBottom w:val="0"/>
      <w:divBdr>
        <w:top w:val="none" w:sz="0" w:space="0" w:color="auto"/>
        <w:left w:val="none" w:sz="0" w:space="0" w:color="auto"/>
        <w:bottom w:val="none" w:sz="0" w:space="0" w:color="auto"/>
        <w:right w:val="none" w:sz="0" w:space="0" w:color="auto"/>
      </w:divBdr>
    </w:div>
    <w:div w:id="970011524">
      <w:bodyDiv w:val="1"/>
      <w:marLeft w:val="0"/>
      <w:marRight w:val="0"/>
      <w:marTop w:val="0"/>
      <w:marBottom w:val="0"/>
      <w:divBdr>
        <w:top w:val="none" w:sz="0" w:space="0" w:color="auto"/>
        <w:left w:val="none" w:sz="0" w:space="0" w:color="auto"/>
        <w:bottom w:val="none" w:sz="0" w:space="0" w:color="auto"/>
        <w:right w:val="none" w:sz="0" w:space="0" w:color="auto"/>
      </w:divBdr>
    </w:div>
    <w:div w:id="1012148812">
      <w:bodyDiv w:val="1"/>
      <w:marLeft w:val="0"/>
      <w:marRight w:val="0"/>
      <w:marTop w:val="0"/>
      <w:marBottom w:val="0"/>
      <w:divBdr>
        <w:top w:val="none" w:sz="0" w:space="0" w:color="auto"/>
        <w:left w:val="none" w:sz="0" w:space="0" w:color="auto"/>
        <w:bottom w:val="none" w:sz="0" w:space="0" w:color="auto"/>
        <w:right w:val="none" w:sz="0" w:space="0" w:color="auto"/>
      </w:divBdr>
    </w:div>
    <w:div w:id="1019160254">
      <w:bodyDiv w:val="1"/>
      <w:marLeft w:val="0"/>
      <w:marRight w:val="0"/>
      <w:marTop w:val="0"/>
      <w:marBottom w:val="0"/>
      <w:divBdr>
        <w:top w:val="none" w:sz="0" w:space="0" w:color="auto"/>
        <w:left w:val="none" w:sz="0" w:space="0" w:color="auto"/>
        <w:bottom w:val="none" w:sz="0" w:space="0" w:color="auto"/>
        <w:right w:val="none" w:sz="0" w:space="0" w:color="auto"/>
      </w:divBdr>
    </w:div>
    <w:div w:id="1022706616">
      <w:bodyDiv w:val="1"/>
      <w:marLeft w:val="0"/>
      <w:marRight w:val="0"/>
      <w:marTop w:val="0"/>
      <w:marBottom w:val="0"/>
      <w:divBdr>
        <w:top w:val="none" w:sz="0" w:space="0" w:color="auto"/>
        <w:left w:val="none" w:sz="0" w:space="0" w:color="auto"/>
        <w:bottom w:val="none" w:sz="0" w:space="0" w:color="auto"/>
        <w:right w:val="none" w:sz="0" w:space="0" w:color="auto"/>
      </w:divBdr>
    </w:div>
    <w:div w:id="1062558692">
      <w:bodyDiv w:val="1"/>
      <w:marLeft w:val="0"/>
      <w:marRight w:val="0"/>
      <w:marTop w:val="0"/>
      <w:marBottom w:val="0"/>
      <w:divBdr>
        <w:top w:val="none" w:sz="0" w:space="0" w:color="auto"/>
        <w:left w:val="none" w:sz="0" w:space="0" w:color="auto"/>
        <w:bottom w:val="none" w:sz="0" w:space="0" w:color="auto"/>
        <w:right w:val="none" w:sz="0" w:space="0" w:color="auto"/>
      </w:divBdr>
    </w:div>
    <w:div w:id="1090003097">
      <w:bodyDiv w:val="1"/>
      <w:marLeft w:val="0"/>
      <w:marRight w:val="0"/>
      <w:marTop w:val="0"/>
      <w:marBottom w:val="0"/>
      <w:divBdr>
        <w:top w:val="none" w:sz="0" w:space="0" w:color="auto"/>
        <w:left w:val="none" w:sz="0" w:space="0" w:color="auto"/>
        <w:bottom w:val="none" w:sz="0" w:space="0" w:color="auto"/>
        <w:right w:val="none" w:sz="0" w:space="0" w:color="auto"/>
      </w:divBdr>
    </w:div>
    <w:div w:id="1090396181">
      <w:bodyDiv w:val="1"/>
      <w:marLeft w:val="0"/>
      <w:marRight w:val="0"/>
      <w:marTop w:val="0"/>
      <w:marBottom w:val="0"/>
      <w:divBdr>
        <w:top w:val="none" w:sz="0" w:space="0" w:color="auto"/>
        <w:left w:val="none" w:sz="0" w:space="0" w:color="auto"/>
        <w:bottom w:val="none" w:sz="0" w:space="0" w:color="auto"/>
        <w:right w:val="none" w:sz="0" w:space="0" w:color="auto"/>
      </w:divBdr>
    </w:div>
    <w:div w:id="1091972091">
      <w:bodyDiv w:val="1"/>
      <w:marLeft w:val="0"/>
      <w:marRight w:val="0"/>
      <w:marTop w:val="0"/>
      <w:marBottom w:val="0"/>
      <w:divBdr>
        <w:top w:val="none" w:sz="0" w:space="0" w:color="auto"/>
        <w:left w:val="none" w:sz="0" w:space="0" w:color="auto"/>
        <w:bottom w:val="none" w:sz="0" w:space="0" w:color="auto"/>
        <w:right w:val="none" w:sz="0" w:space="0" w:color="auto"/>
      </w:divBdr>
    </w:div>
    <w:div w:id="1092312158">
      <w:bodyDiv w:val="1"/>
      <w:marLeft w:val="0"/>
      <w:marRight w:val="0"/>
      <w:marTop w:val="0"/>
      <w:marBottom w:val="0"/>
      <w:divBdr>
        <w:top w:val="none" w:sz="0" w:space="0" w:color="auto"/>
        <w:left w:val="none" w:sz="0" w:space="0" w:color="auto"/>
        <w:bottom w:val="none" w:sz="0" w:space="0" w:color="auto"/>
        <w:right w:val="none" w:sz="0" w:space="0" w:color="auto"/>
      </w:divBdr>
    </w:div>
    <w:div w:id="1124351079">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558651">
      <w:bodyDiv w:val="1"/>
      <w:marLeft w:val="0"/>
      <w:marRight w:val="0"/>
      <w:marTop w:val="0"/>
      <w:marBottom w:val="0"/>
      <w:divBdr>
        <w:top w:val="none" w:sz="0" w:space="0" w:color="auto"/>
        <w:left w:val="none" w:sz="0" w:space="0" w:color="auto"/>
        <w:bottom w:val="none" w:sz="0" w:space="0" w:color="auto"/>
        <w:right w:val="none" w:sz="0" w:space="0" w:color="auto"/>
      </w:divBdr>
      <w:divsChild>
        <w:div w:id="280114866">
          <w:marLeft w:val="0"/>
          <w:marRight w:val="0"/>
          <w:marTop w:val="0"/>
          <w:marBottom w:val="0"/>
          <w:divBdr>
            <w:top w:val="none" w:sz="0" w:space="0" w:color="auto"/>
            <w:left w:val="none" w:sz="0" w:space="0" w:color="auto"/>
            <w:bottom w:val="none" w:sz="0" w:space="0" w:color="auto"/>
            <w:right w:val="none" w:sz="0" w:space="0" w:color="auto"/>
          </w:divBdr>
          <w:divsChild>
            <w:div w:id="365063884">
              <w:marLeft w:val="0"/>
              <w:marRight w:val="0"/>
              <w:marTop w:val="0"/>
              <w:marBottom w:val="0"/>
              <w:divBdr>
                <w:top w:val="none" w:sz="0" w:space="0" w:color="auto"/>
                <w:left w:val="none" w:sz="0" w:space="0" w:color="auto"/>
                <w:bottom w:val="none" w:sz="0" w:space="0" w:color="auto"/>
                <w:right w:val="none" w:sz="0" w:space="0" w:color="auto"/>
              </w:divBdr>
              <w:divsChild>
                <w:div w:id="1921132534">
                  <w:marLeft w:val="0"/>
                  <w:marRight w:val="0"/>
                  <w:marTop w:val="0"/>
                  <w:marBottom w:val="0"/>
                  <w:divBdr>
                    <w:top w:val="none" w:sz="0" w:space="0" w:color="auto"/>
                    <w:left w:val="none" w:sz="0" w:space="0" w:color="auto"/>
                    <w:bottom w:val="none" w:sz="0" w:space="0" w:color="auto"/>
                    <w:right w:val="none" w:sz="0" w:space="0" w:color="auto"/>
                  </w:divBdr>
                  <w:divsChild>
                    <w:div w:id="17811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85611">
              <w:marLeft w:val="0"/>
              <w:marRight w:val="0"/>
              <w:marTop w:val="0"/>
              <w:marBottom w:val="0"/>
              <w:divBdr>
                <w:top w:val="none" w:sz="0" w:space="0" w:color="auto"/>
                <w:left w:val="none" w:sz="0" w:space="0" w:color="auto"/>
                <w:bottom w:val="none" w:sz="0" w:space="0" w:color="auto"/>
                <w:right w:val="none" w:sz="0" w:space="0" w:color="auto"/>
              </w:divBdr>
              <w:divsChild>
                <w:div w:id="266430416">
                  <w:marLeft w:val="0"/>
                  <w:marRight w:val="0"/>
                  <w:marTop w:val="0"/>
                  <w:marBottom w:val="0"/>
                  <w:divBdr>
                    <w:top w:val="none" w:sz="0" w:space="0" w:color="auto"/>
                    <w:left w:val="none" w:sz="0" w:space="0" w:color="auto"/>
                    <w:bottom w:val="none" w:sz="0" w:space="0" w:color="auto"/>
                    <w:right w:val="none" w:sz="0" w:space="0" w:color="auto"/>
                  </w:divBdr>
                  <w:divsChild>
                    <w:div w:id="79660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503103">
              <w:marLeft w:val="0"/>
              <w:marRight w:val="0"/>
              <w:marTop w:val="0"/>
              <w:marBottom w:val="0"/>
              <w:divBdr>
                <w:top w:val="none" w:sz="0" w:space="0" w:color="auto"/>
                <w:left w:val="none" w:sz="0" w:space="0" w:color="auto"/>
                <w:bottom w:val="none" w:sz="0" w:space="0" w:color="auto"/>
                <w:right w:val="none" w:sz="0" w:space="0" w:color="auto"/>
              </w:divBdr>
              <w:divsChild>
                <w:div w:id="1029185140">
                  <w:marLeft w:val="0"/>
                  <w:marRight w:val="0"/>
                  <w:marTop w:val="0"/>
                  <w:marBottom w:val="0"/>
                  <w:divBdr>
                    <w:top w:val="none" w:sz="0" w:space="0" w:color="auto"/>
                    <w:left w:val="none" w:sz="0" w:space="0" w:color="auto"/>
                    <w:bottom w:val="none" w:sz="0" w:space="0" w:color="auto"/>
                    <w:right w:val="none" w:sz="0" w:space="0" w:color="auto"/>
                  </w:divBdr>
                  <w:divsChild>
                    <w:div w:id="89018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689528">
              <w:marLeft w:val="0"/>
              <w:marRight w:val="0"/>
              <w:marTop w:val="0"/>
              <w:marBottom w:val="0"/>
              <w:divBdr>
                <w:top w:val="none" w:sz="0" w:space="0" w:color="auto"/>
                <w:left w:val="none" w:sz="0" w:space="0" w:color="auto"/>
                <w:bottom w:val="none" w:sz="0" w:space="0" w:color="auto"/>
                <w:right w:val="none" w:sz="0" w:space="0" w:color="auto"/>
              </w:divBdr>
              <w:divsChild>
                <w:div w:id="983969454">
                  <w:marLeft w:val="0"/>
                  <w:marRight w:val="0"/>
                  <w:marTop w:val="0"/>
                  <w:marBottom w:val="0"/>
                  <w:divBdr>
                    <w:top w:val="none" w:sz="0" w:space="0" w:color="auto"/>
                    <w:left w:val="none" w:sz="0" w:space="0" w:color="auto"/>
                    <w:bottom w:val="none" w:sz="0" w:space="0" w:color="auto"/>
                    <w:right w:val="none" w:sz="0" w:space="0" w:color="auto"/>
                  </w:divBdr>
                  <w:divsChild>
                    <w:div w:id="58203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35095">
          <w:marLeft w:val="0"/>
          <w:marRight w:val="0"/>
          <w:marTop w:val="0"/>
          <w:marBottom w:val="0"/>
          <w:divBdr>
            <w:top w:val="none" w:sz="0" w:space="0" w:color="auto"/>
            <w:left w:val="none" w:sz="0" w:space="0" w:color="auto"/>
            <w:bottom w:val="none" w:sz="0" w:space="0" w:color="auto"/>
            <w:right w:val="none" w:sz="0" w:space="0" w:color="auto"/>
          </w:divBdr>
          <w:divsChild>
            <w:div w:id="543518998">
              <w:marLeft w:val="0"/>
              <w:marRight w:val="0"/>
              <w:marTop w:val="0"/>
              <w:marBottom w:val="0"/>
              <w:divBdr>
                <w:top w:val="none" w:sz="0" w:space="0" w:color="auto"/>
                <w:left w:val="none" w:sz="0" w:space="0" w:color="auto"/>
                <w:bottom w:val="none" w:sz="0" w:space="0" w:color="auto"/>
                <w:right w:val="none" w:sz="0" w:space="0" w:color="auto"/>
              </w:divBdr>
            </w:div>
          </w:divsChild>
        </w:div>
        <w:div w:id="407263921">
          <w:marLeft w:val="0"/>
          <w:marRight w:val="0"/>
          <w:marTop w:val="0"/>
          <w:marBottom w:val="0"/>
          <w:divBdr>
            <w:top w:val="none" w:sz="0" w:space="0" w:color="auto"/>
            <w:left w:val="none" w:sz="0" w:space="0" w:color="auto"/>
            <w:bottom w:val="none" w:sz="0" w:space="0" w:color="auto"/>
            <w:right w:val="none" w:sz="0" w:space="0" w:color="auto"/>
          </w:divBdr>
        </w:div>
        <w:div w:id="493767093">
          <w:marLeft w:val="0"/>
          <w:marRight w:val="0"/>
          <w:marTop w:val="0"/>
          <w:marBottom w:val="0"/>
          <w:divBdr>
            <w:top w:val="none" w:sz="0" w:space="0" w:color="auto"/>
            <w:left w:val="none" w:sz="0" w:space="0" w:color="auto"/>
            <w:bottom w:val="none" w:sz="0" w:space="0" w:color="auto"/>
            <w:right w:val="none" w:sz="0" w:space="0" w:color="auto"/>
          </w:divBdr>
        </w:div>
        <w:div w:id="500201863">
          <w:marLeft w:val="0"/>
          <w:marRight w:val="0"/>
          <w:marTop w:val="0"/>
          <w:marBottom w:val="0"/>
          <w:divBdr>
            <w:top w:val="none" w:sz="0" w:space="0" w:color="auto"/>
            <w:left w:val="none" w:sz="0" w:space="0" w:color="auto"/>
            <w:bottom w:val="none" w:sz="0" w:space="0" w:color="auto"/>
            <w:right w:val="none" w:sz="0" w:space="0" w:color="auto"/>
          </w:divBdr>
          <w:divsChild>
            <w:div w:id="447553780">
              <w:marLeft w:val="0"/>
              <w:marRight w:val="0"/>
              <w:marTop w:val="0"/>
              <w:marBottom w:val="0"/>
              <w:divBdr>
                <w:top w:val="none" w:sz="0" w:space="0" w:color="auto"/>
                <w:left w:val="none" w:sz="0" w:space="0" w:color="auto"/>
                <w:bottom w:val="none" w:sz="0" w:space="0" w:color="auto"/>
                <w:right w:val="none" w:sz="0" w:space="0" w:color="auto"/>
              </w:divBdr>
              <w:divsChild>
                <w:div w:id="53744779">
                  <w:marLeft w:val="0"/>
                  <w:marRight w:val="0"/>
                  <w:marTop w:val="0"/>
                  <w:marBottom w:val="0"/>
                  <w:divBdr>
                    <w:top w:val="none" w:sz="0" w:space="0" w:color="auto"/>
                    <w:left w:val="none" w:sz="0" w:space="0" w:color="auto"/>
                    <w:bottom w:val="none" w:sz="0" w:space="0" w:color="auto"/>
                    <w:right w:val="none" w:sz="0" w:space="0" w:color="auto"/>
                  </w:divBdr>
                  <w:divsChild>
                    <w:div w:id="132640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03220">
              <w:marLeft w:val="0"/>
              <w:marRight w:val="0"/>
              <w:marTop w:val="0"/>
              <w:marBottom w:val="0"/>
              <w:divBdr>
                <w:top w:val="none" w:sz="0" w:space="0" w:color="auto"/>
                <w:left w:val="none" w:sz="0" w:space="0" w:color="auto"/>
                <w:bottom w:val="none" w:sz="0" w:space="0" w:color="auto"/>
                <w:right w:val="none" w:sz="0" w:space="0" w:color="auto"/>
              </w:divBdr>
              <w:divsChild>
                <w:div w:id="503083297">
                  <w:marLeft w:val="0"/>
                  <w:marRight w:val="0"/>
                  <w:marTop w:val="0"/>
                  <w:marBottom w:val="0"/>
                  <w:divBdr>
                    <w:top w:val="none" w:sz="0" w:space="0" w:color="auto"/>
                    <w:left w:val="none" w:sz="0" w:space="0" w:color="auto"/>
                    <w:bottom w:val="none" w:sz="0" w:space="0" w:color="auto"/>
                    <w:right w:val="none" w:sz="0" w:space="0" w:color="auto"/>
                  </w:divBdr>
                  <w:divsChild>
                    <w:div w:id="14428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005864">
              <w:marLeft w:val="0"/>
              <w:marRight w:val="0"/>
              <w:marTop w:val="0"/>
              <w:marBottom w:val="0"/>
              <w:divBdr>
                <w:top w:val="none" w:sz="0" w:space="0" w:color="auto"/>
                <w:left w:val="none" w:sz="0" w:space="0" w:color="auto"/>
                <w:bottom w:val="none" w:sz="0" w:space="0" w:color="auto"/>
                <w:right w:val="none" w:sz="0" w:space="0" w:color="auto"/>
              </w:divBdr>
              <w:divsChild>
                <w:div w:id="376009807">
                  <w:marLeft w:val="0"/>
                  <w:marRight w:val="0"/>
                  <w:marTop w:val="0"/>
                  <w:marBottom w:val="0"/>
                  <w:divBdr>
                    <w:top w:val="none" w:sz="0" w:space="0" w:color="auto"/>
                    <w:left w:val="none" w:sz="0" w:space="0" w:color="auto"/>
                    <w:bottom w:val="none" w:sz="0" w:space="0" w:color="auto"/>
                    <w:right w:val="none" w:sz="0" w:space="0" w:color="auto"/>
                  </w:divBdr>
                  <w:divsChild>
                    <w:div w:id="109794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930074">
              <w:marLeft w:val="0"/>
              <w:marRight w:val="0"/>
              <w:marTop w:val="0"/>
              <w:marBottom w:val="0"/>
              <w:divBdr>
                <w:top w:val="none" w:sz="0" w:space="0" w:color="auto"/>
                <w:left w:val="none" w:sz="0" w:space="0" w:color="auto"/>
                <w:bottom w:val="none" w:sz="0" w:space="0" w:color="auto"/>
                <w:right w:val="none" w:sz="0" w:space="0" w:color="auto"/>
              </w:divBdr>
              <w:divsChild>
                <w:div w:id="136725695">
                  <w:marLeft w:val="0"/>
                  <w:marRight w:val="0"/>
                  <w:marTop w:val="0"/>
                  <w:marBottom w:val="0"/>
                  <w:divBdr>
                    <w:top w:val="none" w:sz="0" w:space="0" w:color="auto"/>
                    <w:left w:val="none" w:sz="0" w:space="0" w:color="auto"/>
                    <w:bottom w:val="none" w:sz="0" w:space="0" w:color="auto"/>
                    <w:right w:val="none" w:sz="0" w:space="0" w:color="auto"/>
                  </w:divBdr>
                  <w:divsChild>
                    <w:div w:id="129193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039510">
          <w:marLeft w:val="0"/>
          <w:marRight w:val="0"/>
          <w:marTop w:val="0"/>
          <w:marBottom w:val="0"/>
          <w:divBdr>
            <w:top w:val="none" w:sz="0" w:space="0" w:color="auto"/>
            <w:left w:val="none" w:sz="0" w:space="0" w:color="auto"/>
            <w:bottom w:val="none" w:sz="0" w:space="0" w:color="auto"/>
            <w:right w:val="none" w:sz="0" w:space="0" w:color="auto"/>
          </w:divBdr>
        </w:div>
        <w:div w:id="737630282">
          <w:marLeft w:val="0"/>
          <w:marRight w:val="0"/>
          <w:marTop w:val="0"/>
          <w:marBottom w:val="0"/>
          <w:divBdr>
            <w:top w:val="none" w:sz="0" w:space="0" w:color="auto"/>
            <w:left w:val="none" w:sz="0" w:space="0" w:color="auto"/>
            <w:bottom w:val="none" w:sz="0" w:space="0" w:color="auto"/>
            <w:right w:val="none" w:sz="0" w:space="0" w:color="auto"/>
          </w:divBdr>
          <w:divsChild>
            <w:div w:id="1900894038">
              <w:marLeft w:val="0"/>
              <w:marRight w:val="0"/>
              <w:marTop w:val="0"/>
              <w:marBottom w:val="0"/>
              <w:divBdr>
                <w:top w:val="none" w:sz="0" w:space="0" w:color="auto"/>
                <w:left w:val="none" w:sz="0" w:space="0" w:color="auto"/>
                <w:bottom w:val="none" w:sz="0" w:space="0" w:color="auto"/>
                <w:right w:val="none" w:sz="0" w:space="0" w:color="auto"/>
              </w:divBdr>
              <w:divsChild>
                <w:div w:id="20613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2021">
          <w:marLeft w:val="0"/>
          <w:marRight w:val="0"/>
          <w:marTop w:val="0"/>
          <w:marBottom w:val="0"/>
          <w:divBdr>
            <w:top w:val="none" w:sz="0" w:space="0" w:color="auto"/>
            <w:left w:val="none" w:sz="0" w:space="0" w:color="auto"/>
            <w:bottom w:val="none" w:sz="0" w:space="0" w:color="auto"/>
            <w:right w:val="none" w:sz="0" w:space="0" w:color="auto"/>
          </w:divBdr>
          <w:divsChild>
            <w:div w:id="548342656">
              <w:marLeft w:val="0"/>
              <w:marRight w:val="0"/>
              <w:marTop w:val="0"/>
              <w:marBottom w:val="0"/>
              <w:divBdr>
                <w:top w:val="none" w:sz="0" w:space="0" w:color="auto"/>
                <w:left w:val="none" w:sz="0" w:space="0" w:color="auto"/>
                <w:bottom w:val="none" w:sz="0" w:space="0" w:color="auto"/>
                <w:right w:val="none" w:sz="0" w:space="0" w:color="auto"/>
              </w:divBdr>
              <w:divsChild>
                <w:div w:id="237054750">
                  <w:marLeft w:val="0"/>
                  <w:marRight w:val="0"/>
                  <w:marTop w:val="0"/>
                  <w:marBottom w:val="0"/>
                  <w:divBdr>
                    <w:top w:val="none" w:sz="0" w:space="0" w:color="auto"/>
                    <w:left w:val="none" w:sz="0" w:space="0" w:color="auto"/>
                    <w:bottom w:val="none" w:sz="0" w:space="0" w:color="auto"/>
                    <w:right w:val="none" w:sz="0" w:space="0" w:color="auto"/>
                  </w:divBdr>
                  <w:divsChild>
                    <w:div w:id="16357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870387">
          <w:marLeft w:val="0"/>
          <w:marRight w:val="0"/>
          <w:marTop w:val="0"/>
          <w:marBottom w:val="0"/>
          <w:divBdr>
            <w:top w:val="none" w:sz="0" w:space="0" w:color="auto"/>
            <w:left w:val="none" w:sz="0" w:space="0" w:color="auto"/>
            <w:bottom w:val="none" w:sz="0" w:space="0" w:color="auto"/>
            <w:right w:val="none" w:sz="0" w:space="0" w:color="auto"/>
          </w:divBdr>
          <w:divsChild>
            <w:div w:id="110634508">
              <w:marLeft w:val="0"/>
              <w:marRight w:val="0"/>
              <w:marTop w:val="0"/>
              <w:marBottom w:val="0"/>
              <w:divBdr>
                <w:top w:val="none" w:sz="0" w:space="0" w:color="auto"/>
                <w:left w:val="none" w:sz="0" w:space="0" w:color="auto"/>
                <w:bottom w:val="none" w:sz="0" w:space="0" w:color="auto"/>
                <w:right w:val="none" w:sz="0" w:space="0" w:color="auto"/>
              </w:divBdr>
              <w:divsChild>
                <w:div w:id="1453091414">
                  <w:marLeft w:val="0"/>
                  <w:marRight w:val="0"/>
                  <w:marTop w:val="0"/>
                  <w:marBottom w:val="0"/>
                  <w:divBdr>
                    <w:top w:val="none" w:sz="0" w:space="0" w:color="auto"/>
                    <w:left w:val="none" w:sz="0" w:space="0" w:color="auto"/>
                    <w:bottom w:val="none" w:sz="0" w:space="0" w:color="auto"/>
                    <w:right w:val="none" w:sz="0" w:space="0" w:color="auto"/>
                  </w:divBdr>
                </w:div>
              </w:divsChild>
            </w:div>
            <w:div w:id="557088622">
              <w:marLeft w:val="0"/>
              <w:marRight w:val="0"/>
              <w:marTop w:val="0"/>
              <w:marBottom w:val="0"/>
              <w:divBdr>
                <w:top w:val="none" w:sz="0" w:space="0" w:color="auto"/>
                <w:left w:val="none" w:sz="0" w:space="0" w:color="auto"/>
                <w:bottom w:val="none" w:sz="0" w:space="0" w:color="auto"/>
                <w:right w:val="none" w:sz="0" w:space="0" w:color="auto"/>
              </w:divBdr>
              <w:divsChild>
                <w:div w:id="2136747956">
                  <w:marLeft w:val="0"/>
                  <w:marRight w:val="0"/>
                  <w:marTop w:val="0"/>
                  <w:marBottom w:val="0"/>
                  <w:divBdr>
                    <w:top w:val="none" w:sz="0" w:space="0" w:color="auto"/>
                    <w:left w:val="none" w:sz="0" w:space="0" w:color="auto"/>
                    <w:bottom w:val="none" w:sz="0" w:space="0" w:color="auto"/>
                    <w:right w:val="none" w:sz="0" w:space="0" w:color="auto"/>
                  </w:divBdr>
                </w:div>
              </w:divsChild>
            </w:div>
            <w:div w:id="1602567100">
              <w:marLeft w:val="0"/>
              <w:marRight w:val="0"/>
              <w:marTop w:val="0"/>
              <w:marBottom w:val="0"/>
              <w:divBdr>
                <w:top w:val="none" w:sz="0" w:space="0" w:color="auto"/>
                <w:left w:val="none" w:sz="0" w:space="0" w:color="auto"/>
                <w:bottom w:val="none" w:sz="0" w:space="0" w:color="auto"/>
                <w:right w:val="none" w:sz="0" w:space="0" w:color="auto"/>
              </w:divBdr>
              <w:divsChild>
                <w:div w:id="633491140">
                  <w:marLeft w:val="0"/>
                  <w:marRight w:val="0"/>
                  <w:marTop w:val="0"/>
                  <w:marBottom w:val="0"/>
                  <w:divBdr>
                    <w:top w:val="none" w:sz="0" w:space="0" w:color="auto"/>
                    <w:left w:val="none" w:sz="0" w:space="0" w:color="auto"/>
                    <w:bottom w:val="none" w:sz="0" w:space="0" w:color="auto"/>
                    <w:right w:val="none" w:sz="0" w:space="0" w:color="auto"/>
                  </w:divBdr>
                </w:div>
              </w:divsChild>
            </w:div>
            <w:div w:id="1966277572">
              <w:marLeft w:val="0"/>
              <w:marRight w:val="0"/>
              <w:marTop w:val="0"/>
              <w:marBottom w:val="0"/>
              <w:divBdr>
                <w:top w:val="none" w:sz="0" w:space="0" w:color="auto"/>
                <w:left w:val="none" w:sz="0" w:space="0" w:color="auto"/>
                <w:bottom w:val="none" w:sz="0" w:space="0" w:color="auto"/>
                <w:right w:val="none" w:sz="0" w:space="0" w:color="auto"/>
              </w:divBdr>
              <w:divsChild>
                <w:div w:id="1336572342">
                  <w:marLeft w:val="0"/>
                  <w:marRight w:val="0"/>
                  <w:marTop w:val="0"/>
                  <w:marBottom w:val="0"/>
                  <w:divBdr>
                    <w:top w:val="none" w:sz="0" w:space="0" w:color="auto"/>
                    <w:left w:val="none" w:sz="0" w:space="0" w:color="auto"/>
                    <w:bottom w:val="none" w:sz="0" w:space="0" w:color="auto"/>
                    <w:right w:val="none" w:sz="0" w:space="0" w:color="auto"/>
                  </w:divBdr>
                </w:div>
              </w:divsChild>
            </w:div>
            <w:div w:id="2024741314">
              <w:marLeft w:val="0"/>
              <w:marRight w:val="0"/>
              <w:marTop w:val="0"/>
              <w:marBottom w:val="0"/>
              <w:divBdr>
                <w:top w:val="none" w:sz="0" w:space="0" w:color="auto"/>
                <w:left w:val="none" w:sz="0" w:space="0" w:color="auto"/>
                <w:bottom w:val="none" w:sz="0" w:space="0" w:color="auto"/>
                <w:right w:val="none" w:sz="0" w:space="0" w:color="auto"/>
              </w:divBdr>
              <w:divsChild>
                <w:div w:id="55990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77185">
          <w:marLeft w:val="0"/>
          <w:marRight w:val="0"/>
          <w:marTop w:val="0"/>
          <w:marBottom w:val="0"/>
          <w:divBdr>
            <w:top w:val="none" w:sz="0" w:space="0" w:color="auto"/>
            <w:left w:val="none" w:sz="0" w:space="0" w:color="auto"/>
            <w:bottom w:val="none" w:sz="0" w:space="0" w:color="auto"/>
            <w:right w:val="none" w:sz="0" w:space="0" w:color="auto"/>
          </w:divBdr>
          <w:divsChild>
            <w:div w:id="1677614832">
              <w:marLeft w:val="0"/>
              <w:marRight w:val="0"/>
              <w:marTop w:val="0"/>
              <w:marBottom w:val="0"/>
              <w:divBdr>
                <w:top w:val="none" w:sz="0" w:space="0" w:color="auto"/>
                <w:left w:val="none" w:sz="0" w:space="0" w:color="auto"/>
                <w:bottom w:val="none" w:sz="0" w:space="0" w:color="auto"/>
                <w:right w:val="none" w:sz="0" w:space="0" w:color="auto"/>
              </w:divBdr>
            </w:div>
          </w:divsChild>
        </w:div>
        <w:div w:id="1035934617">
          <w:marLeft w:val="0"/>
          <w:marRight w:val="0"/>
          <w:marTop w:val="0"/>
          <w:marBottom w:val="0"/>
          <w:divBdr>
            <w:top w:val="none" w:sz="0" w:space="0" w:color="auto"/>
            <w:left w:val="none" w:sz="0" w:space="0" w:color="auto"/>
            <w:bottom w:val="none" w:sz="0" w:space="0" w:color="auto"/>
            <w:right w:val="none" w:sz="0" w:space="0" w:color="auto"/>
          </w:divBdr>
          <w:divsChild>
            <w:div w:id="1045837462">
              <w:marLeft w:val="0"/>
              <w:marRight w:val="0"/>
              <w:marTop w:val="0"/>
              <w:marBottom w:val="0"/>
              <w:divBdr>
                <w:top w:val="none" w:sz="0" w:space="0" w:color="auto"/>
                <w:left w:val="none" w:sz="0" w:space="0" w:color="auto"/>
                <w:bottom w:val="none" w:sz="0" w:space="0" w:color="auto"/>
                <w:right w:val="none" w:sz="0" w:space="0" w:color="auto"/>
              </w:divBdr>
              <w:divsChild>
                <w:div w:id="29290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827588">
          <w:marLeft w:val="0"/>
          <w:marRight w:val="0"/>
          <w:marTop w:val="0"/>
          <w:marBottom w:val="0"/>
          <w:divBdr>
            <w:top w:val="none" w:sz="0" w:space="0" w:color="auto"/>
            <w:left w:val="none" w:sz="0" w:space="0" w:color="auto"/>
            <w:bottom w:val="none" w:sz="0" w:space="0" w:color="auto"/>
            <w:right w:val="none" w:sz="0" w:space="0" w:color="auto"/>
          </w:divBdr>
          <w:divsChild>
            <w:div w:id="543450164">
              <w:marLeft w:val="0"/>
              <w:marRight w:val="0"/>
              <w:marTop w:val="0"/>
              <w:marBottom w:val="0"/>
              <w:divBdr>
                <w:top w:val="none" w:sz="0" w:space="0" w:color="auto"/>
                <w:left w:val="none" w:sz="0" w:space="0" w:color="auto"/>
                <w:bottom w:val="none" w:sz="0" w:space="0" w:color="auto"/>
                <w:right w:val="none" w:sz="0" w:space="0" w:color="auto"/>
              </w:divBdr>
            </w:div>
          </w:divsChild>
        </w:div>
        <w:div w:id="1354575698">
          <w:marLeft w:val="0"/>
          <w:marRight w:val="0"/>
          <w:marTop w:val="0"/>
          <w:marBottom w:val="0"/>
          <w:divBdr>
            <w:top w:val="none" w:sz="0" w:space="0" w:color="auto"/>
            <w:left w:val="none" w:sz="0" w:space="0" w:color="auto"/>
            <w:bottom w:val="none" w:sz="0" w:space="0" w:color="auto"/>
            <w:right w:val="none" w:sz="0" w:space="0" w:color="auto"/>
          </w:divBdr>
          <w:divsChild>
            <w:div w:id="1855537002">
              <w:marLeft w:val="0"/>
              <w:marRight w:val="0"/>
              <w:marTop w:val="0"/>
              <w:marBottom w:val="0"/>
              <w:divBdr>
                <w:top w:val="none" w:sz="0" w:space="0" w:color="auto"/>
                <w:left w:val="none" w:sz="0" w:space="0" w:color="auto"/>
                <w:bottom w:val="none" w:sz="0" w:space="0" w:color="auto"/>
                <w:right w:val="none" w:sz="0" w:space="0" w:color="auto"/>
              </w:divBdr>
            </w:div>
          </w:divsChild>
        </w:div>
        <w:div w:id="1413163896">
          <w:marLeft w:val="0"/>
          <w:marRight w:val="0"/>
          <w:marTop w:val="0"/>
          <w:marBottom w:val="0"/>
          <w:divBdr>
            <w:top w:val="none" w:sz="0" w:space="0" w:color="auto"/>
            <w:left w:val="none" w:sz="0" w:space="0" w:color="auto"/>
            <w:bottom w:val="none" w:sz="0" w:space="0" w:color="auto"/>
            <w:right w:val="none" w:sz="0" w:space="0" w:color="auto"/>
          </w:divBdr>
        </w:div>
        <w:div w:id="1475443449">
          <w:marLeft w:val="0"/>
          <w:marRight w:val="0"/>
          <w:marTop w:val="0"/>
          <w:marBottom w:val="0"/>
          <w:divBdr>
            <w:top w:val="none" w:sz="0" w:space="0" w:color="auto"/>
            <w:left w:val="none" w:sz="0" w:space="0" w:color="auto"/>
            <w:bottom w:val="none" w:sz="0" w:space="0" w:color="auto"/>
            <w:right w:val="none" w:sz="0" w:space="0" w:color="auto"/>
          </w:divBdr>
          <w:divsChild>
            <w:div w:id="34275638">
              <w:marLeft w:val="0"/>
              <w:marRight w:val="0"/>
              <w:marTop w:val="0"/>
              <w:marBottom w:val="0"/>
              <w:divBdr>
                <w:top w:val="none" w:sz="0" w:space="0" w:color="auto"/>
                <w:left w:val="none" w:sz="0" w:space="0" w:color="auto"/>
                <w:bottom w:val="none" w:sz="0" w:space="0" w:color="auto"/>
                <w:right w:val="none" w:sz="0" w:space="0" w:color="auto"/>
              </w:divBdr>
              <w:divsChild>
                <w:div w:id="1565096645">
                  <w:marLeft w:val="0"/>
                  <w:marRight w:val="0"/>
                  <w:marTop w:val="0"/>
                  <w:marBottom w:val="0"/>
                  <w:divBdr>
                    <w:top w:val="none" w:sz="0" w:space="0" w:color="auto"/>
                    <w:left w:val="none" w:sz="0" w:space="0" w:color="auto"/>
                    <w:bottom w:val="none" w:sz="0" w:space="0" w:color="auto"/>
                    <w:right w:val="none" w:sz="0" w:space="0" w:color="auto"/>
                  </w:divBdr>
                  <w:divsChild>
                    <w:div w:id="2015718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07230">
              <w:marLeft w:val="0"/>
              <w:marRight w:val="0"/>
              <w:marTop w:val="0"/>
              <w:marBottom w:val="0"/>
              <w:divBdr>
                <w:top w:val="none" w:sz="0" w:space="0" w:color="auto"/>
                <w:left w:val="none" w:sz="0" w:space="0" w:color="auto"/>
                <w:bottom w:val="none" w:sz="0" w:space="0" w:color="auto"/>
                <w:right w:val="none" w:sz="0" w:space="0" w:color="auto"/>
              </w:divBdr>
              <w:divsChild>
                <w:div w:id="650907109">
                  <w:marLeft w:val="0"/>
                  <w:marRight w:val="0"/>
                  <w:marTop w:val="0"/>
                  <w:marBottom w:val="0"/>
                  <w:divBdr>
                    <w:top w:val="none" w:sz="0" w:space="0" w:color="auto"/>
                    <w:left w:val="none" w:sz="0" w:space="0" w:color="auto"/>
                    <w:bottom w:val="none" w:sz="0" w:space="0" w:color="auto"/>
                    <w:right w:val="none" w:sz="0" w:space="0" w:color="auto"/>
                  </w:divBdr>
                  <w:divsChild>
                    <w:div w:id="12930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11892">
              <w:marLeft w:val="0"/>
              <w:marRight w:val="0"/>
              <w:marTop w:val="0"/>
              <w:marBottom w:val="0"/>
              <w:divBdr>
                <w:top w:val="none" w:sz="0" w:space="0" w:color="auto"/>
                <w:left w:val="none" w:sz="0" w:space="0" w:color="auto"/>
                <w:bottom w:val="none" w:sz="0" w:space="0" w:color="auto"/>
                <w:right w:val="none" w:sz="0" w:space="0" w:color="auto"/>
              </w:divBdr>
              <w:divsChild>
                <w:div w:id="2130392034">
                  <w:marLeft w:val="0"/>
                  <w:marRight w:val="0"/>
                  <w:marTop w:val="0"/>
                  <w:marBottom w:val="0"/>
                  <w:divBdr>
                    <w:top w:val="none" w:sz="0" w:space="0" w:color="auto"/>
                    <w:left w:val="none" w:sz="0" w:space="0" w:color="auto"/>
                    <w:bottom w:val="none" w:sz="0" w:space="0" w:color="auto"/>
                    <w:right w:val="none" w:sz="0" w:space="0" w:color="auto"/>
                  </w:divBdr>
                  <w:divsChild>
                    <w:div w:id="123031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78484">
              <w:marLeft w:val="0"/>
              <w:marRight w:val="0"/>
              <w:marTop w:val="0"/>
              <w:marBottom w:val="0"/>
              <w:divBdr>
                <w:top w:val="none" w:sz="0" w:space="0" w:color="auto"/>
                <w:left w:val="none" w:sz="0" w:space="0" w:color="auto"/>
                <w:bottom w:val="none" w:sz="0" w:space="0" w:color="auto"/>
                <w:right w:val="none" w:sz="0" w:space="0" w:color="auto"/>
              </w:divBdr>
              <w:divsChild>
                <w:div w:id="1445004252">
                  <w:marLeft w:val="0"/>
                  <w:marRight w:val="0"/>
                  <w:marTop w:val="0"/>
                  <w:marBottom w:val="0"/>
                  <w:divBdr>
                    <w:top w:val="none" w:sz="0" w:space="0" w:color="auto"/>
                    <w:left w:val="none" w:sz="0" w:space="0" w:color="auto"/>
                    <w:bottom w:val="none" w:sz="0" w:space="0" w:color="auto"/>
                    <w:right w:val="none" w:sz="0" w:space="0" w:color="auto"/>
                  </w:divBdr>
                  <w:divsChild>
                    <w:div w:id="10520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66699">
              <w:marLeft w:val="0"/>
              <w:marRight w:val="0"/>
              <w:marTop w:val="0"/>
              <w:marBottom w:val="0"/>
              <w:divBdr>
                <w:top w:val="none" w:sz="0" w:space="0" w:color="auto"/>
                <w:left w:val="none" w:sz="0" w:space="0" w:color="auto"/>
                <w:bottom w:val="none" w:sz="0" w:space="0" w:color="auto"/>
                <w:right w:val="none" w:sz="0" w:space="0" w:color="auto"/>
              </w:divBdr>
              <w:divsChild>
                <w:div w:id="140854014">
                  <w:marLeft w:val="0"/>
                  <w:marRight w:val="0"/>
                  <w:marTop w:val="0"/>
                  <w:marBottom w:val="0"/>
                  <w:divBdr>
                    <w:top w:val="none" w:sz="0" w:space="0" w:color="auto"/>
                    <w:left w:val="none" w:sz="0" w:space="0" w:color="auto"/>
                    <w:bottom w:val="none" w:sz="0" w:space="0" w:color="auto"/>
                    <w:right w:val="none" w:sz="0" w:space="0" w:color="auto"/>
                  </w:divBdr>
                  <w:divsChild>
                    <w:div w:id="936408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799223">
              <w:marLeft w:val="0"/>
              <w:marRight w:val="0"/>
              <w:marTop w:val="0"/>
              <w:marBottom w:val="0"/>
              <w:divBdr>
                <w:top w:val="none" w:sz="0" w:space="0" w:color="auto"/>
                <w:left w:val="none" w:sz="0" w:space="0" w:color="auto"/>
                <w:bottom w:val="none" w:sz="0" w:space="0" w:color="auto"/>
                <w:right w:val="none" w:sz="0" w:space="0" w:color="auto"/>
              </w:divBdr>
              <w:divsChild>
                <w:div w:id="434635190">
                  <w:marLeft w:val="0"/>
                  <w:marRight w:val="0"/>
                  <w:marTop w:val="0"/>
                  <w:marBottom w:val="0"/>
                  <w:divBdr>
                    <w:top w:val="none" w:sz="0" w:space="0" w:color="auto"/>
                    <w:left w:val="none" w:sz="0" w:space="0" w:color="auto"/>
                    <w:bottom w:val="none" w:sz="0" w:space="0" w:color="auto"/>
                    <w:right w:val="none" w:sz="0" w:space="0" w:color="auto"/>
                  </w:divBdr>
                  <w:divsChild>
                    <w:div w:id="742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88688">
              <w:marLeft w:val="0"/>
              <w:marRight w:val="0"/>
              <w:marTop w:val="0"/>
              <w:marBottom w:val="0"/>
              <w:divBdr>
                <w:top w:val="none" w:sz="0" w:space="0" w:color="auto"/>
                <w:left w:val="none" w:sz="0" w:space="0" w:color="auto"/>
                <w:bottom w:val="none" w:sz="0" w:space="0" w:color="auto"/>
                <w:right w:val="none" w:sz="0" w:space="0" w:color="auto"/>
              </w:divBdr>
              <w:divsChild>
                <w:div w:id="727337480">
                  <w:marLeft w:val="0"/>
                  <w:marRight w:val="0"/>
                  <w:marTop w:val="0"/>
                  <w:marBottom w:val="0"/>
                  <w:divBdr>
                    <w:top w:val="none" w:sz="0" w:space="0" w:color="auto"/>
                    <w:left w:val="none" w:sz="0" w:space="0" w:color="auto"/>
                    <w:bottom w:val="none" w:sz="0" w:space="0" w:color="auto"/>
                    <w:right w:val="none" w:sz="0" w:space="0" w:color="auto"/>
                  </w:divBdr>
                  <w:divsChild>
                    <w:div w:id="54101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19250">
              <w:marLeft w:val="0"/>
              <w:marRight w:val="0"/>
              <w:marTop w:val="0"/>
              <w:marBottom w:val="0"/>
              <w:divBdr>
                <w:top w:val="none" w:sz="0" w:space="0" w:color="auto"/>
                <w:left w:val="none" w:sz="0" w:space="0" w:color="auto"/>
                <w:bottom w:val="none" w:sz="0" w:space="0" w:color="auto"/>
                <w:right w:val="none" w:sz="0" w:space="0" w:color="auto"/>
              </w:divBdr>
              <w:divsChild>
                <w:div w:id="1343045237">
                  <w:marLeft w:val="0"/>
                  <w:marRight w:val="0"/>
                  <w:marTop w:val="0"/>
                  <w:marBottom w:val="0"/>
                  <w:divBdr>
                    <w:top w:val="none" w:sz="0" w:space="0" w:color="auto"/>
                    <w:left w:val="none" w:sz="0" w:space="0" w:color="auto"/>
                    <w:bottom w:val="none" w:sz="0" w:space="0" w:color="auto"/>
                    <w:right w:val="none" w:sz="0" w:space="0" w:color="auto"/>
                  </w:divBdr>
                  <w:divsChild>
                    <w:div w:id="85538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67526">
              <w:marLeft w:val="0"/>
              <w:marRight w:val="0"/>
              <w:marTop w:val="0"/>
              <w:marBottom w:val="0"/>
              <w:divBdr>
                <w:top w:val="none" w:sz="0" w:space="0" w:color="auto"/>
                <w:left w:val="none" w:sz="0" w:space="0" w:color="auto"/>
                <w:bottom w:val="none" w:sz="0" w:space="0" w:color="auto"/>
                <w:right w:val="none" w:sz="0" w:space="0" w:color="auto"/>
              </w:divBdr>
              <w:divsChild>
                <w:div w:id="1627619131">
                  <w:marLeft w:val="0"/>
                  <w:marRight w:val="0"/>
                  <w:marTop w:val="0"/>
                  <w:marBottom w:val="0"/>
                  <w:divBdr>
                    <w:top w:val="none" w:sz="0" w:space="0" w:color="auto"/>
                    <w:left w:val="none" w:sz="0" w:space="0" w:color="auto"/>
                    <w:bottom w:val="none" w:sz="0" w:space="0" w:color="auto"/>
                    <w:right w:val="none" w:sz="0" w:space="0" w:color="auto"/>
                  </w:divBdr>
                  <w:divsChild>
                    <w:div w:id="3183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9572">
              <w:marLeft w:val="0"/>
              <w:marRight w:val="0"/>
              <w:marTop w:val="0"/>
              <w:marBottom w:val="0"/>
              <w:divBdr>
                <w:top w:val="none" w:sz="0" w:space="0" w:color="auto"/>
                <w:left w:val="none" w:sz="0" w:space="0" w:color="auto"/>
                <w:bottom w:val="none" w:sz="0" w:space="0" w:color="auto"/>
                <w:right w:val="none" w:sz="0" w:space="0" w:color="auto"/>
              </w:divBdr>
              <w:divsChild>
                <w:div w:id="1464273909">
                  <w:marLeft w:val="0"/>
                  <w:marRight w:val="0"/>
                  <w:marTop w:val="0"/>
                  <w:marBottom w:val="0"/>
                  <w:divBdr>
                    <w:top w:val="none" w:sz="0" w:space="0" w:color="auto"/>
                    <w:left w:val="none" w:sz="0" w:space="0" w:color="auto"/>
                    <w:bottom w:val="none" w:sz="0" w:space="0" w:color="auto"/>
                    <w:right w:val="none" w:sz="0" w:space="0" w:color="auto"/>
                  </w:divBdr>
                  <w:divsChild>
                    <w:div w:id="97787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552580">
              <w:marLeft w:val="0"/>
              <w:marRight w:val="0"/>
              <w:marTop w:val="0"/>
              <w:marBottom w:val="0"/>
              <w:divBdr>
                <w:top w:val="none" w:sz="0" w:space="0" w:color="auto"/>
                <w:left w:val="none" w:sz="0" w:space="0" w:color="auto"/>
                <w:bottom w:val="none" w:sz="0" w:space="0" w:color="auto"/>
                <w:right w:val="none" w:sz="0" w:space="0" w:color="auto"/>
              </w:divBdr>
              <w:divsChild>
                <w:div w:id="725177862">
                  <w:marLeft w:val="0"/>
                  <w:marRight w:val="0"/>
                  <w:marTop w:val="0"/>
                  <w:marBottom w:val="0"/>
                  <w:divBdr>
                    <w:top w:val="none" w:sz="0" w:space="0" w:color="auto"/>
                    <w:left w:val="none" w:sz="0" w:space="0" w:color="auto"/>
                    <w:bottom w:val="none" w:sz="0" w:space="0" w:color="auto"/>
                    <w:right w:val="none" w:sz="0" w:space="0" w:color="auto"/>
                  </w:divBdr>
                  <w:divsChild>
                    <w:div w:id="212002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6824">
              <w:marLeft w:val="0"/>
              <w:marRight w:val="0"/>
              <w:marTop w:val="0"/>
              <w:marBottom w:val="0"/>
              <w:divBdr>
                <w:top w:val="none" w:sz="0" w:space="0" w:color="auto"/>
                <w:left w:val="none" w:sz="0" w:space="0" w:color="auto"/>
                <w:bottom w:val="none" w:sz="0" w:space="0" w:color="auto"/>
                <w:right w:val="none" w:sz="0" w:space="0" w:color="auto"/>
              </w:divBdr>
              <w:divsChild>
                <w:div w:id="524247552">
                  <w:marLeft w:val="0"/>
                  <w:marRight w:val="0"/>
                  <w:marTop w:val="0"/>
                  <w:marBottom w:val="0"/>
                  <w:divBdr>
                    <w:top w:val="none" w:sz="0" w:space="0" w:color="auto"/>
                    <w:left w:val="none" w:sz="0" w:space="0" w:color="auto"/>
                    <w:bottom w:val="none" w:sz="0" w:space="0" w:color="auto"/>
                    <w:right w:val="none" w:sz="0" w:space="0" w:color="auto"/>
                  </w:divBdr>
                  <w:divsChild>
                    <w:div w:id="129856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5606">
              <w:marLeft w:val="0"/>
              <w:marRight w:val="0"/>
              <w:marTop w:val="0"/>
              <w:marBottom w:val="0"/>
              <w:divBdr>
                <w:top w:val="none" w:sz="0" w:space="0" w:color="auto"/>
                <w:left w:val="none" w:sz="0" w:space="0" w:color="auto"/>
                <w:bottom w:val="none" w:sz="0" w:space="0" w:color="auto"/>
                <w:right w:val="none" w:sz="0" w:space="0" w:color="auto"/>
              </w:divBdr>
              <w:divsChild>
                <w:div w:id="815492672">
                  <w:marLeft w:val="0"/>
                  <w:marRight w:val="0"/>
                  <w:marTop w:val="0"/>
                  <w:marBottom w:val="0"/>
                  <w:divBdr>
                    <w:top w:val="none" w:sz="0" w:space="0" w:color="auto"/>
                    <w:left w:val="none" w:sz="0" w:space="0" w:color="auto"/>
                    <w:bottom w:val="none" w:sz="0" w:space="0" w:color="auto"/>
                    <w:right w:val="none" w:sz="0" w:space="0" w:color="auto"/>
                  </w:divBdr>
                  <w:divsChild>
                    <w:div w:id="82794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742538">
              <w:marLeft w:val="0"/>
              <w:marRight w:val="0"/>
              <w:marTop w:val="0"/>
              <w:marBottom w:val="0"/>
              <w:divBdr>
                <w:top w:val="none" w:sz="0" w:space="0" w:color="auto"/>
                <w:left w:val="none" w:sz="0" w:space="0" w:color="auto"/>
                <w:bottom w:val="none" w:sz="0" w:space="0" w:color="auto"/>
                <w:right w:val="none" w:sz="0" w:space="0" w:color="auto"/>
              </w:divBdr>
              <w:divsChild>
                <w:div w:id="479419260">
                  <w:marLeft w:val="0"/>
                  <w:marRight w:val="0"/>
                  <w:marTop w:val="0"/>
                  <w:marBottom w:val="0"/>
                  <w:divBdr>
                    <w:top w:val="none" w:sz="0" w:space="0" w:color="auto"/>
                    <w:left w:val="none" w:sz="0" w:space="0" w:color="auto"/>
                    <w:bottom w:val="none" w:sz="0" w:space="0" w:color="auto"/>
                    <w:right w:val="none" w:sz="0" w:space="0" w:color="auto"/>
                  </w:divBdr>
                  <w:divsChild>
                    <w:div w:id="24931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237930">
              <w:marLeft w:val="0"/>
              <w:marRight w:val="0"/>
              <w:marTop w:val="0"/>
              <w:marBottom w:val="0"/>
              <w:divBdr>
                <w:top w:val="none" w:sz="0" w:space="0" w:color="auto"/>
                <w:left w:val="none" w:sz="0" w:space="0" w:color="auto"/>
                <w:bottom w:val="none" w:sz="0" w:space="0" w:color="auto"/>
                <w:right w:val="none" w:sz="0" w:space="0" w:color="auto"/>
              </w:divBdr>
              <w:divsChild>
                <w:div w:id="1340885236">
                  <w:marLeft w:val="0"/>
                  <w:marRight w:val="0"/>
                  <w:marTop w:val="0"/>
                  <w:marBottom w:val="0"/>
                  <w:divBdr>
                    <w:top w:val="none" w:sz="0" w:space="0" w:color="auto"/>
                    <w:left w:val="none" w:sz="0" w:space="0" w:color="auto"/>
                    <w:bottom w:val="none" w:sz="0" w:space="0" w:color="auto"/>
                    <w:right w:val="none" w:sz="0" w:space="0" w:color="auto"/>
                  </w:divBdr>
                  <w:divsChild>
                    <w:div w:id="198292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360223">
              <w:marLeft w:val="0"/>
              <w:marRight w:val="0"/>
              <w:marTop w:val="0"/>
              <w:marBottom w:val="0"/>
              <w:divBdr>
                <w:top w:val="none" w:sz="0" w:space="0" w:color="auto"/>
                <w:left w:val="none" w:sz="0" w:space="0" w:color="auto"/>
                <w:bottom w:val="none" w:sz="0" w:space="0" w:color="auto"/>
                <w:right w:val="none" w:sz="0" w:space="0" w:color="auto"/>
              </w:divBdr>
              <w:divsChild>
                <w:div w:id="2040398093">
                  <w:marLeft w:val="0"/>
                  <w:marRight w:val="0"/>
                  <w:marTop w:val="0"/>
                  <w:marBottom w:val="0"/>
                  <w:divBdr>
                    <w:top w:val="none" w:sz="0" w:space="0" w:color="auto"/>
                    <w:left w:val="none" w:sz="0" w:space="0" w:color="auto"/>
                    <w:bottom w:val="none" w:sz="0" w:space="0" w:color="auto"/>
                    <w:right w:val="none" w:sz="0" w:space="0" w:color="auto"/>
                  </w:divBdr>
                  <w:divsChild>
                    <w:div w:id="41563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726678">
              <w:marLeft w:val="0"/>
              <w:marRight w:val="0"/>
              <w:marTop w:val="0"/>
              <w:marBottom w:val="0"/>
              <w:divBdr>
                <w:top w:val="none" w:sz="0" w:space="0" w:color="auto"/>
                <w:left w:val="none" w:sz="0" w:space="0" w:color="auto"/>
                <w:bottom w:val="none" w:sz="0" w:space="0" w:color="auto"/>
                <w:right w:val="none" w:sz="0" w:space="0" w:color="auto"/>
              </w:divBdr>
              <w:divsChild>
                <w:div w:id="505556617">
                  <w:marLeft w:val="0"/>
                  <w:marRight w:val="0"/>
                  <w:marTop w:val="0"/>
                  <w:marBottom w:val="0"/>
                  <w:divBdr>
                    <w:top w:val="none" w:sz="0" w:space="0" w:color="auto"/>
                    <w:left w:val="none" w:sz="0" w:space="0" w:color="auto"/>
                    <w:bottom w:val="none" w:sz="0" w:space="0" w:color="auto"/>
                    <w:right w:val="none" w:sz="0" w:space="0" w:color="auto"/>
                  </w:divBdr>
                  <w:divsChild>
                    <w:div w:id="15063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721793">
              <w:marLeft w:val="0"/>
              <w:marRight w:val="0"/>
              <w:marTop w:val="0"/>
              <w:marBottom w:val="0"/>
              <w:divBdr>
                <w:top w:val="none" w:sz="0" w:space="0" w:color="auto"/>
                <w:left w:val="none" w:sz="0" w:space="0" w:color="auto"/>
                <w:bottom w:val="none" w:sz="0" w:space="0" w:color="auto"/>
                <w:right w:val="none" w:sz="0" w:space="0" w:color="auto"/>
              </w:divBdr>
              <w:divsChild>
                <w:div w:id="775176893">
                  <w:marLeft w:val="0"/>
                  <w:marRight w:val="0"/>
                  <w:marTop w:val="0"/>
                  <w:marBottom w:val="0"/>
                  <w:divBdr>
                    <w:top w:val="none" w:sz="0" w:space="0" w:color="auto"/>
                    <w:left w:val="none" w:sz="0" w:space="0" w:color="auto"/>
                    <w:bottom w:val="none" w:sz="0" w:space="0" w:color="auto"/>
                    <w:right w:val="none" w:sz="0" w:space="0" w:color="auto"/>
                  </w:divBdr>
                  <w:divsChild>
                    <w:div w:id="1026516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15931">
              <w:marLeft w:val="0"/>
              <w:marRight w:val="0"/>
              <w:marTop w:val="0"/>
              <w:marBottom w:val="0"/>
              <w:divBdr>
                <w:top w:val="none" w:sz="0" w:space="0" w:color="auto"/>
                <w:left w:val="none" w:sz="0" w:space="0" w:color="auto"/>
                <w:bottom w:val="none" w:sz="0" w:space="0" w:color="auto"/>
                <w:right w:val="none" w:sz="0" w:space="0" w:color="auto"/>
              </w:divBdr>
              <w:divsChild>
                <w:div w:id="115416252">
                  <w:marLeft w:val="0"/>
                  <w:marRight w:val="0"/>
                  <w:marTop w:val="0"/>
                  <w:marBottom w:val="0"/>
                  <w:divBdr>
                    <w:top w:val="none" w:sz="0" w:space="0" w:color="auto"/>
                    <w:left w:val="none" w:sz="0" w:space="0" w:color="auto"/>
                    <w:bottom w:val="none" w:sz="0" w:space="0" w:color="auto"/>
                    <w:right w:val="none" w:sz="0" w:space="0" w:color="auto"/>
                  </w:divBdr>
                  <w:divsChild>
                    <w:div w:id="65287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452608">
              <w:marLeft w:val="0"/>
              <w:marRight w:val="0"/>
              <w:marTop w:val="0"/>
              <w:marBottom w:val="0"/>
              <w:divBdr>
                <w:top w:val="none" w:sz="0" w:space="0" w:color="auto"/>
                <w:left w:val="none" w:sz="0" w:space="0" w:color="auto"/>
                <w:bottom w:val="none" w:sz="0" w:space="0" w:color="auto"/>
                <w:right w:val="none" w:sz="0" w:space="0" w:color="auto"/>
              </w:divBdr>
              <w:divsChild>
                <w:div w:id="1143431177">
                  <w:marLeft w:val="0"/>
                  <w:marRight w:val="0"/>
                  <w:marTop w:val="0"/>
                  <w:marBottom w:val="0"/>
                  <w:divBdr>
                    <w:top w:val="none" w:sz="0" w:space="0" w:color="auto"/>
                    <w:left w:val="none" w:sz="0" w:space="0" w:color="auto"/>
                    <w:bottom w:val="none" w:sz="0" w:space="0" w:color="auto"/>
                    <w:right w:val="none" w:sz="0" w:space="0" w:color="auto"/>
                  </w:divBdr>
                  <w:divsChild>
                    <w:div w:id="2411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101569">
              <w:marLeft w:val="0"/>
              <w:marRight w:val="0"/>
              <w:marTop w:val="0"/>
              <w:marBottom w:val="0"/>
              <w:divBdr>
                <w:top w:val="none" w:sz="0" w:space="0" w:color="auto"/>
                <w:left w:val="none" w:sz="0" w:space="0" w:color="auto"/>
                <w:bottom w:val="none" w:sz="0" w:space="0" w:color="auto"/>
                <w:right w:val="none" w:sz="0" w:space="0" w:color="auto"/>
              </w:divBdr>
              <w:divsChild>
                <w:div w:id="1174763838">
                  <w:marLeft w:val="0"/>
                  <w:marRight w:val="0"/>
                  <w:marTop w:val="0"/>
                  <w:marBottom w:val="0"/>
                  <w:divBdr>
                    <w:top w:val="none" w:sz="0" w:space="0" w:color="auto"/>
                    <w:left w:val="none" w:sz="0" w:space="0" w:color="auto"/>
                    <w:bottom w:val="none" w:sz="0" w:space="0" w:color="auto"/>
                    <w:right w:val="none" w:sz="0" w:space="0" w:color="auto"/>
                  </w:divBdr>
                  <w:divsChild>
                    <w:div w:id="13081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51174">
              <w:marLeft w:val="0"/>
              <w:marRight w:val="0"/>
              <w:marTop w:val="0"/>
              <w:marBottom w:val="0"/>
              <w:divBdr>
                <w:top w:val="none" w:sz="0" w:space="0" w:color="auto"/>
                <w:left w:val="none" w:sz="0" w:space="0" w:color="auto"/>
                <w:bottom w:val="none" w:sz="0" w:space="0" w:color="auto"/>
                <w:right w:val="none" w:sz="0" w:space="0" w:color="auto"/>
              </w:divBdr>
              <w:divsChild>
                <w:div w:id="1813207572">
                  <w:marLeft w:val="0"/>
                  <w:marRight w:val="0"/>
                  <w:marTop w:val="0"/>
                  <w:marBottom w:val="0"/>
                  <w:divBdr>
                    <w:top w:val="none" w:sz="0" w:space="0" w:color="auto"/>
                    <w:left w:val="none" w:sz="0" w:space="0" w:color="auto"/>
                    <w:bottom w:val="none" w:sz="0" w:space="0" w:color="auto"/>
                    <w:right w:val="none" w:sz="0" w:space="0" w:color="auto"/>
                  </w:divBdr>
                  <w:divsChild>
                    <w:div w:id="211578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3786">
              <w:marLeft w:val="0"/>
              <w:marRight w:val="0"/>
              <w:marTop w:val="0"/>
              <w:marBottom w:val="0"/>
              <w:divBdr>
                <w:top w:val="none" w:sz="0" w:space="0" w:color="auto"/>
                <w:left w:val="none" w:sz="0" w:space="0" w:color="auto"/>
                <w:bottom w:val="none" w:sz="0" w:space="0" w:color="auto"/>
                <w:right w:val="none" w:sz="0" w:space="0" w:color="auto"/>
              </w:divBdr>
              <w:divsChild>
                <w:div w:id="18119758">
                  <w:marLeft w:val="0"/>
                  <w:marRight w:val="0"/>
                  <w:marTop w:val="0"/>
                  <w:marBottom w:val="0"/>
                  <w:divBdr>
                    <w:top w:val="none" w:sz="0" w:space="0" w:color="auto"/>
                    <w:left w:val="none" w:sz="0" w:space="0" w:color="auto"/>
                    <w:bottom w:val="none" w:sz="0" w:space="0" w:color="auto"/>
                    <w:right w:val="none" w:sz="0" w:space="0" w:color="auto"/>
                  </w:divBdr>
                  <w:divsChild>
                    <w:div w:id="138132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843934">
              <w:marLeft w:val="0"/>
              <w:marRight w:val="0"/>
              <w:marTop w:val="0"/>
              <w:marBottom w:val="0"/>
              <w:divBdr>
                <w:top w:val="none" w:sz="0" w:space="0" w:color="auto"/>
                <w:left w:val="none" w:sz="0" w:space="0" w:color="auto"/>
                <w:bottom w:val="none" w:sz="0" w:space="0" w:color="auto"/>
                <w:right w:val="none" w:sz="0" w:space="0" w:color="auto"/>
              </w:divBdr>
              <w:divsChild>
                <w:div w:id="209655922">
                  <w:marLeft w:val="0"/>
                  <w:marRight w:val="0"/>
                  <w:marTop w:val="0"/>
                  <w:marBottom w:val="0"/>
                  <w:divBdr>
                    <w:top w:val="none" w:sz="0" w:space="0" w:color="auto"/>
                    <w:left w:val="none" w:sz="0" w:space="0" w:color="auto"/>
                    <w:bottom w:val="none" w:sz="0" w:space="0" w:color="auto"/>
                    <w:right w:val="none" w:sz="0" w:space="0" w:color="auto"/>
                  </w:divBdr>
                  <w:divsChild>
                    <w:div w:id="671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08390">
              <w:marLeft w:val="0"/>
              <w:marRight w:val="0"/>
              <w:marTop w:val="0"/>
              <w:marBottom w:val="0"/>
              <w:divBdr>
                <w:top w:val="none" w:sz="0" w:space="0" w:color="auto"/>
                <w:left w:val="none" w:sz="0" w:space="0" w:color="auto"/>
                <w:bottom w:val="none" w:sz="0" w:space="0" w:color="auto"/>
                <w:right w:val="none" w:sz="0" w:space="0" w:color="auto"/>
              </w:divBdr>
              <w:divsChild>
                <w:div w:id="1283465895">
                  <w:marLeft w:val="0"/>
                  <w:marRight w:val="0"/>
                  <w:marTop w:val="0"/>
                  <w:marBottom w:val="0"/>
                  <w:divBdr>
                    <w:top w:val="none" w:sz="0" w:space="0" w:color="auto"/>
                    <w:left w:val="none" w:sz="0" w:space="0" w:color="auto"/>
                    <w:bottom w:val="none" w:sz="0" w:space="0" w:color="auto"/>
                    <w:right w:val="none" w:sz="0" w:space="0" w:color="auto"/>
                  </w:divBdr>
                  <w:divsChild>
                    <w:div w:id="198870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530091">
              <w:marLeft w:val="0"/>
              <w:marRight w:val="0"/>
              <w:marTop w:val="0"/>
              <w:marBottom w:val="0"/>
              <w:divBdr>
                <w:top w:val="none" w:sz="0" w:space="0" w:color="auto"/>
                <w:left w:val="none" w:sz="0" w:space="0" w:color="auto"/>
                <w:bottom w:val="none" w:sz="0" w:space="0" w:color="auto"/>
                <w:right w:val="none" w:sz="0" w:space="0" w:color="auto"/>
              </w:divBdr>
              <w:divsChild>
                <w:div w:id="959872722">
                  <w:marLeft w:val="0"/>
                  <w:marRight w:val="0"/>
                  <w:marTop w:val="0"/>
                  <w:marBottom w:val="0"/>
                  <w:divBdr>
                    <w:top w:val="none" w:sz="0" w:space="0" w:color="auto"/>
                    <w:left w:val="none" w:sz="0" w:space="0" w:color="auto"/>
                    <w:bottom w:val="none" w:sz="0" w:space="0" w:color="auto"/>
                    <w:right w:val="none" w:sz="0" w:space="0" w:color="auto"/>
                  </w:divBdr>
                  <w:divsChild>
                    <w:div w:id="181410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43486">
              <w:marLeft w:val="0"/>
              <w:marRight w:val="0"/>
              <w:marTop w:val="0"/>
              <w:marBottom w:val="0"/>
              <w:divBdr>
                <w:top w:val="none" w:sz="0" w:space="0" w:color="auto"/>
                <w:left w:val="none" w:sz="0" w:space="0" w:color="auto"/>
                <w:bottom w:val="none" w:sz="0" w:space="0" w:color="auto"/>
                <w:right w:val="none" w:sz="0" w:space="0" w:color="auto"/>
              </w:divBdr>
              <w:divsChild>
                <w:div w:id="1163199968">
                  <w:marLeft w:val="0"/>
                  <w:marRight w:val="0"/>
                  <w:marTop w:val="0"/>
                  <w:marBottom w:val="0"/>
                  <w:divBdr>
                    <w:top w:val="none" w:sz="0" w:space="0" w:color="auto"/>
                    <w:left w:val="none" w:sz="0" w:space="0" w:color="auto"/>
                    <w:bottom w:val="none" w:sz="0" w:space="0" w:color="auto"/>
                    <w:right w:val="none" w:sz="0" w:space="0" w:color="auto"/>
                  </w:divBdr>
                  <w:divsChild>
                    <w:div w:id="63891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1185740">
              <w:marLeft w:val="0"/>
              <w:marRight w:val="0"/>
              <w:marTop w:val="0"/>
              <w:marBottom w:val="0"/>
              <w:divBdr>
                <w:top w:val="none" w:sz="0" w:space="0" w:color="auto"/>
                <w:left w:val="none" w:sz="0" w:space="0" w:color="auto"/>
                <w:bottom w:val="none" w:sz="0" w:space="0" w:color="auto"/>
                <w:right w:val="none" w:sz="0" w:space="0" w:color="auto"/>
              </w:divBdr>
              <w:divsChild>
                <w:div w:id="1356996980">
                  <w:marLeft w:val="0"/>
                  <w:marRight w:val="0"/>
                  <w:marTop w:val="0"/>
                  <w:marBottom w:val="0"/>
                  <w:divBdr>
                    <w:top w:val="none" w:sz="0" w:space="0" w:color="auto"/>
                    <w:left w:val="none" w:sz="0" w:space="0" w:color="auto"/>
                    <w:bottom w:val="none" w:sz="0" w:space="0" w:color="auto"/>
                    <w:right w:val="none" w:sz="0" w:space="0" w:color="auto"/>
                  </w:divBdr>
                  <w:divsChild>
                    <w:div w:id="200979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754816">
          <w:marLeft w:val="0"/>
          <w:marRight w:val="0"/>
          <w:marTop w:val="0"/>
          <w:marBottom w:val="0"/>
          <w:divBdr>
            <w:top w:val="none" w:sz="0" w:space="0" w:color="auto"/>
            <w:left w:val="none" w:sz="0" w:space="0" w:color="auto"/>
            <w:bottom w:val="none" w:sz="0" w:space="0" w:color="auto"/>
            <w:right w:val="none" w:sz="0" w:space="0" w:color="auto"/>
          </w:divBdr>
          <w:divsChild>
            <w:div w:id="370494578">
              <w:marLeft w:val="0"/>
              <w:marRight w:val="0"/>
              <w:marTop w:val="0"/>
              <w:marBottom w:val="0"/>
              <w:divBdr>
                <w:top w:val="none" w:sz="0" w:space="0" w:color="auto"/>
                <w:left w:val="none" w:sz="0" w:space="0" w:color="auto"/>
                <w:bottom w:val="none" w:sz="0" w:space="0" w:color="auto"/>
                <w:right w:val="none" w:sz="0" w:space="0" w:color="auto"/>
              </w:divBdr>
              <w:divsChild>
                <w:div w:id="634019056">
                  <w:marLeft w:val="0"/>
                  <w:marRight w:val="0"/>
                  <w:marTop w:val="0"/>
                  <w:marBottom w:val="0"/>
                  <w:divBdr>
                    <w:top w:val="none" w:sz="0" w:space="0" w:color="auto"/>
                    <w:left w:val="none" w:sz="0" w:space="0" w:color="auto"/>
                    <w:bottom w:val="none" w:sz="0" w:space="0" w:color="auto"/>
                    <w:right w:val="none" w:sz="0" w:space="0" w:color="auto"/>
                  </w:divBdr>
                </w:div>
              </w:divsChild>
            </w:div>
            <w:div w:id="1306667679">
              <w:marLeft w:val="0"/>
              <w:marRight w:val="0"/>
              <w:marTop w:val="0"/>
              <w:marBottom w:val="0"/>
              <w:divBdr>
                <w:top w:val="none" w:sz="0" w:space="0" w:color="auto"/>
                <w:left w:val="none" w:sz="0" w:space="0" w:color="auto"/>
                <w:bottom w:val="none" w:sz="0" w:space="0" w:color="auto"/>
                <w:right w:val="none" w:sz="0" w:space="0" w:color="auto"/>
              </w:divBdr>
              <w:divsChild>
                <w:div w:id="241917637">
                  <w:marLeft w:val="0"/>
                  <w:marRight w:val="0"/>
                  <w:marTop w:val="0"/>
                  <w:marBottom w:val="0"/>
                  <w:divBdr>
                    <w:top w:val="none" w:sz="0" w:space="0" w:color="auto"/>
                    <w:left w:val="none" w:sz="0" w:space="0" w:color="auto"/>
                    <w:bottom w:val="none" w:sz="0" w:space="0" w:color="auto"/>
                    <w:right w:val="none" w:sz="0" w:space="0" w:color="auto"/>
                  </w:divBdr>
                </w:div>
              </w:divsChild>
            </w:div>
            <w:div w:id="1403140576">
              <w:marLeft w:val="0"/>
              <w:marRight w:val="0"/>
              <w:marTop w:val="0"/>
              <w:marBottom w:val="0"/>
              <w:divBdr>
                <w:top w:val="none" w:sz="0" w:space="0" w:color="auto"/>
                <w:left w:val="none" w:sz="0" w:space="0" w:color="auto"/>
                <w:bottom w:val="none" w:sz="0" w:space="0" w:color="auto"/>
                <w:right w:val="none" w:sz="0" w:space="0" w:color="auto"/>
              </w:divBdr>
              <w:divsChild>
                <w:div w:id="719791799">
                  <w:marLeft w:val="0"/>
                  <w:marRight w:val="0"/>
                  <w:marTop w:val="0"/>
                  <w:marBottom w:val="0"/>
                  <w:divBdr>
                    <w:top w:val="none" w:sz="0" w:space="0" w:color="auto"/>
                    <w:left w:val="none" w:sz="0" w:space="0" w:color="auto"/>
                    <w:bottom w:val="none" w:sz="0" w:space="0" w:color="auto"/>
                    <w:right w:val="none" w:sz="0" w:space="0" w:color="auto"/>
                  </w:divBdr>
                </w:div>
              </w:divsChild>
            </w:div>
            <w:div w:id="1568566844">
              <w:marLeft w:val="0"/>
              <w:marRight w:val="0"/>
              <w:marTop w:val="0"/>
              <w:marBottom w:val="0"/>
              <w:divBdr>
                <w:top w:val="none" w:sz="0" w:space="0" w:color="auto"/>
                <w:left w:val="none" w:sz="0" w:space="0" w:color="auto"/>
                <w:bottom w:val="none" w:sz="0" w:space="0" w:color="auto"/>
                <w:right w:val="none" w:sz="0" w:space="0" w:color="auto"/>
              </w:divBdr>
              <w:divsChild>
                <w:div w:id="218058903">
                  <w:marLeft w:val="0"/>
                  <w:marRight w:val="0"/>
                  <w:marTop w:val="0"/>
                  <w:marBottom w:val="0"/>
                  <w:divBdr>
                    <w:top w:val="none" w:sz="0" w:space="0" w:color="auto"/>
                    <w:left w:val="none" w:sz="0" w:space="0" w:color="auto"/>
                    <w:bottom w:val="none" w:sz="0" w:space="0" w:color="auto"/>
                    <w:right w:val="none" w:sz="0" w:space="0" w:color="auto"/>
                  </w:divBdr>
                </w:div>
              </w:divsChild>
            </w:div>
            <w:div w:id="1571306667">
              <w:marLeft w:val="0"/>
              <w:marRight w:val="0"/>
              <w:marTop w:val="0"/>
              <w:marBottom w:val="0"/>
              <w:divBdr>
                <w:top w:val="none" w:sz="0" w:space="0" w:color="auto"/>
                <w:left w:val="none" w:sz="0" w:space="0" w:color="auto"/>
                <w:bottom w:val="none" w:sz="0" w:space="0" w:color="auto"/>
                <w:right w:val="none" w:sz="0" w:space="0" w:color="auto"/>
              </w:divBdr>
              <w:divsChild>
                <w:div w:id="16162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3950">
          <w:marLeft w:val="0"/>
          <w:marRight w:val="0"/>
          <w:marTop w:val="0"/>
          <w:marBottom w:val="0"/>
          <w:divBdr>
            <w:top w:val="none" w:sz="0" w:space="0" w:color="auto"/>
            <w:left w:val="none" w:sz="0" w:space="0" w:color="auto"/>
            <w:bottom w:val="none" w:sz="0" w:space="0" w:color="auto"/>
            <w:right w:val="none" w:sz="0" w:space="0" w:color="auto"/>
          </w:divBdr>
          <w:divsChild>
            <w:div w:id="1031299183">
              <w:marLeft w:val="0"/>
              <w:marRight w:val="0"/>
              <w:marTop w:val="0"/>
              <w:marBottom w:val="0"/>
              <w:divBdr>
                <w:top w:val="none" w:sz="0" w:space="0" w:color="auto"/>
                <w:left w:val="none" w:sz="0" w:space="0" w:color="auto"/>
                <w:bottom w:val="none" w:sz="0" w:space="0" w:color="auto"/>
                <w:right w:val="none" w:sz="0" w:space="0" w:color="auto"/>
              </w:divBdr>
              <w:divsChild>
                <w:div w:id="1195463274">
                  <w:marLeft w:val="0"/>
                  <w:marRight w:val="0"/>
                  <w:marTop w:val="0"/>
                  <w:marBottom w:val="0"/>
                  <w:divBdr>
                    <w:top w:val="none" w:sz="0" w:space="0" w:color="auto"/>
                    <w:left w:val="none" w:sz="0" w:space="0" w:color="auto"/>
                    <w:bottom w:val="none" w:sz="0" w:space="0" w:color="auto"/>
                    <w:right w:val="none" w:sz="0" w:space="0" w:color="auto"/>
                  </w:divBdr>
                </w:div>
              </w:divsChild>
            </w:div>
            <w:div w:id="1266768734">
              <w:marLeft w:val="0"/>
              <w:marRight w:val="0"/>
              <w:marTop w:val="0"/>
              <w:marBottom w:val="0"/>
              <w:divBdr>
                <w:top w:val="none" w:sz="0" w:space="0" w:color="auto"/>
                <w:left w:val="none" w:sz="0" w:space="0" w:color="auto"/>
                <w:bottom w:val="none" w:sz="0" w:space="0" w:color="auto"/>
                <w:right w:val="none" w:sz="0" w:space="0" w:color="auto"/>
              </w:divBdr>
              <w:divsChild>
                <w:div w:id="1608611920">
                  <w:marLeft w:val="0"/>
                  <w:marRight w:val="0"/>
                  <w:marTop w:val="0"/>
                  <w:marBottom w:val="0"/>
                  <w:divBdr>
                    <w:top w:val="none" w:sz="0" w:space="0" w:color="auto"/>
                    <w:left w:val="none" w:sz="0" w:space="0" w:color="auto"/>
                    <w:bottom w:val="none" w:sz="0" w:space="0" w:color="auto"/>
                    <w:right w:val="none" w:sz="0" w:space="0" w:color="auto"/>
                  </w:divBdr>
                </w:div>
              </w:divsChild>
            </w:div>
            <w:div w:id="1963342291">
              <w:marLeft w:val="0"/>
              <w:marRight w:val="0"/>
              <w:marTop w:val="0"/>
              <w:marBottom w:val="0"/>
              <w:divBdr>
                <w:top w:val="none" w:sz="0" w:space="0" w:color="auto"/>
                <w:left w:val="none" w:sz="0" w:space="0" w:color="auto"/>
                <w:bottom w:val="none" w:sz="0" w:space="0" w:color="auto"/>
                <w:right w:val="none" w:sz="0" w:space="0" w:color="auto"/>
              </w:divBdr>
              <w:divsChild>
                <w:div w:id="82007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7515">
          <w:marLeft w:val="0"/>
          <w:marRight w:val="0"/>
          <w:marTop w:val="0"/>
          <w:marBottom w:val="0"/>
          <w:divBdr>
            <w:top w:val="none" w:sz="0" w:space="0" w:color="auto"/>
            <w:left w:val="none" w:sz="0" w:space="0" w:color="auto"/>
            <w:bottom w:val="none" w:sz="0" w:space="0" w:color="auto"/>
            <w:right w:val="none" w:sz="0" w:space="0" w:color="auto"/>
          </w:divBdr>
          <w:divsChild>
            <w:div w:id="1637829820">
              <w:marLeft w:val="0"/>
              <w:marRight w:val="0"/>
              <w:marTop w:val="0"/>
              <w:marBottom w:val="0"/>
              <w:divBdr>
                <w:top w:val="none" w:sz="0" w:space="0" w:color="auto"/>
                <w:left w:val="none" w:sz="0" w:space="0" w:color="auto"/>
                <w:bottom w:val="none" w:sz="0" w:space="0" w:color="auto"/>
                <w:right w:val="none" w:sz="0" w:space="0" w:color="auto"/>
              </w:divBdr>
            </w:div>
          </w:divsChild>
        </w:div>
        <w:div w:id="1603608186">
          <w:marLeft w:val="0"/>
          <w:marRight w:val="0"/>
          <w:marTop w:val="0"/>
          <w:marBottom w:val="0"/>
          <w:divBdr>
            <w:top w:val="none" w:sz="0" w:space="0" w:color="auto"/>
            <w:left w:val="none" w:sz="0" w:space="0" w:color="auto"/>
            <w:bottom w:val="none" w:sz="0" w:space="0" w:color="auto"/>
            <w:right w:val="none" w:sz="0" w:space="0" w:color="auto"/>
          </w:divBdr>
          <w:divsChild>
            <w:div w:id="1060329210">
              <w:marLeft w:val="0"/>
              <w:marRight w:val="0"/>
              <w:marTop w:val="0"/>
              <w:marBottom w:val="0"/>
              <w:divBdr>
                <w:top w:val="none" w:sz="0" w:space="0" w:color="auto"/>
                <w:left w:val="none" w:sz="0" w:space="0" w:color="auto"/>
                <w:bottom w:val="none" w:sz="0" w:space="0" w:color="auto"/>
                <w:right w:val="none" w:sz="0" w:space="0" w:color="auto"/>
              </w:divBdr>
            </w:div>
          </w:divsChild>
        </w:div>
        <w:div w:id="1730032799">
          <w:marLeft w:val="0"/>
          <w:marRight w:val="0"/>
          <w:marTop w:val="0"/>
          <w:marBottom w:val="0"/>
          <w:divBdr>
            <w:top w:val="none" w:sz="0" w:space="0" w:color="auto"/>
            <w:left w:val="none" w:sz="0" w:space="0" w:color="auto"/>
            <w:bottom w:val="none" w:sz="0" w:space="0" w:color="auto"/>
            <w:right w:val="none" w:sz="0" w:space="0" w:color="auto"/>
          </w:divBdr>
        </w:div>
        <w:div w:id="1818112003">
          <w:marLeft w:val="0"/>
          <w:marRight w:val="0"/>
          <w:marTop w:val="0"/>
          <w:marBottom w:val="0"/>
          <w:divBdr>
            <w:top w:val="none" w:sz="0" w:space="0" w:color="auto"/>
            <w:left w:val="none" w:sz="0" w:space="0" w:color="auto"/>
            <w:bottom w:val="none" w:sz="0" w:space="0" w:color="auto"/>
            <w:right w:val="none" w:sz="0" w:space="0" w:color="auto"/>
          </w:divBdr>
          <w:divsChild>
            <w:div w:id="1316639338">
              <w:marLeft w:val="0"/>
              <w:marRight w:val="0"/>
              <w:marTop w:val="0"/>
              <w:marBottom w:val="0"/>
              <w:divBdr>
                <w:top w:val="none" w:sz="0" w:space="0" w:color="auto"/>
                <w:left w:val="none" w:sz="0" w:space="0" w:color="auto"/>
                <w:bottom w:val="none" w:sz="0" w:space="0" w:color="auto"/>
                <w:right w:val="none" w:sz="0" w:space="0" w:color="auto"/>
              </w:divBdr>
              <w:divsChild>
                <w:div w:id="325011623">
                  <w:marLeft w:val="0"/>
                  <w:marRight w:val="0"/>
                  <w:marTop w:val="0"/>
                  <w:marBottom w:val="0"/>
                  <w:divBdr>
                    <w:top w:val="none" w:sz="0" w:space="0" w:color="auto"/>
                    <w:left w:val="none" w:sz="0" w:space="0" w:color="auto"/>
                    <w:bottom w:val="none" w:sz="0" w:space="0" w:color="auto"/>
                    <w:right w:val="none" w:sz="0" w:space="0" w:color="auto"/>
                  </w:divBdr>
                  <w:divsChild>
                    <w:div w:id="206316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029363">
              <w:marLeft w:val="0"/>
              <w:marRight w:val="0"/>
              <w:marTop w:val="0"/>
              <w:marBottom w:val="0"/>
              <w:divBdr>
                <w:top w:val="none" w:sz="0" w:space="0" w:color="auto"/>
                <w:left w:val="none" w:sz="0" w:space="0" w:color="auto"/>
                <w:bottom w:val="none" w:sz="0" w:space="0" w:color="auto"/>
                <w:right w:val="none" w:sz="0" w:space="0" w:color="auto"/>
              </w:divBdr>
            </w:div>
            <w:div w:id="2030984959">
              <w:marLeft w:val="0"/>
              <w:marRight w:val="0"/>
              <w:marTop w:val="0"/>
              <w:marBottom w:val="0"/>
              <w:divBdr>
                <w:top w:val="none" w:sz="0" w:space="0" w:color="auto"/>
                <w:left w:val="none" w:sz="0" w:space="0" w:color="auto"/>
                <w:bottom w:val="none" w:sz="0" w:space="0" w:color="auto"/>
                <w:right w:val="none" w:sz="0" w:space="0" w:color="auto"/>
              </w:divBdr>
              <w:divsChild>
                <w:div w:id="173694645">
                  <w:marLeft w:val="0"/>
                  <w:marRight w:val="0"/>
                  <w:marTop w:val="0"/>
                  <w:marBottom w:val="0"/>
                  <w:divBdr>
                    <w:top w:val="none" w:sz="0" w:space="0" w:color="auto"/>
                    <w:left w:val="none" w:sz="0" w:space="0" w:color="auto"/>
                    <w:bottom w:val="none" w:sz="0" w:space="0" w:color="auto"/>
                    <w:right w:val="none" w:sz="0" w:space="0" w:color="auto"/>
                  </w:divBdr>
                  <w:divsChild>
                    <w:div w:id="1143886731">
                      <w:marLeft w:val="0"/>
                      <w:marRight w:val="0"/>
                      <w:marTop w:val="0"/>
                      <w:marBottom w:val="0"/>
                      <w:divBdr>
                        <w:top w:val="none" w:sz="0" w:space="0" w:color="auto"/>
                        <w:left w:val="none" w:sz="0" w:space="0" w:color="auto"/>
                        <w:bottom w:val="none" w:sz="0" w:space="0" w:color="auto"/>
                        <w:right w:val="none" w:sz="0" w:space="0" w:color="auto"/>
                      </w:divBdr>
                      <w:divsChild>
                        <w:div w:id="1019426928">
                          <w:marLeft w:val="0"/>
                          <w:marRight w:val="0"/>
                          <w:marTop w:val="0"/>
                          <w:marBottom w:val="0"/>
                          <w:divBdr>
                            <w:top w:val="none" w:sz="0" w:space="0" w:color="auto"/>
                            <w:left w:val="none" w:sz="0" w:space="0" w:color="auto"/>
                            <w:bottom w:val="none" w:sz="0" w:space="0" w:color="auto"/>
                            <w:right w:val="none" w:sz="0" w:space="0" w:color="auto"/>
                          </w:divBdr>
                          <w:divsChild>
                            <w:div w:id="33222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3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386831">
          <w:marLeft w:val="0"/>
          <w:marRight w:val="0"/>
          <w:marTop w:val="0"/>
          <w:marBottom w:val="0"/>
          <w:divBdr>
            <w:top w:val="none" w:sz="0" w:space="0" w:color="auto"/>
            <w:left w:val="none" w:sz="0" w:space="0" w:color="auto"/>
            <w:bottom w:val="none" w:sz="0" w:space="0" w:color="auto"/>
            <w:right w:val="none" w:sz="0" w:space="0" w:color="auto"/>
          </w:divBdr>
          <w:divsChild>
            <w:div w:id="817306722">
              <w:marLeft w:val="0"/>
              <w:marRight w:val="0"/>
              <w:marTop w:val="0"/>
              <w:marBottom w:val="0"/>
              <w:divBdr>
                <w:top w:val="none" w:sz="0" w:space="0" w:color="auto"/>
                <w:left w:val="none" w:sz="0" w:space="0" w:color="auto"/>
                <w:bottom w:val="none" w:sz="0" w:space="0" w:color="auto"/>
                <w:right w:val="none" w:sz="0" w:space="0" w:color="auto"/>
              </w:divBdr>
              <w:divsChild>
                <w:div w:id="623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994281">
          <w:marLeft w:val="0"/>
          <w:marRight w:val="0"/>
          <w:marTop w:val="0"/>
          <w:marBottom w:val="0"/>
          <w:divBdr>
            <w:top w:val="none" w:sz="0" w:space="0" w:color="auto"/>
            <w:left w:val="none" w:sz="0" w:space="0" w:color="auto"/>
            <w:bottom w:val="none" w:sz="0" w:space="0" w:color="auto"/>
            <w:right w:val="none" w:sz="0" w:space="0" w:color="auto"/>
          </w:divBdr>
          <w:divsChild>
            <w:div w:id="196477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599720">
      <w:bodyDiv w:val="1"/>
      <w:marLeft w:val="0"/>
      <w:marRight w:val="0"/>
      <w:marTop w:val="0"/>
      <w:marBottom w:val="0"/>
      <w:divBdr>
        <w:top w:val="none" w:sz="0" w:space="0" w:color="auto"/>
        <w:left w:val="none" w:sz="0" w:space="0" w:color="auto"/>
        <w:bottom w:val="none" w:sz="0" w:space="0" w:color="auto"/>
        <w:right w:val="none" w:sz="0" w:space="0" w:color="auto"/>
      </w:divBdr>
    </w:div>
    <w:div w:id="1233202327">
      <w:bodyDiv w:val="1"/>
      <w:marLeft w:val="0"/>
      <w:marRight w:val="0"/>
      <w:marTop w:val="0"/>
      <w:marBottom w:val="0"/>
      <w:divBdr>
        <w:top w:val="none" w:sz="0" w:space="0" w:color="auto"/>
        <w:left w:val="none" w:sz="0" w:space="0" w:color="auto"/>
        <w:bottom w:val="none" w:sz="0" w:space="0" w:color="auto"/>
        <w:right w:val="none" w:sz="0" w:space="0" w:color="auto"/>
      </w:divBdr>
    </w:div>
    <w:div w:id="1259873767">
      <w:bodyDiv w:val="1"/>
      <w:marLeft w:val="0"/>
      <w:marRight w:val="0"/>
      <w:marTop w:val="0"/>
      <w:marBottom w:val="0"/>
      <w:divBdr>
        <w:top w:val="none" w:sz="0" w:space="0" w:color="auto"/>
        <w:left w:val="none" w:sz="0" w:space="0" w:color="auto"/>
        <w:bottom w:val="none" w:sz="0" w:space="0" w:color="auto"/>
        <w:right w:val="none" w:sz="0" w:space="0" w:color="auto"/>
      </w:divBdr>
    </w:div>
    <w:div w:id="1263105197">
      <w:bodyDiv w:val="1"/>
      <w:marLeft w:val="0"/>
      <w:marRight w:val="0"/>
      <w:marTop w:val="0"/>
      <w:marBottom w:val="0"/>
      <w:divBdr>
        <w:top w:val="none" w:sz="0" w:space="0" w:color="auto"/>
        <w:left w:val="none" w:sz="0" w:space="0" w:color="auto"/>
        <w:bottom w:val="none" w:sz="0" w:space="0" w:color="auto"/>
        <w:right w:val="none" w:sz="0" w:space="0" w:color="auto"/>
      </w:divBdr>
    </w:div>
    <w:div w:id="1267079323">
      <w:bodyDiv w:val="1"/>
      <w:marLeft w:val="0"/>
      <w:marRight w:val="0"/>
      <w:marTop w:val="0"/>
      <w:marBottom w:val="0"/>
      <w:divBdr>
        <w:top w:val="none" w:sz="0" w:space="0" w:color="auto"/>
        <w:left w:val="none" w:sz="0" w:space="0" w:color="auto"/>
        <w:bottom w:val="none" w:sz="0" w:space="0" w:color="auto"/>
        <w:right w:val="none" w:sz="0" w:space="0" w:color="auto"/>
      </w:divBdr>
    </w:div>
    <w:div w:id="1299606917">
      <w:bodyDiv w:val="1"/>
      <w:marLeft w:val="0"/>
      <w:marRight w:val="0"/>
      <w:marTop w:val="0"/>
      <w:marBottom w:val="0"/>
      <w:divBdr>
        <w:top w:val="none" w:sz="0" w:space="0" w:color="auto"/>
        <w:left w:val="none" w:sz="0" w:space="0" w:color="auto"/>
        <w:bottom w:val="none" w:sz="0" w:space="0" w:color="auto"/>
        <w:right w:val="none" w:sz="0" w:space="0" w:color="auto"/>
      </w:divBdr>
    </w:div>
    <w:div w:id="1318458326">
      <w:bodyDiv w:val="1"/>
      <w:marLeft w:val="0"/>
      <w:marRight w:val="0"/>
      <w:marTop w:val="0"/>
      <w:marBottom w:val="0"/>
      <w:divBdr>
        <w:top w:val="none" w:sz="0" w:space="0" w:color="auto"/>
        <w:left w:val="none" w:sz="0" w:space="0" w:color="auto"/>
        <w:bottom w:val="none" w:sz="0" w:space="0" w:color="auto"/>
        <w:right w:val="none" w:sz="0" w:space="0" w:color="auto"/>
      </w:divBdr>
    </w:div>
    <w:div w:id="1334187654">
      <w:bodyDiv w:val="1"/>
      <w:marLeft w:val="0"/>
      <w:marRight w:val="0"/>
      <w:marTop w:val="0"/>
      <w:marBottom w:val="0"/>
      <w:divBdr>
        <w:top w:val="none" w:sz="0" w:space="0" w:color="auto"/>
        <w:left w:val="none" w:sz="0" w:space="0" w:color="auto"/>
        <w:bottom w:val="none" w:sz="0" w:space="0" w:color="auto"/>
        <w:right w:val="none" w:sz="0" w:space="0" w:color="auto"/>
      </w:divBdr>
    </w:div>
    <w:div w:id="1342506203">
      <w:bodyDiv w:val="1"/>
      <w:marLeft w:val="0"/>
      <w:marRight w:val="0"/>
      <w:marTop w:val="0"/>
      <w:marBottom w:val="0"/>
      <w:divBdr>
        <w:top w:val="none" w:sz="0" w:space="0" w:color="auto"/>
        <w:left w:val="none" w:sz="0" w:space="0" w:color="auto"/>
        <w:bottom w:val="none" w:sz="0" w:space="0" w:color="auto"/>
        <w:right w:val="none" w:sz="0" w:space="0" w:color="auto"/>
      </w:divBdr>
    </w:div>
    <w:div w:id="1344741889">
      <w:bodyDiv w:val="1"/>
      <w:marLeft w:val="0"/>
      <w:marRight w:val="0"/>
      <w:marTop w:val="0"/>
      <w:marBottom w:val="0"/>
      <w:divBdr>
        <w:top w:val="none" w:sz="0" w:space="0" w:color="auto"/>
        <w:left w:val="none" w:sz="0" w:space="0" w:color="auto"/>
        <w:bottom w:val="none" w:sz="0" w:space="0" w:color="auto"/>
        <w:right w:val="none" w:sz="0" w:space="0" w:color="auto"/>
      </w:divBdr>
    </w:div>
    <w:div w:id="1361785556">
      <w:bodyDiv w:val="1"/>
      <w:marLeft w:val="0"/>
      <w:marRight w:val="0"/>
      <w:marTop w:val="0"/>
      <w:marBottom w:val="0"/>
      <w:divBdr>
        <w:top w:val="none" w:sz="0" w:space="0" w:color="auto"/>
        <w:left w:val="none" w:sz="0" w:space="0" w:color="auto"/>
        <w:bottom w:val="none" w:sz="0" w:space="0" w:color="auto"/>
        <w:right w:val="none" w:sz="0" w:space="0" w:color="auto"/>
      </w:divBdr>
    </w:div>
    <w:div w:id="1368678365">
      <w:bodyDiv w:val="1"/>
      <w:marLeft w:val="0"/>
      <w:marRight w:val="0"/>
      <w:marTop w:val="0"/>
      <w:marBottom w:val="0"/>
      <w:divBdr>
        <w:top w:val="none" w:sz="0" w:space="0" w:color="auto"/>
        <w:left w:val="none" w:sz="0" w:space="0" w:color="auto"/>
        <w:bottom w:val="none" w:sz="0" w:space="0" w:color="auto"/>
        <w:right w:val="none" w:sz="0" w:space="0" w:color="auto"/>
      </w:divBdr>
    </w:div>
    <w:div w:id="1372071632">
      <w:bodyDiv w:val="1"/>
      <w:marLeft w:val="0"/>
      <w:marRight w:val="0"/>
      <w:marTop w:val="0"/>
      <w:marBottom w:val="0"/>
      <w:divBdr>
        <w:top w:val="none" w:sz="0" w:space="0" w:color="auto"/>
        <w:left w:val="none" w:sz="0" w:space="0" w:color="auto"/>
        <w:bottom w:val="none" w:sz="0" w:space="0" w:color="auto"/>
        <w:right w:val="none" w:sz="0" w:space="0" w:color="auto"/>
      </w:divBdr>
    </w:div>
    <w:div w:id="1374307012">
      <w:bodyDiv w:val="1"/>
      <w:marLeft w:val="0"/>
      <w:marRight w:val="0"/>
      <w:marTop w:val="0"/>
      <w:marBottom w:val="0"/>
      <w:divBdr>
        <w:top w:val="none" w:sz="0" w:space="0" w:color="auto"/>
        <w:left w:val="none" w:sz="0" w:space="0" w:color="auto"/>
        <w:bottom w:val="none" w:sz="0" w:space="0" w:color="auto"/>
        <w:right w:val="none" w:sz="0" w:space="0" w:color="auto"/>
      </w:divBdr>
    </w:div>
    <w:div w:id="1374310488">
      <w:bodyDiv w:val="1"/>
      <w:marLeft w:val="0"/>
      <w:marRight w:val="0"/>
      <w:marTop w:val="0"/>
      <w:marBottom w:val="0"/>
      <w:divBdr>
        <w:top w:val="none" w:sz="0" w:space="0" w:color="auto"/>
        <w:left w:val="none" w:sz="0" w:space="0" w:color="auto"/>
        <w:bottom w:val="none" w:sz="0" w:space="0" w:color="auto"/>
        <w:right w:val="none" w:sz="0" w:space="0" w:color="auto"/>
      </w:divBdr>
    </w:div>
    <w:div w:id="1388337159">
      <w:bodyDiv w:val="1"/>
      <w:marLeft w:val="0"/>
      <w:marRight w:val="0"/>
      <w:marTop w:val="0"/>
      <w:marBottom w:val="0"/>
      <w:divBdr>
        <w:top w:val="none" w:sz="0" w:space="0" w:color="auto"/>
        <w:left w:val="none" w:sz="0" w:space="0" w:color="auto"/>
        <w:bottom w:val="none" w:sz="0" w:space="0" w:color="auto"/>
        <w:right w:val="none" w:sz="0" w:space="0" w:color="auto"/>
      </w:divBdr>
    </w:div>
    <w:div w:id="1389768673">
      <w:bodyDiv w:val="1"/>
      <w:marLeft w:val="0"/>
      <w:marRight w:val="0"/>
      <w:marTop w:val="0"/>
      <w:marBottom w:val="0"/>
      <w:divBdr>
        <w:top w:val="none" w:sz="0" w:space="0" w:color="auto"/>
        <w:left w:val="none" w:sz="0" w:space="0" w:color="auto"/>
        <w:bottom w:val="none" w:sz="0" w:space="0" w:color="auto"/>
        <w:right w:val="none" w:sz="0" w:space="0" w:color="auto"/>
      </w:divBdr>
    </w:div>
    <w:div w:id="1406144931">
      <w:bodyDiv w:val="1"/>
      <w:marLeft w:val="0"/>
      <w:marRight w:val="0"/>
      <w:marTop w:val="0"/>
      <w:marBottom w:val="0"/>
      <w:divBdr>
        <w:top w:val="none" w:sz="0" w:space="0" w:color="auto"/>
        <w:left w:val="none" w:sz="0" w:space="0" w:color="auto"/>
        <w:bottom w:val="none" w:sz="0" w:space="0" w:color="auto"/>
        <w:right w:val="none" w:sz="0" w:space="0" w:color="auto"/>
      </w:divBdr>
    </w:div>
    <w:div w:id="1415128855">
      <w:bodyDiv w:val="1"/>
      <w:marLeft w:val="0"/>
      <w:marRight w:val="0"/>
      <w:marTop w:val="0"/>
      <w:marBottom w:val="0"/>
      <w:divBdr>
        <w:top w:val="none" w:sz="0" w:space="0" w:color="auto"/>
        <w:left w:val="none" w:sz="0" w:space="0" w:color="auto"/>
        <w:bottom w:val="none" w:sz="0" w:space="0" w:color="auto"/>
        <w:right w:val="none" w:sz="0" w:space="0" w:color="auto"/>
      </w:divBdr>
    </w:div>
    <w:div w:id="1418941521">
      <w:bodyDiv w:val="1"/>
      <w:marLeft w:val="0"/>
      <w:marRight w:val="0"/>
      <w:marTop w:val="0"/>
      <w:marBottom w:val="0"/>
      <w:divBdr>
        <w:top w:val="none" w:sz="0" w:space="0" w:color="auto"/>
        <w:left w:val="none" w:sz="0" w:space="0" w:color="auto"/>
        <w:bottom w:val="none" w:sz="0" w:space="0" w:color="auto"/>
        <w:right w:val="none" w:sz="0" w:space="0" w:color="auto"/>
      </w:divBdr>
    </w:div>
    <w:div w:id="1419986099">
      <w:bodyDiv w:val="1"/>
      <w:marLeft w:val="0"/>
      <w:marRight w:val="0"/>
      <w:marTop w:val="0"/>
      <w:marBottom w:val="0"/>
      <w:divBdr>
        <w:top w:val="none" w:sz="0" w:space="0" w:color="auto"/>
        <w:left w:val="none" w:sz="0" w:space="0" w:color="auto"/>
        <w:bottom w:val="none" w:sz="0" w:space="0" w:color="auto"/>
        <w:right w:val="none" w:sz="0" w:space="0" w:color="auto"/>
      </w:divBdr>
    </w:div>
    <w:div w:id="1428192495">
      <w:bodyDiv w:val="1"/>
      <w:marLeft w:val="0"/>
      <w:marRight w:val="0"/>
      <w:marTop w:val="0"/>
      <w:marBottom w:val="0"/>
      <w:divBdr>
        <w:top w:val="none" w:sz="0" w:space="0" w:color="auto"/>
        <w:left w:val="none" w:sz="0" w:space="0" w:color="auto"/>
        <w:bottom w:val="none" w:sz="0" w:space="0" w:color="auto"/>
        <w:right w:val="none" w:sz="0" w:space="0" w:color="auto"/>
      </w:divBdr>
    </w:div>
    <w:div w:id="1467774918">
      <w:bodyDiv w:val="1"/>
      <w:marLeft w:val="0"/>
      <w:marRight w:val="0"/>
      <w:marTop w:val="0"/>
      <w:marBottom w:val="0"/>
      <w:divBdr>
        <w:top w:val="none" w:sz="0" w:space="0" w:color="auto"/>
        <w:left w:val="none" w:sz="0" w:space="0" w:color="auto"/>
        <w:bottom w:val="none" w:sz="0" w:space="0" w:color="auto"/>
        <w:right w:val="none" w:sz="0" w:space="0" w:color="auto"/>
      </w:divBdr>
    </w:div>
    <w:div w:id="1469319574">
      <w:bodyDiv w:val="1"/>
      <w:marLeft w:val="0"/>
      <w:marRight w:val="0"/>
      <w:marTop w:val="0"/>
      <w:marBottom w:val="0"/>
      <w:divBdr>
        <w:top w:val="none" w:sz="0" w:space="0" w:color="auto"/>
        <w:left w:val="none" w:sz="0" w:space="0" w:color="auto"/>
        <w:bottom w:val="none" w:sz="0" w:space="0" w:color="auto"/>
        <w:right w:val="none" w:sz="0" w:space="0" w:color="auto"/>
      </w:divBdr>
    </w:div>
    <w:div w:id="1483044374">
      <w:bodyDiv w:val="1"/>
      <w:marLeft w:val="0"/>
      <w:marRight w:val="0"/>
      <w:marTop w:val="0"/>
      <w:marBottom w:val="0"/>
      <w:divBdr>
        <w:top w:val="none" w:sz="0" w:space="0" w:color="auto"/>
        <w:left w:val="none" w:sz="0" w:space="0" w:color="auto"/>
        <w:bottom w:val="none" w:sz="0" w:space="0" w:color="auto"/>
        <w:right w:val="none" w:sz="0" w:space="0" w:color="auto"/>
      </w:divBdr>
    </w:div>
    <w:div w:id="1498304645">
      <w:bodyDiv w:val="1"/>
      <w:marLeft w:val="0"/>
      <w:marRight w:val="0"/>
      <w:marTop w:val="0"/>
      <w:marBottom w:val="0"/>
      <w:divBdr>
        <w:top w:val="none" w:sz="0" w:space="0" w:color="auto"/>
        <w:left w:val="none" w:sz="0" w:space="0" w:color="auto"/>
        <w:bottom w:val="none" w:sz="0" w:space="0" w:color="auto"/>
        <w:right w:val="none" w:sz="0" w:space="0" w:color="auto"/>
      </w:divBdr>
    </w:div>
    <w:div w:id="1500345156">
      <w:bodyDiv w:val="1"/>
      <w:marLeft w:val="0"/>
      <w:marRight w:val="0"/>
      <w:marTop w:val="0"/>
      <w:marBottom w:val="0"/>
      <w:divBdr>
        <w:top w:val="none" w:sz="0" w:space="0" w:color="auto"/>
        <w:left w:val="none" w:sz="0" w:space="0" w:color="auto"/>
        <w:bottom w:val="none" w:sz="0" w:space="0" w:color="auto"/>
        <w:right w:val="none" w:sz="0" w:space="0" w:color="auto"/>
      </w:divBdr>
    </w:div>
    <w:div w:id="1507944682">
      <w:bodyDiv w:val="1"/>
      <w:marLeft w:val="0"/>
      <w:marRight w:val="0"/>
      <w:marTop w:val="0"/>
      <w:marBottom w:val="0"/>
      <w:divBdr>
        <w:top w:val="none" w:sz="0" w:space="0" w:color="auto"/>
        <w:left w:val="none" w:sz="0" w:space="0" w:color="auto"/>
        <w:bottom w:val="none" w:sz="0" w:space="0" w:color="auto"/>
        <w:right w:val="none" w:sz="0" w:space="0" w:color="auto"/>
      </w:divBdr>
    </w:div>
    <w:div w:id="1510485244">
      <w:bodyDiv w:val="1"/>
      <w:marLeft w:val="0"/>
      <w:marRight w:val="0"/>
      <w:marTop w:val="0"/>
      <w:marBottom w:val="0"/>
      <w:divBdr>
        <w:top w:val="none" w:sz="0" w:space="0" w:color="auto"/>
        <w:left w:val="none" w:sz="0" w:space="0" w:color="auto"/>
        <w:bottom w:val="none" w:sz="0" w:space="0" w:color="auto"/>
        <w:right w:val="none" w:sz="0" w:space="0" w:color="auto"/>
      </w:divBdr>
    </w:div>
    <w:div w:id="1519462308">
      <w:bodyDiv w:val="1"/>
      <w:marLeft w:val="0"/>
      <w:marRight w:val="0"/>
      <w:marTop w:val="0"/>
      <w:marBottom w:val="0"/>
      <w:divBdr>
        <w:top w:val="none" w:sz="0" w:space="0" w:color="auto"/>
        <w:left w:val="none" w:sz="0" w:space="0" w:color="auto"/>
        <w:bottom w:val="none" w:sz="0" w:space="0" w:color="auto"/>
        <w:right w:val="none" w:sz="0" w:space="0" w:color="auto"/>
      </w:divBdr>
    </w:div>
    <w:div w:id="1565331974">
      <w:bodyDiv w:val="1"/>
      <w:marLeft w:val="0"/>
      <w:marRight w:val="0"/>
      <w:marTop w:val="0"/>
      <w:marBottom w:val="0"/>
      <w:divBdr>
        <w:top w:val="none" w:sz="0" w:space="0" w:color="auto"/>
        <w:left w:val="none" w:sz="0" w:space="0" w:color="auto"/>
        <w:bottom w:val="none" w:sz="0" w:space="0" w:color="auto"/>
        <w:right w:val="none" w:sz="0" w:space="0" w:color="auto"/>
      </w:divBdr>
    </w:div>
    <w:div w:id="1626036487">
      <w:bodyDiv w:val="1"/>
      <w:marLeft w:val="0"/>
      <w:marRight w:val="0"/>
      <w:marTop w:val="0"/>
      <w:marBottom w:val="0"/>
      <w:divBdr>
        <w:top w:val="none" w:sz="0" w:space="0" w:color="auto"/>
        <w:left w:val="none" w:sz="0" w:space="0" w:color="auto"/>
        <w:bottom w:val="none" w:sz="0" w:space="0" w:color="auto"/>
        <w:right w:val="none" w:sz="0" w:space="0" w:color="auto"/>
      </w:divBdr>
    </w:div>
    <w:div w:id="1637447425">
      <w:bodyDiv w:val="1"/>
      <w:marLeft w:val="0"/>
      <w:marRight w:val="0"/>
      <w:marTop w:val="0"/>
      <w:marBottom w:val="0"/>
      <w:divBdr>
        <w:top w:val="none" w:sz="0" w:space="0" w:color="auto"/>
        <w:left w:val="none" w:sz="0" w:space="0" w:color="auto"/>
        <w:bottom w:val="none" w:sz="0" w:space="0" w:color="auto"/>
        <w:right w:val="none" w:sz="0" w:space="0" w:color="auto"/>
      </w:divBdr>
    </w:div>
    <w:div w:id="1639653550">
      <w:bodyDiv w:val="1"/>
      <w:marLeft w:val="0"/>
      <w:marRight w:val="0"/>
      <w:marTop w:val="0"/>
      <w:marBottom w:val="0"/>
      <w:divBdr>
        <w:top w:val="none" w:sz="0" w:space="0" w:color="auto"/>
        <w:left w:val="none" w:sz="0" w:space="0" w:color="auto"/>
        <w:bottom w:val="none" w:sz="0" w:space="0" w:color="auto"/>
        <w:right w:val="none" w:sz="0" w:space="0" w:color="auto"/>
      </w:divBdr>
    </w:div>
    <w:div w:id="1639803139">
      <w:bodyDiv w:val="1"/>
      <w:marLeft w:val="0"/>
      <w:marRight w:val="0"/>
      <w:marTop w:val="0"/>
      <w:marBottom w:val="0"/>
      <w:divBdr>
        <w:top w:val="none" w:sz="0" w:space="0" w:color="auto"/>
        <w:left w:val="none" w:sz="0" w:space="0" w:color="auto"/>
        <w:bottom w:val="none" w:sz="0" w:space="0" w:color="auto"/>
        <w:right w:val="none" w:sz="0" w:space="0" w:color="auto"/>
      </w:divBdr>
    </w:div>
    <w:div w:id="1672175815">
      <w:bodyDiv w:val="1"/>
      <w:marLeft w:val="0"/>
      <w:marRight w:val="0"/>
      <w:marTop w:val="0"/>
      <w:marBottom w:val="0"/>
      <w:divBdr>
        <w:top w:val="none" w:sz="0" w:space="0" w:color="auto"/>
        <w:left w:val="none" w:sz="0" w:space="0" w:color="auto"/>
        <w:bottom w:val="none" w:sz="0" w:space="0" w:color="auto"/>
        <w:right w:val="none" w:sz="0" w:space="0" w:color="auto"/>
      </w:divBdr>
    </w:div>
    <w:div w:id="1697004952">
      <w:bodyDiv w:val="1"/>
      <w:marLeft w:val="0"/>
      <w:marRight w:val="0"/>
      <w:marTop w:val="0"/>
      <w:marBottom w:val="0"/>
      <w:divBdr>
        <w:top w:val="none" w:sz="0" w:space="0" w:color="auto"/>
        <w:left w:val="none" w:sz="0" w:space="0" w:color="auto"/>
        <w:bottom w:val="none" w:sz="0" w:space="0" w:color="auto"/>
        <w:right w:val="none" w:sz="0" w:space="0" w:color="auto"/>
      </w:divBdr>
    </w:div>
    <w:div w:id="1717705595">
      <w:bodyDiv w:val="1"/>
      <w:marLeft w:val="0"/>
      <w:marRight w:val="0"/>
      <w:marTop w:val="0"/>
      <w:marBottom w:val="0"/>
      <w:divBdr>
        <w:top w:val="none" w:sz="0" w:space="0" w:color="auto"/>
        <w:left w:val="none" w:sz="0" w:space="0" w:color="auto"/>
        <w:bottom w:val="none" w:sz="0" w:space="0" w:color="auto"/>
        <w:right w:val="none" w:sz="0" w:space="0" w:color="auto"/>
      </w:divBdr>
    </w:div>
    <w:div w:id="1726218390">
      <w:bodyDiv w:val="1"/>
      <w:marLeft w:val="0"/>
      <w:marRight w:val="0"/>
      <w:marTop w:val="0"/>
      <w:marBottom w:val="0"/>
      <w:divBdr>
        <w:top w:val="none" w:sz="0" w:space="0" w:color="auto"/>
        <w:left w:val="none" w:sz="0" w:space="0" w:color="auto"/>
        <w:bottom w:val="none" w:sz="0" w:space="0" w:color="auto"/>
        <w:right w:val="none" w:sz="0" w:space="0" w:color="auto"/>
      </w:divBdr>
    </w:div>
    <w:div w:id="1731808828">
      <w:bodyDiv w:val="1"/>
      <w:marLeft w:val="0"/>
      <w:marRight w:val="0"/>
      <w:marTop w:val="0"/>
      <w:marBottom w:val="0"/>
      <w:divBdr>
        <w:top w:val="none" w:sz="0" w:space="0" w:color="auto"/>
        <w:left w:val="none" w:sz="0" w:space="0" w:color="auto"/>
        <w:bottom w:val="none" w:sz="0" w:space="0" w:color="auto"/>
        <w:right w:val="none" w:sz="0" w:space="0" w:color="auto"/>
      </w:divBdr>
    </w:div>
    <w:div w:id="1736121063">
      <w:bodyDiv w:val="1"/>
      <w:marLeft w:val="0"/>
      <w:marRight w:val="0"/>
      <w:marTop w:val="0"/>
      <w:marBottom w:val="0"/>
      <w:divBdr>
        <w:top w:val="none" w:sz="0" w:space="0" w:color="auto"/>
        <w:left w:val="none" w:sz="0" w:space="0" w:color="auto"/>
        <w:bottom w:val="none" w:sz="0" w:space="0" w:color="auto"/>
        <w:right w:val="none" w:sz="0" w:space="0" w:color="auto"/>
      </w:divBdr>
    </w:div>
    <w:div w:id="1736463342">
      <w:bodyDiv w:val="1"/>
      <w:marLeft w:val="0"/>
      <w:marRight w:val="0"/>
      <w:marTop w:val="0"/>
      <w:marBottom w:val="0"/>
      <w:divBdr>
        <w:top w:val="none" w:sz="0" w:space="0" w:color="auto"/>
        <w:left w:val="none" w:sz="0" w:space="0" w:color="auto"/>
        <w:bottom w:val="none" w:sz="0" w:space="0" w:color="auto"/>
        <w:right w:val="none" w:sz="0" w:space="0" w:color="auto"/>
      </w:divBdr>
    </w:div>
    <w:div w:id="1769542506">
      <w:bodyDiv w:val="1"/>
      <w:marLeft w:val="0"/>
      <w:marRight w:val="0"/>
      <w:marTop w:val="0"/>
      <w:marBottom w:val="0"/>
      <w:divBdr>
        <w:top w:val="none" w:sz="0" w:space="0" w:color="auto"/>
        <w:left w:val="none" w:sz="0" w:space="0" w:color="auto"/>
        <w:bottom w:val="none" w:sz="0" w:space="0" w:color="auto"/>
        <w:right w:val="none" w:sz="0" w:space="0" w:color="auto"/>
      </w:divBdr>
    </w:div>
    <w:div w:id="1774203633">
      <w:bodyDiv w:val="1"/>
      <w:marLeft w:val="0"/>
      <w:marRight w:val="0"/>
      <w:marTop w:val="0"/>
      <w:marBottom w:val="0"/>
      <w:divBdr>
        <w:top w:val="none" w:sz="0" w:space="0" w:color="auto"/>
        <w:left w:val="none" w:sz="0" w:space="0" w:color="auto"/>
        <w:bottom w:val="none" w:sz="0" w:space="0" w:color="auto"/>
        <w:right w:val="none" w:sz="0" w:space="0" w:color="auto"/>
      </w:divBdr>
    </w:div>
    <w:div w:id="1778714922">
      <w:bodyDiv w:val="1"/>
      <w:marLeft w:val="0"/>
      <w:marRight w:val="0"/>
      <w:marTop w:val="0"/>
      <w:marBottom w:val="0"/>
      <w:divBdr>
        <w:top w:val="none" w:sz="0" w:space="0" w:color="auto"/>
        <w:left w:val="none" w:sz="0" w:space="0" w:color="auto"/>
        <w:bottom w:val="none" w:sz="0" w:space="0" w:color="auto"/>
        <w:right w:val="none" w:sz="0" w:space="0" w:color="auto"/>
      </w:divBdr>
    </w:div>
    <w:div w:id="1780950762">
      <w:bodyDiv w:val="1"/>
      <w:marLeft w:val="0"/>
      <w:marRight w:val="0"/>
      <w:marTop w:val="0"/>
      <w:marBottom w:val="0"/>
      <w:divBdr>
        <w:top w:val="none" w:sz="0" w:space="0" w:color="auto"/>
        <w:left w:val="none" w:sz="0" w:space="0" w:color="auto"/>
        <w:bottom w:val="none" w:sz="0" w:space="0" w:color="auto"/>
        <w:right w:val="none" w:sz="0" w:space="0" w:color="auto"/>
      </w:divBdr>
    </w:div>
    <w:div w:id="1788619088">
      <w:bodyDiv w:val="1"/>
      <w:marLeft w:val="0"/>
      <w:marRight w:val="0"/>
      <w:marTop w:val="0"/>
      <w:marBottom w:val="0"/>
      <w:divBdr>
        <w:top w:val="none" w:sz="0" w:space="0" w:color="auto"/>
        <w:left w:val="none" w:sz="0" w:space="0" w:color="auto"/>
        <w:bottom w:val="none" w:sz="0" w:space="0" w:color="auto"/>
        <w:right w:val="none" w:sz="0" w:space="0" w:color="auto"/>
      </w:divBdr>
    </w:div>
    <w:div w:id="1809587094">
      <w:bodyDiv w:val="1"/>
      <w:marLeft w:val="0"/>
      <w:marRight w:val="0"/>
      <w:marTop w:val="0"/>
      <w:marBottom w:val="0"/>
      <w:divBdr>
        <w:top w:val="none" w:sz="0" w:space="0" w:color="auto"/>
        <w:left w:val="none" w:sz="0" w:space="0" w:color="auto"/>
        <w:bottom w:val="none" w:sz="0" w:space="0" w:color="auto"/>
        <w:right w:val="none" w:sz="0" w:space="0" w:color="auto"/>
      </w:divBdr>
    </w:div>
    <w:div w:id="1822187415">
      <w:bodyDiv w:val="1"/>
      <w:marLeft w:val="0"/>
      <w:marRight w:val="0"/>
      <w:marTop w:val="0"/>
      <w:marBottom w:val="0"/>
      <w:divBdr>
        <w:top w:val="none" w:sz="0" w:space="0" w:color="auto"/>
        <w:left w:val="none" w:sz="0" w:space="0" w:color="auto"/>
        <w:bottom w:val="none" w:sz="0" w:space="0" w:color="auto"/>
        <w:right w:val="none" w:sz="0" w:space="0" w:color="auto"/>
      </w:divBdr>
    </w:div>
    <w:div w:id="1836266949">
      <w:bodyDiv w:val="1"/>
      <w:marLeft w:val="0"/>
      <w:marRight w:val="0"/>
      <w:marTop w:val="0"/>
      <w:marBottom w:val="0"/>
      <w:divBdr>
        <w:top w:val="none" w:sz="0" w:space="0" w:color="auto"/>
        <w:left w:val="none" w:sz="0" w:space="0" w:color="auto"/>
        <w:bottom w:val="none" w:sz="0" w:space="0" w:color="auto"/>
        <w:right w:val="none" w:sz="0" w:space="0" w:color="auto"/>
      </w:divBdr>
    </w:div>
    <w:div w:id="1840269660">
      <w:bodyDiv w:val="1"/>
      <w:marLeft w:val="0"/>
      <w:marRight w:val="0"/>
      <w:marTop w:val="0"/>
      <w:marBottom w:val="0"/>
      <w:divBdr>
        <w:top w:val="none" w:sz="0" w:space="0" w:color="auto"/>
        <w:left w:val="none" w:sz="0" w:space="0" w:color="auto"/>
        <w:bottom w:val="none" w:sz="0" w:space="0" w:color="auto"/>
        <w:right w:val="none" w:sz="0" w:space="0" w:color="auto"/>
      </w:divBdr>
    </w:div>
    <w:div w:id="1841506261">
      <w:bodyDiv w:val="1"/>
      <w:marLeft w:val="0"/>
      <w:marRight w:val="0"/>
      <w:marTop w:val="0"/>
      <w:marBottom w:val="0"/>
      <w:divBdr>
        <w:top w:val="none" w:sz="0" w:space="0" w:color="auto"/>
        <w:left w:val="none" w:sz="0" w:space="0" w:color="auto"/>
        <w:bottom w:val="none" w:sz="0" w:space="0" w:color="auto"/>
        <w:right w:val="none" w:sz="0" w:space="0" w:color="auto"/>
      </w:divBdr>
    </w:div>
    <w:div w:id="1841583490">
      <w:bodyDiv w:val="1"/>
      <w:marLeft w:val="0"/>
      <w:marRight w:val="0"/>
      <w:marTop w:val="0"/>
      <w:marBottom w:val="0"/>
      <w:divBdr>
        <w:top w:val="none" w:sz="0" w:space="0" w:color="auto"/>
        <w:left w:val="none" w:sz="0" w:space="0" w:color="auto"/>
        <w:bottom w:val="none" w:sz="0" w:space="0" w:color="auto"/>
        <w:right w:val="none" w:sz="0" w:space="0" w:color="auto"/>
      </w:divBdr>
    </w:div>
    <w:div w:id="1842425188">
      <w:bodyDiv w:val="1"/>
      <w:marLeft w:val="0"/>
      <w:marRight w:val="0"/>
      <w:marTop w:val="0"/>
      <w:marBottom w:val="0"/>
      <w:divBdr>
        <w:top w:val="none" w:sz="0" w:space="0" w:color="auto"/>
        <w:left w:val="none" w:sz="0" w:space="0" w:color="auto"/>
        <w:bottom w:val="none" w:sz="0" w:space="0" w:color="auto"/>
        <w:right w:val="none" w:sz="0" w:space="0" w:color="auto"/>
      </w:divBdr>
    </w:div>
    <w:div w:id="1919097239">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1955286850">
      <w:bodyDiv w:val="1"/>
      <w:marLeft w:val="0"/>
      <w:marRight w:val="0"/>
      <w:marTop w:val="0"/>
      <w:marBottom w:val="0"/>
      <w:divBdr>
        <w:top w:val="none" w:sz="0" w:space="0" w:color="auto"/>
        <w:left w:val="none" w:sz="0" w:space="0" w:color="auto"/>
        <w:bottom w:val="none" w:sz="0" w:space="0" w:color="auto"/>
        <w:right w:val="none" w:sz="0" w:space="0" w:color="auto"/>
      </w:divBdr>
    </w:div>
    <w:div w:id="1957711035">
      <w:bodyDiv w:val="1"/>
      <w:marLeft w:val="0"/>
      <w:marRight w:val="0"/>
      <w:marTop w:val="0"/>
      <w:marBottom w:val="0"/>
      <w:divBdr>
        <w:top w:val="none" w:sz="0" w:space="0" w:color="auto"/>
        <w:left w:val="none" w:sz="0" w:space="0" w:color="auto"/>
        <w:bottom w:val="none" w:sz="0" w:space="0" w:color="auto"/>
        <w:right w:val="none" w:sz="0" w:space="0" w:color="auto"/>
      </w:divBdr>
    </w:div>
    <w:div w:id="1995261586">
      <w:bodyDiv w:val="1"/>
      <w:marLeft w:val="0"/>
      <w:marRight w:val="0"/>
      <w:marTop w:val="0"/>
      <w:marBottom w:val="0"/>
      <w:divBdr>
        <w:top w:val="none" w:sz="0" w:space="0" w:color="auto"/>
        <w:left w:val="none" w:sz="0" w:space="0" w:color="auto"/>
        <w:bottom w:val="none" w:sz="0" w:space="0" w:color="auto"/>
        <w:right w:val="none" w:sz="0" w:space="0" w:color="auto"/>
      </w:divBdr>
      <w:divsChild>
        <w:div w:id="24066152">
          <w:marLeft w:val="0"/>
          <w:marRight w:val="0"/>
          <w:marTop w:val="0"/>
          <w:marBottom w:val="0"/>
          <w:divBdr>
            <w:top w:val="none" w:sz="0" w:space="0" w:color="auto"/>
            <w:left w:val="none" w:sz="0" w:space="0" w:color="auto"/>
            <w:bottom w:val="none" w:sz="0" w:space="0" w:color="auto"/>
            <w:right w:val="none" w:sz="0" w:space="0" w:color="auto"/>
          </w:divBdr>
          <w:divsChild>
            <w:div w:id="414519316">
              <w:marLeft w:val="0"/>
              <w:marRight w:val="0"/>
              <w:marTop w:val="0"/>
              <w:marBottom w:val="0"/>
              <w:divBdr>
                <w:top w:val="none" w:sz="0" w:space="0" w:color="auto"/>
                <w:left w:val="none" w:sz="0" w:space="0" w:color="auto"/>
                <w:bottom w:val="none" w:sz="0" w:space="0" w:color="auto"/>
                <w:right w:val="none" w:sz="0" w:space="0" w:color="auto"/>
              </w:divBdr>
              <w:divsChild>
                <w:div w:id="1969891084">
                  <w:marLeft w:val="0"/>
                  <w:marRight w:val="0"/>
                  <w:marTop w:val="0"/>
                  <w:marBottom w:val="0"/>
                  <w:divBdr>
                    <w:top w:val="none" w:sz="0" w:space="0" w:color="auto"/>
                    <w:left w:val="none" w:sz="0" w:space="0" w:color="auto"/>
                    <w:bottom w:val="none" w:sz="0" w:space="0" w:color="auto"/>
                    <w:right w:val="none" w:sz="0" w:space="0" w:color="auto"/>
                  </w:divBdr>
                  <w:divsChild>
                    <w:div w:id="176568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47012">
              <w:marLeft w:val="0"/>
              <w:marRight w:val="0"/>
              <w:marTop w:val="0"/>
              <w:marBottom w:val="0"/>
              <w:divBdr>
                <w:top w:val="none" w:sz="0" w:space="0" w:color="auto"/>
                <w:left w:val="none" w:sz="0" w:space="0" w:color="auto"/>
                <w:bottom w:val="none" w:sz="0" w:space="0" w:color="auto"/>
                <w:right w:val="none" w:sz="0" w:space="0" w:color="auto"/>
              </w:divBdr>
              <w:divsChild>
                <w:div w:id="671446378">
                  <w:marLeft w:val="0"/>
                  <w:marRight w:val="0"/>
                  <w:marTop w:val="0"/>
                  <w:marBottom w:val="0"/>
                  <w:divBdr>
                    <w:top w:val="none" w:sz="0" w:space="0" w:color="auto"/>
                    <w:left w:val="none" w:sz="0" w:space="0" w:color="auto"/>
                    <w:bottom w:val="none" w:sz="0" w:space="0" w:color="auto"/>
                    <w:right w:val="none" w:sz="0" w:space="0" w:color="auto"/>
                  </w:divBdr>
                  <w:divsChild>
                    <w:div w:id="14563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317743">
              <w:marLeft w:val="0"/>
              <w:marRight w:val="0"/>
              <w:marTop w:val="0"/>
              <w:marBottom w:val="0"/>
              <w:divBdr>
                <w:top w:val="none" w:sz="0" w:space="0" w:color="auto"/>
                <w:left w:val="none" w:sz="0" w:space="0" w:color="auto"/>
                <w:bottom w:val="none" w:sz="0" w:space="0" w:color="auto"/>
                <w:right w:val="none" w:sz="0" w:space="0" w:color="auto"/>
              </w:divBdr>
              <w:divsChild>
                <w:div w:id="708578497">
                  <w:marLeft w:val="0"/>
                  <w:marRight w:val="0"/>
                  <w:marTop w:val="0"/>
                  <w:marBottom w:val="0"/>
                  <w:divBdr>
                    <w:top w:val="none" w:sz="0" w:space="0" w:color="auto"/>
                    <w:left w:val="none" w:sz="0" w:space="0" w:color="auto"/>
                    <w:bottom w:val="none" w:sz="0" w:space="0" w:color="auto"/>
                    <w:right w:val="none" w:sz="0" w:space="0" w:color="auto"/>
                  </w:divBdr>
                  <w:divsChild>
                    <w:div w:id="7497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47808">
              <w:marLeft w:val="0"/>
              <w:marRight w:val="0"/>
              <w:marTop w:val="0"/>
              <w:marBottom w:val="0"/>
              <w:divBdr>
                <w:top w:val="none" w:sz="0" w:space="0" w:color="auto"/>
                <w:left w:val="none" w:sz="0" w:space="0" w:color="auto"/>
                <w:bottom w:val="none" w:sz="0" w:space="0" w:color="auto"/>
                <w:right w:val="none" w:sz="0" w:space="0" w:color="auto"/>
              </w:divBdr>
              <w:divsChild>
                <w:div w:id="713819586">
                  <w:marLeft w:val="0"/>
                  <w:marRight w:val="0"/>
                  <w:marTop w:val="0"/>
                  <w:marBottom w:val="0"/>
                  <w:divBdr>
                    <w:top w:val="none" w:sz="0" w:space="0" w:color="auto"/>
                    <w:left w:val="none" w:sz="0" w:space="0" w:color="auto"/>
                    <w:bottom w:val="none" w:sz="0" w:space="0" w:color="auto"/>
                    <w:right w:val="none" w:sz="0" w:space="0" w:color="auto"/>
                  </w:divBdr>
                  <w:divsChild>
                    <w:div w:id="14367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501">
          <w:marLeft w:val="0"/>
          <w:marRight w:val="0"/>
          <w:marTop w:val="0"/>
          <w:marBottom w:val="0"/>
          <w:divBdr>
            <w:top w:val="none" w:sz="0" w:space="0" w:color="auto"/>
            <w:left w:val="none" w:sz="0" w:space="0" w:color="auto"/>
            <w:bottom w:val="none" w:sz="0" w:space="0" w:color="auto"/>
            <w:right w:val="none" w:sz="0" w:space="0" w:color="auto"/>
          </w:divBdr>
        </w:div>
        <w:div w:id="31341900">
          <w:marLeft w:val="0"/>
          <w:marRight w:val="0"/>
          <w:marTop w:val="0"/>
          <w:marBottom w:val="0"/>
          <w:divBdr>
            <w:top w:val="none" w:sz="0" w:space="0" w:color="auto"/>
            <w:left w:val="none" w:sz="0" w:space="0" w:color="auto"/>
            <w:bottom w:val="none" w:sz="0" w:space="0" w:color="auto"/>
            <w:right w:val="none" w:sz="0" w:space="0" w:color="auto"/>
          </w:divBdr>
          <w:divsChild>
            <w:div w:id="556666047">
              <w:marLeft w:val="0"/>
              <w:marRight w:val="0"/>
              <w:marTop w:val="0"/>
              <w:marBottom w:val="0"/>
              <w:divBdr>
                <w:top w:val="none" w:sz="0" w:space="0" w:color="auto"/>
                <w:left w:val="none" w:sz="0" w:space="0" w:color="auto"/>
                <w:bottom w:val="none" w:sz="0" w:space="0" w:color="auto"/>
                <w:right w:val="none" w:sz="0" w:space="0" w:color="auto"/>
              </w:divBdr>
              <w:divsChild>
                <w:div w:id="711466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59014">
          <w:marLeft w:val="0"/>
          <w:marRight w:val="0"/>
          <w:marTop w:val="0"/>
          <w:marBottom w:val="0"/>
          <w:divBdr>
            <w:top w:val="none" w:sz="0" w:space="0" w:color="auto"/>
            <w:left w:val="none" w:sz="0" w:space="0" w:color="auto"/>
            <w:bottom w:val="none" w:sz="0" w:space="0" w:color="auto"/>
            <w:right w:val="none" w:sz="0" w:space="0" w:color="auto"/>
          </w:divBdr>
          <w:divsChild>
            <w:div w:id="1232890534">
              <w:marLeft w:val="0"/>
              <w:marRight w:val="0"/>
              <w:marTop w:val="0"/>
              <w:marBottom w:val="0"/>
              <w:divBdr>
                <w:top w:val="none" w:sz="0" w:space="0" w:color="auto"/>
                <w:left w:val="none" w:sz="0" w:space="0" w:color="auto"/>
                <w:bottom w:val="none" w:sz="0" w:space="0" w:color="auto"/>
                <w:right w:val="none" w:sz="0" w:space="0" w:color="auto"/>
              </w:divBdr>
            </w:div>
            <w:div w:id="1457988864">
              <w:marLeft w:val="0"/>
              <w:marRight w:val="0"/>
              <w:marTop w:val="0"/>
              <w:marBottom w:val="0"/>
              <w:divBdr>
                <w:top w:val="none" w:sz="0" w:space="0" w:color="auto"/>
                <w:left w:val="none" w:sz="0" w:space="0" w:color="auto"/>
                <w:bottom w:val="none" w:sz="0" w:space="0" w:color="auto"/>
                <w:right w:val="none" w:sz="0" w:space="0" w:color="auto"/>
              </w:divBdr>
            </w:div>
          </w:divsChild>
        </w:div>
        <w:div w:id="249898973">
          <w:marLeft w:val="0"/>
          <w:marRight w:val="0"/>
          <w:marTop w:val="0"/>
          <w:marBottom w:val="0"/>
          <w:divBdr>
            <w:top w:val="none" w:sz="0" w:space="0" w:color="auto"/>
            <w:left w:val="none" w:sz="0" w:space="0" w:color="auto"/>
            <w:bottom w:val="none" w:sz="0" w:space="0" w:color="auto"/>
            <w:right w:val="none" w:sz="0" w:space="0" w:color="auto"/>
          </w:divBdr>
          <w:divsChild>
            <w:div w:id="988900602">
              <w:marLeft w:val="0"/>
              <w:marRight w:val="0"/>
              <w:marTop w:val="0"/>
              <w:marBottom w:val="0"/>
              <w:divBdr>
                <w:top w:val="none" w:sz="0" w:space="0" w:color="auto"/>
                <w:left w:val="none" w:sz="0" w:space="0" w:color="auto"/>
                <w:bottom w:val="none" w:sz="0" w:space="0" w:color="auto"/>
                <w:right w:val="none" w:sz="0" w:space="0" w:color="auto"/>
              </w:divBdr>
              <w:divsChild>
                <w:div w:id="1221668819">
                  <w:marLeft w:val="0"/>
                  <w:marRight w:val="0"/>
                  <w:marTop w:val="0"/>
                  <w:marBottom w:val="0"/>
                  <w:divBdr>
                    <w:top w:val="none" w:sz="0" w:space="0" w:color="auto"/>
                    <w:left w:val="none" w:sz="0" w:space="0" w:color="auto"/>
                    <w:bottom w:val="none" w:sz="0" w:space="0" w:color="auto"/>
                    <w:right w:val="none" w:sz="0" w:space="0" w:color="auto"/>
                  </w:divBdr>
                  <w:divsChild>
                    <w:div w:id="310209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743310">
              <w:marLeft w:val="0"/>
              <w:marRight w:val="0"/>
              <w:marTop w:val="0"/>
              <w:marBottom w:val="0"/>
              <w:divBdr>
                <w:top w:val="none" w:sz="0" w:space="0" w:color="auto"/>
                <w:left w:val="none" w:sz="0" w:space="0" w:color="auto"/>
                <w:bottom w:val="none" w:sz="0" w:space="0" w:color="auto"/>
                <w:right w:val="none" w:sz="0" w:space="0" w:color="auto"/>
              </w:divBdr>
              <w:divsChild>
                <w:div w:id="1466846956">
                  <w:marLeft w:val="0"/>
                  <w:marRight w:val="0"/>
                  <w:marTop w:val="0"/>
                  <w:marBottom w:val="0"/>
                  <w:divBdr>
                    <w:top w:val="none" w:sz="0" w:space="0" w:color="auto"/>
                    <w:left w:val="none" w:sz="0" w:space="0" w:color="auto"/>
                    <w:bottom w:val="none" w:sz="0" w:space="0" w:color="auto"/>
                    <w:right w:val="none" w:sz="0" w:space="0" w:color="auto"/>
                  </w:divBdr>
                  <w:divsChild>
                    <w:div w:id="133348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98477">
          <w:marLeft w:val="0"/>
          <w:marRight w:val="0"/>
          <w:marTop w:val="0"/>
          <w:marBottom w:val="0"/>
          <w:divBdr>
            <w:top w:val="none" w:sz="0" w:space="0" w:color="auto"/>
            <w:left w:val="none" w:sz="0" w:space="0" w:color="auto"/>
            <w:bottom w:val="none" w:sz="0" w:space="0" w:color="auto"/>
            <w:right w:val="none" w:sz="0" w:space="0" w:color="auto"/>
          </w:divBdr>
          <w:divsChild>
            <w:div w:id="1375039593">
              <w:marLeft w:val="0"/>
              <w:marRight w:val="0"/>
              <w:marTop w:val="0"/>
              <w:marBottom w:val="0"/>
              <w:divBdr>
                <w:top w:val="none" w:sz="0" w:space="0" w:color="auto"/>
                <w:left w:val="none" w:sz="0" w:space="0" w:color="auto"/>
                <w:bottom w:val="none" w:sz="0" w:space="0" w:color="auto"/>
                <w:right w:val="none" w:sz="0" w:space="0" w:color="auto"/>
              </w:divBdr>
            </w:div>
          </w:divsChild>
        </w:div>
        <w:div w:id="479150300">
          <w:marLeft w:val="0"/>
          <w:marRight w:val="0"/>
          <w:marTop w:val="0"/>
          <w:marBottom w:val="0"/>
          <w:divBdr>
            <w:top w:val="none" w:sz="0" w:space="0" w:color="auto"/>
            <w:left w:val="none" w:sz="0" w:space="0" w:color="auto"/>
            <w:bottom w:val="none" w:sz="0" w:space="0" w:color="auto"/>
            <w:right w:val="none" w:sz="0" w:space="0" w:color="auto"/>
          </w:divBdr>
          <w:divsChild>
            <w:div w:id="1252396981">
              <w:marLeft w:val="0"/>
              <w:marRight w:val="0"/>
              <w:marTop w:val="0"/>
              <w:marBottom w:val="0"/>
              <w:divBdr>
                <w:top w:val="none" w:sz="0" w:space="0" w:color="auto"/>
                <w:left w:val="none" w:sz="0" w:space="0" w:color="auto"/>
                <w:bottom w:val="none" w:sz="0" w:space="0" w:color="auto"/>
                <w:right w:val="none" w:sz="0" w:space="0" w:color="auto"/>
              </w:divBdr>
            </w:div>
          </w:divsChild>
        </w:div>
        <w:div w:id="687369416">
          <w:marLeft w:val="0"/>
          <w:marRight w:val="0"/>
          <w:marTop w:val="0"/>
          <w:marBottom w:val="0"/>
          <w:divBdr>
            <w:top w:val="none" w:sz="0" w:space="0" w:color="auto"/>
            <w:left w:val="none" w:sz="0" w:space="0" w:color="auto"/>
            <w:bottom w:val="none" w:sz="0" w:space="0" w:color="auto"/>
            <w:right w:val="none" w:sz="0" w:space="0" w:color="auto"/>
          </w:divBdr>
        </w:div>
        <w:div w:id="824205095">
          <w:marLeft w:val="0"/>
          <w:marRight w:val="0"/>
          <w:marTop w:val="0"/>
          <w:marBottom w:val="0"/>
          <w:divBdr>
            <w:top w:val="none" w:sz="0" w:space="0" w:color="auto"/>
            <w:left w:val="none" w:sz="0" w:space="0" w:color="auto"/>
            <w:bottom w:val="none" w:sz="0" w:space="0" w:color="auto"/>
            <w:right w:val="none" w:sz="0" w:space="0" w:color="auto"/>
          </w:divBdr>
          <w:divsChild>
            <w:div w:id="455177496">
              <w:marLeft w:val="0"/>
              <w:marRight w:val="0"/>
              <w:marTop w:val="0"/>
              <w:marBottom w:val="0"/>
              <w:divBdr>
                <w:top w:val="none" w:sz="0" w:space="0" w:color="auto"/>
                <w:left w:val="none" w:sz="0" w:space="0" w:color="auto"/>
                <w:bottom w:val="none" w:sz="0" w:space="0" w:color="auto"/>
                <w:right w:val="none" w:sz="0" w:space="0" w:color="auto"/>
              </w:divBdr>
              <w:divsChild>
                <w:div w:id="1256860822">
                  <w:marLeft w:val="0"/>
                  <w:marRight w:val="0"/>
                  <w:marTop w:val="0"/>
                  <w:marBottom w:val="0"/>
                  <w:divBdr>
                    <w:top w:val="none" w:sz="0" w:space="0" w:color="auto"/>
                    <w:left w:val="none" w:sz="0" w:space="0" w:color="auto"/>
                    <w:bottom w:val="none" w:sz="0" w:space="0" w:color="auto"/>
                    <w:right w:val="none" w:sz="0" w:space="0" w:color="auto"/>
                  </w:divBdr>
                </w:div>
              </w:divsChild>
            </w:div>
            <w:div w:id="816605476">
              <w:marLeft w:val="0"/>
              <w:marRight w:val="0"/>
              <w:marTop w:val="0"/>
              <w:marBottom w:val="0"/>
              <w:divBdr>
                <w:top w:val="none" w:sz="0" w:space="0" w:color="auto"/>
                <w:left w:val="none" w:sz="0" w:space="0" w:color="auto"/>
                <w:bottom w:val="none" w:sz="0" w:space="0" w:color="auto"/>
                <w:right w:val="none" w:sz="0" w:space="0" w:color="auto"/>
              </w:divBdr>
              <w:divsChild>
                <w:div w:id="977415206">
                  <w:marLeft w:val="0"/>
                  <w:marRight w:val="0"/>
                  <w:marTop w:val="0"/>
                  <w:marBottom w:val="0"/>
                  <w:divBdr>
                    <w:top w:val="none" w:sz="0" w:space="0" w:color="auto"/>
                    <w:left w:val="none" w:sz="0" w:space="0" w:color="auto"/>
                    <w:bottom w:val="none" w:sz="0" w:space="0" w:color="auto"/>
                    <w:right w:val="none" w:sz="0" w:space="0" w:color="auto"/>
                  </w:divBdr>
                </w:div>
              </w:divsChild>
            </w:div>
            <w:div w:id="842010385">
              <w:marLeft w:val="0"/>
              <w:marRight w:val="0"/>
              <w:marTop w:val="0"/>
              <w:marBottom w:val="0"/>
              <w:divBdr>
                <w:top w:val="none" w:sz="0" w:space="0" w:color="auto"/>
                <w:left w:val="none" w:sz="0" w:space="0" w:color="auto"/>
                <w:bottom w:val="none" w:sz="0" w:space="0" w:color="auto"/>
                <w:right w:val="none" w:sz="0" w:space="0" w:color="auto"/>
              </w:divBdr>
              <w:divsChild>
                <w:div w:id="83572287">
                  <w:marLeft w:val="0"/>
                  <w:marRight w:val="0"/>
                  <w:marTop w:val="0"/>
                  <w:marBottom w:val="0"/>
                  <w:divBdr>
                    <w:top w:val="none" w:sz="0" w:space="0" w:color="auto"/>
                    <w:left w:val="none" w:sz="0" w:space="0" w:color="auto"/>
                    <w:bottom w:val="none" w:sz="0" w:space="0" w:color="auto"/>
                    <w:right w:val="none" w:sz="0" w:space="0" w:color="auto"/>
                  </w:divBdr>
                </w:div>
              </w:divsChild>
            </w:div>
            <w:div w:id="957031739">
              <w:marLeft w:val="0"/>
              <w:marRight w:val="0"/>
              <w:marTop w:val="0"/>
              <w:marBottom w:val="0"/>
              <w:divBdr>
                <w:top w:val="none" w:sz="0" w:space="0" w:color="auto"/>
                <w:left w:val="none" w:sz="0" w:space="0" w:color="auto"/>
                <w:bottom w:val="none" w:sz="0" w:space="0" w:color="auto"/>
                <w:right w:val="none" w:sz="0" w:space="0" w:color="auto"/>
              </w:divBdr>
              <w:divsChild>
                <w:div w:id="89278390">
                  <w:marLeft w:val="0"/>
                  <w:marRight w:val="0"/>
                  <w:marTop w:val="0"/>
                  <w:marBottom w:val="0"/>
                  <w:divBdr>
                    <w:top w:val="none" w:sz="0" w:space="0" w:color="auto"/>
                    <w:left w:val="none" w:sz="0" w:space="0" w:color="auto"/>
                    <w:bottom w:val="none" w:sz="0" w:space="0" w:color="auto"/>
                    <w:right w:val="none" w:sz="0" w:space="0" w:color="auto"/>
                  </w:divBdr>
                </w:div>
              </w:divsChild>
            </w:div>
            <w:div w:id="1836070712">
              <w:marLeft w:val="0"/>
              <w:marRight w:val="0"/>
              <w:marTop w:val="0"/>
              <w:marBottom w:val="0"/>
              <w:divBdr>
                <w:top w:val="none" w:sz="0" w:space="0" w:color="auto"/>
                <w:left w:val="none" w:sz="0" w:space="0" w:color="auto"/>
                <w:bottom w:val="none" w:sz="0" w:space="0" w:color="auto"/>
                <w:right w:val="none" w:sz="0" w:space="0" w:color="auto"/>
              </w:divBdr>
              <w:divsChild>
                <w:div w:id="168501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599">
          <w:marLeft w:val="0"/>
          <w:marRight w:val="0"/>
          <w:marTop w:val="0"/>
          <w:marBottom w:val="0"/>
          <w:divBdr>
            <w:top w:val="none" w:sz="0" w:space="0" w:color="auto"/>
            <w:left w:val="none" w:sz="0" w:space="0" w:color="auto"/>
            <w:bottom w:val="none" w:sz="0" w:space="0" w:color="auto"/>
            <w:right w:val="none" w:sz="0" w:space="0" w:color="auto"/>
          </w:divBdr>
          <w:divsChild>
            <w:div w:id="1283002257">
              <w:marLeft w:val="0"/>
              <w:marRight w:val="0"/>
              <w:marTop w:val="0"/>
              <w:marBottom w:val="0"/>
              <w:divBdr>
                <w:top w:val="none" w:sz="0" w:space="0" w:color="auto"/>
                <w:left w:val="none" w:sz="0" w:space="0" w:color="auto"/>
                <w:bottom w:val="none" w:sz="0" w:space="0" w:color="auto"/>
                <w:right w:val="none" w:sz="0" w:space="0" w:color="auto"/>
              </w:divBdr>
            </w:div>
          </w:divsChild>
        </w:div>
        <w:div w:id="964628036">
          <w:marLeft w:val="0"/>
          <w:marRight w:val="0"/>
          <w:marTop w:val="0"/>
          <w:marBottom w:val="0"/>
          <w:divBdr>
            <w:top w:val="none" w:sz="0" w:space="0" w:color="auto"/>
            <w:left w:val="none" w:sz="0" w:space="0" w:color="auto"/>
            <w:bottom w:val="none" w:sz="0" w:space="0" w:color="auto"/>
            <w:right w:val="none" w:sz="0" w:space="0" w:color="auto"/>
          </w:divBdr>
          <w:divsChild>
            <w:div w:id="861058">
              <w:marLeft w:val="0"/>
              <w:marRight w:val="0"/>
              <w:marTop w:val="0"/>
              <w:marBottom w:val="0"/>
              <w:divBdr>
                <w:top w:val="none" w:sz="0" w:space="0" w:color="auto"/>
                <w:left w:val="none" w:sz="0" w:space="0" w:color="auto"/>
                <w:bottom w:val="none" w:sz="0" w:space="0" w:color="auto"/>
                <w:right w:val="none" w:sz="0" w:space="0" w:color="auto"/>
              </w:divBdr>
              <w:divsChild>
                <w:div w:id="1317220762">
                  <w:marLeft w:val="0"/>
                  <w:marRight w:val="0"/>
                  <w:marTop w:val="0"/>
                  <w:marBottom w:val="0"/>
                  <w:divBdr>
                    <w:top w:val="none" w:sz="0" w:space="0" w:color="auto"/>
                    <w:left w:val="none" w:sz="0" w:space="0" w:color="auto"/>
                    <w:bottom w:val="none" w:sz="0" w:space="0" w:color="auto"/>
                    <w:right w:val="none" w:sz="0" w:space="0" w:color="auto"/>
                  </w:divBdr>
                  <w:divsChild>
                    <w:div w:id="53072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9399">
              <w:marLeft w:val="0"/>
              <w:marRight w:val="0"/>
              <w:marTop w:val="0"/>
              <w:marBottom w:val="0"/>
              <w:divBdr>
                <w:top w:val="none" w:sz="0" w:space="0" w:color="auto"/>
                <w:left w:val="none" w:sz="0" w:space="0" w:color="auto"/>
                <w:bottom w:val="none" w:sz="0" w:space="0" w:color="auto"/>
                <w:right w:val="none" w:sz="0" w:space="0" w:color="auto"/>
              </w:divBdr>
              <w:divsChild>
                <w:div w:id="518324234">
                  <w:marLeft w:val="0"/>
                  <w:marRight w:val="0"/>
                  <w:marTop w:val="0"/>
                  <w:marBottom w:val="0"/>
                  <w:divBdr>
                    <w:top w:val="none" w:sz="0" w:space="0" w:color="auto"/>
                    <w:left w:val="none" w:sz="0" w:space="0" w:color="auto"/>
                    <w:bottom w:val="none" w:sz="0" w:space="0" w:color="auto"/>
                    <w:right w:val="none" w:sz="0" w:space="0" w:color="auto"/>
                  </w:divBdr>
                  <w:divsChild>
                    <w:div w:id="17137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3714">
              <w:marLeft w:val="0"/>
              <w:marRight w:val="0"/>
              <w:marTop w:val="0"/>
              <w:marBottom w:val="0"/>
              <w:divBdr>
                <w:top w:val="none" w:sz="0" w:space="0" w:color="auto"/>
                <w:left w:val="none" w:sz="0" w:space="0" w:color="auto"/>
                <w:bottom w:val="none" w:sz="0" w:space="0" w:color="auto"/>
                <w:right w:val="none" w:sz="0" w:space="0" w:color="auto"/>
              </w:divBdr>
              <w:divsChild>
                <w:div w:id="1253978356">
                  <w:marLeft w:val="0"/>
                  <w:marRight w:val="0"/>
                  <w:marTop w:val="0"/>
                  <w:marBottom w:val="0"/>
                  <w:divBdr>
                    <w:top w:val="none" w:sz="0" w:space="0" w:color="auto"/>
                    <w:left w:val="none" w:sz="0" w:space="0" w:color="auto"/>
                    <w:bottom w:val="none" w:sz="0" w:space="0" w:color="auto"/>
                    <w:right w:val="none" w:sz="0" w:space="0" w:color="auto"/>
                  </w:divBdr>
                  <w:divsChild>
                    <w:div w:id="148216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0411">
              <w:marLeft w:val="0"/>
              <w:marRight w:val="0"/>
              <w:marTop w:val="0"/>
              <w:marBottom w:val="0"/>
              <w:divBdr>
                <w:top w:val="none" w:sz="0" w:space="0" w:color="auto"/>
                <w:left w:val="none" w:sz="0" w:space="0" w:color="auto"/>
                <w:bottom w:val="none" w:sz="0" w:space="0" w:color="auto"/>
                <w:right w:val="none" w:sz="0" w:space="0" w:color="auto"/>
              </w:divBdr>
              <w:divsChild>
                <w:div w:id="2058965592">
                  <w:marLeft w:val="0"/>
                  <w:marRight w:val="0"/>
                  <w:marTop w:val="0"/>
                  <w:marBottom w:val="0"/>
                  <w:divBdr>
                    <w:top w:val="none" w:sz="0" w:space="0" w:color="auto"/>
                    <w:left w:val="none" w:sz="0" w:space="0" w:color="auto"/>
                    <w:bottom w:val="none" w:sz="0" w:space="0" w:color="auto"/>
                    <w:right w:val="none" w:sz="0" w:space="0" w:color="auto"/>
                  </w:divBdr>
                  <w:divsChild>
                    <w:div w:id="9157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131902">
              <w:marLeft w:val="0"/>
              <w:marRight w:val="0"/>
              <w:marTop w:val="0"/>
              <w:marBottom w:val="0"/>
              <w:divBdr>
                <w:top w:val="none" w:sz="0" w:space="0" w:color="auto"/>
                <w:left w:val="none" w:sz="0" w:space="0" w:color="auto"/>
                <w:bottom w:val="none" w:sz="0" w:space="0" w:color="auto"/>
                <w:right w:val="none" w:sz="0" w:space="0" w:color="auto"/>
              </w:divBdr>
              <w:divsChild>
                <w:div w:id="226304750">
                  <w:marLeft w:val="0"/>
                  <w:marRight w:val="0"/>
                  <w:marTop w:val="0"/>
                  <w:marBottom w:val="0"/>
                  <w:divBdr>
                    <w:top w:val="none" w:sz="0" w:space="0" w:color="auto"/>
                    <w:left w:val="none" w:sz="0" w:space="0" w:color="auto"/>
                    <w:bottom w:val="none" w:sz="0" w:space="0" w:color="auto"/>
                    <w:right w:val="none" w:sz="0" w:space="0" w:color="auto"/>
                  </w:divBdr>
                  <w:divsChild>
                    <w:div w:id="11891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10613">
              <w:marLeft w:val="0"/>
              <w:marRight w:val="0"/>
              <w:marTop w:val="0"/>
              <w:marBottom w:val="0"/>
              <w:divBdr>
                <w:top w:val="none" w:sz="0" w:space="0" w:color="auto"/>
                <w:left w:val="none" w:sz="0" w:space="0" w:color="auto"/>
                <w:bottom w:val="none" w:sz="0" w:space="0" w:color="auto"/>
                <w:right w:val="none" w:sz="0" w:space="0" w:color="auto"/>
              </w:divBdr>
              <w:divsChild>
                <w:div w:id="1909682551">
                  <w:marLeft w:val="0"/>
                  <w:marRight w:val="0"/>
                  <w:marTop w:val="0"/>
                  <w:marBottom w:val="0"/>
                  <w:divBdr>
                    <w:top w:val="none" w:sz="0" w:space="0" w:color="auto"/>
                    <w:left w:val="none" w:sz="0" w:space="0" w:color="auto"/>
                    <w:bottom w:val="none" w:sz="0" w:space="0" w:color="auto"/>
                    <w:right w:val="none" w:sz="0" w:space="0" w:color="auto"/>
                  </w:divBdr>
                  <w:divsChild>
                    <w:div w:id="103280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469703">
              <w:marLeft w:val="0"/>
              <w:marRight w:val="0"/>
              <w:marTop w:val="0"/>
              <w:marBottom w:val="0"/>
              <w:divBdr>
                <w:top w:val="none" w:sz="0" w:space="0" w:color="auto"/>
                <w:left w:val="none" w:sz="0" w:space="0" w:color="auto"/>
                <w:bottom w:val="none" w:sz="0" w:space="0" w:color="auto"/>
                <w:right w:val="none" w:sz="0" w:space="0" w:color="auto"/>
              </w:divBdr>
              <w:divsChild>
                <w:div w:id="333187223">
                  <w:marLeft w:val="0"/>
                  <w:marRight w:val="0"/>
                  <w:marTop w:val="0"/>
                  <w:marBottom w:val="0"/>
                  <w:divBdr>
                    <w:top w:val="none" w:sz="0" w:space="0" w:color="auto"/>
                    <w:left w:val="none" w:sz="0" w:space="0" w:color="auto"/>
                    <w:bottom w:val="none" w:sz="0" w:space="0" w:color="auto"/>
                    <w:right w:val="none" w:sz="0" w:space="0" w:color="auto"/>
                  </w:divBdr>
                  <w:divsChild>
                    <w:div w:id="210490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213134">
              <w:marLeft w:val="0"/>
              <w:marRight w:val="0"/>
              <w:marTop w:val="0"/>
              <w:marBottom w:val="0"/>
              <w:divBdr>
                <w:top w:val="none" w:sz="0" w:space="0" w:color="auto"/>
                <w:left w:val="none" w:sz="0" w:space="0" w:color="auto"/>
                <w:bottom w:val="none" w:sz="0" w:space="0" w:color="auto"/>
                <w:right w:val="none" w:sz="0" w:space="0" w:color="auto"/>
              </w:divBdr>
              <w:divsChild>
                <w:div w:id="1569072738">
                  <w:marLeft w:val="0"/>
                  <w:marRight w:val="0"/>
                  <w:marTop w:val="0"/>
                  <w:marBottom w:val="0"/>
                  <w:divBdr>
                    <w:top w:val="none" w:sz="0" w:space="0" w:color="auto"/>
                    <w:left w:val="none" w:sz="0" w:space="0" w:color="auto"/>
                    <w:bottom w:val="none" w:sz="0" w:space="0" w:color="auto"/>
                    <w:right w:val="none" w:sz="0" w:space="0" w:color="auto"/>
                  </w:divBdr>
                  <w:divsChild>
                    <w:div w:id="176386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918623">
              <w:marLeft w:val="0"/>
              <w:marRight w:val="0"/>
              <w:marTop w:val="0"/>
              <w:marBottom w:val="0"/>
              <w:divBdr>
                <w:top w:val="none" w:sz="0" w:space="0" w:color="auto"/>
                <w:left w:val="none" w:sz="0" w:space="0" w:color="auto"/>
                <w:bottom w:val="none" w:sz="0" w:space="0" w:color="auto"/>
                <w:right w:val="none" w:sz="0" w:space="0" w:color="auto"/>
              </w:divBdr>
              <w:divsChild>
                <w:div w:id="868570048">
                  <w:marLeft w:val="0"/>
                  <w:marRight w:val="0"/>
                  <w:marTop w:val="0"/>
                  <w:marBottom w:val="0"/>
                  <w:divBdr>
                    <w:top w:val="none" w:sz="0" w:space="0" w:color="auto"/>
                    <w:left w:val="none" w:sz="0" w:space="0" w:color="auto"/>
                    <w:bottom w:val="none" w:sz="0" w:space="0" w:color="auto"/>
                    <w:right w:val="none" w:sz="0" w:space="0" w:color="auto"/>
                  </w:divBdr>
                  <w:divsChild>
                    <w:div w:id="7294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791018">
              <w:marLeft w:val="0"/>
              <w:marRight w:val="0"/>
              <w:marTop w:val="0"/>
              <w:marBottom w:val="0"/>
              <w:divBdr>
                <w:top w:val="none" w:sz="0" w:space="0" w:color="auto"/>
                <w:left w:val="none" w:sz="0" w:space="0" w:color="auto"/>
                <w:bottom w:val="none" w:sz="0" w:space="0" w:color="auto"/>
                <w:right w:val="none" w:sz="0" w:space="0" w:color="auto"/>
              </w:divBdr>
              <w:divsChild>
                <w:div w:id="1687706515">
                  <w:marLeft w:val="0"/>
                  <w:marRight w:val="0"/>
                  <w:marTop w:val="0"/>
                  <w:marBottom w:val="0"/>
                  <w:divBdr>
                    <w:top w:val="none" w:sz="0" w:space="0" w:color="auto"/>
                    <w:left w:val="none" w:sz="0" w:space="0" w:color="auto"/>
                    <w:bottom w:val="none" w:sz="0" w:space="0" w:color="auto"/>
                    <w:right w:val="none" w:sz="0" w:space="0" w:color="auto"/>
                  </w:divBdr>
                  <w:divsChild>
                    <w:div w:id="97526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726667">
              <w:marLeft w:val="0"/>
              <w:marRight w:val="0"/>
              <w:marTop w:val="0"/>
              <w:marBottom w:val="0"/>
              <w:divBdr>
                <w:top w:val="none" w:sz="0" w:space="0" w:color="auto"/>
                <w:left w:val="none" w:sz="0" w:space="0" w:color="auto"/>
                <w:bottom w:val="none" w:sz="0" w:space="0" w:color="auto"/>
                <w:right w:val="none" w:sz="0" w:space="0" w:color="auto"/>
              </w:divBdr>
              <w:divsChild>
                <w:div w:id="1775903054">
                  <w:marLeft w:val="0"/>
                  <w:marRight w:val="0"/>
                  <w:marTop w:val="0"/>
                  <w:marBottom w:val="0"/>
                  <w:divBdr>
                    <w:top w:val="none" w:sz="0" w:space="0" w:color="auto"/>
                    <w:left w:val="none" w:sz="0" w:space="0" w:color="auto"/>
                    <w:bottom w:val="none" w:sz="0" w:space="0" w:color="auto"/>
                    <w:right w:val="none" w:sz="0" w:space="0" w:color="auto"/>
                  </w:divBdr>
                  <w:divsChild>
                    <w:div w:id="100362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94562">
              <w:marLeft w:val="0"/>
              <w:marRight w:val="0"/>
              <w:marTop w:val="0"/>
              <w:marBottom w:val="0"/>
              <w:divBdr>
                <w:top w:val="none" w:sz="0" w:space="0" w:color="auto"/>
                <w:left w:val="none" w:sz="0" w:space="0" w:color="auto"/>
                <w:bottom w:val="none" w:sz="0" w:space="0" w:color="auto"/>
                <w:right w:val="none" w:sz="0" w:space="0" w:color="auto"/>
              </w:divBdr>
              <w:divsChild>
                <w:div w:id="85422657">
                  <w:marLeft w:val="0"/>
                  <w:marRight w:val="0"/>
                  <w:marTop w:val="0"/>
                  <w:marBottom w:val="0"/>
                  <w:divBdr>
                    <w:top w:val="none" w:sz="0" w:space="0" w:color="auto"/>
                    <w:left w:val="none" w:sz="0" w:space="0" w:color="auto"/>
                    <w:bottom w:val="none" w:sz="0" w:space="0" w:color="auto"/>
                    <w:right w:val="none" w:sz="0" w:space="0" w:color="auto"/>
                  </w:divBdr>
                  <w:divsChild>
                    <w:div w:id="27926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6025">
              <w:marLeft w:val="0"/>
              <w:marRight w:val="0"/>
              <w:marTop w:val="0"/>
              <w:marBottom w:val="0"/>
              <w:divBdr>
                <w:top w:val="none" w:sz="0" w:space="0" w:color="auto"/>
                <w:left w:val="none" w:sz="0" w:space="0" w:color="auto"/>
                <w:bottom w:val="none" w:sz="0" w:space="0" w:color="auto"/>
                <w:right w:val="none" w:sz="0" w:space="0" w:color="auto"/>
              </w:divBdr>
              <w:divsChild>
                <w:div w:id="691300011">
                  <w:marLeft w:val="0"/>
                  <w:marRight w:val="0"/>
                  <w:marTop w:val="0"/>
                  <w:marBottom w:val="0"/>
                  <w:divBdr>
                    <w:top w:val="none" w:sz="0" w:space="0" w:color="auto"/>
                    <w:left w:val="none" w:sz="0" w:space="0" w:color="auto"/>
                    <w:bottom w:val="none" w:sz="0" w:space="0" w:color="auto"/>
                    <w:right w:val="none" w:sz="0" w:space="0" w:color="auto"/>
                  </w:divBdr>
                  <w:divsChild>
                    <w:div w:id="153993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733649">
              <w:marLeft w:val="0"/>
              <w:marRight w:val="0"/>
              <w:marTop w:val="0"/>
              <w:marBottom w:val="0"/>
              <w:divBdr>
                <w:top w:val="none" w:sz="0" w:space="0" w:color="auto"/>
                <w:left w:val="none" w:sz="0" w:space="0" w:color="auto"/>
                <w:bottom w:val="none" w:sz="0" w:space="0" w:color="auto"/>
                <w:right w:val="none" w:sz="0" w:space="0" w:color="auto"/>
              </w:divBdr>
              <w:divsChild>
                <w:div w:id="1461806716">
                  <w:marLeft w:val="0"/>
                  <w:marRight w:val="0"/>
                  <w:marTop w:val="0"/>
                  <w:marBottom w:val="0"/>
                  <w:divBdr>
                    <w:top w:val="none" w:sz="0" w:space="0" w:color="auto"/>
                    <w:left w:val="none" w:sz="0" w:space="0" w:color="auto"/>
                    <w:bottom w:val="none" w:sz="0" w:space="0" w:color="auto"/>
                    <w:right w:val="none" w:sz="0" w:space="0" w:color="auto"/>
                  </w:divBdr>
                  <w:divsChild>
                    <w:div w:id="817914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77600">
              <w:marLeft w:val="0"/>
              <w:marRight w:val="0"/>
              <w:marTop w:val="0"/>
              <w:marBottom w:val="0"/>
              <w:divBdr>
                <w:top w:val="none" w:sz="0" w:space="0" w:color="auto"/>
                <w:left w:val="none" w:sz="0" w:space="0" w:color="auto"/>
                <w:bottom w:val="none" w:sz="0" w:space="0" w:color="auto"/>
                <w:right w:val="none" w:sz="0" w:space="0" w:color="auto"/>
              </w:divBdr>
              <w:divsChild>
                <w:div w:id="1712143826">
                  <w:marLeft w:val="0"/>
                  <w:marRight w:val="0"/>
                  <w:marTop w:val="0"/>
                  <w:marBottom w:val="0"/>
                  <w:divBdr>
                    <w:top w:val="none" w:sz="0" w:space="0" w:color="auto"/>
                    <w:left w:val="none" w:sz="0" w:space="0" w:color="auto"/>
                    <w:bottom w:val="none" w:sz="0" w:space="0" w:color="auto"/>
                    <w:right w:val="none" w:sz="0" w:space="0" w:color="auto"/>
                  </w:divBdr>
                  <w:divsChild>
                    <w:div w:id="76299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580607">
              <w:marLeft w:val="0"/>
              <w:marRight w:val="0"/>
              <w:marTop w:val="0"/>
              <w:marBottom w:val="0"/>
              <w:divBdr>
                <w:top w:val="none" w:sz="0" w:space="0" w:color="auto"/>
                <w:left w:val="none" w:sz="0" w:space="0" w:color="auto"/>
                <w:bottom w:val="none" w:sz="0" w:space="0" w:color="auto"/>
                <w:right w:val="none" w:sz="0" w:space="0" w:color="auto"/>
              </w:divBdr>
              <w:divsChild>
                <w:div w:id="959072000">
                  <w:marLeft w:val="0"/>
                  <w:marRight w:val="0"/>
                  <w:marTop w:val="0"/>
                  <w:marBottom w:val="0"/>
                  <w:divBdr>
                    <w:top w:val="none" w:sz="0" w:space="0" w:color="auto"/>
                    <w:left w:val="none" w:sz="0" w:space="0" w:color="auto"/>
                    <w:bottom w:val="none" w:sz="0" w:space="0" w:color="auto"/>
                    <w:right w:val="none" w:sz="0" w:space="0" w:color="auto"/>
                  </w:divBdr>
                  <w:divsChild>
                    <w:div w:id="74121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44518">
              <w:marLeft w:val="0"/>
              <w:marRight w:val="0"/>
              <w:marTop w:val="0"/>
              <w:marBottom w:val="0"/>
              <w:divBdr>
                <w:top w:val="none" w:sz="0" w:space="0" w:color="auto"/>
                <w:left w:val="none" w:sz="0" w:space="0" w:color="auto"/>
                <w:bottom w:val="none" w:sz="0" w:space="0" w:color="auto"/>
                <w:right w:val="none" w:sz="0" w:space="0" w:color="auto"/>
              </w:divBdr>
              <w:divsChild>
                <w:div w:id="1227765239">
                  <w:marLeft w:val="0"/>
                  <w:marRight w:val="0"/>
                  <w:marTop w:val="0"/>
                  <w:marBottom w:val="0"/>
                  <w:divBdr>
                    <w:top w:val="none" w:sz="0" w:space="0" w:color="auto"/>
                    <w:left w:val="none" w:sz="0" w:space="0" w:color="auto"/>
                    <w:bottom w:val="none" w:sz="0" w:space="0" w:color="auto"/>
                    <w:right w:val="none" w:sz="0" w:space="0" w:color="auto"/>
                  </w:divBdr>
                  <w:divsChild>
                    <w:div w:id="1726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84908">
              <w:marLeft w:val="0"/>
              <w:marRight w:val="0"/>
              <w:marTop w:val="0"/>
              <w:marBottom w:val="0"/>
              <w:divBdr>
                <w:top w:val="none" w:sz="0" w:space="0" w:color="auto"/>
                <w:left w:val="none" w:sz="0" w:space="0" w:color="auto"/>
                <w:bottom w:val="none" w:sz="0" w:space="0" w:color="auto"/>
                <w:right w:val="none" w:sz="0" w:space="0" w:color="auto"/>
              </w:divBdr>
              <w:divsChild>
                <w:div w:id="1266964949">
                  <w:marLeft w:val="0"/>
                  <w:marRight w:val="0"/>
                  <w:marTop w:val="0"/>
                  <w:marBottom w:val="0"/>
                  <w:divBdr>
                    <w:top w:val="none" w:sz="0" w:space="0" w:color="auto"/>
                    <w:left w:val="none" w:sz="0" w:space="0" w:color="auto"/>
                    <w:bottom w:val="none" w:sz="0" w:space="0" w:color="auto"/>
                    <w:right w:val="none" w:sz="0" w:space="0" w:color="auto"/>
                  </w:divBdr>
                  <w:divsChild>
                    <w:div w:id="100809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52095">
              <w:marLeft w:val="0"/>
              <w:marRight w:val="0"/>
              <w:marTop w:val="0"/>
              <w:marBottom w:val="0"/>
              <w:divBdr>
                <w:top w:val="none" w:sz="0" w:space="0" w:color="auto"/>
                <w:left w:val="none" w:sz="0" w:space="0" w:color="auto"/>
                <w:bottom w:val="none" w:sz="0" w:space="0" w:color="auto"/>
                <w:right w:val="none" w:sz="0" w:space="0" w:color="auto"/>
              </w:divBdr>
              <w:divsChild>
                <w:div w:id="875511475">
                  <w:marLeft w:val="0"/>
                  <w:marRight w:val="0"/>
                  <w:marTop w:val="0"/>
                  <w:marBottom w:val="0"/>
                  <w:divBdr>
                    <w:top w:val="none" w:sz="0" w:space="0" w:color="auto"/>
                    <w:left w:val="none" w:sz="0" w:space="0" w:color="auto"/>
                    <w:bottom w:val="none" w:sz="0" w:space="0" w:color="auto"/>
                    <w:right w:val="none" w:sz="0" w:space="0" w:color="auto"/>
                  </w:divBdr>
                  <w:divsChild>
                    <w:div w:id="34120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7884">
              <w:marLeft w:val="0"/>
              <w:marRight w:val="0"/>
              <w:marTop w:val="0"/>
              <w:marBottom w:val="0"/>
              <w:divBdr>
                <w:top w:val="none" w:sz="0" w:space="0" w:color="auto"/>
                <w:left w:val="none" w:sz="0" w:space="0" w:color="auto"/>
                <w:bottom w:val="none" w:sz="0" w:space="0" w:color="auto"/>
                <w:right w:val="none" w:sz="0" w:space="0" w:color="auto"/>
              </w:divBdr>
              <w:divsChild>
                <w:div w:id="345904763">
                  <w:marLeft w:val="0"/>
                  <w:marRight w:val="0"/>
                  <w:marTop w:val="0"/>
                  <w:marBottom w:val="0"/>
                  <w:divBdr>
                    <w:top w:val="none" w:sz="0" w:space="0" w:color="auto"/>
                    <w:left w:val="none" w:sz="0" w:space="0" w:color="auto"/>
                    <w:bottom w:val="none" w:sz="0" w:space="0" w:color="auto"/>
                    <w:right w:val="none" w:sz="0" w:space="0" w:color="auto"/>
                  </w:divBdr>
                  <w:divsChild>
                    <w:div w:id="1037044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028834">
              <w:marLeft w:val="0"/>
              <w:marRight w:val="0"/>
              <w:marTop w:val="0"/>
              <w:marBottom w:val="0"/>
              <w:divBdr>
                <w:top w:val="none" w:sz="0" w:space="0" w:color="auto"/>
                <w:left w:val="none" w:sz="0" w:space="0" w:color="auto"/>
                <w:bottom w:val="none" w:sz="0" w:space="0" w:color="auto"/>
                <w:right w:val="none" w:sz="0" w:space="0" w:color="auto"/>
              </w:divBdr>
              <w:divsChild>
                <w:div w:id="1129973390">
                  <w:marLeft w:val="0"/>
                  <w:marRight w:val="0"/>
                  <w:marTop w:val="0"/>
                  <w:marBottom w:val="0"/>
                  <w:divBdr>
                    <w:top w:val="none" w:sz="0" w:space="0" w:color="auto"/>
                    <w:left w:val="none" w:sz="0" w:space="0" w:color="auto"/>
                    <w:bottom w:val="none" w:sz="0" w:space="0" w:color="auto"/>
                    <w:right w:val="none" w:sz="0" w:space="0" w:color="auto"/>
                  </w:divBdr>
                  <w:divsChild>
                    <w:div w:id="67064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991744">
              <w:marLeft w:val="0"/>
              <w:marRight w:val="0"/>
              <w:marTop w:val="0"/>
              <w:marBottom w:val="0"/>
              <w:divBdr>
                <w:top w:val="none" w:sz="0" w:space="0" w:color="auto"/>
                <w:left w:val="none" w:sz="0" w:space="0" w:color="auto"/>
                <w:bottom w:val="none" w:sz="0" w:space="0" w:color="auto"/>
                <w:right w:val="none" w:sz="0" w:space="0" w:color="auto"/>
              </w:divBdr>
              <w:divsChild>
                <w:div w:id="441464032">
                  <w:marLeft w:val="0"/>
                  <w:marRight w:val="0"/>
                  <w:marTop w:val="0"/>
                  <w:marBottom w:val="0"/>
                  <w:divBdr>
                    <w:top w:val="none" w:sz="0" w:space="0" w:color="auto"/>
                    <w:left w:val="none" w:sz="0" w:space="0" w:color="auto"/>
                    <w:bottom w:val="none" w:sz="0" w:space="0" w:color="auto"/>
                    <w:right w:val="none" w:sz="0" w:space="0" w:color="auto"/>
                  </w:divBdr>
                  <w:divsChild>
                    <w:div w:id="10480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894021">
          <w:marLeft w:val="0"/>
          <w:marRight w:val="0"/>
          <w:marTop w:val="0"/>
          <w:marBottom w:val="0"/>
          <w:divBdr>
            <w:top w:val="none" w:sz="0" w:space="0" w:color="auto"/>
            <w:left w:val="none" w:sz="0" w:space="0" w:color="auto"/>
            <w:bottom w:val="none" w:sz="0" w:space="0" w:color="auto"/>
            <w:right w:val="none" w:sz="0" w:space="0" w:color="auto"/>
          </w:divBdr>
          <w:divsChild>
            <w:div w:id="341322243">
              <w:marLeft w:val="0"/>
              <w:marRight w:val="0"/>
              <w:marTop w:val="0"/>
              <w:marBottom w:val="0"/>
              <w:divBdr>
                <w:top w:val="none" w:sz="0" w:space="0" w:color="auto"/>
                <w:left w:val="none" w:sz="0" w:space="0" w:color="auto"/>
                <w:bottom w:val="none" w:sz="0" w:space="0" w:color="auto"/>
                <w:right w:val="none" w:sz="0" w:space="0" w:color="auto"/>
              </w:divBdr>
            </w:div>
            <w:div w:id="1362512385">
              <w:marLeft w:val="0"/>
              <w:marRight w:val="0"/>
              <w:marTop w:val="0"/>
              <w:marBottom w:val="0"/>
              <w:divBdr>
                <w:top w:val="none" w:sz="0" w:space="0" w:color="auto"/>
                <w:left w:val="none" w:sz="0" w:space="0" w:color="auto"/>
                <w:bottom w:val="none" w:sz="0" w:space="0" w:color="auto"/>
                <w:right w:val="none" w:sz="0" w:space="0" w:color="auto"/>
              </w:divBdr>
              <w:divsChild>
                <w:div w:id="908688358">
                  <w:marLeft w:val="0"/>
                  <w:marRight w:val="0"/>
                  <w:marTop w:val="0"/>
                  <w:marBottom w:val="0"/>
                  <w:divBdr>
                    <w:top w:val="none" w:sz="0" w:space="0" w:color="auto"/>
                    <w:left w:val="none" w:sz="0" w:space="0" w:color="auto"/>
                    <w:bottom w:val="none" w:sz="0" w:space="0" w:color="auto"/>
                    <w:right w:val="none" w:sz="0" w:space="0" w:color="auto"/>
                  </w:divBdr>
                  <w:divsChild>
                    <w:div w:id="54580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096635">
              <w:marLeft w:val="0"/>
              <w:marRight w:val="0"/>
              <w:marTop w:val="0"/>
              <w:marBottom w:val="0"/>
              <w:divBdr>
                <w:top w:val="none" w:sz="0" w:space="0" w:color="auto"/>
                <w:left w:val="none" w:sz="0" w:space="0" w:color="auto"/>
                <w:bottom w:val="none" w:sz="0" w:space="0" w:color="auto"/>
                <w:right w:val="none" w:sz="0" w:space="0" w:color="auto"/>
              </w:divBdr>
              <w:divsChild>
                <w:div w:id="1340618934">
                  <w:marLeft w:val="0"/>
                  <w:marRight w:val="0"/>
                  <w:marTop w:val="0"/>
                  <w:marBottom w:val="0"/>
                  <w:divBdr>
                    <w:top w:val="none" w:sz="0" w:space="0" w:color="auto"/>
                    <w:left w:val="none" w:sz="0" w:space="0" w:color="auto"/>
                    <w:bottom w:val="none" w:sz="0" w:space="0" w:color="auto"/>
                    <w:right w:val="none" w:sz="0" w:space="0" w:color="auto"/>
                  </w:divBdr>
                </w:div>
                <w:div w:id="1872955198">
                  <w:marLeft w:val="0"/>
                  <w:marRight w:val="0"/>
                  <w:marTop w:val="0"/>
                  <w:marBottom w:val="0"/>
                  <w:divBdr>
                    <w:top w:val="none" w:sz="0" w:space="0" w:color="auto"/>
                    <w:left w:val="none" w:sz="0" w:space="0" w:color="auto"/>
                    <w:bottom w:val="none" w:sz="0" w:space="0" w:color="auto"/>
                    <w:right w:val="none" w:sz="0" w:space="0" w:color="auto"/>
                  </w:divBdr>
                  <w:divsChild>
                    <w:div w:id="72511732">
                      <w:marLeft w:val="0"/>
                      <w:marRight w:val="0"/>
                      <w:marTop w:val="0"/>
                      <w:marBottom w:val="0"/>
                      <w:divBdr>
                        <w:top w:val="none" w:sz="0" w:space="0" w:color="auto"/>
                        <w:left w:val="none" w:sz="0" w:space="0" w:color="auto"/>
                        <w:bottom w:val="none" w:sz="0" w:space="0" w:color="auto"/>
                        <w:right w:val="none" w:sz="0" w:space="0" w:color="auto"/>
                      </w:divBdr>
                      <w:divsChild>
                        <w:div w:id="1107313041">
                          <w:marLeft w:val="0"/>
                          <w:marRight w:val="0"/>
                          <w:marTop w:val="0"/>
                          <w:marBottom w:val="0"/>
                          <w:divBdr>
                            <w:top w:val="none" w:sz="0" w:space="0" w:color="auto"/>
                            <w:left w:val="none" w:sz="0" w:space="0" w:color="auto"/>
                            <w:bottom w:val="none" w:sz="0" w:space="0" w:color="auto"/>
                            <w:right w:val="none" w:sz="0" w:space="0" w:color="auto"/>
                          </w:divBdr>
                          <w:divsChild>
                            <w:div w:id="170166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957199">
          <w:marLeft w:val="0"/>
          <w:marRight w:val="0"/>
          <w:marTop w:val="0"/>
          <w:marBottom w:val="0"/>
          <w:divBdr>
            <w:top w:val="none" w:sz="0" w:space="0" w:color="auto"/>
            <w:left w:val="none" w:sz="0" w:space="0" w:color="auto"/>
            <w:bottom w:val="none" w:sz="0" w:space="0" w:color="auto"/>
            <w:right w:val="none" w:sz="0" w:space="0" w:color="auto"/>
          </w:divBdr>
          <w:divsChild>
            <w:div w:id="252855938">
              <w:marLeft w:val="0"/>
              <w:marRight w:val="0"/>
              <w:marTop w:val="0"/>
              <w:marBottom w:val="0"/>
              <w:divBdr>
                <w:top w:val="none" w:sz="0" w:space="0" w:color="auto"/>
                <w:left w:val="none" w:sz="0" w:space="0" w:color="auto"/>
                <w:bottom w:val="none" w:sz="0" w:space="0" w:color="auto"/>
                <w:right w:val="none" w:sz="0" w:space="0" w:color="auto"/>
              </w:divBdr>
              <w:divsChild>
                <w:div w:id="847985809">
                  <w:marLeft w:val="0"/>
                  <w:marRight w:val="0"/>
                  <w:marTop w:val="0"/>
                  <w:marBottom w:val="0"/>
                  <w:divBdr>
                    <w:top w:val="none" w:sz="0" w:space="0" w:color="auto"/>
                    <w:left w:val="none" w:sz="0" w:space="0" w:color="auto"/>
                    <w:bottom w:val="none" w:sz="0" w:space="0" w:color="auto"/>
                    <w:right w:val="none" w:sz="0" w:space="0" w:color="auto"/>
                  </w:divBdr>
                </w:div>
              </w:divsChild>
            </w:div>
            <w:div w:id="462847526">
              <w:marLeft w:val="0"/>
              <w:marRight w:val="0"/>
              <w:marTop w:val="0"/>
              <w:marBottom w:val="0"/>
              <w:divBdr>
                <w:top w:val="none" w:sz="0" w:space="0" w:color="auto"/>
                <w:left w:val="none" w:sz="0" w:space="0" w:color="auto"/>
                <w:bottom w:val="none" w:sz="0" w:space="0" w:color="auto"/>
                <w:right w:val="none" w:sz="0" w:space="0" w:color="auto"/>
              </w:divBdr>
              <w:divsChild>
                <w:div w:id="597255850">
                  <w:marLeft w:val="0"/>
                  <w:marRight w:val="0"/>
                  <w:marTop w:val="0"/>
                  <w:marBottom w:val="0"/>
                  <w:divBdr>
                    <w:top w:val="none" w:sz="0" w:space="0" w:color="auto"/>
                    <w:left w:val="none" w:sz="0" w:space="0" w:color="auto"/>
                    <w:bottom w:val="none" w:sz="0" w:space="0" w:color="auto"/>
                    <w:right w:val="none" w:sz="0" w:space="0" w:color="auto"/>
                  </w:divBdr>
                </w:div>
              </w:divsChild>
            </w:div>
            <w:div w:id="650839239">
              <w:marLeft w:val="0"/>
              <w:marRight w:val="0"/>
              <w:marTop w:val="0"/>
              <w:marBottom w:val="0"/>
              <w:divBdr>
                <w:top w:val="none" w:sz="0" w:space="0" w:color="auto"/>
                <w:left w:val="none" w:sz="0" w:space="0" w:color="auto"/>
                <w:bottom w:val="none" w:sz="0" w:space="0" w:color="auto"/>
                <w:right w:val="none" w:sz="0" w:space="0" w:color="auto"/>
              </w:divBdr>
              <w:divsChild>
                <w:div w:id="381904540">
                  <w:marLeft w:val="0"/>
                  <w:marRight w:val="0"/>
                  <w:marTop w:val="0"/>
                  <w:marBottom w:val="0"/>
                  <w:divBdr>
                    <w:top w:val="none" w:sz="0" w:space="0" w:color="auto"/>
                    <w:left w:val="none" w:sz="0" w:space="0" w:color="auto"/>
                    <w:bottom w:val="none" w:sz="0" w:space="0" w:color="auto"/>
                    <w:right w:val="none" w:sz="0" w:space="0" w:color="auto"/>
                  </w:divBdr>
                </w:div>
              </w:divsChild>
            </w:div>
            <w:div w:id="1059406173">
              <w:marLeft w:val="0"/>
              <w:marRight w:val="0"/>
              <w:marTop w:val="0"/>
              <w:marBottom w:val="0"/>
              <w:divBdr>
                <w:top w:val="none" w:sz="0" w:space="0" w:color="auto"/>
                <w:left w:val="none" w:sz="0" w:space="0" w:color="auto"/>
                <w:bottom w:val="none" w:sz="0" w:space="0" w:color="auto"/>
                <w:right w:val="none" w:sz="0" w:space="0" w:color="auto"/>
              </w:divBdr>
              <w:divsChild>
                <w:div w:id="2015767667">
                  <w:marLeft w:val="0"/>
                  <w:marRight w:val="0"/>
                  <w:marTop w:val="0"/>
                  <w:marBottom w:val="0"/>
                  <w:divBdr>
                    <w:top w:val="none" w:sz="0" w:space="0" w:color="auto"/>
                    <w:left w:val="none" w:sz="0" w:space="0" w:color="auto"/>
                    <w:bottom w:val="none" w:sz="0" w:space="0" w:color="auto"/>
                    <w:right w:val="none" w:sz="0" w:space="0" w:color="auto"/>
                  </w:divBdr>
                </w:div>
              </w:divsChild>
            </w:div>
            <w:div w:id="1321927591">
              <w:marLeft w:val="0"/>
              <w:marRight w:val="0"/>
              <w:marTop w:val="0"/>
              <w:marBottom w:val="0"/>
              <w:divBdr>
                <w:top w:val="none" w:sz="0" w:space="0" w:color="auto"/>
                <w:left w:val="none" w:sz="0" w:space="0" w:color="auto"/>
                <w:bottom w:val="none" w:sz="0" w:space="0" w:color="auto"/>
                <w:right w:val="none" w:sz="0" w:space="0" w:color="auto"/>
              </w:divBdr>
              <w:divsChild>
                <w:div w:id="194584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320339">
          <w:marLeft w:val="0"/>
          <w:marRight w:val="0"/>
          <w:marTop w:val="0"/>
          <w:marBottom w:val="0"/>
          <w:divBdr>
            <w:top w:val="none" w:sz="0" w:space="0" w:color="auto"/>
            <w:left w:val="none" w:sz="0" w:space="0" w:color="auto"/>
            <w:bottom w:val="none" w:sz="0" w:space="0" w:color="auto"/>
            <w:right w:val="none" w:sz="0" w:space="0" w:color="auto"/>
          </w:divBdr>
        </w:div>
        <w:div w:id="1388261778">
          <w:marLeft w:val="0"/>
          <w:marRight w:val="0"/>
          <w:marTop w:val="0"/>
          <w:marBottom w:val="0"/>
          <w:divBdr>
            <w:top w:val="none" w:sz="0" w:space="0" w:color="auto"/>
            <w:left w:val="none" w:sz="0" w:space="0" w:color="auto"/>
            <w:bottom w:val="none" w:sz="0" w:space="0" w:color="auto"/>
            <w:right w:val="none" w:sz="0" w:space="0" w:color="auto"/>
          </w:divBdr>
        </w:div>
        <w:div w:id="1431394926">
          <w:marLeft w:val="0"/>
          <w:marRight w:val="0"/>
          <w:marTop w:val="0"/>
          <w:marBottom w:val="0"/>
          <w:divBdr>
            <w:top w:val="none" w:sz="0" w:space="0" w:color="auto"/>
            <w:left w:val="none" w:sz="0" w:space="0" w:color="auto"/>
            <w:bottom w:val="none" w:sz="0" w:space="0" w:color="auto"/>
            <w:right w:val="none" w:sz="0" w:space="0" w:color="auto"/>
          </w:divBdr>
          <w:divsChild>
            <w:div w:id="622729660">
              <w:marLeft w:val="0"/>
              <w:marRight w:val="0"/>
              <w:marTop w:val="0"/>
              <w:marBottom w:val="0"/>
              <w:divBdr>
                <w:top w:val="none" w:sz="0" w:space="0" w:color="auto"/>
                <w:left w:val="none" w:sz="0" w:space="0" w:color="auto"/>
                <w:bottom w:val="none" w:sz="0" w:space="0" w:color="auto"/>
                <w:right w:val="none" w:sz="0" w:space="0" w:color="auto"/>
              </w:divBdr>
            </w:div>
          </w:divsChild>
        </w:div>
        <w:div w:id="1476409075">
          <w:marLeft w:val="0"/>
          <w:marRight w:val="0"/>
          <w:marTop w:val="0"/>
          <w:marBottom w:val="0"/>
          <w:divBdr>
            <w:top w:val="none" w:sz="0" w:space="0" w:color="auto"/>
            <w:left w:val="none" w:sz="0" w:space="0" w:color="auto"/>
            <w:bottom w:val="none" w:sz="0" w:space="0" w:color="auto"/>
            <w:right w:val="none" w:sz="0" w:space="0" w:color="auto"/>
          </w:divBdr>
        </w:div>
        <w:div w:id="1486625731">
          <w:marLeft w:val="0"/>
          <w:marRight w:val="0"/>
          <w:marTop w:val="0"/>
          <w:marBottom w:val="0"/>
          <w:divBdr>
            <w:top w:val="none" w:sz="0" w:space="0" w:color="auto"/>
            <w:left w:val="none" w:sz="0" w:space="0" w:color="auto"/>
            <w:bottom w:val="none" w:sz="0" w:space="0" w:color="auto"/>
            <w:right w:val="none" w:sz="0" w:space="0" w:color="auto"/>
          </w:divBdr>
          <w:divsChild>
            <w:div w:id="557983859">
              <w:marLeft w:val="0"/>
              <w:marRight w:val="0"/>
              <w:marTop w:val="0"/>
              <w:marBottom w:val="0"/>
              <w:divBdr>
                <w:top w:val="none" w:sz="0" w:space="0" w:color="auto"/>
                <w:left w:val="none" w:sz="0" w:space="0" w:color="auto"/>
                <w:bottom w:val="none" w:sz="0" w:space="0" w:color="auto"/>
                <w:right w:val="none" w:sz="0" w:space="0" w:color="auto"/>
              </w:divBdr>
              <w:divsChild>
                <w:div w:id="19713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940595">
          <w:marLeft w:val="0"/>
          <w:marRight w:val="0"/>
          <w:marTop w:val="0"/>
          <w:marBottom w:val="0"/>
          <w:divBdr>
            <w:top w:val="none" w:sz="0" w:space="0" w:color="auto"/>
            <w:left w:val="none" w:sz="0" w:space="0" w:color="auto"/>
            <w:bottom w:val="none" w:sz="0" w:space="0" w:color="auto"/>
            <w:right w:val="none" w:sz="0" w:space="0" w:color="auto"/>
          </w:divBdr>
          <w:divsChild>
            <w:div w:id="884945235">
              <w:marLeft w:val="0"/>
              <w:marRight w:val="0"/>
              <w:marTop w:val="0"/>
              <w:marBottom w:val="0"/>
              <w:divBdr>
                <w:top w:val="none" w:sz="0" w:space="0" w:color="auto"/>
                <w:left w:val="none" w:sz="0" w:space="0" w:color="auto"/>
                <w:bottom w:val="none" w:sz="0" w:space="0" w:color="auto"/>
                <w:right w:val="none" w:sz="0" w:space="0" w:color="auto"/>
              </w:divBdr>
            </w:div>
          </w:divsChild>
        </w:div>
        <w:div w:id="1727727454">
          <w:marLeft w:val="0"/>
          <w:marRight w:val="0"/>
          <w:marTop w:val="0"/>
          <w:marBottom w:val="0"/>
          <w:divBdr>
            <w:top w:val="none" w:sz="0" w:space="0" w:color="auto"/>
            <w:left w:val="none" w:sz="0" w:space="0" w:color="auto"/>
            <w:bottom w:val="none" w:sz="0" w:space="0" w:color="auto"/>
            <w:right w:val="none" w:sz="0" w:space="0" w:color="auto"/>
          </w:divBdr>
          <w:divsChild>
            <w:div w:id="1983460618">
              <w:marLeft w:val="0"/>
              <w:marRight w:val="0"/>
              <w:marTop w:val="0"/>
              <w:marBottom w:val="0"/>
              <w:divBdr>
                <w:top w:val="none" w:sz="0" w:space="0" w:color="auto"/>
                <w:left w:val="none" w:sz="0" w:space="0" w:color="auto"/>
                <w:bottom w:val="none" w:sz="0" w:space="0" w:color="auto"/>
                <w:right w:val="none" w:sz="0" w:space="0" w:color="auto"/>
              </w:divBdr>
            </w:div>
          </w:divsChild>
        </w:div>
        <w:div w:id="1730305472">
          <w:marLeft w:val="0"/>
          <w:marRight w:val="0"/>
          <w:marTop w:val="0"/>
          <w:marBottom w:val="0"/>
          <w:divBdr>
            <w:top w:val="none" w:sz="0" w:space="0" w:color="auto"/>
            <w:left w:val="none" w:sz="0" w:space="0" w:color="auto"/>
            <w:bottom w:val="none" w:sz="0" w:space="0" w:color="auto"/>
            <w:right w:val="none" w:sz="0" w:space="0" w:color="auto"/>
          </w:divBdr>
          <w:divsChild>
            <w:div w:id="2137218144">
              <w:marLeft w:val="0"/>
              <w:marRight w:val="0"/>
              <w:marTop w:val="0"/>
              <w:marBottom w:val="0"/>
              <w:divBdr>
                <w:top w:val="none" w:sz="0" w:space="0" w:color="auto"/>
                <w:left w:val="none" w:sz="0" w:space="0" w:color="auto"/>
                <w:bottom w:val="none" w:sz="0" w:space="0" w:color="auto"/>
                <w:right w:val="none" w:sz="0" w:space="0" w:color="auto"/>
              </w:divBdr>
              <w:divsChild>
                <w:div w:id="82058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119902">
          <w:marLeft w:val="0"/>
          <w:marRight w:val="0"/>
          <w:marTop w:val="0"/>
          <w:marBottom w:val="0"/>
          <w:divBdr>
            <w:top w:val="none" w:sz="0" w:space="0" w:color="auto"/>
            <w:left w:val="none" w:sz="0" w:space="0" w:color="auto"/>
            <w:bottom w:val="none" w:sz="0" w:space="0" w:color="auto"/>
            <w:right w:val="none" w:sz="0" w:space="0" w:color="auto"/>
          </w:divBdr>
          <w:divsChild>
            <w:div w:id="139330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049654">
      <w:bodyDiv w:val="1"/>
      <w:marLeft w:val="0"/>
      <w:marRight w:val="0"/>
      <w:marTop w:val="0"/>
      <w:marBottom w:val="0"/>
      <w:divBdr>
        <w:top w:val="none" w:sz="0" w:space="0" w:color="auto"/>
        <w:left w:val="none" w:sz="0" w:space="0" w:color="auto"/>
        <w:bottom w:val="none" w:sz="0" w:space="0" w:color="auto"/>
        <w:right w:val="none" w:sz="0" w:space="0" w:color="auto"/>
      </w:divBdr>
    </w:div>
    <w:div w:id="2024162867">
      <w:bodyDiv w:val="1"/>
      <w:marLeft w:val="0"/>
      <w:marRight w:val="0"/>
      <w:marTop w:val="0"/>
      <w:marBottom w:val="0"/>
      <w:divBdr>
        <w:top w:val="none" w:sz="0" w:space="0" w:color="auto"/>
        <w:left w:val="none" w:sz="0" w:space="0" w:color="auto"/>
        <w:bottom w:val="none" w:sz="0" w:space="0" w:color="auto"/>
        <w:right w:val="none" w:sz="0" w:space="0" w:color="auto"/>
      </w:divBdr>
    </w:div>
    <w:div w:id="2052342434">
      <w:bodyDiv w:val="1"/>
      <w:marLeft w:val="0"/>
      <w:marRight w:val="0"/>
      <w:marTop w:val="0"/>
      <w:marBottom w:val="0"/>
      <w:divBdr>
        <w:top w:val="none" w:sz="0" w:space="0" w:color="auto"/>
        <w:left w:val="none" w:sz="0" w:space="0" w:color="auto"/>
        <w:bottom w:val="none" w:sz="0" w:space="0" w:color="auto"/>
        <w:right w:val="none" w:sz="0" w:space="0" w:color="auto"/>
      </w:divBdr>
    </w:div>
    <w:div w:id="2100564203">
      <w:bodyDiv w:val="1"/>
      <w:marLeft w:val="0"/>
      <w:marRight w:val="0"/>
      <w:marTop w:val="0"/>
      <w:marBottom w:val="0"/>
      <w:divBdr>
        <w:top w:val="none" w:sz="0" w:space="0" w:color="auto"/>
        <w:left w:val="none" w:sz="0" w:space="0" w:color="auto"/>
        <w:bottom w:val="none" w:sz="0" w:space="0" w:color="auto"/>
        <w:right w:val="none" w:sz="0" w:space="0" w:color="auto"/>
      </w:divBdr>
    </w:div>
    <w:div w:id="211609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4" Type="http://schemas.openxmlformats.org/officeDocument/2006/relationships/settings" Target="settings.xml"/><Relationship Id="rId14" Type="http://schemas.openxmlformats.org/officeDocument/2006/relationships/header" Target="header1.xml"/><Relationship Id="rId22"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www.pbs.gov.au/info/industry/pricing/pbs-items/therapeutic-relativity-shee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Pub18</b:Tag>
    <b:SourceType>JournalArticle</b:SourceType>
    <b:Guid>{B4968E51-E938-4FD4-8018-0F20AF0F59E5}</b:Guid>
    <b:Author>
      <b:Author>
        <b:Corporate>Benralizumab PSD</b:Corporate>
      </b:Author>
    </b:Author>
    <b:Title>Benralizumab Public Summary Document</b:Title>
    <b:Year>2018</b:Year>
    <b:Month>March</b:Month>
    <b:RefOrder>1</b:RefOrder>
  </b:Source>
  <b:Source>
    <b:Tag>Mep16</b:Tag>
    <b:SourceType>JournalArticle</b:SourceType>
    <b:Guid>{823F041C-FC8B-4E1B-A27C-3B7299986DF3}</b:Guid>
    <b:Author>
      <b:Author>
        <b:Corporate>Mepolizumab PSD</b:Corporate>
      </b:Author>
    </b:Author>
    <b:Title>Mepolizumab Public Summary Document</b:Title>
    <b:Year>2016</b:Year>
    <b:Month>March</b:Month>
    <b:RefOrder>16</b:RefOrder>
  </b:Source>
  <b:Source>
    <b:Tag>Ble16</b:Tag>
    <b:SourceType>JournalArticle</b:SourceType>
    <b:Guid>{3B935852-2C69-4CB2-B0B3-572300F37E97}</b:Guid>
    <b:Author>
      <b:Author>
        <b:NameList>
          <b:Person>
            <b:Last>Bleecker</b:Last>
            <b:First>ER</b:First>
          </b:Person>
          <b:Person>
            <b:Last>FitzGerald</b:Last>
            <b:First>JM</b:First>
          </b:Person>
          <b:Person>
            <b:Last>Chanez</b:Last>
            <b:First>P</b:First>
          </b:Person>
          <b:Person>
            <b:Last>Papi</b:Last>
            <b:First>A</b:First>
          </b:Person>
          <b:Person>
            <b:Last>Weinstein</b:Last>
            <b:First>S</b:First>
          </b:Person>
          <b:Person>
            <b:Last>Barker</b:Last>
            <b:First>P</b:First>
          </b:Person>
          <b:Person>
            <b:Last>Sproule</b:Last>
            <b:First>S</b:First>
          </b:Person>
          <b:Person>
            <b:Last>Gilmartin</b:Last>
            <b:First>G</b:First>
          </b:Person>
          <b:Person>
            <b:Last>Aurivillius</b:Last>
            <b:First>M</b:First>
          </b:Person>
          <b:Person>
            <b:Last>Werkström</b:Last>
            <b:First>V</b:First>
          </b:Person>
          <b:Person>
            <b:Last>Goldman</b:Last>
            <b:First>M.</b:First>
          </b:Person>
        </b:NameList>
      </b:Author>
    </b:Author>
    <b:Title>Effi cacy and safety of benralizumab for patients with severe asthma uncontrolled with high-dosage inhaled corticosteroids and long-acting β2-agonists (SIROCCO): a randomised, multicentre, placebo-controlled phase 3 trial</b:Title>
    <b:JournalName>Lancet</b:JournalName>
    <b:Year>2016</b:Year>
    <b:Pages>2115-27</b:Pages>
    <b:Volume>388</b:Volume>
    <b:RefOrder>7</b:RefOrder>
  </b:Source>
  <b:Source>
    <b:Tag>Fit16</b:Tag>
    <b:SourceType>JournalArticle</b:SourceType>
    <b:Guid>{ACAE8AE7-CAFF-4037-B221-CD5E6C8699B7}</b:Guid>
    <b:Author>
      <b:Author>
        <b:NameList>
          <b:Person>
            <b:Last>FitzGerald</b:Last>
            <b:First>JM</b:First>
          </b:Person>
          <b:Person>
            <b:Last>Bleecker</b:Last>
            <b:First>EM</b:First>
          </b:Person>
          <b:Person>
            <b:Last>Nair</b:Last>
            <b:First>P</b:First>
          </b:Person>
          <b:Person>
            <b:Last>S</b:Last>
            <b:First>Korn</b:First>
          </b:Person>
          <b:Person>
            <b:Last>Ohta</b:Last>
            <b:First>K</b:First>
          </b:Person>
          <b:Person>
            <b:Last>Lommatzsch</b:Last>
            <b:First>M</b:First>
          </b:Person>
          <b:Person>
            <b:Last>Ferguson</b:Last>
            <b:First>GT</b:First>
          </b:Person>
          <b:Person>
            <b:Last>Busse</b:Last>
            <b:First>WW.</b:First>
          </b:Person>
        </b:NameList>
      </b:Author>
    </b:Author>
    <b:Title>Benralizumab, an anti-interleukin-5 receptor α monoclonal antibody, as add-on treatment for patients with severe, uncontrolled, eosinophilic asthma (CALIMA): a randomised,double-blind, placebo-controlled phase 3 trial</b:Title>
    <b:JournalName>Lancet</b:JournalName>
    <b:Year>2016</b:Year>
    <b:Pages>2128-41</b:Pages>
    <b:Volume>388</b:Volume>
    <b:RefOrder>8</b:RefOrder>
  </b:Source>
  <b:Source>
    <b:Tag>Nai17</b:Tag>
    <b:SourceType>JournalArticle</b:SourceType>
    <b:Guid>{091E8657-1D2E-4BC6-923D-6C73DC140A6F}</b:Guid>
    <b:Author>
      <b:Author>
        <b:NameList>
          <b:Person>
            <b:Last>Nair</b:Last>
            <b:First>P</b:First>
          </b:Person>
          <b:Person>
            <b:Last>Wenzel</b:Last>
            <b:First>S</b:First>
          </b:Person>
          <b:Person>
            <b:Last>Rabe</b:Last>
            <b:First>KF</b:First>
          </b:Person>
          <b:Person>
            <b:Last>Bourdi</b:Last>
            <b:First>A</b:First>
          </b:Person>
          <b:Person>
            <b:Last>Lugogo</b:Last>
            <b:First>NL</b:First>
          </b:Person>
          <b:Person>
            <b:Last>Kuna</b:Last>
            <b:First>P</b:First>
          </b:Person>
          <b:Person>
            <b:Last>Barker</b:Last>
            <b:First>P</b:First>
          </b:Person>
          <b:Person>
            <b:Last>Sproule</b:Last>
            <b:First>S</b:First>
          </b:Person>
          <b:Person>
            <b:Last>Ponnarambil</b:Last>
            <b:First>S</b:First>
          </b:Person>
          <b:Person>
            <b:Last>Goldman</b:Last>
            <b:First>M.</b:First>
          </b:Person>
        </b:NameList>
      </b:Author>
    </b:Author>
    <b:Title>Oral Glucocorticoid–Sparing Effect of Benralizumab in Severe Asthma</b:Title>
    <b:JournalName>N Engl J Med</b:JournalName>
    <b:Year>2017</b:Year>
    <b:Pages>2448-58</b:Pages>
    <b:Volume>376</b:Volume>
    <b:RefOrder>9</b:RefOrder>
  </b:Source>
  <b:Source>
    <b:Tag>Ort14</b:Tag>
    <b:SourceType>JournalArticle</b:SourceType>
    <b:Guid>{8662AAB8-187F-4A04-8941-40268686EEEC}</b:Guid>
    <b:Author>
      <b:Author>
        <b:NameList>
          <b:Person>
            <b:Last>Ortega</b:Last>
            <b:First>HG</b:First>
          </b:Person>
          <b:Person>
            <b:Last>Liu</b:Last>
            <b:First>MC</b:First>
          </b:Person>
          <b:Person>
            <b:Last>Pavord</b:Last>
            <b:First>ID</b:First>
          </b:Person>
          <b:Person>
            <b:Last>GG</b:Last>
            <b:First>Brusselle.</b:First>
          </b:Person>
          <b:Person>
            <b:Last>FitzGerald</b:Last>
            <b:First>J</b:First>
          </b:Person>
          <b:Person>
            <b:Last>Chetta</b:Last>
            <b:First>A</b:First>
          </b:Person>
          <b:Person>
            <b:Last>Humbert</b:Last>
            <b:First>M</b:First>
          </b:Person>
          <b:Person>
            <b:Last>Katz</b:Last>
            <b:First>LE</b:First>
          </b:Person>
          <b:Person>
            <b:Last>Keene</b:Last>
            <b:First>ON</b:First>
          </b:Person>
          <b:Person>
            <b:Last>Yancey</b:Last>
            <b:First>SW</b:First>
          </b:Person>
          <b:Person>
            <b:Last>Chanez</b:Last>
            <b:First>P.</b:First>
          </b:Person>
        </b:NameList>
      </b:Author>
    </b:Author>
    <b:Title>Mepolizumab Treatment in Patients with Severe Eosinophilic Asthma</b:Title>
    <b:JournalName>N Engl J Med </b:JournalName>
    <b:Year>2014</b:Year>
    <b:Pages>1198-207</b:Pages>
    <b:Volume>371</b:Volume>
    <b:RefOrder>10</b:RefOrder>
  </b:Source>
  <b:Source>
    <b:Tag>Chu17</b:Tag>
    <b:SourceType>JournalArticle</b:SourceType>
    <b:Guid>{0C142D13-B9E7-464B-B91D-F896DB686E94}</b:Guid>
    <b:Author>
      <b:Author>
        <b:NameList>
          <b:Person>
            <b:Last>Chupp</b:Last>
            <b:First>GL</b:First>
          </b:Person>
          <b:Person>
            <b:Last>Bradford</b:Last>
            <b:First>ES</b:First>
          </b:Person>
          <b:Person>
            <b:Last>Albers</b:Last>
            <b:First>FC</b:First>
          </b:Person>
          <b:Person>
            <b:Last>Bratton</b:Last>
            <b:First>DJ</b:First>
          </b:Person>
          <b:Person>
            <b:Last>Jairaj</b:Last>
            <b:First>JW</b:First>
          </b:Person>
          <b:Person>
            <b:Last>Nelsen</b:Last>
            <b:First>LM</b:First>
          </b:Person>
          <b:Person>
            <b:Last>Trevor</b:Last>
            <b:First>JL</b:First>
          </b:Person>
          <b:Person>
            <b:Last>Magnan</b:Last>
            <b:First>A</b:First>
          </b:Person>
          <b:Person>
            <b:Last>Brinke</b:Last>
            <b:First>A.</b:First>
          </b:Person>
        </b:NameList>
      </b:Author>
    </b:Author>
    <b:Title>Efficacy of mepolizumab add-on therapy on health-related quality of life and markers of asthma control in severe eosinophilic asthma (MUSCA): a randomised, double-blind,placebo-controlled, parallel-group, multicentre, phase 3b trial</b:Title>
    <b:JournalName>Lancet Respir Med</b:JournalName>
    <b:Year>2017</b:Year>
    <b:Pages>390-400</b:Pages>
    <b:Volume>5</b:Volume>
    <b:RefOrder>11</b:RefOrder>
  </b:Source>
  <b:Source>
    <b:Tag>Bel14</b:Tag>
    <b:SourceType>JournalArticle</b:SourceType>
    <b:Guid>{851B5A2B-1000-482D-B1A8-69C78E06CFD0}</b:Guid>
    <b:Author>
      <b:Author>
        <b:NameList>
          <b:Person>
            <b:Last>Bel</b:Last>
            <b:First>EH</b:First>
          </b:Person>
          <b:Person>
            <b:Last>Wenzel</b:Last>
            <b:First>SE</b:First>
          </b:Person>
          <b:Person>
            <b:Last>Thompson</b:Last>
            <b:First>PJ</b:First>
          </b:Person>
          <b:Person>
            <b:Last>Prazma</b:Last>
            <b:First>CM</b:First>
          </b:Person>
          <b:Person>
            <b:Last>Keene</b:Last>
            <b:First>ON</b:First>
          </b:Person>
          <b:Person>
            <b:Last>Yancey</b:Last>
            <b:First>SW</b:First>
          </b:Person>
          <b:Person>
            <b:Last>Ortega</b:Last>
            <b:First>HG</b:First>
          </b:Person>
          <b:Person>
            <b:Last>Pavord</b:Last>
            <b:First>ID.</b:First>
          </b:Person>
        </b:NameList>
      </b:Author>
    </b:Author>
    <b:Title>Oral Glucocorticoid-Sparing Effect of Mepolizumab in Eosinophilic Asthma</b:Title>
    <b:JournalName>N Engl J Med </b:JournalName>
    <b:Year>2014</b:Year>
    <b:Pages>1189-97</b:Pages>
    <b:Volume>371</b:Volume>
    <b:RefOrder>12</b:RefOrder>
  </b:Source>
  <b:Source>
    <b:Tag>Han11</b:Tag>
    <b:SourceType>JournalArticle</b:SourceType>
    <b:Guid>{1DB4B2B7-0DE4-4BAA-876A-0E7CF6451881}</b:Guid>
    <b:Author>
      <b:Author>
        <b:NameList>
          <b:Person>
            <b:Last>Hanania</b:Last>
            <b:First>NA</b:First>
          </b:Person>
          <b:Person>
            <b:Last>Alpan</b:Last>
            <b:First>O</b:First>
          </b:Person>
          <b:Person>
            <b:Last>Hamilos</b:Last>
            <b:First>DL</b:First>
          </b:Person>
          <b:Person>
            <b:Last>Condemi</b:Last>
            <b:First>JJ</b:First>
          </b:Person>
          <b:Person>
            <b:Last>Reyes-Rivera</b:Last>
            <b:First>I</b:First>
          </b:Person>
          <b:Person>
            <b:Last>Zhu</b:Last>
            <b:First>J</b:First>
          </b:Person>
          <b:Person>
            <b:Last>Rosen</b:Last>
            <b:First>KE</b:First>
          </b:Person>
          <b:Person>
            <b:Last>Eisner</b:Last>
            <b:First>MD</b:First>
          </b:Person>
          <b:Person>
            <b:Last>Wong</b:Last>
            <b:First>DA</b:First>
          </b:Person>
          <b:Person>
            <b:Last>Busse</b:Last>
            <b:First>W.</b:First>
          </b:Person>
        </b:NameList>
      </b:Author>
    </b:Author>
    <b:Title>Omalizumab in Severe Allergic Asthma Inadequately Controlled With Standard Therapy</b:Title>
    <b:JournalName>Ann Intern Med</b:JournalName>
    <b:Year>2011</b:Year>
    <b:Pages>573-582</b:Pages>
    <b:Volume>154</b:Volume>
    <b:RefOrder>13</b:RefOrder>
  </b:Source>
  <b:Source>
    <b:Tag>Hum05</b:Tag>
    <b:SourceType>JournalArticle</b:SourceType>
    <b:Guid>{E3BF39DE-E16D-45D0-A069-80B35C1F20C0}</b:Guid>
    <b:Author>
      <b:Author>
        <b:NameList>
          <b:Person>
            <b:Last>Humbert</b:Last>
            <b:First>M</b:First>
          </b:Person>
          <b:Person>
            <b:Last>Beasley</b:Last>
            <b:First>R</b:First>
          </b:Person>
          <b:Person>
            <b:Last>Ayres</b:Last>
            <b:First>J</b:First>
          </b:Person>
          <b:Person>
            <b:Last>Slavin</b:Last>
            <b:First>R</b:First>
          </b:Person>
          <b:Person>
            <b:Last>Hebert</b:Last>
            <b:First>J</b:First>
          </b:Person>
          <b:Person>
            <b:Last>Bousquet</b:Last>
            <b:First>KM</b:First>
          </b:Person>
          <b:Person>
            <b:Last>Ramos</b:Last>
            <b:First>S</b:First>
          </b:Person>
          <b:Person>
            <b:Last>Canonica</b:Last>
            <b:First>GW</b:First>
          </b:Person>
          <b:Person>
            <b:Last>Hedgecock</b:Last>
            <b:First>S</b:First>
          </b:Person>
          <b:Person>
            <b:Last>Fox</b:Last>
            <b:First>H</b:First>
          </b:Person>
          <b:Person>
            <b:Last>Blogg</b:Last>
            <b:First>M</b:First>
          </b:Person>
          <b:Person>
            <b:Last>Surrey</b:Last>
            <b:First>K.</b:First>
          </b:Person>
        </b:NameList>
      </b:Author>
    </b:Author>
    <b:Title>Benefits of omalizumab as add-on therapy in patients with severe persistent asthma who are inadequately controlled despite best available therapy (GINA 2002 step 4 treatment): INNOVATE</b:Title>
    <b:JournalName>Allergy</b:JournalName>
    <b:Year>2005</b:Year>
    <b:Pages>309-16</b:Pages>
    <b:Volume>60</b:Volume>
    <b:RefOrder>14</b:RefOrder>
  </b:Source>
  <b:Source>
    <b:Tag>DRI18</b:Tag>
    <b:SourceType>JournalArticle</b:SourceType>
    <b:Guid>{D499F3A2-9B55-497C-9632-A2E0A68EB222}</b:Guid>
    <b:Author>
      <b:Author>
        <b:Corporate>DRI12544 CSR</b:Corporate>
      </b:Author>
    </b:Author>
    <b:Year>2018</b:Year>
    <b:RefOrder>18</b:RefOrder>
  </b:Source>
  <b:Source>
    <b:Tag>QUE17</b:Tag>
    <b:SourceType>JournalArticle</b:SourceType>
    <b:Guid>{20314BF6-3C59-C741-93F1-0F4E09E06262}</b:Guid>
    <b:Year>2017</b:Year>
    <b:Author>
      <b:Author>
        <b:Corporate>QUEST CSR</b:Corporate>
      </b:Author>
    </b:Author>
    <b:RefOrder>17</b:RefOrder>
  </b:Source>
  <b:Source>
    <b:Tag>VEN17</b:Tag>
    <b:SourceType>JournalArticle</b:SourceType>
    <b:Guid>{A887AAE7-B52D-954F-A40D-23863FF1F9D9}</b:Guid>
    <b:Year>2017</b:Year>
    <b:Author>
      <b:Author>
        <b:Corporate>VENTURE CSR</b:Corporate>
      </b:Author>
    </b:Author>
    <b:RefOrder>19</b:RefOrder>
  </b:Source>
  <b:Source>
    <b:Tag>Buc97</b:Tag>
    <b:SourceType>JournalArticle</b:SourceType>
    <b:Guid>{7E55024D-7A93-4AB5-B494-39B9055600CD}</b:Guid>
    <b:Title>The Results of Direct and Indirect Treatment Comparisons in Meta-Analysis of Randomized Controlled Trials</b:Title>
    <b:Pages>50 (6): 683-91</b:Pages>
    <b:Year>1997</b:Year>
    <b:JournalName>J Clin Epidemiol</b:JournalName>
    <b:Author>
      <b:Author>
        <b:NameList>
          <b:Person>
            <b:Last>Bucher</b:Last>
            <b:First>H</b:First>
          </b:Person>
          <b:Person>
            <b:Last>Guyatt</b:Last>
            <b:First>G</b:First>
          </b:Person>
          <b:Person>
            <b:Last>Griffith</b:Last>
            <b:First>L</b:First>
          </b:Person>
          <b:Person>
            <b:Last>Walter</b:Last>
            <b:First>S</b:First>
          </b:Person>
        </b:NameList>
      </b:Author>
    </b:Author>
    <b:RefOrder>27</b:RefOrder>
  </b:Source>
</b:Sources>
</file>

<file path=customXml/itemProps1.xml><?xml version="1.0" encoding="utf-8"?>
<ds:datastoreItem xmlns:ds="http://schemas.openxmlformats.org/officeDocument/2006/customXml" ds:itemID="{E71E1E94-199B-4CE3-90F4-C1FFD3A55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60</Pages>
  <Words>23858</Words>
  <Characters>136605</Characters>
  <Application>Microsoft Office Word</Application>
  <DocSecurity>0</DocSecurity>
  <Lines>1138</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2021-02-19T05:49:00Z</dcterms:created>
  <dcterms:modified xsi:type="dcterms:W3CDTF">2021-03-05T01:07:00Z</dcterms:modified>
</cp:coreProperties>
</file>