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4D292C" w:rsidRDefault="0028058F" w:rsidP="004A6040">
      <w:pPr>
        <w:pStyle w:val="1-MainHeading"/>
      </w:pPr>
      <w:bookmarkStart w:id="0" w:name="_Toc50975068"/>
      <w:bookmarkStart w:id="1" w:name="_GoBack"/>
      <w:bookmarkEnd w:id="1"/>
      <w:r w:rsidRPr="004D292C">
        <w:t>6</w:t>
      </w:r>
      <w:r w:rsidR="00433044" w:rsidRPr="004D292C">
        <w:t>.</w:t>
      </w:r>
      <w:r w:rsidRPr="004D292C">
        <w:t>01</w:t>
      </w:r>
      <w:r w:rsidR="00163F66" w:rsidRPr="004D292C">
        <w:tab/>
      </w:r>
      <w:r w:rsidR="00F05819" w:rsidRPr="004D292C">
        <w:t>DAPAGLIFLOZIN</w:t>
      </w:r>
      <w:r w:rsidR="00163F66" w:rsidRPr="004D292C">
        <w:t>,</w:t>
      </w:r>
      <w:r w:rsidR="00163F66" w:rsidRPr="004D292C">
        <w:br/>
      </w:r>
      <w:r w:rsidR="00F01FA1" w:rsidRPr="004D292C">
        <w:t>Tablet 10</w:t>
      </w:r>
      <w:r w:rsidR="000212C5" w:rsidRPr="004D292C">
        <w:t xml:space="preserve"> mg</w:t>
      </w:r>
      <w:r w:rsidR="00F05819" w:rsidRPr="004D292C">
        <w:t>,</w:t>
      </w:r>
      <w:r w:rsidR="00163F66" w:rsidRPr="004D292C">
        <w:br/>
      </w:r>
      <w:r w:rsidR="00F05819" w:rsidRPr="004D292C">
        <w:t>Forxiga®</w:t>
      </w:r>
      <w:r w:rsidR="004A6040" w:rsidRPr="004D292C">
        <w:t>,</w:t>
      </w:r>
      <w:r w:rsidR="004A6040" w:rsidRPr="004D292C">
        <w:br/>
      </w:r>
      <w:r w:rsidR="00F05819" w:rsidRPr="004D292C">
        <w:t>AstraZeneca Pty Ltd.</w:t>
      </w:r>
      <w:bookmarkEnd w:id="0"/>
    </w:p>
    <w:p w:rsidR="00B50DB8" w:rsidRPr="004D292C" w:rsidRDefault="00B50DB8" w:rsidP="004A6040">
      <w:pPr>
        <w:pStyle w:val="2-SectionHeading"/>
      </w:pPr>
      <w:bookmarkStart w:id="2" w:name="_Toc50975070"/>
      <w:r w:rsidRPr="004D292C">
        <w:t xml:space="preserve">Purpose of </w:t>
      </w:r>
      <w:r w:rsidR="00CD7193" w:rsidRPr="004D292C">
        <w:t>s</w:t>
      </w:r>
      <w:r w:rsidR="00BB3A45" w:rsidRPr="004D292C">
        <w:t>ubmission</w:t>
      </w:r>
      <w:bookmarkEnd w:id="2"/>
    </w:p>
    <w:p w:rsidR="002C2775" w:rsidRPr="004D292C" w:rsidRDefault="007170DA" w:rsidP="00A444FC">
      <w:pPr>
        <w:pStyle w:val="ExecSumBodyText"/>
      </w:pPr>
      <w:r w:rsidRPr="004D292C">
        <w:t xml:space="preserve">The submission </w:t>
      </w:r>
      <w:r w:rsidR="00A444FC" w:rsidRPr="004D292C">
        <w:t>requested an Authority Required (Streamlined) general schedule listing of dapagliflozin for the treatment of patients with chronic heart failure with reduced ejection fraction.</w:t>
      </w:r>
      <w:r w:rsidR="008B1757" w:rsidRPr="004D292C">
        <w:t xml:space="preserve"> </w:t>
      </w:r>
    </w:p>
    <w:p w:rsidR="00C2778B" w:rsidRPr="004D292C" w:rsidRDefault="005750C5" w:rsidP="004E18E9">
      <w:pPr>
        <w:pStyle w:val="ExecSumBodyText"/>
      </w:pPr>
      <w:r w:rsidRPr="004D292C">
        <w:t>Listing was requested on the basis of a cost-minimisation</w:t>
      </w:r>
      <w:r w:rsidR="00A444FC" w:rsidRPr="004D292C">
        <w:t xml:space="preserve"> </w:t>
      </w:r>
      <w:r w:rsidRPr="004D292C">
        <w:t>analysis versus</w:t>
      </w:r>
      <w:r w:rsidR="00A444FC" w:rsidRPr="004D292C">
        <w:t xml:space="preserve"> sacubitril/valsartan</w:t>
      </w:r>
      <w:r w:rsidRPr="004D292C">
        <w:t>.</w:t>
      </w:r>
    </w:p>
    <w:p w:rsidR="008B1757" w:rsidRPr="004D292C" w:rsidRDefault="00A444FC" w:rsidP="00230DB1">
      <w:pPr>
        <w:pStyle w:val="TableFigureCaption"/>
      </w:pPr>
      <w:r w:rsidRPr="004D292C">
        <w:t>Table 1</w:t>
      </w:r>
      <w:r w:rsidR="008B1757" w:rsidRPr="004D292C">
        <w:t>:</w:t>
      </w:r>
      <w:r w:rsidR="00BC591F" w:rsidRPr="004D292C">
        <w:t xml:space="preserve"> </w:t>
      </w:r>
      <w:r w:rsidR="008B1757" w:rsidRPr="004D292C">
        <w:t xml:space="preserve">Key components of the clinical issue addressed </w:t>
      </w:r>
      <w:r w:rsidRPr="004D292C">
        <w:t>in</w:t>
      </w:r>
      <w:r w:rsidR="008B1757" w:rsidRPr="004D292C">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625"/>
      </w:tblGrid>
      <w:tr w:rsidR="00A444FC" w:rsidRPr="004D292C" w:rsidTr="002A5805">
        <w:tc>
          <w:tcPr>
            <w:tcW w:w="772" w:type="pct"/>
            <w:vAlign w:val="center"/>
          </w:tcPr>
          <w:p w:rsidR="00A444FC" w:rsidRPr="004D292C" w:rsidRDefault="00A444FC" w:rsidP="00E67CED">
            <w:pPr>
              <w:pStyle w:val="Tableheadingrow"/>
              <w:rPr>
                <w:lang w:val="en-AU"/>
              </w:rPr>
            </w:pPr>
            <w:r w:rsidRPr="004D292C">
              <w:rPr>
                <w:lang w:val="en-AU"/>
              </w:rPr>
              <w:t>Component</w:t>
            </w:r>
          </w:p>
        </w:tc>
        <w:tc>
          <w:tcPr>
            <w:tcW w:w="4228" w:type="pct"/>
            <w:vAlign w:val="center"/>
          </w:tcPr>
          <w:p w:rsidR="00A444FC" w:rsidRPr="004D292C" w:rsidRDefault="00A444FC" w:rsidP="00E67CED">
            <w:pPr>
              <w:pStyle w:val="Tableheadingrow"/>
              <w:rPr>
                <w:lang w:val="en-AU"/>
              </w:rPr>
            </w:pPr>
            <w:r w:rsidRPr="004D292C">
              <w:rPr>
                <w:lang w:val="en-AU"/>
              </w:rPr>
              <w:t>Description</w:t>
            </w:r>
          </w:p>
        </w:tc>
      </w:tr>
      <w:tr w:rsidR="00A444FC" w:rsidRPr="004D292C" w:rsidTr="002A5805">
        <w:tc>
          <w:tcPr>
            <w:tcW w:w="772" w:type="pct"/>
            <w:vAlign w:val="center"/>
          </w:tcPr>
          <w:p w:rsidR="00A444FC" w:rsidRPr="004D292C" w:rsidRDefault="00A444FC" w:rsidP="00E67CED">
            <w:pPr>
              <w:pStyle w:val="TableText"/>
            </w:pPr>
            <w:r w:rsidRPr="004D292C">
              <w:t>Population</w:t>
            </w:r>
          </w:p>
        </w:tc>
        <w:tc>
          <w:tcPr>
            <w:tcW w:w="4228" w:type="pct"/>
            <w:vAlign w:val="center"/>
          </w:tcPr>
          <w:p w:rsidR="00A444FC" w:rsidRPr="004D292C" w:rsidRDefault="00A444FC" w:rsidP="00E67CED">
            <w:pPr>
              <w:pStyle w:val="TableText"/>
            </w:pPr>
            <w:r w:rsidRPr="004D292C">
              <w:t>Patients with symptomatic (NYHA class II-IV) chronic heart failure with reduced ejection fraction who are receiving (unless contraindicated or not tolerated) an ACE inhibitor, ARB or sacubitril/valsartan; a beta-blocker; and, if appropriate, an MRA.</w:t>
            </w:r>
          </w:p>
        </w:tc>
      </w:tr>
      <w:tr w:rsidR="00A444FC" w:rsidRPr="004D292C" w:rsidTr="002A5805">
        <w:tc>
          <w:tcPr>
            <w:tcW w:w="772" w:type="pct"/>
            <w:vAlign w:val="center"/>
          </w:tcPr>
          <w:p w:rsidR="00A444FC" w:rsidRPr="004D292C" w:rsidRDefault="00A444FC" w:rsidP="00E67CED">
            <w:pPr>
              <w:pStyle w:val="TableText"/>
            </w:pPr>
            <w:r w:rsidRPr="004D292C">
              <w:t>Intervention</w:t>
            </w:r>
          </w:p>
        </w:tc>
        <w:tc>
          <w:tcPr>
            <w:tcW w:w="4228" w:type="pct"/>
            <w:vAlign w:val="center"/>
          </w:tcPr>
          <w:p w:rsidR="00A444FC" w:rsidRPr="004D292C" w:rsidRDefault="00A444FC" w:rsidP="00E67CED">
            <w:pPr>
              <w:pStyle w:val="TableText"/>
            </w:pPr>
            <w:r w:rsidRPr="004D292C">
              <w:t xml:space="preserve">Dapagliflozin 10 mg once daily added to standard care comprising </w:t>
            </w:r>
            <w:bookmarkStart w:id="3" w:name="_Hlk49889895"/>
            <w:r w:rsidRPr="004D292C">
              <w:t>an ACE inhibitor, ARB or sacubitril/valsartan; a beta-blocker; and, if appropriate, an MRA.</w:t>
            </w:r>
            <w:bookmarkEnd w:id="3"/>
          </w:p>
        </w:tc>
      </w:tr>
      <w:tr w:rsidR="00A444FC" w:rsidRPr="004D292C" w:rsidTr="002A5805">
        <w:tc>
          <w:tcPr>
            <w:tcW w:w="772" w:type="pct"/>
            <w:vAlign w:val="center"/>
          </w:tcPr>
          <w:p w:rsidR="00A444FC" w:rsidRPr="004D292C" w:rsidRDefault="00A444FC" w:rsidP="00E67CED">
            <w:pPr>
              <w:pStyle w:val="TableText"/>
            </w:pPr>
            <w:r w:rsidRPr="004D292C">
              <w:t>Comparator</w:t>
            </w:r>
          </w:p>
        </w:tc>
        <w:tc>
          <w:tcPr>
            <w:tcW w:w="4228" w:type="pct"/>
            <w:vAlign w:val="center"/>
          </w:tcPr>
          <w:p w:rsidR="00A444FC" w:rsidRPr="004D292C" w:rsidRDefault="00A444FC" w:rsidP="004D77AA">
            <w:pPr>
              <w:pStyle w:val="TableText"/>
              <w:numPr>
                <w:ilvl w:val="0"/>
                <w:numId w:val="4"/>
              </w:numPr>
              <w:ind w:left="59" w:hanging="124"/>
            </w:pPr>
            <w:r w:rsidRPr="004D292C">
              <w:t>Sacubitril/valsartan added to standard care comprising a beta-blocker and, if appropriate, an MRA.</w:t>
            </w:r>
          </w:p>
          <w:p w:rsidR="00A444FC" w:rsidRPr="004D292C" w:rsidRDefault="00A444FC" w:rsidP="004D77AA">
            <w:pPr>
              <w:pStyle w:val="TableText"/>
              <w:numPr>
                <w:ilvl w:val="0"/>
                <w:numId w:val="4"/>
              </w:numPr>
              <w:ind w:left="59" w:hanging="124"/>
            </w:pPr>
            <w:r w:rsidRPr="004D292C">
              <w:t>Standard care alone comprising an ACE inhibitor, ARB or sacubitril/valsartan; a beta-blocker; and, if appropriate, an MRA.</w:t>
            </w:r>
          </w:p>
        </w:tc>
      </w:tr>
      <w:tr w:rsidR="00A444FC" w:rsidRPr="004D292C" w:rsidTr="002A5805">
        <w:tc>
          <w:tcPr>
            <w:tcW w:w="772" w:type="pct"/>
            <w:vAlign w:val="center"/>
          </w:tcPr>
          <w:p w:rsidR="00A444FC" w:rsidRPr="004D292C" w:rsidRDefault="00A444FC" w:rsidP="00E67CED">
            <w:pPr>
              <w:pStyle w:val="TableText"/>
            </w:pPr>
            <w:r w:rsidRPr="004D292C">
              <w:t>Outcomes</w:t>
            </w:r>
          </w:p>
        </w:tc>
        <w:tc>
          <w:tcPr>
            <w:tcW w:w="4228" w:type="pct"/>
            <w:vAlign w:val="center"/>
          </w:tcPr>
          <w:p w:rsidR="00A444FC" w:rsidRPr="004D292C" w:rsidRDefault="00A444FC" w:rsidP="00E67CED">
            <w:pPr>
              <w:pStyle w:val="TableText"/>
            </w:pPr>
            <w:r w:rsidRPr="004D292C">
              <w:t>Time to hospitalisation for heart failure; time to urgent heart failure visit; time to cardiovascular death; death; time to death from any cause; heart failure-related quality of life; safety.</w:t>
            </w:r>
          </w:p>
        </w:tc>
      </w:tr>
      <w:tr w:rsidR="00A444FC" w:rsidRPr="004D292C" w:rsidTr="002A5805">
        <w:tc>
          <w:tcPr>
            <w:tcW w:w="772" w:type="pct"/>
            <w:vAlign w:val="center"/>
          </w:tcPr>
          <w:p w:rsidR="00A444FC" w:rsidRPr="004D292C" w:rsidRDefault="00A444FC" w:rsidP="00E67CED">
            <w:pPr>
              <w:pStyle w:val="TableText"/>
            </w:pPr>
            <w:r w:rsidRPr="004D292C">
              <w:t>Clinical claim</w:t>
            </w:r>
          </w:p>
        </w:tc>
        <w:tc>
          <w:tcPr>
            <w:tcW w:w="4228" w:type="pct"/>
            <w:vAlign w:val="center"/>
          </w:tcPr>
          <w:p w:rsidR="00A444FC" w:rsidRPr="004D292C" w:rsidRDefault="00A444FC" w:rsidP="004D77AA">
            <w:pPr>
              <w:pStyle w:val="TableText"/>
              <w:numPr>
                <w:ilvl w:val="0"/>
                <w:numId w:val="4"/>
              </w:numPr>
              <w:ind w:left="59" w:hanging="124"/>
            </w:pPr>
            <w:r w:rsidRPr="004D292C">
              <w:t>When used in the management of patients with heart failure with reduced ejection fraction, dapagliflozin added to standard care (comprising an ACE inhibitor or ARB, a beta-blocker, and, if appropriate, an MRA), is non-inferior, in terms of effectiveness and safety, compared to sacubitril/valsartan added to standard care (comprising a beta-blocker; and, if appropriate, an MRA).</w:t>
            </w:r>
          </w:p>
          <w:p w:rsidR="00A444FC" w:rsidRPr="004D292C" w:rsidRDefault="00A444FC" w:rsidP="00066839">
            <w:pPr>
              <w:pStyle w:val="TableText"/>
              <w:numPr>
                <w:ilvl w:val="0"/>
                <w:numId w:val="4"/>
              </w:numPr>
              <w:ind w:left="59" w:hanging="124"/>
            </w:pPr>
            <w:r w:rsidRPr="004D292C">
              <w:t>When used in the management of patients with heart failure with reduced ejection fraction, dapagliflozin added to standard care (comprising an ACE inhibitor, ARB, or sacubitril/valsartan; a beta-blocker; and, if appropriate, an MRA), is superior in terms of effectiveness to standard care alone (comprising an ACE inhibitor, ARB, or sacubitril/valsartan; a beta-blocker; and, if appropriate, an MRA). The submission did not make an explicit safety claim.</w:t>
            </w:r>
          </w:p>
        </w:tc>
      </w:tr>
    </w:tbl>
    <w:p w:rsidR="00A444FC" w:rsidRPr="004D292C" w:rsidRDefault="00A444FC" w:rsidP="00A444FC">
      <w:pPr>
        <w:pStyle w:val="TableFigureFooter"/>
      </w:pPr>
      <w:r w:rsidRPr="004D292C">
        <w:t>Source: Table 1.1-1 of the submission.</w:t>
      </w:r>
    </w:p>
    <w:p w:rsidR="00A444FC" w:rsidRPr="004D292C" w:rsidRDefault="00A444FC" w:rsidP="00A444FC">
      <w:pPr>
        <w:pStyle w:val="TableFigureFooter"/>
      </w:pPr>
      <w:r w:rsidRPr="004D292C">
        <w:t>Abbreviations: ACE, angiotensin-converting enzyme; ARB, angiotensin II receptor blocker; MRA, mineralocorticoid receptor antagonist; NYHA, New York Heart Association.</w:t>
      </w:r>
    </w:p>
    <w:p w:rsidR="00FA127B" w:rsidRPr="004D292C" w:rsidRDefault="00802B91" w:rsidP="00FA127B">
      <w:pPr>
        <w:pStyle w:val="ExecSumBodyText"/>
        <w:rPr>
          <w:iCs/>
        </w:rPr>
      </w:pPr>
      <w:r w:rsidRPr="004D292C">
        <w:rPr>
          <w:iCs/>
        </w:rPr>
        <w:t xml:space="preserve">The submission defined standard care in the clinical claim as comprising an </w:t>
      </w:r>
      <w:r w:rsidR="003235FF" w:rsidRPr="004D292C">
        <w:rPr>
          <w:iCs/>
        </w:rPr>
        <w:t>angiotensin-converting enzyme (</w:t>
      </w:r>
      <w:r w:rsidRPr="004D292C">
        <w:rPr>
          <w:iCs/>
        </w:rPr>
        <w:t>ACE</w:t>
      </w:r>
      <w:r w:rsidR="003235FF" w:rsidRPr="004D292C">
        <w:rPr>
          <w:iCs/>
        </w:rPr>
        <w:t>)</w:t>
      </w:r>
      <w:r w:rsidRPr="004D292C">
        <w:rPr>
          <w:iCs/>
        </w:rPr>
        <w:t xml:space="preserve"> inhibitor</w:t>
      </w:r>
      <w:r w:rsidR="00427CF3" w:rsidRPr="004D292C">
        <w:rPr>
          <w:iCs/>
        </w:rPr>
        <w:t xml:space="preserve"> / </w:t>
      </w:r>
      <w:r w:rsidR="003235FF" w:rsidRPr="004D292C">
        <w:rPr>
          <w:iCs/>
        </w:rPr>
        <w:t>angiotensin II receptor blocker (</w:t>
      </w:r>
      <w:r w:rsidRPr="004D292C">
        <w:rPr>
          <w:iCs/>
        </w:rPr>
        <w:t>ARB</w:t>
      </w:r>
      <w:r w:rsidR="003235FF" w:rsidRPr="004D292C">
        <w:rPr>
          <w:iCs/>
        </w:rPr>
        <w:t>)</w:t>
      </w:r>
      <w:r w:rsidR="00066839" w:rsidRPr="004D292C">
        <w:rPr>
          <w:iCs/>
        </w:rPr>
        <w:t> </w:t>
      </w:r>
      <w:r w:rsidR="00427CF3" w:rsidRPr="004D292C">
        <w:rPr>
          <w:iCs/>
        </w:rPr>
        <w:t xml:space="preserve">/ </w:t>
      </w:r>
      <w:r w:rsidRPr="004D292C">
        <w:rPr>
          <w:iCs/>
        </w:rPr>
        <w:t xml:space="preserve">sacubitril/valsartan; </w:t>
      </w:r>
      <w:r w:rsidR="00B64723">
        <w:rPr>
          <w:iCs/>
        </w:rPr>
        <w:t xml:space="preserve">together with </w:t>
      </w:r>
      <w:r w:rsidRPr="004D292C">
        <w:rPr>
          <w:iCs/>
        </w:rPr>
        <w:t>a beta-blocker; and, if appropriate, a</w:t>
      </w:r>
      <w:r w:rsidR="003235FF" w:rsidRPr="004D292C">
        <w:rPr>
          <w:iCs/>
        </w:rPr>
        <w:t xml:space="preserve"> mineralocorticoid receptor antagonist (</w:t>
      </w:r>
      <w:r w:rsidRPr="004D292C">
        <w:rPr>
          <w:iCs/>
        </w:rPr>
        <w:t>MRA</w:t>
      </w:r>
      <w:r w:rsidR="003235FF" w:rsidRPr="004D292C">
        <w:rPr>
          <w:iCs/>
        </w:rPr>
        <w:t>)</w:t>
      </w:r>
      <w:r w:rsidRPr="004D292C">
        <w:rPr>
          <w:iCs/>
        </w:rPr>
        <w:t xml:space="preserve">. While this </w:t>
      </w:r>
      <w:r w:rsidR="00066839" w:rsidRPr="004D292C">
        <w:rPr>
          <w:iCs/>
        </w:rPr>
        <w:t>was</w:t>
      </w:r>
      <w:r w:rsidRPr="004D292C">
        <w:rPr>
          <w:iCs/>
        </w:rPr>
        <w:t xml:space="preserve"> consistent with the </w:t>
      </w:r>
      <w:r w:rsidR="006D68EB" w:rsidRPr="004D292C">
        <w:rPr>
          <w:iCs/>
        </w:rPr>
        <w:t>inclusion</w:t>
      </w:r>
      <w:r w:rsidRPr="004D292C">
        <w:rPr>
          <w:iCs/>
        </w:rPr>
        <w:t xml:space="preserve"> criteria for the </w:t>
      </w:r>
      <w:r w:rsidR="005129C3" w:rsidRPr="004D292C">
        <w:rPr>
          <w:iCs/>
        </w:rPr>
        <w:t>DAPA-HF trial</w:t>
      </w:r>
      <w:r w:rsidRPr="004D292C">
        <w:rPr>
          <w:iCs/>
        </w:rPr>
        <w:t xml:space="preserve">, </w:t>
      </w:r>
      <w:r w:rsidR="005129C3" w:rsidRPr="004D292C">
        <w:rPr>
          <w:iCs/>
        </w:rPr>
        <w:t xml:space="preserve">patients </w:t>
      </w:r>
      <w:r w:rsidRPr="004D292C">
        <w:rPr>
          <w:iCs/>
        </w:rPr>
        <w:t xml:space="preserve">in the trial </w:t>
      </w:r>
      <w:r w:rsidR="005129C3" w:rsidRPr="004D292C">
        <w:rPr>
          <w:iCs/>
        </w:rPr>
        <w:t>also continue</w:t>
      </w:r>
      <w:r w:rsidRPr="004D292C">
        <w:rPr>
          <w:iCs/>
        </w:rPr>
        <w:t>d</w:t>
      </w:r>
      <w:r w:rsidR="005129C3" w:rsidRPr="004D292C">
        <w:rPr>
          <w:iCs/>
        </w:rPr>
        <w:t xml:space="preserve"> other background heart failure treatments</w:t>
      </w:r>
      <w:r w:rsidRPr="004D292C">
        <w:rPr>
          <w:iCs/>
        </w:rPr>
        <w:t>, such as digoxin, ivabradine</w:t>
      </w:r>
      <w:r w:rsidR="001C6FC5" w:rsidRPr="004D292C">
        <w:rPr>
          <w:iCs/>
        </w:rPr>
        <w:t xml:space="preserve">, </w:t>
      </w:r>
      <w:r w:rsidRPr="004D292C">
        <w:rPr>
          <w:iCs/>
        </w:rPr>
        <w:t xml:space="preserve">vasodilators, </w:t>
      </w:r>
      <w:r w:rsidR="001C6FC5" w:rsidRPr="004D292C">
        <w:rPr>
          <w:iCs/>
        </w:rPr>
        <w:t>and</w:t>
      </w:r>
      <w:r w:rsidRPr="004D292C">
        <w:rPr>
          <w:iCs/>
        </w:rPr>
        <w:t xml:space="preserve"> </w:t>
      </w:r>
      <w:r w:rsidR="005129C3" w:rsidRPr="004D292C">
        <w:rPr>
          <w:iCs/>
        </w:rPr>
        <w:t>diuretics</w:t>
      </w:r>
      <w:r w:rsidRPr="004D292C">
        <w:rPr>
          <w:iCs/>
        </w:rPr>
        <w:t xml:space="preserve">. </w:t>
      </w:r>
      <w:r w:rsidR="005129C3" w:rsidRPr="004D292C">
        <w:rPr>
          <w:iCs/>
        </w:rPr>
        <w:t xml:space="preserve">Therefore, </w:t>
      </w:r>
      <w:r w:rsidRPr="004D292C">
        <w:rPr>
          <w:iCs/>
        </w:rPr>
        <w:t xml:space="preserve">background heart failure treatments (referred to as standard care) incorporated a broader range of treatments than </w:t>
      </w:r>
      <w:r w:rsidR="001C6FC5" w:rsidRPr="004D292C">
        <w:rPr>
          <w:iCs/>
        </w:rPr>
        <w:t xml:space="preserve">defined in </w:t>
      </w:r>
      <w:r w:rsidRPr="004D292C">
        <w:rPr>
          <w:iCs/>
        </w:rPr>
        <w:t xml:space="preserve">the clinical claim. </w:t>
      </w:r>
      <w:r w:rsidR="00957D0C" w:rsidRPr="004D292C">
        <w:rPr>
          <w:iCs/>
        </w:rPr>
        <w:lastRenderedPageBreak/>
        <w:t xml:space="preserve">However, the ESC felt that the impact of these other therapies on outcomes and costs was likely to be minimal and likely to be similar on both sides. </w:t>
      </w:r>
    </w:p>
    <w:p w:rsidR="005C25FF" w:rsidRPr="004D292C" w:rsidRDefault="005C25FF" w:rsidP="004A6040">
      <w:pPr>
        <w:pStyle w:val="2-SectionHeading"/>
      </w:pPr>
      <w:bookmarkStart w:id="4" w:name="_Toc50975071"/>
      <w:r w:rsidRPr="004D292C">
        <w:t>Background</w:t>
      </w:r>
      <w:bookmarkEnd w:id="4"/>
    </w:p>
    <w:p w:rsidR="005C25FF" w:rsidRPr="004D292C" w:rsidRDefault="005C25FF" w:rsidP="004A6040">
      <w:pPr>
        <w:pStyle w:val="3-SubsectionHeading"/>
      </w:pPr>
      <w:bookmarkStart w:id="5" w:name="_Toc22897638"/>
      <w:bookmarkStart w:id="6" w:name="_Toc50975072"/>
      <w:r w:rsidRPr="004D292C">
        <w:t>Registration status</w:t>
      </w:r>
      <w:bookmarkEnd w:id="5"/>
      <w:bookmarkEnd w:id="6"/>
    </w:p>
    <w:p w:rsidR="005C25FF" w:rsidRPr="004D292C" w:rsidRDefault="00066839" w:rsidP="00A444FC">
      <w:pPr>
        <w:pStyle w:val="ExecSumBodyText"/>
      </w:pPr>
      <w:r w:rsidRPr="004D292C">
        <w:rPr>
          <w:b/>
        </w:rPr>
        <w:t xml:space="preserve">TGA status at the time of PBAC consideration: </w:t>
      </w:r>
      <w:r w:rsidRPr="004D292C">
        <w:t>t</w:t>
      </w:r>
      <w:r w:rsidR="00A444FC" w:rsidRPr="004D292C">
        <w:t xml:space="preserve">he submission was </w:t>
      </w:r>
      <w:r w:rsidRPr="004D292C">
        <w:t xml:space="preserve">made </w:t>
      </w:r>
      <w:r w:rsidR="00A444FC" w:rsidRPr="004D292C">
        <w:t xml:space="preserve">under the TGA/PBAC parallel process. At the time of the </w:t>
      </w:r>
      <w:r w:rsidR="004143A6" w:rsidRPr="004D292C">
        <w:t>PBAC consideration</w:t>
      </w:r>
      <w:r w:rsidR="00A444FC" w:rsidRPr="004D292C">
        <w:t>, the TGA Round 1 clinical evaluation</w:t>
      </w:r>
      <w:r w:rsidR="00DB7673" w:rsidRPr="004D292C">
        <w:t xml:space="preserve"> </w:t>
      </w:r>
      <w:r w:rsidR="004143A6" w:rsidRPr="004D292C">
        <w:t>report</w:t>
      </w:r>
      <w:r w:rsidR="00D37103" w:rsidRPr="004D292C">
        <w:t xml:space="preserve"> and the</w:t>
      </w:r>
      <w:r w:rsidR="004143A6" w:rsidRPr="004D292C">
        <w:t xml:space="preserve"> </w:t>
      </w:r>
      <w:r w:rsidR="00DB7673" w:rsidRPr="004D292C">
        <w:t>Delegate’s Overview</w:t>
      </w:r>
      <w:r w:rsidR="004143A6" w:rsidRPr="004D292C">
        <w:t xml:space="preserve"> </w:t>
      </w:r>
      <w:r w:rsidR="002F0ED4" w:rsidRPr="004D292C">
        <w:t>were</w:t>
      </w:r>
      <w:r w:rsidR="004143A6" w:rsidRPr="004D292C">
        <w:t xml:space="preserve"> available. </w:t>
      </w:r>
    </w:p>
    <w:p w:rsidR="00A444FC" w:rsidRPr="004D292C" w:rsidRDefault="00A444FC" w:rsidP="004143A6">
      <w:pPr>
        <w:pStyle w:val="ExecSumBodyText"/>
      </w:pPr>
      <w:r w:rsidRPr="004D292C">
        <w:t xml:space="preserve">The </w:t>
      </w:r>
      <w:r w:rsidR="004143A6" w:rsidRPr="004D292C">
        <w:t xml:space="preserve">sponsor’s </w:t>
      </w:r>
      <w:r w:rsidRPr="004D292C">
        <w:t xml:space="preserve">proposed TGA indication for dapagliflozin </w:t>
      </w:r>
      <w:r w:rsidR="00A60A6C" w:rsidRPr="004D292C">
        <w:t>wa</w:t>
      </w:r>
      <w:r w:rsidRPr="004D292C">
        <w:t>s:</w:t>
      </w:r>
    </w:p>
    <w:p w:rsidR="00A444FC" w:rsidRPr="004D292C" w:rsidRDefault="00A444FC" w:rsidP="003D775B">
      <w:pPr>
        <w:pStyle w:val="ExecSumBodyText"/>
        <w:numPr>
          <w:ilvl w:val="0"/>
          <w:numId w:val="0"/>
        </w:numPr>
        <w:ind w:left="1440"/>
        <w:rPr>
          <w:szCs w:val="22"/>
        </w:rPr>
      </w:pPr>
      <w:r w:rsidRPr="004D292C">
        <w:rPr>
          <w:szCs w:val="22"/>
        </w:rPr>
        <w:t>Dapagliflozin is indicated in adults for the treatment of heart failure with reduced ejection fraction</w:t>
      </w:r>
      <w:r w:rsidR="00CB0F78" w:rsidRPr="004D292C">
        <w:rPr>
          <w:szCs w:val="22"/>
        </w:rPr>
        <w:t>.</w:t>
      </w:r>
    </w:p>
    <w:p w:rsidR="00DB7673" w:rsidRPr="004D292C" w:rsidRDefault="00DB7673" w:rsidP="00DB7673">
      <w:pPr>
        <w:pStyle w:val="ExecSumBodyText"/>
      </w:pPr>
      <w:r w:rsidRPr="004D292C">
        <w:t>The TGA delegate noted that the DAPA-HF trial did not establish, nor was it designed to establish, that dapagliflozin monotherapy has a place in the treatment of heart failure, and proposed that the proposed heart failure ind</w:t>
      </w:r>
      <w:r w:rsidR="00572F3D" w:rsidRPr="004D292C">
        <w:t>ication be amended as follows:</w:t>
      </w:r>
    </w:p>
    <w:p w:rsidR="00DB7673" w:rsidRPr="004D292C" w:rsidRDefault="00DB7673" w:rsidP="00A60A6C">
      <w:pPr>
        <w:pStyle w:val="ExecSumBodyText"/>
        <w:numPr>
          <w:ilvl w:val="0"/>
          <w:numId w:val="0"/>
        </w:numPr>
        <w:ind w:left="1440"/>
        <w:rPr>
          <w:szCs w:val="22"/>
        </w:rPr>
      </w:pPr>
      <w:r w:rsidRPr="004D292C">
        <w:rPr>
          <w:szCs w:val="22"/>
        </w:rPr>
        <w:t>Dapagliflozin is indicated in adults for the treatment of symptomatic heart failure with reduced ejection fraction, as an adjun</w:t>
      </w:r>
      <w:r w:rsidR="00A60A6C" w:rsidRPr="004D292C">
        <w:rPr>
          <w:szCs w:val="22"/>
        </w:rPr>
        <w:t>ct to standard of care therapy.</w:t>
      </w:r>
    </w:p>
    <w:p w:rsidR="00DB7673" w:rsidRPr="004D292C" w:rsidRDefault="00DB7673" w:rsidP="00DB7673">
      <w:pPr>
        <w:pStyle w:val="ExecSumBodyText"/>
      </w:pPr>
      <w:r w:rsidRPr="004D292C">
        <w:t>The TGA delegate considered that while the efficacy of dapagliflozin in the treatment of patients with NYHA Class II HFrEF has been satisfactorily established, the evidence in the more severe Class III and IV patients is somewhat equivocal. Study participants with Class IV heart failure represented only around 1% of the study population and in the pre-defined statistical analysis by subgroups</w:t>
      </w:r>
      <w:r w:rsidR="002F0ED4" w:rsidRPr="004D292C">
        <w:t>,</w:t>
      </w:r>
      <w:r w:rsidRPr="004D292C">
        <w:t xml:space="preserve"> the Class III and Class IV groups were combined. While the hazard ratio for the combined group and indeed for the separate groups indicated a possible benefit for dapagliflozin, the 95% CI crossed unity in each case.</w:t>
      </w:r>
    </w:p>
    <w:p w:rsidR="00DB7673" w:rsidRPr="004D292C" w:rsidRDefault="00DB7673" w:rsidP="006D04A4">
      <w:pPr>
        <w:pStyle w:val="ExecSumBodyText"/>
        <w:rPr>
          <w:i/>
        </w:rPr>
      </w:pPr>
      <w:r w:rsidRPr="004D292C">
        <w:t>The TGA delegate noted that the median duration of follow-up time for patients in DAPA-HF trial was around 18 months. At the data lock point, only around 10% of the study population had been exposed to treatment for two years or more. While the event-driven efficacy endpoint was achieved, the period of exposure may have been too short to unveil any rare or unusual long-term safety issues</w:t>
      </w:r>
      <w:r w:rsidR="004D292C">
        <w:t xml:space="preserve">. </w:t>
      </w:r>
      <w:r w:rsidR="00957D0C" w:rsidRPr="004D292C">
        <w:t xml:space="preserve">However, the ESC noted that dapagliflozin has been widely used in clinical practice in the </w:t>
      </w:r>
      <w:r w:rsidR="006D04A4" w:rsidRPr="004D292C">
        <w:t>Type 2 diabetes mellitus (</w:t>
      </w:r>
      <w:r w:rsidR="00957D0C" w:rsidRPr="004D292C">
        <w:t>T2DM</w:t>
      </w:r>
      <w:r w:rsidR="006D04A4" w:rsidRPr="004D292C">
        <w:t>)</w:t>
      </w:r>
      <w:r w:rsidR="00957D0C" w:rsidRPr="004D292C">
        <w:t xml:space="preserve"> population</w:t>
      </w:r>
      <w:r w:rsidR="00427CF3" w:rsidRPr="004D292C">
        <w:t xml:space="preserve"> and that longer term safety data </w:t>
      </w:r>
      <w:r w:rsidR="002F0ED4" w:rsidRPr="004D292C">
        <w:t>in this population</w:t>
      </w:r>
      <w:r w:rsidR="00427CF3" w:rsidRPr="004D292C">
        <w:t xml:space="preserve"> is available</w:t>
      </w:r>
      <w:r w:rsidR="00957D0C" w:rsidRPr="004D292C">
        <w:t>.</w:t>
      </w:r>
    </w:p>
    <w:p w:rsidR="008523AF" w:rsidRPr="004D292C" w:rsidRDefault="008523AF" w:rsidP="008523AF">
      <w:pPr>
        <w:pStyle w:val="ExecSumBodyText"/>
      </w:pPr>
      <w:r w:rsidRPr="004D292C">
        <w:t xml:space="preserve">Dapagliflozin was registered by the TGA for use in </w:t>
      </w:r>
      <w:r w:rsidR="006D04A4" w:rsidRPr="004D292C">
        <w:t xml:space="preserve"> T2DM </w:t>
      </w:r>
      <w:r w:rsidRPr="004D292C">
        <w:t>on 22</w:t>
      </w:r>
      <w:r w:rsidR="002F0ED4" w:rsidRPr="004D292C">
        <w:t> </w:t>
      </w:r>
      <w:r w:rsidRPr="004D292C">
        <w:t>October</w:t>
      </w:r>
      <w:r w:rsidR="002F0ED4" w:rsidRPr="004D292C">
        <w:t> </w:t>
      </w:r>
      <w:r w:rsidRPr="004D292C">
        <w:t>2012, and is currently registered for the following indications in adults with Type 2 diabetes:</w:t>
      </w:r>
    </w:p>
    <w:p w:rsidR="008523AF" w:rsidRPr="004D292C" w:rsidRDefault="008523AF" w:rsidP="002A5805">
      <w:pPr>
        <w:pStyle w:val="ExecSumBodyText"/>
        <w:numPr>
          <w:ilvl w:val="0"/>
          <w:numId w:val="4"/>
        </w:numPr>
        <w:spacing w:after="0"/>
        <w:ind w:left="993" w:hanging="215"/>
      </w:pPr>
      <w:r w:rsidRPr="004D292C">
        <w:t>As monotherapy as an adjunct to diet and exercise in patients for whom metformin is otherwise indicated but was not tolerated.</w:t>
      </w:r>
    </w:p>
    <w:p w:rsidR="008523AF" w:rsidRPr="004D292C" w:rsidRDefault="008523AF" w:rsidP="002A5805">
      <w:pPr>
        <w:pStyle w:val="ExecSumBodyText"/>
        <w:numPr>
          <w:ilvl w:val="0"/>
          <w:numId w:val="4"/>
        </w:numPr>
        <w:spacing w:after="0"/>
        <w:ind w:left="993" w:hanging="215"/>
      </w:pPr>
      <w:r w:rsidRPr="004D292C">
        <w:lastRenderedPageBreak/>
        <w:t>As initial combination therapy with metformin, as an adjunct to diet and exercise, to improve glycaemic control when diet and exercise have failed to provide adequate  glycaemic control and there are poor prospects for response to metformin monotherapy (for example, high initial haemoglobin A1c [HbA1c] levels).</w:t>
      </w:r>
    </w:p>
    <w:p w:rsidR="008523AF" w:rsidRPr="004D292C" w:rsidRDefault="008523AF" w:rsidP="002A5805">
      <w:pPr>
        <w:pStyle w:val="ExecSumBodyText"/>
        <w:numPr>
          <w:ilvl w:val="0"/>
          <w:numId w:val="4"/>
        </w:numPr>
        <w:ind w:left="993" w:hanging="218"/>
      </w:pPr>
      <w:r w:rsidRPr="004D292C">
        <w:t>In combination with other anti-hyperglycaemic agents to improve glycaemic control, when these together with diet and exercise, do not provide adequate glycaemic control.</w:t>
      </w:r>
    </w:p>
    <w:p w:rsidR="006244C1" w:rsidRPr="004D292C" w:rsidRDefault="00A444FC" w:rsidP="00362264">
      <w:pPr>
        <w:pStyle w:val="ExecSumBodyText"/>
      </w:pPr>
      <w:r w:rsidRPr="004D292C">
        <w:t>Dapagliflozin is also reg</w:t>
      </w:r>
      <w:r w:rsidR="00FF7C29" w:rsidRPr="004D292C">
        <w:t xml:space="preserve">istered for use in adults with </w:t>
      </w:r>
      <w:r w:rsidR="006D04A4" w:rsidRPr="004D292C">
        <w:t xml:space="preserve">T2DM </w:t>
      </w:r>
      <w:r w:rsidRPr="004D292C">
        <w:t>and established cardiovascular disease or risk factors for cardiovascular disease to reduce the risk of hospitalisation for heart failure.</w:t>
      </w:r>
    </w:p>
    <w:p w:rsidR="008523AF" w:rsidRPr="004D292C" w:rsidRDefault="00362264" w:rsidP="00A444FC">
      <w:pPr>
        <w:pStyle w:val="ExecSumBodyText"/>
      </w:pPr>
      <w:r w:rsidRPr="004D292C">
        <w:t xml:space="preserve">Dapagliflozin is currently PBS listed for the treatment of </w:t>
      </w:r>
      <w:r w:rsidR="006D04A4" w:rsidRPr="004D292C">
        <w:t xml:space="preserve">T2DM </w:t>
      </w:r>
      <w:r w:rsidR="00E76110" w:rsidRPr="004D292C">
        <w:t>as dual therapy with</w:t>
      </w:r>
      <w:r w:rsidRPr="004D292C">
        <w:t xml:space="preserve"> metformin</w:t>
      </w:r>
      <w:r w:rsidR="00E76110" w:rsidRPr="004D292C">
        <w:t>,</w:t>
      </w:r>
      <w:r w:rsidRPr="004D292C">
        <w:t xml:space="preserve"> a sulfonylurea</w:t>
      </w:r>
      <w:r w:rsidR="00E76110" w:rsidRPr="004D292C">
        <w:t xml:space="preserve"> or</w:t>
      </w:r>
      <w:r w:rsidRPr="004D292C">
        <w:t xml:space="preserve"> insulin</w:t>
      </w:r>
      <w:r w:rsidR="00274FDF" w:rsidRPr="004D292C">
        <w:t>,</w:t>
      </w:r>
      <w:r w:rsidR="00E76110" w:rsidRPr="004D292C">
        <w:t xml:space="preserve"> and as triple therapy with</w:t>
      </w:r>
      <w:r w:rsidRPr="004D292C">
        <w:t xml:space="preserve"> metformin plus a sulfonylurea </w:t>
      </w:r>
      <w:r w:rsidR="00E76110" w:rsidRPr="004D292C">
        <w:t>or</w:t>
      </w:r>
      <w:r w:rsidRPr="004D292C">
        <w:t xml:space="preserve"> metformin plus a dipeptidyl peptidase 4 inhibitor (gliptin).</w:t>
      </w:r>
    </w:p>
    <w:p w:rsidR="00DD412A" w:rsidRPr="004D292C" w:rsidRDefault="00957D0C" w:rsidP="00DD412A">
      <w:pPr>
        <w:pStyle w:val="ExecSumBodyText"/>
        <w:numPr>
          <w:ilvl w:val="1"/>
          <w:numId w:val="1"/>
        </w:numPr>
      </w:pPr>
      <w:r w:rsidRPr="004D292C">
        <w:t xml:space="preserve">The ESC noted that the </w:t>
      </w:r>
      <w:r w:rsidR="008523AF" w:rsidRPr="004D292C">
        <w:t xml:space="preserve">PBAC </w:t>
      </w:r>
      <w:r w:rsidR="008523AF" w:rsidRPr="004D292C">
        <w:rPr>
          <w:iCs/>
        </w:rPr>
        <w:t>(p</w:t>
      </w:r>
      <w:r w:rsidR="00D36307" w:rsidRPr="004D292C">
        <w:rPr>
          <w:iCs/>
        </w:rPr>
        <w:t>aragraph 7.9</w:t>
      </w:r>
      <w:r w:rsidR="008523AF" w:rsidRPr="004D292C">
        <w:rPr>
          <w:iCs/>
        </w:rPr>
        <w:t xml:space="preserve">, </w:t>
      </w:r>
      <w:r w:rsidR="00D36307" w:rsidRPr="004D292C">
        <w:rPr>
          <w:iCs/>
        </w:rPr>
        <w:t>liraglutide</w:t>
      </w:r>
      <w:r w:rsidR="008523AF" w:rsidRPr="004D292C">
        <w:rPr>
          <w:iCs/>
        </w:rPr>
        <w:t>, Public Summary Document, July 201</w:t>
      </w:r>
      <w:r w:rsidR="00D36307" w:rsidRPr="004D292C">
        <w:rPr>
          <w:iCs/>
        </w:rPr>
        <w:t>7</w:t>
      </w:r>
      <w:r w:rsidR="008523AF" w:rsidRPr="004D292C">
        <w:rPr>
          <w:iCs/>
        </w:rPr>
        <w:t>)</w:t>
      </w:r>
      <w:r w:rsidR="008523AF" w:rsidRPr="004D292C">
        <w:t>, has previously recognised that PBS subsidised diabetes medications have been recommended on the basis of an assumed reduction in CV events and the current price of diabetes medications, including dapagliflozin, incorporates this assumed benefit.</w:t>
      </w:r>
      <w:r w:rsidR="00F95CB0" w:rsidRPr="004D292C">
        <w:t xml:space="preserve"> Th</w:t>
      </w:r>
      <w:r w:rsidR="00427CF3" w:rsidRPr="004D292C">
        <w:t>e ESC felt that th</w:t>
      </w:r>
      <w:r w:rsidR="00F95CB0" w:rsidRPr="004D292C">
        <w:t xml:space="preserve">ere </w:t>
      </w:r>
      <w:r w:rsidR="002F0ED4" w:rsidRPr="004D292C">
        <w:t>was</w:t>
      </w:r>
      <w:r w:rsidR="00F95CB0" w:rsidRPr="004D292C">
        <w:t xml:space="preserve"> a risk that the Australian Government would end up paying more for the heart failure indication than </w:t>
      </w:r>
      <w:r w:rsidR="00427CF3" w:rsidRPr="004D292C">
        <w:t xml:space="preserve">it does currently </w:t>
      </w:r>
      <w:r w:rsidR="00F95CB0" w:rsidRPr="004D292C">
        <w:t>in the overlapping T2DM population.</w:t>
      </w:r>
    </w:p>
    <w:p w:rsidR="00BC2DD4" w:rsidRPr="004D292C" w:rsidRDefault="00BC2DD4" w:rsidP="00BC2DD4">
      <w:pPr>
        <w:rPr>
          <w:i/>
        </w:rPr>
      </w:pPr>
      <w:r w:rsidRPr="004D292C">
        <w:rPr>
          <w:i/>
        </w:rPr>
        <w:t>For more detail on PBAC’s view, see section 7 PBAC outcome.</w:t>
      </w:r>
    </w:p>
    <w:p w:rsidR="00B60939" w:rsidRPr="004D292C" w:rsidRDefault="00B50DB8" w:rsidP="004E18E9">
      <w:pPr>
        <w:pStyle w:val="2-SectionHeading"/>
      </w:pPr>
      <w:bookmarkStart w:id="7" w:name="_Toc50975073"/>
      <w:r w:rsidRPr="004D292C">
        <w:t>Requested listing</w:t>
      </w:r>
      <w:bookmarkEnd w:id="7"/>
    </w:p>
    <w:p w:rsidR="00711956" w:rsidRPr="002A5805" w:rsidRDefault="00711956" w:rsidP="00711956">
      <w:pPr>
        <w:pStyle w:val="ExecSumBodyText"/>
      </w:pPr>
      <w:r w:rsidRPr="002A5805">
        <w:t>Suggestions and additions proposed by the Secretariat are added in italics and suggested deletions are crossed out with strikethrough.</w:t>
      </w:r>
    </w:p>
    <w:tbl>
      <w:tblPr>
        <w:tblW w:w="5000" w:type="pct"/>
        <w:tblCellMar>
          <w:left w:w="28" w:type="dxa"/>
          <w:right w:w="28" w:type="dxa"/>
        </w:tblCellMar>
        <w:tblLook w:val="0000" w:firstRow="0" w:lastRow="0" w:firstColumn="0" w:lastColumn="0" w:noHBand="0" w:noVBand="0"/>
      </w:tblPr>
      <w:tblGrid>
        <w:gridCol w:w="1681"/>
        <w:gridCol w:w="1708"/>
        <w:gridCol w:w="1090"/>
        <w:gridCol w:w="847"/>
        <w:gridCol w:w="1522"/>
        <w:gridCol w:w="686"/>
        <w:gridCol w:w="1493"/>
      </w:tblGrid>
      <w:tr w:rsidR="003517F9" w:rsidRPr="004D292C" w:rsidTr="002A5805">
        <w:trPr>
          <w:cantSplit/>
          <w:trHeight w:val="463"/>
        </w:trPr>
        <w:tc>
          <w:tcPr>
            <w:tcW w:w="1877" w:type="pct"/>
            <w:gridSpan w:val="2"/>
            <w:tcBorders>
              <w:top w:val="single" w:sz="4" w:space="0" w:color="auto"/>
              <w:bottom w:val="single" w:sz="4" w:space="0" w:color="auto"/>
            </w:tcBorders>
            <w:vAlign w:val="center"/>
          </w:tcPr>
          <w:p w:rsidR="00617E12" w:rsidRPr="004D292C" w:rsidRDefault="00617E12" w:rsidP="00617E12">
            <w:pPr>
              <w:keepNext/>
              <w:jc w:val="left"/>
              <w:rPr>
                <w:rFonts w:ascii="Arial Narrow" w:hAnsi="Arial Narrow"/>
                <w:b/>
                <w:sz w:val="20"/>
              </w:rPr>
            </w:pPr>
            <w:r w:rsidRPr="004D292C">
              <w:rPr>
                <w:rFonts w:ascii="Arial Narrow" w:hAnsi="Arial Narrow"/>
                <w:b/>
                <w:sz w:val="20"/>
              </w:rPr>
              <w:lastRenderedPageBreak/>
              <w:t>Name, Restriction,</w:t>
            </w:r>
          </w:p>
          <w:p w:rsidR="00617E12" w:rsidRPr="004D292C" w:rsidRDefault="00617E12" w:rsidP="00617E12">
            <w:pPr>
              <w:keepNext/>
              <w:jc w:val="left"/>
              <w:rPr>
                <w:rFonts w:ascii="Arial Narrow" w:hAnsi="Arial Narrow"/>
                <w:b/>
                <w:sz w:val="20"/>
              </w:rPr>
            </w:pPr>
            <w:r w:rsidRPr="004D292C">
              <w:rPr>
                <w:rFonts w:ascii="Arial Narrow" w:hAnsi="Arial Narrow"/>
                <w:b/>
                <w:sz w:val="20"/>
              </w:rPr>
              <w:t>Manner of administration and form</w:t>
            </w:r>
          </w:p>
        </w:tc>
        <w:tc>
          <w:tcPr>
            <w:tcW w:w="604" w:type="pct"/>
            <w:tcBorders>
              <w:top w:val="single" w:sz="4" w:space="0" w:color="auto"/>
              <w:bottom w:val="single" w:sz="4" w:space="0" w:color="auto"/>
            </w:tcBorders>
            <w:vAlign w:val="center"/>
          </w:tcPr>
          <w:p w:rsidR="00617E12" w:rsidRPr="004D292C" w:rsidRDefault="00617E12" w:rsidP="00FF7C29">
            <w:pPr>
              <w:keepNext/>
              <w:jc w:val="center"/>
              <w:rPr>
                <w:rFonts w:ascii="Arial Narrow" w:hAnsi="Arial Narrow"/>
                <w:b/>
                <w:sz w:val="20"/>
              </w:rPr>
            </w:pPr>
            <w:r w:rsidRPr="004D292C">
              <w:rPr>
                <w:rFonts w:ascii="Arial Narrow" w:hAnsi="Arial Narrow"/>
                <w:b/>
                <w:sz w:val="20"/>
              </w:rPr>
              <w:t>Max.</w:t>
            </w:r>
            <w:r w:rsidR="00FF7C29" w:rsidRPr="004D292C">
              <w:rPr>
                <w:rFonts w:ascii="Arial Narrow" w:hAnsi="Arial Narrow"/>
                <w:b/>
                <w:sz w:val="20"/>
              </w:rPr>
              <w:t xml:space="preserve"> </w:t>
            </w:r>
            <w:r w:rsidRPr="004D292C">
              <w:rPr>
                <w:rFonts w:ascii="Arial Narrow" w:hAnsi="Arial Narrow"/>
                <w:b/>
                <w:sz w:val="20"/>
              </w:rPr>
              <w:t>Qty</w:t>
            </w:r>
            <w:r w:rsidR="00FF7C29" w:rsidRPr="004D292C">
              <w:rPr>
                <w:rFonts w:ascii="Arial Narrow" w:hAnsi="Arial Narrow"/>
                <w:b/>
                <w:sz w:val="20"/>
              </w:rPr>
              <w:t xml:space="preserve"> (packs)</w:t>
            </w:r>
          </w:p>
        </w:tc>
        <w:tc>
          <w:tcPr>
            <w:tcW w:w="469" w:type="pct"/>
            <w:tcBorders>
              <w:top w:val="single" w:sz="4" w:space="0" w:color="auto"/>
              <w:bottom w:val="single" w:sz="4" w:space="0" w:color="auto"/>
            </w:tcBorders>
            <w:vAlign w:val="center"/>
          </w:tcPr>
          <w:p w:rsidR="00617E12" w:rsidRPr="004D292C" w:rsidRDefault="00617E12" w:rsidP="00617E12">
            <w:pPr>
              <w:keepNext/>
              <w:jc w:val="center"/>
              <w:rPr>
                <w:rFonts w:ascii="Arial Narrow" w:hAnsi="Arial Narrow"/>
                <w:b/>
                <w:sz w:val="20"/>
              </w:rPr>
            </w:pPr>
            <w:r w:rsidRPr="004D292C">
              <w:rPr>
                <w:rFonts w:ascii="Arial Narrow" w:hAnsi="Arial Narrow" w:cs="Times New Roman"/>
                <w:b/>
                <w:sz w:val="20"/>
              </w:rPr>
              <w:t>№</w:t>
            </w:r>
            <w:r w:rsidRPr="004D292C">
              <w:rPr>
                <w:rFonts w:ascii="Arial Narrow" w:hAnsi="Arial Narrow"/>
                <w:b/>
                <w:sz w:val="20"/>
              </w:rPr>
              <w:t>.of</w:t>
            </w:r>
          </w:p>
          <w:p w:rsidR="00617E12" w:rsidRPr="004D292C" w:rsidRDefault="00617E12" w:rsidP="00617E12">
            <w:pPr>
              <w:keepNext/>
              <w:jc w:val="center"/>
              <w:rPr>
                <w:rFonts w:ascii="Arial Narrow" w:hAnsi="Arial Narrow"/>
                <w:b/>
                <w:sz w:val="20"/>
              </w:rPr>
            </w:pPr>
            <w:r w:rsidRPr="004D292C">
              <w:rPr>
                <w:rFonts w:ascii="Arial Narrow" w:hAnsi="Arial Narrow"/>
                <w:b/>
                <w:sz w:val="20"/>
              </w:rPr>
              <w:t>Rpts</w:t>
            </w:r>
          </w:p>
        </w:tc>
        <w:tc>
          <w:tcPr>
            <w:tcW w:w="843" w:type="pct"/>
            <w:tcBorders>
              <w:top w:val="single" w:sz="4" w:space="0" w:color="auto"/>
              <w:bottom w:val="single" w:sz="4" w:space="0" w:color="auto"/>
            </w:tcBorders>
            <w:vAlign w:val="center"/>
          </w:tcPr>
          <w:p w:rsidR="00617E12" w:rsidRPr="004D292C" w:rsidRDefault="00617E12" w:rsidP="00FF7C29">
            <w:pPr>
              <w:keepNext/>
              <w:jc w:val="center"/>
              <w:rPr>
                <w:rFonts w:ascii="Arial Narrow" w:hAnsi="Arial Narrow"/>
                <w:b/>
                <w:sz w:val="20"/>
              </w:rPr>
            </w:pPr>
            <w:r w:rsidRPr="004D292C">
              <w:rPr>
                <w:rFonts w:ascii="Arial Narrow" w:hAnsi="Arial Narrow"/>
                <w:b/>
                <w:sz w:val="20"/>
              </w:rPr>
              <w:t>Dispensed Price for Max. Qty</w:t>
            </w:r>
          </w:p>
        </w:tc>
        <w:tc>
          <w:tcPr>
            <w:tcW w:w="1207" w:type="pct"/>
            <w:gridSpan w:val="2"/>
            <w:tcBorders>
              <w:top w:val="single" w:sz="4" w:space="0" w:color="auto"/>
              <w:bottom w:val="single" w:sz="4" w:space="0" w:color="auto"/>
            </w:tcBorders>
            <w:vAlign w:val="center"/>
          </w:tcPr>
          <w:p w:rsidR="00617E12" w:rsidRPr="004D292C" w:rsidRDefault="00617E12" w:rsidP="00617E12">
            <w:pPr>
              <w:keepNext/>
              <w:jc w:val="center"/>
              <w:rPr>
                <w:rFonts w:ascii="Arial Narrow" w:hAnsi="Arial Narrow"/>
                <w:b/>
                <w:sz w:val="20"/>
              </w:rPr>
            </w:pPr>
            <w:r w:rsidRPr="004D292C">
              <w:rPr>
                <w:rFonts w:ascii="Arial Narrow" w:hAnsi="Arial Narrow"/>
                <w:b/>
                <w:sz w:val="20"/>
              </w:rPr>
              <w:t>Proprietary Name and Manufacturer</w:t>
            </w:r>
          </w:p>
        </w:tc>
      </w:tr>
      <w:tr w:rsidR="003517F9" w:rsidRPr="004D292C" w:rsidTr="002A5805">
        <w:trPr>
          <w:cantSplit/>
          <w:trHeight w:val="567"/>
        </w:trPr>
        <w:tc>
          <w:tcPr>
            <w:tcW w:w="1877" w:type="pct"/>
            <w:gridSpan w:val="2"/>
            <w:vAlign w:val="center"/>
          </w:tcPr>
          <w:p w:rsidR="00617E12" w:rsidRPr="004D292C" w:rsidRDefault="00FF7C29" w:rsidP="00617E12">
            <w:pPr>
              <w:keepNext/>
              <w:jc w:val="left"/>
              <w:rPr>
                <w:rFonts w:ascii="Arial Narrow" w:hAnsi="Arial Narrow"/>
                <w:sz w:val="20"/>
              </w:rPr>
            </w:pPr>
            <w:r w:rsidRPr="004D292C">
              <w:rPr>
                <w:rFonts w:ascii="Arial Narrow" w:hAnsi="Arial Narrow"/>
                <w:smallCaps/>
                <w:sz w:val="20"/>
              </w:rPr>
              <w:t>DAPAGLIFLOZIN</w:t>
            </w:r>
          </w:p>
          <w:p w:rsidR="00617E12" w:rsidRPr="004D292C" w:rsidRDefault="00FF7C29" w:rsidP="00FF7C29">
            <w:pPr>
              <w:keepNext/>
              <w:jc w:val="left"/>
              <w:rPr>
                <w:rFonts w:ascii="Arial Narrow" w:hAnsi="Arial Narrow"/>
                <w:sz w:val="20"/>
              </w:rPr>
            </w:pPr>
            <w:r w:rsidRPr="004D292C">
              <w:rPr>
                <w:rFonts w:ascii="Arial Narrow" w:hAnsi="Arial Narrow"/>
                <w:sz w:val="20"/>
              </w:rPr>
              <w:t>Tablets 10 mg, 28</w:t>
            </w:r>
          </w:p>
        </w:tc>
        <w:tc>
          <w:tcPr>
            <w:tcW w:w="604" w:type="pct"/>
            <w:vAlign w:val="center"/>
          </w:tcPr>
          <w:p w:rsidR="00617E12" w:rsidRPr="004D292C" w:rsidRDefault="00FF7C29" w:rsidP="00FF7C29">
            <w:pPr>
              <w:keepNext/>
              <w:jc w:val="center"/>
              <w:rPr>
                <w:rFonts w:ascii="Arial Narrow" w:hAnsi="Arial Narrow"/>
                <w:sz w:val="20"/>
              </w:rPr>
            </w:pPr>
            <w:r w:rsidRPr="004D292C">
              <w:rPr>
                <w:rFonts w:ascii="Arial Narrow" w:hAnsi="Arial Narrow"/>
                <w:sz w:val="20"/>
              </w:rPr>
              <w:t>1</w:t>
            </w:r>
          </w:p>
        </w:tc>
        <w:tc>
          <w:tcPr>
            <w:tcW w:w="469" w:type="pct"/>
            <w:vAlign w:val="center"/>
          </w:tcPr>
          <w:p w:rsidR="00617E12" w:rsidRPr="004D292C" w:rsidRDefault="00FF7C29" w:rsidP="00FF7C29">
            <w:pPr>
              <w:keepNext/>
              <w:jc w:val="center"/>
              <w:rPr>
                <w:rFonts w:ascii="Arial Narrow" w:hAnsi="Arial Narrow"/>
                <w:sz w:val="20"/>
              </w:rPr>
            </w:pPr>
            <w:r w:rsidRPr="004D292C">
              <w:rPr>
                <w:rFonts w:ascii="Arial Narrow" w:hAnsi="Arial Narrow"/>
                <w:sz w:val="20"/>
              </w:rPr>
              <w:t>5</w:t>
            </w:r>
          </w:p>
        </w:tc>
        <w:tc>
          <w:tcPr>
            <w:tcW w:w="843" w:type="pct"/>
            <w:vAlign w:val="center"/>
          </w:tcPr>
          <w:p w:rsidR="00617E12" w:rsidRPr="004D292C" w:rsidRDefault="00617E12" w:rsidP="00617E12">
            <w:pPr>
              <w:keepNext/>
              <w:jc w:val="center"/>
              <w:rPr>
                <w:rFonts w:ascii="Arial Narrow" w:hAnsi="Arial Narrow"/>
                <w:sz w:val="20"/>
              </w:rPr>
            </w:pPr>
            <w:r w:rsidRPr="004D292C">
              <w:rPr>
                <w:rFonts w:ascii="Arial Narrow" w:hAnsi="Arial Narrow"/>
                <w:sz w:val="20"/>
              </w:rPr>
              <w:t>$</w:t>
            </w:r>
            <w:r w:rsidR="007D59EF">
              <w:rPr>
                <w:rFonts w:ascii="Arial Narrow" w:hAnsi="Arial Narrow"/>
                <w:noProof/>
                <w:color w:val="000000"/>
                <w:sz w:val="20"/>
                <w:highlight w:val="black"/>
              </w:rPr>
              <w:t>'''''''''''''''''</w:t>
            </w:r>
          </w:p>
        </w:tc>
        <w:tc>
          <w:tcPr>
            <w:tcW w:w="380" w:type="pct"/>
            <w:vAlign w:val="center"/>
          </w:tcPr>
          <w:p w:rsidR="00617E12" w:rsidRPr="004D292C" w:rsidRDefault="00FF7C29" w:rsidP="00FF7C29">
            <w:pPr>
              <w:keepNext/>
              <w:jc w:val="center"/>
              <w:rPr>
                <w:rFonts w:ascii="Arial Narrow" w:hAnsi="Arial Narrow"/>
                <w:sz w:val="20"/>
              </w:rPr>
            </w:pPr>
            <w:r w:rsidRPr="004D292C">
              <w:rPr>
                <w:rFonts w:ascii="Arial Narrow" w:hAnsi="Arial Narrow"/>
                <w:sz w:val="20"/>
              </w:rPr>
              <w:t>Forxiga</w:t>
            </w:r>
            <w:r w:rsidRPr="004D292C">
              <w:rPr>
                <w:rFonts w:ascii="Arial Narrow" w:hAnsi="Arial Narrow"/>
                <w:sz w:val="20"/>
                <w:szCs w:val="20"/>
                <w:vertAlign w:val="superscript"/>
              </w:rPr>
              <w:t>®</w:t>
            </w:r>
            <w:r w:rsidR="00617E12" w:rsidRPr="004D292C">
              <w:rPr>
                <w:rFonts w:ascii="Arial Narrow" w:hAnsi="Arial Narrow"/>
                <w:sz w:val="20"/>
              </w:rPr>
              <w:t xml:space="preserve"> </w:t>
            </w:r>
          </w:p>
        </w:tc>
        <w:tc>
          <w:tcPr>
            <w:tcW w:w="827" w:type="pct"/>
            <w:vAlign w:val="center"/>
          </w:tcPr>
          <w:p w:rsidR="00591957" w:rsidRPr="004D292C" w:rsidRDefault="00FF7C29" w:rsidP="00FF7C29">
            <w:pPr>
              <w:keepNext/>
              <w:jc w:val="center"/>
              <w:rPr>
                <w:rFonts w:ascii="Arial Narrow" w:hAnsi="Arial Narrow"/>
                <w:sz w:val="20"/>
              </w:rPr>
            </w:pPr>
            <w:r w:rsidRPr="004D292C">
              <w:rPr>
                <w:rFonts w:ascii="Arial Narrow" w:hAnsi="Arial Narrow"/>
                <w:sz w:val="20"/>
              </w:rPr>
              <w:t>AstraZeneca</w:t>
            </w:r>
          </w:p>
          <w:p w:rsidR="00FF7C29" w:rsidRPr="004D292C" w:rsidRDefault="00FF7C29" w:rsidP="00FF7C29">
            <w:pPr>
              <w:keepNext/>
              <w:jc w:val="center"/>
              <w:rPr>
                <w:rFonts w:ascii="Arial Narrow" w:hAnsi="Arial Narrow"/>
                <w:sz w:val="20"/>
              </w:rPr>
            </w:pPr>
            <w:r w:rsidRPr="004D292C">
              <w:rPr>
                <w:rFonts w:ascii="Arial Narrow" w:hAnsi="Arial Narrow"/>
                <w:sz w:val="20"/>
              </w:rPr>
              <w:t>Australia Pty Ltd</w:t>
            </w:r>
          </w:p>
        </w:tc>
      </w:tr>
      <w:tr w:rsidR="00542C2D" w:rsidRPr="004D292C" w:rsidTr="002A5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4D292C" w:rsidRDefault="00591957" w:rsidP="008C6B24">
            <w:pPr>
              <w:pStyle w:val="TableText"/>
            </w:pPr>
            <w:r w:rsidRPr="004D292C">
              <w:t>Category/Program:</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4D292C" w:rsidRDefault="00FF7C29" w:rsidP="008C6B24">
            <w:pPr>
              <w:pStyle w:val="TableText"/>
            </w:pPr>
            <w:r w:rsidRPr="004D292C">
              <w:rPr>
                <w:szCs w:val="20"/>
              </w:rPr>
              <w:t>GENERAL – General Schedule (Code GE)</w:t>
            </w:r>
          </w:p>
        </w:tc>
      </w:tr>
      <w:tr w:rsidR="00542C2D" w:rsidRPr="004D292C" w:rsidTr="002A5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4D292C" w:rsidRDefault="00591957" w:rsidP="008C6B24">
            <w:pPr>
              <w:pStyle w:val="TableText"/>
            </w:pPr>
            <w:r w:rsidRPr="004D292C">
              <w:t>PBS indication:</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4D292C" w:rsidRDefault="00FF7C29" w:rsidP="008C6B24">
            <w:pPr>
              <w:pStyle w:val="TableText"/>
              <w:rPr>
                <w:i/>
              </w:rPr>
            </w:pPr>
            <w:r w:rsidRPr="004D292C">
              <w:rPr>
                <w:strike/>
              </w:rPr>
              <w:t>Heart failure with reduced ejection fraction</w:t>
            </w:r>
            <w:r w:rsidR="00711956" w:rsidRPr="004D292C">
              <w:rPr>
                <w:i/>
              </w:rPr>
              <w:t xml:space="preserve"> Chronic heart failure</w:t>
            </w:r>
          </w:p>
        </w:tc>
      </w:tr>
      <w:tr w:rsidR="00542C2D" w:rsidRPr="004D292C" w:rsidTr="002A5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4D292C" w:rsidRDefault="00591957" w:rsidP="008C6B24">
            <w:pPr>
              <w:pStyle w:val="TableText"/>
              <w:rPr>
                <w:strike/>
              </w:rPr>
            </w:pPr>
            <w:r w:rsidRPr="004D292C">
              <w:rPr>
                <w:strike/>
              </w:rPr>
              <w:t>Treatment phase:</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4D292C" w:rsidRDefault="00FF7C29" w:rsidP="008C6B24">
            <w:pPr>
              <w:pStyle w:val="TableText"/>
              <w:rPr>
                <w:strike/>
              </w:rPr>
            </w:pPr>
            <w:r w:rsidRPr="004D292C">
              <w:rPr>
                <w:strike/>
              </w:rPr>
              <w:t>Initial and continuing</w:t>
            </w:r>
          </w:p>
        </w:tc>
      </w:tr>
      <w:tr w:rsidR="00542C2D" w:rsidRPr="004D292C" w:rsidTr="002A5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4D292C" w:rsidRDefault="00542C2D" w:rsidP="008C6B24">
            <w:pPr>
              <w:pStyle w:val="TableText"/>
            </w:pPr>
            <w:r w:rsidRPr="004D292C">
              <w:t>Restriction</w:t>
            </w:r>
            <w:r w:rsidR="00591957" w:rsidRPr="004D292C">
              <w:t>:</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4D292C" w:rsidRDefault="00FF7C29" w:rsidP="00FF7C29">
            <w:pPr>
              <w:pStyle w:val="TableText"/>
            </w:pPr>
            <w:r w:rsidRPr="004D292C">
              <w:t>Authority Required (Streamlined)</w:t>
            </w:r>
          </w:p>
        </w:tc>
      </w:tr>
      <w:tr w:rsidR="00542C2D" w:rsidRPr="004D292C" w:rsidTr="002A5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4D292C" w:rsidRDefault="00542C2D" w:rsidP="008C6B24">
            <w:pPr>
              <w:pStyle w:val="TableText"/>
            </w:pPr>
            <w:r w:rsidRPr="004D292C">
              <w:t>Clinical criteria</w:t>
            </w:r>
            <w:r w:rsidR="00591957" w:rsidRPr="004D292C">
              <w:t>:</w:t>
            </w:r>
          </w:p>
        </w:tc>
        <w:tc>
          <w:tcPr>
            <w:tcW w:w="4069" w:type="pct"/>
            <w:gridSpan w:val="6"/>
            <w:tcBorders>
              <w:top w:val="single" w:sz="4" w:space="0" w:color="auto"/>
              <w:left w:val="single" w:sz="4" w:space="0" w:color="auto"/>
              <w:bottom w:val="single" w:sz="4" w:space="0" w:color="auto"/>
              <w:right w:val="single" w:sz="4" w:space="0" w:color="auto"/>
            </w:tcBorders>
          </w:tcPr>
          <w:p w:rsidR="00FF7C29" w:rsidRPr="004D292C" w:rsidRDefault="00FF7C29" w:rsidP="00FF7C29">
            <w:pPr>
              <w:pStyle w:val="TableText"/>
            </w:pPr>
            <w:r w:rsidRPr="004D292C">
              <w:t>Patient must be symptomatic with</w:t>
            </w:r>
            <w:r w:rsidR="00711956" w:rsidRPr="004D292C">
              <w:t xml:space="preserve"> </w:t>
            </w:r>
            <w:r w:rsidR="00711956" w:rsidRPr="004D292C">
              <w:rPr>
                <w:i/>
              </w:rPr>
              <w:t>NYHA</w:t>
            </w:r>
            <w:r w:rsidRPr="004D292C">
              <w:t xml:space="preserve"> </w:t>
            </w:r>
            <w:r w:rsidRPr="004D292C">
              <w:rPr>
                <w:strike/>
              </w:rPr>
              <w:t>New York Heart Association</w:t>
            </w:r>
            <w:r w:rsidRPr="004D292C">
              <w:t xml:space="preserve"> classes II, III or  IV,</w:t>
            </w:r>
          </w:p>
          <w:p w:rsidR="00FF7C29" w:rsidRPr="004D292C" w:rsidRDefault="00FF7C29" w:rsidP="00FF7C29">
            <w:pPr>
              <w:pStyle w:val="TableText"/>
            </w:pPr>
            <w:r w:rsidRPr="004D292C">
              <w:t>AND</w:t>
            </w:r>
          </w:p>
          <w:p w:rsidR="00FF7C29" w:rsidRPr="004D292C" w:rsidRDefault="00FF7C29" w:rsidP="00FF7C29">
            <w:pPr>
              <w:pStyle w:val="TableText"/>
            </w:pPr>
            <w:r w:rsidRPr="004D292C">
              <w:t xml:space="preserve">Patient must have a documented left ventricular ejection fraction </w:t>
            </w:r>
            <w:r w:rsidR="00711956" w:rsidRPr="004D292C">
              <w:rPr>
                <w:i/>
              </w:rPr>
              <w:t xml:space="preserve">(LVEF) </w:t>
            </w:r>
            <w:r w:rsidRPr="004D292C">
              <w:t>of less than or equal to 40%,</w:t>
            </w:r>
          </w:p>
          <w:p w:rsidR="00FF7C29" w:rsidRPr="004D292C" w:rsidRDefault="00FF7C29" w:rsidP="00FF7C29">
            <w:pPr>
              <w:pStyle w:val="TableText"/>
            </w:pPr>
            <w:r w:rsidRPr="004D292C">
              <w:t>AND</w:t>
            </w:r>
          </w:p>
          <w:p w:rsidR="00FF7C29" w:rsidRPr="004D292C" w:rsidRDefault="00FF7C29" w:rsidP="00FF7C29">
            <w:pPr>
              <w:pStyle w:val="TableText"/>
              <w:rPr>
                <w:i/>
              </w:rPr>
            </w:pPr>
            <w:r w:rsidRPr="004D292C">
              <w:t>Patient must receive concomitant optimal standard chronic heart failure treatment, which must include</w:t>
            </w:r>
            <w:r w:rsidRPr="004D292C">
              <w:rPr>
                <w:strike/>
              </w:rPr>
              <w:t>:</w:t>
            </w:r>
            <w:r w:rsidR="002321FC" w:rsidRPr="004D292C">
              <w:t xml:space="preserve"> </w:t>
            </w:r>
            <w:r w:rsidR="002321FC" w:rsidRPr="004D292C">
              <w:rPr>
                <w:i/>
              </w:rPr>
              <w:t>the maximum tolerated dose of a beta-blocker, unless contraindicated or not tolerated;</w:t>
            </w:r>
          </w:p>
          <w:p w:rsidR="002321FC" w:rsidRPr="004D292C" w:rsidRDefault="002321FC" w:rsidP="00FF7C29">
            <w:pPr>
              <w:pStyle w:val="TableText"/>
              <w:rPr>
                <w:i/>
              </w:rPr>
            </w:pPr>
            <w:r w:rsidRPr="004D292C">
              <w:rPr>
                <w:i/>
              </w:rPr>
              <w:t>AND</w:t>
            </w:r>
          </w:p>
          <w:p w:rsidR="002321FC" w:rsidRPr="004D292C" w:rsidRDefault="002321FC" w:rsidP="002321FC">
            <w:pPr>
              <w:pStyle w:val="TableText"/>
              <w:rPr>
                <w:i/>
              </w:rPr>
            </w:pPr>
            <w:r w:rsidRPr="004D292C">
              <w:rPr>
                <w:i/>
              </w:rPr>
              <w:t>Patient must be receiving treatment with an ACE inhibitor, unless contraindicated according to the TGA-approved Product Information or cannot not be tolerated; or</w:t>
            </w:r>
          </w:p>
          <w:p w:rsidR="002321FC" w:rsidRPr="004D292C" w:rsidRDefault="002321FC" w:rsidP="002321FC">
            <w:pPr>
              <w:pStyle w:val="TableText"/>
              <w:rPr>
                <w:i/>
              </w:rPr>
            </w:pPr>
            <w:r w:rsidRPr="004D292C">
              <w:rPr>
                <w:i/>
              </w:rPr>
              <w:t>Patient must be receiving treatment with an angiotensin II antagonist, unless contraindicated according to the TGA-approved Product Information or cannot not be tolerated; or</w:t>
            </w:r>
          </w:p>
          <w:p w:rsidR="00D67CA5" w:rsidRPr="004D292C" w:rsidRDefault="002321FC" w:rsidP="002321FC">
            <w:pPr>
              <w:pStyle w:val="TableText"/>
              <w:rPr>
                <w:i/>
              </w:rPr>
            </w:pPr>
            <w:r w:rsidRPr="004D292C">
              <w:rPr>
                <w:i/>
              </w:rPr>
              <w:t>Patient must be receiving treatment with an angiotensin receptor with neprilysin inhibitor</w:t>
            </w:r>
            <w:r w:rsidR="00D67CA5" w:rsidRPr="004D292C">
              <w:rPr>
                <w:i/>
              </w:rPr>
              <w:t xml:space="preserve"> combination therapy unless contraindicated according to the TGA-approved Product Information or cannot not be tolerated</w:t>
            </w:r>
            <w:r w:rsidR="009924A1" w:rsidRPr="004D292C">
              <w:rPr>
                <w:i/>
              </w:rPr>
              <w:t>,</w:t>
            </w:r>
          </w:p>
          <w:p w:rsidR="00FF7C29" w:rsidRPr="004D292C" w:rsidRDefault="00FF7C29" w:rsidP="00FF7C29">
            <w:pPr>
              <w:pStyle w:val="TableText"/>
              <w:rPr>
                <w:strike/>
              </w:rPr>
            </w:pPr>
            <w:r w:rsidRPr="004D292C">
              <w:rPr>
                <w:strike/>
              </w:rPr>
              <w:t xml:space="preserve">EITHER an angiotensin converting enzyme inhibitor OR an angiotensin II antagonist OR an angiotensin receptor neprilysin inhibitor, unless contraindicated or not tolerated </w:t>
            </w:r>
          </w:p>
          <w:p w:rsidR="00FF7C29" w:rsidRPr="004D292C" w:rsidRDefault="00FF7C29" w:rsidP="00FF7C29">
            <w:pPr>
              <w:pStyle w:val="TableText"/>
              <w:rPr>
                <w:strike/>
              </w:rPr>
            </w:pPr>
            <w:r w:rsidRPr="004D292C">
              <w:rPr>
                <w:strike/>
              </w:rPr>
              <w:t>AND</w:t>
            </w:r>
          </w:p>
          <w:p w:rsidR="00FF7C29" w:rsidRPr="004D292C" w:rsidRDefault="00FF7C29" w:rsidP="00FF7C29">
            <w:pPr>
              <w:pStyle w:val="TableText"/>
              <w:rPr>
                <w:strike/>
              </w:rPr>
            </w:pPr>
            <w:r w:rsidRPr="004D292C">
              <w:rPr>
                <w:strike/>
              </w:rPr>
              <w:t>maximum tolerated dose of a beta-blocker, unless contraindicated or not tolerated,</w:t>
            </w:r>
          </w:p>
          <w:p w:rsidR="00FF7C29" w:rsidRPr="004D292C" w:rsidRDefault="00FF7C29" w:rsidP="00FF7C29">
            <w:pPr>
              <w:pStyle w:val="TableText"/>
            </w:pPr>
            <w:r w:rsidRPr="004D292C">
              <w:t>AND</w:t>
            </w:r>
          </w:p>
          <w:p w:rsidR="00542C2D" w:rsidRPr="004D292C" w:rsidRDefault="00FF7C29" w:rsidP="00FF7C29">
            <w:pPr>
              <w:pStyle w:val="TableText"/>
              <w:rPr>
                <w:strike/>
              </w:rPr>
            </w:pPr>
            <w:r w:rsidRPr="004D292C">
              <w:rPr>
                <w:strike/>
              </w:rPr>
              <w:t>The treatment must not be co-administered with other sodium-glucose co-transporter-2 inhibitors.</w:t>
            </w:r>
          </w:p>
          <w:p w:rsidR="002321FC" w:rsidRPr="004D292C" w:rsidRDefault="00452E34" w:rsidP="00452E34">
            <w:pPr>
              <w:pStyle w:val="TableText"/>
              <w:rPr>
                <w:i/>
              </w:rPr>
            </w:pPr>
            <w:r w:rsidRPr="004D292C">
              <w:rPr>
                <w:i/>
              </w:rPr>
              <w:t>Patient must not be receiving treatment with another sodium-glucose co-transporter 2 (SGLT2) inhibitor</w:t>
            </w:r>
            <w:r w:rsidR="009924A1" w:rsidRPr="004D292C">
              <w:rPr>
                <w:i/>
              </w:rPr>
              <w:t>.</w:t>
            </w:r>
          </w:p>
        </w:tc>
      </w:tr>
      <w:tr w:rsidR="00591957" w:rsidRPr="004D292C" w:rsidTr="002A5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591957" w:rsidRPr="004D292C" w:rsidRDefault="00FF7C29" w:rsidP="008C6B24">
            <w:pPr>
              <w:pStyle w:val="TableText"/>
            </w:pPr>
            <w:r w:rsidRPr="004D292C">
              <w:t>Administrative advice:</w:t>
            </w:r>
          </w:p>
        </w:tc>
        <w:tc>
          <w:tcPr>
            <w:tcW w:w="4069" w:type="pct"/>
            <w:gridSpan w:val="6"/>
            <w:tcBorders>
              <w:top w:val="single" w:sz="4" w:space="0" w:color="auto"/>
              <w:left w:val="single" w:sz="4" w:space="0" w:color="auto"/>
              <w:bottom w:val="single" w:sz="4" w:space="0" w:color="auto"/>
              <w:right w:val="single" w:sz="4" w:space="0" w:color="auto"/>
            </w:tcBorders>
          </w:tcPr>
          <w:p w:rsidR="00FF7C29" w:rsidRPr="004D292C" w:rsidRDefault="00FF7C29" w:rsidP="00FF7C29">
            <w:pPr>
              <w:pStyle w:val="TableText"/>
              <w:rPr>
                <w:color w:val="000000"/>
              </w:rPr>
            </w:pPr>
            <w:r w:rsidRPr="004D292C">
              <w:rPr>
                <w:color w:val="000000"/>
              </w:rPr>
              <w:t>Note</w:t>
            </w:r>
          </w:p>
          <w:p w:rsidR="00FF7C29" w:rsidRPr="004D292C" w:rsidRDefault="00FF7C29" w:rsidP="00FF7C29">
            <w:pPr>
              <w:pStyle w:val="TableText"/>
              <w:rPr>
                <w:color w:val="000000"/>
              </w:rPr>
            </w:pPr>
            <w:r w:rsidRPr="004D292C">
              <w:rPr>
                <w:color w:val="000000"/>
              </w:rPr>
              <w:t>Continuing Therapy Only:</w:t>
            </w:r>
          </w:p>
          <w:p w:rsidR="00FF7C29" w:rsidRPr="004D292C" w:rsidRDefault="00FF7C29" w:rsidP="00FF7C29">
            <w:pPr>
              <w:pStyle w:val="TableText"/>
              <w:rPr>
                <w:color w:val="000000"/>
              </w:rPr>
            </w:pPr>
          </w:p>
          <w:p w:rsidR="00591957" w:rsidRPr="004D292C" w:rsidRDefault="00FF7C29" w:rsidP="00FF7C29">
            <w:pPr>
              <w:pStyle w:val="TableText"/>
              <w:rPr>
                <w:color w:val="000000"/>
              </w:rPr>
            </w:pPr>
            <w:r w:rsidRPr="004D292C">
              <w:rPr>
                <w:color w:val="000000"/>
              </w:rPr>
              <w:t>For prescribing by Nurse Practitioners as continuing therapy only, where the treatment of, and prescribing of medicine for, a patient has been initiated by a medical practitioner.</w:t>
            </w:r>
            <w:r w:rsidR="00711956" w:rsidRPr="004D292C">
              <w:rPr>
                <w:color w:val="000000"/>
              </w:rPr>
              <w:t xml:space="preserve"> </w:t>
            </w:r>
            <w:r w:rsidR="00711956" w:rsidRPr="004D292C">
              <w:rPr>
                <w:i/>
                <w:color w:val="000000"/>
              </w:rPr>
              <w:t>Further information can be found in the Explanatory Notes for Nurse Practitioners.</w:t>
            </w:r>
          </w:p>
        </w:tc>
      </w:tr>
    </w:tbl>
    <w:p w:rsidR="00B60939" w:rsidRPr="004D292C" w:rsidRDefault="00B60939" w:rsidP="004B1CB4"/>
    <w:p w:rsidR="0064434C" w:rsidRPr="004D292C" w:rsidRDefault="00FF7C29" w:rsidP="00FF7C29">
      <w:pPr>
        <w:pStyle w:val="ExecSumBodyText"/>
      </w:pPr>
      <w:r w:rsidRPr="004D292C">
        <w:t xml:space="preserve">The submission noted that </w:t>
      </w:r>
      <w:r w:rsidR="00835CD8" w:rsidRPr="004D292C">
        <w:t>sacubitril</w:t>
      </w:r>
      <w:r w:rsidRPr="004D292C">
        <w:t>/</w:t>
      </w:r>
      <w:r w:rsidR="00835CD8" w:rsidRPr="004D292C">
        <w:t>valsartan</w:t>
      </w:r>
      <w:r w:rsidRPr="004D292C">
        <w:t xml:space="preserve"> is subject to a special pricing arrangement, and that the price of dapagliflozin would need to be calculated based on the results of the cost-minimisation analysis using the sacubitril/valsartan effective price.</w:t>
      </w:r>
    </w:p>
    <w:p w:rsidR="00FF7C29" w:rsidRPr="004D292C" w:rsidRDefault="00FF7C29" w:rsidP="00163CD1">
      <w:pPr>
        <w:pStyle w:val="ExecSumBodyText"/>
      </w:pPr>
      <w:r w:rsidRPr="004D292C">
        <w:t xml:space="preserve">The proposed published DPMQ is higher than the dapagliflozin DPMQ for the </w:t>
      </w:r>
      <w:r w:rsidR="006D04A4" w:rsidRPr="004D292C">
        <w:t xml:space="preserve">T2DM </w:t>
      </w:r>
      <w:r w:rsidRPr="004D292C">
        <w:t xml:space="preserve">indication. The </w:t>
      </w:r>
      <w:r w:rsidR="006739E9" w:rsidRPr="004D292C">
        <w:t xml:space="preserve">submission </w:t>
      </w:r>
      <w:r w:rsidRPr="004D292C">
        <w:t xml:space="preserve">requested a revised </w:t>
      </w:r>
      <w:r w:rsidR="009B5084" w:rsidRPr="004D292C">
        <w:t xml:space="preserve">published price </w:t>
      </w:r>
      <w:r w:rsidRPr="004D292C">
        <w:t>for dapagliflozin to reflect the proportional use across heart failure and diabetes indications.</w:t>
      </w:r>
      <w:r w:rsidR="00772219" w:rsidRPr="004D292C">
        <w:t xml:space="preserve"> </w:t>
      </w:r>
      <w:r w:rsidR="00E84706" w:rsidRPr="004D292C">
        <w:t xml:space="preserve">The pre-PBAC response proposed that the price in </w:t>
      </w:r>
      <w:r w:rsidR="00163CD1" w:rsidRPr="004D292C">
        <w:t>T</w:t>
      </w:r>
      <w:r w:rsidR="006D04A4" w:rsidRPr="004D292C">
        <w:t>2DM</w:t>
      </w:r>
      <w:r w:rsidR="00E84706" w:rsidRPr="004D292C">
        <w:t xml:space="preserve"> remain as it is currently and that the price in </w:t>
      </w:r>
      <w:r w:rsidR="00F107D9" w:rsidRPr="004D292C">
        <w:t xml:space="preserve">heart </w:t>
      </w:r>
      <w:r w:rsidR="00F107D9" w:rsidRPr="000C6540">
        <w:t>failure be</w:t>
      </w:r>
      <w:r w:rsidR="00E84706" w:rsidRPr="000C6540">
        <w:t xml:space="preserve"> calculated as: </w:t>
      </w:r>
      <w:r w:rsidR="007D59EF">
        <w:rPr>
          <w:noProof/>
          <w:color w:val="000000"/>
          <w:highlight w:val="black"/>
        </w:rPr>
        <w:t>'''''</w:t>
      </w:r>
      <w:r w:rsidR="00E84706" w:rsidRPr="000C6540">
        <w:t xml:space="preserve">% at the current </w:t>
      </w:r>
      <w:r w:rsidR="006D04A4" w:rsidRPr="000C6540">
        <w:t>T2DM</w:t>
      </w:r>
      <w:r w:rsidR="00163CD1" w:rsidRPr="000C6540">
        <w:t xml:space="preserve"> </w:t>
      </w:r>
      <w:r w:rsidR="00E84706" w:rsidRPr="000C6540">
        <w:t xml:space="preserve">price (comorbid </w:t>
      </w:r>
      <w:r w:rsidR="00163CD1" w:rsidRPr="000C6540">
        <w:t xml:space="preserve">Type 2 diabetes </w:t>
      </w:r>
      <w:r w:rsidR="00E84706" w:rsidRPr="000C6540">
        <w:t>patients (</w:t>
      </w:r>
      <w:r w:rsidR="007D59EF">
        <w:rPr>
          <w:noProof/>
          <w:color w:val="000000"/>
          <w:highlight w:val="black"/>
        </w:rPr>
        <w:t>'''''</w:t>
      </w:r>
      <w:r w:rsidR="00E84706" w:rsidRPr="000C6540">
        <w:t xml:space="preserve">%) and concomitant </w:t>
      </w:r>
      <w:r w:rsidR="00F107D9" w:rsidRPr="000C6540">
        <w:t>sacubitril/valsartan patients (</w:t>
      </w:r>
      <w:r w:rsidR="007D59EF">
        <w:rPr>
          <w:noProof/>
          <w:color w:val="000000"/>
          <w:highlight w:val="black"/>
        </w:rPr>
        <w:t>'''''</w:t>
      </w:r>
      <w:r w:rsidR="00E84706" w:rsidRPr="000C6540">
        <w:t xml:space="preserve">%)) and </w:t>
      </w:r>
      <w:r w:rsidR="007D59EF">
        <w:rPr>
          <w:noProof/>
          <w:color w:val="000000"/>
          <w:highlight w:val="black"/>
        </w:rPr>
        <w:t>'''''</w:t>
      </w:r>
      <w:r w:rsidR="00E84706" w:rsidRPr="000C6540">
        <w:t xml:space="preserve">% at the </w:t>
      </w:r>
      <w:r w:rsidR="00C8339D" w:rsidRPr="000C6540">
        <w:t xml:space="preserve">requested </w:t>
      </w:r>
      <w:r w:rsidR="00E84706" w:rsidRPr="000C6540">
        <w:t xml:space="preserve">price in HFrEF (cost-minimisation to </w:t>
      </w:r>
      <w:r w:rsidR="00F107D9" w:rsidRPr="000C6540">
        <w:t xml:space="preserve">sacubitril/valsartan </w:t>
      </w:r>
      <w:r w:rsidR="00E84706" w:rsidRPr="000C6540">
        <w:t>minus cost of valsartan).</w:t>
      </w:r>
      <w:r w:rsidR="00A16821" w:rsidRPr="000C6540">
        <w:t xml:space="preserve"> The pre-PBAC response then proposed that the new dapagliflozin</w:t>
      </w:r>
      <w:r w:rsidR="00A16821" w:rsidRPr="004D292C">
        <w:t xml:space="preserve"> </w:t>
      </w:r>
      <w:r w:rsidR="00A16821" w:rsidRPr="004D292C">
        <w:lastRenderedPageBreak/>
        <w:t xml:space="preserve">price be weighted across the heart failure price and the </w:t>
      </w:r>
      <w:r w:rsidR="006D04A4" w:rsidRPr="004D292C">
        <w:t>T2DM</w:t>
      </w:r>
      <w:r w:rsidR="00A16821" w:rsidRPr="004D292C">
        <w:t xml:space="preserve"> price, based on estimated utilisation </w:t>
      </w:r>
      <w:r w:rsidR="00A16821" w:rsidRPr="000C6540">
        <w:t xml:space="preserve">at </w:t>
      </w:r>
      <w:r w:rsidR="007D59EF">
        <w:rPr>
          <w:noProof/>
          <w:color w:val="000000"/>
          <w:highlight w:val="black"/>
        </w:rPr>
        <w:t>'''''</w:t>
      </w:r>
      <w:r w:rsidR="00A16821" w:rsidRPr="000C6540">
        <w:t xml:space="preserve">% and </w:t>
      </w:r>
      <w:r w:rsidR="007D59EF">
        <w:rPr>
          <w:noProof/>
          <w:color w:val="000000"/>
          <w:highlight w:val="black"/>
        </w:rPr>
        <w:t>'''''</w:t>
      </w:r>
      <w:r w:rsidR="00A16821" w:rsidRPr="000C6540">
        <w:t>%</w:t>
      </w:r>
      <w:r w:rsidR="00A16821" w:rsidRPr="004D292C">
        <w:t xml:space="preserve"> respectively. </w:t>
      </w:r>
      <w:r w:rsidR="00D23404" w:rsidRPr="004D292C">
        <w:t xml:space="preserve">The PBAC did not accept the new price offer as the cost-effectiveness of </w:t>
      </w:r>
      <w:r w:rsidR="004D292C" w:rsidRPr="004D292C">
        <w:t>dapagliflozin</w:t>
      </w:r>
      <w:r w:rsidR="00D23404" w:rsidRPr="004D292C">
        <w:t xml:space="preserve"> compared to standard care was not established (see Section 7</w:t>
      </w:r>
      <w:r w:rsidR="00B36365" w:rsidRPr="004D292C">
        <w:t xml:space="preserve"> PBAC outcome</w:t>
      </w:r>
      <w:r w:rsidR="00D23404" w:rsidRPr="004D292C">
        <w:t>).</w:t>
      </w:r>
    </w:p>
    <w:p w:rsidR="00FF7C29" w:rsidRPr="004D292C" w:rsidRDefault="00722E89" w:rsidP="00722E89">
      <w:pPr>
        <w:pStyle w:val="ExecSumBodyText"/>
      </w:pPr>
      <w:r w:rsidRPr="004D292C">
        <w:t xml:space="preserve">The proposed restriction is narrower than the indication in the draft product information, which does not restrict treatment on the basis of </w:t>
      </w:r>
      <w:r w:rsidR="00CB0F78" w:rsidRPr="004D292C">
        <w:t xml:space="preserve">heart failure </w:t>
      </w:r>
      <w:r w:rsidRPr="004D292C">
        <w:t>severity</w:t>
      </w:r>
      <w:r w:rsidR="00CB0F78" w:rsidRPr="004D292C">
        <w:t xml:space="preserve"> (NYHA </w:t>
      </w:r>
      <w:r w:rsidR="001C6FC5" w:rsidRPr="004D292C">
        <w:t>c</w:t>
      </w:r>
      <w:r w:rsidR="00CB0F78" w:rsidRPr="004D292C">
        <w:t>lass)</w:t>
      </w:r>
      <w:r w:rsidRPr="004D292C">
        <w:t xml:space="preserve">, </w:t>
      </w:r>
      <w:r w:rsidR="00F64ECF" w:rsidRPr="004D292C">
        <w:t xml:space="preserve">left ventricular </w:t>
      </w:r>
      <w:r w:rsidRPr="004D292C">
        <w:t>ejection fraction</w:t>
      </w:r>
      <w:r w:rsidR="00F64ECF" w:rsidRPr="004D292C">
        <w:t>,</w:t>
      </w:r>
      <w:r w:rsidRPr="004D292C">
        <w:t xml:space="preserve"> or concomitant heart failure therapies. The proposed restriction is consistent with the DAPA-HF trial, which recruited patients with </w:t>
      </w:r>
      <w:r w:rsidR="00CB0F78" w:rsidRPr="004D292C">
        <w:t xml:space="preserve">NYHA </w:t>
      </w:r>
      <w:r w:rsidR="00274FDF" w:rsidRPr="004D292C">
        <w:t>C</w:t>
      </w:r>
      <w:r w:rsidR="00CB0F78" w:rsidRPr="004D292C">
        <w:t>lass II-IV heart failure, a</w:t>
      </w:r>
      <w:r w:rsidR="003235FF" w:rsidRPr="004D292C">
        <w:t xml:space="preserve"> left ventricular ejection fraction (</w:t>
      </w:r>
      <w:r w:rsidR="00CB0F78" w:rsidRPr="004D292C">
        <w:t>LVEF</w:t>
      </w:r>
      <w:r w:rsidR="003235FF" w:rsidRPr="004D292C">
        <w:t>)</w:t>
      </w:r>
      <w:r w:rsidR="00CB0F78" w:rsidRPr="004D292C">
        <w:t xml:space="preserve"> ≤40%, </w:t>
      </w:r>
      <w:r w:rsidRPr="004D292C">
        <w:t xml:space="preserve">and </w:t>
      </w:r>
      <w:r w:rsidR="006739E9" w:rsidRPr="004D292C">
        <w:t xml:space="preserve">who were </w:t>
      </w:r>
      <w:r w:rsidRPr="004D292C">
        <w:t xml:space="preserve">optimised on an ACE inhibitor, ARB, or sacubitril/valsartan; and a beta blocker. However, the </w:t>
      </w:r>
      <w:r w:rsidR="001C6FC5" w:rsidRPr="004D292C">
        <w:t xml:space="preserve">inclusion criteria for the </w:t>
      </w:r>
      <w:r w:rsidRPr="004D292C">
        <w:t>DAPA-HF trial</w:t>
      </w:r>
      <w:r w:rsidR="001C6FC5" w:rsidRPr="004D292C">
        <w:t xml:space="preserve"> also required</w:t>
      </w:r>
      <w:r w:rsidRPr="004D292C">
        <w:t xml:space="preserve"> patients to be treated with an MRA if considered appropriate by the patient's treating physician.</w:t>
      </w:r>
    </w:p>
    <w:p w:rsidR="00FF7C29" w:rsidRPr="004D292C" w:rsidRDefault="00722E89" w:rsidP="00722E89">
      <w:pPr>
        <w:pStyle w:val="ExecSumBodyText"/>
        <w:rPr>
          <w:i/>
        </w:rPr>
      </w:pPr>
      <w:r w:rsidRPr="004D292C">
        <w:rPr>
          <w:iCs/>
        </w:rPr>
        <w:t xml:space="preserve">The proposed restriction allows use of dapagliflozin in combination with an </w:t>
      </w:r>
      <w:r w:rsidR="00F64ECF" w:rsidRPr="004D292C">
        <w:rPr>
          <w:iCs/>
        </w:rPr>
        <w:t>angiotensin receptor neprilysin inhibitor</w:t>
      </w:r>
      <w:r w:rsidRPr="004D292C">
        <w:rPr>
          <w:iCs/>
        </w:rPr>
        <w:t xml:space="preserve"> (</w:t>
      </w:r>
      <w:r w:rsidR="00F64ECF" w:rsidRPr="004D292C">
        <w:rPr>
          <w:iCs/>
        </w:rPr>
        <w:t xml:space="preserve">ARNI; </w:t>
      </w:r>
      <w:r w:rsidRPr="004D292C">
        <w:rPr>
          <w:iCs/>
        </w:rPr>
        <w:t>i.e. sacubitril/valsartan).</w:t>
      </w:r>
      <w:r w:rsidRPr="004D292C">
        <w:rPr>
          <w:i/>
        </w:rPr>
        <w:t xml:space="preserve"> </w:t>
      </w:r>
      <w:r w:rsidR="001C6FC5" w:rsidRPr="004D292C">
        <w:t>Given that dapagliflozin has a different mechanism of action compared to sacubitril</w:t>
      </w:r>
      <w:r w:rsidR="00B64723">
        <w:t>/valsartan</w:t>
      </w:r>
      <w:r w:rsidR="001C6FC5" w:rsidRPr="004D292C">
        <w:t>, p</w:t>
      </w:r>
      <w:r w:rsidR="00C44071" w:rsidRPr="004D292C">
        <w:t xml:space="preserve">atients requiring intensification of treatment </w:t>
      </w:r>
      <w:r w:rsidR="00F64ECF" w:rsidRPr="004D292C">
        <w:t xml:space="preserve">may </w:t>
      </w:r>
      <w:r w:rsidR="00957D0C" w:rsidRPr="004D292C">
        <w:t>use</w:t>
      </w:r>
      <w:r w:rsidR="00C44071" w:rsidRPr="004D292C">
        <w:t xml:space="preserve"> dapagliflozin </w:t>
      </w:r>
      <w:r w:rsidR="00957D0C" w:rsidRPr="004D292C">
        <w:t>in combination with</w:t>
      </w:r>
      <w:r w:rsidR="00C44071" w:rsidRPr="004D292C">
        <w:t xml:space="preserve"> sacubitril/valsartan</w:t>
      </w:r>
      <w:r w:rsidR="00957D0C" w:rsidRPr="004D292C">
        <w:t>, rather</w:t>
      </w:r>
      <w:r w:rsidR="00C44071" w:rsidRPr="004D292C">
        <w:t xml:space="preserve"> than substitute for it.</w:t>
      </w:r>
      <w:r w:rsidR="00862AE8" w:rsidRPr="004D292C">
        <w:t xml:space="preserve"> The </w:t>
      </w:r>
      <w:r w:rsidR="00D23404" w:rsidRPr="004D292C">
        <w:t xml:space="preserve">PBAC </w:t>
      </w:r>
      <w:r w:rsidR="00862AE8" w:rsidRPr="004D292C">
        <w:t>noted the cost-effectiveness of dap</w:t>
      </w:r>
      <w:r w:rsidR="00F14A9D" w:rsidRPr="004D292C">
        <w:t>a</w:t>
      </w:r>
      <w:r w:rsidR="00862AE8" w:rsidRPr="004D292C">
        <w:t>gliflozin as an add-on to sacubitril/valsartan was not examined in this submission.</w:t>
      </w:r>
    </w:p>
    <w:p w:rsidR="00CC35EA" w:rsidRPr="004D292C" w:rsidRDefault="00722E89" w:rsidP="00722E89">
      <w:pPr>
        <w:pStyle w:val="ExecSumBodyText"/>
      </w:pPr>
      <w:r w:rsidRPr="004D292C">
        <w:t xml:space="preserve">There is potential for use outside of the requested restriction among patients with </w:t>
      </w:r>
      <w:r w:rsidR="00C44071" w:rsidRPr="004D292C">
        <w:t xml:space="preserve">heart failure </w:t>
      </w:r>
      <w:r w:rsidRPr="004D292C">
        <w:t>preserved ejection fraction</w:t>
      </w:r>
      <w:r w:rsidR="007F6491" w:rsidRPr="004D292C">
        <w:t xml:space="preserve"> (HFpEF)</w:t>
      </w:r>
      <w:r w:rsidRPr="004D292C">
        <w:t xml:space="preserve">, patients with NYHA </w:t>
      </w:r>
      <w:r w:rsidR="003D2110" w:rsidRPr="004D292C">
        <w:t>C</w:t>
      </w:r>
      <w:r w:rsidRPr="004D292C">
        <w:t>lass I heart failure, and among patients who are not on optimised therapy with a</w:t>
      </w:r>
      <w:r w:rsidR="00835CD8" w:rsidRPr="004D292C">
        <w:t>n</w:t>
      </w:r>
      <w:r w:rsidRPr="004D292C">
        <w:t xml:space="preserve"> ACE inhibitor/ARB and beta blocker. </w:t>
      </w:r>
    </w:p>
    <w:p w:rsidR="00F64ECF" w:rsidRPr="004D292C" w:rsidRDefault="00800945" w:rsidP="0088712F">
      <w:pPr>
        <w:pStyle w:val="ExecSumBodyText"/>
      </w:pPr>
      <w:r w:rsidRPr="004D292C">
        <w:t>The requested clinical criteria are consistent with the sacubitril/valsartan restriction in terms of NYHA class (II-IV</w:t>
      </w:r>
      <w:r w:rsidR="00F64ECF" w:rsidRPr="004D292C">
        <w:t xml:space="preserve">), a </w:t>
      </w:r>
      <w:r w:rsidRPr="004D292C">
        <w:t xml:space="preserve">documented </w:t>
      </w:r>
      <w:r w:rsidR="00F64ECF" w:rsidRPr="004D292C">
        <w:t>LVEF</w:t>
      </w:r>
      <w:r w:rsidRPr="004D292C">
        <w:t xml:space="preserve"> </w:t>
      </w:r>
      <w:r w:rsidR="00F64ECF" w:rsidRPr="004D292C">
        <w:rPr>
          <w:rFonts w:cstheme="minorHAnsi"/>
        </w:rPr>
        <w:t>≤</w:t>
      </w:r>
      <w:r w:rsidRPr="004D292C">
        <w:t>40%, and the requirement for optimised heart failure treatment with the maximum dose of a beta-blocker (unless contraindicated or not tolerated). Patients treated with sacubitril/valsartan must be stabilised on an ACE inhibitor or ARB (unless contraindicated o</w:t>
      </w:r>
      <w:r w:rsidR="00F64ECF" w:rsidRPr="004D292C">
        <w:t xml:space="preserve">r not tolerated) prior to sacubitril/valsartan </w:t>
      </w:r>
      <w:r w:rsidRPr="004D292C">
        <w:t>initiation</w:t>
      </w:r>
      <w:r w:rsidR="00957D0C" w:rsidRPr="004D292C">
        <w:t>, but do not require treatment with an MRA</w:t>
      </w:r>
      <w:r w:rsidRPr="004D292C">
        <w:t xml:space="preserve">. </w:t>
      </w:r>
    </w:p>
    <w:p w:rsidR="00D30148" w:rsidRPr="004D292C" w:rsidRDefault="00D30148" w:rsidP="0088712F">
      <w:pPr>
        <w:pStyle w:val="ExecSumBodyText"/>
      </w:pPr>
      <w:r w:rsidRPr="004D292C">
        <w:t xml:space="preserve">A submission for sacubitril/valsartan </w:t>
      </w:r>
      <w:r w:rsidR="006739E9" w:rsidRPr="004D292C">
        <w:t>was</w:t>
      </w:r>
      <w:r w:rsidRPr="004D292C">
        <w:t xml:space="preserve"> considered at the November 2020 PBAC meeting. </w:t>
      </w:r>
      <w:r w:rsidR="00957D0C" w:rsidRPr="004D292C">
        <w:t xml:space="preserve">That </w:t>
      </w:r>
      <w:r w:rsidRPr="004D292C">
        <w:t>submission request</w:t>
      </w:r>
      <w:r w:rsidR="006739E9" w:rsidRPr="004D292C">
        <w:t>ed</w:t>
      </w:r>
      <w:r w:rsidRPr="004D292C">
        <w:t xml:space="preserve"> </w:t>
      </w:r>
      <w:r w:rsidR="00F64ECF" w:rsidRPr="004D292C">
        <w:t xml:space="preserve">changes to </w:t>
      </w:r>
      <w:r w:rsidR="00422930" w:rsidRPr="004D292C">
        <w:t xml:space="preserve">the current sacubitril/valsartan chronic heart failure listing </w:t>
      </w:r>
      <w:r w:rsidR="00274FDF" w:rsidRPr="004D292C">
        <w:t xml:space="preserve">to </w:t>
      </w:r>
      <w:r w:rsidR="00422930" w:rsidRPr="004D292C">
        <w:t>include a broader population of patients.</w:t>
      </w:r>
    </w:p>
    <w:p w:rsidR="00BC2DD4" w:rsidRPr="004D292C" w:rsidRDefault="00BC2DD4" w:rsidP="00BC2DD4">
      <w:pPr>
        <w:rPr>
          <w:i/>
        </w:rPr>
      </w:pPr>
      <w:r w:rsidRPr="004D292C">
        <w:rPr>
          <w:i/>
        </w:rPr>
        <w:t>For more detail on PBAC’s view, see section 7 PBAC outcome.</w:t>
      </w:r>
    </w:p>
    <w:p w:rsidR="00B50DB8" w:rsidRPr="004D292C" w:rsidRDefault="00203181" w:rsidP="004E18E9">
      <w:pPr>
        <w:pStyle w:val="2-SectionHeading"/>
      </w:pPr>
      <w:bookmarkStart w:id="8" w:name="_Toc50975074"/>
      <w:r w:rsidRPr="004D292C">
        <w:t xml:space="preserve">Population and </w:t>
      </w:r>
      <w:r w:rsidR="008E0D3C" w:rsidRPr="004D292C">
        <w:t>d</w:t>
      </w:r>
      <w:r w:rsidRPr="004D292C">
        <w:t>isease</w:t>
      </w:r>
      <w:bookmarkEnd w:id="8"/>
    </w:p>
    <w:p w:rsidR="00894489" w:rsidRPr="004D292C" w:rsidRDefault="00771CC9" w:rsidP="00771CC9">
      <w:pPr>
        <w:pStyle w:val="ExecSumBodyText"/>
      </w:pPr>
      <w:r w:rsidRPr="004D292C">
        <w:t xml:space="preserve">Chronic heart failure is a complex clinical syndrome characterised by symptoms such as dyspnoea, peripheral oedema and fatigue, caused by an underlying structural and/or functional cardiac abnormality that impairs the ability of the heart ventricle to fill with or eject blood. </w:t>
      </w:r>
    </w:p>
    <w:p w:rsidR="002C2775" w:rsidRPr="004D292C" w:rsidRDefault="00771CC9" w:rsidP="00771CC9">
      <w:pPr>
        <w:pStyle w:val="ExecSumBodyText"/>
      </w:pPr>
      <w:r w:rsidRPr="004D292C">
        <w:lastRenderedPageBreak/>
        <w:t xml:space="preserve">It was estimated that there were 480,000 people aged 18 years or more in Australia with heart failure in 2014, representing 2.1% of the adult population. The age-standardised prevalence rates of heart failure in Indigenous Australians is estimated to be 1.7 times higher than in non-Indigenous Australians (Woods et al, 2012). The risk of death in symptomatic heart failure is high, with a 20-30% one-year mortality in mild to moderate HF and over 50% one-year mortality in severe </w:t>
      </w:r>
      <w:r w:rsidR="00F64ECF" w:rsidRPr="004D292C">
        <w:t>heart failure, rising with each re</w:t>
      </w:r>
      <w:r w:rsidRPr="004D292C">
        <w:t>hospitalisation (Carson et al, 2015).</w:t>
      </w:r>
    </w:p>
    <w:p w:rsidR="007627BE" w:rsidRPr="004D292C" w:rsidRDefault="00771CC9" w:rsidP="00771CC9">
      <w:pPr>
        <w:pStyle w:val="ExecSumBodyText"/>
      </w:pPr>
      <w:r w:rsidRPr="004D292C">
        <w:t>Heart failure is commonly classified based on the left ventricular ejection fraction. Heart failure with reduced ejection fraction refers to symptoms with or without signs of heart failure and an LVEF ≤40%. If LVEF is mildly reduced (41–49%), additional criteria are required (signs of heart failure, diastolic dysfunction with high filling pressure demonstrated by invasive means or echocardiography or biomarker testing).</w:t>
      </w:r>
    </w:p>
    <w:p w:rsidR="00771CC9" w:rsidRPr="004D292C" w:rsidRDefault="00771CC9" w:rsidP="00771CC9">
      <w:pPr>
        <w:pStyle w:val="ExecSumBodyText"/>
      </w:pPr>
      <w:r w:rsidRPr="004D292C">
        <w:t>Acute episodes of decompensation requiring hospitalisation are relatively common, with around a third of patients with heart failure hospitalised each year (Krum et al., 2011). Common reasons for hospitalisation with acute heart failure are infection, non-adherence to medication, and non-adherence to dietary and fluid restrictions. Heart failure is primarily managed by the general practitioner, with specialist input as required (e.g. at times of decompensation). Comprehensive multidisciplinary programs have an increasingly important role in patient education and treatment supervision.</w:t>
      </w:r>
    </w:p>
    <w:p w:rsidR="00771CC9" w:rsidRPr="004D292C" w:rsidRDefault="00771CC9" w:rsidP="00771CC9">
      <w:pPr>
        <w:pStyle w:val="ExecSumBodyText"/>
      </w:pPr>
      <w:r w:rsidRPr="004D292C">
        <w:t>Figure 1 below presents the proposed clinical management algorithm presented in the submission.</w:t>
      </w:r>
    </w:p>
    <w:p w:rsidR="00771CC9" w:rsidRPr="004D292C" w:rsidRDefault="00771CC9" w:rsidP="00975E14">
      <w:pPr>
        <w:pStyle w:val="TableFigureHeading"/>
        <w:keepLines/>
      </w:pPr>
      <w:r w:rsidRPr="004D292C">
        <w:lastRenderedPageBreak/>
        <w:t>Figure 1: Proposed clinical algorithm for patients with heart failure and reduced ejection fraction</w:t>
      </w:r>
    </w:p>
    <w:p w:rsidR="00771CC9" w:rsidRPr="004D292C" w:rsidRDefault="00771CC9" w:rsidP="00975E14">
      <w:pPr>
        <w:keepNext/>
        <w:keepLines/>
      </w:pPr>
      <w:r w:rsidRPr="004D292C">
        <w:rPr>
          <w:noProof/>
        </w:rPr>
        <w:drawing>
          <wp:inline distT="0" distB="0" distL="0" distR="0" wp14:anchorId="2B0BED3B" wp14:editId="13B48664">
            <wp:extent cx="4804913" cy="3551457"/>
            <wp:effectExtent l="0" t="0" r="0" b="0"/>
            <wp:docPr id="1" name="Picture 1" title="Figure 1: Proposed clinical algorithm for patients with heart failure and reduced ejection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5090" cy="3558979"/>
                    </a:xfrm>
                    <a:prstGeom prst="rect">
                      <a:avLst/>
                    </a:prstGeom>
                  </pic:spPr>
                </pic:pic>
              </a:graphicData>
            </a:graphic>
          </wp:inline>
        </w:drawing>
      </w:r>
    </w:p>
    <w:p w:rsidR="00771CC9" w:rsidRPr="004D292C" w:rsidRDefault="00771CC9" w:rsidP="00975E14">
      <w:pPr>
        <w:pStyle w:val="TableFigureFooter"/>
        <w:keepNext/>
        <w:keepLines/>
      </w:pPr>
      <w:r w:rsidRPr="004D292C">
        <w:t>Source: Figure 1.2-2, p.31 of the submission.</w:t>
      </w:r>
    </w:p>
    <w:p w:rsidR="00771CC9" w:rsidRPr="004D292C" w:rsidRDefault="00771CC9" w:rsidP="00975E14">
      <w:pPr>
        <w:pStyle w:val="TableFigureFooter"/>
        <w:keepNext/>
        <w:keepLines/>
      </w:pPr>
      <w:r w:rsidRPr="004D292C">
        <w:t>Abbreviations: ACE-I, Angiotensin converting enzyme inhibitor; ARB, angiotensin II receptor blocker; HF, heart failure; HFrEF, heart failure with reduced ejection fraction; MRA, mineralocorticoid receptor antagonist; NYHA, New York Heart Association.</w:t>
      </w:r>
    </w:p>
    <w:p w:rsidR="00771CC9" w:rsidRPr="004D292C" w:rsidRDefault="00771CC9" w:rsidP="00975E14">
      <w:pPr>
        <w:pStyle w:val="TableFigureFooter"/>
        <w:keepNext/>
        <w:keepLines/>
      </w:pPr>
      <w:r w:rsidRPr="004D292C">
        <w:rPr>
          <w:vertAlign w:val="superscript"/>
        </w:rPr>
        <w:t>a</w:t>
      </w:r>
      <w:r w:rsidRPr="004D292C">
        <w:t xml:space="preserve"> HFrEF refers to patients with symptoms ± signs of HF associated with an LVEF less than 50%. </w:t>
      </w:r>
    </w:p>
    <w:p w:rsidR="00771CC9" w:rsidRPr="004D292C" w:rsidRDefault="00771CC9" w:rsidP="00975E14">
      <w:pPr>
        <w:pStyle w:val="TableFigureFooter"/>
        <w:keepNext/>
        <w:keepLines/>
      </w:pPr>
      <w:r w:rsidRPr="004D292C">
        <w:rPr>
          <w:vertAlign w:val="superscript"/>
        </w:rPr>
        <w:t>b</w:t>
      </w:r>
      <w:r w:rsidRPr="004D292C">
        <w:t xml:space="preserve"> PBS-listed ACE inhibitors include ramipril, enalapril, fosinopril, lisinopril, quinapril, captopril, trandolapril. </w:t>
      </w:r>
    </w:p>
    <w:p w:rsidR="00771CC9" w:rsidRPr="004D292C" w:rsidRDefault="00771CC9" w:rsidP="00975E14">
      <w:pPr>
        <w:pStyle w:val="TableFigureFooter"/>
        <w:keepNext/>
        <w:keepLines/>
      </w:pPr>
      <w:r w:rsidRPr="004D292C">
        <w:rPr>
          <w:vertAlign w:val="superscript"/>
        </w:rPr>
        <w:t>c</w:t>
      </w:r>
      <w:r w:rsidRPr="004D292C">
        <w:t xml:space="preserve"> PBS-listed ARBs include irbesartan, candesartan, telmisartan, valsartan, olmesartan, eprosartan, losartan and should only be used if an ACE inhibitor is contraindicated.</w:t>
      </w:r>
    </w:p>
    <w:p w:rsidR="00771CC9" w:rsidRPr="004D292C" w:rsidRDefault="00771CC9" w:rsidP="00975E14">
      <w:pPr>
        <w:pStyle w:val="TableFigureFooter"/>
        <w:keepNext/>
        <w:keepLines/>
      </w:pPr>
      <w:r w:rsidRPr="004D292C">
        <w:rPr>
          <w:vertAlign w:val="superscript"/>
        </w:rPr>
        <w:t>d</w:t>
      </w:r>
      <w:r w:rsidRPr="004D292C">
        <w:t xml:space="preserve"> PBS-listed HF beta-blockers include bisoprolol, carvedilol, metoprolol extended release, nebivolol. </w:t>
      </w:r>
    </w:p>
    <w:p w:rsidR="00771CC9" w:rsidRPr="004D292C" w:rsidRDefault="00771CC9" w:rsidP="002A5805">
      <w:pPr>
        <w:pStyle w:val="TableFigureFooter"/>
        <w:keepNext/>
        <w:keepLines/>
      </w:pPr>
      <w:r w:rsidRPr="004D292C">
        <w:rPr>
          <w:vertAlign w:val="superscript"/>
        </w:rPr>
        <w:t>e</w:t>
      </w:r>
      <w:r w:rsidRPr="004D292C">
        <w:t xml:space="preserve"> PBS-listed MRAs include spironolactone, eplerenone.</w:t>
      </w:r>
    </w:p>
    <w:p w:rsidR="00A64183" w:rsidRPr="004D292C" w:rsidRDefault="00771CC9" w:rsidP="00822E0D">
      <w:pPr>
        <w:pStyle w:val="ExecSumBodyText"/>
      </w:pPr>
      <w:r w:rsidRPr="004D292C">
        <w:t xml:space="preserve">The submission positioned dapagliflozin as an alternative </w:t>
      </w:r>
      <w:r w:rsidR="009C77A2" w:rsidRPr="004D292C">
        <w:t xml:space="preserve">or add-on </w:t>
      </w:r>
      <w:r w:rsidRPr="004D292C">
        <w:t xml:space="preserve">option to sacubitril/valsartan when intensification of treatment is required following stabilisation on therapy with an ACE inhibitor/ARB, a beta-blocker and a </w:t>
      </w:r>
      <w:r w:rsidR="00FC127E" w:rsidRPr="004D292C">
        <w:t>MRA</w:t>
      </w:r>
      <w:r w:rsidRPr="004D292C">
        <w:t>.</w:t>
      </w:r>
      <w:r w:rsidR="00DD237F" w:rsidRPr="004D292C">
        <w:t xml:space="preserve"> The ESC noted that approximately 11% of patients in the pivotal trial used both dapagliflozin and sacubitril/valsartan</w:t>
      </w:r>
      <w:r w:rsidR="00806FFD" w:rsidRPr="004D292C">
        <w:t xml:space="preserve"> and the pre-sub-committee response (PSCR) suggested concomitant use of dapagliflozin and sacubitril/valsartan in the Australian clinical setting is likely to remain low</w:t>
      </w:r>
      <w:r w:rsidR="00BD568F" w:rsidRPr="004D292C">
        <w:t>,</w:t>
      </w:r>
      <w:r w:rsidR="00806FFD" w:rsidRPr="004D292C">
        <w:t xml:space="preserve"> approximately less than 20%</w:t>
      </w:r>
      <w:r w:rsidR="00DD237F" w:rsidRPr="004D292C">
        <w:t>.</w:t>
      </w:r>
      <w:r w:rsidRPr="004D292C">
        <w:t xml:space="preserve"> </w:t>
      </w:r>
      <w:r w:rsidR="006B02FF" w:rsidRPr="004D292C">
        <w:t>T</w:t>
      </w:r>
      <w:r w:rsidR="00A64183" w:rsidRPr="004D292C">
        <w:t xml:space="preserve">he ESC also considered dapagliflozin </w:t>
      </w:r>
      <w:r w:rsidR="00A60A6C" w:rsidRPr="004D292C">
        <w:t>might</w:t>
      </w:r>
      <w:r w:rsidR="00A64183" w:rsidRPr="004D292C">
        <w:t xml:space="preserve"> displace sacubitril/valsartan</w:t>
      </w:r>
      <w:r w:rsidR="00A60A6C" w:rsidRPr="004D292C">
        <w:t>, which has had a low uptake since PBS listing,</w:t>
      </w:r>
      <w:r w:rsidR="00A64183" w:rsidRPr="004D292C">
        <w:t xml:space="preserve"> and potentially grow the market</w:t>
      </w:r>
      <w:r w:rsidR="00243870" w:rsidRPr="004D292C">
        <w:t xml:space="preserve"> for heart failure where sacubitril/valsartan is not being used</w:t>
      </w:r>
      <w:r w:rsidR="00A64183" w:rsidRPr="004D292C">
        <w:t>.</w:t>
      </w:r>
    </w:p>
    <w:p w:rsidR="00771CC9" w:rsidRPr="004D292C" w:rsidRDefault="00664EBB" w:rsidP="00806FFD">
      <w:pPr>
        <w:pStyle w:val="ExecSumBodyText"/>
      </w:pPr>
      <w:r w:rsidRPr="004D292C">
        <w:t xml:space="preserve">The National Heart Foundation guidelines </w:t>
      </w:r>
      <w:r w:rsidR="00421436" w:rsidRPr="004D292C">
        <w:t xml:space="preserve">(2018) </w:t>
      </w:r>
      <w:r w:rsidRPr="004D292C">
        <w:t xml:space="preserve">do not contain specific recommendations for the use of SGLT2 inhibitors in the treatment of established heart failure. SGLT2 inhibitors are recommended in patients with </w:t>
      </w:r>
      <w:r w:rsidR="006D04A4" w:rsidRPr="004D292C">
        <w:t xml:space="preserve">T2DM </w:t>
      </w:r>
      <w:r w:rsidRPr="004D292C">
        <w:t>associated with cardiovascular disease and insufficient glycaemic control despite metformin, to decrease the risk of cardiovascular events and decrease the risk of hospitalisation for heart failure.</w:t>
      </w:r>
    </w:p>
    <w:p w:rsidR="00762917" w:rsidRPr="004D292C" w:rsidRDefault="00A64183" w:rsidP="00D01068">
      <w:pPr>
        <w:pStyle w:val="ExecSumBodyText"/>
      </w:pPr>
      <w:r w:rsidRPr="004D292C">
        <w:lastRenderedPageBreak/>
        <w:t xml:space="preserve">The </w:t>
      </w:r>
      <w:r w:rsidR="00C27337" w:rsidRPr="004D292C">
        <w:t xml:space="preserve">PBAC </w:t>
      </w:r>
      <w:r w:rsidRPr="004D292C">
        <w:t>considered the positioning of dapagliflozin (and other SGLT2-inhibitors) was unclear and likely to evolve.</w:t>
      </w:r>
      <w:r w:rsidR="00C27337" w:rsidRPr="004D292C">
        <w:t xml:space="preserve"> Sacubitril/valsartan and dapagliflozin have different optimal patient profiles and dapagliflozin was more likely to be used in patients with diabetes, </w:t>
      </w:r>
      <w:r w:rsidR="00B64723">
        <w:t>normotension/</w:t>
      </w:r>
      <w:r w:rsidR="00975EE0">
        <w:t xml:space="preserve">relative </w:t>
      </w:r>
      <w:r w:rsidR="00C27337" w:rsidRPr="004D292C">
        <w:t>hypotension or fluid overload, whereas sacubitril/valsartan may be preferred for use in patients with hypertension.</w:t>
      </w:r>
    </w:p>
    <w:p w:rsidR="00BC2DD4" w:rsidRPr="004D292C" w:rsidRDefault="00BC2DD4" w:rsidP="00BC2DD4">
      <w:pPr>
        <w:pStyle w:val="ExecSumBodyText"/>
        <w:numPr>
          <w:ilvl w:val="0"/>
          <w:numId w:val="0"/>
        </w:numPr>
        <w:rPr>
          <w:i/>
        </w:rPr>
      </w:pPr>
      <w:r w:rsidRPr="004D292C">
        <w:rPr>
          <w:i/>
        </w:rPr>
        <w:t>For more detail on PBAC’s view, see section 7 PBAC outcome.</w:t>
      </w:r>
    </w:p>
    <w:p w:rsidR="00B50DB8" w:rsidRPr="004D292C" w:rsidRDefault="00B50DB8" w:rsidP="004E18E9">
      <w:pPr>
        <w:pStyle w:val="2-SectionHeading"/>
      </w:pPr>
      <w:bookmarkStart w:id="9" w:name="_Toc50975075"/>
      <w:r w:rsidRPr="004D292C">
        <w:t>Comparator</w:t>
      </w:r>
      <w:bookmarkEnd w:id="9"/>
    </w:p>
    <w:p w:rsidR="00771CC9" w:rsidRPr="004D292C" w:rsidRDefault="00771CC9" w:rsidP="00771CC9">
      <w:pPr>
        <w:pStyle w:val="ExecSumBodyText"/>
      </w:pPr>
      <w:r w:rsidRPr="004D292C">
        <w:t>The submission nominated sacubitril/valsartan plus standard care as the main comparator. The main arguments provided in support of this nomination were:</w:t>
      </w:r>
    </w:p>
    <w:p w:rsidR="00D868CC" w:rsidRPr="004D292C" w:rsidRDefault="00771CC9" w:rsidP="004D77AA">
      <w:pPr>
        <w:pStyle w:val="ExecSumBodyText"/>
        <w:numPr>
          <w:ilvl w:val="0"/>
          <w:numId w:val="4"/>
        </w:numPr>
        <w:spacing w:after="0"/>
        <w:ind w:left="1134" w:hanging="357"/>
      </w:pPr>
      <w:r w:rsidRPr="004D292C">
        <w:t xml:space="preserve">Sacubitril/valsartan is currently PBS-listed for the treatment of patients with heart failure with reduced ejection fraction </w:t>
      </w:r>
      <w:r w:rsidR="00A55366" w:rsidRPr="004D292C">
        <w:t xml:space="preserve">(HFrEF) </w:t>
      </w:r>
      <w:r w:rsidRPr="004D292C">
        <w:t xml:space="preserve">who need intensification of therapy despite use </w:t>
      </w:r>
      <w:r w:rsidR="00832E3E" w:rsidRPr="004D292C">
        <w:t xml:space="preserve">of </w:t>
      </w:r>
      <w:r w:rsidRPr="004D292C">
        <w:t>optimal standard heart failure treatment, including an ACE inhibitor or ARB, and the maximum tolerated dose of a beta-blocker (unless contraindicated or not tolerated).</w:t>
      </w:r>
    </w:p>
    <w:p w:rsidR="00D868CC" w:rsidRPr="004D292C" w:rsidRDefault="00771CC9" w:rsidP="004D77AA">
      <w:pPr>
        <w:pStyle w:val="ExecSumBodyText"/>
        <w:numPr>
          <w:ilvl w:val="0"/>
          <w:numId w:val="4"/>
        </w:numPr>
        <w:spacing w:after="0"/>
        <w:ind w:left="1134" w:hanging="357"/>
      </w:pPr>
      <w:r w:rsidRPr="004D292C">
        <w:t xml:space="preserve">Sacubitril/valsartan is the medication with the greatest extent of use at the point where dapagliflozin is introduced into the management algorithm. In the key clinical trial (DAPA-HF), the majority of use of dapagliflozin (approximately 65%) occurred following </w:t>
      </w:r>
      <w:r w:rsidR="00421436" w:rsidRPr="004D292C">
        <w:t>treatment wi</w:t>
      </w:r>
      <w:r w:rsidRPr="004D292C">
        <w:t xml:space="preserve">th an ACE </w:t>
      </w:r>
      <w:r w:rsidR="005C2581" w:rsidRPr="004D292C">
        <w:t xml:space="preserve">inhibitor </w:t>
      </w:r>
      <w:r w:rsidRPr="004D292C">
        <w:t>or ARB</w:t>
      </w:r>
      <w:r w:rsidR="00F751F2" w:rsidRPr="004D292C">
        <w:t xml:space="preserve"> or sacubitril/valsartan</w:t>
      </w:r>
      <w:r w:rsidRPr="004D292C">
        <w:t xml:space="preserve">, a beta blocker, and an MRA. This argument may not be reasonable given that treatment with an ACE inhibitor (or ARB or ARNI), a beta blocker, and an MRA (unless contraindicated or not tolerated) formed part of the inclusion criteria for the trial. </w:t>
      </w:r>
      <w:r w:rsidR="00422930" w:rsidRPr="004D292C">
        <w:t>Patients in the DAPA-HF trial also continue</w:t>
      </w:r>
      <w:r w:rsidR="006D68EB" w:rsidRPr="004D292C">
        <w:t>d</w:t>
      </w:r>
      <w:r w:rsidR="00422930" w:rsidRPr="004D292C">
        <w:t xml:space="preserve"> other </w:t>
      </w:r>
      <w:r w:rsidR="006D68EB" w:rsidRPr="004D292C">
        <w:t xml:space="preserve">background </w:t>
      </w:r>
      <w:r w:rsidR="00422930" w:rsidRPr="004D292C">
        <w:t xml:space="preserve">heart failure </w:t>
      </w:r>
      <w:r w:rsidR="006D68EB" w:rsidRPr="004D292C">
        <w:t>treatments</w:t>
      </w:r>
      <w:r w:rsidR="003D2110" w:rsidRPr="004D292C">
        <w:t>,</w:t>
      </w:r>
      <w:r w:rsidR="00422930" w:rsidRPr="004D292C">
        <w:t xml:space="preserve"> including diuretics</w:t>
      </w:r>
      <w:r w:rsidR="006D68EB" w:rsidRPr="004D292C">
        <w:t>, digoxin, ivabradine and vasodilators</w:t>
      </w:r>
      <w:r w:rsidR="00422930" w:rsidRPr="004D292C">
        <w:t>.</w:t>
      </w:r>
    </w:p>
    <w:p w:rsidR="00771CC9" w:rsidRPr="004D292C" w:rsidRDefault="00771CC9" w:rsidP="004D77AA">
      <w:pPr>
        <w:pStyle w:val="ExecSumBodyText"/>
        <w:numPr>
          <w:ilvl w:val="0"/>
          <w:numId w:val="4"/>
        </w:numPr>
        <w:ind w:left="1134"/>
      </w:pPr>
      <w:r w:rsidRPr="004D292C">
        <w:t xml:space="preserve">Feedback from clinicians suggests that when intensifying treatment following treatment with an ACE inhibitor/ARB, a beta blocker, and an MRA, the choice would </w:t>
      </w:r>
      <w:r w:rsidR="00B64723">
        <w:t xml:space="preserve">generally </w:t>
      </w:r>
      <w:r w:rsidRPr="004D292C">
        <w:t>be made between sacubitril/valsartan and dapagliflozin.</w:t>
      </w:r>
      <w:r w:rsidRPr="004D292C">
        <w:rPr>
          <w:i/>
        </w:rPr>
        <w:t xml:space="preserve"> </w:t>
      </w:r>
      <w:r w:rsidRPr="004D292C">
        <w:t>The proposed restriction does not require treatment with an MRA prior</w:t>
      </w:r>
      <w:r w:rsidR="00D868CC" w:rsidRPr="004D292C">
        <w:t xml:space="preserve"> to initiation of dapagliflozin</w:t>
      </w:r>
      <w:r w:rsidR="003A6E86" w:rsidRPr="004D292C">
        <w:t xml:space="preserve">, </w:t>
      </w:r>
      <w:r w:rsidR="00572F3D" w:rsidRPr="004D292C">
        <w:t>although this is</w:t>
      </w:r>
      <w:r w:rsidR="003A6E86" w:rsidRPr="004D292C">
        <w:t xml:space="preserve"> the same as the sacubitril/valsartan PBS </w:t>
      </w:r>
      <w:r w:rsidR="00BD568F" w:rsidRPr="004D292C">
        <w:t>listing</w:t>
      </w:r>
      <w:r w:rsidRPr="004D292C">
        <w:t>.</w:t>
      </w:r>
    </w:p>
    <w:p w:rsidR="00771CC9" w:rsidRPr="004D292C" w:rsidRDefault="006B02FF" w:rsidP="00D868CC">
      <w:pPr>
        <w:pStyle w:val="ExecSumBodyText"/>
        <w:rPr>
          <w:snapToGrid/>
        </w:rPr>
      </w:pPr>
      <w:r w:rsidRPr="004D292C">
        <w:t>The evaluation considered s</w:t>
      </w:r>
      <w:r w:rsidR="00D868CC" w:rsidRPr="004D292C">
        <w:t xml:space="preserve">acubitril/valsartan plus standard care may not be the appropriate </w:t>
      </w:r>
      <w:r w:rsidR="00D868CC" w:rsidRPr="004D292C">
        <w:rPr>
          <w:u w:val="single"/>
        </w:rPr>
        <w:t>main</w:t>
      </w:r>
      <w:r w:rsidR="00D868CC" w:rsidRPr="004D292C">
        <w:t xml:space="preserve"> comparator due to the following reasons:</w:t>
      </w:r>
    </w:p>
    <w:p w:rsidR="00886F74" w:rsidRPr="004D292C" w:rsidRDefault="00886F74" w:rsidP="004D77AA">
      <w:pPr>
        <w:pStyle w:val="ExecSumBodyText"/>
        <w:numPr>
          <w:ilvl w:val="0"/>
          <w:numId w:val="4"/>
        </w:numPr>
        <w:spacing w:after="0"/>
        <w:ind w:left="1134" w:hanging="357"/>
        <w:rPr>
          <w:snapToGrid/>
        </w:rPr>
      </w:pPr>
      <w:bookmarkStart w:id="10" w:name="_Hlk49949879"/>
      <w:r w:rsidRPr="004D292C">
        <w:rPr>
          <w:snapToGrid/>
        </w:rPr>
        <w:t>Based on the financial estimates presented in Section 4 of the submission, the majority of patients expected to use dapagliflozin are derived through broadening of the heart failure market rather than substitution for sacubitril/valsartan.</w:t>
      </w:r>
    </w:p>
    <w:p w:rsidR="00D868CC" w:rsidRPr="004D292C" w:rsidRDefault="00D868CC" w:rsidP="004D77AA">
      <w:pPr>
        <w:pStyle w:val="ExecSumBodyText"/>
        <w:numPr>
          <w:ilvl w:val="0"/>
          <w:numId w:val="4"/>
        </w:numPr>
        <w:ind w:left="1134" w:hanging="357"/>
        <w:rPr>
          <w:snapToGrid/>
        </w:rPr>
      </w:pPr>
      <w:r w:rsidRPr="004D292C">
        <w:rPr>
          <w:snapToGrid/>
        </w:rPr>
        <w:t>The proposed restriction allows treatment with dapagliflozin in combinat</w:t>
      </w:r>
      <w:r w:rsidR="00C44071" w:rsidRPr="004D292C">
        <w:rPr>
          <w:snapToGrid/>
        </w:rPr>
        <w:t xml:space="preserve">ion with sacubitril/valsartan. </w:t>
      </w:r>
      <w:r w:rsidR="00886F74" w:rsidRPr="004D292C">
        <w:rPr>
          <w:snapToGrid/>
        </w:rPr>
        <w:t>Given that dapagliflozin has a different mechanism of action compared to sacubitril</w:t>
      </w:r>
      <w:r w:rsidR="00B64723">
        <w:rPr>
          <w:snapToGrid/>
        </w:rPr>
        <w:t>/valsartan</w:t>
      </w:r>
      <w:r w:rsidR="00886F74" w:rsidRPr="004D292C">
        <w:rPr>
          <w:snapToGrid/>
        </w:rPr>
        <w:t>, p</w:t>
      </w:r>
      <w:r w:rsidRPr="004D292C">
        <w:rPr>
          <w:snapToGrid/>
        </w:rPr>
        <w:t xml:space="preserve">atients </w:t>
      </w:r>
      <w:r w:rsidR="00957D0C" w:rsidRPr="004D292C">
        <w:rPr>
          <w:snapToGrid/>
        </w:rPr>
        <w:t xml:space="preserve">already </w:t>
      </w:r>
      <w:r w:rsidR="00C44071" w:rsidRPr="004D292C">
        <w:rPr>
          <w:snapToGrid/>
        </w:rPr>
        <w:t>receiving sacubitril/valsartan who require intensification of therapy are likely to add dapagliflozin to their current therapy</w:t>
      </w:r>
      <w:r w:rsidR="00FD72E5" w:rsidRPr="004D292C">
        <w:rPr>
          <w:snapToGrid/>
        </w:rPr>
        <w:t xml:space="preserve"> rather than substituting for sacubitril/valsartan</w:t>
      </w:r>
      <w:r w:rsidR="00BD568F" w:rsidRPr="004D292C">
        <w:rPr>
          <w:snapToGrid/>
        </w:rPr>
        <w:t xml:space="preserve"> (and then having to reinstitute therapy with an ACE inhibitor or ARB)</w:t>
      </w:r>
      <w:r w:rsidR="00FD72E5" w:rsidRPr="004D292C">
        <w:rPr>
          <w:snapToGrid/>
        </w:rPr>
        <w:t>.</w:t>
      </w:r>
      <w:r w:rsidRPr="004D292C">
        <w:rPr>
          <w:snapToGrid/>
        </w:rPr>
        <w:t xml:space="preserve"> </w:t>
      </w:r>
      <w:r w:rsidR="00FD72E5" w:rsidRPr="004D292C">
        <w:rPr>
          <w:snapToGrid/>
        </w:rPr>
        <w:t xml:space="preserve">Patients who receive </w:t>
      </w:r>
      <w:r w:rsidR="00FD72E5" w:rsidRPr="004D292C">
        <w:rPr>
          <w:snapToGrid/>
        </w:rPr>
        <w:lastRenderedPageBreak/>
        <w:t xml:space="preserve">treatment with dapagliflozin in preference to sacubitril/valsartan may </w:t>
      </w:r>
      <w:r w:rsidR="00BD568F" w:rsidRPr="004D292C">
        <w:rPr>
          <w:snapToGrid/>
        </w:rPr>
        <w:t xml:space="preserve">well </w:t>
      </w:r>
      <w:r w:rsidR="00FD72E5" w:rsidRPr="004D292C">
        <w:rPr>
          <w:snapToGrid/>
        </w:rPr>
        <w:t xml:space="preserve">add sacubitril/valsartan </w:t>
      </w:r>
      <w:r w:rsidR="00BD568F" w:rsidRPr="004D292C">
        <w:rPr>
          <w:snapToGrid/>
        </w:rPr>
        <w:t xml:space="preserve">on top of dapagliflozin </w:t>
      </w:r>
      <w:r w:rsidR="00FD72E5" w:rsidRPr="004D292C">
        <w:rPr>
          <w:snapToGrid/>
        </w:rPr>
        <w:t>at a later time.</w:t>
      </w:r>
    </w:p>
    <w:p w:rsidR="000E76FE" w:rsidRPr="004D292C" w:rsidRDefault="000E76FE" w:rsidP="006E2EC1">
      <w:pPr>
        <w:pStyle w:val="ExecSumBodyText"/>
        <w:rPr>
          <w:snapToGrid/>
        </w:rPr>
      </w:pPr>
      <w:r w:rsidRPr="004D292C">
        <w:rPr>
          <w:snapToGrid/>
        </w:rPr>
        <w:t xml:space="preserve">The ESC </w:t>
      </w:r>
      <w:r w:rsidR="006E2EC1" w:rsidRPr="004D292C">
        <w:rPr>
          <w:snapToGrid/>
        </w:rPr>
        <w:t>considered</w:t>
      </w:r>
      <w:r w:rsidRPr="004D292C">
        <w:rPr>
          <w:snapToGrid/>
        </w:rPr>
        <w:t xml:space="preserve"> that</w:t>
      </w:r>
      <w:r w:rsidR="006E2EC1" w:rsidRPr="004D292C">
        <w:rPr>
          <w:snapToGrid/>
        </w:rPr>
        <w:t xml:space="preserve"> the</w:t>
      </w:r>
      <w:r w:rsidRPr="004D292C">
        <w:rPr>
          <w:snapToGrid/>
        </w:rPr>
        <w:t xml:space="preserve"> </w:t>
      </w:r>
      <w:r w:rsidR="006E2EC1" w:rsidRPr="004D292C">
        <w:rPr>
          <w:snapToGrid/>
        </w:rPr>
        <w:t>addition</w:t>
      </w:r>
      <w:r w:rsidRPr="004D292C">
        <w:rPr>
          <w:snapToGrid/>
        </w:rPr>
        <w:t xml:space="preserve"> of dapagliflozin</w:t>
      </w:r>
      <w:r w:rsidR="006E2EC1" w:rsidRPr="004D292C">
        <w:rPr>
          <w:snapToGrid/>
        </w:rPr>
        <w:t xml:space="preserve"> may</w:t>
      </w:r>
      <w:r w:rsidRPr="004D292C">
        <w:rPr>
          <w:snapToGrid/>
        </w:rPr>
        <w:t xml:space="preserve"> </w:t>
      </w:r>
      <w:r w:rsidR="006E2EC1" w:rsidRPr="004D292C">
        <w:rPr>
          <w:snapToGrid/>
        </w:rPr>
        <w:t>r</w:t>
      </w:r>
      <w:r w:rsidR="005C4D7E" w:rsidRPr="004D292C">
        <w:rPr>
          <w:snapToGrid/>
        </w:rPr>
        <w:t xml:space="preserve">esult in important </w:t>
      </w:r>
      <w:r w:rsidR="006E2EC1" w:rsidRPr="004D292C">
        <w:rPr>
          <w:snapToGrid/>
        </w:rPr>
        <w:t>changes to</w:t>
      </w:r>
      <w:r w:rsidRPr="004D292C">
        <w:rPr>
          <w:snapToGrid/>
        </w:rPr>
        <w:t xml:space="preserve"> s</w:t>
      </w:r>
      <w:r w:rsidR="006E2EC1" w:rsidRPr="004D292C">
        <w:rPr>
          <w:snapToGrid/>
        </w:rPr>
        <w:t>tandard care</w:t>
      </w:r>
      <w:r w:rsidR="00BD0062" w:rsidRPr="004D292C">
        <w:rPr>
          <w:snapToGrid/>
        </w:rPr>
        <w:t xml:space="preserve"> and the positioning of other drugs such as diuretics in the clinical management algorithm</w:t>
      </w:r>
      <w:r w:rsidR="006E2EC1" w:rsidRPr="004D292C">
        <w:rPr>
          <w:snapToGrid/>
        </w:rPr>
        <w:t>. Given dapagliflozin’s</w:t>
      </w:r>
      <w:r w:rsidR="00BD0062" w:rsidRPr="004D292C">
        <w:rPr>
          <w:snapToGrid/>
        </w:rPr>
        <w:t xml:space="preserve"> substantial</w:t>
      </w:r>
      <w:r w:rsidR="006E2EC1" w:rsidRPr="004D292C">
        <w:rPr>
          <w:snapToGrid/>
        </w:rPr>
        <w:t xml:space="preserve"> diuretic effect, it may be necessary to cease treatment with an</w:t>
      </w:r>
      <w:r w:rsidR="00414667" w:rsidRPr="004D292C">
        <w:rPr>
          <w:snapToGrid/>
        </w:rPr>
        <w:t xml:space="preserve"> MRA</w:t>
      </w:r>
      <w:r w:rsidR="006E2EC1" w:rsidRPr="004D292C">
        <w:rPr>
          <w:snapToGrid/>
        </w:rPr>
        <w:t xml:space="preserve">, </w:t>
      </w:r>
      <w:r w:rsidR="00414667" w:rsidRPr="004D292C">
        <w:rPr>
          <w:snapToGrid/>
        </w:rPr>
        <w:t xml:space="preserve">a class of drugs </w:t>
      </w:r>
      <w:r w:rsidR="00A60A6C" w:rsidRPr="004D292C">
        <w:rPr>
          <w:snapToGrid/>
        </w:rPr>
        <w:t>that</w:t>
      </w:r>
      <w:r w:rsidR="00414667" w:rsidRPr="004D292C">
        <w:rPr>
          <w:snapToGrid/>
        </w:rPr>
        <w:t xml:space="preserve"> not only provides symptomatic relief to patients but also </w:t>
      </w:r>
      <w:r w:rsidR="005C4D7E" w:rsidRPr="004D292C">
        <w:rPr>
          <w:snapToGrid/>
        </w:rPr>
        <w:t>offers</w:t>
      </w:r>
      <w:r w:rsidR="006E2EC1" w:rsidRPr="004D292C">
        <w:rPr>
          <w:snapToGrid/>
        </w:rPr>
        <w:t xml:space="preserve"> prognostic value</w:t>
      </w:r>
      <w:r w:rsidR="00414667" w:rsidRPr="004D292C">
        <w:rPr>
          <w:snapToGrid/>
        </w:rPr>
        <w:t xml:space="preserve"> in the treatment of heart failure.</w:t>
      </w:r>
    </w:p>
    <w:bookmarkEnd w:id="10"/>
    <w:p w:rsidR="00D868CC" w:rsidRPr="004D292C" w:rsidRDefault="00D868CC" w:rsidP="00D868CC">
      <w:pPr>
        <w:pStyle w:val="ExecSumBodyText"/>
        <w:rPr>
          <w:snapToGrid/>
        </w:rPr>
      </w:pPr>
      <w:r w:rsidRPr="004D292C">
        <w:rPr>
          <w:snapToGrid/>
        </w:rPr>
        <w:t xml:space="preserve">The submission also nominated standard care as a </w:t>
      </w:r>
      <w:r w:rsidR="00436606" w:rsidRPr="004D292C">
        <w:rPr>
          <w:snapToGrid/>
        </w:rPr>
        <w:t xml:space="preserve">minor </w:t>
      </w:r>
      <w:r w:rsidRPr="004D292C">
        <w:rPr>
          <w:snapToGrid/>
        </w:rPr>
        <w:t>comparator based on the following considerations:</w:t>
      </w:r>
    </w:p>
    <w:p w:rsidR="00D868CC" w:rsidRPr="004D292C" w:rsidRDefault="00D868CC" w:rsidP="004D77AA">
      <w:pPr>
        <w:pStyle w:val="ExecSumBodyText"/>
        <w:numPr>
          <w:ilvl w:val="0"/>
          <w:numId w:val="4"/>
        </w:numPr>
        <w:spacing w:after="0"/>
        <w:ind w:left="1134" w:hanging="357"/>
        <w:rPr>
          <w:snapToGrid/>
        </w:rPr>
      </w:pPr>
      <w:r w:rsidRPr="004D292C">
        <w:rPr>
          <w:snapToGrid/>
        </w:rPr>
        <w:t xml:space="preserve">Dapagliflozin is expected to broaden the heart failure patient population who receive the clinical benefits </w:t>
      </w:r>
      <w:r w:rsidR="00832E3E" w:rsidRPr="004D292C">
        <w:rPr>
          <w:snapToGrid/>
        </w:rPr>
        <w:t xml:space="preserve">of intensified treatment </w:t>
      </w:r>
      <w:r w:rsidR="00421436" w:rsidRPr="004D292C">
        <w:rPr>
          <w:snapToGrid/>
        </w:rPr>
        <w:t xml:space="preserve">following use of </w:t>
      </w:r>
      <w:r w:rsidR="00832E3E" w:rsidRPr="004D292C">
        <w:rPr>
          <w:snapToGrid/>
        </w:rPr>
        <w:t xml:space="preserve">an ACE </w:t>
      </w:r>
      <w:r w:rsidR="00421436" w:rsidRPr="004D292C">
        <w:rPr>
          <w:snapToGrid/>
        </w:rPr>
        <w:t xml:space="preserve">inhibitor </w:t>
      </w:r>
      <w:r w:rsidR="00832E3E" w:rsidRPr="004D292C">
        <w:rPr>
          <w:snapToGrid/>
        </w:rPr>
        <w:t>or ARB, beta blocker, and an MRA</w:t>
      </w:r>
      <w:r w:rsidRPr="004D292C">
        <w:rPr>
          <w:snapToGrid/>
        </w:rPr>
        <w:t xml:space="preserve">. </w:t>
      </w:r>
    </w:p>
    <w:p w:rsidR="00D868CC" w:rsidRPr="004D292C" w:rsidRDefault="00D868CC" w:rsidP="004D77AA">
      <w:pPr>
        <w:pStyle w:val="ExecSumBodyText"/>
        <w:numPr>
          <w:ilvl w:val="0"/>
          <w:numId w:val="4"/>
        </w:numPr>
        <w:ind w:left="1134"/>
        <w:rPr>
          <w:snapToGrid/>
        </w:rPr>
      </w:pPr>
      <w:r w:rsidRPr="004D292C">
        <w:rPr>
          <w:snapToGrid/>
        </w:rPr>
        <w:t>The submission claimed that clinicians have confirmed that</w:t>
      </w:r>
      <w:r w:rsidR="00B64723">
        <w:rPr>
          <w:snapToGrid/>
        </w:rPr>
        <w:t>,</w:t>
      </w:r>
      <w:r w:rsidRPr="004D292C">
        <w:rPr>
          <w:snapToGrid/>
        </w:rPr>
        <w:t xml:space="preserve"> although the clinical need for treatment intensification after </w:t>
      </w:r>
      <w:r w:rsidR="00421436" w:rsidRPr="004D292C">
        <w:rPr>
          <w:snapToGrid/>
        </w:rPr>
        <w:t>use of</w:t>
      </w:r>
      <w:r w:rsidR="003D2110" w:rsidRPr="004D292C">
        <w:rPr>
          <w:snapToGrid/>
        </w:rPr>
        <w:t xml:space="preserve"> an ACE </w:t>
      </w:r>
      <w:r w:rsidR="00421436" w:rsidRPr="004D292C">
        <w:rPr>
          <w:snapToGrid/>
        </w:rPr>
        <w:t xml:space="preserve">inhibitor </w:t>
      </w:r>
      <w:r w:rsidR="003D2110" w:rsidRPr="004D292C">
        <w:rPr>
          <w:snapToGrid/>
        </w:rPr>
        <w:t>or ARB, beta blocker, and an MRA</w:t>
      </w:r>
      <w:r w:rsidR="003D2110" w:rsidRPr="004D292C" w:rsidDel="003D2110">
        <w:rPr>
          <w:snapToGrid/>
        </w:rPr>
        <w:t xml:space="preserve"> </w:t>
      </w:r>
      <w:r w:rsidRPr="004D292C">
        <w:rPr>
          <w:snapToGrid/>
        </w:rPr>
        <w:t>remains, sacubitril/valsartan is a difficult to manage medication due to the initiation, up-titration and monitoring requirements, as well as the impacts it poses on adjustment of background standard care heart failure therapies.</w:t>
      </w:r>
    </w:p>
    <w:p w:rsidR="005C4D7E" w:rsidRPr="004D292C" w:rsidRDefault="00890AC1" w:rsidP="005C4D7E">
      <w:pPr>
        <w:pStyle w:val="ExecSumBodyText"/>
        <w:rPr>
          <w:snapToGrid/>
        </w:rPr>
      </w:pPr>
      <w:r w:rsidRPr="004D292C">
        <w:rPr>
          <w:snapToGrid/>
        </w:rPr>
        <w:t>T</w:t>
      </w:r>
      <w:r w:rsidR="00E55242" w:rsidRPr="004D292C">
        <w:rPr>
          <w:snapToGrid/>
        </w:rPr>
        <w:t xml:space="preserve">he </w:t>
      </w:r>
      <w:r w:rsidR="0088114B" w:rsidRPr="004D292C">
        <w:rPr>
          <w:snapToGrid/>
        </w:rPr>
        <w:t xml:space="preserve">PBAC agreed with the </w:t>
      </w:r>
      <w:r w:rsidR="00E55242" w:rsidRPr="004D292C">
        <w:rPr>
          <w:snapToGrid/>
        </w:rPr>
        <w:t xml:space="preserve">ESC </w:t>
      </w:r>
      <w:r w:rsidRPr="004D292C">
        <w:rPr>
          <w:snapToGrid/>
        </w:rPr>
        <w:t xml:space="preserve">that standard care </w:t>
      </w:r>
      <w:r w:rsidR="00E55242" w:rsidRPr="004D292C">
        <w:rPr>
          <w:snapToGrid/>
        </w:rPr>
        <w:t>should be</w:t>
      </w:r>
      <w:r w:rsidR="00FD50A6" w:rsidRPr="004D292C">
        <w:rPr>
          <w:snapToGrid/>
        </w:rPr>
        <w:t xml:space="preserve"> the main comparator</w:t>
      </w:r>
      <w:r w:rsidR="004C442F" w:rsidRPr="004D292C">
        <w:rPr>
          <w:snapToGrid/>
        </w:rPr>
        <w:t xml:space="preserve">. Based on the proposed treatment algorithm, standard care would include </w:t>
      </w:r>
      <w:r w:rsidR="00F13464" w:rsidRPr="004D292C">
        <w:rPr>
          <w:snapToGrid/>
        </w:rPr>
        <w:t xml:space="preserve">initial treatment with an ACE </w:t>
      </w:r>
      <w:r w:rsidR="004C442F" w:rsidRPr="004D292C">
        <w:rPr>
          <w:snapToGrid/>
        </w:rPr>
        <w:t xml:space="preserve">inhibitor </w:t>
      </w:r>
      <w:r w:rsidR="00F13464" w:rsidRPr="004D292C">
        <w:rPr>
          <w:snapToGrid/>
        </w:rPr>
        <w:t xml:space="preserve">(or ARB), a beta blocker and an MRA (if tolerated and not contraindicated), </w:t>
      </w:r>
      <w:r w:rsidR="00D247FC" w:rsidRPr="004D292C">
        <w:rPr>
          <w:snapToGrid/>
        </w:rPr>
        <w:t>along with</w:t>
      </w:r>
      <w:r w:rsidR="00F13464" w:rsidRPr="004D292C">
        <w:rPr>
          <w:snapToGrid/>
        </w:rPr>
        <w:t xml:space="preserve"> additional heart failure therapies </w:t>
      </w:r>
      <w:r w:rsidR="00322A58" w:rsidRPr="004D292C">
        <w:rPr>
          <w:snapToGrid/>
        </w:rPr>
        <w:t>such as sacubitril/valsartan, ivabradine, nitrates plus hydralazine, digoxin, and device therapy (implantable cardioverter defibrillator or cardiac resynchroni</w:t>
      </w:r>
      <w:r w:rsidR="000B6CFF" w:rsidRPr="004D292C">
        <w:rPr>
          <w:snapToGrid/>
        </w:rPr>
        <w:t>sa</w:t>
      </w:r>
      <w:r w:rsidR="00322A58" w:rsidRPr="004D292C">
        <w:rPr>
          <w:snapToGrid/>
        </w:rPr>
        <w:t>tion therapy) as</w:t>
      </w:r>
      <w:r w:rsidR="004C442F" w:rsidRPr="004D292C">
        <w:rPr>
          <w:snapToGrid/>
        </w:rPr>
        <w:t xml:space="preserve"> required</w:t>
      </w:r>
      <w:r w:rsidR="00F13464" w:rsidRPr="004D292C">
        <w:rPr>
          <w:snapToGrid/>
        </w:rPr>
        <w:t xml:space="preserve">. </w:t>
      </w:r>
      <w:r w:rsidR="00322A58" w:rsidRPr="004D292C">
        <w:rPr>
          <w:snapToGrid/>
        </w:rPr>
        <w:t>Standard care also includes the use of d</w:t>
      </w:r>
      <w:r w:rsidR="00F13464" w:rsidRPr="004D292C">
        <w:rPr>
          <w:snapToGrid/>
        </w:rPr>
        <w:t>iuretics at any stage to manage congestion.</w:t>
      </w:r>
      <w:r w:rsidR="005C4D7E" w:rsidRPr="004D292C">
        <w:rPr>
          <w:snapToGrid/>
        </w:rPr>
        <w:t xml:space="preserve"> The ESC noted standard care is variable.</w:t>
      </w:r>
    </w:p>
    <w:p w:rsidR="00444E76" w:rsidRPr="004D292C" w:rsidRDefault="003A6E86" w:rsidP="005C2581">
      <w:pPr>
        <w:pStyle w:val="ExecSumBodyText"/>
        <w:rPr>
          <w:snapToGrid/>
        </w:rPr>
      </w:pPr>
      <w:r w:rsidRPr="004D292C">
        <w:rPr>
          <w:snapToGrid/>
        </w:rPr>
        <w:t xml:space="preserve">The ESC noted </w:t>
      </w:r>
      <w:r w:rsidR="00BD568F" w:rsidRPr="004D292C">
        <w:rPr>
          <w:snapToGrid/>
        </w:rPr>
        <w:t xml:space="preserve">a </w:t>
      </w:r>
      <w:r w:rsidR="00BC2572" w:rsidRPr="004D292C">
        <w:rPr>
          <w:snapToGrid/>
        </w:rPr>
        <w:t xml:space="preserve">majority of patients (approximately 89%) in the DAPA-HF trial were not using an ARNI as part of standard care and considered this would likely reflect Australian clinical practice. Therefore, </w:t>
      </w:r>
      <w:r w:rsidR="00BD568F" w:rsidRPr="004D292C">
        <w:rPr>
          <w:snapToGrid/>
        </w:rPr>
        <w:t xml:space="preserve">the </w:t>
      </w:r>
      <w:r w:rsidR="00BC2572" w:rsidRPr="004D292C">
        <w:rPr>
          <w:snapToGrid/>
        </w:rPr>
        <w:t xml:space="preserve">majority of dapagliflozin use will not be replacing sacubitril/valsartan and the most relevant comparator for PBAC consideration </w:t>
      </w:r>
      <w:r w:rsidR="00131DD1" w:rsidRPr="004D292C">
        <w:rPr>
          <w:snapToGrid/>
        </w:rPr>
        <w:t xml:space="preserve">would </w:t>
      </w:r>
      <w:r w:rsidR="00BC2572" w:rsidRPr="004D292C">
        <w:rPr>
          <w:snapToGrid/>
        </w:rPr>
        <w:t>be standard care, consisting of a beta blocker, plus an ACE inhibitor or ARB. The PBAC</w:t>
      </w:r>
      <w:r w:rsidR="00B64723">
        <w:rPr>
          <w:snapToGrid/>
        </w:rPr>
        <w:t xml:space="preserve"> considered that it</w:t>
      </w:r>
      <w:r w:rsidR="00BC2572" w:rsidRPr="004D292C">
        <w:rPr>
          <w:snapToGrid/>
        </w:rPr>
        <w:t>s previous re</w:t>
      </w:r>
      <w:r w:rsidR="00444E76" w:rsidRPr="004D292C">
        <w:rPr>
          <w:snapToGrid/>
        </w:rPr>
        <w:t>commendation for sacubitril/vals</w:t>
      </w:r>
      <w:r w:rsidR="00BC2572" w:rsidRPr="004D292C">
        <w:rPr>
          <w:snapToGrid/>
        </w:rPr>
        <w:t xml:space="preserve">artan </w:t>
      </w:r>
      <w:r w:rsidR="00131DD1" w:rsidRPr="004D292C">
        <w:rPr>
          <w:snapToGrid/>
        </w:rPr>
        <w:t>was</w:t>
      </w:r>
      <w:r w:rsidR="00BC2572" w:rsidRPr="004D292C">
        <w:rPr>
          <w:snapToGrid/>
        </w:rPr>
        <w:t xml:space="preserve"> not an appropriate proxy for standard </w:t>
      </w:r>
      <w:r w:rsidR="008E76FC" w:rsidRPr="004D292C">
        <w:rPr>
          <w:snapToGrid/>
        </w:rPr>
        <w:t xml:space="preserve">care </w:t>
      </w:r>
      <w:r w:rsidR="00BC2572" w:rsidRPr="004D292C">
        <w:rPr>
          <w:snapToGrid/>
        </w:rPr>
        <w:t xml:space="preserve">for </w:t>
      </w:r>
      <w:r w:rsidR="008E76FC" w:rsidRPr="004D292C">
        <w:rPr>
          <w:snapToGrid/>
        </w:rPr>
        <w:t xml:space="preserve">this </w:t>
      </w:r>
      <w:r w:rsidR="00BC2572" w:rsidRPr="004D292C">
        <w:rPr>
          <w:snapToGrid/>
        </w:rPr>
        <w:t>dapagliflozin</w:t>
      </w:r>
      <w:r w:rsidR="008E76FC" w:rsidRPr="004D292C">
        <w:rPr>
          <w:snapToGrid/>
        </w:rPr>
        <w:t xml:space="preserve"> submission</w:t>
      </w:r>
      <w:r w:rsidR="00BC2572" w:rsidRPr="004D292C">
        <w:rPr>
          <w:snapToGrid/>
        </w:rPr>
        <w:t>.</w:t>
      </w:r>
    </w:p>
    <w:p w:rsidR="00772219" w:rsidRPr="004D292C" w:rsidRDefault="0088114B" w:rsidP="004E00FD">
      <w:pPr>
        <w:pStyle w:val="ExecSumBodyText"/>
        <w:rPr>
          <w:snapToGrid/>
        </w:rPr>
      </w:pPr>
      <w:r w:rsidRPr="004D292C">
        <w:rPr>
          <w:snapToGrid/>
        </w:rPr>
        <w:t>The PBAC agreed with the ESC that a</w:t>
      </w:r>
      <w:r w:rsidR="008E76FC" w:rsidRPr="004D292C">
        <w:rPr>
          <w:snapToGrid/>
        </w:rPr>
        <w:t xml:space="preserve">n additional minor comparator </w:t>
      </w:r>
      <w:r w:rsidR="00BD568F" w:rsidRPr="004D292C">
        <w:rPr>
          <w:snapToGrid/>
        </w:rPr>
        <w:t xml:space="preserve">would </w:t>
      </w:r>
      <w:r w:rsidR="008E76FC" w:rsidRPr="004D292C">
        <w:rPr>
          <w:snapToGrid/>
        </w:rPr>
        <w:t>be beta blocker plus ARNI</w:t>
      </w:r>
      <w:r w:rsidR="008C49B4" w:rsidRPr="004D292C">
        <w:rPr>
          <w:snapToGrid/>
        </w:rPr>
        <w:t>.</w:t>
      </w:r>
    </w:p>
    <w:p w:rsidR="00BE0F8F" w:rsidRPr="004D292C" w:rsidRDefault="00D868CC" w:rsidP="00886F74">
      <w:pPr>
        <w:pStyle w:val="ExecSumBodyText"/>
        <w:rPr>
          <w:snapToGrid/>
        </w:rPr>
      </w:pPr>
      <w:r w:rsidRPr="004D292C">
        <w:rPr>
          <w:snapToGrid/>
        </w:rPr>
        <w:t xml:space="preserve">The submission noted that other SGLT2 inhibitors may be potential near-market comparators, but argued that results for trials of alternative SGLT2 inhibitors in heart failure </w:t>
      </w:r>
      <w:r w:rsidR="00D42865" w:rsidRPr="004D292C">
        <w:rPr>
          <w:snapToGrid/>
        </w:rPr>
        <w:t>we</w:t>
      </w:r>
      <w:r w:rsidR="00832E3E" w:rsidRPr="004D292C">
        <w:rPr>
          <w:snapToGrid/>
        </w:rPr>
        <w:t>re</w:t>
      </w:r>
      <w:r w:rsidRPr="004D292C">
        <w:rPr>
          <w:snapToGrid/>
        </w:rPr>
        <w:t xml:space="preserve"> not </w:t>
      </w:r>
      <w:r w:rsidR="00832E3E" w:rsidRPr="004D292C">
        <w:rPr>
          <w:snapToGrid/>
        </w:rPr>
        <w:t xml:space="preserve">currently </w:t>
      </w:r>
      <w:r w:rsidRPr="004D292C">
        <w:rPr>
          <w:snapToGrid/>
        </w:rPr>
        <w:t>available</w:t>
      </w:r>
      <w:r w:rsidR="00832E3E" w:rsidRPr="004D292C">
        <w:rPr>
          <w:snapToGrid/>
        </w:rPr>
        <w:t>.</w:t>
      </w:r>
      <w:r w:rsidR="00BC591F" w:rsidRPr="004D292C">
        <w:rPr>
          <w:snapToGrid/>
        </w:rPr>
        <w:t xml:space="preserve"> </w:t>
      </w:r>
      <w:r w:rsidR="005960D3" w:rsidRPr="004D292C">
        <w:rPr>
          <w:snapToGrid/>
        </w:rPr>
        <w:t>The</w:t>
      </w:r>
      <w:r w:rsidR="00BE0F8F" w:rsidRPr="004D292C">
        <w:rPr>
          <w:snapToGrid/>
        </w:rPr>
        <w:t xml:space="preserve"> results </w:t>
      </w:r>
      <w:r w:rsidR="005960D3" w:rsidRPr="004D292C">
        <w:rPr>
          <w:snapToGrid/>
        </w:rPr>
        <w:t>of</w:t>
      </w:r>
      <w:r w:rsidR="00BE0F8F" w:rsidRPr="004D292C">
        <w:rPr>
          <w:snapToGrid/>
        </w:rPr>
        <w:t xml:space="preserve"> a Phase 3 randomised, double-blind </w:t>
      </w:r>
      <w:r w:rsidR="00BE0F8F" w:rsidRPr="004D292C">
        <w:rPr>
          <w:snapToGrid/>
        </w:rPr>
        <w:lastRenderedPageBreak/>
        <w:t xml:space="preserve">trial to evaluate efficacy and safety of empagliflozin compared to placebo, in patients with chronic heart failure with reduced ejection fraction (EMPEROR-Reduced) were </w:t>
      </w:r>
      <w:r w:rsidR="005960D3" w:rsidRPr="004D292C">
        <w:rPr>
          <w:snapToGrid/>
        </w:rPr>
        <w:t>published</w:t>
      </w:r>
      <w:r w:rsidR="00BE0F8F" w:rsidRPr="004D292C">
        <w:rPr>
          <w:snapToGrid/>
        </w:rPr>
        <w:t xml:space="preserve"> in </w:t>
      </w:r>
      <w:r w:rsidR="005960D3" w:rsidRPr="004D292C">
        <w:rPr>
          <w:snapToGrid/>
        </w:rPr>
        <w:t xml:space="preserve">August </w:t>
      </w:r>
      <w:r w:rsidR="00BE0F8F" w:rsidRPr="004D292C">
        <w:rPr>
          <w:snapToGrid/>
        </w:rPr>
        <w:t>2020</w:t>
      </w:r>
      <w:r w:rsidR="005960D3" w:rsidRPr="004D292C">
        <w:rPr>
          <w:snapToGrid/>
        </w:rPr>
        <w:t xml:space="preserve"> (Packer et al. 2020)</w:t>
      </w:r>
      <w:r w:rsidR="00BE0F8F" w:rsidRPr="004D292C">
        <w:rPr>
          <w:snapToGrid/>
        </w:rPr>
        <w:t>.</w:t>
      </w:r>
      <w:r w:rsidR="005960D3" w:rsidRPr="004D292C">
        <w:rPr>
          <w:snapToGrid/>
        </w:rPr>
        <w:t xml:space="preserve"> </w:t>
      </w:r>
      <w:r w:rsidR="00BE0F8F" w:rsidRPr="004D292C">
        <w:rPr>
          <w:snapToGrid/>
        </w:rPr>
        <w:t>The trial met its primary endpoint, demonstrating superiority compared to placebo in reducing the risk for the composite of cardiovascular death or hospitalisation due to heart failure, when added to standard of care.</w:t>
      </w:r>
      <w:r w:rsidR="00957D0C" w:rsidRPr="004D292C">
        <w:rPr>
          <w:snapToGrid/>
        </w:rPr>
        <w:t xml:space="preserve"> The</w:t>
      </w:r>
      <w:r w:rsidR="00BD0062" w:rsidRPr="004D292C">
        <w:rPr>
          <w:snapToGrid/>
        </w:rPr>
        <w:t xml:space="preserve"> ESC noted the</w:t>
      </w:r>
      <w:r w:rsidR="00957D0C" w:rsidRPr="004D292C">
        <w:rPr>
          <w:snapToGrid/>
        </w:rPr>
        <w:t xml:space="preserve"> </w:t>
      </w:r>
      <w:r w:rsidR="00BD568F" w:rsidRPr="004D292C">
        <w:rPr>
          <w:snapToGrid/>
        </w:rPr>
        <w:t xml:space="preserve">published </w:t>
      </w:r>
      <w:r w:rsidR="00207E52" w:rsidRPr="004D292C">
        <w:rPr>
          <w:snapToGrid/>
        </w:rPr>
        <w:t xml:space="preserve">hazard ratio for this outcome was </w:t>
      </w:r>
      <w:r w:rsidR="00444E76" w:rsidRPr="004D292C">
        <w:rPr>
          <w:snapToGrid/>
        </w:rPr>
        <w:t>similar</w:t>
      </w:r>
      <w:r w:rsidR="00957D0C" w:rsidRPr="004D292C">
        <w:rPr>
          <w:snapToGrid/>
        </w:rPr>
        <w:t xml:space="preserve"> </w:t>
      </w:r>
      <w:r w:rsidR="00207E52" w:rsidRPr="004D292C">
        <w:rPr>
          <w:snapToGrid/>
        </w:rPr>
        <w:t xml:space="preserve">to </w:t>
      </w:r>
      <w:r w:rsidR="00957D0C" w:rsidRPr="004D292C">
        <w:rPr>
          <w:snapToGrid/>
        </w:rPr>
        <w:t>that seen with dapagliflozin in DAPA-HF, but no formal analysis has been undertaken.</w:t>
      </w:r>
    </w:p>
    <w:p w:rsidR="00BC2DD4" w:rsidRPr="004D292C" w:rsidRDefault="00BC2DD4" w:rsidP="00BC2DD4">
      <w:pPr>
        <w:rPr>
          <w:i/>
        </w:rPr>
      </w:pPr>
      <w:r w:rsidRPr="004D292C">
        <w:rPr>
          <w:i/>
        </w:rPr>
        <w:t>For more detail on PBAC’s view, see section 7 PBAC outcome.</w:t>
      </w:r>
    </w:p>
    <w:p w:rsidR="00223D5A" w:rsidRPr="004D292C" w:rsidRDefault="00223D5A" w:rsidP="00223D5A">
      <w:pPr>
        <w:pStyle w:val="2-SectionHeading"/>
        <w:numPr>
          <w:ilvl w:val="0"/>
          <w:numId w:val="1"/>
        </w:numPr>
      </w:pPr>
      <w:bookmarkStart w:id="11" w:name="_Toc50975076"/>
      <w:bookmarkStart w:id="12" w:name="_Toc22897640"/>
      <w:r w:rsidRPr="004D292C">
        <w:t>Consideration of the evidence</w:t>
      </w:r>
      <w:bookmarkEnd w:id="11"/>
    </w:p>
    <w:bookmarkEnd w:id="12"/>
    <w:p w:rsidR="00BC2DD4" w:rsidRPr="004D292C" w:rsidRDefault="00BC2DD4" w:rsidP="00007380">
      <w:pPr>
        <w:pStyle w:val="3-SubsectionHeading"/>
        <w:rPr>
          <w:rFonts w:cs="Arial"/>
          <w:b w:val="0"/>
          <w:bCs/>
          <w:i w:val="0"/>
          <w:snapToGrid w:val="0"/>
          <w:szCs w:val="28"/>
        </w:rPr>
      </w:pPr>
      <w:r w:rsidRPr="004D292C">
        <w:t>Sponsor</w:t>
      </w:r>
      <w:r w:rsidRPr="004D292C">
        <w:rPr>
          <w:rFonts w:cs="Arial"/>
          <w:bCs/>
          <w:snapToGrid w:val="0"/>
          <w:szCs w:val="28"/>
        </w:rPr>
        <w:t xml:space="preserve"> hearing</w:t>
      </w:r>
    </w:p>
    <w:p w:rsidR="00BC2DD4" w:rsidRPr="004D292C" w:rsidRDefault="00BC2DD4" w:rsidP="00BC2DD4">
      <w:pPr>
        <w:pStyle w:val="ExecSumBodyText"/>
      </w:pPr>
      <w:r w:rsidRPr="004D292C">
        <w:t>The</w:t>
      </w:r>
      <w:r w:rsidR="00007380" w:rsidRPr="004D292C">
        <w:t>re was no hearing for this item</w:t>
      </w:r>
      <w:r w:rsidRPr="004D292C">
        <w:t>.</w:t>
      </w:r>
    </w:p>
    <w:p w:rsidR="00BC2DD4" w:rsidRPr="004D292C" w:rsidRDefault="00BC2DD4" w:rsidP="00007380">
      <w:pPr>
        <w:pStyle w:val="3-SubsectionHeading"/>
        <w:rPr>
          <w:rFonts w:cs="Arial"/>
          <w:b w:val="0"/>
          <w:bCs/>
          <w:i w:val="0"/>
          <w:snapToGrid w:val="0"/>
          <w:szCs w:val="28"/>
        </w:rPr>
      </w:pPr>
      <w:r w:rsidRPr="004D292C">
        <w:t>Consumer</w:t>
      </w:r>
      <w:r w:rsidRPr="004D292C">
        <w:rPr>
          <w:rFonts w:cs="Arial"/>
          <w:bCs/>
          <w:snapToGrid w:val="0"/>
          <w:szCs w:val="28"/>
        </w:rPr>
        <w:t xml:space="preserve"> </w:t>
      </w:r>
      <w:r w:rsidRPr="004D292C">
        <w:t>comments</w:t>
      </w:r>
    </w:p>
    <w:p w:rsidR="00BC2DD4" w:rsidRPr="004D292C" w:rsidRDefault="00BC2DD4" w:rsidP="00BC2DD4">
      <w:pPr>
        <w:pStyle w:val="ExecSumBodyText"/>
      </w:pPr>
      <w:r w:rsidRPr="004D292C">
        <w:t>The PBAC noted that no consumer comme</w:t>
      </w:r>
      <w:r w:rsidR="00363447" w:rsidRPr="004D292C">
        <w:t>nts were received for this item</w:t>
      </w:r>
      <w:r w:rsidRPr="004D292C">
        <w:t>.</w:t>
      </w:r>
    </w:p>
    <w:p w:rsidR="00BC2DD4" w:rsidRPr="004D292C" w:rsidRDefault="00BC2DD4" w:rsidP="00007380">
      <w:pPr>
        <w:pStyle w:val="3-SubsectionHeading"/>
      </w:pPr>
      <w:bookmarkStart w:id="13" w:name="_Toc50975077"/>
      <w:r w:rsidRPr="004D292C">
        <w:t>Clinical trials</w:t>
      </w:r>
      <w:bookmarkEnd w:id="13"/>
    </w:p>
    <w:p w:rsidR="00D868CC" w:rsidRPr="004D292C" w:rsidRDefault="00D868CC" w:rsidP="00D868CC">
      <w:pPr>
        <w:pStyle w:val="ExecSumBodyText"/>
        <w:rPr>
          <w:snapToGrid/>
        </w:rPr>
      </w:pPr>
      <w:r w:rsidRPr="004D292C">
        <w:rPr>
          <w:snapToGrid/>
        </w:rPr>
        <w:t>The submission was based on the following comparisons of dapagliflozin and the nominated comparators:</w:t>
      </w:r>
    </w:p>
    <w:p w:rsidR="004B57E3" w:rsidRPr="004D292C" w:rsidRDefault="00D868CC" w:rsidP="004D77AA">
      <w:pPr>
        <w:pStyle w:val="ExecSumBodyText"/>
        <w:numPr>
          <w:ilvl w:val="0"/>
          <w:numId w:val="4"/>
        </w:numPr>
        <w:spacing w:after="0"/>
        <w:ind w:left="1134" w:hanging="357"/>
        <w:rPr>
          <w:snapToGrid/>
        </w:rPr>
      </w:pPr>
      <w:r w:rsidRPr="004D292C">
        <w:rPr>
          <w:snapToGrid/>
        </w:rPr>
        <w:t>A head-to-head comparison of dapagliflozin plus standard care versus placebo plus standard care in patients with NYHA Class II-IV heart failure with reduced ejection fraction (DAPA-HF trial)</w:t>
      </w:r>
      <w:r w:rsidR="00197DC8" w:rsidRPr="004D292C">
        <w:rPr>
          <w:snapToGrid/>
        </w:rPr>
        <w:t>.</w:t>
      </w:r>
    </w:p>
    <w:p w:rsidR="004B57E3" w:rsidRPr="004D292C" w:rsidRDefault="004B57E3" w:rsidP="004D77AA">
      <w:pPr>
        <w:pStyle w:val="ExecSumBodyText"/>
        <w:numPr>
          <w:ilvl w:val="0"/>
          <w:numId w:val="4"/>
        </w:numPr>
        <w:spacing w:after="0"/>
        <w:ind w:left="1134" w:hanging="357"/>
        <w:rPr>
          <w:snapToGrid/>
        </w:rPr>
      </w:pPr>
      <w:r w:rsidRPr="004D292C">
        <w:rPr>
          <w:snapToGrid/>
        </w:rPr>
        <w:t>An indirect comparison of dapagliflozin plus standard care (DAPA-HF trial</w:t>
      </w:r>
      <w:r w:rsidR="005B7306" w:rsidRPr="004D292C">
        <w:rPr>
          <w:snapToGrid/>
        </w:rPr>
        <w:t xml:space="preserve"> full population</w:t>
      </w:r>
      <w:r w:rsidRPr="004D292C">
        <w:rPr>
          <w:snapToGrid/>
        </w:rPr>
        <w:t>) versus sacubitril/valsartan plus standard care (PARADIGM-HF trial), using placebo plus standard care (DAPA-HF trial</w:t>
      </w:r>
      <w:r w:rsidR="00197DC8" w:rsidRPr="004D292C">
        <w:rPr>
          <w:snapToGrid/>
        </w:rPr>
        <w:t xml:space="preserve"> full population</w:t>
      </w:r>
      <w:r w:rsidRPr="004D292C">
        <w:rPr>
          <w:snapToGrid/>
        </w:rPr>
        <w:t>) and enalapril plus standard care (PARADIGM-HF) as common reference.</w:t>
      </w:r>
    </w:p>
    <w:p w:rsidR="00D868CC" w:rsidRPr="004D292C" w:rsidRDefault="005B7306" w:rsidP="004D77AA">
      <w:pPr>
        <w:pStyle w:val="ExecSumBodyText"/>
        <w:numPr>
          <w:ilvl w:val="0"/>
          <w:numId w:val="4"/>
        </w:numPr>
        <w:ind w:left="1134"/>
        <w:rPr>
          <w:snapToGrid/>
        </w:rPr>
      </w:pPr>
      <w:r w:rsidRPr="004D292C">
        <w:rPr>
          <w:snapToGrid/>
        </w:rPr>
        <w:t>An indirect comparison and an anchored MAIC of dapagliflozin plus standard care including an ACE inhibitor or ARB (subgroup of the DAPA-HF dapagliflozin arm) versus sacubitril/valsartan plus standard care (PARADIGM-HF trial), using placebo plus standard care including an ACE inhibitor (subgroup of the DAPA-HF placebo arm) and enalapril plus standard care (PARADIGM-HF) as common reference</w:t>
      </w:r>
      <w:r w:rsidR="00D868CC" w:rsidRPr="004D292C">
        <w:rPr>
          <w:snapToGrid/>
        </w:rPr>
        <w:t>.</w:t>
      </w:r>
    </w:p>
    <w:p w:rsidR="00D868CC" w:rsidRPr="004D292C" w:rsidRDefault="00D868CC" w:rsidP="00D868CC">
      <w:pPr>
        <w:pStyle w:val="ExecSumBodyText"/>
      </w:pPr>
      <w:r w:rsidRPr="004D292C">
        <w:t xml:space="preserve">Details of the trials presented in the submission are provided in </w:t>
      </w:r>
      <w:r w:rsidR="00CF0C8A" w:rsidRPr="004D292C">
        <w:t>Table 2</w:t>
      </w:r>
      <w:r w:rsidRPr="004D292C">
        <w:t xml:space="preserve">. </w:t>
      </w:r>
    </w:p>
    <w:p w:rsidR="00D868CC" w:rsidRPr="004D292C" w:rsidRDefault="00D868CC" w:rsidP="00D868CC">
      <w:pPr>
        <w:pStyle w:val="TableFigureCaption"/>
      </w:pPr>
      <w:r w:rsidRPr="004D292C">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5244"/>
        <w:gridCol w:w="2501"/>
      </w:tblGrid>
      <w:tr w:rsidR="00D868CC" w:rsidRPr="004D292C" w:rsidTr="002A5805">
        <w:trPr>
          <w:trHeight w:val="58"/>
          <w:tblHeader/>
        </w:trPr>
        <w:tc>
          <w:tcPr>
            <w:tcW w:w="705" w:type="pct"/>
            <w:vAlign w:val="center"/>
          </w:tcPr>
          <w:p w:rsidR="00D868CC" w:rsidRPr="004D292C" w:rsidRDefault="00D868CC" w:rsidP="00E67CED">
            <w:pPr>
              <w:pStyle w:val="Tableheadingrow"/>
              <w:rPr>
                <w:lang w:val="en-AU"/>
              </w:rPr>
            </w:pPr>
            <w:r w:rsidRPr="004D292C">
              <w:rPr>
                <w:lang w:val="en-AU"/>
              </w:rPr>
              <w:t>Trial ID</w:t>
            </w:r>
          </w:p>
        </w:tc>
        <w:tc>
          <w:tcPr>
            <w:tcW w:w="2908" w:type="pct"/>
            <w:vAlign w:val="center"/>
          </w:tcPr>
          <w:p w:rsidR="00D868CC" w:rsidRPr="004D292C" w:rsidRDefault="00D868CC" w:rsidP="00E67CED">
            <w:pPr>
              <w:pStyle w:val="Tableheadingrow"/>
              <w:jc w:val="center"/>
              <w:rPr>
                <w:lang w:val="en-AU"/>
              </w:rPr>
            </w:pPr>
            <w:r w:rsidRPr="004D292C">
              <w:rPr>
                <w:lang w:val="en-AU"/>
              </w:rPr>
              <w:t>Protocol title/ Publication title</w:t>
            </w:r>
          </w:p>
        </w:tc>
        <w:tc>
          <w:tcPr>
            <w:tcW w:w="1387" w:type="pct"/>
            <w:vAlign w:val="center"/>
          </w:tcPr>
          <w:p w:rsidR="00D868CC" w:rsidRPr="004D292C" w:rsidRDefault="00D868CC" w:rsidP="00E67CED">
            <w:pPr>
              <w:pStyle w:val="Tableheadingrow"/>
              <w:jc w:val="center"/>
              <w:rPr>
                <w:lang w:val="en-AU"/>
              </w:rPr>
            </w:pPr>
            <w:r w:rsidRPr="004D292C">
              <w:rPr>
                <w:lang w:val="en-AU"/>
              </w:rPr>
              <w:t>Publication citation</w:t>
            </w:r>
          </w:p>
        </w:tc>
      </w:tr>
      <w:tr w:rsidR="00D868CC" w:rsidRPr="004D292C" w:rsidTr="002A5805">
        <w:trPr>
          <w:trHeight w:val="58"/>
        </w:trPr>
        <w:tc>
          <w:tcPr>
            <w:tcW w:w="705" w:type="pct"/>
            <w:vMerge w:val="restart"/>
            <w:tcBorders>
              <w:bottom w:val="single" w:sz="4" w:space="0" w:color="auto"/>
            </w:tcBorders>
            <w:vAlign w:val="center"/>
          </w:tcPr>
          <w:p w:rsidR="00D868CC" w:rsidRPr="004D292C" w:rsidRDefault="00D868CC" w:rsidP="00E67CED">
            <w:pPr>
              <w:pStyle w:val="TableText"/>
            </w:pPr>
            <w:r w:rsidRPr="004D292C">
              <w:t>DAPA-HF</w:t>
            </w:r>
          </w:p>
        </w:tc>
        <w:tc>
          <w:tcPr>
            <w:tcW w:w="2908" w:type="pct"/>
            <w:tcBorders>
              <w:bottom w:val="nil"/>
            </w:tcBorders>
          </w:tcPr>
          <w:p w:rsidR="00D868CC" w:rsidRPr="004D292C" w:rsidRDefault="00D868CC" w:rsidP="00E67CED">
            <w:pPr>
              <w:pStyle w:val="TableText"/>
              <w:rPr>
                <w:szCs w:val="18"/>
              </w:rPr>
            </w:pPr>
            <w:r w:rsidRPr="004D292C">
              <w:rPr>
                <w:szCs w:val="18"/>
              </w:rPr>
              <w:t>Dapagliflozin And Prevention of Adverse-outcomes in Heart Failure (DAPA-HF).</w:t>
            </w:r>
          </w:p>
        </w:tc>
        <w:tc>
          <w:tcPr>
            <w:tcW w:w="1387" w:type="pct"/>
            <w:tcBorders>
              <w:bottom w:val="nil"/>
            </w:tcBorders>
          </w:tcPr>
          <w:p w:rsidR="00D868CC" w:rsidRPr="004D292C" w:rsidRDefault="00D868CC" w:rsidP="00E67CED">
            <w:pPr>
              <w:pStyle w:val="TableText"/>
            </w:pPr>
            <w:r w:rsidRPr="004D292C">
              <w:rPr>
                <w:szCs w:val="18"/>
              </w:rPr>
              <w:t>Clinical Study Report, October 2019.</w:t>
            </w:r>
          </w:p>
        </w:tc>
      </w:tr>
      <w:tr w:rsidR="00D868CC" w:rsidRPr="004D292C" w:rsidTr="002A5805">
        <w:trPr>
          <w:trHeight w:val="548"/>
        </w:trPr>
        <w:tc>
          <w:tcPr>
            <w:tcW w:w="705" w:type="pct"/>
            <w:vMerge/>
            <w:vAlign w:val="center"/>
          </w:tcPr>
          <w:p w:rsidR="00D868CC" w:rsidRPr="004D292C" w:rsidRDefault="00D868CC" w:rsidP="00E67CED">
            <w:pPr>
              <w:pStyle w:val="TableText"/>
            </w:pPr>
          </w:p>
        </w:tc>
        <w:tc>
          <w:tcPr>
            <w:tcW w:w="2908" w:type="pct"/>
            <w:tcBorders>
              <w:top w:val="nil"/>
              <w:bottom w:val="nil"/>
            </w:tcBorders>
            <w:vAlign w:val="center"/>
          </w:tcPr>
          <w:p w:rsidR="00D868CC" w:rsidRPr="004D292C" w:rsidRDefault="00D868CC" w:rsidP="00E67CED">
            <w:pPr>
              <w:pStyle w:val="TableText"/>
              <w:rPr>
                <w:szCs w:val="18"/>
              </w:rPr>
            </w:pPr>
            <w:r w:rsidRPr="004D292C">
              <w:rPr>
                <w:szCs w:val="18"/>
              </w:rPr>
              <w:t xml:space="preserve">McMurray JJV, DeMets DL, Inzucchi SE, et al. The Dapagliflozin And Prevention of Adverse-outcomes in Heart Failure (DAPA-HF) trial: baseline characteristics. </w:t>
            </w:r>
          </w:p>
        </w:tc>
        <w:tc>
          <w:tcPr>
            <w:tcW w:w="1387" w:type="pct"/>
            <w:tcBorders>
              <w:top w:val="nil"/>
              <w:bottom w:val="nil"/>
            </w:tcBorders>
          </w:tcPr>
          <w:p w:rsidR="00D868CC" w:rsidRPr="004D292C" w:rsidRDefault="00D868CC" w:rsidP="00E67CED">
            <w:pPr>
              <w:pStyle w:val="TableText"/>
              <w:rPr>
                <w:szCs w:val="18"/>
              </w:rPr>
            </w:pPr>
            <w:r w:rsidRPr="004D292C">
              <w:rPr>
                <w:i/>
                <w:szCs w:val="18"/>
              </w:rPr>
              <w:t>European Journal of Heart Failure</w:t>
            </w:r>
            <w:r w:rsidRPr="004D292C">
              <w:rPr>
                <w:szCs w:val="18"/>
              </w:rPr>
              <w:t xml:space="preserve"> 2019; 21(11): 1402-1411.</w:t>
            </w:r>
          </w:p>
        </w:tc>
      </w:tr>
      <w:tr w:rsidR="00D868CC" w:rsidRPr="004D292C" w:rsidTr="002A5805">
        <w:tc>
          <w:tcPr>
            <w:tcW w:w="705" w:type="pct"/>
            <w:vMerge/>
            <w:vAlign w:val="center"/>
          </w:tcPr>
          <w:p w:rsidR="00D868CC" w:rsidRPr="004D292C" w:rsidRDefault="00D868CC" w:rsidP="00E67CED">
            <w:pPr>
              <w:pStyle w:val="TableText"/>
            </w:pPr>
          </w:p>
        </w:tc>
        <w:tc>
          <w:tcPr>
            <w:tcW w:w="2908" w:type="pct"/>
            <w:tcBorders>
              <w:top w:val="nil"/>
              <w:bottom w:val="nil"/>
            </w:tcBorders>
            <w:vAlign w:val="center"/>
          </w:tcPr>
          <w:p w:rsidR="00D868CC" w:rsidRPr="004D292C" w:rsidRDefault="00D868CC" w:rsidP="00E67CED">
            <w:pPr>
              <w:pStyle w:val="TableText"/>
              <w:rPr>
                <w:szCs w:val="18"/>
              </w:rPr>
            </w:pPr>
            <w:r w:rsidRPr="004D292C">
              <w:rPr>
                <w:szCs w:val="18"/>
              </w:rPr>
              <w:t xml:space="preserve">McMurray JJV, Solomon SD, Inzucchi SE, et al. Dapagliflozin in </w:t>
            </w:r>
            <w:r w:rsidR="001B32DC" w:rsidRPr="004D292C">
              <w:rPr>
                <w:szCs w:val="18"/>
              </w:rPr>
              <w:t>p</w:t>
            </w:r>
            <w:r w:rsidRPr="004D292C">
              <w:rPr>
                <w:szCs w:val="18"/>
              </w:rPr>
              <w:t xml:space="preserve">atients with </w:t>
            </w:r>
            <w:r w:rsidR="001B32DC" w:rsidRPr="004D292C">
              <w:rPr>
                <w:szCs w:val="18"/>
              </w:rPr>
              <w:t>h</w:t>
            </w:r>
            <w:r w:rsidRPr="004D292C">
              <w:rPr>
                <w:szCs w:val="18"/>
              </w:rPr>
              <w:t xml:space="preserve">eart </w:t>
            </w:r>
            <w:r w:rsidR="001B32DC" w:rsidRPr="004D292C">
              <w:rPr>
                <w:szCs w:val="18"/>
              </w:rPr>
              <w:t>f</w:t>
            </w:r>
            <w:r w:rsidRPr="004D292C">
              <w:rPr>
                <w:szCs w:val="18"/>
              </w:rPr>
              <w:t xml:space="preserve">ailure and </w:t>
            </w:r>
            <w:r w:rsidR="001B32DC" w:rsidRPr="004D292C">
              <w:rPr>
                <w:szCs w:val="18"/>
              </w:rPr>
              <w:t>r</w:t>
            </w:r>
            <w:r w:rsidRPr="004D292C">
              <w:rPr>
                <w:szCs w:val="18"/>
              </w:rPr>
              <w:t xml:space="preserve">educed </w:t>
            </w:r>
            <w:r w:rsidR="001B32DC" w:rsidRPr="004D292C">
              <w:rPr>
                <w:szCs w:val="18"/>
              </w:rPr>
              <w:t>e</w:t>
            </w:r>
            <w:r w:rsidRPr="004D292C">
              <w:rPr>
                <w:szCs w:val="18"/>
              </w:rPr>
              <w:t xml:space="preserve">jection </w:t>
            </w:r>
            <w:r w:rsidR="001B32DC" w:rsidRPr="004D292C">
              <w:rPr>
                <w:szCs w:val="18"/>
              </w:rPr>
              <w:t>f</w:t>
            </w:r>
            <w:r w:rsidRPr="004D292C">
              <w:rPr>
                <w:szCs w:val="18"/>
              </w:rPr>
              <w:t xml:space="preserve">raction. </w:t>
            </w:r>
          </w:p>
        </w:tc>
        <w:tc>
          <w:tcPr>
            <w:tcW w:w="1387" w:type="pct"/>
            <w:tcBorders>
              <w:top w:val="nil"/>
              <w:bottom w:val="nil"/>
            </w:tcBorders>
          </w:tcPr>
          <w:p w:rsidR="00D868CC" w:rsidRPr="004D292C" w:rsidRDefault="00D868CC" w:rsidP="00E67CED">
            <w:pPr>
              <w:pStyle w:val="TableText"/>
              <w:rPr>
                <w:szCs w:val="18"/>
              </w:rPr>
            </w:pPr>
            <w:r w:rsidRPr="004D292C">
              <w:rPr>
                <w:i/>
                <w:szCs w:val="18"/>
              </w:rPr>
              <w:t>New England Journal of Medicine</w:t>
            </w:r>
            <w:r w:rsidRPr="004D292C">
              <w:rPr>
                <w:szCs w:val="18"/>
              </w:rPr>
              <w:t xml:space="preserve"> 2019; 381(21): 1995-2008.</w:t>
            </w:r>
          </w:p>
        </w:tc>
      </w:tr>
      <w:tr w:rsidR="00D868CC" w:rsidRPr="004D292C" w:rsidTr="002A5805">
        <w:trPr>
          <w:trHeight w:val="664"/>
        </w:trPr>
        <w:tc>
          <w:tcPr>
            <w:tcW w:w="705" w:type="pct"/>
            <w:vMerge/>
            <w:tcBorders>
              <w:bottom w:val="nil"/>
            </w:tcBorders>
            <w:vAlign w:val="center"/>
          </w:tcPr>
          <w:p w:rsidR="00D868CC" w:rsidRPr="004D292C" w:rsidRDefault="00D868CC" w:rsidP="00E67CED">
            <w:pPr>
              <w:pStyle w:val="TableText"/>
            </w:pPr>
          </w:p>
        </w:tc>
        <w:tc>
          <w:tcPr>
            <w:tcW w:w="2908" w:type="pct"/>
            <w:tcBorders>
              <w:top w:val="nil"/>
              <w:bottom w:val="nil"/>
            </w:tcBorders>
            <w:vAlign w:val="center"/>
          </w:tcPr>
          <w:p w:rsidR="00D868CC" w:rsidRPr="004D292C" w:rsidRDefault="00D868CC" w:rsidP="00E67CED">
            <w:pPr>
              <w:pStyle w:val="TableText"/>
              <w:rPr>
                <w:szCs w:val="18"/>
              </w:rPr>
            </w:pPr>
            <w:r w:rsidRPr="004D292C">
              <w:rPr>
                <w:szCs w:val="18"/>
              </w:rPr>
              <w:t xml:space="preserve">McMurray JJV, DeMets DL, Inzucchi SE, et al. A trial to evaluate the effect of the sodium-glucose co-transporter 2 inhibitor dapagliflozin on morbidity and mortality in patients with heart failure and reduced left ventricular ejection fraction (DAPA-HF). </w:t>
            </w:r>
          </w:p>
        </w:tc>
        <w:tc>
          <w:tcPr>
            <w:tcW w:w="1387" w:type="pct"/>
            <w:tcBorders>
              <w:top w:val="nil"/>
              <w:bottom w:val="nil"/>
            </w:tcBorders>
          </w:tcPr>
          <w:p w:rsidR="00D868CC" w:rsidRPr="004D292C" w:rsidRDefault="00D868CC" w:rsidP="00E67CED">
            <w:pPr>
              <w:pStyle w:val="TableText"/>
              <w:rPr>
                <w:szCs w:val="18"/>
              </w:rPr>
            </w:pPr>
            <w:r w:rsidRPr="004D292C">
              <w:rPr>
                <w:i/>
                <w:szCs w:val="18"/>
              </w:rPr>
              <w:t>European Journal of Heart Failure</w:t>
            </w:r>
            <w:r w:rsidRPr="004D292C">
              <w:rPr>
                <w:szCs w:val="18"/>
              </w:rPr>
              <w:t xml:space="preserve"> 2019; 21(5): 665-675.</w:t>
            </w:r>
          </w:p>
        </w:tc>
      </w:tr>
      <w:tr w:rsidR="00D868CC" w:rsidRPr="004D292C" w:rsidTr="002A5805">
        <w:trPr>
          <w:trHeight w:val="638"/>
        </w:trPr>
        <w:tc>
          <w:tcPr>
            <w:tcW w:w="705" w:type="pct"/>
            <w:vMerge w:val="restart"/>
            <w:vAlign w:val="center"/>
          </w:tcPr>
          <w:p w:rsidR="00D868CC" w:rsidRPr="004D292C" w:rsidRDefault="00D868CC" w:rsidP="00E67CED">
            <w:pPr>
              <w:pStyle w:val="TableText"/>
            </w:pPr>
            <w:r w:rsidRPr="004D292C">
              <w:t>PARADIGM-HF</w:t>
            </w:r>
          </w:p>
        </w:tc>
        <w:tc>
          <w:tcPr>
            <w:tcW w:w="2908" w:type="pct"/>
            <w:tcBorders>
              <w:bottom w:val="nil"/>
            </w:tcBorders>
          </w:tcPr>
          <w:p w:rsidR="00D868CC" w:rsidRPr="004D292C" w:rsidRDefault="00D868CC" w:rsidP="00E67CED">
            <w:pPr>
              <w:pStyle w:val="TableText"/>
            </w:pPr>
            <w:r w:rsidRPr="004D292C">
              <w:rPr>
                <w:szCs w:val="18"/>
              </w:rPr>
              <w:t xml:space="preserve">McMurray JJV, Packer M, Desai AS, et al. Baseline characteristics and treatment of patients in Prospective comparison of ARNI with ACEI to Determine Impact on Global Mortality and morbidity in heart failure trial (PARADIGM-HF). </w:t>
            </w:r>
          </w:p>
        </w:tc>
        <w:tc>
          <w:tcPr>
            <w:tcW w:w="1387" w:type="pct"/>
            <w:tcBorders>
              <w:bottom w:val="nil"/>
            </w:tcBorders>
          </w:tcPr>
          <w:p w:rsidR="00D868CC" w:rsidRPr="004D292C" w:rsidRDefault="00D868CC" w:rsidP="00E67CED">
            <w:pPr>
              <w:pStyle w:val="TableText"/>
            </w:pPr>
            <w:r w:rsidRPr="004D292C">
              <w:rPr>
                <w:i/>
                <w:szCs w:val="18"/>
              </w:rPr>
              <w:t>European Journal of Heart Failure</w:t>
            </w:r>
            <w:r w:rsidRPr="004D292C">
              <w:rPr>
                <w:szCs w:val="18"/>
              </w:rPr>
              <w:t xml:space="preserve"> 2014; 16(7): 817-825.</w:t>
            </w:r>
          </w:p>
        </w:tc>
      </w:tr>
      <w:tr w:rsidR="00D868CC" w:rsidRPr="004D292C" w:rsidTr="002A5805">
        <w:tc>
          <w:tcPr>
            <w:tcW w:w="705" w:type="pct"/>
            <w:vMerge/>
            <w:vAlign w:val="center"/>
          </w:tcPr>
          <w:p w:rsidR="00D868CC" w:rsidRPr="004D292C" w:rsidRDefault="00D868CC" w:rsidP="00E67CED">
            <w:pPr>
              <w:pStyle w:val="TableText"/>
            </w:pPr>
          </w:p>
        </w:tc>
        <w:tc>
          <w:tcPr>
            <w:tcW w:w="2908" w:type="pct"/>
            <w:tcBorders>
              <w:top w:val="nil"/>
              <w:bottom w:val="nil"/>
            </w:tcBorders>
          </w:tcPr>
          <w:p w:rsidR="00D868CC" w:rsidRPr="004D292C" w:rsidRDefault="00D868CC" w:rsidP="00E67CED">
            <w:pPr>
              <w:pStyle w:val="TableText"/>
              <w:rPr>
                <w:szCs w:val="18"/>
              </w:rPr>
            </w:pPr>
            <w:r w:rsidRPr="004D292C">
              <w:rPr>
                <w:szCs w:val="18"/>
              </w:rPr>
              <w:t xml:space="preserve">McMurray JJV, Packer M, Desai AS, et al. Angiotensin-neprilysin inhibition versus enalapril in heart failure. </w:t>
            </w:r>
          </w:p>
        </w:tc>
        <w:tc>
          <w:tcPr>
            <w:tcW w:w="1387" w:type="pct"/>
            <w:tcBorders>
              <w:top w:val="nil"/>
              <w:bottom w:val="nil"/>
            </w:tcBorders>
          </w:tcPr>
          <w:p w:rsidR="00D868CC" w:rsidRPr="004D292C" w:rsidRDefault="00D868CC" w:rsidP="00E67CED">
            <w:pPr>
              <w:pStyle w:val="TableText"/>
            </w:pPr>
            <w:r w:rsidRPr="004D292C">
              <w:rPr>
                <w:i/>
                <w:szCs w:val="18"/>
              </w:rPr>
              <w:t>New England Journal of Medicine</w:t>
            </w:r>
            <w:r w:rsidRPr="004D292C">
              <w:rPr>
                <w:szCs w:val="18"/>
              </w:rPr>
              <w:t xml:space="preserve"> 2014; 371(11): 993-1004.</w:t>
            </w:r>
          </w:p>
        </w:tc>
      </w:tr>
      <w:tr w:rsidR="00D868CC" w:rsidRPr="004D292C" w:rsidTr="002A5805">
        <w:tc>
          <w:tcPr>
            <w:tcW w:w="705" w:type="pct"/>
            <w:vMerge/>
            <w:vAlign w:val="center"/>
          </w:tcPr>
          <w:p w:rsidR="00D868CC" w:rsidRPr="004D292C" w:rsidRDefault="00D868CC" w:rsidP="00E67CED">
            <w:pPr>
              <w:pStyle w:val="TableText"/>
            </w:pPr>
          </w:p>
        </w:tc>
        <w:tc>
          <w:tcPr>
            <w:tcW w:w="2908" w:type="pct"/>
            <w:tcBorders>
              <w:top w:val="nil"/>
              <w:bottom w:val="nil"/>
            </w:tcBorders>
          </w:tcPr>
          <w:p w:rsidR="00D868CC" w:rsidRPr="004D292C" w:rsidRDefault="00D868CC" w:rsidP="00E67CED">
            <w:pPr>
              <w:pStyle w:val="TableText"/>
              <w:rPr>
                <w:szCs w:val="18"/>
              </w:rPr>
            </w:pPr>
            <w:r w:rsidRPr="004D292C">
              <w:rPr>
                <w:szCs w:val="18"/>
              </w:rPr>
              <w:t xml:space="preserve">McMurray JJV, Packer M, Desai AS, et al. Dual angiotensin receptor and neprilysin inhibition as an alternative to angiotensin-converting enzyme inhibition in patients with chronic systolic heart failure: Rationale for and design of the Prospective comparison of ARNI with ACEI to Determine Impact on Global Mortality and morbidity in Heart Failure trial (PARADIGM-HF). </w:t>
            </w:r>
          </w:p>
        </w:tc>
        <w:tc>
          <w:tcPr>
            <w:tcW w:w="1387" w:type="pct"/>
            <w:tcBorders>
              <w:top w:val="nil"/>
              <w:bottom w:val="nil"/>
            </w:tcBorders>
          </w:tcPr>
          <w:p w:rsidR="00D868CC" w:rsidRPr="004D292C" w:rsidRDefault="00D868CC" w:rsidP="00E67CED">
            <w:pPr>
              <w:pStyle w:val="TableText"/>
            </w:pPr>
            <w:r w:rsidRPr="004D292C">
              <w:rPr>
                <w:i/>
                <w:szCs w:val="18"/>
              </w:rPr>
              <w:t>European Journal of Heart Failure</w:t>
            </w:r>
            <w:r w:rsidRPr="004D292C">
              <w:rPr>
                <w:szCs w:val="18"/>
              </w:rPr>
              <w:t xml:space="preserve"> 2013; 15(9):1062-73.</w:t>
            </w:r>
          </w:p>
        </w:tc>
      </w:tr>
      <w:tr w:rsidR="00D868CC" w:rsidRPr="004D292C" w:rsidTr="002A5805">
        <w:trPr>
          <w:trHeight w:val="597"/>
        </w:trPr>
        <w:tc>
          <w:tcPr>
            <w:tcW w:w="705" w:type="pct"/>
            <w:vMerge/>
            <w:tcBorders>
              <w:bottom w:val="single" w:sz="4" w:space="0" w:color="auto"/>
            </w:tcBorders>
            <w:vAlign w:val="center"/>
          </w:tcPr>
          <w:p w:rsidR="00D868CC" w:rsidRPr="004D292C" w:rsidRDefault="00D868CC" w:rsidP="00E67CED">
            <w:pPr>
              <w:pStyle w:val="TableText"/>
            </w:pPr>
          </w:p>
        </w:tc>
        <w:tc>
          <w:tcPr>
            <w:tcW w:w="2908" w:type="pct"/>
            <w:tcBorders>
              <w:top w:val="nil"/>
              <w:bottom w:val="single" w:sz="4" w:space="0" w:color="auto"/>
            </w:tcBorders>
          </w:tcPr>
          <w:p w:rsidR="00D868CC" w:rsidRPr="004D292C" w:rsidRDefault="00D868CC" w:rsidP="00E67CED">
            <w:pPr>
              <w:pStyle w:val="TableText"/>
              <w:rPr>
                <w:szCs w:val="18"/>
              </w:rPr>
            </w:pPr>
            <w:r w:rsidRPr="004D292C">
              <w:rPr>
                <w:szCs w:val="18"/>
              </w:rPr>
              <w:t>Rizkala AR, Shi V, Chang WH, et al. A multicenter, randomized, double-blind, parallel group, active-controlled study to evaluate the efficacy and safety of LCZ696 compared to enalapril on morbidity and mortality in patients with chronic heart failure and reduced ejection fraction.</w:t>
            </w:r>
          </w:p>
        </w:tc>
        <w:tc>
          <w:tcPr>
            <w:tcW w:w="1387" w:type="pct"/>
            <w:tcBorders>
              <w:top w:val="nil"/>
              <w:bottom w:val="single" w:sz="4" w:space="0" w:color="auto"/>
            </w:tcBorders>
          </w:tcPr>
          <w:p w:rsidR="00D868CC" w:rsidRPr="004D292C" w:rsidRDefault="00D868CC" w:rsidP="00E67CED">
            <w:pPr>
              <w:pStyle w:val="TableText"/>
              <w:rPr>
                <w:szCs w:val="18"/>
              </w:rPr>
            </w:pPr>
            <w:r w:rsidRPr="004D292C">
              <w:rPr>
                <w:szCs w:val="18"/>
              </w:rPr>
              <w:t>Novartis Clinical Study Protocol CLCZ696B2314. V01, Sep 2009</w:t>
            </w:r>
          </w:p>
        </w:tc>
      </w:tr>
    </w:tbl>
    <w:p w:rsidR="00D868CC" w:rsidRPr="004D292C" w:rsidRDefault="00D868CC" w:rsidP="002A5805">
      <w:pPr>
        <w:pStyle w:val="TableFooter"/>
        <w:rPr>
          <w:color w:val="0066FF"/>
        </w:rPr>
      </w:pPr>
      <w:r w:rsidRPr="004D292C">
        <w:t>Source: Table 2.2-1, pp42-43 of the submission.</w:t>
      </w:r>
    </w:p>
    <w:p w:rsidR="007F1017" w:rsidRPr="004D292C" w:rsidRDefault="008F120A" w:rsidP="00EC5836">
      <w:pPr>
        <w:pStyle w:val="ExecSumBodyText"/>
        <w:rPr>
          <w:color w:val="0066FF"/>
        </w:rPr>
      </w:pPr>
      <w:r w:rsidRPr="004D292C">
        <w:t>The key fea</w:t>
      </w:r>
      <w:r w:rsidR="00B9643A" w:rsidRPr="004D292C">
        <w:t xml:space="preserve">tures of the </w:t>
      </w:r>
      <w:r w:rsidR="00621ADA" w:rsidRPr="004D292C">
        <w:t xml:space="preserve">included </w:t>
      </w:r>
      <w:r w:rsidR="00B9643A" w:rsidRPr="004D292C">
        <w:t xml:space="preserve">trials </w:t>
      </w:r>
      <w:r w:rsidRPr="004D292C">
        <w:t xml:space="preserve">are summarised in </w:t>
      </w:r>
      <w:r w:rsidR="00CF0C8A" w:rsidRPr="004D292C">
        <w:t>Table 3</w:t>
      </w:r>
      <w:r w:rsidRPr="004D292C">
        <w:t>.</w:t>
      </w:r>
    </w:p>
    <w:p w:rsidR="007F1017" w:rsidRPr="004D292C" w:rsidRDefault="00B9643A" w:rsidP="00230DB1">
      <w:pPr>
        <w:pStyle w:val="TableFigureCaption"/>
      </w:pPr>
      <w:r w:rsidRPr="004D292C">
        <w:lastRenderedPageBreak/>
        <w:t>Table 3</w:t>
      </w:r>
      <w:r w:rsidR="007F1017" w:rsidRPr="004D292C">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566"/>
        <w:gridCol w:w="1417"/>
        <w:gridCol w:w="709"/>
        <w:gridCol w:w="2409"/>
        <w:gridCol w:w="2927"/>
      </w:tblGrid>
      <w:tr w:rsidR="004E7947" w:rsidRPr="004D292C" w:rsidTr="002A5805">
        <w:trPr>
          <w:cantSplit/>
          <w:tblHeader/>
        </w:trPr>
        <w:tc>
          <w:tcPr>
            <w:tcW w:w="548" w:type="pct"/>
            <w:shd w:val="clear" w:color="auto" w:fill="auto"/>
            <w:vAlign w:val="center"/>
          </w:tcPr>
          <w:p w:rsidR="00FD2E83" w:rsidRPr="004D292C" w:rsidRDefault="00FD2E83" w:rsidP="001E34DF">
            <w:pPr>
              <w:pStyle w:val="Tableheadingrow"/>
              <w:rPr>
                <w:lang w:val="en-AU"/>
              </w:rPr>
            </w:pPr>
            <w:r w:rsidRPr="004D292C">
              <w:rPr>
                <w:lang w:val="en-AU"/>
              </w:rPr>
              <w:t>Trial</w:t>
            </w:r>
          </w:p>
        </w:tc>
        <w:tc>
          <w:tcPr>
            <w:tcW w:w="314" w:type="pct"/>
            <w:shd w:val="clear" w:color="auto" w:fill="auto"/>
            <w:vAlign w:val="center"/>
          </w:tcPr>
          <w:p w:rsidR="00FD2E83" w:rsidRPr="004D292C" w:rsidRDefault="00FD2E83" w:rsidP="00EC5836">
            <w:pPr>
              <w:pStyle w:val="Tableheadingrow"/>
              <w:jc w:val="center"/>
              <w:rPr>
                <w:lang w:val="en-AU"/>
              </w:rPr>
            </w:pPr>
            <w:r w:rsidRPr="004D292C">
              <w:rPr>
                <w:lang w:val="en-AU"/>
              </w:rPr>
              <w:t>N</w:t>
            </w:r>
          </w:p>
        </w:tc>
        <w:tc>
          <w:tcPr>
            <w:tcW w:w="786" w:type="pct"/>
            <w:shd w:val="clear" w:color="auto" w:fill="auto"/>
            <w:vAlign w:val="center"/>
          </w:tcPr>
          <w:p w:rsidR="00FD2E83" w:rsidRPr="004D292C" w:rsidRDefault="00FD2E83" w:rsidP="00EC5836">
            <w:pPr>
              <w:pStyle w:val="Tableheadingrow"/>
              <w:jc w:val="center"/>
              <w:rPr>
                <w:lang w:val="en-AU"/>
              </w:rPr>
            </w:pPr>
            <w:r w:rsidRPr="004D292C">
              <w:rPr>
                <w:lang w:val="en-AU"/>
              </w:rPr>
              <w:t>Design/ duration</w:t>
            </w:r>
          </w:p>
        </w:tc>
        <w:tc>
          <w:tcPr>
            <w:tcW w:w="393" w:type="pct"/>
            <w:shd w:val="clear" w:color="auto" w:fill="auto"/>
            <w:vAlign w:val="center"/>
          </w:tcPr>
          <w:p w:rsidR="00FD2E83" w:rsidRPr="004D292C" w:rsidRDefault="00FD2E83" w:rsidP="00EC5836">
            <w:pPr>
              <w:pStyle w:val="Tableheadingrow"/>
              <w:jc w:val="center"/>
              <w:rPr>
                <w:lang w:val="en-AU"/>
              </w:rPr>
            </w:pPr>
            <w:r w:rsidRPr="004D292C">
              <w:rPr>
                <w:lang w:val="en-AU"/>
              </w:rPr>
              <w:t>Risk of bias</w:t>
            </w:r>
          </w:p>
        </w:tc>
        <w:tc>
          <w:tcPr>
            <w:tcW w:w="1336" w:type="pct"/>
            <w:shd w:val="clear" w:color="auto" w:fill="auto"/>
            <w:vAlign w:val="center"/>
          </w:tcPr>
          <w:p w:rsidR="00FD2E83" w:rsidRPr="004D292C" w:rsidRDefault="00FD2E83" w:rsidP="00EC5836">
            <w:pPr>
              <w:pStyle w:val="Tableheadingrow"/>
              <w:jc w:val="center"/>
              <w:rPr>
                <w:lang w:val="en-AU"/>
              </w:rPr>
            </w:pPr>
            <w:r w:rsidRPr="004D292C">
              <w:rPr>
                <w:lang w:val="en-AU"/>
              </w:rPr>
              <w:t>Patient population</w:t>
            </w:r>
          </w:p>
        </w:tc>
        <w:tc>
          <w:tcPr>
            <w:tcW w:w="1623" w:type="pct"/>
            <w:shd w:val="clear" w:color="auto" w:fill="auto"/>
            <w:vAlign w:val="center"/>
          </w:tcPr>
          <w:p w:rsidR="00FD2E83" w:rsidRPr="004D292C" w:rsidRDefault="004E7947" w:rsidP="00EC5836">
            <w:pPr>
              <w:pStyle w:val="Tableheadingrow"/>
              <w:jc w:val="center"/>
              <w:rPr>
                <w:lang w:val="en-AU"/>
              </w:rPr>
            </w:pPr>
            <w:r w:rsidRPr="004D292C">
              <w:rPr>
                <w:lang w:val="en-AU"/>
              </w:rPr>
              <w:t>Outcomes</w:t>
            </w:r>
          </w:p>
        </w:tc>
      </w:tr>
      <w:tr w:rsidR="00FD2E83" w:rsidRPr="004D292C" w:rsidTr="002A5805">
        <w:trPr>
          <w:cantSplit/>
        </w:trPr>
        <w:tc>
          <w:tcPr>
            <w:tcW w:w="5000" w:type="pct"/>
            <w:gridSpan w:val="6"/>
            <w:shd w:val="clear" w:color="auto" w:fill="auto"/>
            <w:vAlign w:val="center"/>
          </w:tcPr>
          <w:p w:rsidR="00FD2E83" w:rsidRPr="004D292C" w:rsidRDefault="00FD2E83" w:rsidP="00B9643A">
            <w:pPr>
              <w:pStyle w:val="Tableheadingrow"/>
              <w:rPr>
                <w:lang w:val="en-AU"/>
              </w:rPr>
            </w:pPr>
            <w:r w:rsidRPr="004D292C">
              <w:rPr>
                <w:lang w:val="en-AU"/>
              </w:rPr>
              <w:t>Dapagliflozin + standard care vs placebo + standard care</w:t>
            </w:r>
          </w:p>
        </w:tc>
      </w:tr>
      <w:tr w:rsidR="004E7947" w:rsidRPr="004D292C" w:rsidTr="002A5805">
        <w:trPr>
          <w:cantSplit/>
        </w:trPr>
        <w:tc>
          <w:tcPr>
            <w:tcW w:w="548" w:type="pct"/>
            <w:shd w:val="clear" w:color="auto" w:fill="auto"/>
            <w:vAlign w:val="center"/>
          </w:tcPr>
          <w:p w:rsidR="00FD2E83" w:rsidRPr="004D292C" w:rsidRDefault="00FD2E83" w:rsidP="00EC5836">
            <w:pPr>
              <w:pStyle w:val="TableText"/>
            </w:pPr>
            <w:r w:rsidRPr="004D292C">
              <w:t>DAPA-HF</w:t>
            </w:r>
          </w:p>
        </w:tc>
        <w:tc>
          <w:tcPr>
            <w:tcW w:w="314" w:type="pct"/>
            <w:shd w:val="clear" w:color="auto" w:fill="auto"/>
            <w:vAlign w:val="center"/>
          </w:tcPr>
          <w:p w:rsidR="00FD2E83" w:rsidRPr="004D292C" w:rsidRDefault="00FD2E83" w:rsidP="00EC5836">
            <w:pPr>
              <w:pStyle w:val="TableText"/>
              <w:jc w:val="center"/>
            </w:pPr>
            <w:r w:rsidRPr="004D292C">
              <w:t>4744</w:t>
            </w:r>
          </w:p>
        </w:tc>
        <w:tc>
          <w:tcPr>
            <w:tcW w:w="786" w:type="pct"/>
            <w:shd w:val="clear" w:color="auto" w:fill="auto"/>
            <w:vAlign w:val="center"/>
          </w:tcPr>
          <w:p w:rsidR="00FD2E83" w:rsidRPr="004D292C" w:rsidRDefault="00FD2E83" w:rsidP="00FD2E83">
            <w:pPr>
              <w:pStyle w:val="TableText"/>
              <w:jc w:val="center"/>
            </w:pPr>
            <w:r w:rsidRPr="004D292C">
              <w:t>Phase 3, multi-centre, parallel- group, randomised, double-</w:t>
            </w:r>
            <w:r w:rsidR="007A05F1" w:rsidRPr="004D292C">
              <w:t>blind, placebo-controlled study (median duration of follow-up 18 months)</w:t>
            </w:r>
          </w:p>
        </w:tc>
        <w:tc>
          <w:tcPr>
            <w:tcW w:w="393" w:type="pct"/>
            <w:shd w:val="clear" w:color="auto" w:fill="auto"/>
            <w:vAlign w:val="center"/>
          </w:tcPr>
          <w:p w:rsidR="00FD2E83" w:rsidRPr="004D292C" w:rsidRDefault="00FD2E83" w:rsidP="00EC5836">
            <w:pPr>
              <w:pStyle w:val="TableText"/>
              <w:jc w:val="center"/>
              <w:rPr>
                <w:i/>
              </w:rPr>
            </w:pPr>
            <w:r w:rsidRPr="004D292C">
              <w:t>Low</w:t>
            </w:r>
          </w:p>
        </w:tc>
        <w:tc>
          <w:tcPr>
            <w:tcW w:w="1336" w:type="pct"/>
            <w:shd w:val="clear" w:color="auto" w:fill="auto"/>
            <w:vAlign w:val="center"/>
          </w:tcPr>
          <w:p w:rsidR="00FD2E83" w:rsidRPr="004D292C" w:rsidRDefault="00FD2E83" w:rsidP="004D77AA">
            <w:pPr>
              <w:pStyle w:val="TableText"/>
              <w:numPr>
                <w:ilvl w:val="0"/>
                <w:numId w:val="5"/>
              </w:numPr>
              <w:ind w:left="227" w:hanging="170"/>
            </w:pPr>
            <w:r w:rsidRPr="004D292C">
              <w:t>Age ≥18 years with symptomatic HFrEF</w:t>
            </w:r>
          </w:p>
          <w:p w:rsidR="00FD2E83" w:rsidRPr="004D292C" w:rsidRDefault="00FD2E83" w:rsidP="004D77AA">
            <w:pPr>
              <w:pStyle w:val="TableText"/>
              <w:numPr>
                <w:ilvl w:val="0"/>
                <w:numId w:val="5"/>
              </w:numPr>
              <w:ind w:left="227" w:hanging="170"/>
            </w:pPr>
            <w:r w:rsidRPr="004D292C">
              <w:t>LVEF ≤40%</w:t>
            </w:r>
          </w:p>
          <w:p w:rsidR="00FD2E83" w:rsidRPr="004D292C" w:rsidRDefault="00FD2E83" w:rsidP="004D77AA">
            <w:pPr>
              <w:pStyle w:val="TableText"/>
              <w:numPr>
                <w:ilvl w:val="0"/>
                <w:numId w:val="5"/>
              </w:numPr>
              <w:ind w:left="227" w:hanging="170"/>
            </w:pPr>
            <w:r w:rsidRPr="004D292C">
              <w:t>NYHA Class II-IV</w:t>
            </w:r>
            <w:r w:rsidR="004E7947" w:rsidRPr="004D292C">
              <w:t xml:space="preserve"> HF</w:t>
            </w:r>
          </w:p>
          <w:p w:rsidR="00FD2E83" w:rsidRPr="004D292C" w:rsidRDefault="00FD2E83" w:rsidP="004D77AA">
            <w:pPr>
              <w:pStyle w:val="TableText"/>
              <w:numPr>
                <w:ilvl w:val="0"/>
                <w:numId w:val="5"/>
              </w:numPr>
              <w:ind w:left="227" w:hanging="170"/>
            </w:pPr>
            <w:r w:rsidRPr="004D292C">
              <w:t>NT-proBNP ≥600 pg/mL</w:t>
            </w:r>
          </w:p>
          <w:p w:rsidR="00FD2E83" w:rsidRPr="004D292C" w:rsidRDefault="00FD2E83" w:rsidP="004D77AA">
            <w:pPr>
              <w:pStyle w:val="TableText"/>
              <w:numPr>
                <w:ilvl w:val="0"/>
                <w:numId w:val="5"/>
              </w:numPr>
              <w:ind w:left="227" w:hanging="170"/>
            </w:pPr>
            <w:r w:rsidRPr="004D292C">
              <w:t xml:space="preserve">On background therapy with </w:t>
            </w:r>
            <w:r w:rsidR="004E7947" w:rsidRPr="004D292C">
              <w:t xml:space="preserve">an </w:t>
            </w:r>
            <w:r w:rsidRPr="004D292C">
              <w:t>ACE inhibitor (or ARB or sacubitril/valsartan), a beta-blocker; and an MRA (</w:t>
            </w:r>
            <w:r w:rsidR="004E7947" w:rsidRPr="004D292C">
              <w:t>if considered appropriate)</w:t>
            </w:r>
          </w:p>
        </w:tc>
        <w:tc>
          <w:tcPr>
            <w:tcW w:w="1623" w:type="pct"/>
            <w:shd w:val="clear" w:color="auto" w:fill="auto"/>
            <w:vAlign w:val="center"/>
          </w:tcPr>
          <w:p w:rsidR="007A05F1" w:rsidRPr="004D292C" w:rsidRDefault="007A05F1" w:rsidP="004D77AA">
            <w:pPr>
              <w:pStyle w:val="TableText"/>
              <w:numPr>
                <w:ilvl w:val="0"/>
                <w:numId w:val="5"/>
              </w:numPr>
              <w:ind w:left="227" w:hanging="170"/>
            </w:pPr>
            <w:r w:rsidRPr="004D292C">
              <w:t>Time to CV death, hospitalisation for HF, or urgent HF visit</w:t>
            </w:r>
          </w:p>
          <w:p w:rsidR="007A05F1" w:rsidRPr="004D292C" w:rsidRDefault="007A05F1" w:rsidP="004D77AA">
            <w:pPr>
              <w:pStyle w:val="TableText"/>
              <w:numPr>
                <w:ilvl w:val="0"/>
                <w:numId w:val="5"/>
              </w:numPr>
              <w:ind w:left="227" w:hanging="170"/>
            </w:pPr>
            <w:r w:rsidRPr="004D292C">
              <w:t>Time to CV death or hospitalisation for HF</w:t>
            </w:r>
          </w:p>
          <w:p w:rsidR="007A05F1" w:rsidRPr="004D292C" w:rsidRDefault="007A05F1" w:rsidP="004D77AA">
            <w:pPr>
              <w:pStyle w:val="TableText"/>
              <w:numPr>
                <w:ilvl w:val="0"/>
                <w:numId w:val="5"/>
              </w:numPr>
              <w:ind w:left="227" w:hanging="170"/>
            </w:pPr>
            <w:r w:rsidRPr="004D292C">
              <w:t>CV death or recurrent HF hospitalisations</w:t>
            </w:r>
          </w:p>
          <w:p w:rsidR="007A05F1" w:rsidRPr="004D292C" w:rsidRDefault="007A05F1" w:rsidP="004D77AA">
            <w:pPr>
              <w:pStyle w:val="TableText"/>
              <w:numPr>
                <w:ilvl w:val="0"/>
                <w:numId w:val="5"/>
              </w:numPr>
              <w:ind w:left="227" w:hanging="170"/>
            </w:pPr>
            <w:r w:rsidRPr="004D292C">
              <w:t>Change in KCCQ-TSS</w:t>
            </w:r>
          </w:p>
          <w:p w:rsidR="007A05F1" w:rsidRPr="004D292C" w:rsidRDefault="00694FEB" w:rsidP="004D77AA">
            <w:pPr>
              <w:pStyle w:val="TableText"/>
              <w:numPr>
                <w:ilvl w:val="0"/>
                <w:numId w:val="5"/>
              </w:numPr>
              <w:ind w:left="227" w:hanging="170"/>
            </w:pPr>
            <w:r w:rsidRPr="004D292C">
              <w:t>Time to</w:t>
            </w:r>
            <w:r w:rsidR="007A05F1" w:rsidRPr="004D292C">
              <w:t xml:space="preserve"> ≥50% decline in eGFR, ESRD or renal death</w:t>
            </w:r>
          </w:p>
          <w:p w:rsidR="00FD2E83" w:rsidRPr="004D292C" w:rsidRDefault="007A05F1" w:rsidP="004D77AA">
            <w:pPr>
              <w:pStyle w:val="TableText"/>
              <w:numPr>
                <w:ilvl w:val="0"/>
                <w:numId w:val="5"/>
              </w:numPr>
              <w:ind w:left="227" w:hanging="170"/>
            </w:pPr>
            <w:r w:rsidRPr="004D292C">
              <w:t>Time to death from any cause</w:t>
            </w:r>
          </w:p>
        </w:tc>
      </w:tr>
      <w:tr w:rsidR="00FD2E83" w:rsidRPr="004D292C" w:rsidTr="002A5805">
        <w:trPr>
          <w:cantSplit/>
        </w:trPr>
        <w:tc>
          <w:tcPr>
            <w:tcW w:w="5000" w:type="pct"/>
            <w:gridSpan w:val="6"/>
            <w:shd w:val="clear" w:color="auto" w:fill="auto"/>
            <w:vAlign w:val="center"/>
          </w:tcPr>
          <w:p w:rsidR="00FD2E83" w:rsidRPr="004D292C" w:rsidRDefault="00FD2E83" w:rsidP="00B9643A">
            <w:pPr>
              <w:pStyle w:val="TableText"/>
              <w:rPr>
                <w:b/>
              </w:rPr>
            </w:pPr>
            <w:r w:rsidRPr="004D292C">
              <w:rPr>
                <w:b/>
              </w:rPr>
              <w:t>Sacubitril/valsartan + standard care vs enalapril + standard care</w:t>
            </w:r>
          </w:p>
        </w:tc>
      </w:tr>
      <w:tr w:rsidR="004E7947" w:rsidRPr="004D292C" w:rsidTr="002A5805">
        <w:trPr>
          <w:cantSplit/>
        </w:trPr>
        <w:tc>
          <w:tcPr>
            <w:tcW w:w="548" w:type="pct"/>
            <w:shd w:val="clear" w:color="auto" w:fill="auto"/>
            <w:vAlign w:val="center"/>
          </w:tcPr>
          <w:p w:rsidR="00FD2E83" w:rsidRPr="004D292C" w:rsidRDefault="00FD2E83" w:rsidP="00EC5836">
            <w:pPr>
              <w:pStyle w:val="TableText"/>
            </w:pPr>
            <w:r w:rsidRPr="004D292C">
              <w:t>PARADIGM-HF</w:t>
            </w:r>
          </w:p>
        </w:tc>
        <w:tc>
          <w:tcPr>
            <w:tcW w:w="314" w:type="pct"/>
            <w:shd w:val="clear" w:color="auto" w:fill="auto"/>
            <w:vAlign w:val="center"/>
          </w:tcPr>
          <w:p w:rsidR="00FD2E83" w:rsidRPr="004D292C" w:rsidRDefault="00FD2E83" w:rsidP="00EC5836">
            <w:pPr>
              <w:pStyle w:val="TableText"/>
              <w:jc w:val="center"/>
            </w:pPr>
            <w:r w:rsidRPr="004D292C">
              <w:t>8399</w:t>
            </w:r>
          </w:p>
        </w:tc>
        <w:tc>
          <w:tcPr>
            <w:tcW w:w="786" w:type="pct"/>
            <w:shd w:val="clear" w:color="auto" w:fill="auto"/>
            <w:vAlign w:val="center"/>
          </w:tcPr>
          <w:p w:rsidR="00FD2E83" w:rsidRPr="004D292C" w:rsidRDefault="00FD2E83" w:rsidP="00FD2E83">
            <w:pPr>
              <w:pStyle w:val="TableText"/>
              <w:jc w:val="center"/>
            </w:pPr>
            <w:r w:rsidRPr="004D292C">
              <w:t>Phase 3, multi-centre, parallel- group, randomised, double-</w:t>
            </w:r>
            <w:r w:rsidR="007A05F1" w:rsidRPr="004D292C">
              <w:t xml:space="preserve">blind, </w:t>
            </w:r>
            <w:r w:rsidR="002F6A3A" w:rsidRPr="004D292C">
              <w:t>active</w:t>
            </w:r>
            <w:r w:rsidR="007A05F1" w:rsidRPr="004D292C">
              <w:t>-controlled study (median duration of follow-up 27 months)</w:t>
            </w:r>
          </w:p>
        </w:tc>
        <w:tc>
          <w:tcPr>
            <w:tcW w:w="393" w:type="pct"/>
            <w:shd w:val="clear" w:color="auto" w:fill="auto"/>
            <w:vAlign w:val="center"/>
          </w:tcPr>
          <w:p w:rsidR="00FD2E83" w:rsidRPr="004D292C" w:rsidRDefault="00FD2E83" w:rsidP="00EC5836">
            <w:pPr>
              <w:pStyle w:val="TableText"/>
              <w:jc w:val="center"/>
              <w:rPr>
                <w:i/>
              </w:rPr>
            </w:pPr>
            <w:r w:rsidRPr="004D292C">
              <w:t>Low</w:t>
            </w:r>
          </w:p>
        </w:tc>
        <w:tc>
          <w:tcPr>
            <w:tcW w:w="1336" w:type="pct"/>
            <w:shd w:val="clear" w:color="auto" w:fill="auto"/>
            <w:vAlign w:val="center"/>
          </w:tcPr>
          <w:p w:rsidR="004E7947" w:rsidRPr="004D292C" w:rsidRDefault="004E7947" w:rsidP="004D77AA">
            <w:pPr>
              <w:pStyle w:val="TableText"/>
              <w:numPr>
                <w:ilvl w:val="0"/>
                <w:numId w:val="5"/>
              </w:numPr>
              <w:ind w:left="227" w:hanging="170"/>
            </w:pPr>
            <w:r w:rsidRPr="004D292C">
              <w:t>Age ≥18 years</w:t>
            </w:r>
          </w:p>
          <w:p w:rsidR="004E7947" w:rsidRPr="004D292C" w:rsidRDefault="004E7947" w:rsidP="004D77AA">
            <w:pPr>
              <w:pStyle w:val="TableText"/>
              <w:numPr>
                <w:ilvl w:val="0"/>
                <w:numId w:val="5"/>
              </w:numPr>
              <w:ind w:left="227" w:hanging="170"/>
            </w:pPr>
            <w:r w:rsidRPr="004D292C">
              <w:t>LVEF ≤</w:t>
            </w:r>
            <w:r w:rsidR="00957D0C" w:rsidRPr="004D292C">
              <w:t>40</w:t>
            </w:r>
            <w:r w:rsidRPr="004D292C">
              <w:t>%</w:t>
            </w:r>
            <w:r w:rsidRPr="004D292C">
              <w:rPr>
                <w:vertAlign w:val="superscript"/>
              </w:rPr>
              <w:t>1</w:t>
            </w:r>
          </w:p>
          <w:p w:rsidR="004E7947" w:rsidRPr="004D292C" w:rsidRDefault="004E7947" w:rsidP="004D77AA">
            <w:pPr>
              <w:pStyle w:val="TableText"/>
              <w:numPr>
                <w:ilvl w:val="0"/>
                <w:numId w:val="5"/>
              </w:numPr>
              <w:ind w:left="227" w:hanging="170"/>
            </w:pPr>
            <w:r w:rsidRPr="004D292C">
              <w:t>NYHA Class II-IV HF</w:t>
            </w:r>
          </w:p>
          <w:p w:rsidR="004E7947" w:rsidRPr="004D292C" w:rsidRDefault="004E7947" w:rsidP="004D77AA">
            <w:pPr>
              <w:pStyle w:val="TableText"/>
              <w:numPr>
                <w:ilvl w:val="0"/>
                <w:numId w:val="5"/>
              </w:numPr>
              <w:ind w:left="227" w:hanging="170"/>
            </w:pPr>
            <w:r w:rsidRPr="004D292C">
              <w:t>Plasma BNP ≥150 pg/ml or NT-proBNP ≥600 pg/mL</w:t>
            </w:r>
          </w:p>
          <w:p w:rsidR="00FD2E83" w:rsidRPr="004D292C" w:rsidRDefault="004E7947" w:rsidP="004D77AA">
            <w:pPr>
              <w:pStyle w:val="TableText"/>
              <w:numPr>
                <w:ilvl w:val="0"/>
                <w:numId w:val="5"/>
              </w:numPr>
              <w:ind w:left="227" w:hanging="170"/>
            </w:pPr>
            <w:r w:rsidRPr="004D292C">
              <w:t>On background therapy with an</w:t>
            </w:r>
            <w:r w:rsidR="001747AD" w:rsidRPr="004D292C">
              <w:t xml:space="preserve"> </w:t>
            </w:r>
            <w:r w:rsidRPr="004D292C">
              <w:t>ACE inhibitor (or ARB), a beta-blocker; and an MRA (if considered appropriate)</w:t>
            </w:r>
          </w:p>
        </w:tc>
        <w:tc>
          <w:tcPr>
            <w:tcW w:w="1623" w:type="pct"/>
            <w:shd w:val="clear" w:color="auto" w:fill="auto"/>
            <w:vAlign w:val="center"/>
          </w:tcPr>
          <w:p w:rsidR="007A05F1" w:rsidRPr="004D292C" w:rsidRDefault="007A05F1" w:rsidP="004D77AA">
            <w:pPr>
              <w:pStyle w:val="TableText"/>
              <w:numPr>
                <w:ilvl w:val="0"/>
                <w:numId w:val="5"/>
              </w:numPr>
              <w:ind w:left="227" w:hanging="170"/>
            </w:pPr>
            <w:r w:rsidRPr="004D292C">
              <w:t>Time to CV death or hospitalisation for HF</w:t>
            </w:r>
          </w:p>
          <w:p w:rsidR="007A05F1" w:rsidRPr="004D292C" w:rsidRDefault="00D371C8" w:rsidP="004D77AA">
            <w:pPr>
              <w:pStyle w:val="TableText"/>
              <w:numPr>
                <w:ilvl w:val="0"/>
                <w:numId w:val="5"/>
              </w:numPr>
              <w:ind w:left="227" w:hanging="170"/>
            </w:pPr>
            <w:r w:rsidRPr="004D292C">
              <w:t>Time to death from any cause</w:t>
            </w:r>
          </w:p>
          <w:p w:rsidR="00D371C8" w:rsidRPr="004D292C" w:rsidRDefault="00D371C8" w:rsidP="004D77AA">
            <w:pPr>
              <w:pStyle w:val="TableText"/>
              <w:numPr>
                <w:ilvl w:val="0"/>
                <w:numId w:val="5"/>
              </w:numPr>
              <w:ind w:left="227" w:hanging="170"/>
            </w:pPr>
            <w:r w:rsidRPr="004D292C">
              <w:t>Change in KCCQ-CSS</w:t>
            </w:r>
          </w:p>
          <w:p w:rsidR="00D371C8" w:rsidRPr="004D292C" w:rsidRDefault="00D371C8" w:rsidP="004D77AA">
            <w:pPr>
              <w:pStyle w:val="TableText"/>
              <w:numPr>
                <w:ilvl w:val="0"/>
                <w:numId w:val="5"/>
              </w:numPr>
              <w:ind w:left="227" w:hanging="170"/>
            </w:pPr>
            <w:r w:rsidRPr="004D292C">
              <w:t>Time to new-onset AF</w:t>
            </w:r>
          </w:p>
          <w:p w:rsidR="00D371C8" w:rsidRPr="004D292C" w:rsidRDefault="00D371C8" w:rsidP="004D77AA">
            <w:pPr>
              <w:pStyle w:val="TableText"/>
              <w:numPr>
                <w:ilvl w:val="0"/>
                <w:numId w:val="5"/>
              </w:numPr>
              <w:ind w:left="227" w:hanging="170"/>
            </w:pPr>
            <w:r w:rsidRPr="004D292C">
              <w:t xml:space="preserve">Time </w:t>
            </w:r>
            <w:r w:rsidR="003A6F7F" w:rsidRPr="004D292C">
              <w:t xml:space="preserve">to </w:t>
            </w:r>
            <w:r w:rsidRPr="004D292C">
              <w:t>decline in renal function</w:t>
            </w:r>
          </w:p>
          <w:p w:rsidR="00FD2E83" w:rsidRPr="004D292C" w:rsidRDefault="00FD2E83" w:rsidP="007A05F1">
            <w:pPr>
              <w:pStyle w:val="TableText"/>
              <w:jc w:val="center"/>
            </w:pPr>
          </w:p>
        </w:tc>
      </w:tr>
    </w:tbl>
    <w:p w:rsidR="00E67CED" w:rsidRPr="004D292C" w:rsidRDefault="00045017" w:rsidP="00EC5836">
      <w:pPr>
        <w:pStyle w:val="TableFigureFooter"/>
      </w:pPr>
      <w:r w:rsidRPr="004D292C">
        <w:t xml:space="preserve">Source: </w:t>
      </w:r>
      <w:r w:rsidR="00E67CED" w:rsidRPr="004D292C">
        <w:t>Section 2.3.1, pp45-48 of the submission; Table 2.5-3, p.77 of the submission; Attachment 2.4 of the submission; Table 2, p.1065 of McMurray et al. (2013).</w:t>
      </w:r>
    </w:p>
    <w:p w:rsidR="00620C25" w:rsidRPr="004D292C" w:rsidRDefault="00E67CED" w:rsidP="00EC5836">
      <w:pPr>
        <w:pStyle w:val="TableFigureFooter"/>
      </w:pPr>
      <w:r w:rsidRPr="004D292C">
        <w:t xml:space="preserve">Abbreviations: ACE, angiotensin-converting enzyme; ARB, angiotensin II receptor blocker; BNP B-Type </w:t>
      </w:r>
      <w:r w:rsidR="001747AD" w:rsidRPr="004D292C">
        <w:t>natriuretic</w:t>
      </w:r>
      <w:r w:rsidRPr="004D292C">
        <w:t xml:space="preserve"> peptide; CSS, clinical summary score; CV, cardiovascular; eGFR, estimated GFR; ESRD, end-stage renal disease; HF, heart failure; HFrEF, heart failure with reduced ejection fraction; KCCQ, Kansas City Cardiomyopathy Questionnaire; LVEF, left ventricular ejection fraction; NT-proBNP N-Terminal pro b natriuretic peptide; NYHA, New York Heart Association; TSS, total symptom score.</w:t>
      </w:r>
    </w:p>
    <w:p w:rsidR="004E7947" w:rsidRPr="004D292C" w:rsidRDefault="004E7947" w:rsidP="00EC5836">
      <w:pPr>
        <w:pStyle w:val="TableFigureFooter"/>
        <w:rPr>
          <w:sz w:val="20"/>
        </w:rPr>
      </w:pPr>
      <w:r w:rsidRPr="004D292C">
        <w:rPr>
          <w:vertAlign w:val="superscript"/>
        </w:rPr>
        <w:t>1</w:t>
      </w:r>
      <w:r w:rsidRPr="004D292C">
        <w:t xml:space="preserve"> Changed from ≤40% to ≤35% in a protocol amendment that occurred during recruitment.</w:t>
      </w:r>
    </w:p>
    <w:p w:rsidR="004E7947" w:rsidRPr="004D292C" w:rsidRDefault="004E7947" w:rsidP="004E7947">
      <w:pPr>
        <w:pStyle w:val="ExecSumBodyText"/>
        <w:rPr>
          <w:i/>
        </w:rPr>
      </w:pPr>
      <w:r w:rsidRPr="004D292C">
        <w:t>The DAPA-HF trial was an international, multi-centre trial conducted across 410 study sites in 20 countries in the Asia/Pacific (23%), Europe (45%), North America (14%) and South America (17%). Patients were randomised to receive dapagliflozin or placebo in addition to background heart failure treatments. The final clinical study report was available during the evaluation.</w:t>
      </w:r>
      <w:r w:rsidRPr="004D292C">
        <w:rPr>
          <w:i/>
        </w:rPr>
        <w:t xml:space="preserve"> </w:t>
      </w:r>
      <w:r w:rsidRPr="004D292C">
        <w:t>The DAPA-HF trial had a low risk of bias.</w:t>
      </w:r>
    </w:p>
    <w:p w:rsidR="004E7947" w:rsidRPr="004D292C" w:rsidRDefault="004E7947" w:rsidP="00E67CED">
      <w:pPr>
        <w:pStyle w:val="ExecSumBodyText"/>
      </w:pPr>
      <w:r w:rsidRPr="004D292C">
        <w:t>The PARADIGM-HF trial was an international, multi-centre trial conducted across 1,043 study sites in 47 countries in the Asia/Pacific (18%), Central Europe (34%), Western Europe/Other (24%), Latin America (17%) and North America (7%).</w:t>
      </w:r>
      <w:r w:rsidR="007A05F1" w:rsidRPr="004D292C">
        <w:t xml:space="preserve"> The PARADIGM-HF trial included a single-blind run-in phase in which patients received enalapril 10 mg twice daily for two weeks, followed by sacubitril/valsartan 4</w:t>
      </w:r>
      <w:r w:rsidR="001B32DC" w:rsidRPr="004D292C">
        <w:t>8.6</w:t>
      </w:r>
      <w:r w:rsidR="007A05F1" w:rsidRPr="004D292C">
        <w:t>/51</w:t>
      </w:r>
      <w:r w:rsidR="001B32DC" w:rsidRPr="004D292C">
        <w:t>.4</w:t>
      </w:r>
      <w:r w:rsidR="00402D0F" w:rsidRPr="004D292C">
        <w:t> </w:t>
      </w:r>
      <w:r w:rsidR="007A05F1" w:rsidRPr="004D292C">
        <w:t>mg for one to two weeks, then 97</w:t>
      </w:r>
      <w:r w:rsidR="004B57E3" w:rsidRPr="004D292C">
        <w:t>.2 mg</w:t>
      </w:r>
      <w:r w:rsidR="007A05F1" w:rsidRPr="004D292C">
        <w:t xml:space="preserve">/102.8 mg for two to four weeks. Only patients who tolerated both run-in periods entered the double-blind randomised treatment phase. </w:t>
      </w:r>
      <w:r w:rsidR="00E67CED" w:rsidRPr="004D292C">
        <w:t xml:space="preserve">Patients were randomised to receive sacubitril/valsartan or enalapril in addition to background heart failure treatments. </w:t>
      </w:r>
      <w:r w:rsidR="00BD568F" w:rsidRPr="004D292C">
        <w:t>The PARADIGM-HF trial had a low risk of bias.</w:t>
      </w:r>
    </w:p>
    <w:p w:rsidR="00E67CED" w:rsidRPr="004D292C" w:rsidRDefault="007A05F1" w:rsidP="007A05F1">
      <w:pPr>
        <w:pStyle w:val="ExecSumBodyText"/>
      </w:pPr>
      <w:r w:rsidRPr="004D292C">
        <w:lastRenderedPageBreak/>
        <w:t xml:space="preserve">The </w:t>
      </w:r>
      <w:r w:rsidR="00AA0592" w:rsidRPr="004D292C">
        <w:t>PARADIGM-HF</w:t>
      </w:r>
      <w:r w:rsidRPr="004D292C">
        <w:t xml:space="preserve"> trial was stopped early, according to pre-specified rules, after a median follow-up of 27 months, as the boundary for a benefit with sacubitril/valsartan had been crossed. </w:t>
      </w:r>
    </w:p>
    <w:p w:rsidR="00BE0F8F" w:rsidRPr="004D292C" w:rsidRDefault="00E67CED" w:rsidP="004232F1">
      <w:pPr>
        <w:pStyle w:val="ExecSumBodyText"/>
      </w:pPr>
      <w:r w:rsidRPr="004D292C">
        <w:t xml:space="preserve">Baseline characteristics were generally well matched between treatment arms of the DAPA-HF </w:t>
      </w:r>
      <w:r w:rsidR="00A32D5A" w:rsidRPr="004D292C">
        <w:t>and PARADIGM-HF trials</w:t>
      </w:r>
      <w:r w:rsidRPr="004D292C">
        <w:t xml:space="preserve">. </w:t>
      </w:r>
      <w:r w:rsidR="00BD568F" w:rsidRPr="004D292C">
        <w:t xml:space="preserve">However, the inclusion of the </w:t>
      </w:r>
      <w:r w:rsidR="001D3ABC" w:rsidRPr="004D292C">
        <w:t xml:space="preserve">PARADIGM-HF </w:t>
      </w:r>
      <w:r w:rsidR="00BD568F" w:rsidRPr="004D292C">
        <w:t>run-in phase may impact the exchangeability of the trial results in the indirect comparison.</w:t>
      </w:r>
    </w:p>
    <w:p w:rsidR="00E67CED" w:rsidRPr="004D292C" w:rsidRDefault="00E67CED" w:rsidP="004232F1">
      <w:pPr>
        <w:pStyle w:val="ExecSumBodyText"/>
      </w:pPr>
      <w:r w:rsidRPr="004D292C">
        <w:t>Compared to the PARADIGM-HF trial, patients in the DAPA-HF trial were older (mean age</w:t>
      </w:r>
      <w:r w:rsidR="00AF2745" w:rsidRPr="004D292C">
        <w:t xml:space="preserve"> 66.3 years versus 63.8 years), with a higher mean LVEF (31.1% versus 29.5%), </w:t>
      </w:r>
      <w:r w:rsidR="004B57E3" w:rsidRPr="004D292C">
        <w:t xml:space="preserve">and </w:t>
      </w:r>
      <w:r w:rsidR="00AF2745" w:rsidRPr="004D292C">
        <w:t xml:space="preserve">a higher proportion of diabetic patients (42% versus 35%). There </w:t>
      </w:r>
      <w:r w:rsidR="00A128FF">
        <w:t>were</w:t>
      </w:r>
      <w:r w:rsidR="0026357D">
        <w:t xml:space="preserve"> </w:t>
      </w:r>
      <w:r w:rsidR="00AF2745" w:rsidRPr="004D292C">
        <w:t xml:space="preserve">patients in PARADIGM-HF with NYHA Class I </w:t>
      </w:r>
      <w:r w:rsidR="00A128FF">
        <w:t xml:space="preserve">and none in DAPA-HF </w:t>
      </w:r>
      <w:r w:rsidR="00AF2745" w:rsidRPr="004D292C">
        <w:t xml:space="preserve">(5% versus 0% in DAPA-HF), </w:t>
      </w:r>
      <w:r w:rsidR="00A128FF">
        <w:t xml:space="preserve">there was a higher proportion of </w:t>
      </w:r>
      <w:r w:rsidR="00AF2745" w:rsidRPr="004D292C">
        <w:t xml:space="preserve">Class II (70% versus 68% in DAPA-HF), and a lower proportion with NYHA Class III (24% versus 32% in DAPA-HF). </w:t>
      </w:r>
    </w:p>
    <w:p w:rsidR="00AF2745" w:rsidRPr="004D292C" w:rsidRDefault="00AF2745" w:rsidP="00AF2745">
      <w:pPr>
        <w:pStyle w:val="ExecSumBodyText"/>
      </w:pPr>
      <w:r w:rsidRPr="004D292C">
        <w:t xml:space="preserve">There were differences in background heart failure therapies between the trials, with a higher proportion of patients in the DAPA-HF trial on a diuretic (93% versus 80%), a beta blocker (96% versus 93%), </w:t>
      </w:r>
      <w:r w:rsidR="004B57E3" w:rsidRPr="004D292C">
        <w:t xml:space="preserve">and </w:t>
      </w:r>
      <w:r w:rsidRPr="004D292C">
        <w:t>an MRA (71% versus 56%)</w:t>
      </w:r>
      <w:r w:rsidR="004B57E3" w:rsidRPr="004D292C">
        <w:t xml:space="preserve"> </w:t>
      </w:r>
      <w:r w:rsidRPr="004D292C">
        <w:t xml:space="preserve">at baseline. A higher proportion of patients in the PARADIGM-HF trial were receiving treatment with digoxin (30% versus 19%). </w:t>
      </w:r>
      <w:r w:rsidR="00957D0C" w:rsidRPr="004D292C">
        <w:t xml:space="preserve">The ESC </w:t>
      </w:r>
      <w:r w:rsidR="00D56EAF" w:rsidRPr="004D292C">
        <w:t xml:space="preserve">considered </w:t>
      </w:r>
      <w:r w:rsidR="00957D0C" w:rsidRPr="004D292C">
        <w:t xml:space="preserve">that these differences </w:t>
      </w:r>
      <w:r w:rsidR="00BD568F" w:rsidRPr="004D292C">
        <w:t xml:space="preserve">in patient characteristics and background treatments </w:t>
      </w:r>
      <w:r w:rsidR="00957D0C" w:rsidRPr="004D292C">
        <w:t xml:space="preserve">were </w:t>
      </w:r>
      <w:r w:rsidR="00B64723">
        <w:t xml:space="preserve">relatively </w:t>
      </w:r>
      <w:r w:rsidR="00957D0C" w:rsidRPr="004D292C">
        <w:t>minor</w:t>
      </w:r>
      <w:r w:rsidR="00B64723">
        <w:t xml:space="preserve">, appeared </w:t>
      </w:r>
      <w:r w:rsidR="00BD568F" w:rsidRPr="004D292C">
        <w:t xml:space="preserve">bidirectional and </w:t>
      </w:r>
      <w:r w:rsidR="00B64723">
        <w:t xml:space="preserve">were </w:t>
      </w:r>
      <w:r w:rsidR="00957D0C" w:rsidRPr="004D292C">
        <w:t xml:space="preserve">unlikely to have </w:t>
      </w:r>
      <w:r w:rsidR="00BD568F" w:rsidRPr="004D292C">
        <w:t xml:space="preserve">significantly impacted </w:t>
      </w:r>
      <w:r w:rsidR="00957D0C" w:rsidRPr="004D292C">
        <w:t>outcomes.</w:t>
      </w:r>
    </w:p>
    <w:p w:rsidR="00E67CED" w:rsidRPr="004D292C" w:rsidRDefault="00AF2745" w:rsidP="00AF2745">
      <w:pPr>
        <w:pStyle w:val="ExecSumBodyText"/>
      </w:pPr>
      <w:r w:rsidRPr="004D292C">
        <w:t>At baseline, 56% of patients in DAPA-HF were receiving background treatment with an ACE inhibitor, 28% were receiving an ARB, and 11% of were receiving sacubitril/valsartan (patients in the PARADIGM-HF trial were switched to protocol specified sacubitril/valsartan or enalapril).</w:t>
      </w:r>
    </w:p>
    <w:p w:rsidR="00BE2976" w:rsidRPr="004D292C" w:rsidRDefault="00BE2976" w:rsidP="00BE2976">
      <w:pPr>
        <w:pStyle w:val="ExecSumBodyText"/>
      </w:pPr>
      <w:r w:rsidRPr="004D292C">
        <w:t>The submission proposed a non-inferiority margin of 1.104 for the composite outcome of time to cardiovascular death or hospitalisation for heart failure, based on the non-inferiority margin used in a trial comparing aliskiren monotherapy to enalapril monotherapy, in patients with heart failure with reduced ejection fraction (ATMOSPHERE study; Krum et al, 2011).</w:t>
      </w:r>
      <w:r w:rsidR="00957D0C" w:rsidRPr="004D292C">
        <w:t xml:space="preserve"> The ESC </w:t>
      </w:r>
      <w:r w:rsidR="005876B6" w:rsidRPr="004D292C">
        <w:t xml:space="preserve">considered </w:t>
      </w:r>
      <w:r w:rsidR="00957D0C" w:rsidRPr="004D292C">
        <w:t>this was reasonable.</w:t>
      </w:r>
    </w:p>
    <w:p w:rsidR="00BE2976" w:rsidRPr="004D292C" w:rsidRDefault="00BE2976" w:rsidP="00BE2976">
      <w:pPr>
        <w:pStyle w:val="ExecSumBodyText"/>
        <w:rPr>
          <w:i/>
        </w:rPr>
      </w:pPr>
      <w:r w:rsidRPr="004D292C">
        <w:t xml:space="preserve">The submission proposed a non-inferiority margin of 1.41 for the outcome of time to death from any cause, based on the non-inferiority margin used for the composite outcome of time to death from any cause, myocardial infarction and stroke in a study comparing percutaneous coronary intervention with drug-eluting stents to coronary artery bypass grafting, in patients with left main coronary artery disease (Stone et al., 2016). </w:t>
      </w:r>
      <w:r w:rsidRPr="004D292C">
        <w:rPr>
          <w:iCs/>
        </w:rPr>
        <w:t>The</w:t>
      </w:r>
      <w:r w:rsidR="00957D0C" w:rsidRPr="004D292C">
        <w:rPr>
          <w:iCs/>
        </w:rPr>
        <w:t xml:space="preserve"> </w:t>
      </w:r>
      <w:r w:rsidR="005876B6" w:rsidRPr="004D292C">
        <w:rPr>
          <w:iCs/>
        </w:rPr>
        <w:t xml:space="preserve">ESC agreed </w:t>
      </w:r>
      <w:r w:rsidR="00703E51" w:rsidRPr="004D292C">
        <w:rPr>
          <w:iCs/>
        </w:rPr>
        <w:t xml:space="preserve">with the </w:t>
      </w:r>
      <w:r w:rsidR="00F733C2" w:rsidRPr="004D292C">
        <w:rPr>
          <w:iCs/>
        </w:rPr>
        <w:t xml:space="preserve">evaluation </w:t>
      </w:r>
      <w:r w:rsidR="005876B6" w:rsidRPr="004D292C">
        <w:rPr>
          <w:iCs/>
        </w:rPr>
        <w:t xml:space="preserve">that the </w:t>
      </w:r>
      <w:r w:rsidR="00957D0C" w:rsidRPr="004D292C">
        <w:rPr>
          <w:iCs/>
        </w:rPr>
        <w:t xml:space="preserve">choice of this </w:t>
      </w:r>
      <w:r w:rsidR="003A7180" w:rsidRPr="004D292C">
        <w:rPr>
          <w:iCs/>
        </w:rPr>
        <w:t xml:space="preserve">non-inferiority </w:t>
      </w:r>
      <w:r w:rsidR="00957D0C" w:rsidRPr="004D292C">
        <w:rPr>
          <w:iCs/>
        </w:rPr>
        <w:t xml:space="preserve">margin </w:t>
      </w:r>
      <w:r w:rsidR="00960BD4" w:rsidRPr="004D292C">
        <w:rPr>
          <w:iCs/>
        </w:rPr>
        <w:t>and its applicability</w:t>
      </w:r>
      <w:r w:rsidRPr="004D292C">
        <w:rPr>
          <w:iCs/>
        </w:rPr>
        <w:t xml:space="preserve"> to the outcome of time to death from any cause among patients with heart failure with reduced ejection fraction is unclear</w:t>
      </w:r>
      <w:r w:rsidR="00BD568F" w:rsidRPr="004D292C">
        <w:rPr>
          <w:iCs/>
        </w:rPr>
        <w:t xml:space="preserve"> and adequate justification for its use was not provided</w:t>
      </w:r>
      <w:r w:rsidRPr="004D292C">
        <w:rPr>
          <w:iCs/>
        </w:rPr>
        <w:t>.</w:t>
      </w:r>
    </w:p>
    <w:p w:rsidR="00BE2976" w:rsidRPr="004D292C" w:rsidRDefault="00BE2976" w:rsidP="00BE2976">
      <w:pPr>
        <w:pStyle w:val="ExecSumBodyText"/>
      </w:pPr>
      <w:r w:rsidRPr="004D292C">
        <w:t xml:space="preserve">The submission proposed a non-inferiority margin of 1.33 for the outcome of time to cardiovascular death, based on the non-inferiority margin used for the composite outcome of cardiovascular death, myocardial infarction and stroke used in a study </w:t>
      </w:r>
      <w:r w:rsidRPr="004D292C">
        <w:lastRenderedPageBreak/>
        <w:t xml:space="preserve">comparing celecoxib, ibuprofen and naproxen, in patients requiring NSAIDs for osteoarthritis or rheumatoid arthritis who were at increased cardiovascular risk (PRECISION study; Nissen et al., 2016). </w:t>
      </w:r>
      <w:r w:rsidRPr="004D292C">
        <w:rPr>
          <w:iCs/>
        </w:rPr>
        <w:t>The</w:t>
      </w:r>
      <w:r w:rsidR="005876B6" w:rsidRPr="004D292C">
        <w:rPr>
          <w:iCs/>
        </w:rPr>
        <w:t xml:space="preserve"> ESC agreed </w:t>
      </w:r>
      <w:r w:rsidR="00703E51" w:rsidRPr="004D292C">
        <w:rPr>
          <w:iCs/>
        </w:rPr>
        <w:t xml:space="preserve">with the </w:t>
      </w:r>
      <w:r w:rsidR="00F733C2" w:rsidRPr="004D292C">
        <w:rPr>
          <w:iCs/>
        </w:rPr>
        <w:t xml:space="preserve">evaluation </w:t>
      </w:r>
      <w:r w:rsidR="005876B6" w:rsidRPr="004D292C">
        <w:rPr>
          <w:iCs/>
        </w:rPr>
        <w:t xml:space="preserve">that </w:t>
      </w:r>
      <w:r w:rsidR="00960BD4" w:rsidRPr="004D292C">
        <w:rPr>
          <w:iCs/>
        </w:rPr>
        <w:t>the choice of this non-inferiority margin and its applicability</w:t>
      </w:r>
      <w:r w:rsidR="00960BD4" w:rsidRPr="004D292C" w:rsidDel="00960BD4">
        <w:rPr>
          <w:iCs/>
        </w:rPr>
        <w:t xml:space="preserve"> </w:t>
      </w:r>
      <w:r w:rsidRPr="004D292C">
        <w:rPr>
          <w:iCs/>
        </w:rPr>
        <w:t>to the outcome of time to cardiovascular death among patients with heart failure with reduced ejection fraction is unclear</w:t>
      </w:r>
      <w:r w:rsidR="00BD568F" w:rsidRPr="004D292C">
        <w:rPr>
          <w:iCs/>
        </w:rPr>
        <w:t xml:space="preserve"> and adequate justification for its use was not provided</w:t>
      </w:r>
      <w:r w:rsidR="00F733C2" w:rsidRPr="004D292C">
        <w:rPr>
          <w:iCs/>
        </w:rPr>
        <w:t>.</w:t>
      </w:r>
    </w:p>
    <w:p w:rsidR="00B60939" w:rsidRPr="004D292C" w:rsidRDefault="00B60939" w:rsidP="00007380">
      <w:pPr>
        <w:pStyle w:val="3-SubsectionHeading"/>
      </w:pPr>
      <w:bookmarkStart w:id="14" w:name="_Toc22897641"/>
      <w:bookmarkStart w:id="15" w:name="_Toc50975078"/>
      <w:r w:rsidRPr="004D292C">
        <w:t>Comparative effectiveness</w:t>
      </w:r>
      <w:bookmarkEnd w:id="14"/>
      <w:bookmarkEnd w:id="15"/>
    </w:p>
    <w:p w:rsidR="00B96C2B" w:rsidRPr="004D292C" w:rsidRDefault="00B96C2B" w:rsidP="00436B89">
      <w:pPr>
        <w:pStyle w:val="ExecSumBodyText"/>
      </w:pPr>
      <w:r w:rsidRPr="004D292C">
        <w:t xml:space="preserve">Table </w:t>
      </w:r>
      <w:r w:rsidR="00097BEE" w:rsidRPr="004D292C">
        <w:t>4</w:t>
      </w:r>
      <w:r w:rsidRPr="004D292C">
        <w:t xml:space="preserve"> presents the results of the DAPA-H</w:t>
      </w:r>
      <w:r w:rsidR="00AA0592" w:rsidRPr="004D292C">
        <w:t>F</w:t>
      </w:r>
      <w:r w:rsidRPr="004D292C">
        <w:t xml:space="preserve"> trial based on the </w:t>
      </w:r>
      <w:r w:rsidR="004B57E3" w:rsidRPr="004D292C">
        <w:t xml:space="preserve">protocol-specified </w:t>
      </w:r>
      <w:r w:rsidRPr="004D292C">
        <w:t xml:space="preserve">hierarchical testing sequence. </w:t>
      </w:r>
    </w:p>
    <w:p w:rsidR="00B96C2B" w:rsidRPr="004D292C" w:rsidRDefault="00097BEE" w:rsidP="00B96C2B">
      <w:pPr>
        <w:pStyle w:val="TableFigureCaption"/>
      </w:pPr>
      <w:r w:rsidRPr="004D292C">
        <w:t>Table 4</w:t>
      </w:r>
      <w:r w:rsidR="00B96C2B" w:rsidRPr="004D292C">
        <w:t xml:space="preserve">: Results for the DAPA-HF trial </w:t>
      </w:r>
      <w:r w:rsidR="009B5084" w:rsidRPr="004D292C">
        <w:t xml:space="preserve">primary and </w:t>
      </w:r>
      <w:r w:rsidR="00B96C2B" w:rsidRPr="004D292C">
        <w:t>secondary outcomes</w:t>
      </w:r>
      <w:r w:rsidR="009B5084" w:rsidRPr="004D292C">
        <w:t xml:space="preserve"> based on the hierarchical testing sequence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417"/>
        <w:gridCol w:w="1298"/>
        <w:gridCol w:w="1627"/>
      </w:tblGrid>
      <w:tr w:rsidR="00B96C2B" w:rsidRPr="004D292C" w:rsidTr="002A5805">
        <w:trPr>
          <w:tblHeader/>
        </w:trPr>
        <w:tc>
          <w:tcPr>
            <w:tcW w:w="2592" w:type="pct"/>
          </w:tcPr>
          <w:p w:rsidR="00B96C2B" w:rsidRPr="004D292C" w:rsidRDefault="00B96C2B" w:rsidP="004232F1">
            <w:pPr>
              <w:pStyle w:val="Tableheadingrow"/>
              <w:keepNext w:val="0"/>
              <w:rPr>
                <w:lang w:val="en-AU"/>
              </w:rPr>
            </w:pPr>
          </w:p>
        </w:tc>
        <w:tc>
          <w:tcPr>
            <w:tcW w:w="786" w:type="pct"/>
            <w:vAlign w:val="center"/>
          </w:tcPr>
          <w:p w:rsidR="00B96C2B" w:rsidRPr="004D292C" w:rsidRDefault="00B96C2B" w:rsidP="004232F1">
            <w:pPr>
              <w:pStyle w:val="Tabletext0"/>
              <w:jc w:val="center"/>
              <w:rPr>
                <w:b/>
              </w:rPr>
            </w:pPr>
            <w:r w:rsidRPr="004D292C">
              <w:rPr>
                <w:b/>
              </w:rPr>
              <w:t>Dapagliflozin</w:t>
            </w:r>
            <w:r w:rsidR="00816047" w:rsidRPr="004D292C">
              <w:rPr>
                <w:b/>
              </w:rPr>
              <w:t xml:space="preserve"> + SOC</w:t>
            </w:r>
          </w:p>
          <w:p w:rsidR="00B96C2B" w:rsidRPr="004D292C" w:rsidRDefault="00B96C2B" w:rsidP="004232F1">
            <w:pPr>
              <w:pStyle w:val="Tableheadingrow"/>
              <w:keepNext w:val="0"/>
              <w:jc w:val="center"/>
              <w:rPr>
                <w:lang w:val="en-AU"/>
              </w:rPr>
            </w:pPr>
            <w:r w:rsidRPr="004D292C">
              <w:rPr>
                <w:lang w:val="en-AU"/>
              </w:rPr>
              <w:t>(N=2373)</w:t>
            </w:r>
          </w:p>
        </w:tc>
        <w:tc>
          <w:tcPr>
            <w:tcW w:w="720" w:type="pct"/>
            <w:vAlign w:val="center"/>
          </w:tcPr>
          <w:p w:rsidR="00B96C2B" w:rsidRPr="004D292C" w:rsidRDefault="00B96C2B" w:rsidP="004232F1">
            <w:pPr>
              <w:pStyle w:val="Tabletext0"/>
              <w:jc w:val="center"/>
              <w:rPr>
                <w:b/>
              </w:rPr>
            </w:pPr>
            <w:r w:rsidRPr="004D292C">
              <w:rPr>
                <w:b/>
              </w:rPr>
              <w:t>Placebo</w:t>
            </w:r>
            <w:r w:rsidR="00816047" w:rsidRPr="004D292C">
              <w:rPr>
                <w:b/>
              </w:rPr>
              <w:t xml:space="preserve"> + SOC</w:t>
            </w:r>
          </w:p>
          <w:p w:rsidR="00B96C2B" w:rsidRPr="004D292C" w:rsidRDefault="00B96C2B" w:rsidP="004232F1">
            <w:pPr>
              <w:pStyle w:val="Tableheadingrow"/>
              <w:keepNext w:val="0"/>
              <w:jc w:val="center"/>
              <w:rPr>
                <w:lang w:val="en-AU"/>
              </w:rPr>
            </w:pPr>
            <w:r w:rsidRPr="004D292C">
              <w:rPr>
                <w:lang w:val="en-AU"/>
              </w:rPr>
              <w:t>(N=2371)</w:t>
            </w:r>
          </w:p>
        </w:tc>
        <w:tc>
          <w:tcPr>
            <w:tcW w:w="903" w:type="pct"/>
            <w:vMerge w:val="restart"/>
          </w:tcPr>
          <w:p w:rsidR="00B96C2B" w:rsidRPr="004D292C" w:rsidRDefault="00B96C2B" w:rsidP="004232F1">
            <w:pPr>
              <w:pStyle w:val="Tabletext0"/>
              <w:jc w:val="center"/>
              <w:rPr>
                <w:b/>
                <w:vertAlign w:val="superscript"/>
              </w:rPr>
            </w:pPr>
            <w:r w:rsidRPr="004D292C">
              <w:rPr>
                <w:b/>
              </w:rPr>
              <w:t>Comparison ratio</w:t>
            </w:r>
            <w:r w:rsidRPr="004D292C">
              <w:rPr>
                <w:b/>
                <w:vertAlign w:val="superscript"/>
              </w:rPr>
              <w:t>1</w:t>
            </w:r>
          </w:p>
          <w:p w:rsidR="00B96C2B" w:rsidRPr="004D292C" w:rsidRDefault="00B96C2B" w:rsidP="004232F1">
            <w:pPr>
              <w:pStyle w:val="Tabletext0"/>
              <w:jc w:val="center"/>
              <w:rPr>
                <w:b/>
                <w:vertAlign w:val="superscript"/>
              </w:rPr>
            </w:pPr>
            <w:r w:rsidRPr="004D292C">
              <w:rPr>
                <w:b/>
              </w:rPr>
              <w:t>(95% CI)</w:t>
            </w:r>
          </w:p>
        </w:tc>
      </w:tr>
      <w:tr w:rsidR="00B96C2B" w:rsidRPr="004D292C" w:rsidTr="002A5805">
        <w:tc>
          <w:tcPr>
            <w:tcW w:w="2592" w:type="pct"/>
          </w:tcPr>
          <w:p w:rsidR="00B96C2B" w:rsidRPr="004D292C" w:rsidRDefault="00B96C2B" w:rsidP="00B96C2B">
            <w:pPr>
              <w:pStyle w:val="Tabletext0"/>
            </w:pPr>
            <w:r w:rsidRPr="004D292C">
              <w:t>Median duration of follow-up, months</w:t>
            </w:r>
          </w:p>
        </w:tc>
        <w:tc>
          <w:tcPr>
            <w:tcW w:w="786" w:type="pct"/>
          </w:tcPr>
          <w:p w:rsidR="00B96C2B" w:rsidRPr="004D292C" w:rsidRDefault="00B96C2B" w:rsidP="00B96C2B">
            <w:pPr>
              <w:pStyle w:val="TableText"/>
              <w:keepNext w:val="0"/>
              <w:jc w:val="center"/>
            </w:pPr>
            <w:r w:rsidRPr="004D292C">
              <w:t>18.3 (0.0-27.3)</w:t>
            </w:r>
          </w:p>
        </w:tc>
        <w:tc>
          <w:tcPr>
            <w:tcW w:w="720" w:type="pct"/>
          </w:tcPr>
          <w:p w:rsidR="00B96C2B" w:rsidRPr="004D292C" w:rsidRDefault="00B96C2B" w:rsidP="00B96C2B">
            <w:pPr>
              <w:pStyle w:val="TableText"/>
              <w:keepNext w:val="0"/>
              <w:jc w:val="center"/>
            </w:pPr>
            <w:r w:rsidRPr="004D292C">
              <w:t>18.2 (0.2-27.8)</w:t>
            </w:r>
          </w:p>
        </w:tc>
        <w:tc>
          <w:tcPr>
            <w:tcW w:w="903" w:type="pct"/>
            <w:vMerge/>
            <w:vAlign w:val="center"/>
          </w:tcPr>
          <w:p w:rsidR="00B96C2B" w:rsidRPr="004D292C" w:rsidRDefault="00B96C2B" w:rsidP="00B96C2B">
            <w:pPr>
              <w:pStyle w:val="TableText"/>
              <w:keepNext w:val="0"/>
              <w:jc w:val="center"/>
              <w:rPr>
                <w:b/>
              </w:rPr>
            </w:pPr>
          </w:p>
        </w:tc>
      </w:tr>
      <w:tr w:rsidR="00B96C2B" w:rsidRPr="004D292C" w:rsidTr="002A5805">
        <w:tc>
          <w:tcPr>
            <w:tcW w:w="2592" w:type="pct"/>
            <w:vAlign w:val="center"/>
          </w:tcPr>
          <w:p w:rsidR="00B96C2B" w:rsidRPr="004D292C" w:rsidRDefault="00B96C2B" w:rsidP="00B96C2B">
            <w:pPr>
              <w:pStyle w:val="Tabletext0"/>
            </w:pPr>
            <w:r w:rsidRPr="004D292C">
              <w:t>Composite of time to CV death, hospitalisation for HF or urgent HF visit, events n (%)</w:t>
            </w:r>
          </w:p>
        </w:tc>
        <w:tc>
          <w:tcPr>
            <w:tcW w:w="786" w:type="pct"/>
            <w:vAlign w:val="center"/>
          </w:tcPr>
          <w:p w:rsidR="00B96C2B" w:rsidRPr="004D292C" w:rsidRDefault="00B96C2B" w:rsidP="00B96C2B">
            <w:pPr>
              <w:pStyle w:val="TableText"/>
              <w:keepNext w:val="0"/>
              <w:jc w:val="center"/>
            </w:pPr>
            <w:r w:rsidRPr="004D292C">
              <w:t>386 (16.3)</w:t>
            </w:r>
          </w:p>
        </w:tc>
        <w:tc>
          <w:tcPr>
            <w:tcW w:w="720" w:type="pct"/>
            <w:vAlign w:val="center"/>
          </w:tcPr>
          <w:p w:rsidR="00B96C2B" w:rsidRPr="004D292C" w:rsidRDefault="00B96C2B" w:rsidP="00B96C2B">
            <w:pPr>
              <w:pStyle w:val="TableText"/>
              <w:keepNext w:val="0"/>
              <w:jc w:val="center"/>
            </w:pPr>
            <w:r w:rsidRPr="004D292C">
              <w:t>502 (21.2)</w:t>
            </w:r>
          </w:p>
        </w:tc>
        <w:tc>
          <w:tcPr>
            <w:tcW w:w="903" w:type="pct"/>
            <w:vAlign w:val="center"/>
          </w:tcPr>
          <w:p w:rsidR="00B96C2B" w:rsidRPr="004D292C" w:rsidRDefault="00B96C2B" w:rsidP="00B96C2B">
            <w:pPr>
              <w:pStyle w:val="TableText"/>
              <w:keepNext w:val="0"/>
              <w:jc w:val="center"/>
              <w:rPr>
                <w:b/>
              </w:rPr>
            </w:pPr>
            <w:r w:rsidRPr="004D292C">
              <w:rPr>
                <w:b/>
              </w:rPr>
              <w:t>0.74 (0.65, 0.85)</w:t>
            </w:r>
          </w:p>
        </w:tc>
      </w:tr>
      <w:tr w:rsidR="00B96C2B" w:rsidRPr="004D292C" w:rsidTr="002A5805">
        <w:tc>
          <w:tcPr>
            <w:tcW w:w="2592" w:type="pct"/>
            <w:vAlign w:val="center"/>
          </w:tcPr>
          <w:p w:rsidR="00B96C2B" w:rsidRPr="004D292C" w:rsidRDefault="00B96C2B" w:rsidP="004232F1">
            <w:pPr>
              <w:pStyle w:val="Tabletext0"/>
            </w:pPr>
            <w:r w:rsidRPr="004D292C">
              <w:t>Composite of time CV death or hospitalisation for HF, n (%)</w:t>
            </w:r>
          </w:p>
        </w:tc>
        <w:tc>
          <w:tcPr>
            <w:tcW w:w="786" w:type="pct"/>
            <w:vAlign w:val="center"/>
          </w:tcPr>
          <w:p w:rsidR="00B96C2B" w:rsidRPr="004D292C" w:rsidRDefault="00B96C2B" w:rsidP="004232F1">
            <w:pPr>
              <w:pStyle w:val="TableText"/>
              <w:keepNext w:val="0"/>
              <w:jc w:val="center"/>
            </w:pPr>
            <w:r w:rsidRPr="004D292C">
              <w:t>382 (16.1)</w:t>
            </w:r>
          </w:p>
        </w:tc>
        <w:tc>
          <w:tcPr>
            <w:tcW w:w="720" w:type="pct"/>
            <w:vAlign w:val="center"/>
          </w:tcPr>
          <w:p w:rsidR="00B96C2B" w:rsidRPr="004D292C" w:rsidRDefault="00B96C2B" w:rsidP="004232F1">
            <w:pPr>
              <w:pStyle w:val="TableText"/>
              <w:keepNext w:val="0"/>
              <w:jc w:val="center"/>
            </w:pPr>
            <w:r w:rsidRPr="004D292C">
              <w:t>495 (20.9)</w:t>
            </w:r>
          </w:p>
        </w:tc>
        <w:tc>
          <w:tcPr>
            <w:tcW w:w="903" w:type="pct"/>
            <w:vAlign w:val="center"/>
          </w:tcPr>
          <w:p w:rsidR="00B96C2B" w:rsidRPr="004D292C" w:rsidRDefault="00B96C2B" w:rsidP="004232F1">
            <w:pPr>
              <w:pStyle w:val="TableText"/>
              <w:keepNext w:val="0"/>
              <w:jc w:val="center"/>
              <w:rPr>
                <w:b/>
              </w:rPr>
            </w:pPr>
            <w:r w:rsidRPr="004D292C">
              <w:rPr>
                <w:b/>
              </w:rPr>
              <w:t>0.75 (0.65, 0.85)</w:t>
            </w:r>
          </w:p>
        </w:tc>
      </w:tr>
      <w:tr w:rsidR="00B96C2B" w:rsidRPr="004D292C" w:rsidTr="002A5805">
        <w:tc>
          <w:tcPr>
            <w:tcW w:w="2592" w:type="pct"/>
            <w:vAlign w:val="center"/>
          </w:tcPr>
          <w:p w:rsidR="00B96C2B" w:rsidRPr="004D292C" w:rsidRDefault="00B96C2B" w:rsidP="004F270B">
            <w:pPr>
              <w:pStyle w:val="Tabletext0"/>
            </w:pPr>
            <w:r w:rsidRPr="004D292C">
              <w:t>Composite of CV death or recurrent HF hospitalisation, n</w:t>
            </w:r>
          </w:p>
        </w:tc>
        <w:tc>
          <w:tcPr>
            <w:tcW w:w="786" w:type="pct"/>
            <w:vAlign w:val="center"/>
          </w:tcPr>
          <w:p w:rsidR="00B96C2B" w:rsidRPr="004D292C" w:rsidRDefault="00B96C2B" w:rsidP="004232F1">
            <w:pPr>
              <w:pStyle w:val="TableText"/>
              <w:keepNext w:val="0"/>
              <w:jc w:val="center"/>
            </w:pPr>
            <w:r w:rsidRPr="004D292C">
              <w:t>567</w:t>
            </w:r>
          </w:p>
        </w:tc>
        <w:tc>
          <w:tcPr>
            <w:tcW w:w="720" w:type="pct"/>
            <w:vAlign w:val="center"/>
          </w:tcPr>
          <w:p w:rsidR="00B96C2B" w:rsidRPr="004D292C" w:rsidRDefault="00B96C2B" w:rsidP="004232F1">
            <w:pPr>
              <w:pStyle w:val="TableText"/>
              <w:keepNext w:val="0"/>
              <w:jc w:val="center"/>
            </w:pPr>
            <w:r w:rsidRPr="004D292C">
              <w:t>742</w:t>
            </w:r>
          </w:p>
        </w:tc>
        <w:tc>
          <w:tcPr>
            <w:tcW w:w="903" w:type="pct"/>
            <w:vAlign w:val="center"/>
          </w:tcPr>
          <w:p w:rsidR="00B96C2B" w:rsidRPr="004D292C" w:rsidRDefault="00B96C2B" w:rsidP="004232F1">
            <w:pPr>
              <w:pStyle w:val="TableText"/>
              <w:jc w:val="center"/>
              <w:rPr>
                <w:b/>
              </w:rPr>
            </w:pPr>
            <w:r w:rsidRPr="004D292C">
              <w:rPr>
                <w:b/>
              </w:rPr>
              <w:t>0.75 (0.65, 0.88)</w:t>
            </w:r>
          </w:p>
        </w:tc>
      </w:tr>
      <w:tr w:rsidR="00B96C2B" w:rsidRPr="004D292C" w:rsidTr="002A5805">
        <w:tc>
          <w:tcPr>
            <w:tcW w:w="2592" w:type="pct"/>
            <w:vAlign w:val="center"/>
          </w:tcPr>
          <w:p w:rsidR="00B96C2B" w:rsidRPr="004D292C" w:rsidRDefault="00B96C2B" w:rsidP="004232F1">
            <w:pPr>
              <w:pStyle w:val="Tabletext0"/>
              <w:rPr>
                <w:vertAlign w:val="superscript"/>
              </w:rPr>
            </w:pPr>
            <w:r w:rsidRPr="004D292C">
              <w:t>Change in the KCCQ-TSS at 8 months, mean change (SD)</w:t>
            </w:r>
            <w:r w:rsidRPr="004D292C">
              <w:rPr>
                <w:vertAlign w:val="superscript"/>
              </w:rPr>
              <w:t>2</w:t>
            </w:r>
          </w:p>
        </w:tc>
        <w:tc>
          <w:tcPr>
            <w:tcW w:w="786" w:type="pct"/>
            <w:vAlign w:val="center"/>
          </w:tcPr>
          <w:p w:rsidR="00B96C2B" w:rsidRPr="004D292C" w:rsidRDefault="00B96C2B" w:rsidP="004232F1">
            <w:pPr>
              <w:pStyle w:val="TableText"/>
              <w:keepNext w:val="0"/>
              <w:jc w:val="center"/>
            </w:pPr>
            <w:r w:rsidRPr="004D292C">
              <w:t>6.1 (18.6)</w:t>
            </w:r>
          </w:p>
        </w:tc>
        <w:tc>
          <w:tcPr>
            <w:tcW w:w="720" w:type="pct"/>
            <w:vAlign w:val="center"/>
          </w:tcPr>
          <w:p w:rsidR="00B96C2B" w:rsidRPr="004D292C" w:rsidRDefault="00B96C2B" w:rsidP="004232F1">
            <w:pPr>
              <w:pStyle w:val="TableText"/>
              <w:keepNext w:val="0"/>
              <w:jc w:val="center"/>
            </w:pPr>
            <w:r w:rsidRPr="004D292C">
              <w:t>3.3 (19.2)</w:t>
            </w:r>
          </w:p>
        </w:tc>
        <w:tc>
          <w:tcPr>
            <w:tcW w:w="903" w:type="pct"/>
            <w:vAlign w:val="center"/>
          </w:tcPr>
          <w:p w:rsidR="00B96C2B" w:rsidRPr="004D292C" w:rsidRDefault="00B96C2B" w:rsidP="004232F1">
            <w:pPr>
              <w:pStyle w:val="TableText"/>
              <w:jc w:val="center"/>
              <w:rPr>
                <w:b/>
              </w:rPr>
            </w:pPr>
            <w:r w:rsidRPr="004D292C">
              <w:rPr>
                <w:b/>
              </w:rPr>
              <w:t>1.18 (1.11, 1.26)</w:t>
            </w:r>
          </w:p>
        </w:tc>
      </w:tr>
      <w:tr w:rsidR="00B96C2B" w:rsidRPr="004D292C" w:rsidTr="002A5805">
        <w:tc>
          <w:tcPr>
            <w:tcW w:w="2592" w:type="pct"/>
            <w:vAlign w:val="center"/>
          </w:tcPr>
          <w:p w:rsidR="00B96C2B" w:rsidRPr="004D292C" w:rsidRDefault="00B96C2B" w:rsidP="004232F1">
            <w:pPr>
              <w:pStyle w:val="Tabletext0"/>
            </w:pPr>
            <w:r w:rsidRPr="004D292C">
              <w:t>Composite of time to ≥50% sustained decline in eGFR, ESRD or renal death, n</w:t>
            </w:r>
          </w:p>
        </w:tc>
        <w:tc>
          <w:tcPr>
            <w:tcW w:w="786" w:type="pct"/>
            <w:vAlign w:val="center"/>
          </w:tcPr>
          <w:p w:rsidR="00B96C2B" w:rsidRPr="004D292C" w:rsidRDefault="00B96C2B" w:rsidP="004232F1">
            <w:pPr>
              <w:pStyle w:val="TableText"/>
              <w:keepNext w:val="0"/>
              <w:jc w:val="center"/>
            </w:pPr>
            <w:r w:rsidRPr="004D292C">
              <w:t>28</w:t>
            </w:r>
          </w:p>
        </w:tc>
        <w:tc>
          <w:tcPr>
            <w:tcW w:w="720" w:type="pct"/>
            <w:vAlign w:val="center"/>
          </w:tcPr>
          <w:p w:rsidR="00B96C2B" w:rsidRPr="004D292C" w:rsidRDefault="00B96C2B" w:rsidP="004232F1">
            <w:pPr>
              <w:pStyle w:val="TableText"/>
              <w:keepNext w:val="0"/>
              <w:jc w:val="center"/>
            </w:pPr>
            <w:r w:rsidRPr="004D292C">
              <w:t>39</w:t>
            </w:r>
          </w:p>
        </w:tc>
        <w:tc>
          <w:tcPr>
            <w:tcW w:w="903" w:type="pct"/>
            <w:vAlign w:val="center"/>
          </w:tcPr>
          <w:p w:rsidR="00B96C2B" w:rsidRPr="004D292C" w:rsidRDefault="00B96C2B" w:rsidP="004232F1">
            <w:pPr>
              <w:pStyle w:val="TableText"/>
              <w:jc w:val="center"/>
            </w:pPr>
            <w:r w:rsidRPr="004D292C">
              <w:t>0.71 (0.44, 1.16)</w:t>
            </w:r>
          </w:p>
        </w:tc>
      </w:tr>
      <w:tr w:rsidR="00B96C2B" w:rsidRPr="004D292C" w:rsidTr="002A5805">
        <w:tc>
          <w:tcPr>
            <w:tcW w:w="2592" w:type="pct"/>
            <w:vAlign w:val="center"/>
          </w:tcPr>
          <w:p w:rsidR="00B96C2B" w:rsidRPr="004D292C" w:rsidRDefault="00B96C2B" w:rsidP="004232F1">
            <w:pPr>
              <w:pStyle w:val="Tabletext0"/>
            </w:pPr>
            <w:r w:rsidRPr="004D292C">
              <w:t>Time to death from any cause, n</w:t>
            </w:r>
          </w:p>
        </w:tc>
        <w:tc>
          <w:tcPr>
            <w:tcW w:w="786" w:type="pct"/>
            <w:vAlign w:val="center"/>
          </w:tcPr>
          <w:p w:rsidR="00B96C2B" w:rsidRPr="004D292C" w:rsidRDefault="00B96C2B" w:rsidP="004232F1">
            <w:pPr>
              <w:pStyle w:val="TableText"/>
              <w:keepNext w:val="0"/>
              <w:jc w:val="center"/>
            </w:pPr>
            <w:r w:rsidRPr="004D292C">
              <w:t>276</w:t>
            </w:r>
          </w:p>
        </w:tc>
        <w:tc>
          <w:tcPr>
            <w:tcW w:w="720" w:type="pct"/>
            <w:vAlign w:val="center"/>
          </w:tcPr>
          <w:p w:rsidR="00B96C2B" w:rsidRPr="004D292C" w:rsidRDefault="00B96C2B" w:rsidP="004232F1">
            <w:pPr>
              <w:pStyle w:val="TableText"/>
              <w:keepNext w:val="0"/>
              <w:jc w:val="center"/>
            </w:pPr>
            <w:r w:rsidRPr="004D292C">
              <w:t>329</w:t>
            </w:r>
          </w:p>
        </w:tc>
        <w:tc>
          <w:tcPr>
            <w:tcW w:w="903" w:type="pct"/>
            <w:vAlign w:val="center"/>
          </w:tcPr>
          <w:p w:rsidR="00B96C2B" w:rsidRPr="004D292C" w:rsidRDefault="00B96C2B" w:rsidP="004232F1">
            <w:pPr>
              <w:pStyle w:val="TableText"/>
              <w:jc w:val="center"/>
              <w:rPr>
                <w:vertAlign w:val="superscript"/>
              </w:rPr>
            </w:pPr>
            <w:r w:rsidRPr="004D292C">
              <w:t>0.83 (0.71, 0.97)</w:t>
            </w:r>
          </w:p>
        </w:tc>
      </w:tr>
    </w:tbl>
    <w:p w:rsidR="00B96C2B" w:rsidRPr="004D292C" w:rsidRDefault="00B96C2B" w:rsidP="00B96C2B">
      <w:pPr>
        <w:pStyle w:val="TableFigureFooter"/>
      </w:pPr>
      <w:r w:rsidRPr="004D292C">
        <w:t>Bolded result indicates statistically significant difference. The hierarchical testing sequence stopped prior to the outcome of time to death from any cause being assessed.</w:t>
      </w:r>
    </w:p>
    <w:p w:rsidR="00B96C2B" w:rsidRPr="004D292C" w:rsidRDefault="00B96C2B" w:rsidP="00B96C2B">
      <w:pPr>
        <w:pStyle w:val="TableFigureFooter"/>
        <w:rPr>
          <w:sz w:val="20"/>
        </w:rPr>
      </w:pPr>
      <w:r w:rsidRPr="004D292C">
        <w:t>Source: Table 2.5-1, p.74 of the submission.</w:t>
      </w:r>
    </w:p>
    <w:p w:rsidR="00B96C2B" w:rsidRPr="004D292C" w:rsidRDefault="00B96C2B" w:rsidP="00B96C2B">
      <w:pPr>
        <w:pStyle w:val="TableFigureFooter"/>
        <w:rPr>
          <w:rFonts w:eastAsia="Calibri"/>
        </w:rPr>
      </w:pPr>
      <w:r w:rsidRPr="004D292C">
        <w:rPr>
          <w:rFonts w:eastAsia="Calibri"/>
        </w:rPr>
        <w:t xml:space="preserve">Abbreviations: CI, confidence interval; HF, heart failure; KCCQ, Kansas City Cardiomyopathy Questionnaire; ESRD, end-stage renal disease; SD, standard deviation; </w:t>
      </w:r>
      <w:r w:rsidR="00816047" w:rsidRPr="004D292C">
        <w:rPr>
          <w:rFonts w:eastAsia="Calibri"/>
        </w:rPr>
        <w:t xml:space="preserve">SOC, standard care; </w:t>
      </w:r>
      <w:r w:rsidRPr="004D292C">
        <w:rPr>
          <w:rFonts w:eastAsia="Calibri"/>
        </w:rPr>
        <w:t>TSS, total symptom score.</w:t>
      </w:r>
    </w:p>
    <w:p w:rsidR="00B96C2B" w:rsidRPr="004D292C" w:rsidRDefault="00B96C2B" w:rsidP="00B96C2B">
      <w:pPr>
        <w:pStyle w:val="TableFigureFooter"/>
        <w:rPr>
          <w:rFonts w:eastAsia="Calibri"/>
        </w:rPr>
      </w:pPr>
      <w:r w:rsidRPr="004D292C">
        <w:rPr>
          <w:rFonts w:eastAsia="Calibri"/>
          <w:vertAlign w:val="superscript"/>
        </w:rPr>
        <w:t>1</w:t>
      </w:r>
      <w:r w:rsidRPr="004D292C">
        <w:rPr>
          <w:rFonts w:eastAsia="Calibri"/>
        </w:rPr>
        <w:t xml:space="preserve"> Hazard ratio for time to event outcomes; rate ratio for composite of CV death or recurrent HF; win ratio for change in the KCCQ-TSS at 8</w:t>
      </w:r>
      <w:r w:rsidR="009A1D40" w:rsidRPr="004D292C">
        <w:rPr>
          <w:rFonts w:eastAsia="Calibri"/>
        </w:rPr>
        <w:t> </w:t>
      </w:r>
      <w:r w:rsidRPr="004D292C">
        <w:rPr>
          <w:rFonts w:eastAsia="Calibri"/>
        </w:rPr>
        <w:t>months.</w:t>
      </w:r>
    </w:p>
    <w:p w:rsidR="00B96C2B" w:rsidRPr="004D292C" w:rsidRDefault="00B96C2B" w:rsidP="00B96C2B">
      <w:pPr>
        <w:pStyle w:val="TableFigureFooter"/>
        <w:rPr>
          <w:rFonts w:eastAsia="Calibri"/>
        </w:rPr>
      </w:pPr>
      <w:r w:rsidRPr="004D292C">
        <w:rPr>
          <w:rFonts w:eastAsia="Calibri"/>
          <w:vertAlign w:val="superscript"/>
        </w:rPr>
        <w:t>2</w:t>
      </w:r>
      <w:r w:rsidRPr="004D292C">
        <w:rPr>
          <w:rFonts w:eastAsia="Calibri"/>
        </w:rPr>
        <w:t xml:space="preserve"> Scored on a scale from 0 to 100, with a higher score indicating fewer symptoms and a change of 5 or more points considered to be clinically meaningful.</w:t>
      </w:r>
    </w:p>
    <w:p w:rsidR="00B96C2B" w:rsidRPr="004D292C" w:rsidRDefault="00B96C2B" w:rsidP="00B96C2B">
      <w:pPr>
        <w:pStyle w:val="ExecSumBodyText"/>
      </w:pPr>
      <w:r w:rsidRPr="004D292C">
        <w:t>Treatment with dapagliflozin was associated with a statistically significant improvement in the primary composite endpoint of time to cardiovascular death, hospitalisation for heart failure or urgent heart failure visit compared to placebo (hazard ratio: 0.74; 95% CI: 0.65, 0.85), the composite of time to cardiovascular death or hospitalisation for heart failure (hazard ratio: 0.75; 95% CI: 0.65, 0.85), the composite of cardiovascular death or recurren</w:t>
      </w:r>
      <w:r w:rsidR="004B57E3" w:rsidRPr="004D292C">
        <w:t>t heart failure hospitalisation</w:t>
      </w:r>
      <w:r w:rsidRPr="004D292C">
        <w:t xml:space="preserve"> (rate ratio: 0.75; 95% CI: 0.65, 0.88), and the change in the Kansas City Cardiomyopathy Questionnaire (win ratio: 1.18; 95% CI: 1.11, 1.26). There was no statistically significant difference in the composite of time to ≥50% sustained decline in eGFR, </w:t>
      </w:r>
      <w:r w:rsidR="00CA7A7B" w:rsidRPr="004D292C">
        <w:t>end-stage renal disease</w:t>
      </w:r>
      <w:r w:rsidRPr="004D292C">
        <w:t xml:space="preserve"> or renal death (hazard ratio: 0.71; 95% CI: 0.44, 1.16). The hierarchical testing sequence stopped prior to the outcome of time to death from any cause being assessed.</w:t>
      </w:r>
    </w:p>
    <w:p w:rsidR="00C10E0C" w:rsidRDefault="00CA7A7B" w:rsidP="00C10E0C">
      <w:pPr>
        <w:pStyle w:val="ExecSumBodyText"/>
        <w:rPr>
          <w:i/>
        </w:rPr>
      </w:pPr>
      <w:r w:rsidRPr="004D292C">
        <w:t xml:space="preserve">The benefit of dapagliflozin on the composite of CV death or HF events was generally consistent across </w:t>
      </w:r>
      <w:r w:rsidR="00AA0592" w:rsidRPr="004D292C">
        <w:t>pre-specified sub</w:t>
      </w:r>
      <w:r w:rsidRPr="004D292C">
        <w:t>group</w:t>
      </w:r>
      <w:r w:rsidR="009B5084" w:rsidRPr="004D292C">
        <w:t xml:space="preserve">s, including patients without </w:t>
      </w:r>
      <w:r w:rsidR="006D04A4" w:rsidRPr="004D292C">
        <w:t>T2DM</w:t>
      </w:r>
      <w:r w:rsidRPr="004D292C">
        <w:t xml:space="preserve">. </w:t>
      </w:r>
      <w:r w:rsidR="004F270B" w:rsidRPr="004D292C">
        <w:lastRenderedPageBreak/>
        <w:t xml:space="preserve">However, subgroup analysis suggested that dapagliflozin may be less </w:t>
      </w:r>
      <w:r w:rsidR="005E5A85" w:rsidRPr="004D292C">
        <w:t>effective in</w:t>
      </w:r>
      <w:r w:rsidR="004F270B" w:rsidRPr="004D292C">
        <w:t xml:space="preserve"> patients </w:t>
      </w:r>
      <w:r w:rsidR="00861721">
        <w:t xml:space="preserve">with </w:t>
      </w:r>
      <w:r w:rsidR="004F270B" w:rsidRPr="004D292C">
        <w:t>NYHA Class III or IV heart failure</w:t>
      </w:r>
      <w:r w:rsidR="00703E51" w:rsidRPr="004D292C">
        <w:t xml:space="preserve"> (</w:t>
      </w:r>
      <w:r w:rsidR="0046741B" w:rsidRPr="004D292C">
        <w:t>s</w:t>
      </w:r>
      <w:r w:rsidR="00960BD4" w:rsidRPr="004D292C">
        <w:t xml:space="preserve">ee </w:t>
      </w:r>
      <w:r w:rsidR="00703E51" w:rsidRPr="004D292C">
        <w:t>Figure 2)</w:t>
      </w:r>
      <w:r w:rsidR="004F270B" w:rsidRPr="004D292C">
        <w:t>.</w:t>
      </w:r>
      <w:r w:rsidR="006757CA" w:rsidRPr="004D292C">
        <w:rPr>
          <w:i/>
        </w:rPr>
        <w:t xml:space="preserve"> </w:t>
      </w:r>
    </w:p>
    <w:p w:rsidR="003F462D" w:rsidRPr="00C10E0C" w:rsidRDefault="00703E51" w:rsidP="00C10E0C">
      <w:pPr>
        <w:pStyle w:val="ExecSumBodyText"/>
        <w:rPr>
          <w:i/>
        </w:rPr>
      </w:pPr>
      <w:r w:rsidRPr="00C10E0C">
        <w:rPr>
          <w:rFonts w:cstheme="majorBidi"/>
          <w:bCs/>
        </w:rPr>
        <w:t>Figure 2</w:t>
      </w:r>
      <w:r w:rsidR="003F462D" w:rsidRPr="00C10E0C">
        <w:rPr>
          <w:rFonts w:cstheme="majorBidi"/>
          <w:bCs/>
        </w:rPr>
        <w:t>:</w:t>
      </w:r>
      <w:r w:rsidRPr="00C10E0C">
        <w:rPr>
          <w:rFonts w:cstheme="majorBidi"/>
          <w:bCs/>
        </w:rPr>
        <w:t xml:space="preserve"> Primary composite outcome stratified by pre-specified subgroups</w:t>
      </w:r>
      <w:r w:rsidRPr="004D292C">
        <w:rPr>
          <w:i/>
          <w:noProof/>
        </w:rPr>
        <w:drawing>
          <wp:inline distT="0" distB="0" distL="0" distR="0" wp14:anchorId="15C8C5CC" wp14:editId="09F66748">
            <wp:extent cx="5303520" cy="6632294"/>
            <wp:effectExtent l="19050" t="19050" r="11430" b="16510"/>
            <wp:docPr id="13" name="Picture 13" title="6.19 Figure 2: Primary composite outcome stratified by pre-specified sub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1" t="2865" r="1456" b="3216"/>
                    <a:stretch/>
                  </pic:blipFill>
                  <pic:spPr bwMode="auto">
                    <a:xfrm>
                      <a:off x="0" y="0"/>
                      <a:ext cx="5303520" cy="6632294"/>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960BD4" w:rsidRPr="00C10E0C">
        <w:rPr>
          <w:rFonts w:ascii="Arial Narrow" w:hAnsi="Arial Narrow"/>
          <w:sz w:val="18"/>
          <w:szCs w:val="18"/>
        </w:rPr>
        <w:t>Source: Figure 2.5-7, p.81 of the submission.Abbreviations: BMI, body mass index; CI, confidence interval; ECG, electrocardiogram; GFR, glomerular filtration rate; HF, heart failure; HR, hazard ratio; LVEF, left ventricular ejection fraction; MRA,mineralocorticoid receptor antagonist; NT-proBNP, N-terminal pro B-type natriuretic peptide; NYHA, New York Heart Association.</w:t>
      </w:r>
    </w:p>
    <w:p w:rsidR="00CA7A7B" w:rsidRPr="004D292C" w:rsidRDefault="00097BEE" w:rsidP="00CA7A7B">
      <w:pPr>
        <w:pStyle w:val="ExecSumBodyText"/>
      </w:pPr>
      <w:r w:rsidRPr="004D292C">
        <w:lastRenderedPageBreak/>
        <w:t>Table 5</w:t>
      </w:r>
      <w:r w:rsidR="00CA7A7B" w:rsidRPr="004D292C">
        <w:t xml:space="preserve"> presents the results of the </w:t>
      </w:r>
      <w:r w:rsidR="00197DC8" w:rsidRPr="004D292C">
        <w:t>indirect comparison of dapagliflozin plus standard care (DAPA-HF trial full population) versus sacubitril/valsartan plus standard care (PARADIGM-HF trial), using placebo plus standard care (DAPA-HF trial full population) and enalapril plus standard care (PARADIGM-HF) as common reference</w:t>
      </w:r>
      <w:r w:rsidR="00CA7A7B" w:rsidRPr="004D292C">
        <w:t>.</w:t>
      </w:r>
    </w:p>
    <w:p w:rsidR="007A5498" w:rsidRPr="004D292C" w:rsidRDefault="00CA7A7B" w:rsidP="007A5498">
      <w:pPr>
        <w:pStyle w:val="TableFigureCaption"/>
      </w:pPr>
      <w:r w:rsidRPr="004D292C">
        <w:t xml:space="preserve">Table </w:t>
      </w:r>
      <w:r w:rsidR="00097BEE" w:rsidRPr="004D292C">
        <w:t>5</w:t>
      </w:r>
      <w:r w:rsidRPr="004D292C">
        <w:t>:</w:t>
      </w:r>
      <w:r w:rsidR="007A5498" w:rsidRPr="004D292C">
        <w:t xml:space="preserve"> Results of the indirect compariso</w:t>
      </w:r>
      <w:r w:rsidRPr="004D292C">
        <w:t>n</w:t>
      </w:r>
      <w:r w:rsidR="007A5498" w:rsidRPr="004D292C">
        <w:t xml:space="preserve"> based on the full DAPA-HF trial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977"/>
        <w:gridCol w:w="1966"/>
        <w:gridCol w:w="1731"/>
        <w:gridCol w:w="1648"/>
      </w:tblGrid>
      <w:tr w:rsidR="007A5498" w:rsidRPr="002A5805" w:rsidTr="002A5805">
        <w:trPr>
          <w:tblHeader/>
        </w:trPr>
        <w:tc>
          <w:tcPr>
            <w:tcW w:w="940" w:type="pct"/>
            <w:vAlign w:val="center"/>
          </w:tcPr>
          <w:p w:rsidR="007A5498" w:rsidRPr="002A5805" w:rsidRDefault="007A5498" w:rsidP="00454BB8">
            <w:pPr>
              <w:pStyle w:val="Tableheadingrow"/>
              <w:jc w:val="center"/>
              <w:rPr>
                <w:szCs w:val="20"/>
                <w:lang w:val="en-AU"/>
              </w:rPr>
            </w:pPr>
            <w:r w:rsidRPr="002A5805">
              <w:rPr>
                <w:szCs w:val="20"/>
                <w:lang w:val="en-AU"/>
              </w:rPr>
              <w:t>Trial</w:t>
            </w:r>
          </w:p>
        </w:tc>
        <w:tc>
          <w:tcPr>
            <w:tcW w:w="1096" w:type="pct"/>
            <w:shd w:val="clear" w:color="auto" w:fill="auto"/>
            <w:vAlign w:val="center"/>
          </w:tcPr>
          <w:p w:rsidR="007A5498" w:rsidRPr="002A5805" w:rsidRDefault="007A5498" w:rsidP="00454BB8">
            <w:pPr>
              <w:pStyle w:val="Tableheadingrow"/>
              <w:jc w:val="center"/>
              <w:rPr>
                <w:iCs/>
                <w:szCs w:val="20"/>
                <w:lang w:val="en-AU"/>
              </w:rPr>
            </w:pPr>
            <w:r w:rsidRPr="002A5805">
              <w:rPr>
                <w:iCs/>
                <w:szCs w:val="20"/>
                <w:lang w:val="en-AU"/>
              </w:rPr>
              <w:t>Dapagliflozin + SOC</w:t>
            </w:r>
          </w:p>
          <w:p w:rsidR="007A5498" w:rsidRPr="002A5805" w:rsidRDefault="007A5498" w:rsidP="00454BB8">
            <w:pPr>
              <w:pStyle w:val="Tableheadingrow"/>
              <w:jc w:val="center"/>
              <w:rPr>
                <w:szCs w:val="20"/>
                <w:lang w:val="en-AU"/>
              </w:rPr>
            </w:pPr>
            <w:r w:rsidRPr="002A5805">
              <w:rPr>
                <w:szCs w:val="20"/>
                <w:lang w:val="en-AU"/>
              </w:rPr>
              <w:t>events n/N (%)</w:t>
            </w:r>
          </w:p>
        </w:tc>
        <w:tc>
          <w:tcPr>
            <w:tcW w:w="1090" w:type="pct"/>
          </w:tcPr>
          <w:p w:rsidR="007A5498" w:rsidRPr="002A5805" w:rsidRDefault="007A5498" w:rsidP="00454BB8">
            <w:pPr>
              <w:pStyle w:val="Tableheadingrow"/>
              <w:jc w:val="center"/>
              <w:rPr>
                <w:szCs w:val="20"/>
                <w:lang w:val="en-AU"/>
              </w:rPr>
            </w:pPr>
            <w:r w:rsidRPr="002A5805">
              <w:rPr>
                <w:szCs w:val="20"/>
                <w:lang w:val="en-AU"/>
              </w:rPr>
              <w:t>Common reference:</w:t>
            </w:r>
          </w:p>
          <w:p w:rsidR="007A5498" w:rsidRPr="002A5805" w:rsidRDefault="007A5498" w:rsidP="00454BB8">
            <w:pPr>
              <w:pStyle w:val="Tableheadingrow"/>
              <w:jc w:val="center"/>
              <w:rPr>
                <w:szCs w:val="20"/>
                <w:lang w:val="en-AU"/>
              </w:rPr>
            </w:pPr>
            <w:r w:rsidRPr="002A5805">
              <w:rPr>
                <w:szCs w:val="20"/>
                <w:lang w:val="en-AU"/>
              </w:rPr>
              <w:t>Placebo + SOC/</w:t>
            </w:r>
          </w:p>
          <w:p w:rsidR="007A5498" w:rsidRPr="002A5805" w:rsidRDefault="007A5498" w:rsidP="00454BB8">
            <w:pPr>
              <w:pStyle w:val="Tableheadingrow"/>
              <w:jc w:val="center"/>
              <w:rPr>
                <w:szCs w:val="20"/>
                <w:lang w:val="en-AU"/>
              </w:rPr>
            </w:pPr>
            <w:r w:rsidRPr="002A5805">
              <w:rPr>
                <w:szCs w:val="20"/>
                <w:lang w:val="en-AU"/>
              </w:rPr>
              <w:t>enalapril + SOC</w:t>
            </w:r>
          </w:p>
          <w:p w:rsidR="007A5498" w:rsidRPr="002A5805" w:rsidRDefault="007A5498" w:rsidP="00454BB8">
            <w:pPr>
              <w:pStyle w:val="Tableheadingrow"/>
              <w:jc w:val="center"/>
              <w:rPr>
                <w:szCs w:val="20"/>
                <w:lang w:val="en-AU"/>
              </w:rPr>
            </w:pPr>
            <w:r w:rsidRPr="002A5805">
              <w:rPr>
                <w:szCs w:val="20"/>
                <w:lang w:val="en-AU"/>
              </w:rPr>
              <w:t>events n/N (%)</w:t>
            </w:r>
          </w:p>
        </w:tc>
        <w:tc>
          <w:tcPr>
            <w:tcW w:w="959" w:type="pct"/>
            <w:shd w:val="clear" w:color="auto" w:fill="auto"/>
            <w:vAlign w:val="center"/>
          </w:tcPr>
          <w:p w:rsidR="007A5498" w:rsidRPr="002A5805" w:rsidRDefault="007A5498" w:rsidP="00454BB8">
            <w:pPr>
              <w:pStyle w:val="Tableheadingrow"/>
              <w:jc w:val="center"/>
              <w:rPr>
                <w:szCs w:val="20"/>
                <w:lang w:val="en-AU"/>
              </w:rPr>
            </w:pPr>
            <w:r w:rsidRPr="002A5805">
              <w:rPr>
                <w:szCs w:val="20"/>
                <w:lang w:val="en-AU"/>
              </w:rPr>
              <w:t>Sacubitril/valsartan + SOC</w:t>
            </w:r>
          </w:p>
          <w:p w:rsidR="007A5498" w:rsidRPr="002A5805" w:rsidRDefault="007A5498" w:rsidP="00454BB8">
            <w:pPr>
              <w:pStyle w:val="Tableheadingrow"/>
              <w:jc w:val="center"/>
              <w:rPr>
                <w:szCs w:val="20"/>
                <w:lang w:val="en-AU"/>
              </w:rPr>
            </w:pPr>
            <w:r w:rsidRPr="002A5805">
              <w:rPr>
                <w:szCs w:val="20"/>
                <w:lang w:val="en-AU"/>
              </w:rPr>
              <w:t>events n/N (%)</w:t>
            </w:r>
          </w:p>
        </w:tc>
        <w:tc>
          <w:tcPr>
            <w:tcW w:w="914" w:type="pct"/>
            <w:shd w:val="clear" w:color="auto" w:fill="auto"/>
            <w:vAlign w:val="center"/>
          </w:tcPr>
          <w:p w:rsidR="007A5498" w:rsidRPr="002A5805" w:rsidRDefault="007A5498" w:rsidP="00454BB8">
            <w:pPr>
              <w:pStyle w:val="Tableheadingrow"/>
              <w:jc w:val="center"/>
              <w:rPr>
                <w:szCs w:val="20"/>
                <w:lang w:val="en-AU"/>
              </w:rPr>
            </w:pPr>
            <w:r w:rsidRPr="002A5805">
              <w:rPr>
                <w:szCs w:val="20"/>
                <w:lang w:val="en-AU"/>
              </w:rPr>
              <w:t>HR (95% CI)</w:t>
            </w:r>
          </w:p>
        </w:tc>
      </w:tr>
      <w:tr w:rsidR="007A5498" w:rsidRPr="002A5805" w:rsidTr="002A5805">
        <w:trPr>
          <w:trHeight w:val="70"/>
        </w:trPr>
        <w:tc>
          <w:tcPr>
            <w:tcW w:w="5000" w:type="pct"/>
            <w:gridSpan w:val="5"/>
            <w:vAlign w:val="center"/>
          </w:tcPr>
          <w:p w:rsidR="007A5498" w:rsidRPr="002A5805" w:rsidRDefault="007A5498" w:rsidP="00454BB8">
            <w:pPr>
              <w:pStyle w:val="TableText"/>
              <w:rPr>
                <w:b/>
                <w:bCs w:val="0"/>
                <w:szCs w:val="20"/>
              </w:rPr>
            </w:pPr>
            <w:r w:rsidRPr="002A5805">
              <w:rPr>
                <w:b/>
                <w:bCs w:val="0"/>
                <w:szCs w:val="20"/>
              </w:rPr>
              <w:t>Composite of time to cardiovascular death or hospitalisation for HF</w:t>
            </w:r>
          </w:p>
        </w:tc>
      </w:tr>
      <w:tr w:rsidR="007A5498" w:rsidRPr="002A5805" w:rsidTr="002A5805">
        <w:trPr>
          <w:trHeight w:val="469"/>
        </w:trPr>
        <w:tc>
          <w:tcPr>
            <w:tcW w:w="940" w:type="pct"/>
            <w:vAlign w:val="center"/>
          </w:tcPr>
          <w:p w:rsidR="007A5498" w:rsidRPr="002A5805" w:rsidRDefault="007A5498" w:rsidP="00454BB8">
            <w:pPr>
              <w:pStyle w:val="TableText"/>
              <w:rPr>
                <w:szCs w:val="20"/>
              </w:rPr>
            </w:pPr>
            <w:r w:rsidRPr="002A5805">
              <w:rPr>
                <w:szCs w:val="20"/>
              </w:rPr>
              <w:t xml:space="preserve">DAPA-HF </w:t>
            </w:r>
          </w:p>
          <w:p w:rsidR="007A5498" w:rsidRPr="002A5805" w:rsidRDefault="007A5498" w:rsidP="00454BB8">
            <w:pPr>
              <w:pStyle w:val="TableText"/>
              <w:rPr>
                <w:szCs w:val="20"/>
              </w:rPr>
            </w:pPr>
            <w:r w:rsidRPr="002A5805">
              <w:rPr>
                <w:szCs w:val="20"/>
              </w:rPr>
              <w:t>(18 months)</w:t>
            </w:r>
          </w:p>
        </w:tc>
        <w:tc>
          <w:tcPr>
            <w:tcW w:w="1096" w:type="pct"/>
            <w:shd w:val="clear" w:color="auto" w:fill="auto"/>
            <w:vAlign w:val="center"/>
          </w:tcPr>
          <w:p w:rsidR="007A5498" w:rsidRPr="002A5805" w:rsidRDefault="007A5498" w:rsidP="00454BB8">
            <w:pPr>
              <w:pStyle w:val="TableText"/>
              <w:jc w:val="center"/>
              <w:rPr>
                <w:iCs/>
                <w:szCs w:val="20"/>
              </w:rPr>
            </w:pPr>
            <w:r w:rsidRPr="002A5805">
              <w:rPr>
                <w:szCs w:val="20"/>
              </w:rPr>
              <w:t>382 / 2373 (16.1)</w:t>
            </w:r>
          </w:p>
        </w:tc>
        <w:tc>
          <w:tcPr>
            <w:tcW w:w="1090" w:type="pct"/>
            <w:vAlign w:val="center"/>
          </w:tcPr>
          <w:p w:rsidR="007A5498" w:rsidRPr="002A5805" w:rsidRDefault="007A5498" w:rsidP="00454BB8">
            <w:pPr>
              <w:pStyle w:val="TableText"/>
              <w:jc w:val="center"/>
              <w:rPr>
                <w:szCs w:val="20"/>
              </w:rPr>
            </w:pPr>
            <w:r w:rsidRPr="002A5805">
              <w:rPr>
                <w:szCs w:val="20"/>
              </w:rPr>
              <w:t>495 / 2371 (20.9)</w:t>
            </w:r>
          </w:p>
        </w:tc>
        <w:tc>
          <w:tcPr>
            <w:tcW w:w="959" w:type="pct"/>
            <w:shd w:val="clear" w:color="auto" w:fill="auto"/>
            <w:vAlign w:val="center"/>
          </w:tcPr>
          <w:p w:rsidR="007A5498" w:rsidRPr="002A5805" w:rsidRDefault="007A5498" w:rsidP="00454BB8">
            <w:pPr>
              <w:pStyle w:val="TableText"/>
              <w:jc w:val="center"/>
              <w:rPr>
                <w:iCs/>
                <w:szCs w:val="20"/>
              </w:rPr>
            </w:pPr>
            <w:r w:rsidRPr="002A5805">
              <w:rPr>
                <w:iCs/>
                <w:szCs w:val="20"/>
              </w:rPr>
              <w:t>-</w:t>
            </w:r>
          </w:p>
        </w:tc>
        <w:tc>
          <w:tcPr>
            <w:tcW w:w="914" w:type="pct"/>
            <w:shd w:val="clear" w:color="auto" w:fill="auto"/>
            <w:vAlign w:val="center"/>
          </w:tcPr>
          <w:p w:rsidR="007A5498" w:rsidRPr="002A5805" w:rsidRDefault="007A5498" w:rsidP="00454BB8">
            <w:pPr>
              <w:pStyle w:val="TableText"/>
              <w:jc w:val="center"/>
              <w:rPr>
                <w:szCs w:val="20"/>
              </w:rPr>
            </w:pPr>
            <w:r w:rsidRPr="002A5805">
              <w:rPr>
                <w:szCs w:val="20"/>
              </w:rPr>
              <w:t>0.75 (0.65, 0.85)</w:t>
            </w:r>
          </w:p>
        </w:tc>
      </w:tr>
      <w:tr w:rsidR="007A5498" w:rsidRPr="002A5805" w:rsidTr="002A5805">
        <w:trPr>
          <w:trHeight w:val="469"/>
        </w:trPr>
        <w:tc>
          <w:tcPr>
            <w:tcW w:w="940" w:type="pct"/>
            <w:tcBorders>
              <w:top w:val="single" w:sz="4" w:space="0" w:color="auto"/>
            </w:tcBorders>
            <w:vAlign w:val="center"/>
          </w:tcPr>
          <w:p w:rsidR="007A5498" w:rsidRPr="002A5805" w:rsidRDefault="007A5498" w:rsidP="00454BB8">
            <w:pPr>
              <w:pStyle w:val="TableText"/>
              <w:rPr>
                <w:szCs w:val="20"/>
              </w:rPr>
            </w:pPr>
            <w:r w:rsidRPr="002A5805">
              <w:rPr>
                <w:szCs w:val="20"/>
              </w:rPr>
              <w:t>PARADIGM-HF</w:t>
            </w:r>
          </w:p>
          <w:p w:rsidR="007A5498" w:rsidRPr="002A5805" w:rsidRDefault="007A5498" w:rsidP="00454BB8">
            <w:pPr>
              <w:pStyle w:val="TableText"/>
              <w:rPr>
                <w:szCs w:val="20"/>
              </w:rPr>
            </w:pPr>
            <w:r w:rsidRPr="002A5805">
              <w:rPr>
                <w:szCs w:val="20"/>
              </w:rPr>
              <w:t>(27 months)</w:t>
            </w:r>
          </w:p>
        </w:tc>
        <w:tc>
          <w:tcPr>
            <w:tcW w:w="1096"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w:t>
            </w:r>
          </w:p>
        </w:tc>
        <w:tc>
          <w:tcPr>
            <w:tcW w:w="1090" w:type="pct"/>
            <w:tcBorders>
              <w:top w:val="single" w:sz="4" w:space="0" w:color="auto"/>
            </w:tcBorders>
            <w:vAlign w:val="center"/>
          </w:tcPr>
          <w:p w:rsidR="007A5498" w:rsidRPr="002A5805" w:rsidRDefault="007A5498" w:rsidP="00454BB8">
            <w:pPr>
              <w:pStyle w:val="TableText"/>
              <w:jc w:val="center"/>
              <w:rPr>
                <w:szCs w:val="20"/>
              </w:rPr>
            </w:pPr>
            <w:r w:rsidRPr="002A5805">
              <w:rPr>
                <w:szCs w:val="20"/>
              </w:rPr>
              <w:t>1117 / 4212 (26.5)</w:t>
            </w:r>
          </w:p>
        </w:tc>
        <w:tc>
          <w:tcPr>
            <w:tcW w:w="959"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914 / 4187 (21.8)</w:t>
            </w:r>
          </w:p>
        </w:tc>
        <w:tc>
          <w:tcPr>
            <w:tcW w:w="914"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0.80 (0.73-0.87)</w:t>
            </w:r>
          </w:p>
        </w:tc>
      </w:tr>
      <w:tr w:rsidR="007A5498" w:rsidRPr="002A5805" w:rsidTr="002A5805">
        <w:tc>
          <w:tcPr>
            <w:tcW w:w="4086" w:type="pct"/>
            <w:gridSpan w:val="4"/>
          </w:tcPr>
          <w:p w:rsidR="007A5498" w:rsidRPr="002A5805" w:rsidRDefault="007A5498" w:rsidP="00454BB8">
            <w:pPr>
              <w:pStyle w:val="TableText"/>
              <w:jc w:val="right"/>
              <w:rPr>
                <w:b/>
                <w:szCs w:val="20"/>
              </w:rPr>
            </w:pPr>
            <w:r w:rsidRPr="002A5805">
              <w:rPr>
                <w:b/>
                <w:szCs w:val="20"/>
              </w:rPr>
              <w:t>Indirect comparison of dapagliflozin + SOC vs. sacubitril/valsartan + SOC</w:t>
            </w:r>
          </w:p>
          <w:p w:rsidR="007A5498" w:rsidRPr="002A5805" w:rsidRDefault="007A5498" w:rsidP="00454BB8">
            <w:pPr>
              <w:pStyle w:val="TableText"/>
              <w:jc w:val="right"/>
              <w:rPr>
                <w:b/>
                <w:szCs w:val="20"/>
              </w:rPr>
            </w:pPr>
            <w:r w:rsidRPr="002A5805">
              <w:rPr>
                <w:b/>
                <w:szCs w:val="20"/>
              </w:rPr>
              <w:t>(proposed non-inferiority margin: 1.104)</w:t>
            </w:r>
          </w:p>
        </w:tc>
        <w:tc>
          <w:tcPr>
            <w:tcW w:w="914" w:type="pct"/>
            <w:shd w:val="clear" w:color="auto" w:fill="auto"/>
            <w:vAlign w:val="center"/>
          </w:tcPr>
          <w:p w:rsidR="007A5498" w:rsidRPr="002A5805" w:rsidRDefault="007A5498" w:rsidP="00454BB8">
            <w:pPr>
              <w:pStyle w:val="TableText"/>
              <w:jc w:val="center"/>
              <w:rPr>
                <w:b/>
                <w:szCs w:val="20"/>
              </w:rPr>
            </w:pPr>
            <w:r w:rsidRPr="002A5805">
              <w:rPr>
                <w:b/>
                <w:szCs w:val="20"/>
              </w:rPr>
              <w:t>0.94 (0.80, 1.10)</w:t>
            </w:r>
          </w:p>
        </w:tc>
      </w:tr>
      <w:tr w:rsidR="007A5498" w:rsidRPr="002A5805" w:rsidTr="002A5805">
        <w:trPr>
          <w:trHeight w:val="70"/>
        </w:trPr>
        <w:tc>
          <w:tcPr>
            <w:tcW w:w="5000" w:type="pct"/>
            <w:gridSpan w:val="5"/>
            <w:vAlign w:val="center"/>
          </w:tcPr>
          <w:p w:rsidR="007A5498" w:rsidRPr="002A5805" w:rsidRDefault="007A5498" w:rsidP="00454BB8">
            <w:pPr>
              <w:pStyle w:val="TableText"/>
              <w:rPr>
                <w:b/>
                <w:bCs w:val="0"/>
                <w:szCs w:val="20"/>
              </w:rPr>
            </w:pPr>
            <w:r w:rsidRPr="002A5805">
              <w:rPr>
                <w:b/>
                <w:bCs w:val="0"/>
                <w:szCs w:val="20"/>
              </w:rPr>
              <w:t>Time to hospitalisation for heart failure</w:t>
            </w:r>
          </w:p>
        </w:tc>
      </w:tr>
      <w:tr w:rsidR="007A5498" w:rsidRPr="002A5805" w:rsidTr="002A5805">
        <w:trPr>
          <w:trHeight w:val="469"/>
        </w:trPr>
        <w:tc>
          <w:tcPr>
            <w:tcW w:w="940" w:type="pct"/>
            <w:vAlign w:val="center"/>
          </w:tcPr>
          <w:p w:rsidR="007A5498" w:rsidRPr="002A5805" w:rsidRDefault="007A5498" w:rsidP="00454BB8">
            <w:pPr>
              <w:pStyle w:val="TableText"/>
              <w:rPr>
                <w:szCs w:val="20"/>
              </w:rPr>
            </w:pPr>
            <w:r w:rsidRPr="002A5805">
              <w:rPr>
                <w:szCs w:val="20"/>
              </w:rPr>
              <w:t xml:space="preserve">DAPA-HF </w:t>
            </w:r>
          </w:p>
          <w:p w:rsidR="007A5498" w:rsidRPr="002A5805" w:rsidRDefault="007A5498" w:rsidP="00454BB8">
            <w:pPr>
              <w:pStyle w:val="TableText"/>
              <w:rPr>
                <w:szCs w:val="20"/>
              </w:rPr>
            </w:pPr>
            <w:r w:rsidRPr="002A5805">
              <w:rPr>
                <w:szCs w:val="20"/>
              </w:rPr>
              <w:t>(18 months)</w:t>
            </w:r>
          </w:p>
        </w:tc>
        <w:tc>
          <w:tcPr>
            <w:tcW w:w="1096" w:type="pct"/>
            <w:shd w:val="clear" w:color="auto" w:fill="auto"/>
            <w:vAlign w:val="center"/>
          </w:tcPr>
          <w:p w:rsidR="007A5498" w:rsidRPr="002A5805" w:rsidRDefault="007A5498" w:rsidP="00454BB8">
            <w:pPr>
              <w:pStyle w:val="TableText"/>
              <w:jc w:val="center"/>
              <w:rPr>
                <w:iCs/>
                <w:szCs w:val="20"/>
              </w:rPr>
            </w:pPr>
            <w:r w:rsidRPr="002A5805">
              <w:rPr>
                <w:szCs w:val="20"/>
              </w:rPr>
              <w:t>231 / 2373 (9.7)</w:t>
            </w:r>
          </w:p>
        </w:tc>
        <w:tc>
          <w:tcPr>
            <w:tcW w:w="1090" w:type="pct"/>
            <w:vAlign w:val="center"/>
          </w:tcPr>
          <w:p w:rsidR="007A5498" w:rsidRPr="002A5805" w:rsidRDefault="007A5498" w:rsidP="00454BB8">
            <w:pPr>
              <w:pStyle w:val="TableText"/>
              <w:jc w:val="center"/>
              <w:rPr>
                <w:szCs w:val="20"/>
              </w:rPr>
            </w:pPr>
            <w:r w:rsidRPr="002A5805">
              <w:rPr>
                <w:szCs w:val="20"/>
              </w:rPr>
              <w:t>318 / 2371 (13.4)</w:t>
            </w:r>
          </w:p>
        </w:tc>
        <w:tc>
          <w:tcPr>
            <w:tcW w:w="959" w:type="pct"/>
            <w:shd w:val="clear" w:color="auto" w:fill="auto"/>
            <w:vAlign w:val="center"/>
          </w:tcPr>
          <w:p w:rsidR="007A5498" w:rsidRPr="002A5805" w:rsidRDefault="007A5498" w:rsidP="00454BB8">
            <w:pPr>
              <w:pStyle w:val="TableText"/>
              <w:jc w:val="center"/>
              <w:rPr>
                <w:iCs/>
                <w:szCs w:val="20"/>
              </w:rPr>
            </w:pPr>
            <w:r w:rsidRPr="002A5805">
              <w:rPr>
                <w:iCs/>
                <w:szCs w:val="20"/>
              </w:rPr>
              <w:t>-</w:t>
            </w:r>
          </w:p>
        </w:tc>
        <w:tc>
          <w:tcPr>
            <w:tcW w:w="914" w:type="pct"/>
            <w:shd w:val="clear" w:color="auto" w:fill="auto"/>
            <w:vAlign w:val="center"/>
          </w:tcPr>
          <w:p w:rsidR="007A5498" w:rsidRPr="002A5805" w:rsidRDefault="007A5498" w:rsidP="00454BB8">
            <w:pPr>
              <w:pStyle w:val="TableText"/>
              <w:jc w:val="center"/>
              <w:rPr>
                <w:szCs w:val="20"/>
              </w:rPr>
            </w:pPr>
            <w:r w:rsidRPr="002A5805">
              <w:rPr>
                <w:szCs w:val="20"/>
              </w:rPr>
              <w:t>0.70 (0.59, 0.83)</w:t>
            </w:r>
          </w:p>
        </w:tc>
      </w:tr>
      <w:tr w:rsidR="007A5498" w:rsidRPr="002A5805" w:rsidTr="002A5805">
        <w:trPr>
          <w:trHeight w:val="469"/>
        </w:trPr>
        <w:tc>
          <w:tcPr>
            <w:tcW w:w="940" w:type="pct"/>
            <w:tcBorders>
              <w:top w:val="single" w:sz="4" w:space="0" w:color="auto"/>
            </w:tcBorders>
            <w:vAlign w:val="center"/>
          </w:tcPr>
          <w:p w:rsidR="007A5498" w:rsidRPr="002A5805" w:rsidRDefault="007A5498" w:rsidP="00454BB8">
            <w:pPr>
              <w:pStyle w:val="TableText"/>
              <w:rPr>
                <w:szCs w:val="20"/>
              </w:rPr>
            </w:pPr>
            <w:r w:rsidRPr="002A5805">
              <w:rPr>
                <w:szCs w:val="20"/>
              </w:rPr>
              <w:t>PARADIGM-HF</w:t>
            </w:r>
          </w:p>
          <w:p w:rsidR="007A5498" w:rsidRPr="002A5805" w:rsidRDefault="007A5498" w:rsidP="00454BB8">
            <w:pPr>
              <w:pStyle w:val="TableText"/>
              <w:rPr>
                <w:szCs w:val="20"/>
              </w:rPr>
            </w:pPr>
            <w:r w:rsidRPr="002A5805">
              <w:rPr>
                <w:szCs w:val="20"/>
              </w:rPr>
              <w:t>(27 months)</w:t>
            </w:r>
          </w:p>
        </w:tc>
        <w:tc>
          <w:tcPr>
            <w:tcW w:w="1096"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w:t>
            </w:r>
          </w:p>
        </w:tc>
        <w:tc>
          <w:tcPr>
            <w:tcW w:w="1090" w:type="pct"/>
            <w:tcBorders>
              <w:top w:val="single" w:sz="4" w:space="0" w:color="auto"/>
            </w:tcBorders>
            <w:vAlign w:val="center"/>
          </w:tcPr>
          <w:p w:rsidR="007A5498" w:rsidRPr="002A5805" w:rsidRDefault="007A5498" w:rsidP="00454BB8">
            <w:pPr>
              <w:pStyle w:val="TableText"/>
              <w:jc w:val="center"/>
              <w:rPr>
                <w:szCs w:val="20"/>
              </w:rPr>
            </w:pPr>
            <w:r w:rsidRPr="002A5805">
              <w:rPr>
                <w:szCs w:val="20"/>
              </w:rPr>
              <w:t>658 / 4212 (15.6)</w:t>
            </w:r>
          </w:p>
        </w:tc>
        <w:tc>
          <w:tcPr>
            <w:tcW w:w="959"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537 / 4187 (12.8)</w:t>
            </w:r>
          </w:p>
        </w:tc>
        <w:tc>
          <w:tcPr>
            <w:tcW w:w="914"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0.79 (0.71, 0.89)</w:t>
            </w:r>
          </w:p>
        </w:tc>
      </w:tr>
      <w:tr w:rsidR="007A5498" w:rsidRPr="002A5805" w:rsidTr="002A5805">
        <w:tc>
          <w:tcPr>
            <w:tcW w:w="4086" w:type="pct"/>
            <w:gridSpan w:val="4"/>
          </w:tcPr>
          <w:p w:rsidR="007A5498" w:rsidRPr="002A5805" w:rsidRDefault="007A5498" w:rsidP="00454BB8">
            <w:pPr>
              <w:pStyle w:val="TableText"/>
              <w:jc w:val="right"/>
              <w:rPr>
                <w:b/>
                <w:szCs w:val="20"/>
              </w:rPr>
            </w:pPr>
            <w:r w:rsidRPr="002A5805">
              <w:rPr>
                <w:b/>
                <w:szCs w:val="20"/>
              </w:rPr>
              <w:t>Indirect comparison of dapagliflozin + SOC vs. sacubitril/valsartan + SOC</w:t>
            </w:r>
          </w:p>
          <w:p w:rsidR="007A5498" w:rsidRPr="002A5805" w:rsidRDefault="007A5498" w:rsidP="00454BB8">
            <w:pPr>
              <w:pStyle w:val="TableText"/>
              <w:jc w:val="right"/>
              <w:rPr>
                <w:b/>
                <w:szCs w:val="20"/>
              </w:rPr>
            </w:pPr>
            <w:r w:rsidRPr="002A5805">
              <w:rPr>
                <w:b/>
                <w:szCs w:val="20"/>
              </w:rPr>
              <w:t>(no non-inferiority margin proposed)</w:t>
            </w:r>
          </w:p>
        </w:tc>
        <w:tc>
          <w:tcPr>
            <w:tcW w:w="914" w:type="pct"/>
            <w:shd w:val="clear" w:color="auto" w:fill="auto"/>
            <w:vAlign w:val="center"/>
          </w:tcPr>
          <w:p w:rsidR="007A5498" w:rsidRPr="002A5805" w:rsidRDefault="007A5498" w:rsidP="00454BB8">
            <w:pPr>
              <w:pStyle w:val="TableText"/>
              <w:jc w:val="center"/>
              <w:rPr>
                <w:b/>
                <w:szCs w:val="20"/>
              </w:rPr>
            </w:pPr>
            <w:r w:rsidRPr="002A5805">
              <w:rPr>
                <w:b/>
                <w:szCs w:val="20"/>
              </w:rPr>
              <w:t>0.89 (0.72, 1.09)</w:t>
            </w:r>
          </w:p>
        </w:tc>
      </w:tr>
      <w:tr w:rsidR="007A5498" w:rsidRPr="002A5805" w:rsidTr="002A5805">
        <w:trPr>
          <w:trHeight w:val="70"/>
        </w:trPr>
        <w:tc>
          <w:tcPr>
            <w:tcW w:w="5000" w:type="pct"/>
            <w:gridSpan w:val="5"/>
            <w:vAlign w:val="center"/>
          </w:tcPr>
          <w:p w:rsidR="007A5498" w:rsidRPr="002A5805" w:rsidRDefault="007A5498" w:rsidP="00454BB8">
            <w:pPr>
              <w:pStyle w:val="TableText"/>
              <w:rPr>
                <w:b/>
                <w:bCs w:val="0"/>
                <w:szCs w:val="20"/>
              </w:rPr>
            </w:pPr>
            <w:r w:rsidRPr="002A5805">
              <w:rPr>
                <w:b/>
                <w:bCs w:val="0"/>
                <w:szCs w:val="20"/>
              </w:rPr>
              <w:t>Time to cardiovascular death</w:t>
            </w:r>
          </w:p>
        </w:tc>
      </w:tr>
      <w:tr w:rsidR="007A5498" w:rsidRPr="002A5805" w:rsidTr="002A5805">
        <w:trPr>
          <w:trHeight w:val="469"/>
        </w:trPr>
        <w:tc>
          <w:tcPr>
            <w:tcW w:w="940" w:type="pct"/>
            <w:vAlign w:val="center"/>
          </w:tcPr>
          <w:p w:rsidR="007A5498" w:rsidRPr="002A5805" w:rsidRDefault="007A5498" w:rsidP="00454BB8">
            <w:pPr>
              <w:pStyle w:val="TableText"/>
              <w:rPr>
                <w:szCs w:val="20"/>
              </w:rPr>
            </w:pPr>
            <w:r w:rsidRPr="002A5805">
              <w:rPr>
                <w:szCs w:val="20"/>
              </w:rPr>
              <w:t xml:space="preserve">DAPA-HF </w:t>
            </w:r>
          </w:p>
          <w:p w:rsidR="007A5498" w:rsidRPr="002A5805" w:rsidRDefault="007A5498" w:rsidP="00454BB8">
            <w:pPr>
              <w:pStyle w:val="TableText"/>
              <w:rPr>
                <w:szCs w:val="20"/>
              </w:rPr>
            </w:pPr>
            <w:r w:rsidRPr="002A5805">
              <w:rPr>
                <w:szCs w:val="20"/>
              </w:rPr>
              <w:t>(18 months)</w:t>
            </w:r>
          </w:p>
        </w:tc>
        <w:tc>
          <w:tcPr>
            <w:tcW w:w="1096" w:type="pct"/>
            <w:shd w:val="clear" w:color="auto" w:fill="auto"/>
            <w:vAlign w:val="center"/>
          </w:tcPr>
          <w:p w:rsidR="007A5498" w:rsidRPr="002A5805" w:rsidRDefault="007A5498" w:rsidP="00454BB8">
            <w:pPr>
              <w:pStyle w:val="TableText"/>
              <w:jc w:val="center"/>
              <w:rPr>
                <w:iCs/>
                <w:szCs w:val="20"/>
              </w:rPr>
            </w:pPr>
            <w:r w:rsidRPr="002A5805">
              <w:rPr>
                <w:szCs w:val="20"/>
              </w:rPr>
              <w:t>227 / 2373 (9.6)</w:t>
            </w:r>
          </w:p>
        </w:tc>
        <w:tc>
          <w:tcPr>
            <w:tcW w:w="1090" w:type="pct"/>
            <w:vAlign w:val="center"/>
          </w:tcPr>
          <w:p w:rsidR="007A5498" w:rsidRPr="002A5805" w:rsidRDefault="007A5498" w:rsidP="00454BB8">
            <w:pPr>
              <w:pStyle w:val="TableText"/>
              <w:jc w:val="center"/>
              <w:rPr>
                <w:szCs w:val="20"/>
              </w:rPr>
            </w:pPr>
            <w:r w:rsidRPr="002A5805">
              <w:rPr>
                <w:szCs w:val="20"/>
              </w:rPr>
              <w:t>273 / 2371 (11.5)</w:t>
            </w:r>
          </w:p>
        </w:tc>
        <w:tc>
          <w:tcPr>
            <w:tcW w:w="959" w:type="pct"/>
            <w:shd w:val="clear" w:color="auto" w:fill="auto"/>
            <w:vAlign w:val="center"/>
          </w:tcPr>
          <w:p w:rsidR="007A5498" w:rsidRPr="002A5805" w:rsidRDefault="007A5498" w:rsidP="00454BB8">
            <w:pPr>
              <w:pStyle w:val="TableText"/>
              <w:jc w:val="center"/>
              <w:rPr>
                <w:iCs/>
                <w:szCs w:val="20"/>
              </w:rPr>
            </w:pPr>
            <w:r w:rsidRPr="002A5805">
              <w:rPr>
                <w:iCs/>
                <w:szCs w:val="20"/>
              </w:rPr>
              <w:t>-</w:t>
            </w:r>
          </w:p>
        </w:tc>
        <w:tc>
          <w:tcPr>
            <w:tcW w:w="914" w:type="pct"/>
            <w:shd w:val="clear" w:color="auto" w:fill="auto"/>
            <w:vAlign w:val="center"/>
          </w:tcPr>
          <w:p w:rsidR="007A5498" w:rsidRPr="002A5805" w:rsidRDefault="007A5498" w:rsidP="00454BB8">
            <w:pPr>
              <w:pStyle w:val="TableText"/>
              <w:jc w:val="center"/>
              <w:rPr>
                <w:szCs w:val="20"/>
              </w:rPr>
            </w:pPr>
            <w:r w:rsidRPr="002A5805">
              <w:rPr>
                <w:szCs w:val="20"/>
              </w:rPr>
              <w:t>0.82 (0.69, 0.98)</w:t>
            </w:r>
          </w:p>
        </w:tc>
      </w:tr>
      <w:tr w:rsidR="007A5498" w:rsidRPr="002A5805" w:rsidTr="002A5805">
        <w:trPr>
          <w:trHeight w:val="469"/>
        </w:trPr>
        <w:tc>
          <w:tcPr>
            <w:tcW w:w="940" w:type="pct"/>
            <w:tcBorders>
              <w:top w:val="single" w:sz="4" w:space="0" w:color="auto"/>
            </w:tcBorders>
            <w:vAlign w:val="center"/>
          </w:tcPr>
          <w:p w:rsidR="007A5498" w:rsidRPr="002A5805" w:rsidRDefault="007A5498" w:rsidP="00454BB8">
            <w:pPr>
              <w:pStyle w:val="TableText"/>
              <w:rPr>
                <w:szCs w:val="20"/>
              </w:rPr>
            </w:pPr>
            <w:r w:rsidRPr="002A5805">
              <w:rPr>
                <w:szCs w:val="20"/>
              </w:rPr>
              <w:t>PARADIGM-HF</w:t>
            </w:r>
          </w:p>
          <w:p w:rsidR="007A5498" w:rsidRPr="002A5805" w:rsidRDefault="007A5498" w:rsidP="00454BB8">
            <w:pPr>
              <w:pStyle w:val="TableText"/>
              <w:rPr>
                <w:szCs w:val="20"/>
              </w:rPr>
            </w:pPr>
            <w:r w:rsidRPr="002A5805">
              <w:rPr>
                <w:szCs w:val="20"/>
              </w:rPr>
              <w:t>(27 months)</w:t>
            </w:r>
          </w:p>
        </w:tc>
        <w:tc>
          <w:tcPr>
            <w:tcW w:w="1096"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w:t>
            </w:r>
          </w:p>
        </w:tc>
        <w:tc>
          <w:tcPr>
            <w:tcW w:w="1090" w:type="pct"/>
            <w:tcBorders>
              <w:top w:val="single" w:sz="4" w:space="0" w:color="auto"/>
            </w:tcBorders>
            <w:vAlign w:val="center"/>
          </w:tcPr>
          <w:p w:rsidR="007A5498" w:rsidRPr="002A5805" w:rsidRDefault="007A5498" w:rsidP="00454BB8">
            <w:pPr>
              <w:pStyle w:val="TableText"/>
              <w:jc w:val="center"/>
              <w:rPr>
                <w:szCs w:val="20"/>
              </w:rPr>
            </w:pPr>
            <w:r w:rsidRPr="002A5805">
              <w:rPr>
                <w:szCs w:val="20"/>
              </w:rPr>
              <w:t>693 / 4212 (16.5)</w:t>
            </w:r>
          </w:p>
        </w:tc>
        <w:tc>
          <w:tcPr>
            <w:tcW w:w="959"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558 / 4187 (13.3)</w:t>
            </w:r>
          </w:p>
        </w:tc>
        <w:tc>
          <w:tcPr>
            <w:tcW w:w="914"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0.80 (0.71, 0.89)</w:t>
            </w:r>
          </w:p>
        </w:tc>
      </w:tr>
      <w:tr w:rsidR="007A5498" w:rsidRPr="002A5805" w:rsidTr="002A5805">
        <w:tc>
          <w:tcPr>
            <w:tcW w:w="4086" w:type="pct"/>
            <w:gridSpan w:val="4"/>
          </w:tcPr>
          <w:p w:rsidR="007A5498" w:rsidRPr="002A5805" w:rsidRDefault="007A5498" w:rsidP="00454BB8">
            <w:pPr>
              <w:pStyle w:val="TableText"/>
              <w:jc w:val="right"/>
              <w:rPr>
                <w:b/>
                <w:szCs w:val="20"/>
              </w:rPr>
            </w:pPr>
            <w:r w:rsidRPr="002A5805">
              <w:rPr>
                <w:b/>
                <w:szCs w:val="20"/>
              </w:rPr>
              <w:t>Indirect comparison of dapagliflozin + SOC vs. sacubitril/valsartan + SOC</w:t>
            </w:r>
          </w:p>
          <w:p w:rsidR="007A5498" w:rsidRPr="002A5805" w:rsidRDefault="007A5498" w:rsidP="00454BB8">
            <w:pPr>
              <w:pStyle w:val="TableText"/>
              <w:jc w:val="right"/>
              <w:rPr>
                <w:b/>
                <w:szCs w:val="20"/>
              </w:rPr>
            </w:pPr>
            <w:r w:rsidRPr="002A5805">
              <w:rPr>
                <w:b/>
                <w:szCs w:val="20"/>
              </w:rPr>
              <w:t>(proposed non-inferiority margin: 1.33)</w:t>
            </w:r>
          </w:p>
        </w:tc>
        <w:tc>
          <w:tcPr>
            <w:tcW w:w="914" w:type="pct"/>
            <w:shd w:val="clear" w:color="auto" w:fill="auto"/>
            <w:vAlign w:val="center"/>
          </w:tcPr>
          <w:p w:rsidR="007A5498" w:rsidRPr="002A5805" w:rsidRDefault="007A5498" w:rsidP="00454BB8">
            <w:pPr>
              <w:pStyle w:val="TableText"/>
              <w:jc w:val="center"/>
              <w:rPr>
                <w:b/>
                <w:szCs w:val="20"/>
              </w:rPr>
            </w:pPr>
            <w:r w:rsidRPr="002A5805">
              <w:rPr>
                <w:b/>
                <w:szCs w:val="20"/>
              </w:rPr>
              <w:t>1.03 (0.83, 1.26)</w:t>
            </w:r>
          </w:p>
        </w:tc>
      </w:tr>
      <w:tr w:rsidR="007A5498" w:rsidRPr="002A5805" w:rsidTr="002A5805">
        <w:trPr>
          <w:trHeight w:val="70"/>
        </w:trPr>
        <w:tc>
          <w:tcPr>
            <w:tcW w:w="5000" w:type="pct"/>
            <w:gridSpan w:val="5"/>
            <w:vAlign w:val="center"/>
          </w:tcPr>
          <w:p w:rsidR="007A5498" w:rsidRPr="002A5805" w:rsidRDefault="007A5498" w:rsidP="00454BB8">
            <w:pPr>
              <w:pStyle w:val="TableText"/>
              <w:rPr>
                <w:b/>
                <w:bCs w:val="0"/>
                <w:szCs w:val="20"/>
              </w:rPr>
            </w:pPr>
            <w:r w:rsidRPr="002A5805">
              <w:rPr>
                <w:b/>
                <w:bCs w:val="0"/>
                <w:szCs w:val="20"/>
              </w:rPr>
              <w:t>Time to death from any cause</w:t>
            </w:r>
          </w:p>
        </w:tc>
      </w:tr>
      <w:tr w:rsidR="007A5498" w:rsidRPr="002A5805" w:rsidTr="002A5805">
        <w:trPr>
          <w:trHeight w:val="469"/>
        </w:trPr>
        <w:tc>
          <w:tcPr>
            <w:tcW w:w="940" w:type="pct"/>
            <w:vAlign w:val="center"/>
          </w:tcPr>
          <w:p w:rsidR="007A5498" w:rsidRPr="002A5805" w:rsidRDefault="007A5498" w:rsidP="00454BB8">
            <w:pPr>
              <w:pStyle w:val="TableText"/>
              <w:rPr>
                <w:szCs w:val="20"/>
              </w:rPr>
            </w:pPr>
            <w:r w:rsidRPr="002A5805">
              <w:rPr>
                <w:szCs w:val="20"/>
              </w:rPr>
              <w:t xml:space="preserve">DAPA-HF </w:t>
            </w:r>
          </w:p>
          <w:p w:rsidR="007A5498" w:rsidRPr="002A5805" w:rsidRDefault="007A5498" w:rsidP="00454BB8">
            <w:pPr>
              <w:pStyle w:val="TableText"/>
              <w:rPr>
                <w:szCs w:val="20"/>
              </w:rPr>
            </w:pPr>
            <w:r w:rsidRPr="002A5805">
              <w:rPr>
                <w:szCs w:val="20"/>
              </w:rPr>
              <w:t>(18 months)</w:t>
            </w:r>
          </w:p>
        </w:tc>
        <w:tc>
          <w:tcPr>
            <w:tcW w:w="1096" w:type="pct"/>
            <w:shd w:val="clear" w:color="auto" w:fill="auto"/>
            <w:vAlign w:val="center"/>
          </w:tcPr>
          <w:p w:rsidR="007A5498" w:rsidRPr="002A5805" w:rsidRDefault="007A5498" w:rsidP="00454BB8">
            <w:pPr>
              <w:pStyle w:val="TableText"/>
              <w:jc w:val="center"/>
              <w:rPr>
                <w:iCs/>
                <w:szCs w:val="20"/>
              </w:rPr>
            </w:pPr>
            <w:r w:rsidRPr="002A5805">
              <w:rPr>
                <w:szCs w:val="20"/>
              </w:rPr>
              <w:t>276 / 2373 (11.6)</w:t>
            </w:r>
          </w:p>
        </w:tc>
        <w:tc>
          <w:tcPr>
            <w:tcW w:w="1090" w:type="pct"/>
            <w:vAlign w:val="center"/>
          </w:tcPr>
          <w:p w:rsidR="007A5498" w:rsidRPr="002A5805" w:rsidRDefault="007A5498" w:rsidP="00454BB8">
            <w:pPr>
              <w:pStyle w:val="TableText"/>
              <w:jc w:val="center"/>
              <w:rPr>
                <w:szCs w:val="20"/>
              </w:rPr>
            </w:pPr>
            <w:r w:rsidRPr="002A5805">
              <w:rPr>
                <w:szCs w:val="20"/>
              </w:rPr>
              <w:t>329 / 2371 (13.9)</w:t>
            </w:r>
          </w:p>
        </w:tc>
        <w:tc>
          <w:tcPr>
            <w:tcW w:w="959" w:type="pct"/>
            <w:shd w:val="clear" w:color="auto" w:fill="auto"/>
            <w:vAlign w:val="center"/>
          </w:tcPr>
          <w:p w:rsidR="007A5498" w:rsidRPr="002A5805" w:rsidRDefault="007A5498" w:rsidP="00454BB8">
            <w:pPr>
              <w:pStyle w:val="TableText"/>
              <w:jc w:val="center"/>
              <w:rPr>
                <w:iCs/>
                <w:szCs w:val="20"/>
              </w:rPr>
            </w:pPr>
            <w:r w:rsidRPr="002A5805">
              <w:rPr>
                <w:iCs/>
                <w:szCs w:val="20"/>
              </w:rPr>
              <w:t>-</w:t>
            </w:r>
          </w:p>
        </w:tc>
        <w:tc>
          <w:tcPr>
            <w:tcW w:w="914" w:type="pct"/>
            <w:shd w:val="clear" w:color="auto" w:fill="auto"/>
            <w:vAlign w:val="center"/>
          </w:tcPr>
          <w:p w:rsidR="007A5498" w:rsidRPr="002A5805" w:rsidRDefault="007A5498" w:rsidP="00454BB8">
            <w:pPr>
              <w:pStyle w:val="TableText"/>
              <w:jc w:val="center"/>
              <w:rPr>
                <w:szCs w:val="20"/>
              </w:rPr>
            </w:pPr>
            <w:r w:rsidRPr="002A5805">
              <w:rPr>
                <w:szCs w:val="20"/>
              </w:rPr>
              <w:t>0.83 (0.71, 0.97)</w:t>
            </w:r>
          </w:p>
        </w:tc>
      </w:tr>
      <w:tr w:rsidR="007A5498" w:rsidRPr="002A5805" w:rsidTr="002A5805">
        <w:trPr>
          <w:trHeight w:val="469"/>
        </w:trPr>
        <w:tc>
          <w:tcPr>
            <w:tcW w:w="940" w:type="pct"/>
            <w:tcBorders>
              <w:top w:val="single" w:sz="4" w:space="0" w:color="auto"/>
            </w:tcBorders>
            <w:vAlign w:val="center"/>
          </w:tcPr>
          <w:p w:rsidR="007A5498" w:rsidRPr="002A5805" w:rsidRDefault="007A5498" w:rsidP="00454BB8">
            <w:pPr>
              <w:pStyle w:val="TableText"/>
              <w:rPr>
                <w:szCs w:val="20"/>
              </w:rPr>
            </w:pPr>
            <w:r w:rsidRPr="002A5805">
              <w:rPr>
                <w:szCs w:val="20"/>
              </w:rPr>
              <w:t>PARADIGM-HF</w:t>
            </w:r>
          </w:p>
          <w:p w:rsidR="007A5498" w:rsidRPr="002A5805" w:rsidRDefault="007A5498" w:rsidP="00454BB8">
            <w:pPr>
              <w:pStyle w:val="TableText"/>
              <w:rPr>
                <w:szCs w:val="20"/>
              </w:rPr>
            </w:pPr>
            <w:r w:rsidRPr="002A5805">
              <w:rPr>
                <w:szCs w:val="20"/>
              </w:rPr>
              <w:t>(27 months)</w:t>
            </w:r>
          </w:p>
        </w:tc>
        <w:tc>
          <w:tcPr>
            <w:tcW w:w="1096"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w:t>
            </w:r>
          </w:p>
        </w:tc>
        <w:tc>
          <w:tcPr>
            <w:tcW w:w="1090" w:type="pct"/>
            <w:tcBorders>
              <w:top w:val="single" w:sz="4" w:space="0" w:color="auto"/>
            </w:tcBorders>
            <w:vAlign w:val="center"/>
          </w:tcPr>
          <w:p w:rsidR="007A5498" w:rsidRPr="002A5805" w:rsidRDefault="007A5498" w:rsidP="00454BB8">
            <w:pPr>
              <w:pStyle w:val="TableText"/>
              <w:jc w:val="center"/>
              <w:rPr>
                <w:szCs w:val="20"/>
              </w:rPr>
            </w:pPr>
            <w:r w:rsidRPr="002A5805">
              <w:rPr>
                <w:szCs w:val="20"/>
              </w:rPr>
              <w:t>835 / 4212 (19.8)</w:t>
            </w:r>
          </w:p>
        </w:tc>
        <w:tc>
          <w:tcPr>
            <w:tcW w:w="959"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711 / 4187 (17.0)</w:t>
            </w:r>
          </w:p>
        </w:tc>
        <w:tc>
          <w:tcPr>
            <w:tcW w:w="914" w:type="pct"/>
            <w:tcBorders>
              <w:top w:val="single" w:sz="4" w:space="0" w:color="auto"/>
            </w:tcBorders>
            <w:shd w:val="clear" w:color="auto" w:fill="auto"/>
            <w:vAlign w:val="center"/>
          </w:tcPr>
          <w:p w:rsidR="007A5498" w:rsidRPr="002A5805" w:rsidRDefault="007A5498" w:rsidP="00454BB8">
            <w:pPr>
              <w:pStyle w:val="TableText"/>
              <w:jc w:val="center"/>
              <w:rPr>
                <w:szCs w:val="20"/>
              </w:rPr>
            </w:pPr>
            <w:r w:rsidRPr="002A5805">
              <w:rPr>
                <w:szCs w:val="20"/>
              </w:rPr>
              <w:t>0.84 (0.76, 0.93)</w:t>
            </w:r>
          </w:p>
        </w:tc>
      </w:tr>
      <w:tr w:rsidR="007A5498" w:rsidRPr="002A5805" w:rsidTr="002A5805">
        <w:tc>
          <w:tcPr>
            <w:tcW w:w="4086" w:type="pct"/>
            <w:gridSpan w:val="4"/>
          </w:tcPr>
          <w:p w:rsidR="007A5498" w:rsidRPr="002A5805" w:rsidRDefault="007A5498" w:rsidP="00454BB8">
            <w:pPr>
              <w:pStyle w:val="TableText"/>
              <w:jc w:val="right"/>
              <w:rPr>
                <w:b/>
                <w:szCs w:val="20"/>
              </w:rPr>
            </w:pPr>
            <w:r w:rsidRPr="002A5805">
              <w:rPr>
                <w:b/>
                <w:szCs w:val="20"/>
              </w:rPr>
              <w:t>Indirect comparison of dapagliflozin + SOC vs. sacubitril/valsartan + SOC</w:t>
            </w:r>
          </w:p>
          <w:p w:rsidR="007A5498" w:rsidRPr="002A5805" w:rsidRDefault="007A5498" w:rsidP="00454BB8">
            <w:pPr>
              <w:pStyle w:val="TableText"/>
              <w:jc w:val="right"/>
              <w:rPr>
                <w:b/>
                <w:szCs w:val="20"/>
              </w:rPr>
            </w:pPr>
            <w:r w:rsidRPr="002A5805">
              <w:rPr>
                <w:b/>
                <w:szCs w:val="20"/>
              </w:rPr>
              <w:t>(proposed non-inferiority margin: 1.41)</w:t>
            </w:r>
          </w:p>
        </w:tc>
        <w:tc>
          <w:tcPr>
            <w:tcW w:w="914" w:type="pct"/>
            <w:shd w:val="clear" w:color="auto" w:fill="auto"/>
            <w:vAlign w:val="center"/>
          </w:tcPr>
          <w:p w:rsidR="007A5498" w:rsidRPr="002A5805" w:rsidRDefault="007A5498" w:rsidP="00454BB8">
            <w:pPr>
              <w:pStyle w:val="TableText"/>
              <w:jc w:val="center"/>
              <w:rPr>
                <w:b/>
                <w:szCs w:val="20"/>
              </w:rPr>
            </w:pPr>
            <w:r w:rsidRPr="002A5805">
              <w:rPr>
                <w:b/>
                <w:szCs w:val="20"/>
              </w:rPr>
              <w:t>0.99 (0.82, 1.19)</w:t>
            </w:r>
          </w:p>
        </w:tc>
      </w:tr>
    </w:tbl>
    <w:p w:rsidR="007A5498" w:rsidRPr="004D292C" w:rsidRDefault="007A5498" w:rsidP="002A5805">
      <w:pPr>
        <w:pStyle w:val="TableFooter"/>
      </w:pPr>
      <w:bookmarkStart w:id="16" w:name="_Hlk49849756"/>
      <w:r w:rsidRPr="004D292C">
        <w:t>Source: Table 2.6-3, p.98 of the submission; Table 2, p.6 of McMurray et al. (2019); Table 2, p.999 of McMurray et al. (2014).</w:t>
      </w:r>
    </w:p>
    <w:p w:rsidR="007A5498" w:rsidRPr="004D292C" w:rsidRDefault="007A5498" w:rsidP="002A5805">
      <w:pPr>
        <w:pStyle w:val="TableFooter"/>
      </w:pPr>
      <w:r w:rsidRPr="004D292C">
        <w:t>Abbreviations: CI, confidence interval; HF, heart failure; HR, hazard ratio, SOC, standard care</w:t>
      </w:r>
      <w:bookmarkEnd w:id="16"/>
      <w:r w:rsidRPr="004D292C">
        <w:t>.</w:t>
      </w:r>
    </w:p>
    <w:p w:rsidR="00CA7A7B" w:rsidRPr="004D292C" w:rsidRDefault="00CA7A7B" w:rsidP="00815382">
      <w:pPr>
        <w:pStyle w:val="ExecSumBodyText"/>
      </w:pPr>
      <w:r w:rsidRPr="004D292C">
        <w:t xml:space="preserve">There were no statistically significant differences between dapagliflozin and sacubitril/valsartan for the composite outcome of time to cardiovascular death or hospitalisation for heart failure, time to hospitalisation for heart failure, time to cardiovascular death, or time to death from any cause. </w:t>
      </w:r>
      <w:r w:rsidR="00664EBB" w:rsidRPr="004D292C">
        <w:t>T</w:t>
      </w:r>
      <w:r w:rsidRPr="004D292C">
        <w:t>he upper 95% confidence interval</w:t>
      </w:r>
      <w:r w:rsidR="00664EBB" w:rsidRPr="004D292C">
        <w:t>s</w:t>
      </w:r>
      <w:r w:rsidRPr="004D292C">
        <w:t xml:space="preserve"> </w:t>
      </w:r>
      <w:r w:rsidR="00664EBB" w:rsidRPr="004D292C">
        <w:t>were</w:t>
      </w:r>
      <w:r w:rsidRPr="004D292C">
        <w:t xml:space="preserve"> less than the </w:t>
      </w:r>
      <w:r w:rsidR="00664EBB" w:rsidRPr="004D292C">
        <w:t xml:space="preserve">nominated </w:t>
      </w:r>
      <w:r w:rsidRPr="004D292C">
        <w:t>non-inferiority margin</w:t>
      </w:r>
      <w:r w:rsidR="00664EBB" w:rsidRPr="004D292C">
        <w:t xml:space="preserve">s for the composite of time to cardiovascular death or hospitalisation for heart failure, time to cardiovascular death, and time to death from any cause comparisons. </w:t>
      </w:r>
      <w:r w:rsidR="00985270" w:rsidRPr="004D292C">
        <w:t xml:space="preserve">The </w:t>
      </w:r>
      <w:r w:rsidR="00815382" w:rsidRPr="004D292C">
        <w:t>applicability of the nominated non-inferiority margins for time to cardiovascular death and time to death from any cause was unclear, as they were not derived from trials in heart failure, and were based on composite (rather than single) outcomes.</w:t>
      </w:r>
      <w:r w:rsidR="00815382" w:rsidRPr="004D292C">
        <w:rPr>
          <w:i/>
        </w:rPr>
        <w:t xml:space="preserve"> </w:t>
      </w:r>
    </w:p>
    <w:p w:rsidR="00CA7A7B" w:rsidRPr="004D292C" w:rsidRDefault="00CA7A7B" w:rsidP="00040132">
      <w:pPr>
        <w:pStyle w:val="ExecSumBodyText"/>
      </w:pPr>
      <w:r w:rsidRPr="004D292C">
        <w:lastRenderedPageBreak/>
        <w:t>The submission presented additional indirect analyses that were limited to a subgroup of patients in the placebo arm of DAPA-HF who were receiving treatment with an ACE inhibitor (to better match the enalapril arm of the PARADIGM-HF trial), and a subgroup of the dapagliflozin treatment arm receiving standard care that included an ACE inhibitor or ARB.</w:t>
      </w:r>
      <w:r w:rsidR="004D1BB9" w:rsidRPr="004D292C">
        <w:t xml:space="preserve"> </w:t>
      </w:r>
      <w:r w:rsidR="004D1BB9" w:rsidRPr="004D292C">
        <w:rPr>
          <w:iCs/>
        </w:rPr>
        <w:t xml:space="preserve">The selection of post hoc subgroups from the DAPA-HF trial to more closely align with the patient population in PARADIGM-HF </w:t>
      </w:r>
      <w:r w:rsidR="00E76110" w:rsidRPr="004D292C">
        <w:rPr>
          <w:iCs/>
        </w:rPr>
        <w:t xml:space="preserve">may have </w:t>
      </w:r>
      <w:r w:rsidR="004D1BB9" w:rsidRPr="004D292C">
        <w:rPr>
          <w:iCs/>
        </w:rPr>
        <w:t>introduced bias into the comparisons.</w:t>
      </w:r>
    </w:p>
    <w:p w:rsidR="00CA7A7B" w:rsidRPr="004D292C" w:rsidRDefault="00CA7A7B" w:rsidP="00CA7A7B">
      <w:pPr>
        <w:pStyle w:val="ExecSumBodyText"/>
      </w:pPr>
      <w:r w:rsidRPr="004D292C">
        <w:t>T</w:t>
      </w:r>
      <w:r w:rsidR="00097BEE" w:rsidRPr="004D292C">
        <w:t>able 6</w:t>
      </w:r>
      <w:r w:rsidRPr="004D292C">
        <w:t xml:space="preserve"> presents the results of the </w:t>
      </w:r>
      <w:r w:rsidR="00197DC8" w:rsidRPr="004D292C">
        <w:t>indirect comparison of dapagliflozin plus standard care including an ACE inhibitor or ARB (subgroup of the DAPA-HF dapagliflozin arm) versus sacubitril/valsartan plus standard care (PARADIGM-HF trial), using placebo plus standard care including an ACE inhibitor (subgroup of the DAPA-HF placebo arm) and enalapril plus standard care (PARADIGM-HF) as common reference</w:t>
      </w:r>
      <w:r w:rsidRPr="004D292C">
        <w:t>.</w:t>
      </w:r>
    </w:p>
    <w:p w:rsidR="00CA7A7B" w:rsidRPr="004D292C" w:rsidRDefault="00097BEE" w:rsidP="00CA7A7B">
      <w:pPr>
        <w:pStyle w:val="TableFigureCaption"/>
      </w:pPr>
      <w:r w:rsidRPr="004D292C">
        <w:t>Table 6</w:t>
      </w:r>
      <w:r w:rsidR="00CA7A7B" w:rsidRPr="004D292C">
        <w:t>: Results of indirect comparison based on the DAPA-HF trial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76"/>
        <w:gridCol w:w="1845"/>
        <w:gridCol w:w="1702"/>
        <w:gridCol w:w="1417"/>
        <w:gridCol w:w="1077"/>
      </w:tblGrid>
      <w:tr w:rsidR="00CA7A7B" w:rsidRPr="004D292C" w:rsidTr="002A5805">
        <w:trPr>
          <w:trHeight w:val="120"/>
          <w:tblHeader/>
        </w:trPr>
        <w:tc>
          <w:tcPr>
            <w:tcW w:w="1650" w:type="pct"/>
            <w:vMerge w:val="restart"/>
            <w:shd w:val="clear" w:color="auto" w:fill="auto"/>
            <w:vAlign w:val="center"/>
          </w:tcPr>
          <w:p w:rsidR="00CA7A7B" w:rsidRPr="004D292C" w:rsidRDefault="00CA7A7B" w:rsidP="004232F1">
            <w:pPr>
              <w:pStyle w:val="Tableheadingrow"/>
              <w:rPr>
                <w:lang w:val="en-AU"/>
              </w:rPr>
            </w:pPr>
            <w:r w:rsidRPr="004D292C">
              <w:rPr>
                <w:lang w:val="en-AU"/>
              </w:rPr>
              <w:t>Outcome</w:t>
            </w:r>
          </w:p>
        </w:tc>
        <w:tc>
          <w:tcPr>
            <w:tcW w:w="1023" w:type="pct"/>
            <w:vAlign w:val="center"/>
          </w:tcPr>
          <w:p w:rsidR="00CA7A7B" w:rsidRPr="004D292C" w:rsidRDefault="00CA7A7B" w:rsidP="004232F1">
            <w:pPr>
              <w:pStyle w:val="Tableheadingrow"/>
              <w:jc w:val="center"/>
              <w:rPr>
                <w:lang w:val="en-AU"/>
              </w:rPr>
            </w:pPr>
            <w:r w:rsidRPr="004D292C">
              <w:rPr>
                <w:lang w:val="en-AU"/>
              </w:rPr>
              <w:t>DAPA-HF</w:t>
            </w:r>
          </w:p>
        </w:tc>
        <w:tc>
          <w:tcPr>
            <w:tcW w:w="944" w:type="pct"/>
            <w:shd w:val="clear" w:color="auto" w:fill="auto"/>
            <w:vAlign w:val="center"/>
          </w:tcPr>
          <w:p w:rsidR="00CA7A7B" w:rsidRPr="004D292C" w:rsidRDefault="00CA7A7B" w:rsidP="004232F1">
            <w:pPr>
              <w:pStyle w:val="Tableheadingrow"/>
              <w:jc w:val="center"/>
              <w:rPr>
                <w:lang w:val="en-AU"/>
              </w:rPr>
            </w:pPr>
            <w:r w:rsidRPr="004D292C">
              <w:rPr>
                <w:lang w:val="en-AU"/>
              </w:rPr>
              <w:t>PARADIGM-HF</w:t>
            </w:r>
          </w:p>
        </w:tc>
        <w:tc>
          <w:tcPr>
            <w:tcW w:w="786" w:type="pct"/>
            <w:vMerge w:val="restart"/>
            <w:shd w:val="clear" w:color="auto" w:fill="auto"/>
            <w:vAlign w:val="center"/>
          </w:tcPr>
          <w:p w:rsidR="00CA7A7B" w:rsidRPr="004D292C" w:rsidRDefault="00CA7A7B" w:rsidP="004232F1">
            <w:pPr>
              <w:pStyle w:val="Tableheadingrow"/>
              <w:jc w:val="center"/>
              <w:rPr>
                <w:lang w:val="en-AU"/>
              </w:rPr>
            </w:pPr>
            <w:r w:rsidRPr="004D292C">
              <w:rPr>
                <w:lang w:val="en-AU"/>
              </w:rPr>
              <w:t>Indirect comparison</w:t>
            </w:r>
          </w:p>
          <w:p w:rsidR="00CA7A7B" w:rsidRPr="004D292C" w:rsidRDefault="00CA7A7B" w:rsidP="004232F1">
            <w:pPr>
              <w:pStyle w:val="Tableheadingrow"/>
              <w:jc w:val="center"/>
              <w:rPr>
                <w:lang w:val="en-AU"/>
              </w:rPr>
            </w:pPr>
            <w:r w:rsidRPr="004D292C">
              <w:rPr>
                <w:lang w:val="en-AU"/>
              </w:rPr>
              <w:t>HR (95% CI)</w:t>
            </w:r>
          </w:p>
        </w:tc>
        <w:tc>
          <w:tcPr>
            <w:tcW w:w="598" w:type="pct"/>
            <w:vMerge w:val="restart"/>
            <w:vAlign w:val="center"/>
          </w:tcPr>
          <w:p w:rsidR="00CA7A7B" w:rsidRPr="004D292C" w:rsidRDefault="00CA7A7B" w:rsidP="004232F1">
            <w:pPr>
              <w:pStyle w:val="Tableheadingrow"/>
              <w:jc w:val="center"/>
              <w:rPr>
                <w:lang w:val="en-AU"/>
              </w:rPr>
            </w:pPr>
            <w:r w:rsidRPr="004D292C">
              <w:rPr>
                <w:lang w:val="en-AU"/>
              </w:rPr>
              <w:t>Non-inferiority margin</w:t>
            </w:r>
          </w:p>
        </w:tc>
      </w:tr>
      <w:tr w:rsidR="00CA7A7B" w:rsidRPr="004D292C" w:rsidTr="002A5805">
        <w:trPr>
          <w:trHeight w:val="353"/>
          <w:tblHeader/>
        </w:trPr>
        <w:tc>
          <w:tcPr>
            <w:tcW w:w="1650" w:type="pct"/>
            <w:vMerge/>
            <w:shd w:val="clear" w:color="auto" w:fill="auto"/>
            <w:vAlign w:val="center"/>
          </w:tcPr>
          <w:p w:rsidR="00CA7A7B" w:rsidRPr="004D292C" w:rsidRDefault="00CA7A7B" w:rsidP="004232F1">
            <w:pPr>
              <w:pStyle w:val="Tableheadingrow"/>
              <w:rPr>
                <w:lang w:val="en-AU"/>
              </w:rPr>
            </w:pPr>
          </w:p>
        </w:tc>
        <w:tc>
          <w:tcPr>
            <w:tcW w:w="1023" w:type="pct"/>
          </w:tcPr>
          <w:p w:rsidR="004D1BB9" w:rsidRPr="004D292C" w:rsidRDefault="00CA7A7B" w:rsidP="004232F1">
            <w:pPr>
              <w:pStyle w:val="Tableheadingrow"/>
              <w:jc w:val="center"/>
              <w:rPr>
                <w:iCs/>
                <w:lang w:val="en-AU"/>
              </w:rPr>
            </w:pPr>
            <w:r w:rsidRPr="004D292C">
              <w:rPr>
                <w:iCs/>
                <w:lang w:val="en-AU"/>
              </w:rPr>
              <w:t xml:space="preserve">Dapagliflozin + </w:t>
            </w:r>
            <w:r w:rsidR="007A5498" w:rsidRPr="004D292C">
              <w:rPr>
                <w:iCs/>
                <w:lang w:val="en-AU"/>
              </w:rPr>
              <w:t xml:space="preserve">SOC </w:t>
            </w:r>
            <w:r w:rsidR="00816047" w:rsidRPr="004D292C">
              <w:rPr>
                <w:iCs/>
                <w:lang w:val="en-AU"/>
              </w:rPr>
              <w:t>including</w:t>
            </w:r>
            <w:r w:rsidR="007A5498" w:rsidRPr="004D292C">
              <w:rPr>
                <w:iCs/>
                <w:lang w:val="en-AU"/>
              </w:rPr>
              <w:t xml:space="preserve"> </w:t>
            </w:r>
            <w:r w:rsidRPr="004D292C">
              <w:rPr>
                <w:iCs/>
                <w:lang w:val="en-AU"/>
              </w:rPr>
              <w:t>ACE</w:t>
            </w:r>
            <w:r w:rsidR="00D51985" w:rsidRPr="004D292C">
              <w:rPr>
                <w:iCs/>
                <w:lang w:val="en-AU"/>
              </w:rPr>
              <w:t>/</w:t>
            </w:r>
            <w:r w:rsidRPr="004D292C">
              <w:rPr>
                <w:iCs/>
                <w:lang w:val="en-AU"/>
              </w:rPr>
              <w:t>ARB</w:t>
            </w:r>
          </w:p>
          <w:p w:rsidR="004D1BB9" w:rsidRPr="004D292C" w:rsidRDefault="004D1BB9" w:rsidP="004232F1">
            <w:pPr>
              <w:pStyle w:val="Tableheadingrow"/>
              <w:jc w:val="center"/>
              <w:rPr>
                <w:iCs/>
                <w:lang w:val="en-AU"/>
              </w:rPr>
            </w:pPr>
            <w:r w:rsidRPr="004D292C">
              <w:rPr>
                <w:iCs/>
                <w:lang w:val="en-AU"/>
              </w:rPr>
              <w:t>(n=1996)</w:t>
            </w:r>
            <w:r w:rsidR="00CA7A7B" w:rsidRPr="004D292C">
              <w:rPr>
                <w:iCs/>
                <w:lang w:val="en-AU"/>
              </w:rPr>
              <w:t xml:space="preserve"> </w:t>
            </w:r>
          </w:p>
          <w:p w:rsidR="00CA7A7B" w:rsidRPr="004D292C" w:rsidRDefault="00CA7A7B" w:rsidP="004232F1">
            <w:pPr>
              <w:pStyle w:val="Tableheadingrow"/>
              <w:jc w:val="center"/>
              <w:rPr>
                <w:iCs/>
                <w:lang w:val="en-AU"/>
              </w:rPr>
            </w:pPr>
            <w:r w:rsidRPr="004D292C">
              <w:rPr>
                <w:iCs/>
                <w:lang w:val="en-AU"/>
              </w:rPr>
              <w:t>vs placebo +</w:t>
            </w:r>
            <w:r w:rsidR="007A5498" w:rsidRPr="004D292C">
              <w:rPr>
                <w:iCs/>
                <w:lang w:val="en-AU"/>
              </w:rPr>
              <w:t xml:space="preserve"> SOC </w:t>
            </w:r>
            <w:r w:rsidR="00816047" w:rsidRPr="004D292C">
              <w:rPr>
                <w:iCs/>
                <w:lang w:val="en-AU"/>
              </w:rPr>
              <w:t>including</w:t>
            </w:r>
            <w:r w:rsidR="000B1FBA" w:rsidRPr="004D292C">
              <w:rPr>
                <w:iCs/>
                <w:lang w:val="en-AU"/>
              </w:rPr>
              <w:t xml:space="preserve"> </w:t>
            </w:r>
            <w:r w:rsidRPr="004D292C">
              <w:rPr>
                <w:iCs/>
                <w:lang w:val="en-AU"/>
              </w:rPr>
              <w:t>ACE</w:t>
            </w:r>
          </w:p>
          <w:p w:rsidR="004D1BB9" w:rsidRPr="004D292C" w:rsidRDefault="004D1BB9" w:rsidP="004232F1">
            <w:pPr>
              <w:pStyle w:val="Tableheadingrow"/>
              <w:jc w:val="center"/>
              <w:rPr>
                <w:iCs/>
                <w:lang w:val="en-AU"/>
              </w:rPr>
            </w:pPr>
            <w:r w:rsidRPr="004D292C">
              <w:rPr>
                <w:iCs/>
                <w:lang w:val="en-AU"/>
              </w:rPr>
              <w:t>(n=1329)</w:t>
            </w:r>
          </w:p>
          <w:p w:rsidR="00CA7A7B" w:rsidRPr="004D292C" w:rsidRDefault="00CA7A7B" w:rsidP="004232F1">
            <w:pPr>
              <w:pStyle w:val="Tableheadingrow"/>
              <w:jc w:val="center"/>
              <w:rPr>
                <w:lang w:val="en-AU"/>
              </w:rPr>
            </w:pPr>
            <w:r w:rsidRPr="004D292C">
              <w:rPr>
                <w:lang w:val="en-AU"/>
              </w:rPr>
              <w:t>HR (95% CI)</w:t>
            </w:r>
          </w:p>
        </w:tc>
        <w:tc>
          <w:tcPr>
            <w:tcW w:w="944" w:type="pct"/>
            <w:shd w:val="clear" w:color="auto" w:fill="auto"/>
            <w:vAlign w:val="center"/>
          </w:tcPr>
          <w:p w:rsidR="00CA7A7B" w:rsidRPr="004D292C" w:rsidRDefault="00CA7A7B" w:rsidP="004232F1">
            <w:pPr>
              <w:pStyle w:val="Tableheadingrow"/>
              <w:jc w:val="center"/>
              <w:rPr>
                <w:lang w:val="en-AU"/>
              </w:rPr>
            </w:pPr>
            <w:r w:rsidRPr="004D292C">
              <w:rPr>
                <w:lang w:val="en-AU"/>
              </w:rPr>
              <w:t>Sacubitril/valsartan</w:t>
            </w:r>
            <w:r w:rsidR="007A5498" w:rsidRPr="004D292C">
              <w:rPr>
                <w:lang w:val="en-AU"/>
              </w:rPr>
              <w:t xml:space="preserve"> + SOC</w:t>
            </w:r>
          </w:p>
          <w:p w:rsidR="004D1BB9" w:rsidRPr="004D292C" w:rsidRDefault="004D1BB9" w:rsidP="004232F1">
            <w:pPr>
              <w:pStyle w:val="Tableheadingrow"/>
              <w:jc w:val="center"/>
              <w:rPr>
                <w:lang w:val="en-AU"/>
              </w:rPr>
            </w:pPr>
            <w:r w:rsidRPr="004D292C">
              <w:rPr>
                <w:lang w:val="en-AU"/>
              </w:rPr>
              <w:t>(N=4187)</w:t>
            </w:r>
          </w:p>
          <w:p w:rsidR="00CA7A7B" w:rsidRPr="004D292C" w:rsidRDefault="00CA7A7B" w:rsidP="004232F1">
            <w:pPr>
              <w:pStyle w:val="Tableheadingrow"/>
              <w:jc w:val="center"/>
              <w:rPr>
                <w:lang w:val="en-AU"/>
              </w:rPr>
            </w:pPr>
            <w:r w:rsidRPr="004D292C">
              <w:rPr>
                <w:lang w:val="en-AU"/>
              </w:rPr>
              <w:t>vs enalapril</w:t>
            </w:r>
            <w:r w:rsidR="000B6CBC" w:rsidRPr="004D292C">
              <w:rPr>
                <w:lang w:val="en-AU"/>
              </w:rPr>
              <w:t xml:space="preserve"> + </w:t>
            </w:r>
            <w:r w:rsidR="007A5498" w:rsidRPr="004D292C">
              <w:rPr>
                <w:lang w:val="en-AU"/>
              </w:rPr>
              <w:t>SOC</w:t>
            </w:r>
          </w:p>
          <w:p w:rsidR="002A0395" w:rsidRPr="004D292C" w:rsidRDefault="002A0395" w:rsidP="004232F1">
            <w:pPr>
              <w:pStyle w:val="Tableheadingrow"/>
              <w:jc w:val="center"/>
              <w:rPr>
                <w:lang w:val="en-AU"/>
              </w:rPr>
            </w:pPr>
          </w:p>
          <w:p w:rsidR="004D1BB9" w:rsidRPr="004D292C" w:rsidRDefault="004D1BB9" w:rsidP="004232F1">
            <w:pPr>
              <w:pStyle w:val="Tableheadingrow"/>
              <w:jc w:val="center"/>
              <w:rPr>
                <w:lang w:val="en-AU"/>
              </w:rPr>
            </w:pPr>
            <w:r w:rsidRPr="004D292C">
              <w:rPr>
                <w:lang w:val="en-AU"/>
              </w:rPr>
              <w:t>(N=4212)</w:t>
            </w:r>
          </w:p>
          <w:p w:rsidR="004D1BB9" w:rsidRPr="004D292C" w:rsidRDefault="00CA7A7B" w:rsidP="004D1BB9">
            <w:pPr>
              <w:pStyle w:val="Tableheadingrow"/>
              <w:jc w:val="center"/>
              <w:rPr>
                <w:lang w:val="en-AU"/>
              </w:rPr>
            </w:pPr>
            <w:r w:rsidRPr="004D292C">
              <w:rPr>
                <w:lang w:val="en-AU"/>
              </w:rPr>
              <w:t>HR (95% CI)</w:t>
            </w:r>
          </w:p>
        </w:tc>
        <w:tc>
          <w:tcPr>
            <w:tcW w:w="786" w:type="pct"/>
            <w:vMerge/>
            <w:shd w:val="clear" w:color="auto" w:fill="auto"/>
            <w:vAlign w:val="center"/>
          </w:tcPr>
          <w:p w:rsidR="00CA7A7B" w:rsidRPr="004D292C" w:rsidRDefault="00CA7A7B" w:rsidP="004232F1">
            <w:pPr>
              <w:pStyle w:val="Tableheadingrow"/>
              <w:jc w:val="center"/>
              <w:rPr>
                <w:lang w:val="en-AU"/>
              </w:rPr>
            </w:pPr>
          </w:p>
        </w:tc>
        <w:tc>
          <w:tcPr>
            <w:tcW w:w="598" w:type="pct"/>
            <w:vMerge/>
          </w:tcPr>
          <w:p w:rsidR="00CA7A7B" w:rsidRPr="004D292C" w:rsidRDefault="00CA7A7B" w:rsidP="004232F1">
            <w:pPr>
              <w:pStyle w:val="Tableheadingrow"/>
              <w:jc w:val="center"/>
              <w:rPr>
                <w:lang w:val="en-AU"/>
              </w:rPr>
            </w:pPr>
          </w:p>
        </w:tc>
      </w:tr>
      <w:tr w:rsidR="00CA7A7B" w:rsidRPr="004D292C" w:rsidTr="002A5805">
        <w:trPr>
          <w:tblHeader/>
        </w:trPr>
        <w:tc>
          <w:tcPr>
            <w:tcW w:w="1650" w:type="pct"/>
            <w:shd w:val="clear" w:color="auto" w:fill="auto"/>
            <w:vAlign w:val="center"/>
          </w:tcPr>
          <w:p w:rsidR="00CA7A7B" w:rsidRPr="004D292C" w:rsidRDefault="00CA7A7B" w:rsidP="004232F1">
            <w:pPr>
              <w:pStyle w:val="Tableheadingrow"/>
              <w:rPr>
                <w:b w:val="0"/>
                <w:lang w:val="en-AU"/>
              </w:rPr>
            </w:pPr>
            <w:r w:rsidRPr="004D292C">
              <w:rPr>
                <w:b w:val="0"/>
                <w:lang w:val="en-AU"/>
              </w:rPr>
              <w:t>Composite of time to CV death or hospitalisation for HF</w:t>
            </w:r>
          </w:p>
        </w:tc>
        <w:tc>
          <w:tcPr>
            <w:tcW w:w="1023" w:type="pct"/>
            <w:vAlign w:val="center"/>
          </w:tcPr>
          <w:p w:rsidR="00CA7A7B" w:rsidRPr="004D292C" w:rsidRDefault="00CA7A7B" w:rsidP="004232F1">
            <w:pPr>
              <w:pStyle w:val="Tableheadingrow"/>
              <w:jc w:val="center"/>
              <w:rPr>
                <w:b w:val="0"/>
                <w:lang w:val="en-AU"/>
              </w:rPr>
            </w:pPr>
            <w:r w:rsidRPr="004D292C">
              <w:rPr>
                <w:b w:val="0"/>
                <w:iCs/>
                <w:lang w:val="en-AU"/>
              </w:rPr>
              <w:t>0.73 (0.62, 0.86)</w:t>
            </w:r>
          </w:p>
        </w:tc>
        <w:tc>
          <w:tcPr>
            <w:tcW w:w="944" w:type="pct"/>
            <w:shd w:val="clear" w:color="auto" w:fill="auto"/>
            <w:vAlign w:val="center"/>
          </w:tcPr>
          <w:p w:rsidR="00CA7A7B" w:rsidRPr="004D292C" w:rsidRDefault="00CA7A7B" w:rsidP="004232F1">
            <w:pPr>
              <w:pStyle w:val="Tableheadingrow"/>
              <w:jc w:val="center"/>
              <w:rPr>
                <w:b w:val="0"/>
                <w:iCs/>
                <w:lang w:val="en-AU"/>
              </w:rPr>
            </w:pPr>
            <w:r w:rsidRPr="004D292C">
              <w:rPr>
                <w:b w:val="0"/>
                <w:lang w:val="en-AU"/>
              </w:rPr>
              <w:t>0.80 (0.73, 0.87)</w:t>
            </w:r>
          </w:p>
        </w:tc>
        <w:tc>
          <w:tcPr>
            <w:tcW w:w="786" w:type="pct"/>
            <w:shd w:val="clear" w:color="auto" w:fill="auto"/>
            <w:vAlign w:val="center"/>
          </w:tcPr>
          <w:p w:rsidR="00CA7A7B" w:rsidRPr="004D292C" w:rsidRDefault="00CA7A7B" w:rsidP="004232F1">
            <w:pPr>
              <w:pStyle w:val="Tableheadingrow"/>
              <w:jc w:val="center"/>
              <w:rPr>
                <w:b w:val="0"/>
                <w:lang w:val="en-AU"/>
              </w:rPr>
            </w:pPr>
            <w:r w:rsidRPr="004D292C">
              <w:rPr>
                <w:b w:val="0"/>
                <w:lang w:val="en-AU"/>
              </w:rPr>
              <w:t>0.92 (0.76, 1.10)</w:t>
            </w:r>
          </w:p>
        </w:tc>
        <w:tc>
          <w:tcPr>
            <w:tcW w:w="598" w:type="pct"/>
            <w:vAlign w:val="center"/>
          </w:tcPr>
          <w:p w:rsidR="00CA7A7B" w:rsidRPr="004D292C" w:rsidRDefault="00CA7A7B" w:rsidP="004232F1">
            <w:pPr>
              <w:pStyle w:val="Tableheadingrow"/>
              <w:jc w:val="center"/>
              <w:rPr>
                <w:b w:val="0"/>
                <w:lang w:val="en-AU"/>
              </w:rPr>
            </w:pPr>
            <w:r w:rsidRPr="004D292C">
              <w:rPr>
                <w:b w:val="0"/>
                <w:lang w:val="en-AU"/>
              </w:rPr>
              <w:t>1.104</w:t>
            </w:r>
          </w:p>
        </w:tc>
      </w:tr>
      <w:tr w:rsidR="00CA7A7B" w:rsidRPr="004D292C" w:rsidTr="002A5805">
        <w:trPr>
          <w:tblHeader/>
        </w:trPr>
        <w:tc>
          <w:tcPr>
            <w:tcW w:w="1650" w:type="pct"/>
            <w:shd w:val="clear" w:color="auto" w:fill="auto"/>
            <w:vAlign w:val="center"/>
          </w:tcPr>
          <w:p w:rsidR="00CA7A7B" w:rsidRPr="004D292C" w:rsidRDefault="00CA7A7B" w:rsidP="004232F1">
            <w:pPr>
              <w:pStyle w:val="Tableheadingrow"/>
              <w:rPr>
                <w:b w:val="0"/>
                <w:lang w:val="en-AU"/>
              </w:rPr>
            </w:pPr>
            <w:r w:rsidRPr="004D292C">
              <w:rPr>
                <w:b w:val="0"/>
                <w:lang w:val="en-AU"/>
              </w:rPr>
              <w:t>Time to hospitalisation for heart failure</w:t>
            </w:r>
          </w:p>
        </w:tc>
        <w:tc>
          <w:tcPr>
            <w:tcW w:w="1023" w:type="pct"/>
          </w:tcPr>
          <w:p w:rsidR="00CA7A7B" w:rsidRPr="004D292C" w:rsidRDefault="00CA7A7B" w:rsidP="004232F1">
            <w:pPr>
              <w:pStyle w:val="Tableheadingrow"/>
              <w:jc w:val="center"/>
              <w:rPr>
                <w:b w:val="0"/>
                <w:lang w:val="en-AU"/>
              </w:rPr>
            </w:pPr>
            <w:r w:rsidRPr="004D292C">
              <w:rPr>
                <w:b w:val="0"/>
                <w:iCs/>
                <w:lang w:val="en-AU"/>
              </w:rPr>
              <w:t>0.73 (0.59, 0.91)</w:t>
            </w:r>
          </w:p>
        </w:tc>
        <w:tc>
          <w:tcPr>
            <w:tcW w:w="944" w:type="pct"/>
            <w:shd w:val="clear" w:color="auto" w:fill="auto"/>
            <w:vAlign w:val="center"/>
          </w:tcPr>
          <w:p w:rsidR="00CA7A7B" w:rsidRPr="004D292C" w:rsidRDefault="00CA7A7B" w:rsidP="004232F1">
            <w:pPr>
              <w:pStyle w:val="Tableheadingrow"/>
              <w:jc w:val="center"/>
              <w:rPr>
                <w:b w:val="0"/>
                <w:iCs/>
                <w:lang w:val="en-AU"/>
              </w:rPr>
            </w:pPr>
            <w:r w:rsidRPr="004D292C">
              <w:rPr>
                <w:b w:val="0"/>
                <w:lang w:val="en-AU"/>
              </w:rPr>
              <w:t>0.79 (0.71, 0.88)</w:t>
            </w:r>
          </w:p>
        </w:tc>
        <w:tc>
          <w:tcPr>
            <w:tcW w:w="786" w:type="pct"/>
            <w:shd w:val="clear" w:color="auto" w:fill="auto"/>
            <w:vAlign w:val="center"/>
          </w:tcPr>
          <w:p w:rsidR="00CA7A7B" w:rsidRPr="004D292C" w:rsidRDefault="00CA7A7B" w:rsidP="004232F1">
            <w:pPr>
              <w:pStyle w:val="Tableheadingrow"/>
              <w:jc w:val="center"/>
              <w:rPr>
                <w:b w:val="0"/>
                <w:lang w:val="en-AU"/>
              </w:rPr>
            </w:pPr>
            <w:r w:rsidRPr="004D292C">
              <w:rPr>
                <w:b w:val="0"/>
                <w:lang w:val="en-AU"/>
              </w:rPr>
              <w:t>0.93 (0.73, 1.18)</w:t>
            </w:r>
          </w:p>
        </w:tc>
        <w:tc>
          <w:tcPr>
            <w:tcW w:w="598" w:type="pct"/>
          </w:tcPr>
          <w:p w:rsidR="00CA7A7B" w:rsidRPr="004D292C" w:rsidRDefault="00CA7A7B" w:rsidP="004232F1">
            <w:pPr>
              <w:pStyle w:val="Tableheadingrow"/>
              <w:jc w:val="center"/>
              <w:rPr>
                <w:b w:val="0"/>
                <w:lang w:val="en-AU"/>
              </w:rPr>
            </w:pPr>
            <w:r w:rsidRPr="004D292C">
              <w:rPr>
                <w:b w:val="0"/>
                <w:lang w:val="en-AU"/>
              </w:rPr>
              <w:t>-</w:t>
            </w:r>
          </w:p>
        </w:tc>
      </w:tr>
      <w:tr w:rsidR="00CA7A7B" w:rsidRPr="004D292C" w:rsidTr="002A5805">
        <w:trPr>
          <w:tblHeader/>
        </w:trPr>
        <w:tc>
          <w:tcPr>
            <w:tcW w:w="1650" w:type="pct"/>
            <w:shd w:val="clear" w:color="auto" w:fill="auto"/>
            <w:vAlign w:val="center"/>
          </w:tcPr>
          <w:p w:rsidR="00CA7A7B" w:rsidRPr="004D292C" w:rsidRDefault="00CA7A7B" w:rsidP="004232F1">
            <w:pPr>
              <w:pStyle w:val="Tableheadingrow"/>
              <w:rPr>
                <w:b w:val="0"/>
                <w:lang w:val="en-AU"/>
              </w:rPr>
            </w:pPr>
            <w:r w:rsidRPr="004D292C">
              <w:rPr>
                <w:b w:val="0"/>
                <w:lang w:val="en-AU"/>
              </w:rPr>
              <w:t>Time to cardiovascular death</w:t>
            </w:r>
          </w:p>
        </w:tc>
        <w:tc>
          <w:tcPr>
            <w:tcW w:w="1023" w:type="pct"/>
          </w:tcPr>
          <w:p w:rsidR="00CA7A7B" w:rsidRPr="004D292C" w:rsidRDefault="00CA7A7B" w:rsidP="004232F1">
            <w:pPr>
              <w:pStyle w:val="Tableheadingrow"/>
              <w:jc w:val="center"/>
              <w:rPr>
                <w:b w:val="0"/>
                <w:lang w:val="en-AU"/>
              </w:rPr>
            </w:pPr>
            <w:r w:rsidRPr="004D292C">
              <w:rPr>
                <w:b w:val="0"/>
                <w:iCs/>
                <w:lang w:val="en-AU"/>
              </w:rPr>
              <w:t>0.71 (0.57, 0.87)</w:t>
            </w:r>
          </w:p>
        </w:tc>
        <w:tc>
          <w:tcPr>
            <w:tcW w:w="944" w:type="pct"/>
            <w:shd w:val="clear" w:color="auto" w:fill="auto"/>
            <w:vAlign w:val="center"/>
          </w:tcPr>
          <w:p w:rsidR="00CA7A7B" w:rsidRPr="004D292C" w:rsidRDefault="00CA7A7B" w:rsidP="004232F1">
            <w:pPr>
              <w:pStyle w:val="Tableheadingrow"/>
              <w:jc w:val="center"/>
              <w:rPr>
                <w:b w:val="0"/>
                <w:iCs/>
                <w:lang w:val="en-AU"/>
              </w:rPr>
            </w:pPr>
            <w:r w:rsidRPr="004D292C">
              <w:rPr>
                <w:b w:val="0"/>
                <w:lang w:val="en-AU"/>
              </w:rPr>
              <w:t>0.80 (0.71, 0.90)</w:t>
            </w:r>
          </w:p>
        </w:tc>
        <w:tc>
          <w:tcPr>
            <w:tcW w:w="786" w:type="pct"/>
            <w:shd w:val="clear" w:color="auto" w:fill="auto"/>
            <w:vAlign w:val="center"/>
          </w:tcPr>
          <w:p w:rsidR="00CA7A7B" w:rsidRPr="004D292C" w:rsidRDefault="00CA7A7B" w:rsidP="004232F1">
            <w:pPr>
              <w:pStyle w:val="Tableheadingrow"/>
              <w:jc w:val="center"/>
              <w:rPr>
                <w:b w:val="0"/>
                <w:lang w:val="en-AU"/>
              </w:rPr>
            </w:pPr>
            <w:r w:rsidRPr="004D292C">
              <w:rPr>
                <w:b w:val="0"/>
                <w:lang w:val="en-AU"/>
              </w:rPr>
              <w:t>0.89 (0.70, 1.12)</w:t>
            </w:r>
          </w:p>
        </w:tc>
        <w:tc>
          <w:tcPr>
            <w:tcW w:w="598" w:type="pct"/>
          </w:tcPr>
          <w:p w:rsidR="00CA7A7B" w:rsidRPr="004D292C" w:rsidRDefault="00CA7A7B" w:rsidP="004232F1">
            <w:pPr>
              <w:pStyle w:val="Tableheadingrow"/>
              <w:jc w:val="center"/>
              <w:rPr>
                <w:b w:val="0"/>
                <w:lang w:val="en-AU"/>
              </w:rPr>
            </w:pPr>
            <w:r w:rsidRPr="004D292C">
              <w:rPr>
                <w:b w:val="0"/>
                <w:lang w:val="en-AU"/>
              </w:rPr>
              <w:t>1.33</w:t>
            </w:r>
          </w:p>
        </w:tc>
      </w:tr>
      <w:tr w:rsidR="00CA7A7B" w:rsidRPr="004D292C" w:rsidTr="002A5805">
        <w:trPr>
          <w:tblHeader/>
        </w:trPr>
        <w:tc>
          <w:tcPr>
            <w:tcW w:w="1650" w:type="pct"/>
            <w:shd w:val="clear" w:color="auto" w:fill="auto"/>
            <w:vAlign w:val="center"/>
          </w:tcPr>
          <w:p w:rsidR="00CA7A7B" w:rsidRPr="004D292C" w:rsidRDefault="00CA7A7B" w:rsidP="004232F1">
            <w:pPr>
              <w:pStyle w:val="Tableheadingrow"/>
              <w:rPr>
                <w:b w:val="0"/>
                <w:lang w:val="en-AU"/>
              </w:rPr>
            </w:pPr>
            <w:r w:rsidRPr="004D292C">
              <w:rPr>
                <w:b w:val="0"/>
                <w:lang w:val="en-AU"/>
              </w:rPr>
              <w:t>Time to death from any cause</w:t>
            </w:r>
          </w:p>
        </w:tc>
        <w:tc>
          <w:tcPr>
            <w:tcW w:w="1023" w:type="pct"/>
          </w:tcPr>
          <w:p w:rsidR="00CA7A7B" w:rsidRPr="004D292C" w:rsidRDefault="00CA7A7B" w:rsidP="004232F1">
            <w:pPr>
              <w:pStyle w:val="Tableheadingrow"/>
              <w:jc w:val="center"/>
              <w:rPr>
                <w:b w:val="0"/>
                <w:lang w:val="en-AU"/>
              </w:rPr>
            </w:pPr>
            <w:r w:rsidRPr="004D292C">
              <w:rPr>
                <w:b w:val="0"/>
                <w:iCs/>
                <w:lang w:val="en-AU"/>
              </w:rPr>
              <w:t>0.75 (0.62, 0.91)</w:t>
            </w:r>
          </w:p>
        </w:tc>
        <w:tc>
          <w:tcPr>
            <w:tcW w:w="944" w:type="pct"/>
            <w:shd w:val="clear" w:color="auto" w:fill="auto"/>
            <w:vAlign w:val="center"/>
          </w:tcPr>
          <w:p w:rsidR="00CA7A7B" w:rsidRPr="004D292C" w:rsidRDefault="00CA7A7B" w:rsidP="004232F1">
            <w:pPr>
              <w:pStyle w:val="Tableheadingrow"/>
              <w:jc w:val="center"/>
              <w:rPr>
                <w:b w:val="0"/>
                <w:iCs/>
                <w:lang w:val="en-AU"/>
              </w:rPr>
            </w:pPr>
            <w:r w:rsidRPr="004D292C">
              <w:rPr>
                <w:b w:val="0"/>
                <w:lang w:val="en-AU"/>
              </w:rPr>
              <w:t>0.84 (0.76, 0.93)</w:t>
            </w:r>
          </w:p>
        </w:tc>
        <w:tc>
          <w:tcPr>
            <w:tcW w:w="786" w:type="pct"/>
            <w:shd w:val="clear" w:color="auto" w:fill="auto"/>
            <w:vAlign w:val="center"/>
          </w:tcPr>
          <w:p w:rsidR="00CA7A7B" w:rsidRPr="004D292C" w:rsidRDefault="00CA7A7B" w:rsidP="004232F1">
            <w:pPr>
              <w:pStyle w:val="Tableheadingrow"/>
              <w:jc w:val="center"/>
              <w:rPr>
                <w:b w:val="0"/>
                <w:lang w:val="en-AU"/>
              </w:rPr>
            </w:pPr>
            <w:r w:rsidRPr="004D292C">
              <w:rPr>
                <w:b w:val="0"/>
                <w:lang w:val="en-AU"/>
              </w:rPr>
              <w:t>0.89 (0.72, 1.11)</w:t>
            </w:r>
          </w:p>
        </w:tc>
        <w:tc>
          <w:tcPr>
            <w:tcW w:w="598" w:type="pct"/>
          </w:tcPr>
          <w:p w:rsidR="00CA7A7B" w:rsidRPr="004D292C" w:rsidRDefault="00CA7A7B" w:rsidP="004232F1">
            <w:pPr>
              <w:pStyle w:val="Tableheadingrow"/>
              <w:jc w:val="center"/>
              <w:rPr>
                <w:b w:val="0"/>
                <w:lang w:val="en-AU"/>
              </w:rPr>
            </w:pPr>
            <w:r w:rsidRPr="004D292C">
              <w:rPr>
                <w:b w:val="0"/>
                <w:lang w:val="en-AU"/>
              </w:rPr>
              <w:t>1.41</w:t>
            </w:r>
          </w:p>
        </w:tc>
      </w:tr>
    </w:tbl>
    <w:p w:rsidR="00CA7A7B" w:rsidRPr="004D292C" w:rsidRDefault="00CA7A7B" w:rsidP="00CA7A7B">
      <w:pPr>
        <w:pStyle w:val="TableFigureFooter"/>
      </w:pPr>
      <w:r w:rsidRPr="004D292C">
        <w:t>Source: Table 2.6-3, p.97 of the submission.</w:t>
      </w:r>
    </w:p>
    <w:p w:rsidR="00CA7A7B" w:rsidRPr="004D292C" w:rsidRDefault="00CA7A7B" w:rsidP="00CA7A7B">
      <w:pPr>
        <w:pStyle w:val="TableFigureFooter"/>
        <w:rPr>
          <w:sz w:val="20"/>
        </w:rPr>
      </w:pPr>
      <w:r w:rsidRPr="004D292C">
        <w:t xml:space="preserve">Abbreviations: </w:t>
      </w:r>
      <w:r w:rsidR="001A6C7C" w:rsidRPr="004D292C">
        <w:t xml:space="preserve">ACE, angiotensin-converting enzyme inhibitor; ARB, angiotensin II receptor blocker; </w:t>
      </w:r>
      <w:r w:rsidRPr="004D292C">
        <w:t>CI, confidence interval; CV, cardiovascular; HF, heart failure; HR, hazard ratio</w:t>
      </w:r>
      <w:r w:rsidR="00B25E52" w:rsidRPr="004D292C">
        <w:t>; SOC, standard care.</w:t>
      </w:r>
    </w:p>
    <w:p w:rsidR="00CA7A7B" w:rsidRPr="004D292C" w:rsidRDefault="00CA7A7B" w:rsidP="00CA7A7B">
      <w:pPr>
        <w:pStyle w:val="ExecSumBodyText"/>
      </w:pPr>
      <w:r w:rsidRPr="004D292C">
        <w:t>There were no statistically significant differences between dapagliflozin and sacubitril/valsartan for the composite outcome of time to cardiovascular death or hospitalisation for heart failure, time to hospitalisation for heart failure, time to cardiovascular death, or time to death from any cause based on the subgroup analysis. Where nominated, the upper 95% confidence interval was less than the non-inferiority margin proposed in the submission.</w:t>
      </w:r>
    </w:p>
    <w:p w:rsidR="000448BA" w:rsidRPr="004D292C" w:rsidRDefault="00CA7A7B" w:rsidP="006906AF">
      <w:pPr>
        <w:pStyle w:val="ExecSumBodyText"/>
        <w:rPr>
          <w:i/>
        </w:rPr>
      </w:pPr>
      <w:r w:rsidRPr="004D292C">
        <w:t>Results of the indirect comparison should be interpreted with caution due to differences between the trials in eligibility criteria (LVEF cut-off), trial design (run-in periods), common reference arms (placebo</w:t>
      </w:r>
      <w:r w:rsidR="00AC0500">
        <w:t xml:space="preserve"> plus standard care</w:t>
      </w:r>
      <w:r w:rsidRPr="004D292C">
        <w:t xml:space="preserve"> versus </w:t>
      </w:r>
      <w:r w:rsidR="0070018E" w:rsidRPr="004D292C">
        <w:t>fixed dose enalapril</w:t>
      </w:r>
      <w:r w:rsidR="00AC0500">
        <w:t xml:space="preserve"> plus standard care</w:t>
      </w:r>
      <w:r w:rsidRPr="004D292C">
        <w:t>), patient characteristics (background therapies, heart failure severity, proportion of patients with diabetes), follow-up durations (18 months versus 27 months), and trial locations (20</w:t>
      </w:r>
      <w:r w:rsidR="004F270B" w:rsidRPr="004D292C">
        <w:t xml:space="preserve"> countries versus 47 countries).</w:t>
      </w:r>
      <w:r w:rsidR="00986E58" w:rsidRPr="004D292C">
        <w:t xml:space="preserve"> </w:t>
      </w:r>
      <w:r w:rsidR="001719FB" w:rsidRPr="004D292C">
        <w:t>The ESC considered that the common reference arms</w:t>
      </w:r>
      <w:r w:rsidR="003D775B" w:rsidRPr="004D292C">
        <w:t>,</w:t>
      </w:r>
      <w:r w:rsidR="001719FB" w:rsidRPr="004D292C">
        <w:t xml:space="preserve"> which represent the ‘anchor’ </w:t>
      </w:r>
      <w:r w:rsidR="00243870" w:rsidRPr="004D292C">
        <w:t xml:space="preserve">may be </w:t>
      </w:r>
      <w:r w:rsidR="001719FB" w:rsidRPr="004D292C">
        <w:t xml:space="preserve">acceptable if enalapril was representative of any ACE/ARB. The other differences were not considered </w:t>
      </w:r>
      <w:r w:rsidR="00256B65" w:rsidRPr="004D292C">
        <w:t>major</w:t>
      </w:r>
      <w:r w:rsidR="001719FB" w:rsidRPr="004D292C">
        <w:t xml:space="preserve"> issues.</w:t>
      </w:r>
    </w:p>
    <w:p w:rsidR="00B303F7" w:rsidRPr="004D292C" w:rsidRDefault="00B303F7" w:rsidP="006906AF">
      <w:pPr>
        <w:pStyle w:val="ExecSumBodyText"/>
        <w:rPr>
          <w:i/>
        </w:rPr>
      </w:pPr>
      <w:r w:rsidRPr="004D292C">
        <w:lastRenderedPageBreak/>
        <w:t>The submission</w:t>
      </w:r>
      <w:r w:rsidR="000448BA" w:rsidRPr="004D292C">
        <w:t xml:space="preserve"> also</w:t>
      </w:r>
      <w:r w:rsidRPr="004D292C">
        <w:t xml:space="preserve"> presented the results of </w:t>
      </w:r>
      <w:r w:rsidR="00197DC8" w:rsidRPr="004D292C">
        <w:t>an anchored MAIC of dapagliflozin plus standard care including an ACE inhibitor or ARB (subgroup of the DAPA-HF dapagliflozin arm) versus sacubitril/valsartan plus standard care (PARADIGM-HF trial), using placebo plus standard care including an ACE inhibitor (subgroup of the DAPA-HF placebo arm) and enalapril plus standard care (PARADIGM-HF) as common reference.</w:t>
      </w:r>
    </w:p>
    <w:p w:rsidR="004F270B" w:rsidRPr="004D292C" w:rsidRDefault="004F270B" w:rsidP="004F270B">
      <w:pPr>
        <w:pStyle w:val="ExecSumBodyText"/>
      </w:pPr>
      <w:r w:rsidRPr="004D292C">
        <w:t>Matching for the selected variables resulted in a large reduction in sample size in the already reduced placebo plus standard care including an ACE inhibitor and dapagliflozin including an ACE inhibitor or ARB subgroups. There was limited documentation relating to the identification of treatment effect modifier variables and it was unclear whether all relevant treatment effect modifiers were matched in the analysis. In particular, differences in background heart failure therapies were not adjusted for in the analysis.</w:t>
      </w:r>
      <w:r w:rsidR="00986E58" w:rsidRPr="004D292C">
        <w:t xml:space="preserve"> The ESC considered the reduced sample was not a major issue if the common reference arm</w:t>
      </w:r>
      <w:r w:rsidR="00145A12" w:rsidRPr="004D292C">
        <w:t>s</w:t>
      </w:r>
      <w:r w:rsidR="00986E58" w:rsidRPr="004D292C">
        <w:t xml:space="preserve"> anchoring the MAIC were considered acceptable.</w:t>
      </w:r>
    </w:p>
    <w:p w:rsidR="00B303F7" w:rsidRPr="004D292C" w:rsidRDefault="00B303F7" w:rsidP="00B303F7">
      <w:pPr>
        <w:pStyle w:val="ExecSumBodyText"/>
        <w:rPr>
          <w:i/>
        </w:rPr>
      </w:pPr>
      <w:r w:rsidRPr="004D292C">
        <w:t xml:space="preserve">Summary results of the MAIC are presented in </w:t>
      </w:r>
      <w:r w:rsidR="00097BEE" w:rsidRPr="004D292C">
        <w:t>Table 7</w:t>
      </w:r>
      <w:r w:rsidRPr="004D292C">
        <w:t>.</w:t>
      </w:r>
    </w:p>
    <w:p w:rsidR="00B303F7" w:rsidRPr="004D292C" w:rsidRDefault="00097BEE" w:rsidP="00B303F7">
      <w:pPr>
        <w:pStyle w:val="TableFigureCaption"/>
      </w:pPr>
      <w:r w:rsidRPr="004D292C">
        <w:t>Table 7</w:t>
      </w:r>
      <w:r w:rsidR="00B303F7" w:rsidRPr="004D292C">
        <w:t xml:space="preserve">: Results of the </w:t>
      </w:r>
      <w:r w:rsidR="004F270B" w:rsidRPr="004D292C">
        <w:t>matching adjusted indirect comparison (</w:t>
      </w:r>
      <w:r w:rsidR="00B303F7" w:rsidRPr="004D292C">
        <w:t>MAIC</w:t>
      </w:r>
      <w:r w:rsidR="004F270B" w:rsidRPr="004D292C">
        <w:t>)</w:t>
      </w:r>
      <w:r w:rsidR="00B303F7" w:rsidRPr="004D292C">
        <w:t xml:space="preserve"> based on the DAPA-HF trial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38"/>
        <w:gridCol w:w="1805"/>
        <w:gridCol w:w="1847"/>
        <w:gridCol w:w="1383"/>
        <w:gridCol w:w="1044"/>
      </w:tblGrid>
      <w:tr w:rsidR="00B303F7" w:rsidRPr="004D292C" w:rsidTr="002A5805">
        <w:trPr>
          <w:trHeight w:val="120"/>
          <w:tblHeader/>
        </w:trPr>
        <w:tc>
          <w:tcPr>
            <w:tcW w:w="1629" w:type="pct"/>
            <w:vMerge w:val="restart"/>
            <w:shd w:val="clear" w:color="auto" w:fill="auto"/>
            <w:vAlign w:val="center"/>
          </w:tcPr>
          <w:p w:rsidR="00B303F7" w:rsidRPr="004D292C" w:rsidRDefault="00B303F7" w:rsidP="004232F1">
            <w:pPr>
              <w:pStyle w:val="Tableheadingrow"/>
              <w:rPr>
                <w:lang w:val="en-AU"/>
              </w:rPr>
            </w:pPr>
            <w:r w:rsidRPr="004D292C">
              <w:rPr>
                <w:lang w:val="en-AU"/>
              </w:rPr>
              <w:t>Outcome</w:t>
            </w:r>
          </w:p>
        </w:tc>
        <w:tc>
          <w:tcPr>
            <w:tcW w:w="1001" w:type="pct"/>
            <w:vAlign w:val="center"/>
          </w:tcPr>
          <w:p w:rsidR="00B303F7" w:rsidRPr="004D292C" w:rsidRDefault="00B303F7" w:rsidP="004232F1">
            <w:pPr>
              <w:pStyle w:val="Tableheadingrow"/>
              <w:jc w:val="center"/>
              <w:rPr>
                <w:lang w:val="en-AU"/>
              </w:rPr>
            </w:pPr>
            <w:r w:rsidRPr="004D292C">
              <w:rPr>
                <w:lang w:val="en-AU"/>
              </w:rPr>
              <w:t>DAPA-HF</w:t>
            </w:r>
          </w:p>
        </w:tc>
        <w:tc>
          <w:tcPr>
            <w:tcW w:w="1024" w:type="pct"/>
            <w:vAlign w:val="center"/>
          </w:tcPr>
          <w:p w:rsidR="00B303F7" w:rsidRPr="004D292C" w:rsidRDefault="00B303F7" w:rsidP="004232F1">
            <w:pPr>
              <w:pStyle w:val="Tableheadingrow"/>
              <w:jc w:val="center"/>
              <w:rPr>
                <w:lang w:val="en-AU"/>
              </w:rPr>
            </w:pPr>
            <w:r w:rsidRPr="004D292C">
              <w:rPr>
                <w:lang w:val="en-AU"/>
              </w:rPr>
              <w:t>PARADIGM-HF</w:t>
            </w:r>
          </w:p>
        </w:tc>
        <w:tc>
          <w:tcPr>
            <w:tcW w:w="767" w:type="pct"/>
            <w:vMerge w:val="restart"/>
            <w:shd w:val="clear" w:color="auto" w:fill="auto"/>
            <w:vAlign w:val="center"/>
          </w:tcPr>
          <w:p w:rsidR="00B303F7" w:rsidRPr="004D292C" w:rsidRDefault="00B303F7" w:rsidP="004232F1">
            <w:pPr>
              <w:pStyle w:val="Tableheadingrow"/>
              <w:jc w:val="center"/>
              <w:rPr>
                <w:lang w:val="en-AU"/>
              </w:rPr>
            </w:pPr>
            <w:r w:rsidRPr="004D292C">
              <w:rPr>
                <w:lang w:val="en-AU"/>
              </w:rPr>
              <w:t>MAIC</w:t>
            </w:r>
          </w:p>
          <w:p w:rsidR="00B303F7" w:rsidRPr="004D292C" w:rsidRDefault="00B303F7" w:rsidP="004232F1">
            <w:pPr>
              <w:pStyle w:val="Tableheadingrow"/>
              <w:jc w:val="center"/>
              <w:rPr>
                <w:lang w:val="en-AU"/>
              </w:rPr>
            </w:pPr>
            <w:r w:rsidRPr="004D292C">
              <w:rPr>
                <w:lang w:val="en-AU"/>
              </w:rPr>
              <w:t>HR (95% CI)</w:t>
            </w:r>
          </w:p>
        </w:tc>
        <w:tc>
          <w:tcPr>
            <w:tcW w:w="579" w:type="pct"/>
            <w:vMerge w:val="restart"/>
            <w:vAlign w:val="center"/>
          </w:tcPr>
          <w:p w:rsidR="00B303F7" w:rsidRPr="004D292C" w:rsidRDefault="00B303F7" w:rsidP="004232F1">
            <w:pPr>
              <w:pStyle w:val="Tableheadingrow"/>
              <w:jc w:val="center"/>
              <w:rPr>
                <w:lang w:val="en-AU"/>
              </w:rPr>
            </w:pPr>
            <w:r w:rsidRPr="004D292C">
              <w:rPr>
                <w:lang w:val="en-AU"/>
              </w:rPr>
              <w:t>Non-inferiority margin</w:t>
            </w:r>
          </w:p>
        </w:tc>
      </w:tr>
      <w:tr w:rsidR="004D1BB9" w:rsidRPr="004D292C" w:rsidTr="002A5805">
        <w:trPr>
          <w:trHeight w:val="353"/>
          <w:tblHeader/>
        </w:trPr>
        <w:tc>
          <w:tcPr>
            <w:tcW w:w="1629" w:type="pct"/>
            <w:vMerge/>
            <w:shd w:val="clear" w:color="auto" w:fill="auto"/>
            <w:vAlign w:val="center"/>
          </w:tcPr>
          <w:p w:rsidR="004D1BB9" w:rsidRPr="004D292C" w:rsidRDefault="004D1BB9" w:rsidP="004D1BB9">
            <w:pPr>
              <w:pStyle w:val="Tableheadingrow"/>
              <w:rPr>
                <w:lang w:val="en-AU"/>
              </w:rPr>
            </w:pPr>
          </w:p>
        </w:tc>
        <w:tc>
          <w:tcPr>
            <w:tcW w:w="1001" w:type="pct"/>
          </w:tcPr>
          <w:p w:rsidR="004D1BB9" w:rsidRPr="004D292C" w:rsidRDefault="004D1BB9" w:rsidP="004D1BB9">
            <w:pPr>
              <w:pStyle w:val="Tableheadingrow"/>
              <w:jc w:val="center"/>
              <w:rPr>
                <w:iCs/>
                <w:lang w:val="en-AU"/>
              </w:rPr>
            </w:pPr>
            <w:r w:rsidRPr="004D292C">
              <w:rPr>
                <w:iCs/>
                <w:lang w:val="en-AU"/>
              </w:rPr>
              <w:t xml:space="preserve">Dapagliflozin + SOC </w:t>
            </w:r>
            <w:r w:rsidR="002A0395" w:rsidRPr="004D292C">
              <w:rPr>
                <w:iCs/>
                <w:lang w:val="en-AU"/>
              </w:rPr>
              <w:t>including</w:t>
            </w:r>
            <w:r w:rsidRPr="004D292C">
              <w:rPr>
                <w:iCs/>
                <w:lang w:val="en-AU"/>
              </w:rPr>
              <w:t xml:space="preserve"> ACE</w:t>
            </w:r>
            <w:r w:rsidR="002A0395" w:rsidRPr="004D292C">
              <w:rPr>
                <w:iCs/>
                <w:lang w:val="en-AU"/>
              </w:rPr>
              <w:t>/</w:t>
            </w:r>
            <w:r w:rsidRPr="004D292C">
              <w:rPr>
                <w:iCs/>
                <w:lang w:val="en-AU"/>
              </w:rPr>
              <w:t>ARB</w:t>
            </w:r>
          </w:p>
          <w:p w:rsidR="004D1BB9" w:rsidRPr="004D292C" w:rsidRDefault="004D1BB9" w:rsidP="004D1BB9">
            <w:pPr>
              <w:pStyle w:val="Tableheadingrow"/>
              <w:jc w:val="center"/>
              <w:rPr>
                <w:iCs/>
                <w:lang w:val="en-AU"/>
              </w:rPr>
            </w:pPr>
            <w:r w:rsidRPr="004D292C">
              <w:rPr>
                <w:iCs/>
                <w:lang w:val="en-AU"/>
              </w:rPr>
              <w:t xml:space="preserve">(ESS=873) </w:t>
            </w:r>
          </w:p>
          <w:p w:rsidR="004D1BB9" w:rsidRPr="004D292C" w:rsidRDefault="004D1BB9" w:rsidP="004D1BB9">
            <w:pPr>
              <w:pStyle w:val="Tableheadingrow"/>
              <w:jc w:val="center"/>
              <w:rPr>
                <w:iCs/>
                <w:lang w:val="en-AU"/>
              </w:rPr>
            </w:pPr>
            <w:r w:rsidRPr="004D292C">
              <w:rPr>
                <w:iCs/>
                <w:lang w:val="en-AU"/>
              </w:rPr>
              <w:t xml:space="preserve">vs placebo + SOC </w:t>
            </w:r>
            <w:r w:rsidR="002A0395" w:rsidRPr="004D292C">
              <w:rPr>
                <w:iCs/>
                <w:lang w:val="en-AU"/>
              </w:rPr>
              <w:t>including</w:t>
            </w:r>
            <w:r w:rsidRPr="004D292C">
              <w:rPr>
                <w:iCs/>
                <w:lang w:val="en-AU"/>
              </w:rPr>
              <w:t xml:space="preserve"> ACE</w:t>
            </w:r>
          </w:p>
          <w:p w:rsidR="004D1BB9" w:rsidRPr="004D292C" w:rsidRDefault="004D1BB9" w:rsidP="004D1BB9">
            <w:pPr>
              <w:pStyle w:val="Tableheadingrow"/>
              <w:jc w:val="center"/>
              <w:rPr>
                <w:iCs/>
                <w:lang w:val="en-AU"/>
              </w:rPr>
            </w:pPr>
            <w:r w:rsidRPr="004D292C">
              <w:rPr>
                <w:iCs/>
                <w:lang w:val="en-AU"/>
              </w:rPr>
              <w:t>(</w:t>
            </w:r>
            <w:r w:rsidR="00B25E52" w:rsidRPr="004D292C">
              <w:rPr>
                <w:iCs/>
                <w:lang w:val="en-AU"/>
              </w:rPr>
              <w:t>ESS</w:t>
            </w:r>
            <w:r w:rsidRPr="004D292C">
              <w:rPr>
                <w:iCs/>
                <w:lang w:val="en-AU"/>
              </w:rPr>
              <w:t>=503)</w:t>
            </w:r>
          </w:p>
          <w:p w:rsidR="004D1BB9" w:rsidRPr="004D292C" w:rsidRDefault="004D1BB9" w:rsidP="004D1BB9">
            <w:pPr>
              <w:pStyle w:val="Tableheadingrow"/>
              <w:jc w:val="center"/>
              <w:rPr>
                <w:iCs/>
                <w:lang w:val="en-AU"/>
              </w:rPr>
            </w:pPr>
            <w:r w:rsidRPr="004D292C">
              <w:rPr>
                <w:lang w:val="en-AU"/>
              </w:rPr>
              <w:t>HR (95% CI)</w:t>
            </w:r>
          </w:p>
        </w:tc>
        <w:tc>
          <w:tcPr>
            <w:tcW w:w="1024" w:type="pct"/>
            <w:vAlign w:val="center"/>
          </w:tcPr>
          <w:p w:rsidR="004D1BB9" w:rsidRPr="004D292C" w:rsidRDefault="004D1BB9" w:rsidP="004D1BB9">
            <w:pPr>
              <w:pStyle w:val="Tableheadingrow"/>
              <w:jc w:val="center"/>
              <w:rPr>
                <w:lang w:val="en-AU"/>
              </w:rPr>
            </w:pPr>
            <w:r w:rsidRPr="004D292C">
              <w:rPr>
                <w:lang w:val="en-AU"/>
              </w:rPr>
              <w:t>Sacubitril/valsartan + SOC</w:t>
            </w:r>
          </w:p>
          <w:p w:rsidR="004D1BB9" w:rsidRPr="004D292C" w:rsidRDefault="004D1BB9" w:rsidP="004D1BB9">
            <w:pPr>
              <w:pStyle w:val="Tableheadingrow"/>
              <w:jc w:val="center"/>
              <w:rPr>
                <w:lang w:val="en-AU"/>
              </w:rPr>
            </w:pPr>
            <w:r w:rsidRPr="004D292C">
              <w:rPr>
                <w:lang w:val="en-AU"/>
              </w:rPr>
              <w:t>(N=4187)</w:t>
            </w:r>
          </w:p>
          <w:p w:rsidR="004D1BB9" w:rsidRPr="004D292C" w:rsidRDefault="004D1BB9" w:rsidP="004D1BB9">
            <w:pPr>
              <w:pStyle w:val="Tableheadingrow"/>
              <w:jc w:val="center"/>
              <w:rPr>
                <w:lang w:val="en-AU"/>
              </w:rPr>
            </w:pPr>
            <w:r w:rsidRPr="004D292C">
              <w:rPr>
                <w:lang w:val="en-AU"/>
              </w:rPr>
              <w:t>vs enalapril + SOC</w:t>
            </w:r>
          </w:p>
          <w:p w:rsidR="002A0395" w:rsidRPr="004D292C" w:rsidRDefault="002A0395" w:rsidP="004D1BB9">
            <w:pPr>
              <w:pStyle w:val="Tableheadingrow"/>
              <w:jc w:val="center"/>
              <w:rPr>
                <w:lang w:val="en-AU"/>
              </w:rPr>
            </w:pPr>
          </w:p>
          <w:p w:rsidR="004D1BB9" w:rsidRPr="004D292C" w:rsidRDefault="004D1BB9" w:rsidP="004D1BB9">
            <w:pPr>
              <w:pStyle w:val="Tableheadingrow"/>
              <w:jc w:val="center"/>
              <w:rPr>
                <w:lang w:val="en-AU"/>
              </w:rPr>
            </w:pPr>
            <w:r w:rsidRPr="004D292C">
              <w:rPr>
                <w:lang w:val="en-AU"/>
              </w:rPr>
              <w:t>(N=4212)</w:t>
            </w:r>
          </w:p>
          <w:p w:rsidR="004D1BB9" w:rsidRPr="004D292C" w:rsidRDefault="004D1BB9" w:rsidP="004D1BB9">
            <w:pPr>
              <w:pStyle w:val="Tableheadingrow"/>
              <w:jc w:val="center"/>
              <w:rPr>
                <w:iCs/>
                <w:lang w:val="en-AU"/>
              </w:rPr>
            </w:pPr>
            <w:r w:rsidRPr="004D292C">
              <w:rPr>
                <w:lang w:val="en-AU"/>
              </w:rPr>
              <w:t>HR (95% CI)</w:t>
            </w:r>
          </w:p>
        </w:tc>
        <w:tc>
          <w:tcPr>
            <w:tcW w:w="767" w:type="pct"/>
            <w:vMerge/>
            <w:shd w:val="clear" w:color="auto" w:fill="auto"/>
            <w:vAlign w:val="center"/>
          </w:tcPr>
          <w:p w:rsidR="004D1BB9" w:rsidRPr="004D292C" w:rsidRDefault="004D1BB9" w:rsidP="004D1BB9">
            <w:pPr>
              <w:pStyle w:val="Tableheadingrow"/>
              <w:jc w:val="center"/>
              <w:rPr>
                <w:lang w:val="en-AU"/>
              </w:rPr>
            </w:pPr>
          </w:p>
        </w:tc>
        <w:tc>
          <w:tcPr>
            <w:tcW w:w="579" w:type="pct"/>
            <w:vMerge/>
          </w:tcPr>
          <w:p w:rsidR="004D1BB9" w:rsidRPr="004D292C" w:rsidRDefault="004D1BB9" w:rsidP="004D1BB9">
            <w:pPr>
              <w:pStyle w:val="Tableheadingrow"/>
              <w:jc w:val="center"/>
              <w:rPr>
                <w:lang w:val="en-AU"/>
              </w:rPr>
            </w:pPr>
          </w:p>
        </w:tc>
      </w:tr>
      <w:tr w:rsidR="00B303F7" w:rsidRPr="004D292C" w:rsidTr="002A5805">
        <w:trPr>
          <w:tblHeader/>
        </w:trPr>
        <w:tc>
          <w:tcPr>
            <w:tcW w:w="1629" w:type="pct"/>
            <w:shd w:val="clear" w:color="auto" w:fill="auto"/>
            <w:vAlign w:val="center"/>
          </w:tcPr>
          <w:p w:rsidR="00B303F7" w:rsidRPr="004D292C" w:rsidRDefault="00B303F7" w:rsidP="004232F1">
            <w:pPr>
              <w:pStyle w:val="Tableheadingrow"/>
              <w:rPr>
                <w:b w:val="0"/>
                <w:lang w:val="en-AU"/>
              </w:rPr>
            </w:pPr>
            <w:r w:rsidRPr="004D292C">
              <w:rPr>
                <w:b w:val="0"/>
                <w:lang w:val="en-AU"/>
              </w:rPr>
              <w:t>Composite of time to CV death or hospitalisation for HF</w:t>
            </w:r>
          </w:p>
        </w:tc>
        <w:tc>
          <w:tcPr>
            <w:tcW w:w="1001" w:type="pct"/>
            <w:vAlign w:val="center"/>
          </w:tcPr>
          <w:p w:rsidR="00B303F7" w:rsidRPr="004D292C" w:rsidRDefault="00B303F7" w:rsidP="004232F1">
            <w:pPr>
              <w:pStyle w:val="Tableheadingrow"/>
              <w:jc w:val="center"/>
              <w:rPr>
                <w:b w:val="0"/>
                <w:iCs/>
                <w:lang w:val="en-AU"/>
              </w:rPr>
            </w:pPr>
            <w:r w:rsidRPr="004D292C">
              <w:rPr>
                <w:b w:val="0"/>
                <w:iCs/>
                <w:lang w:val="en-AU"/>
              </w:rPr>
              <w:t>0.75 (0.58, 0.96)</w:t>
            </w:r>
          </w:p>
        </w:tc>
        <w:tc>
          <w:tcPr>
            <w:tcW w:w="1024" w:type="pct"/>
            <w:vAlign w:val="center"/>
          </w:tcPr>
          <w:p w:rsidR="00B303F7" w:rsidRPr="004D292C" w:rsidRDefault="00B303F7" w:rsidP="004232F1">
            <w:pPr>
              <w:pStyle w:val="Tableheadingrow"/>
              <w:jc w:val="center"/>
              <w:rPr>
                <w:b w:val="0"/>
                <w:iCs/>
                <w:lang w:val="en-AU"/>
              </w:rPr>
            </w:pPr>
            <w:r w:rsidRPr="004D292C">
              <w:rPr>
                <w:b w:val="0"/>
                <w:lang w:val="en-AU"/>
              </w:rPr>
              <w:t>0.80 (0.73, 0.87)</w:t>
            </w:r>
          </w:p>
        </w:tc>
        <w:tc>
          <w:tcPr>
            <w:tcW w:w="767" w:type="pct"/>
            <w:shd w:val="clear" w:color="auto" w:fill="auto"/>
            <w:vAlign w:val="center"/>
          </w:tcPr>
          <w:p w:rsidR="00B303F7" w:rsidRPr="004D292C" w:rsidRDefault="00B303F7" w:rsidP="004232F1">
            <w:pPr>
              <w:pStyle w:val="Tableheadingrow"/>
              <w:jc w:val="center"/>
              <w:rPr>
                <w:b w:val="0"/>
                <w:lang w:val="en-AU"/>
              </w:rPr>
            </w:pPr>
            <w:r w:rsidRPr="004D292C">
              <w:rPr>
                <w:b w:val="0"/>
                <w:lang w:val="en-AU"/>
              </w:rPr>
              <w:t>0.93 (0.71, 1.22)</w:t>
            </w:r>
          </w:p>
        </w:tc>
        <w:tc>
          <w:tcPr>
            <w:tcW w:w="579" w:type="pct"/>
            <w:vAlign w:val="center"/>
          </w:tcPr>
          <w:p w:rsidR="00B303F7" w:rsidRPr="004D292C" w:rsidRDefault="00B303F7" w:rsidP="004232F1">
            <w:pPr>
              <w:pStyle w:val="Tableheadingrow"/>
              <w:jc w:val="center"/>
              <w:rPr>
                <w:b w:val="0"/>
                <w:lang w:val="en-AU"/>
              </w:rPr>
            </w:pPr>
            <w:r w:rsidRPr="004D292C">
              <w:rPr>
                <w:b w:val="0"/>
                <w:lang w:val="en-AU"/>
              </w:rPr>
              <w:t>1.104</w:t>
            </w:r>
          </w:p>
        </w:tc>
      </w:tr>
      <w:tr w:rsidR="00B303F7" w:rsidRPr="004D292C" w:rsidTr="002A5805">
        <w:trPr>
          <w:tblHeader/>
        </w:trPr>
        <w:tc>
          <w:tcPr>
            <w:tcW w:w="1629" w:type="pct"/>
            <w:shd w:val="clear" w:color="auto" w:fill="auto"/>
            <w:vAlign w:val="center"/>
          </w:tcPr>
          <w:p w:rsidR="00B303F7" w:rsidRPr="004D292C" w:rsidRDefault="00B303F7" w:rsidP="004232F1">
            <w:pPr>
              <w:pStyle w:val="Tableheadingrow"/>
              <w:rPr>
                <w:b w:val="0"/>
                <w:lang w:val="en-AU"/>
              </w:rPr>
            </w:pPr>
            <w:r w:rsidRPr="004D292C">
              <w:rPr>
                <w:b w:val="0"/>
                <w:lang w:val="en-AU"/>
              </w:rPr>
              <w:t>Time to hospitalisation for heart failure</w:t>
            </w:r>
          </w:p>
        </w:tc>
        <w:tc>
          <w:tcPr>
            <w:tcW w:w="1001" w:type="pct"/>
            <w:vAlign w:val="center"/>
          </w:tcPr>
          <w:p w:rsidR="00B303F7" w:rsidRPr="004D292C" w:rsidRDefault="00B303F7" w:rsidP="004232F1">
            <w:pPr>
              <w:pStyle w:val="Tableheadingrow"/>
              <w:jc w:val="center"/>
              <w:rPr>
                <w:b w:val="0"/>
                <w:iCs/>
                <w:lang w:val="en-AU"/>
              </w:rPr>
            </w:pPr>
            <w:r w:rsidRPr="004D292C">
              <w:rPr>
                <w:b w:val="0"/>
                <w:iCs/>
                <w:lang w:val="en-AU"/>
              </w:rPr>
              <w:t>0.75 (0.56, 1.01)</w:t>
            </w:r>
          </w:p>
        </w:tc>
        <w:tc>
          <w:tcPr>
            <w:tcW w:w="1024" w:type="pct"/>
          </w:tcPr>
          <w:p w:rsidR="00B303F7" w:rsidRPr="004D292C" w:rsidRDefault="00B303F7" w:rsidP="004232F1">
            <w:pPr>
              <w:pStyle w:val="Tableheadingrow"/>
              <w:jc w:val="center"/>
              <w:rPr>
                <w:b w:val="0"/>
                <w:iCs/>
                <w:lang w:val="en-AU"/>
              </w:rPr>
            </w:pPr>
            <w:r w:rsidRPr="004D292C">
              <w:rPr>
                <w:b w:val="0"/>
                <w:lang w:val="en-AU"/>
              </w:rPr>
              <w:t>0.79 (0.71, 0.88)</w:t>
            </w:r>
          </w:p>
        </w:tc>
        <w:tc>
          <w:tcPr>
            <w:tcW w:w="767" w:type="pct"/>
            <w:shd w:val="clear" w:color="auto" w:fill="auto"/>
            <w:vAlign w:val="center"/>
          </w:tcPr>
          <w:p w:rsidR="00B303F7" w:rsidRPr="004D292C" w:rsidRDefault="00B303F7" w:rsidP="004232F1">
            <w:pPr>
              <w:pStyle w:val="Tableheadingrow"/>
              <w:jc w:val="center"/>
              <w:rPr>
                <w:b w:val="0"/>
                <w:lang w:val="en-AU"/>
              </w:rPr>
            </w:pPr>
            <w:r w:rsidRPr="004D292C">
              <w:rPr>
                <w:b w:val="0"/>
                <w:lang w:val="en-AU"/>
              </w:rPr>
              <w:t>0.95 (0.69, 1.30)</w:t>
            </w:r>
          </w:p>
        </w:tc>
        <w:tc>
          <w:tcPr>
            <w:tcW w:w="579" w:type="pct"/>
          </w:tcPr>
          <w:p w:rsidR="00B303F7" w:rsidRPr="004D292C" w:rsidRDefault="00B303F7" w:rsidP="004232F1">
            <w:pPr>
              <w:pStyle w:val="Tableheadingrow"/>
              <w:jc w:val="center"/>
              <w:rPr>
                <w:b w:val="0"/>
                <w:lang w:val="en-AU"/>
              </w:rPr>
            </w:pPr>
            <w:r w:rsidRPr="004D292C">
              <w:rPr>
                <w:b w:val="0"/>
                <w:lang w:val="en-AU"/>
              </w:rPr>
              <w:t>-</w:t>
            </w:r>
          </w:p>
        </w:tc>
      </w:tr>
      <w:tr w:rsidR="00B303F7" w:rsidRPr="004D292C" w:rsidTr="002A5805">
        <w:trPr>
          <w:tblHeader/>
        </w:trPr>
        <w:tc>
          <w:tcPr>
            <w:tcW w:w="1629" w:type="pct"/>
            <w:shd w:val="clear" w:color="auto" w:fill="auto"/>
            <w:vAlign w:val="center"/>
          </w:tcPr>
          <w:p w:rsidR="00B303F7" w:rsidRPr="004D292C" w:rsidRDefault="00B303F7" w:rsidP="004232F1">
            <w:pPr>
              <w:pStyle w:val="Tableheadingrow"/>
              <w:rPr>
                <w:b w:val="0"/>
                <w:lang w:val="en-AU"/>
              </w:rPr>
            </w:pPr>
            <w:r w:rsidRPr="004D292C">
              <w:rPr>
                <w:b w:val="0"/>
                <w:lang w:val="en-AU"/>
              </w:rPr>
              <w:t>Time to cardiovascular death</w:t>
            </w:r>
          </w:p>
        </w:tc>
        <w:tc>
          <w:tcPr>
            <w:tcW w:w="1001" w:type="pct"/>
            <w:vAlign w:val="center"/>
          </w:tcPr>
          <w:p w:rsidR="00B303F7" w:rsidRPr="004D292C" w:rsidRDefault="00B303F7" w:rsidP="004232F1">
            <w:pPr>
              <w:pStyle w:val="Tableheadingrow"/>
              <w:jc w:val="center"/>
              <w:rPr>
                <w:b w:val="0"/>
                <w:iCs/>
                <w:lang w:val="en-AU"/>
              </w:rPr>
            </w:pPr>
            <w:r w:rsidRPr="004D292C">
              <w:rPr>
                <w:b w:val="0"/>
                <w:iCs/>
                <w:lang w:val="en-AU"/>
              </w:rPr>
              <w:t>0.74 (0.53, 1.05)</w:t>
            </w:r>
          </w:p>
        </w:tc>
        <w:tc>
          <w:tcPr>
            <w:tcW w:w="1024" w:type="pct"/>
          </w:tcPr>
          <w:p w:rsidR="00B303F7" w:rsidRPr="004D292C" w:rsidRDefault="00B303F7" w:rsidP="004232F1">
            <w:pPr>
              <w:pStyle w:val="Tableheadingrow"/>
              <w:jc w:val="center"/>
              <w:rPr>
                <w:b w:val="0"/>
                <w:iCs/>
                <w:lang w:val="en-AU"/>
              </w:rPr>
            </w:pPr>
            <w:r w:rsidRPr="004D292C">
              <w:rPr>
                <w:b w:val="0"/>
                <w:lang w:val="en-AU"/>
              </w:rPr>
              <w:t>0.80 (0.71, 0.90)</w:t>
            </w:r>
          </w:p>
        </w:tc>
        <w:tc>
          <w:tcPr>
            <w:tcW w:w="767" w:type="pct"/>
            <w:shd w:val="clear" w:color="auto" w:fill="auto"/>
            <w:vAlign w:val="center"/>
          </w:tcPr>
          <w:p w:rsidR="00B303F7" w:rsidRPr="004D292C" w:rsidRDefault="00B303F7" w:rsidP="004232F1">
            <w:pPr>
              <w:pStyle w:val="Tableheadingrow"/>
              <w:jc w:val="center"/>
              <w:rPr>
                <w:b w:val="0"/>
                <w:lang w:val="en-AU"/>
              </w:rPr>
            </w:pPr>
            <w:r w:rsidRPr="004D292C">
              <w:rPr>
                <w:b w:val="0"/>
                <w:lang w:val="en-AU"/>
              </w:rPr>
              <w:t>0.93 (0.64, 1.33)</w:t>
            </w:r>
          </w:p>
        </w:tc>
        <w:tc>
          <w:tcPr>
            <w:tcW w:w="579" w:type="pct"/>
          </w:tcPr>
          <w:p w:rsidR="00B303F7" w:rsidRPr="004D292C" w:rsidRDefault="00B303F7" w:rsidP="004232F1">
            <w:pPr>
              <w:pStyle w:val="Tableheadingrow"/>
              <w:jc w:val="center"/>
              <w:rPr>
                <w:b w:val="0"/>
                <w:lang w:val="en-AU"/>
              </w:rPr>
            </w:pPr>
            <w:r w:rsidRPr="004D292C">
              <w:rPr>
                <w:b w:val="0"/>
                <w:lang w:val="en-AU"/>
              </w:rPr>
              <w:t>1.33</w:t>
            </w:r>
          </w:p>
        </w:tc>
      </w:tr>
      <w:tr w:rsidR="00B303F7" w:rsidRPr="004D292C" w:rsidTr="002A5805">
        <w:trPr>
          <w:tblHeader/>
        </w:trPr>
        <w:tc>
          <w:tcPr>
            <w:tcW w:w="1629" w:type="pct"/>
            <w:shd w:val="clear" w:color="auto" w:fill="auto"/>
            <w:vAlign w:val="center"/>
          </w:tcPr>
          <w:p w:rsidR="00B303F7" w:rsidRPr="004D292C" w:rsidRDefault="00B303F7" w:rsidP="004232F1">
            <w:pPr>
              <w:pStyle w:val="Tableheadingrow"/>
              <w:rPr>
                <w:b w:val="0"/>
                <w:lang w:val="en-AU"/>
              </w:rPr>
            </w:pPr>
            <w:r w:rsidRPr="004D292C">
              <w:rPr>
                <w:b w:val="0"/>
                <w:lang w:val="en-AU"/>
              </w:rPr>
              <w:t>Time to death from any cause</w:t>
            </w:r>
          </w:p>
        </w:tc>
        <w:tc>
          <w:tcPr>
            <w:tcW w:w="1001" w:type="pct"/>
            <w:vAlign w:val="center"/>
          </w:tcPr>
          <w:p w:rsidR="00B303F7" w:rsidRPr="004D292C" w:rsidRDefault="00B303F7" w:rsidP="004232F1">
            <w:pPr>
              <w:pStyle w:val="Tableheadingrow"/>
              <w:jc w:val="center"/>
              <w:rPr>
                <w:b w:val="0"/>
                <w:iCs/>
                <w:lang w:val="en-AU"/>
              </w:rPr>
            </w:pPr>
            <w:r w:rsidRPr="004D292C">
              <w:rPr>
                <w:b w:val="0"/>
                <w:iCs/>
                <w:lang w:val="en-AU"/>
              </w:rPr>
              <w:t>0.77 (0.56, 1.06)</w:t>
            </w:r>
          </w:p>
        </w:tc>
        <w:tc>
          <w:tcPr>
            <w:tcW w:w="1024" w:type="pct"/>
          </w:tcPr>
          <w:p w:rsidR="00B303F7" w:rsidRPr="004D292C" w:rsidRDefault="00B303F7" w:rsidP="004232F1">
            <w:pPr>
              <w:pStyle w:val="Tableheadingrow"/>
              <w:jc w:val="center"/>
              <w:rPr>
                <w:b w:val="0"/>
                <w:iCs/>
                <w:lang w:val="en-AU"/>
              </w:rPr>
            </w:pPr>
            <w:r w:rsidRPr="004D292C">
              <w:rPr>
                <w:b w:val="0"/>
                <w:lang w:val="en-AU"/>
              </w:rPr>
              <w:t>0.84 (0.76, 0.93)</w:t>
            </w:r>
          </w:p>
        </w:tc>
        <w:tc>
          <w:tcPr>
            <w:tcW w:w="767" w:type="pct"/>
            <w:shd w:val="clear" w:color="auto" w:fill="auto"/>
            <w:vAlign w:val="center"/>
          </w:tcPr>
          <w:p w:rsidR="00B303F7" w:rsidRPr="004D292C" w:rsidRDefault="00B303F7" w:rsidP="004232F1">
            <w:pPr>
              <w:pStyle w:val="Tableheadingrow"/>
              <w:jc w:val="center"/>
              <w:rPr>
                <w:b w:val="0"/>
                <w:lang w:val="en-AU"/>
              </w:rPr>
            </w:pPr>
            <w:r w:rsidRPr="004D292C">
              <w:rPr>
                <w:b w:val="0"/>
                <w:lang w:val="en-AU"/>
              </w:rPr>
              <w:t>0.91 (0.65, 1.28)</w:t>
            </w:r>
          </w:p>
        </w:tc>
        <w:tc>
          <w:tcPr>
            <w:tcW w:w="579" w:type="pct"/>
          </w:tcPr>
          <w:p w:rsidR="00B303F7" w:rsidRPr="004D292C" w:rsidRDefault="00B303F7" w:rsidP="004232F1">
            <w:pPr>
              <w:pStyle w:val="Tableheadingrow"/>
              <w:jc w:val="center"/>
              <w:rPr>
                <w:b w:val="0"/>
                <w:lang w:val="en-AU"/>
              </w:rPr>
            </w:pPr>
            <w:r w:rsidRPr="004D292C">
              <w:rPr>
                <w:b w:val="0"/>
                <w:lang w:val="en-AU"/>
              </w:rPr>
              <w:t>1.41</w:t>
            </w:r>
          </w:p>
        </w:tc>
      </w:tr>
    </w:tbl>
    <w:p w:rsidR="00B303F7" w:rsidRPr="004D292C" w:rsidRDefault="00B303F7" w:rsidP="00B303F7">
      <w:pPr>
        <w:pStyle w:val="TableFigureFooter"/>
      </w:pPr>
      <w:r w:rsidRPr="004D292C">
        <w:t>Source: Table 2.6-3, p.97 of the submission.</w:t>
      </w:r>
    </w:p>
    <w:p w:rsidR="00B303F7" w:rsidRPr="004D292C" w:rsidRDefault="00B303F7" w:rsidP="00B303F7">
      <w:pPr>
        <w:pStyle w:val="TableFigureFooter"/>
        <w:rPr>
          <w:sz w:val="20"/>
        </w:rPr>
      </w:pPr>
      <w:r w:rsidRPr="004D292C">
        <w:t xml:space="preserve">Abbreviations: </w:t>
      </w:r>
      <w:r w:rsidR="001A6C7C" w:rsidRPr="004D292C">
        <w:t xml:space="preserve">ACE, angiotensin-converting enzyme inhibitor; ARB, angiotensin II receptor blocker; </w:t>
      </w:r>
      <w:r w:rsidRPr="004D292C">
        <w:t xml:space="preserve">CI, confidence interval; CV, cardiovascular; </w:t>
      </w:r>
      <w:r w:rsidR="00B25E52" w:rsidRPr="004D292C">
        <w:t xml:space="preserve">ESS, effective sample size; </w:t>
      </w:r>
      <w:r w:rsidRPr="004D292C">
        <w:t>HF, heart failure; HR, hazard ratio</w:t>
      </w:r>
      <w:r w:rsidR="00B25E52" w:rsidRPr="004D292C">
        <w:t>; SOC, standard care.</w:t>
      </w:r>
    </w:p>
    <w:p w:rsidR="00C77BCF" w:rsidRPr="004D292C" w:rsidRDefault="00B303F7" w:rsidP="00C77BCF">
      <w:pPr>
        <w:pStyle w:val="ExecSumBodyText"/>
      </w:pPr>
      <w:r w:rsidRPr="004D292C">
        <w:t xml:space="preserve">There were no statistically significant differences between dapagliflozin and sacubitril/valsartan for the composite outcome of time to cardiovascular death or hospitalisation for heart failure, time to hospitalisation for heart failure, time to cardiovascular death, or time to death from any cause based on the MAIC using DAPA-HF subgroups. </w:t>
      </w:r>
    </w:p>
    <w:p w:rsidR="00B303F7" w:rsidRPr="004D292C" w:rsidRDefault="00B303F7" w:rsidP="00C77BCF">
      <w:pPr>
        <w:pStyle w:val="ExecSumBodyText"/>
      </w:pPr>
      <w:r w:rsidRPr="004D292C">
        <w:t xml:space="preserve">For the composite of time to </w:t>
      </w:r>
      <w:r w:rsidR="00DD6BFD" w:rsidRPr="004D292C">
        <w:t>cardiovascular</w:t>
      </w:r>
      <w:r w:rsidRPr="004D292C">
        <w:t xml:space="preserve"> death or hospitalisation for heart failure,</w:t>
      </w:r>
      <w:r w:rsidR="00DD6BFD" w:rsidRPr="004D292C">
        <w:t xml:space="preserve"> and the time to cardiovascular death, </w:t>
      </w:r>
      <w:r w:rsidRPr="004D292C">
        <w:t xml:space="preserve">the upper 95% confidence interval </w:t>
      </w:r>
      <w:r w:rsidR="00DD6BFD" w:rsidRPr="004D292C">
        <w:t xml:space="preserve">exceeded or equalled </w:t>
      </w:r>
      <w:r w:rsidRPr="004D292C">
        <w:t xml:space="preserve">the non-inferiority margin proposed in the submission. The upper 95% confidence interval for time to death from any cause </w:t>
      </w:r>
      <w:r w:rsidR="00DD6BFD" w:rsidRPr="004D292C">
        <w:t>was</w:t>
      </w:r>
      <w:r w:rsidRPr="004D292C">
        <w:t xml:space="preserve"> less than the non-inferiority margin proposed in the submission. No non-inferiority margin was proposed for time to hospitalisation for heart failure.</w:t>
      </w:r>
    </w:p>
    <w:p w:rsidR="00B303F7" w:rsidRPr="004D292C" w:rsidRDefault="003E5418" w:rsidP="003E5418">
      <w:pPr>
        <w:pStyle w:val="ExecSumBodyText"/>
      </w:pPr>
      <w:r w:rsidRPr="004D292C">
        <w:t xml:space="preserve">The </w:t>
      </w:r>
      <w:r w:rsidR="00B821D2" w:rsidRPr="004D292C">
        <w:t xml:space="preserve">evaluation considered the </w:t>
      </w:r>
      <w:r w:rsidRPr="004D292C">
        <w:t xml:space="preserve">results of the MAIC to be uncertain due to residual differences between the trials, potential bias introduced by the use of post hoc </w:t>
      </w:r>
      <w:r w:rsidRPr="004D292C">
        <w:lastRenderedPageBreak/>
        <w:t xml:space="preserve">subgroups, and the large loss of sample size </w:t>
      </w:r>
      <w:r w:rsidR="00815382" w:rsidRPr="004D292C">
        <w:t>after matching</w:t>
      </w:r>
      <w:r w:rsidRPr="004D292C">
        <w:t>.</w:t>
      </w:r>
      <w:r w:rsidR="00176C45" w:rsidRPr="004D292C">
        <w:t xml:space="preserve"> However, the ESC considered the results across the ITCs for the total population and the subgroup from DAPA-HF, as well as the MAIC</w:t>
      </w:r>
      <w:r w:rsidR="00B81F48" w:rsidRPr="004D292C">
        <w:t>,</w:t>
      </w:r>
      <w:r w:rsidR="00176C45" w:rsidRPr="004D292C">
        <w:t xml:space="preserve"> generated </w:t>
      </w:r>
      <w:r w:rsidR="00BD568F" w:rsidRPr="004D292C">
        <w:t xml:space="preserve">reasonably </w:t>
      </w:r>
      <w:r w:rsidR="00176C45" w:rsidRPr="004D292C">
        <w:t>consistent results.</w:t>
      </w:r>
    </w:p>
    <w:p w:rsidR="00B60939" w:rsidRPr="004D292C" w:rsidRDefault="00B60939" w:rsidP="00D86231">
      <w:pPr>
        <w:pStyle w:val="3-SubsectionHeading"/>
      </w:pPr>
      <w:bookmarkStart w:id="17" w:name="_Toc22897642"/>
      <w:bookmarkStart w:id="18" w:name="_Toc50975079"/>
      <w:r w:rsidRPr="004D292C">
        <w:t>Comparative harms</w:t>
      </w:r>
      <w:bookmarkEnd w:id="17"/>
      <w:bookmarkEnd w:id="18"/>
    </w:p>
    <w:p w:rsidR="006856BA" w:rsidRPr="004D292C" w:rsidRDefault="006856BA" w:rsidP="006856BA">
      <w:pPr>
        <w:pStyle w:val="ExecSumBodyText"/>
      </w:pPr>
      <w:r w:rsidRPr="004D292C">
        <w:t xml:space="preserve">Table </w:t>
      </w:r>
      <w:r w:rsidR="00097BEE" w:rsidRPr="004D292C">
        <w:t>8</w:t>
      </w:r>
      <w:r w:rsidRPr="004D292C">
        <w:t xml:space="preserve"> summarises the results of safety outcomes for the DAPA-HF trial.</w:t>
      </w:r>
    </w:p>
    <w:p w:rsidR="006856BA" w:rsidRPr="004D292C" w:rsidRDefault="00097BEE" w:rsidP="006856BA">
      <w:pPr>
        <w:pStyle w:val="TableFigureCaption"/>
      </w:pPr>
      <w:r w:rsidRPr="004D292C">
        <w:t>Table 8</w:t>
      </w:r>
      <w:r w:rsidR="006856BA" w:rsidRPr="004D292C">
        <w:t>: Summary of key adverse events in the DAPA-HF trial (on treatment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2193"/>
        <w:gridCol w:w="2195"/>
      </w:tblGrid>
      <w:tr w:rsidR="006856BA" w:rsidRPr="002A5805" w:rsidTr="002A5805">
        <w:trPr>
          <w:tblHeader/>
        </w:trPr>
        <w:tc>
          <w:tcPr>
            <w:tcW w:w="2567" w:type="pct"/>
            <w:vAlign w:val="center"/>
          </w:tcPr>
          <w:p w:rsidR="006856BA" w:rsidRPr="002A5805" w:rsidRDefault="006856BA" w:rsidP="006856BA">
            <w:pPr>
              <w:pStyle w:val="Tableheadingrow"/>
              <w:keepNext w:val="0"/>
              <w:rPr>
                <w:szCs w:val="20"/>
                <w:lang w:val="en-AU"/>
              </w:rPr>
            </w:pPr>
            <w:r w:rsidRPr="002A5805">
              <w:rPr>
                <w:szCs w:val="20"/>
                <w:lang w:val="en-AU"/>
              </w:rPr>
              <w:t>AE category</w:t>
            </w:r>
          </w:p>
        </w:tc>
        <w:tc>
          <w:tcPr>
            <w:tcW w:w="1216" w:type="pct"/>
          </w:tcPr>
          <w:p w:rsidR="006856BA" w:rsidRPr="002A5805" w:rsidRDefault="006856BA" w:rsidP="006856BA">
            <w:pPr>
              <w:pStyle w:val="Tableheadingrow"/>
              <w:keepNext w:val="0"/>
              <w:jc w:val="center"/>
              <w:rPr>
                <w:szCs w:val="20"/>
                <w:lang w:val="en-AU"/>
              </w:rPr>
            </w:pPr>
            <w:r w:rsidRPr="002A5805">
              <w:rPr>
                <w:szCs w:val="20"/>
                <w:lang w:val="en-AU"/>
              </w:rPr>
              <w:t xml:space="preserve">Dapagliflozin </w:t>
            </w:r>
            <w:r w:rsidR="00816047" w:rsidRPr="002A5805">
              <w:rPr>
                <w:szCs w:val="20"/>
                <w:lang w:val="en-AU"/>
              </w:rPr>
              <w:t>+ SOC</w:t>
            </w:r>
          </w:p>
          <w:p w:rsidR="006856BA" w:rsidRPr="002A5805" w:rsidRDefault="00B06D92" w:rsidP="006856BA">
            <w:pPr>
              <w:pStyle w:val="Tableheadingrow"/>
              <w:keepNext w:val="0"/>
              <w:jc w:val="center"/>
              <w:rPr>
                <w:szCs w:val="20"/>
                <w:lang w:val="en-AU"/>
              </w:rPr>
            </w:pPr>
            <w:r w:rsidRPr="002A5805">
              <w:rPr>
                <w:szCs w:val="20"/>
                <w:lang w:val="en-AU"/>
              </w:rPr>
              <w:t>(</w:t>
            </w:r>
            <w:r w:rsidR="006856BA" w:rsidRPr="002A5805">
              <w:rPr>
                <w:szCs w:val="20"/>
                <w:lang w:val="en-AU"/>
              </w:rPr>
              <w:t>N=2368</w:t>
            </w:r>
            <w:r w:rsidRPr="002A5805">
              <w:rPr>
                <w:szCs w:val="20"/>
                <w:lang w:val="en-AU"/>
              </w:rPr>
              <w:t>)</w:t>
            </w:r>
          </w:p>
        </w:tc>
        <w:tc>
          <w:tcPr>
            <w:tcW w:w="1217" w:type="pct"/>
          </w:tcPr>
          <w:p w:rsidR="006856BA" w:rsidRPr="002A5805" w:rsidRDefault="006856BA" w:rsidP="006856BA">
            <w:pPr>
              <w:pStyle w:val="Tableheadingrow"/>
              <w:keepNext w:val="0"/>
              <w:jc w:val="center"/>
              <w:rPr>
                <w:szCs w:val="20"/>
                <w:lang w:val="en-AU"/>
              </w:rPr>
            </w:pPr>
            <w:r w:rsidRPr="002A5805">
              <w:rPr>
                <w:szCs w:val="20"/>
                <w:lang w:val="en-AU"/>
              </w:rPr>
              <w:t>Placebo</w:t>
            </w:r>
            <w:r w:rsidR="00816047" w:rsidRPr="002A5805">
              <w:rPr>
                <w:szCs w:val="20"/>
                <w:lang w:val="en-AU"/>
              </w:rPr>
              <w:t xml:space="preserve"> + SOC</w:t>
            </w:r>
          </w:p>
          <w:p w:rsidR="006856BA" w:rsidRPr="002A5805" w:rsidRDefault="00B06D92" w:rsidP="006856BA">
            <w:pPr>
              <w:pStyle w:val="Tableheadingrow"/>
              <w:keepNext w:val="0"/>
              <w:jc w:val="center"/>
              <w:rPr>
                <w:szCs w:val="20"/>
                <w:lang w:val="en-AU"/>
              </w:rPr>
            </w:pPr>
            <w:r w:rsidRPr="002A5805">
              <w:rPr>
                <w:szCs w:val="20"/>
                <w:lang w:val="en-AU"/>
              </w:rPr>
              <w:t>(</w:t>
            </w:r>
            <w:r w:rsidR="006856BA" w:rsidRPr="002A5805">
              <w:rPr>
                <w:szCs w:val="20"/>
                <w:lang w:val="en-AU"/>
              </w:rPr>
              <w:t>N=2368</w:t>
            </w:r>
            <w:r w:rsidRPr="002A5805">
              <w:rPr>
                <w:szCs w:val="20"/>
                <w:lang w:val="en-AU"/>
              </w:rPr>
              <w:t>)</w:t>
            </w:r>
          </w:p>
        </w:tc>
      </w:tr>
      <w:tr w:rsidR="006856BA" w:rsidRPr="002A5805" w:rsidTr="002A5805">
        <w:tc>
          <w:tcPr>
            <w:tcW w:w="2567" w:type="pct"/>
            <w:vAlign w:val="center"/>
          </w:tcPr>
          <w:p w:rsidR="006856BA" w:rsidRPr="002A5805" w:rsidRDefault="006856BA" w:rsidP="006856BA">
            <w:pPr>
              <w:pStyle w:val="TableText"/>
              <w:keepNext w:val="0"/>
              <w:rPr>
                <w:szCs w:val="20"/>
              </w:rPr>
            </w:pPr>
            <w:r w:rsidRPr="002A5805">
              <w:rPr>
                <w:szCs w:val="20"/>
              </w:rPr>
              <w:t>Median duration of follow-up, months (range)</w:t>
            </w:r>
          </w:p>
        </w:tc>
        <w:tc>
          <w:tcPr>
            <w:tcW w:w="1216" w:type="pct"/>
          </w:tcPr>
          <w:p w:rsidR="006856BA" w:rsidRPr="002A5805" w:rsidRDefault="006856BA" w:rsidP="006856BA">
            <w:pPr>
              <w:pStyle w:val="TableText"/>
              <w:keepNext w:val="0"/>
              <w:jc w:val="center"/>
              <w:rPr>
                <w:szCs w:val="20"/>
              </w:rPr>
            </w:pPr>
            <w:r w:rsidRPr="002A5805">
              <w:rPr>
                <w:szCs w:val="20"/>
              </w:rPr>
              <w:t>18.3 (0.0-27.3)</w:t>
            </w:r>
          </w:p>
        </w:tc>
        <w:tc>
          <w:tcPr>
            <w:tcW w:w="1217" w:type="pct"/>
          </w:tcPr>
          <w:p w:rsidR="006856BA" w:rsidRPr="002A5805" w:rsidRDefault="006856BA" w:rsidP="006856BA">
            <w:pPr>
              <w:pStyle w:val="TableText"/>
              <w:keepNext w:val="0"/>
              <w:jc w:val="center"/>
              <w:rPr>
                <w:szCs w:val="20"/>
              </w:rPr>
            </w:pPr>
            <w:r w:rsidRPr="002A5805">
              <w:rPr>
                <w:szCs w:val="20"/>
              </w:rPr>
              <w:t>18.2 (0.2-27.8)</w:t>
            </w:r>
          </w:p>
        </w:tc>
      </w:tr>
      <w:tr w:rsidR="006856BA" w:rsidRPr="002A5805" w:rsidTr="002A5805">
        <w:tc>
          <w:tcPr>
            <w:tcW w:w="2567" w:type="pct"/>
          </w:tcPr>
          <w:p w:rsidR="006856BA" w:rsidRPr="002A5805" w:rsidRDefault="006856BA" w:rsidP="006856BA">
            <w:pPr>
              <w:pStyle w:val="TableText"/>
              <w:keepNext w:val="0"/>
              <w:rPr>
                <w:szCs w:val="20"/>
              </w:rPr>
            </w:pPr>
            <w:r w:rsidRPr="002A5805">
              <w:rPr>
                <w:szCs w:val="20"/>
              </w:rPr>
              <w:t>AE leading to death, n (%)</w:t>
            </w:r>
          </w:p>
        </w:tc>
        <w:tc>
          <w:tcPr>
            <w:tcW w:w="1216" w:type="pct"/>
          </w:tcPr>
          <w:p w:rsidR="006856BA" w:rsidRPr="002A5805" w:rsidRDefault="006856BA" w:rsidP="006856BA">
            <w:pPr>
              <w:pStyle w:val="TableText"/>
              <w:keepNext w:val="0"/>
              <w:jc w:val="center"/>
              <w:rPr>
                <w:szCs w:val="20"/>
              </w:rPr>
            </w:pPr>
            <w:r w:rsidRPr="002A5805">
              <w:rPr>
                <w:szCs w:val="20"/>
              </w:rPr>
              <w:t>227 (9.6)</w:t>
            </w:r>
          </w:p>
        </w:tc>
        <w:tc>
          <w:tcPr>
            <w:tcW w:w="1217" w:type="pct"/>
          </w:tcPr>
          <w:p w:rsidR="006856BA" w:rsidRPr="002A5805" w:rsidRDefault="006856BA" w:rsidP="006856BA">
            <w:pPr>
              <w:pStyle w:val="TableText"/>
              <w:keepNext w:val="0"/>
              <w:jc w:val="center"/>
              <w:rPr>
                <w:szCs w:val="20"/>
              </w:rPr>
            </w:pPr>
            <w:r w:rsidRPr="002A5805">
              <w:rPr>
                <w:szCs w:val="20"/>
              </w:rPr>
              <w:t>250 (10.6)</w:t>
            </w:r>
          </w:p>
        </w:tc>
      </w:tr>
      <w:tr w:rsidR="006856BA" w:rsidRPr="002A5805" w:rsidTr="002A5805">
        <w:tc>
          <w:tcPr>
            <w:tcW w:w="2567" w:type="pct"/>
          </w:tcPr>
          <w:p w:rsidR="006856BA" w:rsidRPr="002A5805" w:rsidRDefault="006856BA" w:rsidP="006856BA">
            <w:pPr>
              <w:pStyle w:val="TableText"/>
              <w:keepNext w:val="0"/>
              <w:rPr>
                <w:szCs w:val="20"/>
              </w:rPr>
            </w:pPr>
            <w:r w:rsidRPr="002A5805">
              <w:rPr>
                <w:szCs w:val="20"/>
              </w:rPr>
              <w:t>AE leading to dose interruption, n (%)</w:t>
            </w:r>
          </w:p>
        </w:tc>
        <w:tc>
          <w:tcPr>
            <w:tcW w:w="1216" w:type="pct"/>
          </w:tcPr>
          <w:p w:rsidR="006856BA" w:rsidRPr="002A5805" w:rsidRDefault="006856BA" w:rsidP="006856BA">
            <w:pPr>
              <w:pStyle w:val="TableText"/>
              <w:keepNext w:val="0"/>
              <w:jc w:val="center"/>
              <w:rPr>
                <w:szCs w:val="20"/>
              </w:rPr>
            </w:pPr>
            <w:r w:rsidRPr="002A5805">
              <w:rPr>
                <w:szCs w:val="20"/>
              </w:rPr>
              <w:t>284 (12.0)</w:t>
            </w:r>
          </w:p>
        </w:tc>
        <w:tc>
          <w:tcPr>
            <w:tcW w:w="1217" w:type="pct"/>
          </w:tcPr>
          <w:p w:rsidR="006856BA" w:rsidRPr="002A5805" w:rsidRDefault="006856BA" w:rsidP="006856BA">
            <w:pPr>
              <w:pStyle w:val="TableText"/>
              <w:keepNext w:val="0"/>
              <w:jc w:val="center"/>
              <w:rPr>
                <w:szCs w:val="20"/>
              </w:rPr>
            </w:pPr>
            <w:r w:rsidRPr="002A5805">
              <w:rPr>
                <w:szCs w:val="20"/>
              </w:rPr>
              <w:t>349 (14.7)</w:t>
            </w:r>
          </w:p>
        </w:tc>
      </w:tr>
      <w:tr w:rsidR="006856BA" w:rsidRPr="002A5805" w:rsidTr="002A5805">
        <w:tc>
          <w:tcPr>
            <w:tcW w:w="2567" w:type="pct"/>
          </w:tcPr>
          <w:p w:rsidR="006856BA" w:rsidRPr="002A5805" w:rsidRDefault="006856BA" w:rsidP="006856BA">
            <w:pPr>
              <w:pStyle w:val="TableText"/>
              <w:keepNext w:val="0"/>
              <w:rPr>
                <w:szCs w:val="20"/>
              </w:rPr>
            </w:pPr>
            <w:r w:rsidRPr="002A5805">
              <w:rPr>
                <w:szCs w:val="20"/>
              </w:rPr>
              <w:t>AE leading to dose reduction, n (%)</w:t>
            </w:r>
          </w:p>
        </w:tc>
        <w:tc>
          <w:tcPr>
            <w:tcW w:w="1216" w:type="pct"/>
          </w:tcPr>
          <w:p w:rsidR="006856BA" w:rsidRPr="002A5805" w:rsidRDefault="006856BA" w:rsidP="006856BA">
            <w:pPr>
              <w:pStyle w:val="TableText"/>
              <w:keepNext w:val="0"/>
              <w:jc w:val="center"/>
              <w:rPr>
                <w:szCs w:val="20"/>
              </w:rPr>
            </w:pPr>
            <w:r w:rsidRPr="002A5805">
              <w:rPr>
                <w:szCs w:val="20"/>
              </w:rPr>
              <w:t>43 (1.8)</w:t>
            </w:r>
          </w:p>
        </w:tc>
        <w:tc>
          <w:tcPr>
            <w:tcW w:w="1217" w:type="pct"/>
          </w:tcPr>
          <w:p w:rsidR="006856BA" w:rsidRPr="002A5805" w:rsidRDefault="006856BA" w:rsidP="006856BA">
            <w:pPr>
              <w:pStyle w:val="TableText"/>
              <w:keepNext w:val="0"/>
              <w:jc w:val="center"/>
              <w:rPr>
                <w:szCs w:val="20"/>
              </w:rPr>
            </w:pPr>
            <w:r w:rsidRPr="002A5805">
              <w:rPr>
                <w:szCs w:val="20"/>
              </w:rPr>
              <w:t>25 (1.1)</w:t>
            </w:r>
          </w:p>
        </w:tc>
      </w:tr>
      <w:tr w:rsidR="006856BA" w:rsidRPr="002A5805" w:rsidTr="002A5805">
        <w:tc>
          <w:tcPr>
            <w:tcW w:w="2567" w:type="pct"/>
          </w:tcPr>
          <w:p w:rsidR="006856BA" w:rsidRPr="002A5805" w:rsidRDefault="006856BA" w:rsidP="006856BA">
            <w:pPr>
              <w:pStyle w:val="TableText"/>
              <w:keepNext w:val="0"/>
              <w:rPr>
                <w:szCs w:val="20"/>
              </w:rPr>
            </w:pPr>
            <w:r w:rsidRPr="002A5805">
              <w:rPr>
                <w:szCs w:val="20"/>
              </w:rPr>
              <w:t>AE leading to discontinuation, n (%)</w:t>
            </w:r>
          </w:p>
        </w:tc>
        <w:tc>
          <w:tcPr>
            <w:tcW w:w="1216" w:type="pct"/>
          </w:tcPr>
          <w:p w:rsidR="006856BA" w:rsidRPr="002A5805" w:rsidRDefault="006856BA" w:rsidP="006856BA">
            <w:pPr>
              <w:pStyle w:val="TableText"/>
              <w:keepNext w:val="0"/>
              <w:jc w:val="center"/>
              <w:rPr>
                <w:szCs w:val="20"/>
              </w:rPr>
            </w:pPr>
            <w:r w:rsidRPr="002A5805">
              <w:rPr>
                <w:szCs w:val="20"/>
              </w:rPr>
              <w:t>111 (4.7)</w:t>
            </w:r>
          </w:p>
        </w:tc>
        <w:tc>
          <w:tcPr>
            <w:tcW w:w="1217" w:type="pct"/>
          </w:tcPr>
          <w:p w:rsidR="006856BA" w:rsidRPr="002A5805" w:rsidRDefault="006856BA" w:rsidP="006856BA">
            <w:pPr>
              <w:pStyle w:val="TableText"/>
              <w:keepNext w:val="0"/>
              <w:jc w:val="center"/>
              <w:rPr>
                <w:szCs w:val="20"/>
              </w:rPr>
            </w:pPr>
            <w:r w:rsidRPr="002A5805">
              <w:rPr>
                <w:szCs w:val="20"/>
              </w:rPr>
              <w:t>116 (4.9)</w:t>
            </w:r>
          </w:p>
        </w:tc>
      </w:tr>
      <w:tr w:rsidR="006856BA" w:rsidRPr="002A5805" w:rsidTr="002A5805">
        <w:tc>
          <w:tcPr>
            <w:tcW w:w="2567" w:type="pct"/>
          </w:tcPr>
          <w:p w:rsidR="006856BA" w:rsidRPr="002A5805" w:rsidRDefault="006856BA" w:rsidP="006856BA">
            <w:pPr>
              <w:pStyle w:val="TableText"/>
              <w:keepNext w:val="0"/>
              <w:rPr>
                <w:szCs w:val="20"/>
              </w:rPr>
            </w:pPr>
            <w:r w:rsidRPr="002A5805">
              <w:rPr>
                <w:szCs w:val="20"/>
              </w:rPr>
              <w:t>Serious AE, n (%)</w:t>
            </w:r>
          </w:p>
        </w:tc>
        <w:tc>
          <w:tcPr>
            <w:tcW w:w="1216" w:type="pct"/>
          </w:tcPr>
          <w:p w:rsidR="006856BA" w:rsidRPr="002A5805" w:rsidRDefault="006856BA" w:rsidP="006856BA">
            <w:pPr>
              <w:pStyle w:val="TableText"/>
              <w:keepNext w:val="0"/>
              <w:jc w:val="center"/>
              <w:rPr>
                <w:szCs w:val="20"/>
              </w:rPr>
            </w:pPr>
            <w:r w:rsidRPr="002A5805">
              <w:rPr>
                <w:szCs w:val="20"/>
              </w:rPr>
              <w:t>846 (35.7)</w:t>
            </w:r>
          </w:p>
        </w:tc>
        <w:tc>
          <w:tcPr>
            <w:tcW w:w="1217" w:type="pct"/>
          </w:tcPr>
          <w:p w:rsidR="006856BA" w:rsidRPr="002A5805" w:rsidRDefault="006856BA" w:rsidP="006856BA">
            <w:pPr>
              <w:pStyle w:val="TableText"/>
              <w:keepNext w:val="0"/>
              <w:jc w:val="center"/>
              <w:rPr>
                <w:szCs w:val="20"/>
              </w:rPr>
            </w:pPr>
            <w:r w:rsidRPr="002A5805">
              <w:rPr>
                <w:szCs w:val="20"/>
              </w:rPr>
              <w:t>951 (40.2)</w:t>
            </w:r>
          </w:p>
        </w:tc>
      </w:tr>
      <w:tr w:rsidR="006856BA" w:rsidRPr="002A5805" w:rsidTr="002A5805">
        <w:trPr>
          <w:trHeight w:val="1616"/>
        </w:trPr>
        <w:tc>
          <w:tcPr>
            <w:tcW w:w="2567" w:type="pct"/>
          </w:tcPr>
          <w:p w:rsidR="006856BA" w:rsidRPr="002A5805" w:rsidRDefault="006856BA" w:rsidP="006856BA">
            <w:pPr>
              <w:pStyle w:val="TableText"/>
              <w:keepNext w:val="0"/>
              <w:rPr>
                <w:szCs w:val="20"/>
              </w:rPr>
            </w:pPr>
            <w:r w:rsidRPr="002A5805">
              <w:rPr>
                <w:szCs w:val="20"/>
              </w:rPr>
              <w:t>Serious AE in &gt;1%, n (%)</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Cardiac failure</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Pneumonia</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Cardiac failure congestive</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Cardiac failure acute</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Death</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Acute myocardial infarction</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Ventricular tachycardia</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Cardiac failure chronic</w:t>
            </w:r>
          </w:p>
          <w:p w:rsidR="006856BA" w:rsidRPr="002A5805" w:rsidRDefault="00D4665C" w:rsidP="00D4665C">
            <w:pPr>
              <w:pStyle w:val="TableText"/>
              <w:keepNext w:val="0"/>
              <w:rPr>
                <w:szCs w:val="20"/>
              </w:rPr>
            </w:pPr>
            <w:r w:rsidRPr="002A5805">
              <w:rPr>
                <w:szCs w:val="20"/>
              </w:rPr>
              <w:t>- I</w:t>
            </w:r>
            <w:r w:rsidR="006856BA" w:rsidRPr="002A5805">
              <w:rPr>
                <w:szCs w:val="20"/>
              </w:rPr>
              <w:t>schaemic stroke</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Atrial fibrillation</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Angina unstable</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Acute kidney injury</w:t>
            </w:r>
          </w:p>
          <w:p w:rsidR="006856BA" w:rsidRPr="002A5805" w:rsidRDefault="00D4665C" w:rsidP="00D4665C">
            <w:pPr>
              <w:pStyle w:val="TableText"/>
              <w:keepNext w:val="0"/>
              <w:rPr>
                <w:szCs w:val="20"/>
              </w:rPr>
            </w:pPr>
            <w:r w:rsidRPr="002A5805">
              <w:rPr>
                <w:szCs w:val="20"/>
              </w:rPr>
              <w:t xml:space="preserve">- </w:t>
            </w:r>
            <w:r w:rsidR="006856BA" w:rsidRPr="002A5805">
              <w:rPr>
                <w:szCs w:val="20"/>
              </w:rPr>
              <w:t>Sudden cardiac death</w:t>
            </w:r>
          </w:p>
        </w:tc>
        <w:tc>
          <w:tcPr>
            <w:tcW w:w="1216" w:type="pct"/>
          </w:tcPr>
          <w:p w:rsidR="006856BA" w:rsidRPr="002A5805" w:rsidRDefault="006856BA" w:rsidP="006856BA">
            <w:pPr>
              <w:pStyle w:val="TableText"/>
              <w:keepNext w:val="0"/>
              <w:jc w:val="center"/>
              <w:rPr>
                <w:szCs w:val="20"/>
              </w:rPr>
            </w:pPr>
          </w:p>
          <w:p w:rsidR="006856BA" w:rsidRPr="002A5805" w:rsidRDefault="006856BA" w:rsidP="006856BA">
            <w:pPr>
              <w:pStyle w:val="TableText"/>
              <w:keepNext w:val="0"/>
              <w:jc w:val="center"/>
              <w:rPr>
                <w:szCs w:val="20"/>
              </w:rPr>
            </w:pPr>
            <w:r w:rsidRPr="002A5805">
              <w:rPr>
                <w:szCs w:val="20"/>
              </w:rPr>
              <w:t xml:space="preserve">238 (10.1) </w:t>
            </w:r>
          </w:p>
          <w:p w:rsidR="006856BA" w:rsidRPr="002A5805" w:rsidRDefault="006856BA" w:rsidP="006856BA">
            <w:pPr>
              <w:pStyle w:val="TableText"/>
              <w:keepNext w:val="0"/>
              <w:jc w:val="center"/>
              <w:rPr>
                <w:szCs w:val="20"/>
              </w:rPr>
            </w:pPr>
            <w:r w:rsidRPr="002A5805">
              <w:rPr>
                <w:szCs w:val="20"/>
              </w:rPr>
              <w:t xml:space="preserve">70 (3.0) </w:t>
            </w:r>
          </w:p>
          <w:p w:rsidR="006856BA" w:rsidRPr="002A5805" w:rsidRDefault="006856BA" w:rsidP="006856BA">
            <w:pPr>
              <w:pStyle w:val="TableText"/>
              <w:keepNext w:val="0"/>
              <w:jc w:val="center"/>
              <w:rPr>
                <w:szCs w:val="20"/>
              </w:rPr>
            </w:pPr>
            <w:r w:rsidRPr="002A5805">
              <w:rPr>
                <w:szCs w:val="20"/>
              </w:rPr>
              <w:t xml:space="preserve">57 (2.4) </w:t>
            </w:r>
          </w:p>
          <w:p w:rsidR="006856BA" w:rsidRPr="002A5805" w:rsidRDefault="006856BA" w:rsidP="006856BA">
            <w:pPr>
              <w:pStyle w:val="TableText"/>
              <w:keepNext w:val="0"/>
              <w:jc w:val="center"/>
              <w:rPr>
                <w:szCs w:val="20"/>
              </w:rPr>
            </w:pPr>
            <w:r w:rsidRPr="002A5805">
              <w:rPr>
                <w:szCs w:val="20"/>
              </w:rPr>
              <w:t xml:space="preserve">36 (1.5) </w:t>
            </w:r>
          </w:p>
          <w:p w:rsidR="006856BA" w:rsidRPr="002A5805" w:rsidRDefault="006856BA" w:rsidP="006856BA">
            <w:pPr>
              <w:pStyle w:val="TableText"/>
              <w:keepNext w:val="0"/>
              <w:jc w:val="center"/>
              <w:rPr>
                <w:szCs w:val="20"/>
              </w:rPr>
            </w:pPr>
            <w:r w:rsidRPr="002A5805">
              <w:rPr>
                <w:szCs w:val="20"/>
              </w:rPr>
              <w:t xml:space="preserve">33 (1.4) </w:t>
            </w:r>
          </w:p>
          <w:p w:rsidR="006856BA" w:rsidRPr="002A5805" w:rsidRDefault="006856BA" w:rsidP="006856BA">
            <w:pPr>
              <w:pStyle w:val="TableText"/>
              <w:keepNext w:val="0"/>
              <w:jc w:val="center"/>
              <w:rPr>
                <w:szCs w:val="20"/>
              </w:rPr>
            </w:pPr>
            <w:r w:rsidRPr="002A5805">
              <w:rPr>
                <w:szCs w:val="20"/>
              </w:rPr>
              <w:t xml:space="preserve">32 (1.4) </w:t>
            </w:r>
          </w:p>
          <w:p w:rsidR="006856BA" w:rsidRPr="002A5805" w:rsidRDefault="006856BA" w:rsidP="006856BA">
            <w:pPr>
              <w:pStyle w:val="TableText"/>
              <w:keepNext w:val="0"/>
              <w:jc w:val="center"/>
              <w:rPr>
                <w:szCs w:val="20"/>
              </w:rPr>
            </w:pPr>
            <w:r w:rsidRPr="002A5805">
              <w:rPr>
                <w:szCs w:val="20"/>
              </w:rPr>
              <w:t xml:space="preserve">32 (1.4) </w:t>
            </w:r>
          </w:p>
          <w:p w:rsidR="006856BA" w:rsidRPr="002A5805" w:rsidRDefault="006856BA" w:rsidP="006856BA">
            <w:pPr>
              <w:pStyle w:val="TableText"/>
              <w:keepNext w:val="0"/>
              <w:jc w:val="center"/>
              <w:rPr>
                <w:szCs w:val="20"/>
              </w:rPr>
            </w:pPr>
            <w:r w:rsidRPr="002A5805">
              <w:rPr>
                <w:szCs w:val="20"/>
              </w:rPr>
              <w:t xml:space="preserve">24 (1.0) </w:t>
            </w:r>
          </w:p>
          <w:p w:rsidR="006856BA" w:rsidRPr="002A5805" w:rsidRDefault="006856BA" w:rsidP="006856BA">
            <w:pPr>
              <w:pStyle w:val="TableText"/>
              <w:keepNext w:val="0"/>
              <w:jc w:val="center"/>
              <w:rPr>
                <w:szCs w:val="20"/>
              </w:rPr>
            </w:pPr>
            <w:r w:rsidRPr="002A5805">
              <w:rPr>
                <w:szCs w:val="20"/>
              </w:rPr>
              <w:t xml:space="preserve">24 (1.0) </w:t>
            </w:r>
          </w:p>
          <w:p w:rsidR="006856BA" w:rsidRPr="002A5805" w:rsidRDefault="006856BA" w:rsidP="006856BA">
            <w:pPr>
              <w:pStyle w:val="TableText"/>
              <w:keepNext w:val="0"/>
              <w:jc w:val="center"/>
              <w:rPr>
                <w:szCs w:val="20"/>
              </w:rPr>
            </w:pPr>
            <w:r w:rsidRPr="002A5805">
              <w:rPr>
                <w:szCs w:val="20"/>
              </w:rPr>
              <w:t xml:space="preserve">23 (1.0) </w:t>
            </w:r>
          </w:p>
          <w:p w:rsidR="006856BA" w:rsidRPr="002A5805" w:rsidRDefault="006856BA" w:rsidP="006856BA">
            <w:pPr>
              <w:pStyle w:val="TableText"/>
              <w:keepNext w:val="0"/>
              <w:jc w:val="center"/>
              <w:rPr>
                <w:szCs w:val="20"/>
              </w:rPr>
            </w:pPr>
            <w:r w:rsidRPr="002A5805">
              <w:rPr>
                <w:szCs w:val="20"/>
              </w:rPr>
              <w:t xml:space="preserve">21 (0.9) </w:t>
            </w:r>
          </w:p>
          <w:p w:rsidR="006856BA" w:rsidRPr="002A5805" w:rsidRDefault="006856BA" w:rsidP="006856BA">
            <w:pPr>
              <w:pStyle w:val="TableText"/>
              <w:keepNext w:val="0"/>
              <w:jc w:val="center"/>
              <w:rPr>
                <w:szCs w:val="20"/>
              </w:rPr>
            </w:pPr>
            <w:r w:rsidRPr="002A5805">
              <w:rPr>
                <w:szCs w:val="20"/>
              </w:rPr>
              <w:t xml:space="preserve">20 (0.8) </w:t>
            </w:r>
          </w:p>
          <w:p w:rsidR="006856BA" w:rsidRPr="002A5805" w:rsidRDefault="006856BA" w:rsidP="006856BA">
            <w:pPr>
              <w:pStyle w:val="TableText"/>
              <w:keepNext w:val="0"/>
              <w:jc w:val="center"/>
              <w:rPr>
                <w:szCs w:val="20"/>
              </w:rPr>
            </w:pPr>
            <w:r w:rsidRPr="002A5805">
              <w:rPr>
                <w:szCs w:val="20"/>
              </w:rPr>
              <w:t xml:space="preserve">17 (0.7) </w:t>
            </w:r>
          </w:p>
        </w:tc>
        <w:tc>
          <w:tcPr>
            <w:tcW w:w="1217" w:type="pct"/>
          </w:tcPr>
          <w:p w:rsidR="006856BA" w:rsidRPr="002A5805" w:rsidRDefault="006856BA" w:rsidP="006856BA">
            <w:pPr>
              <w:pStyle w:val="TableText"/>
              <w:keepNext w:val="0"/>
              <w:jc w:val="center"/>
              <w:rPr>
                <w:szCs w:val="20"/>
              </w:rPr>
            </w:pPr>
          </w:p>
          <w:p w:rsidR="006856BA" w:rsidRPr="002A5805" w:rsidRDefault="006856BA" w:rsidP="006856BA">
            <w:pPr>
              <w:pStyle w:val="TableText"/>
              <w:keepNext w:val="0"/>
              <w:jc w:val="center"/>
              <w:rPr>
                <w:szCs w:val="20"/>
              </w:rPr>
            </w:pPr>
            <w:r w:rsidRPr="002A5805">
              <w:rPr>
                <w:szCs w:val="20"/>
              </w:rPr>
              <w:t xml:space="preserve">325 (13.7) </w:t>
            </w:r>
          </w:p>
          <w:p w:rsidR="006856BA" w:rsidRPr="002A5805" w:rsidRDefault="006856BA" w:rsidP="006856BA">
            <w:pPr>
              <w:pStyle w:val="TableText"/>
              <w:keepNext w:val="0"/>
              <w:jc w:val="center"/>
              <w:rPr>
                <w:szCs w:val="20"/>
              </w:rPr>
            </w:pPr>
            <w:r w:rsidRPr="002A5805">
              <w:rPr>
                <w:szCs w:val="20"/>
              </w:rPr>
              <w:t>73 (3.1)</w:t>
            </w:r>
          </w:p>
          <w:p w:rsidR="006856BA" w:rsidRPr="002A5805" w:rsidRDefault="006856BA" w:rsidP="006856BA">
            <w:pPr>
              <w:pStyle w:val="TableText"/>
              <w:keepNext w:val="0"/>
              <w:jc w:val="center"/>
              <w:rPr>
                <w:szCs w:val="20"/>
              </w:rPr>
            </w:pPr>
            <w:r w:rsidRPr="002A5805">
              <w:rPr>
                <w:szCs w:val="20"/>
              </w:rPr>
              <w:t>65 (2.7)</w:t>
            </w:r>
          </w:p>
          <w:p w:rsidR="006856BA" w:rsidRPr="002A5805" w:rsidRDefault="006856BA" w:rsidP="006856BA">
            <w:pPr>
              <w:pStyle w:val="TableText"/>
              <w:keepNext w:val="0"/>
              <w:jc w:val="center"/>
              <w:rPr>
                <w:szCs w:val="20"/>
              </w:rPr>
            </w:pPr>
            <w:r w:rsidRPr="002A5805">
              <w:rPr>
                <w:szCs w:val="20"/>
              </w:rPr>
              <w:t>51 (2.2)</w:t>
            </w:r>
          </w:p>
          <w:p w:rsidR="006856BA" w:rsidRPr="002A5805" w:rsidRDefault="006856BA" w:rsidP="006856BA">
            <w:pPr>
              <w:pStyle w:val="TableText"/>
              <w:keepNext w:val="0"/>
              <w:jc w:val="center"/>
              <w:rPr>
                <w:szCs w:val="20"/>
              </w:rPr>
            </w:pPr>
            <w:r w:rsidRPr="002A5805">
              <w:rPr>
                <w:szCs w:val="20"/>
              </w:rPr>
              <w:t>38 (1.6)</w:t>
            </w:r>
          </w:p>
          <w:p w:rsidR="006856BA" w:rsidRPr="002A5805" w:rsidRDefault="006856BA" w:rsidP="006856BA">
            <w:pPr>
              <w:pStyle w:val="TableText"/>
              <w:keepNext w:val="0"/>
              <w:jc w:val="center"/>
              <w:rPr>
                <w:szCs w:val="20"/>
              </w:rPr>
            </w:pPr>
            <w:r w:rsidRPr="002A5805">
              <w:rPr>
                <w:szCs w:val="20"/>
              </w:rPr>
              <w:t>32 (1.4)</w:t>
            </w:r>
          </w:p>
          <w:p w:rsidR="006856BA" w:rsidRPr="002A5805" w:rsidRDefault="006856BA" w:rsidP="006856BA">
            <w:pPr>
              <w:pStyle w:val="TableText"/>
              <w:keepNext w:val="0"/>
              <w:jc w:val="center"/>
              <w:rPr>
                <w:szCs w:val="20"/>
              </w:rPr>
            </w:pPr>
            <w:r w:rsidRPr="002A5805">
              <w:rPr>
                <w:szCs w:val="20"/>
              </w:rPr>
              <w:t>53 (2.2)</w:t>
            </w:r>
          </w:p>
          <w:p w:rsidR="006856BA" w:rsidRPr="002A5805" w:rsidRDefault="006856BA" w:rsidP="006856BA">
            <w:pPr>
              <w:pStyle w:val="TableText"/>
              <w:keepNext w:val="0"/>
              <w:jc w:val="center"/>
              <w:rPr>
                <w:szCs w:val="20"/>
              </w:rPr>
            </w:pPr>
            <w:r w:rsidRPr="002A5805">
              <w:rPr>
                <w:szCs w:val="20"/>
              </w:rPr>
              <w:t>26 (1.1)</w:t>
            </w:r>
          </w:p>
          <w:p w:rsidR="006856BA" w:rsidRPr="002A5805" w:rsidRDefault="006856BA" w:rsidP="006856BA">
            <w:pPr>
              <w:pStyle w:val="TableText"/>
              <w:keepNext w:val="0"/>
              <w:jc w:val="center"/>
              <w:rPr>
                <w:szCs w:val="20"/>
              </w:rPr>
            </w:pPr>
            <w:r w:rsidRPr="002A5805">
              <w:rPr>
                <w:szCs w:val="20"/>
              </w:rPr>
              <w:t>24 (1.0)</w:t>
            </w:r>
          </w:p>
          <w:p w:rsidR="006856BA" w:rsidRPr="002A5805" w:rsidRDefault="006856BA" w:rsidP="006856BA">
            <w:pPr>
              <w:pStyle w:val="TableText"/>
              <w:keepNext w:val="0"/>
              <w:jc w:val="center"/>
              <w:rPr>
                <w:szCs w:val="20"/>
              </w:rPr>
            </w:pPr>
            <w:r w:rsidRPr="002A5805">
              <w:rPr>
                <w:szCs w:val="20"/>
              </w:rPr>
              <w:t>37 (1.6)</w:t>
            </w:r>
          </w:p>
          <w:p w:rsidR="006856BA" w:rsidRPr="002A5805" w:rsidRDefault="006856BA" w:rsidP="006856BA">
            <w:pPr>
              <w:pStyle w:val="TableText"/>
              <w:keepNext w:val="0"/>
              <w:jc w:val="center"/>
              <w:rPr>
                <w:szCs w:val="20"/>
              </w:rPr>
            </w:pPr>
            <w:r w:rsidRPr="002A5805">
              <w:rPr>
                <w:szCs w:val="20"/>
              </w:rPr>
              <w:t>29 (1.2)</w:t>
            </w:r>
          </w:p>
          <w:p w:rsidR="006856BA" w:rsidRPr="002A5805" w:rsidRDefault="006856BA" w:rsidP="006856BA">
            <w:pPr>
              <w:pStyle w:val="TableText"/>
              <w:keepNext w:val="0"/>
              <w:jc w:val="center"/>
              <w:rPr>
                <w:szCs w:val="20"/>
              </w:rPr>
            </w:pPr>
            <w:r w:rsidRPr="002A5805">
              <w:rPr>
                <w:szCs w:val="20"/>
              </w:rPr>
              <w:t>41 (1.7)</w:t>
            </w:r>
          </w:p>
          <w:p w:rsidR="006856BA" w:rsidRPr="002A5805" w:rsidRDefault="006856BA" w:rsidP="006856BA">
            <w:pPr>
              <w:pStyle w:val="TableText"/>
              <w:keepNext w:val="0"/>
              <w:jc w:val="center"/>
              <w:rPr>
                <w:szCs w:val="20"/>
              </w:rPr>
            </w:pPr>
            <w:r w:rsidRPr="002A5805">
              <w:rPr>
                <w:szCs w:val="20"/>
              </w:rPr>
              <w:t>27 (1.1)</w:t>
            </w:r>
          </w:p>
        </w:tc>
      </w:tr>
      <w:tr w:rsidR="006856BA" w:rsidRPr="002A5805" w:rsidTr="002A5805">
        <w:trPr>
          <w:trHeight w:val="1616"/>
        </w:trPr>
        <w:tc>
          <w:tcPr>
            <w:tcW w:w="2567" w:type="pct"/>
            <w:tcBorders>
              <w:top w:val="single" w:sz="4" w:space="0" w:color="auto"/>
              <w:left w:val="single" w:sz="4" w:space="0" w:color="auto"/>
              <w:bottom w:val="single" w:sz="4" w:space="0" w:color="auto"/>
              <w:right w:val="single" w:sz="4" w:space="0" w:color="auto"/>
            </w:tcBorders>
          </w:tcPr>
          <w:p w:rsidR="006856BA" w:rsidRPr="002A5805" w:rsidRDefault="006856BA" w:rsidP="006856BA">
            <w:pPr>
              <w:pStyle w:val="TableText"/>
              <w:keepNext w:val="0"/>
              <w:rPr>
                <w:szCs w:val="20"/>
              </w:rPr>
            </w:pPr>
            <w:r w:rsidRPr="002A5805">
              <w:rPr>
                <w:szCs w:val="20"/>
              </w:rPr>
              <w:t>Adverse event of special interest, n (%)</w:t>
            </w:r>
          </w:p>
          <w:p w:rsidR="006856BA" w:rsidRPr="002A5805" w:rsidRDefault="006856BA" w:rsidP="006856BA">
            <w:pPr>
              <w:pStyle w:val="TableText"/>
              <w:keepNext w:val="0"/>
              <w:rPr>
                <w:szCs w:val="20"/>
              </w:rPr>
            </w:pPr>
            <w:r w:rsidRPr="002A5805">
              <w:rPr>
                <w:szCs w:val="20"/>
              </w:rPr>
              <w:t>- Definite or probable diabetic ketoacidosis</w:t>
            </w:r>
            <w:r w:rsidRPr="002A5805">
              <w:rPr>
                <w:szCs w:val="20"/>
                <w:vertAlign w:val="superscript"/>
              </w:rPr>
              <w:t>1</w:t>
            </w:r>
          </w:p>
          <w:p w:rsidR="006856BA" w:rsidRPr="002A5805" w:rsidRDefault="006856BA" w:rsidP="006856BA">
            <w:pPr>
              <w:pStyle w:val="TableText"/>
              <w:keepNext w:val="0"/>
              <w:rPr>
                <w:szCs w:val="20"/>
              </w:rPr>
            </w:pPr>
            <w:r w:rsidRPr="002A5805">
              <w:rPr>
                <w:szCs w:val="20"/>
              </w:rPr>
              <w:t>- Major hypoglycaemic event</w:t>
            </w:r>
            <w:r w:rsidRPr="002A5805">
              <w:rPr>
                <w:szCs w:val="20"/>
                <w:vertAlign w:val="superscript"/>
              </w:rPr>
              <w:t>2</w:t>
            </w:r>
          </w:p>
          <w:p w:rsidR="006856BA" w:rsidRPr="002A5805" w:rsidRDefault="006856BA" w:rsidP="006856BA">
            <w:pPr>
              <w:pStyle w:val="TableText"/>
              <w:keepNext w:val="0"/>
              <w:rPr>
                <w:szCs w:val="20"/>
              </w:rPr>
            </w:pPr>
            <w:r w:rsidRPr="002A5805">
              <w:rPr>
                <w:szCs w:val="20"/>
              </w:rPr>
              <w:t>- AE suggestive of volume depletion</w:t>
            </w:r>
          </w:p>
          <w:p w:rsidR="006856BA" w:rsidRPr="002A5805" w:rsidRDefault="006856BA" w:rsidP="006856BA">
            <w:pPr>
              <w:pStyle w:val="TableText"/>
              <w:keepNext w:val="0"/>
              <w:rPr>
                <w:szCs w:val="20"/>
              </w:rPr>
            </w:pPr>
            <w:r w:rsidRPr="002A5805">
              <w:rPr>
                <w:szCs w:val="20"/>
              </w:rPr>
              <w:t>- Fracture</w:t>
            </w:r>
          </w:p>
          <w:p w:rsidR="006856BA" w:rsidRPr="002A5805" w:rsidRDefault="006856BA" w:rsidP="006856BA">
            <w:pPr>
              <w:pStyle w:val="TableText"/>
              <w:keepNext w:val="0"/>
              <w:rPr>
                <w:szCs w:val="20"/>
              </w:rPr>
            </w:pPr>
            <w:r w:rsidRPr="002A5805">
              <w:rPr>
                <w:szCs w:val="20"/>
              </w:rPr>
              <w:t>- Renal AE</w:t>
            </w:r>
            <w:r w:rsidRPr="002A5805">
              <w:rPr>
                <w:szCs w:val="20"/>
                <w:vertAlign w:val="superscript"/>
              </w:rPr>
              <w:t>3</w:t>
            </w:r>
          </w:p>
          <w:p w:rsidR="006856BA" w:rsidRPr="002A5805" w:rsidRDefault="006856BA" w:rsidP="006856BA">
            <w:pPr>
              <w:pStyle w:val="TableText"/>
              <w:keepNext w:val="0"/>
              <w:rPr>
                <w:szCs w:val="20"/>
              </w:rPr>
            </w:pPr>
            <w:r w:rsidRPr="002A5805">
              <w:rPr>
                <w:szCs w:val="20"/>
              </w:rPr>
              <w:t>- Amputation</w:t>
            </w:r>
            <w:r w:rsidRPr="002A5805">
              <w:rPr>
                <w:szCs w:val="20"/>
                <w:vertAlign w:val="superscript"/>
              </w:rPr>
              <w:t>4</w:t>
            </w:r>
          </w:p>
        </w:tc>
        <w:tc>
          <w:tcPr>
            <w:tcW w:w="1216" w:type="pct"/>
            <w:tcBorders>
              <w:top w:val="single" w:sz="4" w:space="0" w:color="auto"/>
              <w:left w:val="single" w:sz="4" w:space="0" w:color="auto"/>
              <w:bottom w:val="single" w:sz="4" w:space="0" w:color="auto"/>
              <w:right w:val="single" w:sz="4" w:space="0" w:color="auto"/>
            </w:tcBorders>
          </w:tcPr>
          <w:p w:rsidR="006856BA" w:rsidRPr="002A5805" w:rsidRDefault="006856BA" w:rsidP="006856BA">
            <w:pPr>
              <w:pStyle w:val="TableText"/>
              <w:keepNext w:val="0"/>
              <w:jc w:val="center"/>
              <w:rPr>
                <w:szCs w:val="20"/>
              </w:rPr>
            </w:pPr>
          </w:p>
          <w:p w:rsidR="006856BA" w:rsidRPr="002A5805" w:rsidRDefault="006856BA" w:rsidP="006856BA">
            <w:pPr>
              <w:pStyle w:val="TableText"/>
              <w:keepNext w:val="0"/>
              <w:jc w:val="center"/>
              <w:rPr>
                <w:szCs w:val="20"/>
              </w:rPr>
            </w:pPr>
            <w:r w:rsidRPr="002A5805">
              <w:rPr>
                <w:szCs w:val="20"/>
              </w:rPr>
              <w:t>3 (0.1)</w:t>
            </w:r>
          </w:p>
          <w:p w:rsidR="006856BA" w:rsidRPr="002A5805" w:rsidRDefault="006856BA" w:rsidP="006856BA">
            <w:pPr>
              <w:pStyle w:val="TableText"/>
              <w:keepNext w:val="0"/>
              <w:jc w:val="center"/>
              <w:rPr>
                <w:szCs w:val="20"/>
              </w:rPr>
            </w:pPr>
            <w:r w:rsidRPr="002A5805">
              <w:rPr>
                <w:szCs w:val="20"/>
              </w:rPr>
              <w:t>4 (0.2)</w:t>
            </w:r>
          </w:p>
          <w:p w:rsidR="006856BA" w:rsidRPr="002A5805" w:rsidRDefault="006856BA" w:rsidP="006856BA">
            <w:pPr>
              <w:pStyle w:val="TableText"/>
              <w:keepNext w:val="0"/>
              <w:jc w:val="center"/>
              <w:rPr>
                <w:szCs w:val="20"/>
              </w:rPr>
            </w:pPr>
            <w:r w:rsidRPr="002A5805">
              <w:rPr>
                <w:szCs w:val="20"/>
              </w:rPr>
              <w:t>170 (7.2)</w:t>
            </w:r>
          </w:p>
          <w:p w:rsidR="006856BA" w:rsidRPr="002A5805" w:rsidRDefault="006856BA" w:rsidP="006856BA">
            <w:pPr>
              <w:pStyle w:val="TableText"/>
              <w:keepNext w:val="0"/>
              <w:jc w:val="center"/>
              <w:rPr>
                <w:szCs w:val="20"/>
              </w:rPr>
            </w:pPr>
            <w:r w:rsidRPr="002A5805">
              <w:rPr>
                <w:szCs w:val="20"/>
              </w:rPr>
              <w:t>48 (2.0)</w:t>
            </w:r>
          </w:p>
          <w:p w:rsidR="006856BA" w:rsidRPr="002A5805" w:rsidRDefault="006856BA" w:rsidP="006856BA">
            <w:pPr>
              <w:pStyle w:val="TableText"/>
              <w:keepNext w:val="0"/>
              <w:jc w:val="center"/>
              <w:rPr>
                <w:szCs w:val="20"/>
              </w:rPr>
            </w:pPr>
            <w:r w:rsidRPr="002A5805">
              <w:rPr>
                <w:szCs w:val="20"/>
              </w:rPr>
              <w:t>141 (6.0)</w:t>
            </w:r>
          </w:p>
          <w:p w:rsidR="006856BA" w:rsidRPr="002A5805" w:rsidRDefault="006856BA" w:rsidP="006856BA">
            <w:pPr>
              <w:pStyle w:val="TableText"/>
              <w:keepNext w:val="0"/>
              <w:jc w:val="center"/>
              <w:rPr>
                <w:szCs w:val="20"/>
              </w:rPr>
            </w:pPr>
            <w:r w:rsidRPr="002A5805">
              <w:rPr>
                <w:szCs w:val="20"/>
              </w:rPr>
              <w:t>11 (0.5)</w:t>
            </w:r>
          </w:p>
        </w:tc>
        <w:tc>
          <w:tcPr>
            <w:tcW w:w="1217" w:type="pct"/>
            <w:tcBorders>
              <w:top w:val="single" w:sz="4" w:space="0" w:color="auto"/>
              <w:left w:val="single" w:sz="4" w:space="0" w:color="auto"/>
              <w:bottom w:val="single" w:sz="4" w:space="0" w:color="auto"/>
              <w:right w:val="single" w:sz="4" w:space="0" w:color="auto"/>
            </w:tcBorders>
          </w:tcPr>
          <w:p w:rsidR="006856BA" w:rsidRPr="002A5805" w:rsidRDefault="006856BA" w:rsidP="006856BA">
            <w:pPr>
              <w:pStyle w:val="TableText"/>
              <w:keepNext w:val="0"/>
              <w:jc w:val="center"/>
              <w:rPr>
                <w:szCs w:val="20"/>
              </w:rPr>
            </w:pPr>
          </w:p>
          <w:p w:rsidR="006856BA" w:rsidRPr="002A5805" w:rsidRDefault="006856BA" w:rsidP="006856BA">
            <w:pPr>
              <w:pStyle w:val="TableText"/>
              <w:keepNext w:val="0"/>
              <w:jc w:val="center"/>
              <w:rPr>
                <w:szCs w:val="20"/>
              </w:rPr>
            </w:pPr>
            <w:r w:rsidRPr="002A5805">
              <w:rPr>
                <w:szCs w:val="20"/>
              </w:rPr>
              <w:t>0</w:t>
            </w:r>
          </w:p>
          <w:p w:rsidR="006856BA" w:rsidRPr="002A5805" w:rsidRDefault="006856BA" w:rsidP="006856BA">
            <w:pPr>
              <w:pStyle w:val="TableText"/>
              <w:keepNext w:val="0"/>
              <w:jc w:val="center"/>
              <w:rPr>
                <w:szCs w:val="20"/>
              </w:rPr>
            </w:pPr>
            <w:r w:rsidRPr="002A5805">
              <w:rPr>
                <w:szCs w:val="20"/>
              </w:rPr>
              <w:t>4 (0.2)</w:t>
            </w:r>
          </w:p>
          <w:p w:rsidR="006856BA" w:rsidRPr="002A5805" w:rsidRDefault="006856BA" w:rsidP="006856BA">
            <w:pPr>
              <w:pStyle w:val="TableText"/>
              <w:keepNext w:val="0"/>
              <w:jc w:val="center"/>
              <w:rPr>
                <w:szCs w:val="20"/>
              </w:rPr>
            </w:pPr>
            <w:r w:rsidRPr="002A5805">
              <w:rPr>
                <w:szCs w:val="20"/>
              </w:rPr>
              <w:t>153 (6.5)</w:t>
            </w:r>
          </w:p>
          <w:p w:rsidR="006856BA" w:rsidRPr="002A5805" w:rsidRDefault="006856BA" w:rsidP="006856BA">
            <w:pPr>
              <w:pStyle w:val="TableText"/>
              <w:keepNext w:val="0"/>
              <w:jc w:val="center"/>
              <w:rPr>
                <w:szCs w:val="20"/>
              </w:rPr>
            </w:pPr>
            <w:r w:rsidRPr="002A5805">
              <w:rPr>
                <w:szCs w:val="20"/>
              </w:rPr>
              <w:t>47 (2.0)</w:t>
            </w:r>
          </w:p>
          <w:p w:rsidR="006856BA" w:rsidRPr="002A5805" w:rsidRDefault="006856BA" w:rsidP="006856BA">
            <w:pPr>
              <w:pStyle w:val="TableText"/>
              <w:keepNext w:val="0"/>
              <w:jc w:val="center"/>
              <w:rPr>
                <w:szCs w:val="20"/>
              </w:rPr>
            </w:pPr>
            <w:r w:rsidRPr="002A5805">
              <w:rPr>
                <w:szCs w:val="20"/>
              </w:rPr>
              <w:t>158 (6.7)</w:t>
            </w:r>
          </w:p>
          <w:p w:rsidR="006856BA" w:rsidRPr="002A5805" w:rsidRDefault="006856BA" w:rsidP="006856BA">
            <w:pPr>
              <w:pStyle w:val="TableText"/>
              <w:keepNext w:val="0"/>
              <w:jc w:val="center"/>
              <w:rPr>
                <w:szCs w:val="20"/>
              </w:rPr>
            </w:pPr>
            <w:r w:rsidRPr="002A5805">
              <w:rPr>
                <w:szCs w:val="20"/>
              </w:rPr>
              <w:t>11 (0.5)</w:t>
            </w:r>
          </w:p>
        </w:tc>
      </w:tr>
    </w:tbl>
    <w:p w:rsidR="006856BA" w:rsidRPr="004D292C" w:rsidRDefault="006856BA" w:rsidP="006856BA">
      <w:pPr>
        <w:pStyle w:val="TableFigureFooter"/>
      </w:pPr>
      <w:r w:rsidRPr="004D292C">
        <w:t>Source: Table 2.5-7, p.86 of the submission.</w:t>
      </w:r>
    </w:p>
    <w:p w:rsidR="006856BA" w:rsidRPr="004D292C" w:rsidRDefault="006856BA" w:rsidP="006856BA">
      <w:pPr>
        <w:pStyle w:val="TableFigureFooter"/>
      </w:pPr>
      <w:r w:rsidRPr="004D292C">
        <w:t>Abbreviations: AE, adverse event</w:t>
      </w:r>
      <w:r w:rsidR="00816047" w:rsidRPr="004D292C">
        <w:t>; SOC, standard care.</w:t>
      </w:r>
    </w:p>
    <w:p w:rsidR="006856BA" w:rsidRPr="004D292C" w:rsidRDefault="006856BA" w:rsidP="006856BA">
      <w:pPr>
        <w:pStyle w:val="TableFigureFooter"/>
        <w:rPr>
          <w:rFonts w:eastAsia="Calibri"/>
        </w:rPr>
      </w:pPr>
      <w:r w:rsidRPr="004D292C">
        <w:rPr>
          <w:rFonts w:eastAsia="Calibri"/>
          <w:vertAlign w:val="superscript"/>
        </w:rPr>
        <w:t>1</w:t>
      </w:r>
      <w:r w:rsidRPr="004D292C">
        <w:rPr>
          <w:rFonts w:eastAsia="Calibri"/>
        </w:rPr>
        <w:t xml:space="preserve"> Events adjudicated as definite or probable diabetic ketoacidosis.</w:t>
      </w:r>
    </w:p>
    <w:p w:rsidR="006856BA" w:rsidRPr="004D292C" w:rsidRDefault="006856BA" w:rsidP="006856BA">
      <w:pPr>
        <w:pStyle w:val="TableFigureFooter"/>
        <w:rPr>
          <w:rFonts w:eastAsia="Calibri"/>
        </w:rPr>
      </w:pPr>
      <w:r w:rsidRPr="004D292C">
        <w:rPr>
          <w:rFonts w:eastAsia="Calibri"/>
          <w:vertAlign w:val="superscript"/>
        </w:rPr>
        <w:t>2</w:t>
      </w:r>
      <w:r w:rsidRPr="004D292C">
        <w:rPr>
          <w:rFonts w:eastAsia="Calibri"/>
        </w:rPr>
        <w:t xml:space="preserve"> AE with the following criteria confirmed by the investigator: i) Symptoms of severe impairment in consciousness or behaviour ii) need of external assistance iii) intervention to treat hypoglycaemia iv) prompt recovery of acute symptoms following the intervention. </w:t>
      </w:r>
    </w:p>
    <w:p w:rsidR="006856BA" w:rsidRPr="004D292C" w:rsidRDefault="006856BA" w:rsidP="006856BA">
      <w:pPr>
        <w:pStyle w:val="TableFigureFooter"/>
        <w:rPr>
          <w:rFonts w:eastAsia="Calibri"/>
        </w:rPr>
      </w:pPr>
      <w:r w:rsidRPr="004D292C">
        <w:rPr>
          <w:rFonts w:eastAsia="Calibri"/>
          <w:vertAlign w:val="superscript"/>
        </w:rPr>
        <w:t>3</w:t>
      </w:r>
      <w:r w:rsidRPr="004D292C">
        <w:rPr>
          <w:rFonts w:eastAsia="Calibri"/>
        </w:rPr>
        <w:t xml:space="preserve"> Based on pre-defined list of preferred terms.</w:t>
      </w:r>
    </w:p>
    <w:p w:rsidR="006856BA" w:rsidRPr="004D292C" w:rsidRDefault="006856BA" w:rsidP="006856BA">
      <w:pPr>
        <w:pStyle w:val="TableFigureFooter"/>
        <w:rPr>
          <w:rFonts w:eastAsia="Calibri"/>
        </w:rPr>
      </w:pPr>
      <w:r w:rsidRPr="004D292C">
        <w:rPr>
          <w:rFonts w:eastAsia="Calibri"/>
          <w:vertAlign w:val="superscript"/>
        </w:rPr>
        <w:t>4</w:t>
      </w:r>
      <w:r w:rsidRPr="004D292C">
        <w:rPr>
          <w:rFonts w:eastAsia="Calibri"/>
        </w:rPr>
        <w:t xml:space="preserve"> Surgical or spontaneous/non-surgical amputation, excluding amputation due to trauma.</w:t>
      </w:r>
    </w:p>
    <w:p w:rsidR="003E5418" w:rsidRPr="004D292C" w:rsidRDefault="006856BA" w:rsidP="003E5418">
      <w:pPr>
        <w:pStyle w:val="ExecSumBodyText"/>
      </w:pPr>
      <w:r w:rsidRPr="004D292C">
        <w:t xml:space="preserve">Adverse events leading to discontinuation, and adverse events leading to death were numerically similar between the dapagliflozin and placebo arms. Serious adverse events were numerically higher in the placebo arm compared to the dapagliflozin arm. </w:t>
      </w:r>
      <w:r w:rsidR="003E5418" w:rsidRPr="004D292C">
        <w:t>The difference in serious adverse events between treatment arms appeared to be driven by heart failure-related adverse events (cardiac failure, cardiac failure congestive, cardiac failure acute).</w:t>
      </w:r>
      <w:r w:rsidRPr="004D292C">
        <w:t xml:space="preserve"> </w:t>
      </w:r>
    </w:p>
    <w:p w:rsidR="006856BA" w:rsidRPr="004D292C" w:rsidRDefault="006856BA" w:rsidP="003E5418">
      <w:pPr>
        <w:pStyle w:val="ExecSumBodyText"/>
      </w:pPr>
      <w:r w:rsidRPr="004D292C">
        <w:lastRenderedPageBreak/>
        <w:t xml:space="preserve">Rates of adverse events of special interest, including major hypoglycaemic events, were </w:t>
      </w:r>
      <w:r w:rsidR="00AE55D8" w:rsidRPr="004D292C">
        <w:t xml:space="preserve">generally </w:t>
      </w:r>
      <w:r w:rsidRPr="004D292C">
        <w:t>similar between treatment arms</w:t>
      </w:r>
      <w:r w:rsidR="00AE55D8" w:rsidRPr="004D292C">
        <w:t>, although adverse events suggestive of volume depletion were numerically higher in the dapagliflozin arm (7.2% versus 6.5%)</w:t>
      </w:r>
      <w:r w:rsidR="00701A57" w:rsidRPr="004D292C">
        <w:t>.</w:t>
      </w:r>
      <w:r w:rsidRPr="004D292C">
        <w:t xml:space="preserve"> Results for treatment emergent adverse events and adverse events based on treatment grades were not included as outcomes </w:t>
      </w:r>
      <w:r w:rsidR="003E5418" w:rsidRPr="004D292C">
        <w:t>in</w:t>
      </w:r>
      <w:r w:rsidRPr="004D292C">
        <w:t xml:space="preserve"> the DAPA-HF trial, and therefore no comparison across these outcomes could be made.</w:t>
      </w:r>
    </w:p>
    <w:p w:rsidR="006856BA" w:rsidRPr="004D292C" w:rsidRDefault="00D92B75" w:rsidP="00D92B75">
      <w:pPr>
        <w:pStyle w:val="ExecSumBodyText"/>
      </w:pPr>
      <w:r w:rsidRPr="004D292C">
        <w:t xml:space="preserve">Comparison of safety outcomes </w:t>
      </w:r>
      <w:r w:rsidR="00AA06F2" w:rsidRPr="004D292C">
        <w:t xml:space="preserve">for </w:t>
      </w:r>
      <w:r w:rsidR="003E5418" w:rsidRPr="004D292C">
        <w:t xml:space="preserve">the </w:t>
      </w:r>
      <w:r w:rsidR="00AA06F2" w:rsidRPr="004D292C">
        <w:t xml:space="preserve">DAPA-HF and PARADIGM-HF </w:t>
      </w:r>
      <w:r w:rsidR="003E5418" w:rsidRPr="004D292C">
        <w:t xml:space="preserve">trials </w:t>
      </w:r>
      <w:r w:rsidRPr="004D292C">
        <w:t>was limited due to differen</w:t>
      </w:r>
      <w:r w:rsidR="00C77BCF" w:rsidRPr="004D292C">
        <w:t>ces</w:t>
      </w:r>
      <w:r w:rsidRPr="004D292C">
        <w:t xml:space="preserve"> </w:t>
      </w:r>
      <w:r w:rsidR="00C77BCF" w:rsidRPr="004D292C">
        <w:t xml:space="preserve">in safety </w:t>
      </w:r>
      <w:r w:rsidRPr="004D292C">
        <w:t xml:space="preserve">outcome reporting between the trials. While both trials reported serious adverse events, adverse events of any severity were only available for the DAPA-HF trial if they were included as part of the definition </w:t>
      </w:r>
      <w:r w:rsidR="003E5418" w:rsidRPr="004D292C">
        <w:t>of an</w:t>
      </w:r>
      <w:r w:rsidRPr="004D292C">
        <w:t xml:space="preserve"> adverse </w:t>
      </w:r>
      <w:r w:rsidR="003E5418" w:rsidRPr="004D292C">
        <w:t>event</w:t>
      </w:r>
      <w:r w:rsidRPr="004D292C">
        <w:t xml:space="preserve"> of special interest</w:t>
      </w:r>
      <w:r w:rsidR="003E5418" w:rsidRPr="004D292C">
        <w:t>.</w:t>
      </w:r>
    </w:p>
    <w:p w:rsidR="00D92B75" w:rsidRPr="004D292C" w:rsidRDefault="00D92B75" w:rsidP="00D92B75">
      <w:pPr>
        <w:pStyle w:val="ExecSumBodyText"/>
      </w:pPr>
      <w:r w:rsidRPr="004D292C">
        <w:t xml:space="preserve">Table </w:t>
      </w:r>
      <w:r w:rsidR="00097BEE" w:rsidRPr="004D292C">
        <w:t>9</w:t>
      </w:r>
      <w:r w:rsidRPr="004D292C">
        <w:t xml:space="preserve"> presents a naïve comparison of treatment emergent</w:t>
      </w:r>
      <w:r w:rsidR="00CD67B8" w:rsidRPr="004D292C">
        <w:t xml:space="preserve"> a</w:t>
      </w:r>
      <w:r w:rsidR="00EF0C85" w:rsidRPr="004D292C">
        <w:t>dverse events (where available)</w:t>
      </w:r>
      <w:r w:rsidR="00CD67B8" w:rsidRPr="004D292C">
        <w:t xml:space="preserve"> and serious</w:t>
      </w:r>
      <w:r w:rsidRPr="004D292C">
        <w:t xml:space="preserve"> adverse events for </w:t>
      </w:r>
      <w:r w:rsidR="00CD67B8" w:rsidRPr="004D292C">
        <w:t xml:space="preserve">the </w:t>
      </w:r>
      <w:r w:rsidRPr="004D292C">
        <w:t>DAPA-H</w:t>
      </w:r>
      <w:r w:rsidR="00CD67B8" w:rsidRPr="004D292C">
        <w:t>F and PARADIGM-HF trials</w:t>
      </w:r>
      <w:r w:rsidRPr="004D292C">
        <w:t>.</w:t>
      </w:r>
    </w:p>
    <w:p w:rsidR="00D92B75" w:rsidRPr="004D292C" w:rsidRDefault="00097BEE" w:rsidP="00D92B75">
      <w:pPr>
        <w:pStyle w:val="TableFigureCaption"/>
      </w:pPr>
      <w:r w:rsidRPr="004D292C">
        <w:t>Table 9</w:t>
      </w:r>
      <w:r w:rsidR="00D92B75" w:rsidRPr="004D292C">
        <w:t>: Naïve comparison of adverse events for the DAPA-HF and PARADIGM-HF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547"/>
        <w:gridCol w:w="1549"/>
        <w:gridCol w:w="1547"/>
        <w:gridCol w:w="1549"/>
      </w:tblGrid>
      <w:tr w:rsidR="00D92B75" w:rsidRPr="002A5805" w:rsidTr="002A5805">
        <w:trPr>
          <w:tblHeader/>
        </w:trPr>
        <w:tc>
          <w:tcPr>
            <w:tcW w:w="1566" w:type="pct"/>
            <w:vMerge w:val="restart"/>
            <w:vAlign w:val="center"/>
          </w:tcPr>
          <w:p w:rsidR="00D92B75" w:rsidRPr="002A5805" w:rsidRDefault="00D92B75" w:rsidP="004232F1">
            <w:pPr>
              <w:pStyle w:val="Tableheadingrow"/>
              <w:rPr>
                <w:szCs w:val="20"/>
                <w:lang w:val="en-AU"/>
              </w:rPr>
            </w:pPr>
            <w:r w:rsidRPr="002A5805">
              <w:rPr>
                <w:szCs w:val="20"/>
                <w:lang w:val="en-AU"/>
              </w:rPr>
              <w:t>AE category</w:t>
            </w:r>
          </w:p>
        </w:tc>
        <w:tc>
          <w:tcPr>
            <w:tcW w:w="1717" w:type="pct"/>
            <w:gridSpan w:val="2"/>
          </w:tcPr>
          <w:p w:rsidR="00D92B75" w:rsidRPr="002A5805" w:rsidRDefault="00D92B75" w:rsidP="004232F1">
            <w:pPr>
              <w:pStyle w:val="Tableheadingrow"/>
              <w:jc w:val="center"/>
              <w:rPr>
                <w:szCs w:val="20"/>
                <w:lang w:val="en-AU"/>
              </w:rPr>
            </w:pPr>
            <w:r w:rsidRPr="002A5805">
              <w:rPr>
                <w:szCs w:val="20"/>
                <w:lang w:val="en-AU"/>
              </w:rPr>
              <w:t>DAPA-HF</w:t>
            </w:r>
          </w:p>
        </w:tc>
        <w:tc>
          <w:tcPr>
            <w:tcW w:w="1717" w:type="pct"/>
            <w:gridSpan w:val="2"/>
          </w:tcPr>
          <w:p w:rsidR="00D92B75" w:rsidRPr="002A5805" w:rsidRDefault="00D92B75" w:rsidP="004232F1">
            <w:pPr>
              <w:pStyle w:val="Tableheadingrow"/>
              <w:jc w:val="center"/>
              <w:rPr>
                <w:szCs w:val="20"/>
                <w:lang w:val="en-AU"/>
              </w:rPr>
            </w:pPr>
            <w:r w:rsidRPr="002A5805">
              <w:rPr>
                <w:szCs w:val="20"/>
                <w:lang w:val="en-AU"/>
              </w:rPr>
              <w:t>PARADIGM-HF</w:t>
            </w:r>
          </w:p>
        </w:tc>
      </w:tr>
      <w:tr w:rsidR="00D92B75" w:rsidRPr="002A5805" w:rsidTr="002A5805">
        <w:trPr>
          <w:tblHeader/>
        </w:trPr>
        <w:tc>
          <w:tcPr>
            <w:tcW w:w="1566" w:type="pct"/>
            <w:vMerge/>
            <w:vAlign w:val="center"/>
          </w:tcPr>
          <w:p w:rsidR="00D92B75" w:rsidRPr="002A5805" w:rsidRDefault="00D92B75" w:rsidP="004232F1">
            <w:pPr>
              <w:pStyle w:val="Tableheadingrow"/>
              <w:rPr>
                <w:szCs w:val="20"/>
                <w:lang w:val="en-AU"/>
              </w:rPr>
            </w:pPr>
          </w:p>
        </w:tc>
        <w:tc>
          <w:tcPr>
            <w:tcW w:w="858" w:type="pct"/>
          </w:tcPr>
          <w:p w:rsidR="00816047" w:rsidRPr="002A5805" w:rsidRDefault="00D92B75" w:rsidP="004232F1">
            <w:pPr>
              <w:pStyle w:val="Tableheadingrow"/>
              <w:jc w:val="center"/>
              <w:rPr>
                <w:szCs w:val="20"/>
                <w:lang w:val="en-AU"/>
              </w:rPr>
            </w:pPr>
            <w:r w:rsidRPr="002A5805">
              <w:rPr>
                <w:szCs w:val="20"/>
                <w:lang w:val="en-AU"/>
              </w:rPr>
              <w:t>Dapagliflozin</w:t>
            </w:r>
            <w:r w:rsidR="00816047" w:rsidRPr="002A5805">
              <w:rPr>
                <w:szCs w:val="20"/>
                <w:lang w:val="en-AU"/>
              </w:rPr>
              <w:t xml:space="preserve"> </w:t>
            </w:r>
          </w:p>
          <w:p w:rsidR="00D92B75" w:rsidRPr="002A5805" w:rsidRDefault="00816047" w:rsidP="004232F1">
            <w:pPr>
              <w:pStyle w:val="Tableheadingrow"/>
              <w:jc w:val="center"/>
              <w:rPr>
                <w:szCs w:val="20"/>
                <w:lang w:val="en-AU"/>
              </w:rPr>
            </w:pPr>
            <w:r w:rsidRPr="002A5805">
              <w:rPr>
                <w:szCs w:val="20"/>
                <w:lang w:val="en-AU"/>
              </w:rPr>
              <w:t>+ SOC</w:t>
            </w:r>
          </w:p>
          <w:p w:rsidR="00D92B75" w:rsidRPr="002A5805" w:rsidRDefault="00B06D92" w:rsidP="004232F1">
            <w:pPr>
              <w:pStyle w:val="Tableheadingrow"/>
              <w:jc w:val="center"/>
              <w:rPr>
                <w:szCs w:val="20"/>
                <w:lang w:val="en-AU"/>
              </w:rPr>
            </w:pPr>
            <w:r w:rsidRPr="002A5805">
              <w:rPr>
                <w:szCs w:val="20"/>
                <w:lang w:val="en-AU"/>
              </w:rPr>
              <w:t>(</w:t>
            </w:r>
            <w:r w:rsidR="00D92B75" w:rsidRPr="002A5805">
              <w:rPr>
                <w:szCs w:val="20"/>
                <w:lang w:val="en-AU"/>
              </w:rPr>
              <w:t>N=2368</w:t>
            </w:r>
            <w:r w:rsidRPr="002A5805">
              <w:rPr>
                <w:szCs w:val="20"/>
                <w:lang w:val="en-AU"/>
              </w:rPr>
              <w:t>)</w:t>
            </w:r>
          </w:p>
        </w:tc>
        <w:tc>
          <w:tcPr>
            <w:tcW w:w="859" w:type="pct"/>
          </w:tcPr>
          <w:p w:rsidR="00816047" w:rsidRPr="002A5805" w:rsidRDefault="00D92B75" w:rsidP="004232F1">
            <w:pPr>
              <w:pStyle w:val="Tableheadingrow"/>
              <w:jc w:val="center"/>
              <w:rPr>
                <w:szCs w:val="20"/>
                <w:lang w:val="en-AU"/>
              </w:rPr>
            </w:pPr>
            <w:r w:rsidRPr="002A5805">
              <w:rPr>
                <w:szCs w:val="20"/>
                <w:lang w:val="en-AU"/>
              </w:rPr>
              <w:t>Placebo</w:t>
            </w:r>
            <w:r w:rsidR="00816047" w:rsidRPr="002A5805">
              <w:rPr>
                <w:szCs w:val="20"/>
                <w:lang w:val="en-AU"/>
              </w:rPr>
              <w:t xml:space="preserve"> </w:t>
            </w:r>
          </w:p>
          <w:p w:rsidR="00D92B75" w:rsidRPr="002A5805" w:rsidRDefault="00816047" w:rsidP="004232F1">
            <w:pPr>
              <w:pStyle w:val="Tableheadingrow"/>
              <w:jc w:val="center"/>
              <w:rPr>
                <w:szCs w:val="20"/>
                <w:lang w:val="en-AU"/>
              </w:rPr>
            </w:pPr>
            <w:r w:rsidRPr="002A5805">
              <w:rPr>
                <w:szCs w:val="20"/>
                <w:lang w:val="en-AU"/>
              </w:rPr>
              <w:t>+ SOC</w:t>
            </w:r>
          </w:p>
          <w:p w:rsidR="00D92B75" w:rsidRPr="002A5805" w:rsidRDefault="00B06D92" w:rsidP="004232F1">
            <w:pPr>
              <w:pStyle w:val="Tableheadingrow"/>
              <w:jc w:val="center"/>
              <w:rPr>
                <w:szCs w:val="20"/>
                <w:lang w:val="en-AU"/>
              </w:rPr>
            </w:pPr>
            <w:r w:rsidRPr="002A5805">
              <w:rPr>
                <w:szCs w:val="20"/>
                <w:lang w:val="en-AU"/>
              </w:rPr>
              <w:t>(</w:t>
            </w:r>
            <w:r w:rsidR="00D92B75" w:rsidRPr="002A5805">
              <w:rPr>
                <w:szCs w:val="20"/>
                <w:lang w:val="en-AU"/>
              </w:rPr>
              <w:t>N=2368</w:t>
            </w:r>
            <w:r w:rsidRPr="002A5805">
              <w:rPr>
                <w:szCs w:val="20"/>
                <w:lang w:val="en-AU"/>
              </w:rPr>
              <w:t>)</w:t>
            </w:r>
          </w:p>
        </w:tc>
        <w:tc>
          <w:tcPr>
            <w:tcW w:w="858" w:type="pct"/>
          </w:tcPr>
          <w:p w:rsidR="00CD67B8" w:rsidRPr="002A5805" w:rsidRDefault="00D92B75" w:rsidP="004232F1">
            <w:pPr>
              <w:pStyle w:val="Tableheadingrow"/>
              <w:jc w:val="center"/>
              <w:rPr>
                <w:szCs w:val="20"/>
                <w:lang w:val="en-AU"/>
              </w:rPr>
            </w:pPr>
            <w:r w:rsidRPr="002A5805">
              <w:rPr>
                <w:szCs w:val="20"/>
                <w:lang w:val="en-AU"/>
              </w:rPr>
              <w:t>Sacubitril/</w:t>
            </w:r>
          </w:p>
          <w:p w:rsidR="00D92B75" w:rsidRPr="002A5805" w:rsidRDefault="00816047" w:rsidP="004232F1">
            <w:pPr>
              <w:pStyle w:val="Tableheadingrow"/>
              <w:jc w:val="center"/>
              <w:rPr>
                <w:szCs w:val="20"/>
                <w:lang w:val="en-AU"/>
              </w:rPr>
            </w:pPr>
            <w:r w:rsidRPr="002A5805">
              <w:rPr>
                <w:szCs w:val="20"/>
                <w:lang w:val="en-AU"/>
              </w:rPr>
              <w:t>v</w:t>
            </w:r>
            <w:r w:rsidR="00D92B75" w:rsidRPr="002A5805">
              <w:rPr>
                <w:szCs w:val="20"/>
                <w:lang w:val="en-AU"/>
              </w:rPr>
              <w:t>alsartan</w:t>
            </w:r>
            <w:r w:rsidRPr="002A5805">
              <w:rPr>
                <w:szCs w:val="20"/>
                <w:lang w:val="en-AU"/>
              </w:rPr>
              <w:t xml:space="preserve"> + SOC</w:t>
            </w:r>
          </w:p>
          <w:p w:rsidR="00D92B75" w:rsidRPr="002A5805" w:rsidRDefault="00B06D92" w:rsidP="004232F1">
            <w:pPr>
              <w:pStyle w:val="Tableheadingrow"/>
              <w:jc w:val="center"/>
              <w:rPr>
                <w:szCs w:val="20"/>
                <w:lang w:val="en-AU"/>
              </w:rPr>
            </w:pPr>
            <w:r w:rsidRPr="002A5805">
              <w:rPr>
                <w:szCs w:val="20"/>
                <w:lang w:val="en-AU"/>
              </w:rPr>
              <w:t>(</w:t>
            </w:r>
            <w:r w:rsidR="00D92B75" w:rsidRPr="002A5805">
              <w:rPr>
                <w:szCs w:val="20"/>
                <w:lang w:val="en-AU"/>
              </w:rPr>
              <w:t>N=4203</w:t>
            </w:r>
            <w:r w:rsidRPr="002A5805">
              <w:rPr>
                <w:szCs w:val="20"/>
                <w:lang w:val="en-AU"/>
              </w:rPr>
              <w:t>)</w:t>
            </w:r>
          </w:p>
        </w:tc>
        <w:tc>
          <w:tcPr>
            <w:tcW w:w="859" w:type="pct"/>
          </w:tcPr>
          <w:p w:rsidR="00D92B75" w:rsidRPr="002A5805" w:rsidRDefault="00D92B75" w:rsidP="004232F1">
            <w:pPr>
              <w:pStyle w:val="Tableheadingrow"/>
              <w:jc w:val="center"/>
              <w:rPr>
                <w:szCs w:val="20"/>
                <w:lang w:val="en-AU"/>
              </w:rPr>
            </w:pPr>
            <w:r w:rsidRPr="002A5805">
              <w:rPr>
                <w:szCs w:val="20"/>
                <w:lang w:val="en-AU"/>
              </w:rPr>
              <w:t>Enalapril</w:t>
            </w:r>
          </w:p>
          <w:p w:rsidR="00816047" w:rsidRPr="002A5805" w:rsidRDefault="00816047" w:rsidP="004232F1">
            <w:pPr>
              <w:pStyle w:val="Tableheadingrow"/>
              <w:jc w:val="center"/>
              <w:rPr>
                <w:szCs w:val="20"/>
                <w:lang w:val="en-AU"/>
              </w:rPr>
            </w:pPr>
            <w:r w:rsidRPr="002A5805">
              <w:rPr>
                <w:szCs w:val="20"/>
                <w:lang w:val="en-AU"/>
              </w:rPr>
              <w:t>+ SOC</w:t>
            </w:r>
          </w:p>
          <w:p w:rsidR="00D92B75" w:rsidRPr="002A5805" w:rsidRDefault="00B06D92" w:rsidP="004232F1">
            <w:pPr>
              <w:pStyle w:val="Tableheadingrow"/>
              <w:jc w:val="center"/>
              <w:rPr>
                <w:szCs w:val="20"/>
                <w:lang w:val="en-AU"/>
              </w:rPr>
            </w:pPr>
            <w:r w:rsidRPr="002A5805">
              <w:rPr>
                <w:szCs w:val="20"/>
                <w:lang w:val="en-AU"/>
              </w:rPr>
              <w:t>(</w:t>
            </w:r>
            <w:r w:rsidR="00D92B75" w:rsidRPr="002A5805">
              <w:rPr>
                <w:szCs w:val="20"/>
                <w:lang w:val="en-AU"/>
              </w:rPr>
              <w:t>N=4229</w:t>
            </w:r>
            <w:r w:rsidRPr="002A5805">
              <w:rPr>
                <w:szCs w:val="20"/>
                <w:lang w:val="en-AU"/>
              </w:rPr>
              <w:t>)</w:t>
            </w:r>
          </w:p>
        </w:tc>
      </w:tr>
      <w:tr w:rsidR="00D92B75" w:rsidRPr="002A5805" w:rsidTr="002A5805">
        <w:tc>
          <w:tcPr>
            <w:tcW w:w="1566" w:type="pct"/>
            <w:vAlign w:val="center"/>
          </w:tcPr>
          <w:p w:rsidR="00D92B75" w:rsidRPr="002A5805" w:rsidRDefault="00D92B75" w:rsidP="004232F1">
            <w:pPr>
              <w:pStyle w:val="TableText"/>
              <w:rPr>
                <w:szCs w:val="20"/>
              </w:rPr>
            </w:pPr>
            <w:r w:rsidRPr="002A5805">
              <w:rPr>
                <w:szCs w:val="20"/>
              </w:rPr>
              <w:t>Median duration of follow-up, months (range)</w:t>
            </w:r>
          </w:p>
        </w:tc>
        <w:tc>
          <w:tcPr>
            <w:tcW w:w="858" w:type="pct"/>
            <w:vAlign w:val="center"/>
          </w:tcPr>
          <w:p w:rsidR="00D92B75" w:rsidRPr="002A5805" w:rsidRDefault="00D92B75" w:rsidP="004232F1">
            <w:pPr>
              <w:pStyle w:val="TableText"/>
              <w:jc w:val="center"/>
              <w:rPr>
                <w:szCs w:val="20"/>
              </w:rPr>
            </w:pPr>
            <w:r w:rsidRPr="002A5805">
              <w:rPr>
                <w:szCs w:val="20"/>
              </w:rPr>
              <w:t>18.3 (0.0-27.3)</w:t>
            </w:r>
          </w:p>
        </w:tc>
        <w:tc>
          <w:tcPr>
            <w:tcW w:w="859" w:type="pct"/>
            <w:vAlign w:val="center"/>
          </w:tcPr>
          <w:p w:rsidR="00D92B75" w:rsidRPr="002A5805" w:rsidRDefault="00D92B75" w:rsidP="004232F1">
            <w:pPr>
              <w:pStyle w:val="TableText"/>
              <w:jc w:val="center"/>
              <w:rPr>
                <w:szCs w:val="20"/>
              </w:rPr>
            </w:pPr>
            <w:r w:rsidRPr="002A5805">
              <w:rPr>
                <w:szCs w:val="20"/>
              </w:rPr>
              <w:t>18.2 (0.2-27.8)</w:t>
            </w:r>
          </w:p>
        </w:tc>
        <w:tc>
          <w:tcPr>
            <w:tcW w:w="858" w:type="pct"/>
            <w:vAlign w:val="center"/>
          </w:tcPr>
          <w:p w:rsidR="00D92B75" w:rsidRPr="002A5805" w:rsidRDefault="00D92B75" w:rsidP="004232F1">
            <w:pPr>
              <w:pStyle w:val="TableText"/>
              <w:jc w:val="center"/>
              <w:rPr>
                <w:szCs w:val="20"/>
              </w:rPr>
            </w:pPr>
            <w:r w:rsidRPr="002A5805">
              <w:rPr>
                <w:szCs w:val="20"/>
              </w:rPr>
              <w:t>27.2 (NR)</w:t>
            </w:r>
          </w:p>
        </w:tc>
        <w:tc>
          <w:tcPr>
            <w:tcW w:w="859" w:type="pct"/>
            <w:vAlign w:val="center"/>
          </w:tcPr>
          <w:p w:rsidR="00D92B75" w:rsidRPr="002A5805" w:rsidRDefault="00D92B75" w:rsidP="004232F1">
            <w:pPr>
              <w:pStyle w:val="TableText"/>
              <w:jc w:val="center"/>
              <w:rPr>
                <w:szCs w:val="20"/>
              </w:rPr>
            </w:pPr>
            <w:r w:rsidRPr="002A5805">
              <w:rPr>
                <w:szCs w:val="20"/>
              </w:rPr>
              <w:t>27.0 (NR)</w:t>
            </w:r>
          </w:p>
        </w:tc>
      </w:tr>
      <w:tr w:rsidR="00AA06F2" w:rsidRPr="002A5805" w:rsidTr="002A5805">
        <w:tc>
          <w:tcPr>
            <w:tcW w:w="5000" w:type="pct"/>
            <w:gridSpan w:val="5"/>
          </w:tcPr>
          <w:p w:rsidR="00AA06F2" w:rsidRPr="002A5805" w:rsidRDefault="00AA06F2" w:rsidP="00AA06F2">
            <w:pPr>
              <w:pStyle w:val="TableText"/>
              <w:rPr>
                <w:b/>
                <w:szCs w:val="20"/>
              </w:rPr>
            </w:pPr>
            <w:r w:rsidRPr="002A5805">
              <w:rPr>
                <w:b/>
                <w:szCs w:val="20"/>
              </w:rPr>
              <w:t>Adverse events of any grade</w:t>
            </w:r>
          </w:p>
        </w:tc>
      </w:tr>
      <w:tr w:rsidR="00D92B75" w:rsidRPr="002A5805" w:rsidTr="002A5805">
        <w:tc>
          <w:tcPr>
            <w:tcW w:w="1566" w:type="pct"/>
          </w:tcPr>
          <w:p w:rsidR="00D92B75" w:rsidRPr="002A5805" w:rsidRDefault="00D92B75" w:rsidP="004232F1">
            <w:pPr>
              <w:pStyle w:val="TableText"/>
              <w:rPr>
                <w:szCs w:val="20"/>
              </w:rPr>
            </w:pPr>
            <w:r w:rsidRPr="002A5805">
              <w:rPr>
                <w:szCs w:val="20"/>
              </w:rPr>
              <w:t>Hypotension, n (%)</w:t>
            </w:r>
          </w:p>
        </w:tc>
        <w:tc>
          <w:tcPr>
            <w:tcW w:w="858" w:type="pct"/>
          </w:tcPr>
          <w:p w:rsidR="00D92B75" w:rsidRPr="002A5805" w:rsidRDefault="00D92B75" w:rsidP="004232F1">
            <w:pPr>
              <w:pStyle w:val="TableText"/>
              <w:jc w:val="center"/>
              <w:rPr>
                <w:szCs w:val="20"/>
              </w:rPr>
            </w:pPr>
            <w:r w:rsidRPr="002A5805">
              <w:rPr>
                <w:szCs w:val="20"/>
              </w:rPr>
              <w:t>92 (3.9)</w:t>
            </w:r>
          </w:p>
        </w:tc>
        <w:tc>
          <w:tcPr>
            <w:tcW w:w="859" w:type="pct"/>
          </w:tcPr>
          <w:p w:rsidR="00D92B75" w:rsidRPr="002A5805" w:rsidRDefault="00D92B75" w:rsidP="004232F1">
            <w:pPr>
              <w:pStyle w:val="TableText"/>
              <w:jc w:val="center"/>
              <w:rPr>
                <w:szCs w:val="20"/>
              </w:rPr>
            </w:pPr>
            <w:r w:rsidRPr="002A5805">
              <w:rPr>
                <w:szCs w:val="20"/>
              </w:rPr>
              <w:t>80 (3.4)</w:t>
            </w:r>
          </w:p>
        </w:tc>
        <w:tc>
          <w:tcPr>
            <w:tcW w:w="858" w:type="pct"/>
          </w:tcPr>
          <w:p w:rsidR="00D92B75" w:rsidRPr="002A5805" w:rsidRDefault="00D92B75" w:rsidP="004232F1">
            <w:pPr>
              <w:pStyle w:val="TableText"/>
              <w:jc w:val="center"/>
              <w:rPr>
                <w:szCs w:val="20"/>
              </w:rPr>
            </w:pPr>
            <w:r w:rsidRPr="002A5805">
              <w:rPr>
                <w:szCs w:val="20"/>
              </w:rPr>
              <w:t>740 (17.6)</w:t>
            </w:r>
          </w:p>
        </w:tc>
        <w:tc>
          <w:tcPr>
            <w:tcW w:w="859" w:type="pct"/>
          </w:tcPr>
          <w:p w:rsidR="00D92B75" w:rsidRPr="002A5805" w:rsidRDefault="00D92B75" w:rsidP="004232F1">
            <w:pPr>
              <w:pStyle w:val="TableText"/>
              <w:jc w:val="center"/>
              <w:rPr>
                <w:szCs w:val="20"/>
              </w:rPr>
            </w:pPr>
            <w:r w:rsidRPr="002A5805">
              <w:rPr>
                <w:szCs w:val="20"/>
              </w:rPr>
              <w:t>506 (12.0)</w:t>
            </w:r>
          </w:p>
        </w:tc>
      </w:tr>
      <w:tr w:rsidR="00D92B75" w:rsidRPr="002A5805" w:rsidTr="002A5805">
        <w:tc>
          <w:tcPr>
            <w:tcW w:w="1566" w:type="pct"/>
          </w:tcPr>
          <w:p w:rsidR="00D92B75" w:rsidRPr="002A5805" w:rsidRDefault="00D92B75" w:rsidP="004232F1">
            <w:pPr>
              <w:pStyle w:val="TableText"/>
              <w:rPr>
                <w:szCs w:val="20"/>
              </w:rPr>
            </w:pPr>
            <w:r w:rsidRPr="002A5805">
              <w:rPr>
                <w:szCs w:val="20"/>
              </w:rPr>
              <w:t>Cardiac failure, n (%)</w:t>
            </w:r>
          </w:p>
        </w:tc>
        <w:tc>
          <w:tcPr>
            <w:tcW w:w="858" w:type="pct"/>
          </w:tcPr>
          <w:p w:rsidR="00D92B75" w:rsidRPr="002A5805" w:rsidRDefault="00D92B75" w:rsidP="004232F1">
            <w:pPr>
              <w:pStyle w:val="TableText"/>
              <w:jc w:val="center"/>
              <w:rPr>
                <w:szCs w:val="20"/>
              </w:rPr>
            </w:pPr>
            <w:r w:rsidRPr="002A5805">
              <w:rPr>
                <w:szCs w:val="20"/>
              </w:rPr>
              <w:t>291 (12.3)</w:t>
            </w:r>
          </w:p>
        </w:tc>
        <w:tc>
          <w:tcPr>
            <w:tcW w:w="859" w:type="pct"/>
          </w:tcPr>
          <w:p w:rsidR="00D92B75" w:rsidRPr="002A5805" w:rsidRDefault="00D92B75" w:rsidP="004232F1">
            <w:pPr>
              <w:pStyle w:val="TableText"/>
              <w:jc w:val="center"/>
              <w:rPr>
                <w:szCs w:val="20"/>
              </w:rPr>
            </w:pPr>
            <w:r w:rsidRPr="002A5805">
              <w:rPr>
                <w:szCs w:val="20"/>
              </w:rPr>
              <w:t>405 (17.1)</w:t>
            </w:r>
          </w:p>
        </w:tc>
        <w:tc>
          <w:tcPr>
            <w:tcW w:w="858" w:type="pct"/>
          </w:tcPr>
          <w:p w:rsidR="00D92B75" w:rsidRPr="002A5805" w:rsidRDefault="00D92B75" w:rsidP="004232F1">
            <w:pPr>
              <w:pStyle w:val="TableText"/>
              <w:jc w:val="center"/>
              <w:rPr>
                <w:szCs w:val="20"/>
              </w:rPr>
            </w:pPr>
            <w:r w:rsidRPr="002A5805">
              <w:rPr>
                <w:szCs w:val="20"/>
              </w:rPr>
              <w:t>730 (17.4)</w:t>
            </w:r>
          </w:p>
        </w:tc>
        <w:tc>
          <w:tcPr>
            <w:tcW w:w="859" w:type="pct"/>
          </w:tcPr>
          <w:p w:rsidR="00D92B75" w:rsidRPr="002A5805" w:rsidRDefault="00D92B75" w:rsidP="004232F1">
            <w:pPr>
              <w:pStyle w:val="TableText"/>
              <w:jc w:val="center"/>
              <w:rPr>
                <w:szCs w:val="20"/>
              </w:rPr>
            </w:pPr>
            <w:r w:rsidRPr="002A5805">
              <w:rPr>
                <w:szCs w:val="20"/>
              </w:rPr>
              <w:t>832 (19.7)</w:t>
            </w:r>
          </w:p>
        </w:tc>
      </w:tr>
      <w:tr w:rsidR="00D92B75" w:rsidRPr="002A5805" w:rsidTr="002A5805">
        <w:tc>
          <w:tcPr>
            <w:tcW w:w="1566" w:type="pct"/>
          </w:tcPr>
          <w:p w:rsidR="00D92B75" w:rsidRPr="002A5805" w:rsidRDefault="00D92B75" w:rsidP="004232F1">
            <w:pPr>
              <w:pStyle w:val="TableText"/>
              <w:rPr>
                <w:szCs w:val="20"/>
              </w:rPr>
            </w:pPr>
            <w:r w:rsidRPr="002A5805">
              <w:rPr>
                <w:szCs w:val="20"/>
              </w:rPr>
              <w:t>Hyperkalaemia, n (%)</w:t>
            </w:r>
          </w:p>
        </w:tc>
        <w:tc>
          <w:tcPr>
            <w:tcW w:w="858" w:type="pct"/>
          </w:tcPr>
          <w:p w:rsidR="00D92B75" w:rsidRPr="002A5805" w:rsidRDefault="00D92B75" w:rsidP="004232F1">
            <w:pPr>
              <w:pStyle w:val="TableText"/>
              <w:jc w:val="center"/>
              <w:rPr>
                <w:szCs w:val="20"/>
              </w:rPr>
            </w:pPr>
            <w:r w:rsidRPr="002A5805">
              <w:rPr>
                <w:szCs w:val="20"/>
              </w:rPr>
              <w:t>30 (1.3)</w:t>
            </w:r>
          </w:p>
        </w:tc>
        <w:tc>
          <w:tcPr>
            <w:tcW w:w="859" w:type="pct"/>
          </w:tcPr>
          <w:p w:rsidR="00D92B75" w:rsidRPr="002A5805" w:rsidRDefault="00D92B75" w:rsidP="004232F1">
            <w:pPr>
              <w:pStyle w:val="TableText"/>
              <w:jc w:val="center"/>
              <w:rPr>
                <w:szCs w:val="20"/>
              </w:rPr>
            </w:pPr>
            <w:r w:rsidRPr="002A5805">
              <w:rPr>
                <w:szCs w:val="20"/>
              </w:rPr>
              <w:t>38 (1.6)</w:t>
            </w:r>
          </w:p>
        </w:tc>
        <w:tc>
          <w:tcPr>
            <w:tcW w:w="858" w:type="pct"/>
          </w:tcPr>
          <w:p w:rsidR="00D92B75" w:rsidRPr="002A5805" w:rsidRDefault="00D92B75" w:rsidP="004232F1">
            <w:pPr>
              <w:pStyle w:val="TableText"/>
              <w:jc w:val="center"/>
              <w:rPr>
                <w:szCs w:val="20"/>
              </w:rPr>
            </w:pPr>
            <w:r w:rsidRPr="002A5805">
              <w:rPr>
                <w:szCs w:val="20"/>
              </w:rPr>
              <w:t>488 (11.6)</w:t>
            </w:r>
          </w:p>
        </w:tc>
        <w:tc>
          <w:tcPr>
            <w:tcW w:w="859" w:type="pct"/>
          </w:tcPr>
          <w:p w:rsidR="00D92B75" w:rsidRPr="002A5805" w:rsidRDefault="00D92B75" w:rsidP="004232F1">
            <w:pPr>
              <w:pStyle w:val="TableText"/>
              <w:jc w:val="center"/>
              <w:rPr>
                <w:szCs w:val="20"/>
              </w:rPr>
            </w:pPr>
            <w:r w:rsidRPr="002A5805">
              <w:rPr>
                <w:szCs w:val="20"/>
              </w:rPr>
              <w:t>592 (14.0)</w:t>
            </w:r>
          </w:p>
        </w:tc>
      </w:tr>
      <w:tr w:rsidR="00D92B75" w:rsidRPr="002A5805" w:rsidTr="002A5805">
        <w:tc>
          <w:tcPr>
            <w:tcW w:w="1566" w:type="pct"/>
          </w:tcPr>
          <w:p w:rsidR="00D92B75" w:rsidRPr="002A5805" w:rsidRDefault="00D92B75" w:rsidP="004232F1">
            <w:pPr>
              <w:pStyle w:val="TableText"/>
              <w:rPr>
                <w:szCs w:val="20"/>
              </w:rPr>
            </w:pPr>
            <w:r w:rsidRPr="002A5805">
              <w:rPr>
                <w:szCs w:val="20"/>
              </w:rPr>
              <w:t>Renal impairment, n (%)</w:t>
            </w:r>
          </w:p>
        </w:tc>
        <w:tc>
          <w:tcPr>
            <w:tcW w:w="858" w:type="pct"/>
          </w:tcPr>
          <w:p w:rsidR="00D92B75" w:rsidRPr="002A5805" w:rsidRDefault="00D92B75" w:rsidP="004232F1">
            <w:pPr>
              <w:pStyle w:val="TableText"/>
              <w:jc w:val="center"/>
              <w:rPr>
                <w:szCs w:val="20"/>
              </w:rPr>
            </w:pPr>
            <w:r w:rsidRPr="002A5805">
              <w:rPr>
                <w:szCs w:val="20"/>
              </w:rPr>
              <w:t>66 (2.8)</w:t>
            </w:r>
          </w:p>
        </w:tc>
        <w:tc>
          <w:tcPr>
            <w:tcW w:w="859" w:type="pct"/>
          </w:tcPr>
          <w:p w:rsidR="00D92B75" w:rsidRPr="002A5805" w:rsidRDefault="00D92B75" w:rsidP="004232F1">
            <w:pPr>
              <w:pStyle w:val="TableText"/>
              <w:jc w:val="center"/>
              <w:rPr>
                <w:szCs w:val="20"/>
              </w:rPr>
            </w:pPr>
            <w:r w:rsidRPr="002A5805">
              <w:rPr>
                <w:szCs w:val="20"/>
              </w:rPr>
              <w:t>63 (2.7)</w:t>
            </w:r>
          </w:p>
        </w:tc>
        <w:tc>
          <w:tcPr>
            <w:tcW w:w="858" w:type="pct"/>
          </w:tcPr>
          <w:p w:rsidR="00D92B75" w:rsidRPr="002A5805" w:rsidRDefault="00D92B75" w:rsidP="004232F1">
            <w:pPr>
              <w:pStyle w:val="TableText"/>
              <w:jc w:val="center"/>
              <w:rPr>
                <w:szCs w:val="20"/>
              </w:rPr>
            </w:pPr>
            <w:r w:rsidRPr="002A5805">
              <w:rPr>
                <w:szCs w:val="20"/>
              </w:rPr>
              <w:t>426 (10.1)</w:t>
            </w:r>
          </w:p>
        </w:tc>
        <w:tc>
          <w:tcPr>
            <w:tcW w:w="859" w:type="pct"/>
          </w:tcPr>
          <w:p w:rsidR="00D92B75" w:rsidRPr="002A5805" w:rsidRDefault="00D92B75" w:rsidP="004232F1">
            <w:pPr>
              <w:pStyle w:val="TableText"/>
              <w:jc w:val="center"/>
              <w:rPr>
                <w:szCs w:val="20"/>
              </w:rPr>
            </w:pPr>
            <w:r w:rsidRPr="002A5805">
              <w:rPr>
                <w:szCs w:val="20"/>
              </w:rPr>
              <w:t>487 (11.5)</w:t>
            </w:r>
          </w:p>
        </w:tc>
      </w:tr>
      <w:tr w:rsidR="00D92B75" w:rsidRPr="002A5805" w:rsidTr="002A5805">
        <w:tc>
          <w:tcPr>
            <w:tcW w:w="1566" w:type="pct"/>
          </w:tcPr>
          <w:p w:rsidR="00D92B75" w:rsidRPr="002A5805" w:rsidRDefault="00D92B75" w:rsidP="004232F1">
            <w:pPr>
              <w:pStyle w:val="TableText"/>
              <w:rPr>
                <w:szCs w:val="20"/>
              </w:rPr>
            </w:pPr>
            <w:r w:rsidRPr="002A5805">
              <w:rPr>
                <w:szCs w:val="20"/>
              </w:rPr>
              <w:t>Dizziness, n (%)</w:t>
            </w:r>
          </w:p>
        </w:tc>
        <w:tc>
          <w:tcPr>
            <w:tcW w:w="858" w:type="pct"/>
          </w:tcPr>
          <w:p w:rsidR="00D92B75" w:rsidRPr="002A5805" w:rsidRDefault="00D92B75" w:rsidP="004232F1">
            <w:pPr>
              <w:pStyle w:val="TableText"/>
              <w:jc w:val="center"/>
              <w:rPr>
                <w:szCs w:val="20"/>
              </w:rPr>
            </w:pPr>
            <w:r w:rsidRPr="002A5805">
              <w:rPr>
                <w:szCs w:val="20"/>
              </w:rPr>
              <w:t>44 (1.9)</w:t>
            </w:r>
          </w:p>
        </w:tc>
        <w:tc>
          <w:tcPr>
            <w:tcW w:w="859" w:type="pct"/>
          </w:tcPr>
          <w:p w:rsidR="00D92B75" w:rsidRPr="002A5805" w:rsidRDefault="00D92B75" w:rsidP="004232F1">
            <w:pPr>
              <w:pStyle w:val="TableText"/>
              <w:jc w:val="center"/>
              <w:rPr>
                <w:szCs w:val="20"/>
              </w:rPr>
            </w:pPr>
            <w:r w:rsidRPr="002A5805">
              <w:rPr>
                <w:szCs w:val="20"/>
              </w:rPr>
              <w:t>28 (1.2)</w:t>
            </w:r>
          </w:p>
        </w:tc>
        <w:tc>
          <w:tcPr>
            <w:tcW w:w="858" w:type="pct"/>
          </w:tcPr>
          <w:p w:rsidR="00D92B75" w:rsidRPr="002A5805" w:rsidRDefault="00D92B75" w:rsidP="004232F1">
            <w:pPr>
              <w:pStyle w:val="TableText"/>
              <w:jc w:val="center"/>
              <w:rPr>
                <w:szCs w:val="20"/>
              </w:rPr>
            </w:pPr>
            <w:r w:rsidRPr="002A5805">
              <w:rPr>
                <w:szCs w:val="20"/>
              </w:rPr>
              <w:t>251 (6.0)</w:t>
            </w:r>
          </w:p>
        </w:tc>
        <w:tc>
          <w:tcPr>
            <w:tcW w:w="859" w:type="pct"/>
          </w:tcPr>
          <w:p w:rsidR="00D92B75" w:rsidRPr="002A5805" w:rsidRDefault="00D92B75" w:rsidP="004232F1">
            <w:pPr>
              <w:pStyle w:val="TableText"/>
              <w:jc w:val="center"/>
              <w:rPr>
                <w:szCs w:val="20"/>
              </w:rPr>
            </w:pPr>
            <w:r w:rsidRPr="002A5805">
              <w:rPr>
                <w:szCs w:val="20"/>
              </w:rPr>
              <w:t>236 (5.6)</w:t>
            </w:r>
          </w:p>
        </w:tc>
      </w:tr>
      <w:tr w:rsidR="00D92B75" w:rsidRPr="002A5805" w:rsidTr="002A5805">
        <w:tc>
          <w:tcPr>
            <w:tcW w:w="1566" w:type="pct"/>
          </w:tcPr>
          <w:p w:rsidR="00D92B75" w:rsidRPr="002A5805" w:rsidRDefault="00D92B75" w:rsidP="004232F1">
            <w:pPr>
              <w:pStyle w:val="TableText"/>
              <w:rPr>
                <w:szCs w:val="20"/>
              </w:rPr>
            </w:pPr>
            <w:r w:rsidRPr="002A5805">
              <w:rPr>
                <w:szCs w:val="20"/>
              </w:rPr>
              <w:t>Atrial fibrillation, n (%)</w:t>
            </w:r>
          </w:p>
        </w:tc>
        <w:tc>
          <w:tcPr>
            <w:tcW w:w="858" w:type="pct"/>
          </w:tcPr>
          <w:p w:rsidR="00D92B75" w:rsidRPr="002A5805" w:rsidRDefault="00D92B75" w:rsidP="004232F1">
            <w:pPr>
              <w:pStyle w:val="TableText"/>
              <w:jc w:val="center"/>
              <w:rPr>
                <w:szCs w:val="20"/>
              </w:rPr>
            </w:pPr>
            <w:r w:rsidRPr="002A5805">
              <w:rPr>
                <w:szCs w:val="20"/>
              </w:rPr>
              <w:t>80 (3.4)</w:t>
            </w:r>
          </w:p>
        </w:tc>
        <w:tc>
          <w:tcPr>
            <w:tcW w:w="859" w:type="pct"/>
          </w:tcPr>
          <w:p w:rsidR="00D92B75" w:rsidRPr="002A5805" w:rsidRDefault="00D92B75" w:rsidP="004232F1">
            <w:pPr>
              <w:pStyle w:val="TableText"/>
              <w:jc w:val="center"/>
              <w:rPr>
                <w:szCs w:val="20"/>
              </w:rPr>
            </w:pPr>
            <w:r w:rsidRPr="002A5805">
              <w:rPr>
                <w:szCs w:val="20"/>
              </w:rPr>
              <w:t>82 (3.5)</w:t>
            </w:r>
          </w:p>
        </w:tc>
        <w:tc>
          <w:tcPr>
            <w:tcW w:w="858" w:type="pct"/>
          </w:tcPr>
          <w:p w:rsidR="00D92B75" w:rsidRPr="002A5805" w:rsidRDefault="00D92B75" w:rsidP="004232F1">
            <w:pPr>
              <w:pStyle w:val="TableText"/>
              <w:jc w:val="center"/>
              <w:rPr>
                <w:szCs w:val="20"/>
              </w:rPr>
            </w:pPr>
            <w:r w:rsidRPr="002A5805">
              <w:rPr>
                <w:szCs w:val="20"/>
              </w:rPr>
              <w:t>251 (6.0)</w:t>
            </w:r>
          </w:p>
        </w:tc>
        <w:tc>
          <w:tcPr>
            <w:tcW w:w="859" w:type="pct"/>
          </w:tcPr>
          <w:p w:rsidR="00D92B75" w:rsidRPr="002A5805" w:rsidRDefault="00D92B75" w:rsidP="004232F1">
            <w:pPr>
              <w:pStyle w:val="TableText"/>
              <w:jc w:val="center"/>
              <w:rPr>
                <w:szCs w:val="20"/>
              </w:rPr>
            </w:pPr>
            <w:r w:rsidRPr="002A5805">
              <w:rPr>
                <w:szCs w:val="20"/>
              </w:rPr>
              <w:t>236 (5.6)</w:t>
            </w:r>
          </w:p>
        </w:tc>
      </w:tr>
      <w:tr w:rsidR="00D92B75" w:rsidRPr="002A5805" w:rsidTr="002A5805">
        <w:tc>
          <w:tcPr>
            <w:tcW w:w="1566" w:type="pct"/>
          </w:tcPr>
          <w:p w:rsidR="00D92B75" w:rsidRPr="002A5805" w:rsidRDefault="00D92B75" w:rsidP="004232F1">
            <w:pPr>
              <w:pStyle w:val="TableText"/>
              <w:rPr>
                <w:szCs w:val="20"/>
              </w:rPr>
            </w:pPr>
            <w:r w:rsidRPr="002A5805">
              <w:rPr>
                <w:szCs w:val="20"/>
              </w:rPr>
              <w:t>Pneumonia, n (%)</w:t>
            </w:r>
          </w:p>
        </w:tc>
        <w:tc>
          <w:tcPr>
            <w:tcW w:w="858" w:type="pct"/>
          </w:tcPr>
          <w:p w:rsidR="00D92B75" w:rsidRPr="002A5805" w:rsidRDefault="00D92B75" w:rsidP="004232F1">
            <w:pPr>
              <w:pStyle w:val="TableText"/>
              <w:jc w:val="center"/>
              <w:rPr>
                <w:szCs w:val="20"/>
              </w:rPr>
            </w:pPr>
            <w:r w:rsidRPr="002A5805">
              <w:rPr>
                <w:szCs w:val="20"/>
              </w:rPr>
              <w:t>93 (3.9)</w:t>
            </w:r>
          </w:p>
        </w:tc>
        <w:tc>
          <w:tcPr>
            <w:tcW w:w="859" w:type="pct"/>
          </w:tcPr>
          <w:p w:rsidR="00D92B75" w:rsidRPr="002A5805" w:rsidRDefault="00D92B75" w:rsidP="004232F1">
            <w:pPr>
              <w:pStyle w:val="TableText"/>
              <w:jc w:val="center"/>
              <w:rPr>
                <w:szCs w:val="20"/>
              </w:rPr>
            </w:pPr>
            <w:r w:rsidRPr="002A5805">
              <w:rPr>
                <w:szCs w:val="20"/>
              </w:rPr>
              <w:t>98 (4.1)</w:t>
            </w:r>
          </w:p>
        </w:tc>
        <w:tc>
          <w:tcPr>
            <w:tcW w:w="858" w:type="pct"/>
          </w:tcPr>
          <w:p w:rsidR="00D92B75" w:rsidRPr="002A5805" w:rsidRDefault="00D92B75" w:rsidP="004232F1">
            <w:pPr>
              <w:pStyle w:val="TableText"/>
              <w:jc w:val="center"/>
              <w:rPr>
                <w:szCs w:val="20"/>
              </w:rPr>
            </w:pPr>
            <w:r w:rsidRPr="002A5805">
              <w:rPr>
                <w:szCs w:val="20"/>
              </w:rPr>
              <w:t>227 (5.4)</w:t>
            </w:r>
          </w:p>
        </w:tc>
        <w:tc>
          <w:tcPr>
            <w:tcW w:w="859" w:type="pct"/>
          </w:tcPr>
          <w:p w:rsidR="00D92B75" w:rsidRPr="002A5805" w:rsidRDefault="00D92B75" w:rsidP="004232F1">
            <w:pPr>
              <w:pStyle w:val="TableText"/>
              <w:jc w:val="center"/>
              <w:rPr>
                <w:szCs w:val="20"/>
              </w:rPr>
            </w:pPr>
            <w:r w:rsidRPr="002A5805">
              <w:rPr>
                <w:szCs w:val="20"/>
              </w:rPr>
              <w:t>237 (5.6)</w:t>
            </w:r>
          </w:p>
        </w:tc>
      </w:tr>
      <w:tr w:rsidR="00D92B75" w:rsidRPr="002A5805" w:rsidTr="002A5805">
        <w:tc>
          <w:tcPr>
            <w:tcW w:w="1566" w:type="pct"/>
          </w:tcPr>
          <w:p w:rsidR="00D92B75" w:rsidRPr="002A5805" w:rsidRDefault="00D92B75" w:rsidP="004232F1">
            <w:pPr>
              <w:pStyle w:val="TableText"/>
              <w:rPr>
                <w:szCs w:val="20"/>
              </w:rPr>
            </w:pPr>
            <w:r w:rsidRPr="002A5805">
              <w:rPr>
                <w:szCs w:val="20"/>
              </w:rPr>
              <w:t>Peripheral oedema, n (%)</w:t>
            </w:r>
          </w:p>
        </w:tc>
        <w:tc>
          <w:tcPr>
            <w:tcW w:w="858" w:type="pct"/>
          </w:tcPr>
          <w:p w:rsidR="00D92B75" w:rsidRPr="002A5805" w:rsidRDefault="00D92B75" w:rsidP="004232F1">
            <w:pPr>
              <w:pStyle w:val="TableText"/>
              <w:jc w:val="center"/>
              <w:rPr>
                <w:szCs w:val="20"/>
              </w:rPr>
            </w:pPr>
            <w:r w:rsidRPr="002A5805">
              <w:rPr>
                <w:szCs w:val="20"/>
              </w:rPr>
              <w:t>13 (0.5)</w:t>
            </w:r>
          </w:p>
        </w:tc>
        <w:tc>
          <w:tcPr>
            <w:tcW w:w="859" w:type="pct"/>
          </w:tcPr>
          <w:p w:rsidR="00D92B75" w:rsidRPr="002A5805" w:rsidRDefault="00D92B75" w:rsidP="004232F1">
            <w:pPr>
              <w:pStyle w:val="TableText"/>
              <w:jc w:val="center"/>
              <w:rPr>
                <w:szCs w:val="20"/>
              </w:rPr>
            </w:pPr>
            <w:r w:rsidRPr="002A5805">
              <w:rPr>
                <w:szCs w:val="20"/>
              </w:rPr>
              <w:t>27 (1.1)</w:t>
            </w:r>
          </w:p>
        </w:tc>
        <w:tc>
          <w:tcPr>
            <w:tcW w:w="858" w:type="pct"/>
          </w:tcPr>
          <w:p w:rsidR="00D92B75" w:rsidRPr="002A5805" w:rsidRDefault="00D92B75" w:rsidP="004232F1">
            <w:pPr>
              <w:pStyle w:val="TableText"/>
              <w:jc w:val="center"/>
              <w:rPr>
                <w:szCs w:val="20"/>
              </w:rPr>
            </w:pPr>
            <w:r w:rsidRPr="002A5805">
              <w:rPr>
                <w:szCs w:val="20"/>
              </w:rPr>
              <w:t>215 (5.1)</w:t>
            </w:r>
          </w:p>
        </w:tc>
        <w:tc>
          <w:tcPr>
            <w:tcW w:w="859" w:type="pct"/>
          </w:tcPr>
          <w:p w:rsidR="00D92B75" w:rsidRPr="002A5805" w:rsidRDefault="00D92B75" w:rsidP="004232F1">
            <w:pPr>
              <w:pStyle w:val="TableText"/>
              <w:jc w:val="center"/>
              <w:rPr>
                <w:szCs w:val="20"/>
              </w:rPr>
            </w:pPr>
            <w:r w:rsidRPr="002A5805">
              <w:rPr>
                <w:szCs w:val="20"/>
              </w:rPr>
              <w:t>213 (5.0)</w:t>
            </w:r>
          </w:p>
        </w:tc>
      </w:tr>
      <w:tr w:rsidR="00D92B75" w:rsidRPr="002A5805" w:rsidTr="002A5805">
        <w:tc>
          <w:tcPr>
            <w:tcW w:w="1566" w:type="pct"/>
          </w:tcPr>
          <w:p w:rsidR="00D92B75" w:rsidRPr="002A5805" w:rsidRDefault="00D92B75" w:rsidP="004232F1">
            <w:pPr>
              <w:pStyle w:val="TableText"/>
              <w:rPr>
                <w:szCs w:val="20"/>
              </w:rPr>
            </w:pPr>
            <w:r w:rsidRPr="002A5805">
              <w:rPr>
                <w:szCs w:val="20"/>
              </w:rPr>
              <w:t>Dyspnoea, n (%)</w:t>
            </w:r>
          </w:p>
        </w:tc>
        <w:tc>
          <w:tcPr>
            <w:tcW w:w="858" w:type="pct"/>
          </w:tcPr>
          <w:p w:rsidR="00D92B75" w:rsidRPr="002A5805" w:rsidRDefault="00D92B75" w:rsidP="004232F1">
            <w:pPr>
              <w:pStyle w:val="TableText"/>
              <w:jc w:val="center"/>
              <w:rPr>
                <w:szCs w:val="20"/>
              </w:rPr>
            </w:pPr>
            <w:r w:rsidRPr="002A5805">
              <w:rPr>
                <w:szCs w:val="20"/>
              </w:rPr>
              <w:t>21 (0.9)</w:t>
            </w:r>
          </w:p>
        </w:tc>
        <w:tc>
          <w:tcPr>
            <w:tcW w:w="859" w:type="pct"/>
          </w:tcPr>
          <w:p w:rsidR="00D92B75" w:rsidRPr="002A5805" w:rsidRDefault="00D92B75" w:rsidP="004232F1">
            <w:pPr>
              <w:pStyle w:val="TableText"/>
              <w:jc w:val="center"/>
              <w:rPr>
                <w:szCs w:val="20"/>
              </w:rPr>
            </w:pPr>
            <w:r w:rsidRPr="002A5805">
              <w:rPr>
                <w:szCs w:val="20"/>
              </w:rPr>
              <w:t>37 (1.6)</w:t>
            </w:r>
          </w:p>
        </w:tc>
        <w:tc>
          <w:tcPr>
            <w:tcW w:w="858" w:type="pct"/>
          </w:tcPr>
          <w:p w:rsidR="00D92B75" w:rsidRPr="002A5805" w:rsidRDefault="00D92B75" w:rsidP="004232F1">
            <w:pPr>
              <w:pStyle w:val="TableText"/>
              <w:jc w:val="center"/>
              <w:rPr>
                <w:szCs w:val="20"/>
              </w:rPr>
            </w:pPr>
            <w:r w:rsidRPr="002A5805">
              <w:rPr>
                <w:szCs w:val="20"/>
              </w:rPr>
              <w:t>213 (5.1)</w:t>
            </w:r>
          </w:p>
        </w:tc>
        <w:tc>
          <w:tcPr>
            <w:tcW w:w="859" w:type="pct"/>
          </w:tcPr>
          <w:p w:rsidR="00D92B75" w:rsidRPr="002A5805" w:rsidRDefault="00D92B75" w:rsidP="004232F1">
            <w:pPr>
              <w:pStyle w:val="TableText"/>
              <w:jc w:val="center"/>
              <w:rPr>
                <w:szCs w:val="20"/>
              </w:rPr>
            </w:pPr>
            <w:r w:rsidRPr="002A5805">
              <w:rPr>
                <w:szCs w:val="20"/>
              </w:rPr>
              <w:t>306 (7.2)</w:t>
            </w:r>
          </w:p>
        </w:tc>
      </w:tr>
      <w:tr w:rsidR="00D92B75" w:rsidRPr="002A5805" w:rsidTr="002A5805">
        <w:tc>
          <w:tcPr>
            <w:tcW w:w="1566" w:type="pct"/>
          </w:tcPr>
          <w:p w:rsidR="00D92B75" w:rsidRPr="002A5805" w:rsidRDefault="00D92B75" w:rsidP="004232F1">
            <w:pPr>
              <w:pStyle w:val="TableText"/>
              <w:rPr>
                <w:szCs w:val="20"/>
              </w:rPr>
            </w:pPr>
            <w:r w:rsidRPr="002A5805">
              <w:rPr>
                <w:szCs w:val="20"/>
              </w:rPr>
              <w:t>Bronchitis, n (%)</w:t>
            </w:r>
          </w:p>
        </w:tc>
        <w:tc>
          <w:tcPr>
            <w:tcW w:w="858" w:type="pct"/>
          </w:tcPr>
          <w:p w:rsidR="00D92B75" w:rsidRPr="002A5805" w:rsidRDefault="00D92B75" w:rsidP="004232F1">
            <w:pPr>
              <w:pStyle w:val="TableText"/>
              <w:jc w:val="center"/>
              <w:rPr>
                <w:szCs w:val="20"/>
              </w:rPr>
            </w:pPr>
            <w:r w:rsidRPr="002A5805">
              <w:rPr>
                <w:szCs w:val="20"/>
              </w:rPr>
              <w:t>30 (1.3)</w:t>
            </w:r>
          </w:p>
        </w:tc>
        <w:tc>
          <w:tcPr>
            <w:tcW w:w="859" w:type="pct"/>
          </w:tcPr>
          <w:p w:rsidR="00D92B75" w:rsidRPr="002A5805" w:rsidRDefault="00D92B75" w:rsidP="004232F1">
            <w:pPr>
              <w:pStyle w:val="TableText"/>
              <w:jc w:val="center"/>
              <w:rPr>
                <w:szCs w:val="20"/>
              </w:rPr>
            </w:pPr>
            <w:r w:rsidRPr="002A5805">
              <w:rPr>
                <w:szCs w:val="20"/>
              </w:rPr>
              <w:t>26 (1.1)</w:t>
            </w:r>
          </w:p>
        </w:tc>
        <w:tc>
          <w:tcPr>
            <w:tcW w:w="858" w:type="pct"/>
          </w:tcPr>
          <w:p w:rsidR="00D92B75" w:rsidRPr="002A5805" w:rsidRDefault="00D92B75" w:rsidP="004232F1">
            <w:pPr>
              <w:pStyle w:val="TableText"/>
              <w:jc w:val="center"/>
              <w:rPr>
                <w:szCs w:val="20"/>
              </w:rPr>
            </w:pPr>
            <w:r w:rsidRPr="002A5805">
              <w:rPr>
                <w:szCs w:val="20"/>
              </w:rPr>
              <w:t>183 (4.4)</w:t>
            </w:r>
          </w:p>
        </w:tc>
        <w:tc>
          <w:tcPr>
            <w:tcW w:w="859" w:type="pct"/>
          </w:tcPr>
          <w:p w:rsidR="00D92B75" w:rsidRPr="002A5805" w:rsidRDefault="00D92B75" w:rsidP="004232F1">
            <w:pPr>
              <w:pStyle w:val="TableText"/>
              <w:jc w:val="center"/>
              <w:rPr>
                <w:szCs w:val="20"/>
              </w:rPr>
            </w:pPr>
            <w:r w:rsidRPr="002A5805">
              <w:rPr>
                <w:szCs w:val="20"/>
              </w:rPr>
              <w:t>224 (5.3)</w:t>
            </w:r>
          </w:p>
        </w:tc>
      </w:tr>
      <w:tr w:rsidR="00AA06F2" w:rsidRPr="002A5805" w:rsidTr="002A5805">
        <w:tc>
          <w:tcPr>
            <w:tcW w:w="5000" w:type="pct"/>
            <w:gridSpan w:val="5"/>
          </w:tcPr>
          <w:p w:rsidR="00AA06F2" w:rsidRPr="002A5805" w:rsidRDefault="00AA06F2" w:rsidP="004232F1">
            <w:pPr>
              <w:pStyle w:val="TableText"/>
              <w:keepNext w:val="0"/>
              <w:rPr>
                <w:b/>
                <w:szCs w:val="20"/>
              </w:rPr>
            </w:pPr>
            <w:r w:rsidRPr="002A5805">
              <w:rPr>
                <w:b/>
                <w:szCs w:val="20"/>
              </w:rPr>
              <w:t>Serious adverse events ≥2%</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Cardiac failure, n (%)</w:t>
            </w:r>
          </w:p>
        </w:tc>
        <w:tc>
          <w:tcPr>
            <w:tcW w:w="858" w:type="pct"/>
          </w:tcPr>
          <w:p w:rsidR="00AA06F2" w:rsidRPr="002A5805" w:rsidRDefault="00AA06F2" w:rsidP="004232F1">
            <w:pPr>
              <w:pStyle w:val="TableText"/>
              <w:keepNext w:val="0"/>
              <w:jc w:val="center"/>
              <w:rPr>
                <w:szCs w:val="20"/>
              </w:rPr>
            </w:pPr>
            <w:r w:rsidRPr="002A5805">
              <w:rPr>
                <w:szCs w:val="20"/>
              </w:rPr>
              <w:t xml:space="preserve">238 (10.1) </w:t>
            </w:r>
          </w:p>
        </w:tc>
        <w:tc>
          <w:tcPr>
            <w:tcW w:w="859" w:type="pct"/>
          </w:tcPr>
          <w:p w:rsidR="00AA06F2" w:rsidRPr="002A5805" w:rsidRDefault="00AA06F2" w:rsidP="004232F1">
            <w:pPr>
              <w:pStyle w:val="TableText"/>
              <w:keepNext w:val="0"/>
              <w:jc w:val="center"/>
              <w:rPr>
                <w:szCs w:val="20"/>
              </w:rPr>
            </w:pPr>
            <w:r w:rsidRPr="002A5805">
              <w:rPr>
                <w:szCs w:val="20"/>
              </w:rPr>
              <w:t xml:space="preserve">325 (13.7) </w:t>
            </w:r>
          </w:p>
        </w:tc>
        <w:tc>
          <w:tcPr>
            <w:tcW w:w="858" w:type="pct"/>
          </w:tcPr>
          <w:p w:rsidR="00AA06F2" w:rsidRPr="002A5805" w:rsidRDefault="00AA06F2" w:rsidP="004232F1">
            <w:pPr>
              <w:pStyle w:val="TableText"/>
              <w:keepNext w:val="0"/>
              <w:jc w:val="center"/>
              <w:rPr>
                <w:szCs w:val="20"/>
              </w:rPr>
            </w:pPr>
            <w:r w:rsidRPr="002A5805">
              <w:rPr>
                <w:szCs w:val="20"/>
              </w:rPr>
              <w:t>588 (14.0)</w:t>
            </w:r>
          </w:p>
        </w:tc>
        <w:tc>
          <w:tcPr>
            <w:tcW w:w="859" w:type="pct"/>
          </w:tcPr>
          <w:p w:rsidR="00AA06F2" w:rsidRPr="002A5805" w:rsidRDefault="00AA06F2" w:rsidP="004232F1">
            <w:pPr>
              <w:pStyle w:val="TableText"/>
              <w:keepNext w:val="0"/>
              <w:jc w:val="center"/>
              <w:rPr>
                <w:szCs w:val="20"/>
              </w:rPr>
            </w:pPr>
            <w:r w:rsidRPr="002A5805">
              <w:rPr>
                <w:szCs w:val="20"/>
              </w:rPr>
              <w:t>649 (15.3)</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Pneumonia, n (%)</w:t>
            </w:r>
          </w:p>
        </w:tc>
        <w:tc>
          <w:tcPr>
            <w:tcW w:w="858" w:type="pct"/>
          </w:tcPr>
          <w:p w:rsidR="00AA06F2" w:rsidRPr="002A5805" w:rsidRDefault="00AA06F2" w:rsidP="004232F1">
            <w:pPr>
              <w:pStyle w:val="TableText"/>
              <w:keepNext w:val="0"/>
              <w:jc w:val="center"/>
              <w:rPr>
                <w:szCs w:val="20"/>
              </w:rPr>
            </w:pPr>
            <w:r w:rsidRPr="002A5805">
              <w:rPr>
                <w:szCs w:val="20"/>
              </w:rPr>
              <w:t>70 (3.0)</w:t>
            </w:r>
          </w:p>
        </w:tc>
        <w:tc>
          <w:tcPr>
            <w:tcW w:w="859" w:type="pct"/>
          </w:tcPr>
          <w:p w:rsidR="00AA06F2" w:rsidRPr="002A5805" w:rsidRDefault="00AA06F2" w:rsidP="004232F1">
            <w:pPr>
              <w:pStyle w:val="TableText"/>
              <w:keepNext w:val="0"/>
              <w:jc w:val="center"/>
              <w:rPr>
                <w:szCs w:val="20"/>
              </w:rPr>
            </w:pPr>
            <w:r w:rsidRPr="002A5805">
              <w:rPr>
                <w:szCs w:val="20"/>
              </w:rPr>
              <w:t>73 (3.1)</w:t>
            </w:r>
          </w:p>
        </w:tc>
        <w:tc>
          <w:tcPr>
            <w:tcW w:w="858" w:type="pct"/>
          </w:tcPr>
          <w:p w:rsidR="00AA06F2" w:rsidRPr="002A5805" w:rsidRDefault="00AA06F2" w:rsidP="004232F1">
            <w:pPr>
              <w:pStyle w:val="TableText"/>
              <w:keepNext w:val="0"/>
              <w:jc w:val="center"/>
              <w:rPr>
                <w:szCs w:val="20"/>
              </w:rPr>
            </w:pPr>
            <w:r w:rsidRPr="002A5805">
              <w:rPr>
                <w:szCs w:val="20"/>
              </w:rPr>
              <w:t>155 (3.7)</w:t>
            </w:r>
          </w:p>
        </w:tc>
        <w:tc>
          <w:tcPr>
            <w:tcW w:w="859" w:type="pct"/>
          </w:tcPr>
          <w:p w:rsidR="00AA06F2" w:rsidRPr="002A5805" w:rsidRDefault="00AA06F2" w:rsidP="004232F1">
            <w:pPr>
              <w:pStyle w:val="TableText"/>
              <w:keepNext w:val="0"/>
              <w:jc w:val="center"/>
              <w:rPr>
                <w:szCs w:val="20"/>
              </w:rPr>
            </w:pPr>
            <w:r w:rsidRPr="002A5805">
              <w:rPr>
                <w:szCs w:val="20"/>
              </w:rPr>
              <w:t>181 (4.3)</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Cardiac failure (chronic), n (%)</w:t>
            </w:r>
          </w:p>
        </w:tc>
        <w:tc>
          <w:tcPr>
            <w:tcW w:w="858" w:type="pct"/>
          </w:tcPr>
          <w:p w:rsidR="00AA06F2" w:rsidRPr="002A5805" w:rsidRDefault="00AA06F2" w:rsidP="004232F1">
            <w:pPr>
              <w:pStyle w:val="TableText"/>
              <w:keepNext w:val="0"/>
              <w:jc w:val="center"/>
              <w:rPr>
                <w:szCs w:val="20"/>
              </w:rPr>
            </w:pPr>
            <w:r w:rsidRPr="002A5805">
              <w:rPr>
                <w:szCs w:val="20"/>
              </w:rPr>
              <w:t>24 (1.0)</w:t>
            </w:r>
          </w:p>
        </w:tc>
        <w:tc>
          <w:tcPr>
            <w:tcW w:w="859" w:type="pct"/>
          </w:tcPr>
          <w:p w:rsidR="00AA06F2" w:rsidRPr="002A5805" w:rsidRDefault="00AA06F2" w:rsidP="004232F1">
            <w:pPr>
              <w:pStyle w:val="TableText"/>
              <w:keepNext w:val="0"/>
              <w:jc w:val="center"/>
              <w:rPr>
                <w:szCs w:val="20"/>
              </w:rPr>
            </w:pPr>
            <w:r w:rsidRPr="002A5805">
              <w:rPr>
                <w:szCs w:val="20"/>
              </w:rPr>
              <w:t>26 (1.1)</w:t>
            </w:r>
          </w:p>
        </w:tc>
        <w:tc>
          <w:tcPr>
            <w:tcW w:w="858" w:type="pct"/>
          </w:tcPr>
          <w:p w:rsidR="00AA06F2" w:rsidRPr="002A5805" w:rsidRDefault="00AA06F2" w:rsidP="004232F1">
            <w:pPr>
              <w:pStyle w:val="TableText"/>
              <w:keepNext w:val="0"/>
              <w:jc w:val="center"/>
              <w:rPr>
                <w:szCs w:val="20"/>
              </w:rPr>
            </w:pPr>
            <w:r w:rsidRPr="002A5805">
              <w:rPr>
                <w:szCs w:val="20"/>
              </w:rPr>
              <w:t>112 (2.7)</w:t>
            </w:r>
          </w:p>
        </w:tc>
        <w:tc>
          <w:tcPr>
            <w:tcW w:w="859" w:type="pct"/>
          </w:tcPr>
          <w:p w:rsidR="00AA06F2" w:rsidRPr="002A5805" w:rsidRDefault="00AA06F2" w:rsidP="004232F1">
            <w:pPr>
              <w:pStyle w:val="TableText"/>
              <w:keepNext w:val="0"/>
              <w:jc w:val="center"/>
              <w:rPr>
                <w:szCs w:val="20"/>
              </w:rPr>
            </w:pPr>
            <w:r w:rsidRPr="002A5805">
              <w:rPr>
                <w:szCs w:val="20"/>
              </w:rPr>
              <w:t>135 (3.2)</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Cardiac failure (congestive), n (%)</w:t>
            </w:r>
          </w:p>
        </w:tc>
        <w:tc>
          <w:tcPr>
            <w:tcW w:w="858" w:type="pct"/>
          </w:tcPr>
          <w:p w:rsidR="00AA06F2" w:rsidRPr="002A5805" w:rsidRDefault="00AA06F2" w:rsidP="004232F1">
            <w:pPr>
              <w:pStyle w:val="TableText"/>
              <w:keepNext w:val="0"/>
              <w:jc w:val="center"/>
              <w:rPr>
                <w:szCs w:val="20"/>
              </w:rPr>
            </w:pPr>
            <w:r w:rsidRPr="002A5805">
              <w:rPr>
                <w:szCs w:val="20"/>
              </w:rPr>
              <w:t>57 (2.4)</w:t>
            </w:r>
          </w:p>
        </w:tc>
        <w:tc>
          <w:tcPr>
            <w:tcW w:w="859" w:type="pct"/>
          </w:tcPr>
          <w:p w:rsidR="00AA06F2" w:rsidRPr="002A5805" w:rsidRDefault="00AA06F2" w:rsidP="004232F1">
            <w:pPr>
              <w:pStyle w:val="TableText"/>
              <w:keepNext w:val="0"/>
              <w:jc w:val="center"/>
              <w:rPr>
                <w:szCs w:val="20"/>
              </w:rPr>
            </w:pPr>
            <w:r w:rsidRPr="002A5805">
              <w:rPr>
                <w:szCs w:val="20"/>
              </w:rPr>
              <w:t>65 (2.7)</w:t>
            </w:r>
          </w:p>
        </w:tc>
        <w:tc>
          <w:tcPr>
            <w:tcW w:w="858" w:type="pct"/>
          </w:tcPr>
          <w:p w:rsidR="00AA06F2" w:rsidRPr="002A5805" w:rsidRDefault="00AA06F2" w:rsidP="004232F1">
            <w:pPr>
              <w:pStyle w:val="TableText"/>
              <w:keepNext w:val="0"/>
              <w:jc w:val="center"/>
              <w:rPr>
                <w:szCs w:val="20"/>
              </w:rPr>
            </w:pPr>
            <w:r w:rsidRPr="002A5805">
              <w:rPr>
                <w:szCs w:val="20"/>
              </w:rPr>
              <w:t>112 (2.7)</w:t>
            </w:r>
          </w:p>
        </w:tc>
        <w:tc>
          <w:tcPr>
            <w:tcW w:w="859" w:type="pct"/>
          </w:tcPr>
          <w:p w:rsidR="00AA06F2" w:rsidRPr="002A5805" w:rsidRDefault="00AA06F2" w:rsidP="004232F1">
            <w:pPr>
              <w:pStyle w:val="TableText"/>
              <w:keepNext w:val="0"/>
              <w:jc w:val="center"/>
              <w:rPr>
                <w:szCs w:val="20"/>
              </w:rPr>
            </w:pPr>
            <w:r w:rsidRPr="002A5805">
              <w:rPr>
                <w:szCs w:val="20"/>
              </w:rPr>
              <w:t>140 (3.3)</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Atrial fibrillation, n (%)</w:t>
            </w:r>
          </w:p>
        </w:tc>
        <w:tc>
          <w:tcPr>
            <w:tcW w:w="858" w:type="pct"/>
          </w:tcPr>
          <w:p w:rsidR="00AA06F2" w:rsidRPr="002A5805" w:rsidRDefault="00AA06F2" w:rsidP="004232F1">
            <w:pPr>
              <w:pStyle w:val="TableText"/>
              <w:keepNext w:val="0"/>
              <w:jc w:val="center"/>
              <w:rPr>
                <w:szCs w:val="20"/>
              </w:rPr>
            </w:pPr>
            <w:r w:rsidRPr="002A5805">
              <w:rPr>
                <w:szCs w:val="20"/>
              </w:rPr>
              <w:t>23 (1.0)</w:t>
            </w:r>
          </w:p>
        </w:tc>
        <w:tc>
          <w:tcPr>
            <w:tcW w:w="859" w:type="pct"/>
          </w:tcPr>
          <w:p w:rsidR="00AA06F2" w:rsidRPr="002A5805" w:rsidRDefault="00AA06F2" w:rsidP="004232F1">
            <w:pPr>
              <w:pStyle w:val="TableText"/>
              <w:keepNext w:val="0"/>
              <w:jc w:val="center"/>
              <w:rPr>
                <w:szCs w:val="20"/>
              </w:rPr>
            </w:pPr>
            <w:r w:rsidRPr="002A5805">
              <w:rPr>
                <w:szCs w:val="20"/>
              </w:rPr>
              <w:t>37 (1.6)</w:t>
            </w:r>
          </w:p>
        </w:tc>
        <w:tc>
          <w:tcPr>
            <w:tcW w:w="858" w:type="pct"/>
          </w:tcPr>
          <w:p w:rsidR="00AA06F2" w:rsidRPr="002A5805" w:rsidRDefault="00AA06F2" w:rsidP="004232F1">
            <w:pPr>
              <w:pStyle w:val="TableText"/>
              <w:keepNext w:val="0"/>
              <w:jc w:val="center"/>
              <w:rPr>
                <w:szCs w:val="20"/>
              </w:rPr>
            </w:pPr>
            <w:r w:rsidRPr="002A5805">
              <w:rPr>
                <w:szCs w:val="20"/>
              </w:rPr>
              <w:t>108 (2.6)</w:t>
            </w:r>
          </w:p>
        </w:tc>
        <w:tc>
          <w:tcPr>
            <w:tcW w:w="859" w:type="pct"/>
          </w:tcPr>
          <w:p w:rsidR="00AA06F2" w:rsidRPr="002A5805" w:rsidRDefault="00AA06F2" w:rsidP="004232F1">
            <w:pPr>
              <w:pStyle w:val="TableText"/>
              <w:keepNext w:val="0"/>
              <w:jc w:val="center"/>
              <w:rPr>
                <w:szCs w:val="20"/>
              </w:rPr>
            </w:pPr>
            <w:r w:rsidRPr="002A5805">
              <w:rPr>
                <w:szCs w:val="20"/>
              </w:rPr>
              <w:t>113 (2.7)</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Cardiac death, n (%)</w:t>
            </w:r>
          </w:p>
        </w:tc>
        <w:tc>
          <w:tcPr>
            <w:tcW w:w="858" w:type="pct"/>
          </w:tcPr>
          <w:p w:rsidR="00AA06F2" w:rsidRPr="002A5805" w:rsidRDefault="00AA06F2" w:rsidP="004232F1">
            <w:pPr>
              <w:pStyle w:val="TableText"/>
              <w:keepNext w:val="0"/>
              <w:jc w:val="center"/>
              <w:rPr>
                <w:szCs w:val="20"/>
              </w:rPr>
            </w:pPr>
            <w:r w:rsidRPr="002A5805">
              <w:rPr>
                <w:szCs w:val="20"/>
              </w:rPr>
              <w:t>17 (0.7)</w:t>
            </w:r>
          </w:p>
        </w:tc>
        <w:tc>
          <w:tcPr>
            <w:tcW w:w="859" w:type="pct"/>
          </w:tcPr>
          <w:p w:rsidR="00AA06F2" w:rsidRPr="002A5805" w:rsidRDefault="00AA06F2" w:rsidP="004232F1">
            <w:pPr>
              <w:pStyle w:val="TableText"/>
              <w:keepNext w:val="0"/>
              <w:jc w:val="center"/>
              <w:rPr>
                <w:szCs w:val="20"/>
              </w:rPr>
            </w:pPr>
            <w:r w:rsidRPr="002A5805">
              <w:rPr>
                <w:szCs w:val="20"/>
              </w:rPr>
              <w:t>27 (1.1)</w:t>
            </w:r>
          </w:p>
        </w:tc>
        <w:tc>
          <w:tcPr>
            <w:tcW w:w="858" w:type="pct"/>
          </w:tcPr>
          <w:p w:rsidR="00AA06F2" w:rsidRPr="002A5805" w:rsidRDefault="00AA06F2" w:rsidP="004232F1">
            <w:pPr>
              <w:pStyle w:val="TableText"/>
              <w:keepNext w:val="0"/>
              <w:jc w:val="center"/>
              <w:rPr>
                <w:szCs w:val="20"/>
              </w:rPr>
            </w:pPr>
            <w:r w:rsidRPr="002A5805">
              <w:rPr>
                <w:szCs w:val="20"/>
              </w:rPr>
              <w:t>85 (2.0)</w:t>
            </w:r>
          </w:p>
        </w:tc>
        <w:tc>
          <w:tcPr>
            <w:tcW w:w="859" w:type="pct"/>
          </w:tcPr>
          <w:p w:rsidR="00AA06F2" w:rsidRPr="002A5805" w:rsidRDefault="00AA06F2" w:rsidP="004232F1">
            <w:pPr>
              <w:pStyle w:val="TableText"/>
              <w:keepNext w:val="0"/>
              <w:jc w:val="center"/>
              <w:rPr>
                <w:szCs w:val="20"/>
              </w:rPr>
            </w:pPr>
            <w:r w:rsidRPr="002A5805">
              <w:rPr>
                <w:szCs w:val="20"/>
              </w:rPr>
              <w:t>114 (2.7)</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Cardiac failure (acute), n (%)</w:t>
            </w:r>
          </w:p>
        </w:tc>
        <w:tc>
          <w:tcPr>
            <w:tcW w:w="858" w:type="pct"/>
          </w:tcPr>
          <w:p w:rsidR="00AA06F2" w:rsidRPr="002A5805" w:rsidRDefault="00AA06F2" w:rsidP="004232F1">
            <w:pPr>
              <w:pStyle w:val="TableText"/>
              <w:keepNext w:val="0"/>
              <w:jc w:val="center"/>
              <w:rPr>
                <w:szCs w:val="20"/>
              </w:rPr>
            </w:pPr>
            <w:r w:rsidRPr="002A5805">
              <w:rPr>
                <w:szCs w:val="20"/>
              </w:rPr>
              <w:t>36 (1.5)</w:t>
            </w:r>
          </w:p>
        </w:tc>
        <w:tc>
          <w:tcPr>
            <w:tcW w:w="859" w:type="pct"/>
          </w:tcPr>
          <w:p w:rsidR="00AA06F2" w:rsidRPr="002A5805" w:rsidRDefault="00AA06F2" w:rsidP="004232F1">
            <w:pPr>
              <w:pStyle w:val="TableText"/>
              <w:keepNext w:val="0"/>
              <w:jc w:val="center"/>
              <w:rPr>
                <w:szCs w:val="20"/>
              </w:rPr>
            </w:pPr>
            <w:r w:rsidRPr="002A5805">
              <w:rPr>
                <w:szCs w:val="20"/>
              </w:rPr>
              <w:t>51 (2.2)</w:t>
            </w:r>
          </w:p>
        </w:tc>
        <w:tc>
          <w:tcPr>
            <w:tcW w:w="858" w:type="pct"/>
          </w:tcPr>
          <w:p w:rsidR="00AA06F2" w:rsidRPr="002A5805" w:rsidRDefault="00AA06F2" w:rsidP="004232F1">
            <w:pPr>
              <w:pStyle w:val="TableText"/>
              <w:keepNext w:val="0"/>
              <w:jc w:val="center"/>
              <w:rPr>
                <w:szCs w:val="20"/>
              </w:rPr>
            </w:pPr>
            <w:r w:rsidRPr="002A5805">
              <w:rPr>
                <w:szCs w:val="20"/>
              </w:rPr>
              <w:t>67 (1.6)</w:t>
            </w:r>
          </w:p>
        </w:tc>
        <w:tc>
          <w:tcPr>
            <w:tcW w:w="859" w:type="pct"/>
          </w:tcPr>
          <w:p w:rsidR="00AA06F2" w:rsidRPr="002A5805" w:rsidRDefault="00AA06F2" w:rsidP="004232F1">
            <w:pPr>
              <w:pStyle w:val="TableText"/>
              <w:keepNext w:val="0"/>
              <w:jc w:val="center"/>
              <w:rPr>
                <w:szCs w:val="20"/>
              </w:rPr>
            </w:pPr>
            <w:r w:rsidRPr="002A5805">
              <w:rPr>
                <w:szCs w:val="20"/>
              </w:rPr>
              <w:t>93 (2.2)</w:t>
            </w:r>
          </w:p>
        </w:tc>
      </w:tr>
      <w:tr w:rsidR="00AA06F2" w:rsidRPr="002A5805" w:rsidTr="002A5805">
        <w:tc>
          <w:tcPr>
            <w:tcW w:w="1566" w:type="pct"/>
          </w:tcPr>
          <w:p w:rsidR="00AA06F2" w:rsidRPr="002A5805" w:rsidRDefault="00AA06F2" w:rsidP="004232F1">
            <w:pPr>
              <w:pStyle w:val="TableText"/>
              <w:keepNext w:val="0"/>
              <w:rPr>
                <w:szCs w:val="20"/>
              </w:rPr>
            </w:pPr>
            <w:r w:rsidRPr="002A5805">
              <w:rPr>
                <w:szCs w:val="20"/>
              </w:rPr>
              <w:t>Ventricular tachycardia, n (%)</w:t>
            </w:r>
          </w:p>
        </w:tc>
        <w:tc>
          <w:tcPr>
            <w:tcW w:w="858" w:type="pct"/>
          </w:tcPr>
          <w:p w:rsidR="00AA06F2" w:rsidRPr="002A5805" w:rsidRDefault="00AA06F2" w:rsidP="004232F1">
            <w:pPr>
              <w:pStyle w:val="TableText"/>
              <w:keepNext w:val="0"/>
              <w:jc w:val="center"/>
              <w:rPr>
                <w:szCs w:val="20"/>
              </w:rPr>
            </w:pPr>
            <w:r w:rsidRPr="002A5805">
              <w:rPr>
                <w:szCs w:val="20"/>
              </w:rPr>
              <w:t>32 (1.4)</w:t>
            </w:r>
          </w:p>
        </w:tc>
        <w:tc>
          <w:tcPr>
            <w:tcW w:w="859" w:type="pct"/>
          </w:tcPr>
          <w:p w:rsidR="00AA06F2" w:rsidRPr="002A5805" w:rsidRDefault="00AA06F2" w:rsidP="004232F1">
            <w:pPr>
              <w:pStyle w:val="TableText"/>
              <w:keepNext w:val="0"/>
              <w:jc w:val="center"/>
              <w:rPr>
                <w:szCs w:val="20"/>
              </w:rPr>
            </w:pPr>
            <w:r w:rsidRPr="002A5805">
              <w:rPr>
                <w:szCs w:val="20"/>
              </w:rPr>
              <w:t>53 (2.2)</w:t>
            </w:r>
          </w:p>
        </w:tc>
        <w:tc>
          <w:tcPr>
            <w:tcW w:w="858" w:type="pct"/>
            <w:shd w:val="clear" w:color="auto" w:fill="FFFFFF" w:themeFill="background1"/>
            <w:vAlign w:val="center"/>
          </w:tcPr>
          <w:p w:rsidR="00AA06F2" w:rsidRPr="002A5805" w:rsidRDefault="00AA06F2" w:rsidP="004232F1">
            <w:pPr>
              <w:pStyle w:val="TableText"/>
              <w:keepNext w:val="0"/>
              <w:jc w:val="center"/>
              <w:rPr>
                <w:szCs w:val="20"/>
              </w:rPr>
            </w:pPr>
            <w:r w:rsidRPr="002A5805">
              <w:rPr>
                <w:szCs w:val="20"/>
              </w:rPr>
              <w:t>66 (1.6)</w:t>
            </w:r>
          </w:p>
        </w:tc>
        <w:tc>
          <w:tcPr>
            <w:tcW w:w="859" w:type="pct"/>
            <w:shd w:val="clear" w:color="auto" w:fill="FFFFFF" w:themeFill="background1"/>
            <w:vAlign w:val="center"/>
          </w:tcPr>
          <w:p w:rsidR="00AA06F2" w:rsidRPr="002A5805" w:rsidRDefault="00AA06F2" w:rsidP="004232F1">
            <w:pPr>
              <w:pStyle w:val="TableText"/>
              <w:keepNext w:val="0"/>
              <w:jc w:val="center"/>
              <w:rPr>
                <w:szCs w:val="20"/>
              </w:rPr>
            </w:pPr>
            <w:r w:rsidRPr="002A5805">
              <w:rPr>
                <w:szCs w:val="20"/>
              </w:rPr>
              <w:t>85 (2.0)</w:t>
            </w:r>
          </w:p>
        </w:tc>
      </w:tr>
    </w:tbl>
    <w:p w:rsidR="00D92B75" w:rsidRPr="004D292C" w:rsidRDefault="00D92B75" w:rsidP="002A5805">
      <w:pPr>
        <w:pStyle w:val="TableFooter"/>
      </w:pPr>
      <w:r w:rsidRPr="004D292C">
        <w:t>Source: Table 5, p.32</w:t>
      </w:r>
      <w:r w:rsidR="00AA06F2" w:rsidRPr="004D292C">
        <w:t>; Table 6, p.33</w:t>
      </w:r>
      <w:r w:rsidRPr="004D292C">
        <w:t xml:space="preserve"> of Attachment 2.5 of the submission.</w:t>
      </w:r>
    </w:p>
    <w:p w:rsidR="00D92B75" w:rsidRPr="004D292C" w:rsidRDefault="00D92B75" w:rsidP="002A5805">
      <w:pPr>
        <w:pStyle w:val="TableFooter"/>
      </w:pPr>
      <w:r w:rsidRPr="004D292C">
        <w:t>Abbreviations: AE, adverse event; NR, not reported.</w:t>
      </w:r>
    </w:p>
    <w:p w:rsidR="00D92B75" w:rsidRPr="004D292C" w:rsidRDefault="00D92B75" w:rsidP="00EF0C85">
      <w:pPr>
        <w:pStyle w:val="ExecSumBodyText"/>
      </w:pPr>
      <w:r w:rsidRPr="004D292C">
        <w:t xml:space="preserve">The results of the safety </w:t>
      </w:r>
      <w:r w:rsidR="00EF0C85" w:rsidRPr="004D292C">
        <w:t>comparisons</w:t>
      </w:r>
      <w:r w:rsidRPr="004D292C">
        <w:t xml:space="preserve"> should be interpreted with caution due to the inclusion of the run-in phase in the PARADIGM-HF trial, and large differences in follow-up durations between the trials</w:t>
      </w:r>
      <w:r w:rsidR="00EF0C85" w:rsidRPr="004D292C">
        <w:t xml:space="preserve"> (median of 18 months for DAPA-HF versus median of 27 months for PARADIGM-HF)</w:t>
      </w:r>
      <w:r w:rsidRPr="004D292C">
        <w:t xml:space="preserve">. There may also have been differences in the </w:t>
      </w:r>
      <w:r w:rsidRPr="004D292C">
        <w:lastRenderedPageBreak/>
        <w:t>adjudication of the adverse events due to the definition of the events in the DAPA-HF trial as components of the adverse events of special interest.</w:t>
      </w:r>
    </w:p>
    <w:p w:rsidR="00D92B75" w:rsidRPr="004D292C" w:rsidRDefault="00CD67B8" w:rsidP="00EF0C85">
      <w:pPr>
        <w:pStyle w:val="ExecSumBodyText"/>
      </w:pPr>
      <w:r w:rsidRPr="004D292C">
        <w:t xml:space="preserve">The submission also presented the results of indirect and matching adjusted indirect comparisons of serious adverse events occurring in ≥2% of patients in the </w:t>
      </w:r>
      <w:r w:rsidR="00985270" w:rsidRPr="004D292C">
        <w:t>DAPA-HF and PARADIGM-HF trials</w:t>
      </w:r>
      <w:r w:rsidRPr="004D292C">
        <w:t>. The</w:t>
      </w:r>
      <w:r w:rsidR="00EE4FFD" w:rsidRPr="004D292C">
        <w:t>se</w:t>
      </w:r>
      <w:r w:rsidRPr="004D292C">
        <w:t xml:space="preserve"> comparisons of serious adverse events were not considered informative due to the predominance of heart failure-related events am</w:t>
      </w:r>
      <w:r w:rsidR="00EF0C85" w:rsidRPr="004D292C">
        <w:t>ong the serious adverse events.</w:t>
      </w:r>
    </w:p>
    <w:p w:rsidR="007F1017" w:rsidRPr="004D292C" w:rsidRDefault="007F1017" w:rsidP="00D86231">
      <w:pPr>
        <w:pStyle w:val="3-SubsectionHeading"/>
      </w:pPr>
      <w:bookmarkStart w:id="19" w:name="_Toc22897643"/>
      <w:bookmarkStart w:id="20" w:name="_Toc50975080"/>
      <w:r w:rsidRPr="004D292C">
        <w:t>Benefits/harms</w:t>
      </w:r>
      <w:bookmarkEnd w:id="19"/>
      <w:bookmarkEnd w:id="20"/>
    </w:p>
    <w:p w:rsidR="00D4665C" w:rsidRPr="004D292C" w:rsidRDefault="00D4665C" w:rsidP="00D4665C">
      <w:pPr>
        <w:pStyle w:val="ExecSumBodyText"/>
      </w:pPr>
      <w:r w:rsidRPr="004D292C">
        <w:rPr>
          <w:snapToGrid/>
        </w:rPr>
        <w:t>On the basis of the direct evidence presented in the submission, for every 100 patients treated with dapagliflozin + standard care in comparison with placebo + standard care for a median of 18 months:</w:t>
      </w:r>
    </w:p>
    <w:p w:rsidR="00D4665C" w:rsidRPr="004D292C" w:rsidRDefault="00D4665C" w:rsidP="004D77AA">
      <w:pPr>
        <w:pStyle w:val="ExecSumBodyText"/>
        <w:numPr>
          <w:ilvl w:val="0"/>
          <w:numId w:val="4"/>
        </w:numPr>
        <w:spacing w:after="0"/>
        <w:ind w:left="1134" w:hanging="357"/>
      </w:pPr>
      <w:r w:rsidRPr="004D292C">
        <w:t>Approximately 5 fewer patients would die due to cardiovascular causes, be hospitalised for heart failure, or requir</w:t>
      </w:r>
      <w:r w:rsidR="00EF0C85" w:rsidRPr="004D292C">
        <w:t>e an urgent heart failure visit.</w:t>
      </w:r>
      <w:r w:rsidR="000B6CFF" w:rsidRPr="004D292C">
        <w:t xml:space="preserve"> </w:t>
      </w:r>
      <w:r w:rsidR="000B6CFF" w:rsidRPr="004D292C">
        <w:rPr>
          <w:iCs/>
        </w:rPr>
        <w:t>The difference was predominantly due to fewer heart failure hospitalisations.</w:t>
      </w:r>
    </w:p>
    <w:p w:rsidR="00D4665C" w:rsidRPr="004D292C" w:rsidRDefault="00CF708F" w:rsidP="004D77AA">
      <w:pPr>
        <w:pStyle w:val="ExecSumBodyText"/>
        <w:numPr>
          <w:ilvl w:val="0"/>
          <w:numId w:val="4"/>
        </w:numPr>
        <w:ind w:left="1134"/>
      </w:pPr>
      <w:r w:rsidRPr="004D292C">
        <w:t>Approximately 5 fewer patients would experience a serious adverse event</w:t>
      </w:r>
      <w:r w:rsidR="00664EBB" w:rsidRPr="004D292C">
        <w:t>.</w:t>
      </w:r>
    </w:p>
    <w:p w:rsidR="00D4665C" w:rsidRPr="004D292C" w:rsidRDefault="00EF0C85" w:rsidP="00EF0C85">
      <w:pPr>
        <w:pStyle w:val="ExecSumBodyText"/>
      </w:pPr>
      <w:r w:rsidRPr="004D292C">
        <w:rPr>
          <w:snapToGrid/>
        </w:rPr>
        <w:t xml:space="preserve">A comparison of benefits and harms for dapagliflozin plus standard care versus sacubitril/valsartan plus standard care has not </w:t>
      </w:r>
      <w:r w:rsidR="00206590" w:rsidRPr="004D292C">
        <w:rPr>
          <w:snapToGrid/>
        </w:rPr>
        <w:t xml:space="preserve">been </w:t>
      </w:r>
      <w:r w:rsidRPr="004D292C">
        <w:rPr>
          <w:snapToGrid/>
        </w:rPr>
        <w:t>presented, given the submission’s claim of non-inferior effectiveness and safety.</w:t>
      </w:r>
    </w:p>
    <w:p w:rsidR="00B60939" w:rsidRPr="004D292C" w:rsidRDefault="00B60939" w:rsidP="00E9094A">
      <w:pPr>
        <w:pStyle w:val="3-SubsectionHeading"/>
      </w:pPr>
      <w:bookmarkStart w:id="21" w:name="_Toc22897644"/>
      <w:bookmarkStart w:id="22" w:name="_Toc50975081"/>
      <w:r w:rsidRPr="004D292C">
        <w:t>Clinical claim</w:t>
      </w:r>
      <w:bookmarkEnd w:id="21"/>
      <w:bookmarkEnd w:id="22"/>
    </w:p>
    <w:p w:rsidR="00206590" w:rsidRPr="004D292C" w:rsidRDefault="00761258" w:rsidP="00155711">
      <w:pPr>
        <w:pStyle w:val="ExecSumBodyText"/>
      </w:pPr>
      <w:r w:rsidRPr="004D292C">
        <w:t>The submission described dapagliflozin added to standard care (comprising an ACE inhibitor or ARB, a beta-blocker, and, if appropriate, an MRA), as non-inferior, in terms of effectiveness and safety, compared to sacubitril/valsartan added to standard care (comprising a beta-blocker; and, if appropriate, an MRA) when used in the management of patients with heart failure with reduced ejection fraction.</w:t>
      </w:r>
      <w:r w:rsidRPr="004D292C">
        <w:rPr>
          <w:iCs/>
        </w:rPr>
        <w:t xml:space="preserve"> </w:t>
      </w:r>
      <w:r w:rsidR="00206590" w:rsidRPr="004D292C">
        <w:rPr>
          <w:iCs/>
        </w:rPr>
        <w:t xml:space="preserve">The definition of standard care in the DAPA-HF and PARADIGM-HF trials was broader than defined in the submission’s clinical claim. In addition to the minimum treatments specified in the </w:t>
      </w:r>
      <w:r w:rsidR="00F96223" w:rsidRPr="004D292C">
        <w:rPr>
          <w:iCs/>
        </w:rPr>
        <w:t xml:space="preserve">trial </w:t>
      </w:r>
      <w:r w:rsidR="00206590" w:rsidRPr="004D292C">
        <w:rPr>
          <w:iCs/>
        </w:rPr>
        <w:t>eligibility criteria (ACE inhibitor, ARB or sacubitril/valsartan; a beta-blocker; and, if appropriate, an MRA), patients in the trial</w:t>
      </w:r>
      <w:r w:rsidR="00155711" w:rsidRPr="004D292C">
        <w:rPr>
          <w:iCs/>
        </w:rPr>
        <w:t>s</w:t>
      </w:r>
      <w:r w:rsidR="00206590" w:rsidRPr="004D292C">
        <w:rPr>
          <w:iCs/>
        </w:rPr>
        <w:t xml:space="preserve"> also continued other background heart failure treatments, such as digoxin, ivabradine, vasodilators, and diuretics.</w:t>
      </w:r>
    </w:p>
    <w:p w:rsidR="00761258" w:rsidRPr="004D292C" w:rsidRDefault="00761258" w:rsidP="00761258">
      <w:pPr>
        <w:pStyle w:val="ExecSumBodyText"/>
      </w:pPr>
      <w:r w:rsidRPr="004D292C">
        <w:t xml:space="preserve">This claim was </w:t>
      </w:r>
      <w:r w:rsidR="00E80C67" w:rsidRPr="004D292C">
        <w:t xml:space="preserve">generally </w:t>
      </w:r>
      <w:r w:rsidRPr="004D292C">
        <w:t>adequately supported</w:t>
      </w:r>
      <w:r w:rsidR="00FC740E" w:rsidRPr="004D292C">
        <w:t xml:space="preserve"> with the following concerns noted during the evaluation</w:t>
      </w:r>
      <w:r w:rsidR="00E94E56" w:rsidRPr="004D292C">
        <w:t xml:space="preserve"> and by ESC</w:t>
      </w:r>
      <w:r w:rsidR="00F96223" w:rsidRPr="004D292C">
        <w:t>:</w:t>
      </w:r>
    </w:p>
    <w:p w:rsidR="005F0C45" w:rsidRPr="004D292C" w:rsidRDefault="00761258" w:rsidP="00855E0D">
      <w:pPr>
        <w:pStyle w:val="ExecSumBodyText"/>
        <w:numPr>
          <w:ilvl w:val="0"/>
          <w:numId w:val="6"/>
        </w:numPr>
        <w:spacing w:after="0"/>
        <w:ind w:left="1134" w:hanging="357"/>
      </w:pPr>
      <w:r w:rsidRPr="004D292C">
        <w:t>There were</w:t>
      </w:r>
      <w:r w:rsidR="008C2247" w:rsidRPr="004D292C">
        <w:t xml:space="preserve"> some</w:t>
      </w:r>
      <w:r w:rsidRPr="004D292C">
        <w:rPr>
          <w:i/>
        </w:rPr>
        <w:t xml:space="preserve"> </w:t>
      </w:r>
      <w:r w:rsidRPr="004D292C">
        <w:t xml:space="preserve">differences between the DAPA-HF and PARADIGM-HF trials in trial design (run-in periods), common reference arms (placebo </w:t>
      </w:r>
      <w:r w:rsidR="00AC0500">
        <w:t xml:space="preserve">plus standard care </w:t>
      </w:r>
      <w:r w:rsidRPr="004D292C">
        <w:t>versus fixed-dose enalapril</w:t>
      </w:r>
      <w:r w:rsidR="00AC0500">
        <w:t xml:space="preserve"> plus standard care</w:t>
      </w:r>
      <w:r w:rsidRPr="004D292C">
        <w:t>), patient characteristics (</w:t>
      </w:r>
      <w:r w:rsidR="00EF0C85" w:rsidRPr="004D292C">
        <w:t xml:space="preserve">mean </w:t>
      </w:r>
      <w:r w:rsidRPr="004D292C">
        <w:t>age, mean LVEF, background therapies, heart failure severity, proportion of patients with diabetes), follow-up durations (18 months versus 27 months), and trial locations (20 countries versus 47 countries)</w:t>
      </w:r>
      <w:r w:rsidR="008C2247" w:rsidRPr="004D292C">
        <w:t xml:space="preserve">. </w:t>
      </w:r>
      <w:r w:rsidR="00FC740E" w:rsidRPr="004D292C">
        <w:t>The ESC considered t</w:t>
      </w:r>
      <w:r w:rsidR="008C2247" w:rsidRPr="004D292C">
        <w:t>hese differences may have</w:t>
      </w:r>
      <w:r w:rsidRPr="004D292C">
        <w:t xml:space="preserve"> affected the reliability of the indirect comparisons presented in the </w:t>
      </w:r>
      <w:r w:rsidRPr="004D292C">
        <w:lastRenderedPageBreak/>
        <w:t>submission</w:t>
      </w:r>
      <w:r w:rsidR="008C2247" w:rsidRPr="004D292C">
        <w:t xml:space="preserve"> but were unlikely to have </w:t>
      </w:r>
      <w:r w:rsidR="00E80C67" w:rsidRPr="004D292C">
        <w:t xml:space="preserve">had </w:t>
      </w:r>
      <w:r w:rsidR="008C2247" w:rsidRPr="004D292C">
        <w:t xml:space="preserve">a major </w:t>
      </w:r>
      <w:r w:rsidR="00E80C67" w:rsidRPr="004D292C">
        <w:t>impact</w:t>
      </w:r>
      <w:r w:rsidRPr="004D292C">
        <w:t xml:space="preserve">. Indirect comparisons based on post hoc </w:t>
      </w:r>
      <w:r w:rsidR="005F0C45" w:rsidRPr="004D292C">
        <w:t xml:space="preserve">DAPA-HF </w:t>
      </w:r>
      <w:r w:rsidRPr="004D292C">
        <w:t>subgroups may have introduced bias into the comparisons.</w:t>
      </w:r>
      <w:r w:rsidR="005F0C45" w:rsidRPr="004D292C">
        <w:t xml:space="preserve"> </w:t>
      </w:r>
    </w:p>
    <w:p w:rsidR="000674E5" w:rsidRPr="004D292C" w:rsidRDefault="00761258" w:rsidP="00855E0D">
      <w:pPr>
        <w:pStyle w:val="ExecSumBodyText"/>
        <w:numPr>
          <w:ilvl w:val="0"/>
          <w:numId w:val="6"/>
        </w:numPr>
        <w:spacing w:after="0"/>
        <w:ind w:left="1134" w:hanging="357"/>
      </w:pPr>
      <w:r w:rsidRPr="004D292C">
        <w:t>The submission addressed some of the differences in eligibility criteria and patient characteristics by conducting a MAIC, based on selected subgroups of patients from the DAPA-HF trial. However, the</w:t>
      </w:r>
      <w:r w:rsidR="00F96223" w:rsidRPr="004D292C">
        <w:t xml:space="preserve"> evaluation considered the</w:t>
      </w:r>
      <w:r w:rsidRPr="004D292C">
        <w:t xml:space="preserve"> results of the MAIC to be uncertain due to residual differences between the trials, potential bias introduced by the use of post hoc subgroups, </w:t>
      </w:r>
      <w:r w:rsidR="006906AF" w:rsidRPr="004D292C">
        <w:t xml:space="preserve">and the </w:t>
      </w:r>
      <w:r w:rsidR="008C2247" w:rsidRPr="004D292C">
        <w:t>small</w:t>
      </w:r>
      <w:r w:rsidRPr="004D292C">
        <w:t xml:space="preserve"> sample size </w:t>
      </w:r>
      <w:r w:rsidR="00815382" w:rsidRPr="004D292C">
        <w:t>after matching</w:t>
      </w:r>
      <w:r w:rsidRPr="004D292C">
        <w:t xml:space="preserve">. </w:t>
      </w:r>
      <w:r w:rsidR="00FC740E" w:rsidRPr="004D292C">
        <w:t>The ESC considered the reduced sample was not a major issue if the common reference arms anchoring the MAIC were considered acceptable.</w:t>
      </w:r>
    </w:p>
    <w:p w:rsidR="000674E5" w:rsidRPr="004D292C" w:rsidRDefault="000674E5" w:rsidP="00855E0D">
      <w:pPr>
        <w:pStyle w:val="ExecSumBodyText"/>
        <w:numPr>
          <w:ilvl w:val="0"/>
          <w:numId w:val="6"/>
        </w:numPr>
        <w:spacing w:after="0"/>
        <w:ind w:left="1134" w:hanging="357"/>
      </w:pPr>
      <w:r w:rsidRPr="004D292C">
        <w:t xml:space="preserve">The </w:t>
      </w:r>
      <w:r w:rsidR="00FC740E" w:rsidRPr="004D292C">
        <w:t xml:space="preserve">ESC considered the </w:t>
      </w:r>
      <w:r w:rsidR="008C2247" w:rsidRPr="004D292C">
        <w:t>applicability of the nominated non-inferior</w:t>
      </w:r>
      <w:r w:rsidR="006906AF" w:rsidRPr="004D292C">
        <w:t>ity</w:t>
      </w:r>
      <w:r w:rsidR="008C2247" w:rsidRPr="004D292C">
        <w:t xml:space="preserve"> margin for the primary outcome of cardiovascular death and </w:t>
      </w:r>
      <w:r w:rsidR="00E80C67" w:rsidRPr="004D292C">
        <w:t xml:space="preserve">hospitalisation </w:t>
      </w:r>
      <w:r w:rsidR="008C2247" w:rsidRPr="004D292C">
        <w:t xml:space="preserve">for heart failure was reasonable, based on a prior heart failure study. However, the </w:t>
      </w:r>
      <w:r w:rsidRPr="004D292C">
        <w:t xml:space="preserve">applicability of the nominated non-inferiority margins for time to cardiovascular death and time to death from any cause was </w:t>
      </w:r>
      <w:r w:rsidR="00E80C67" w:rsidRPr="004D292C">
        <w:t xml:space="preserve">not justified or </w:t>
      </w:r>
      <w:r w:rsidR="008C2247" w:rsidRPr="004D292C">
        <w:t>reasonable</w:t>
      </w:r>
      <w:r w:rsidRPr="004D292C">
        <w:t xml:space="preserve">, as they were not derived from heart failure trials, and were </w:t>
      </w:r>
      <w:r w:rsidR="00714166" w:rsidRPr="004D292C">
        <w:t>not derived for the same</w:t>
      </w:r>
      <w:r w:rsidRPr="004D292C">
        <w:t xml:space="preserve"> outcomes.</w:t>
      </w:r>
    </w:p>
    <w:p w:rsidR="00F436F2" w:rsidRPr="004D292C" w:rsidRDefault="00761258" w:rsidP="00855E0D">
      <w:pPr>
        <w:pStyle w:val="ExecSumBodyText"/>
        <w:numPr>
          <w:ilvl w:val="0"/>
          <w:numId w:val="6"/>
        </w:numPr>
        <w:ind w:left="1134" w:hanging="357"/>
      </w:pPr>
      <w:r w:rsidRPr="004D292C">
        <w:t xml:space="preserve">Comparison of safety outcomes was </w:t>
      </w:r>
      <w:r w:rsidR="00E80C67" w:rsidRPr="004D292C">
        <w:t>necessarily</w:t>
      </w:r>
      <w:r w:rsidR="00E80C67" w:rsidRPr="004D292C">
        <w:rPr>
          <w:i/>
        </w:rPr>
        <w:t xml:space="preserve"> </w:t>
      </w:r>
      <w:r w:rsidRPr="004D292C">
        <w:t>limited due to differences in outcome reporting between the trials.</w:t>
      </w:r>
    </w:p>
    <w:p w:rsidR="00B6526A" w:rsidRPr="004D292C" w:rsidRDefault="00761258" w:rsidP="00B6526A">
      <w:pPr>
        <w:pStyle w:val="ExecSumBodyText"/>
      </w:pPr>
      <w:r w:rsidRPr="004D292C">
        <w:t xml:space="preserve">The submission </w:t>
      </w:r>
      <w:r w:rsidR="00952135" w:rsidRPr="004D292C">
        <w:t xml:space="preserve">also </w:t>
      </w:r>
      <w:r w:rsidRPr="004D292C">
        <w:t>described dapagliflozin added to standard care (comprising an ACE inhibitor, ARB, or sacubitril/valsartan; a beta-blocker; and, if appropriate, an MRA), as superior in terms of effectiveness to standard care alone (comprising an ACE inhibitor, ARB or sacubitril/valsartan; a beta-blocker; and, if appropriate, an MRA) when used in the management of patients with heart failure with reduced ejection fraction.</w:t>
      </w:r>
    </w:p>
    <w:p w:rsidR="00761258" w:rsidRPr="004D292C" w:rsidRDefault="00B6526A" w:rsidP="00761258">
      <w:pPr>
        <w:pStyle w:val="ExecSumBodyText"/>
      </w:pPr>
      <w:r w:rsidRPr="004D292C">
        <w:t>Based on</w:t>
      </w:r>
      <w:r w:rsidR="00952135" w:rsidRPr="004D292C">
        <w:t xml:space="preserve"> this</w:t>
      </w:r>
      <w:r w:rsidRPr="004D292C">
        <w:t xml:space="preserve"> broader definition of standard care</w:t>
      </w:r>
      <w:r w:rsidR="00206590" w:rsidRPr="004D292C">
        <w:t xml:space="preserve"> (</w:t>
      </w:r>
      <w:r w:rsidR="00952135" w:rsidRPr="004D292C">
        <w:t>comprising</w:t>
      </w:r>
      <w:r w:rsidR="00206590" w:rsidRPr="004D292C">
        <w:t xml:space="preserve"> an ACE inhibitor, ARB or sacubitril/valsartan; a beta-blocker; and, if appropriate, an MRA along with other heart failure treatments), </w:t>
      </w:r>
      <w:r w:rsidRPr="004D292C">
        <w:t>t</w:t>
      </w:r>
      <w:r w:rsidR="00761258" w:rsidRPr="004D292C">
        <w:t xml:space="preserve">he claim of superior </w:t>
      </w:r>
      <w:r w:rsidR="00952135" w:rsidRPr="004D292C">
        <w:t xml:space="preserve">comparative </w:t>
      </w:r>
      <w:r w:rsidR="00761258" w:rsidRPr="004D292C">
        <w:t xml:space="preserve">effectiveness was </w:t>
      </w:r>
      <w:r w:rsidRPr="004D292C">
        <w:t xml:space="preserve">considered to be </w:t>
      </w:r>
      <w:r w:rsidR="00761258" w:rsidRPr="004D292C">
        <w:t>adequately supported</w:t>
      </w:r>
      <w:r w:rsidR="00952135" w:rsidRPr="004D292C">
        <w:t xml:space="preserve"> during the evaluation</w:t>
      </w:r>
      <w:r w:rsidR="00976621" w:rsidRPr="004D292C">
        <w:t>:</w:t>
      </w:r>
    </w:p>
    <w:p w:rsidR="00761258" w:rsidRPr="004D292C" w:rsidRDefault="00761258" w:rsidP="00855E0D">
      <w:pPr>
        <w:pStyle w:val="ExecSumBodyText"/>
        <w:numPr>
          <w:ilvl w:val="0"/>
          <w:numId w:val="7"/>
        </w:numPr>
        <w:ind w:left="1134" w:hanging="357"/>
      </w:pPr>
      <w:r w:rsidRPr="004D292C">
        <w:t>Treatment with dapagliflozin (plus standard care) was associated with statistically significant reductions in the primary composite outcome of time to cardiovascular death, hospitalisation due to heart failure, or an urgent heart failure visit, and the secondary composite outcome of time to cardiovascular death or hospitalisation due to heart failure, compare</w:t>
      </w:r>
      <w:r w:rsidR="000674E5" w:rsidRPr="004D292C">
        <w:t>d</w:t>
      </w:r>
      <w:r w:rsidRPr="004D292C">
        <w:t xml:space="preserve"> to placebo (plus standard care). The treatment effect appeared to be consistent across diabetic and non-diabetic subgroups.</w:t>
      </w:r>
    </w:p>
    <w:p w:rsidR="00E80C67" w:rsidRPr="004D292C" w:rsidRDefault="00E80C67" w:rsidP="00724A7F">
      <w:pPr>
        <w:pStyle w:val="ExecSumBodyText"/>
        <w:numPr>
          <w:ilvl w:val="0"/>
          <w:numId w:val="7"/>
        </w:numPr>
        <w:ind w:left="1134" w:hanging="357"/>
      </w:pPr>
      <w:r w:rsidRPr="004D292C">
        <w:t>The ESC noted the TGA Evaluators</w:t>
      </w:r>
      <w:r w:rsidR="00C47C91" w:rsidRPr="004D292C">
        <w:t>’</w:t>
      </w:r>
      <w:r w:rsidRPr="004D292C">
        <w:t xml:space="preserve"> concerns with regard to a lower outcome benefit seen with dapagliflozin in the DAPA-HF trial for NYHA Class III/IV patients compared to NYHA Class II patient</w:t>
      </w:r>
      <w:r w:rsidR="00494D72" w:rsidRPr="004D292C">
        <w:t>s, with the NYHA Class III/IV su</w:t>
      </w:r>
      <w:r w:rsidRPr="004D292C">
        <w:t xml:space="preserve">bgroup not achieving statistical significance. This could possibly represent a greater benefit in patients earlier in the disease course. While this represents a subgroup analysis, the ESC noted that 32% of patients in DAPA-HF were Class III/IV. </w:t>
      </w:r>
      <w:r w:rsidR="00976621" w:rsidRPr="004D292C">
        <w:t xml:space="preserve">The pre-PBAC response stated that </w:t>
      </w:r>
      <w:r w:rsidR="00976621" w:rsidRPr="004D292C">
        <w:rPr>
          <w:bCs/>
          <w:iCs/>
        </w:rPr>
        <w:t xml:space="preserve">although the results suggest less treatment benefit in the </w:t>
      </w:r>
      <w:r w:rsidR="00976621" w:rsidRPr="004D292C">
        <w:rPr>
          <w:bCs/>
          <w:iCs/>
        </w:rPr>
        <w:lastRenderedPageBreak/>
        <w:t>NYHA subgroups Class III-IV compared with Class II, findings with respect to other advanced disease subgroups did not show a reduced treatment effect by HF severity. For example, it claimed that dapagliflozin reduced the risk of the primary composite outcome regardless of baseline HF severity as measured by NT-proBNP, LVEF, prior hospitalisation for HF, and KCCQ-TSS.</w:t>
      </w:r>
    </w:p>
    <w:p w:rsidR="004725D9" w:rsidRPr="004D292C" w:rsidRDefault="00761258" w:rsidP="004725D9">
      <w:pPr>
        <w:pStyle w:val="ExecSumBodyText"/>
      </w:pPr>
      <w:r w:rsidRPr="004D292C">
        <w:t>The submission did not include an explicit safety claim for dapagliflozin (plus standard care) versus placebo (plus standard care).</w:t>
      </w:r>
      <w:r w:rsidR="0074686A" w:rsidRPr="004D292C">
        <w:t xml:space="preserve"> The pre-PBAC response claimed that dapagliflozin plus standard of care is non-inferior to standard of care alone in terms of safety outcomes.</w:t>
      </w:r>
      <w:r w:rsidRPr="004D292C">
        <w:t xml:space="preserve"> Comparison of safety outcomes was limited to serious adverse events and adverse events of special interest. While a comparison of serious adverse events numerically favoured dapagliflozin, most of the difference appeared to </w:t>
      </w:r>
      <w:r w:rsidR="000674E5" w:rsidRPr="004D292C">
        <w:t xml:space="preserve">be driven by </w:t>
      </w:r>
      <w:r w:rsidRPr="004D292C">
        <w:t>heart failure-related events.</w:t>
      </w:r>
    </w:p>
    <w:p w:rsidR="00761258" w:rsidRPr="004D292C" w:rsidRDefault="004725D9" w:rsidP="004725D9">
      <w:pPr>
        <w:pStyle w:val="ExecSumBodyText"/>
        <w:rPr>
          <w:i/>
        </w:rPr>
      </w:pPr>
      <w:r w:rsidRPr="004D292C">
        <w:t xml:space="preserve">The submission did not include a </w:t>
      </w:r>
      <w:r w:rsidR="00D46EFC" w:rsidRPr="004D292C">
        <w:t xml:space="preserve">specific </w:t>
      </w:r>
      <w:r w:rsidRPr="004D292C">
        <w:t xml:space="preserve">claim regarding comparative effectiveness of </w:t>
      </w:r>
      <w:r w:rsidR="00D46EFC" w:rsidRPr="004D292C">
        <w:t>concomitant or sequential treatment of dapagliflozin and sacub</w:t>
      </w:r>
      <w:r w:rsidR="000B6CFF" w:rsidRPr="004D292C">
        <w:t>i</w:t>
      </w:r>
      <w:r w:rsidR="00D46EFC" w:rsidRPr="004D292C">
        <w:t>tril/valsartan compared to sacub</w:t>
      </w:r>
      <w:r w:rsidR="000B6CFF" w:rsidRPr="004D292C">
        <w:t>i</w:t>
      </w:r>
      <w:r w:rsidR="00D46EFC" w:rsidRPr="004D292C">
        <w:t xml:space="preserve">tril/valsartan, although the proposed PBS restriction would allow this. </w:t>
      </w:r>
      <w:r w:rsidR="00761258" w:rsidRPr="004D292C">
        <w:t>Around 11% of patients were receiving sacubitril/valsartan as background therapy</w:t>
      </w:r>
      <w:r w:rsidR="008C2247" w:rsidRPr="004D292C">
        <w:t xml:space="preserve"> in DAPA-HF</w:t>
      </w:r>
      <w:r w:rsidR="00761258" w:rsidRPr="004D292C">
        <w:rPr>
          <w:i/>
        </w:rPr>
        <w:t>.</w:t>
      </w:r>
    </w:p>
    <w:p w:rsidR="003017E7" w:rsidRPr="004D292C" w:rsidRDefault="003017E7" w:rsidP="004B0F84">
      <w:pPr>
        <w:pStyle w:val="ExecSumBodyText"/>
      </w:pPr>
      <w:r w:rsidRPr="004D292C">
        <w:t xml:space="preserve">The PBAC considered that it was reasonable to claim superior comparative effectiveness of dapagliflozin added to standard care (comprising an ACE inhibitor, ARB, or sacubitril/valsartan; a beta-blocker; and, if appropriate, an MRA), compared to standard care alone (comprising an ACE inhibitor, ARB or sacubitril/valsartan; a beta-blocker; and, if appropriate, an MRA). </w:t>
      </w:r>
      <w:r w:rsidR="004B0F84" w:rsidRPr="004B0F84">
        <w:t>The safety claim of non-inferiority was probably reasonable, although predominantly due to fewer heart failure events in the dapagliflozin arm, due to its superior efficacy over standard care</w:t>
      </w:r>
      <w:r w:rsidR="004B0F84">
        <w:t>.</w:t>
      </w:r>
    </w:p>
    <w:p w:rsidR="0078504B" w:rsidRPr="004D292C" w:rsidRDefault="0078504B" w:rsidP="0078504B">
      <w:pPr>
        <w:pStyle w:val="ExecSumBodyText"/>
      </w:pPr>
      <w:bookmarkStart w:id="23" w:name="_Toc22897645"/>
      <w:bookmarkStart w:id="24" w:name="_Toc50975082"/>
      <w:r w:rsidRPr="004D292C">
        <w:t xml:space="preserve">However, the PBAC also considered that </w:t>
      </w:r>
      <w:r w:rsidR="00BA216A" w:rsidRPr="004D292C">
        <w:t xml:space="preserve">this </w:t>
      </w:r>
      <w:r w:rsidRPr="004D292C">
        <w:t xml:space="preserve">therapeutic conclusion </w:t>
      </w:r>
      <w:r w:rsidR="00BA216A" w:rsidRPr="004D292C">
        <w:t xml:space="preserve">was </w:t>
      </w:r>
      <w:r w:rsidRPr="004D292C">
        <w:t xml:space="preserve">not appropriately </w:t>
      </w:r>
      <w:r w:rsidR="00BA216A" w:rsidRPr="004D292C">
        <w:t>considered in</w:t>
      </w:r>
      <w:r w:rsidRPr="004D292C">
        <w:t xml:space="preserve"> the economi</w:t>
      </w:r>
      <w:r w:rsidR="00B36365" w:rsidRPr="004D292C">
        <w:t>c analysis (see section 7 PBAC o</w:t>
      </w:r>
      <w:r w:rsidRPr="004D292C">
        <w:t xml:space="preserve">utcome). </w:t>
      </w:r>
    </w:p>
    <w:p w:rsidR="00B60939" w:rsidRPr="004D292C" w:rsidRDefault="00B60939" w:rsidP="00E9094A">
      <w:pPr>
        <w:pStyle w:val="3-SubsectionHeading"/>
      </w:pPr>
      <w:r w:rsidRPr="004D292C">
        <w:t>Economic analysis</w:t>
      </w:r>
      <w:bookmarkEnd w:id="23"/>
      <w:bookmarkEnd w:id="24"/>
      <w:r w:rsidR="00491B3A" w:rsidRPr="004D292C">
        <w:t xml:space="preserve"> </w:t>
      </w:r>
    </w:p>
    <w:p w:rsidR="00491044" w:rsidRPr="004D292C" w:rsidRDefault="008168DE" w:rsidP="00366A5D">
      <w:pPr>
        <w:pStyle w:val="ExecSumBodyText"/>
        <w:rPr>
          <w:b/>
          <w:bCs/>
        </w:rPr>
      </w:pPr>
      <w:r w:rsidRPr="004D292C">
        <w:t xml:space="preserve">The submission presented a cost-minimisation analysis comparing dapagliflozin (plus standard care) with sacubitril/valsartan (plus standard care). </w:t>
      </w:r>
    </w:p>
    <w:p w:rsidR="008168DE" w:rsidRPr="004D292C" w:rsidRDefault="008168DE" w:rsidP="002A5805">
      <w:pPr>
        <w:pStyle w:val="ExecSumBodyText"/>
        <w:keepNext/>
      </w:pPr>
      <w:bookmarkStart w:id="25" w:name="_Hlk50452475"/>
      <w:r w:rsidRPr="004D292C">
        <w:t xml:space="preserve">The submission claimed that a cost-effectiveness analysis versus standard care was not required given that sacubitril/valsartan has previously demonstrated cost-effectiveness versus standard care, and based on the claim of non-inferiority of dapagliflozin versus sacubitril/valsartan made in the submission. However, </w:t>
      </w:r>
      <w:r w:rsidR="00B81F48" w:rsidRPr="004D292C">
        <w:t xml:space="preserve">the </w:t>
      </w:r>
      <w:r w:rsidR="001A3C95" w:rsidRPr="004D292C">
        <w:t>PBAC</w:t>
      </w:r>
      <w:r w:rsidR="00C10E0C">
        <w:t xml:space="preserve"> </w:t>
      </w:r>
      <w:r w:rsidR="001A3C95" w:rsidRPr="004D292C">
        <w:lastRenderedPageBreak/>
        <w:t xml:space="preserve">agreed with the </w:t>
      </w:r>
      <w:r w:rsidR="00B81F48" w:rsidRPr="004D292C">
        <w:t xml:space="preserve">evaluation and the ESC </w:t>
      </w:r>
      <w:r w:rsidR="001A3C95" w:rsidRPr="004D292C">
        <w:t xml:space="preserve">that </w:t>
      </w:r>
      <w:r w:rsidRPr="004D292C">
        <w:t xml:space="preserve">this </w:t>
      </w:r>
      <w:r w:rsidR="00491044" w:rsidRPr="004D292C">
        <w:t xml:space="preserve">was </w:t>
      </w:r>
      <w:r w:rsidRPr="004D292C">
        <w:t>not reasonable due to the following reasons</w:t>
      </w:r>
      <w:r w:rsidR="00206590" w:rsidRPr="004D292C">
        <w:t>:</w:t>
      </w:r>
    </w:p>
    <w:p w:rsidR="00FA559B" w:rsidRPr="004D292C" w:rsidRDefault="00FA559B" w:rsidP="002A5805">
      <w:pPr>
        <w:pStyle w:val="ExecSumBodyText"/>
        <w:keepNext/>
        <w:numPr>
          <w:ilvl w:val="0"/>
          <w:numId w:val="7"/>
        </w:numPr>
        <w:ind w:left="1134" w:hanging="357"/>
      </w:pPr>
      <w:r w:rsidRPr="004D292C">
        <w:t>Dapagliflozin and sacubitril</w:t>
      </w:r>
      <w:r w:rsidR="004928F2" w:rsidRPr="004D292C">
        <w:t>/valsartan</w:t>
      </w:r>
      <w:r w:rsidRPr="004D292C">
        <w:t xml:space="preserve"> have different mechanisms of action and are likely to be used in different populations. </w:t>
      </w:r>
    </w:p>
    <w:p w:rsidR="00DF722C" w:rsidRPr="004D292C" w:rsidRDefault="00DF722C" w:rsidP="00855E0D">
      <w:pPr>
        <w:pStyle w:val="ExecSumBodyText"/>
        <w:numPr>
          <w:ilvl w:val="0"/>
          <w:numId w:val="7"/>
        </w:numPr>
        <w:ind w:left="1134" w:hanging="357"/>
      </w:pPr>
      <w:r w:rsidRPr="004D292C">
        <w:t xml:space="preserve">The cost-effectiveness of dapagliflozin (added to standard care) versus standard care alone (which may include treatment with sacubitril/valsartan) has not been established. </w:t>
      </w:r>
    </w:p>
    <w:p w:rsidR="00EA0660" w:rsidRPr="004D292C" w:rsidRDefault="00DF722C" w:rsidP="00855E0D">
      <w:pPr>
        <w:pStyle w:val="ExecSumBodyText"/>
        <w:numPr>
          <w:ilvl w:val="0"/>
          <w:numId w:val="7"/>
        </w:numPr>
        <w:ind w:left="1134" w:hanging="357"/>
      </w:pPr>
      <w:r w:rsidRPr="004D292C">
        <w:t xml:space="preserve">The cost-effectiveness of </w:t>
      </w:r>
      <w:r w:rsidR="000B6CFF" w:rsidRPr="004D292C">
        <w:t xml:space="preserve">concomitant use of </w:t>
      </w:r>
      <w:r w:rsidRPr="004D292C">
        <w:t xml:space="preserve">dapagliflozin </w:t>
      </w:r>
      <w:r w:rsidR="000B6CFF" w:rsidRPr="004D292C">
        <w:t>and s</w:t>
      </w:r>
      <w:r w:rsidRPr="004D292C">
        <w:t>acubitril/valsartan has not been established.</w:t>
      </w:r>
    </w:p>
    <w:bookmarkEnd w:id="25"/>
    <w:p w:rsidR="00862AE8" w:rsidRPr="004D292C" w:rsidRDefault="000E4078" w:rsidP="00306893">
      <w:pPr>
        <w:pStyle w:val="ExecSumBodyText"/>
        <w:rPr>
          <w:b/>
          <w:bCs/>
        </w:rPr>
      </w:pPr>
      <w:r w:rsidRPr="004D292C">
        <w:t xml:space="preserve">The ESC advised the cost-minimisation to sacubitril/valsartan was not well supported, </w:t>
      </w:r>
      <w:r w:rsidR="00F95CB0" w:rsidRPr="004D292C">
        <w:t>given dapagliflozin is likely to be used in a broader population than sacubitril/valsartan</w:t>
      </w:r>
      <w:r w:rsidRPr="004D292C">
        <w:t xml:space="preserve">. </w:t>
      </w:r>
      <w:r w:rsidR="00306893" w:rsidRPr="004D292C">
        <w:t>Given that dapagliflozin has a different mechanism of action compared to sacubitril</w:t>
      </w:r>
      <w:r w:rsidR="004928F2" w:rsidRPr="004D292C">
        <w:t>/valsartan</w:t>
      </w:r>
      <w:r w:rsidR="00306893" w:rsidRPr="004D292C">
        <w:t>, patients will potential</w:t>
      </w:r>
      <w:r w:rsidR="004928F2" w:rsidRPr="004D292C">
        <w:t>ly</w:t>
      </w:r>
      <w:r w:rsidR="00306893" w:rsidRPr="004D292C">
        <w:t xml:space="preserve"> switch from, add-on, </w:t>
      </w:r>
      <w:r w:rsidR="00B043F9" w:rsidRPr="004D292C">
        <w:t xml:space="preserve">or </w:t>
      </w:r>
      <w:r w:rsidR="00306893" w:rsidRPr="004D292C">
        <w:t xml:space="preserve">displace </w:t>
      </w:r>
      <w:r w:rsidR="00243870" w:rsidRPr="004D292C">
        <w:t>sacubitril/</w:t>
      </w:r>
      <w:r w:rsidR="004928F2" w:rsidRPr="004D292C">
        <w:t>valsartan</w:t>
      </w:r>
      <w:r w:rsidR="00B043F9" w:rsidRPr="004D292C">
        <w:t>,</w:t>
      </w:r>
      <w:r w:rsidR="004928F2" w:rsidRPr="004D292C">
        <w:t xml:space="preserve"> </w:t>
      </w:r>
      <w:r w:rsidR="00306893" w:rsidRPr="004D292C">
        <w:t>or grow the current</w:t>
      </w:r>
      <w:r w:rsidR="00F95CB0" w:rsidRPr="004D292C">
        <w:t xml:space="preserve"> heart failure</w:t>
      </w:r>
      <w:r w:rsidR="00306893" w:rsidRPr="004D292C">
        <w:t xml:space="preserve"> market</w:t>
      </w:r>
      <w:r w:rsidR="00491044" w:rsidRPr="004D292C">
        <w:t xml:space="preserve">. This complexity makes undertaking a cost-minimisation analysis comparing dapagliflozin (plus standard care) with sacubitril/valsartan (plus standard care) difficult </w:t>
      </w:r>
      <w:r w:rsidRPr="004D292C">
        <w:t>for</w:t>
      </w:r>
      <w:r w:rsidR="00491044" w:rsidRPr="004D292C">
        <w:t xml:space="preserve"> establish</w:t>
      </w:r>
      <w:r w:rsidRPr="004D292C">
        <w:t>ing a</w:t>
      </w:r>
      <w:r w:rsidR="00491044" w:rsidRPr="004D292C">
        <w:t xml:space="preserve"> cost-effective</w:t>
      </w:r>
      <w:r w:rsidRPr="004D292C">
        <w:t xml:space="preserve"> price</w:t>
      </w:r>
      <w:r w:rsidR="00491044" w:rsidRPr="004D292C">
        <w:t xml:space="preserve"> </w:t>
      </w:r>
      <w:r w:rsidRPr="004D292C">
        <w:t>for</w:t>
      </w:r>
      <w:r w:rsidR="00491044" w:rsidRPr="004D292C">
        <w:t xml:space="preserve"> dapaglifl</w:t>
      </w:r>
      <w:r w:rsidR="00617896" w:rsidRPr="004D292C">
        <w:t>ozin in this clinical setting.</w:t>
      </w:r>
    </w:p>
    <w:p w:rsidR="00491044" w:rsidRPr="004D292C" w:rsidRDefault="00491044" w:rsidP="00306893">
      <w:pPr>
        <w:pStyle w:val="ExecSumBodyText"/>
        <w:rPr>
          <w:b/>
          <w:bCs/>
        </w:rPr>
      </w:pPr>
      <w:r w:rsidRPr="004D292C">
        <w:t xml:space="preserve">The ESC advised </w:t>
      </w:r>
      <w:r w:rsidR="00DF21D9" w:rsidRPr="004D292C">
        <w:t xml:space="preserve">that </w:t>
      </w:r>
      <w:r w:rsidRPr="004D292C">
        <w:t>a cost-utility analysis comparing dapagliflozin plus standard care (</w:t>
      </w:r>
      <w:r w:rsidR="00306893" w:rsidRPr="004D292C">
        <w:t xml:space="preserve">comprising of a </w:t>
      </w:r>
      <w:r w:rsidRPr="004D292C">
        <w:t>beta blocker</w:t>
      </w:r>
      <w:r w:rsidR="00862AE8" w:rsidRPr="004D292C">
        <w:t>,</w:t>
      </w:r>
      <w:r w:rsidRPr="004D292C">
        <w:t xml:space="preserve"> </w:t>
      </w:r>
      <w:r w:rsidR="00862AE8" w:rsidRPr="004D292C">
        <w:t xml:space="preserve">plus </w:t>
      </w:r>
      <w:r w:rsidRPr="004D292C">
        <w:t>ACE</w:t>
      </w:r>
      <w:r w:rsidR="000E4078" w:rsidRPr="004D292C">
        <w:t>-I/</w:t>
      </w:r>
      <w:r w:rsidRPr="004D292C">
        <w:t xml:space="preserve"> ARB</w:t>
      </w:r>
      <w:r w:rsidR="00862AE8" w:rsidRPr="004D292C">
        <w:t>)</w:t>
      </w:r>
      <w:r w:rsidRPr="004D292C">
        <w:t xml:space="preserve"> to standard care (</w:t>
      </w:r>
      <w:r w:rsidR="000E4078" w:rsidRPr="004D292C">
        <w:t>beta blocker, plus ACE-I/ ARB</w:t>
      </w:r>
      <w:r w:rsidRPr="004D292C">
        <w:t>) would be necessary to support the expected majority use of dapagl</w:t>
      </w:r>
      <w:r w:rsidR="004928F2" w:rsidRPr="004D292C">
        <w:t>iflozin</w:t>
      </w:r>
      <w:r w:rsidRPr="004D292C">
        <w:t>.</w:t>
      </w:r>
      <w:r w:rsidR="00862AE8" w:rsidRPr="004D292C">
        <w:t xml:space="preserve"> </w:t>
      </w:r>
      <w:r w:rsidR="001A3C95" w:rsidRPr="004D292C">
        <w:t>T</w:t>
      </w:r>
      <w:r w:rsidR="00862AE8" w:rsidRPr="004D292C">
        <w:t xml:space="preserve">he cost-effectiveness of </w:t>
      </w:r>
      <w:r w:rsidR="00306893" w:rsidRPr="004D292C">
        <w:t>dapagliflozin (added to standard care</w:t>
      </w:r>
      <w:r w:rsidR="001A3C95" w:rsidRPr="004D292C">
        <w:t xml:space="preserve"> which includes sacubitril/valsartan</w:t>
      </w:r>
      <w:r w:rsidR="00306893" w:rsidRPr="004D292C">
        <w:t>) versus standard care alone (which include</w:t>
      </w:r>
      <w:r w:rsidR="001A3C95" w:rsidRPr="004D292C">
        <w:t>s</w:t>
      </w:r>
      <w:r w:rsidR="00306893" w:rsidRPr="004D292C">
        <w:t xml:space="preserve"> treatment with sacubitril/valsartan)</w:t>
      </w:r>
      <w:r w:rsidR="00862AE8" w:rsidRPr="004D292C">
        <w:t>, would also be informative</w:t>
      </w:r>
      <w:r w:rsidR="00306893" w:rsidRPr="004D292C">
        <w:t>;</w:t>
      </w:r>
      <w:r w:rsidR="008435FD" w:rsidRPr="004D292C">
        <w:t xml:space="preserve"> as would the cost-effectiveness of concomitant use of dapagliflozin and sacubitril/valsartan</w:t>
      </w:r>
      <w:r w:rsidR="00862AE8" w:rsidRPr="004D292C">
        <w:t>.</w:t>
      </w:r>
    </w:p>
    <w:p w:rsidR="00974A98" w:rsidRPr="004D292C" w:rsidRDefault="004A2CFC" w:rsidP="00BF789A">
      <w:pPr>
        <w:pStyle w:val="ExecSumBodyText"/>
        <w:rPr>
          <w:bCs/>
        </w:rPr>
      </w:pPr>
      <w:r w:rsidRPr="004D292C">
        <w:rPr>
          <w:bCs/>
        </w:rPr>
        <w:t>T</w:t>
      </w:r>
      <w:r w:rsidR="004E00FD" w:rsidRPr="004D292C">
        <w:rPr>
          <w:bCs/>
        </w:rPr>
        <w:t>he pre-PBAC response argued th</w:t>
      </w:r>
      <w:r w:rsidR="008C1F18" w:rsidRPr="004D292C">
        <w:rPr>
          <w:bCs/>
        </w:rPr>
        <w:t>at</w:t>
      </w:r>
      <w:r w:rsidR="00BF789A" w:rsidRPr="004D292C">
        <w:rPr>
          <w:bCs/>
        </w:rPr>
        <w:t xml:space="preserve"> c</w:t>
      </w:r>
      <w:r w:rsidR="00974A98" w:rsidRPr="004D292C">
        <w:rPr>
          <w:bCs/>
        </w:rPr>
        <w:t>ost-effectiveness of dapagliflozin in the population of patients who may ‘add-on’ dapagliflozin to sacubitril/valsartan or for whom dapagliflozin will ‘displace’ sacubitril/valsartan, may be informed by two recently published cost-effe</w:t>
      </w:r>
      <w:r w:rsidR="00BC1EB0" w:rsidRPr="004D292C">
        <w:rPr>
          <w:bCs/>
        </w:rPr>
        <w:t xml:space="preserve">ctiveness analyses (Savira et al, 2020 and McEwan et al, 2020). In particular, it noted that the CEA based on the Australian healthcare setting </w:t>
      </w:r>
      <w:r w:rsidR="00D96AF1" w:rsidRPr="004D292C">
        <w:rPr>
          <w:bCs/>
        </w:rPr>
        <w:t xml:space="preserve">using up-to-date Australian inputs, </w:t>
      </w:r>
      <w:r w:rsidR="00BF789A" w:rsidRPr="004D292C">
        <w:rPr>
          <w:bCs/>
        </w:rPr>
        <w:t xml:space="preserve">and </w:t>
      </w:r>
      <w:r w:rsidR="00BF789A" w:rsidRPr="004D292C">
        <w:rPr>
          <w:bCs/>
          <w:iCs/>
        </w:rPr>
        <w:t>based on the current price of dapagliflozin in T2DM,</w:t>
      </w:r>
      <w:r w:rsidR="00BF789A" w:rsidRPr="004D292C">
        <w:rPr>
          <w:bCs/>
        </w:rPr>
        <w:t xml:space="preserve"> </w:t>
      </w:r>
      <w:r w:rsidR="00D96AF1" w:rsidRPr="004D292C">
        <w:rPr>
          <w:bCs/>
        </w:rPr>
        <w:t xml:space="preserve">resulted in dapagliflozin having a discounted incremental cost-effectiveness ratio of </w:t>
      </w:r>
      <w:r w:rsidR="00796DB4" w:rsidRPr="004D292C">
        <w:rPr>
          <w:bCs/>
        </w:rPr>
        <w:t>$</w:t>
      </w:r>
      <w:r w:rsidR="00217F57">
        <w:rPr>
          <w:bCs/>
        </w:rPr>
        <w:t>12,482</w:t>
      </w:r>
      <w:r w:rsidR="00D96AF1" w:rsidRPr="004D292C">
        <w:rPr>
          <w:bCs/>
        </w:rPr>
        <w:t xml:space="preserve"> per quality-adjusted life year gained</w:t>
      </w:r>
      <w:r w:rsidR="00A47853" w:rsidRPr="004D292C">
        <w:rPr>
          <w:bCs/>
        </w:rPr>
        <w:t xml:space="preserve"> (Savira et al, 2020)</w:t>
      </w:r>
      <w:r w:rsidR="00D96AF1" w:rsidRPr="004D292C">
        <w:rPr>
          <w:bCs/>
        </w:rPr>
        <w:t>.</w:t>
      </w:r>
      <w:r w:rsidR="00AF3794" w:rsidRPr="004D292C">
        <w:rPr>
          <w:bCs/>
        </w:rPr>
        <w:t xml:space="preserve"> </w:t>
      </w:r>
      <w:r w:rsidR="00A47853" w:rsidRPr="004D292C">
        <w:rPr>
          <w:bCs/>
        </w:rPr>
        <w:t xml:space="preserve">The pre-PBAC response </w:t>
      </w:r>
      <w:r w:rsidR="00AF3794" w:rsidRPr="004D292C">
        <w:rPr>
          <w:bCs/>
        </w:rPr>
        <w:t xml:space="preserve">reaffirmed the PSCR view that </w:t>
      </w:r>
      <w:r w:rsidR="00A47853" w:rsidRPr="004D292C">
        <w:rPr>
          <w:bCs/>
        </w:rPr>
        <w:t>co-administration is unlikely to occur in greater than 20% of the popula</w:t>
      </w:r>
      <w:r w:rsidR="00AF3794" w:rsidRPr="004D292C">
        <w:rPr>
          <w:bCs/>
        </w:rPr>
        <w:t>tion in the Australian setting (a figure based on the EMPEROR-Reduced trial (Packer et al, 2020) and clinical advice).</w:t>
      </w:r>
    </w:p>
    <w:p w:rsidR="00BF789A" w:rsidRPr="004D292C" w:rsidRDefault="00BF789A" w:rsidP="00BF789A">
      <w:pPr>
        <w:pStyle w:val="ExecSumBodyText"/>
        <w:rPr>
          <w:bCs/>
        </w:rPr>
      </w:pPr>
      <w:r w:rsidRPr="004D292C">
        <w:rPr>
          <w:bCs/>
        </w:rPr>
        <w:t>The PBAC considered a fully evaluated cost-effectiveness analysis was required.</w:t>
      </w:r>
    </w:p>
    <w:p w:rsidR="00C25D9C" w:rsidRPr="004D292C" w:rsidRDefault="00C25D9C" w:rsidP="00BB732D">
      <w:pPr>
        <w:pStyle w:val="3-SubsectionHeading"/>
      </w:pPr>
      <w:bookmarkStart w:id="26" w:name="_Toc22897646"/>
      <w:bookmarkStart w:id="27" w:name="_Toc50975083"/>
      <w:r w:rsidRPr="004D292C">
        <w:t>Drug</w:t>
      </w:r>
      <w:r w:rsidR="005E5744" w:rsidRPr="004D292C">
        <w:t xml:space="preserve"> cost</w:t>
      </w:r>
      <w:r w:rsidR="009A5ABC" w:rsidRPr="004D292C">
        <w:t>/</w:t>
      </w:r>
      <w:r w:rsidRPr="004D292C">
        <w:t>patient/year</w:t>
      </w:r>
      <w:bookmarkEnd w:id="26"/>
      <w:bookmarkEnd w:id="27"/>
    </w:p>
    <w:p w:rsidR="00040132" w:rsidRPr="004D292C" w:rsidRDefault="009415D8" w:rsidP="00311B24">
      <w:pPr>
        <w:pStyle w:val="ExecSumBodyText"/>
        <w:rPr>
          <w:i/>
        </w:rPr>
      </w:pPr>
      <w:bookmarkStart w:id="28" w:name="_Hlk50030238"/>
      <w:r w:rsidRPr="004D292C">
        <w:t xml:space="preserve">The estimated drug cost </w:t>
      </w:r>
      <w:r w:rsidR="0040050E" w:rsidRPr="004D292C">
        <w:t xml:space="preserve">per patient per year </w:t>
      </w:r>
      <w:r w:rsidRPr="004D292C">
        <w:t>for dapagliflozin</w:t>
      </w:r>
      <w:r w:rsidR="0040050E" w:rsidRPr="004D292C">
        <w:t xml:space="preserve"> </w:t>
      </w:r>
      <w:r w:rsidR="004A54FB" w:rsidRPr="004D292C">
        <w:t xml:space="preserve">was </w:t>
      </w:r>
      <w:r w:rsidR="0040050E" w:rsidRPr="004D292C">
        <w:t>$</w:t>
      </w:r>
      <w:r w:rsidR="007D59EF">
        <w:rPr>
          <w:noProof/>
          <w:color w:val="000000"/>
          <w:highlight w:val="black"/>
        </w:rPr>
        <w:t>''''''''''</w:t>
      </w:r>
      <w:r w:rsidR="0040050E" w:rsidRPr="004D292C">
        <w:t xml:space="preserve"> </w:t>
      </w:r>
      <w:r w:rsidRPr="004D292C">
        <w:t xml:space="preserve">(based on </w:t>
      </w:r>
      <w:r w:rsidR="0040050E" w:rsidRPr="004D292C">
        <w:t>the proposed published DPMQ of $</w:t>
      </w:r>
      <w:r w:rsidR="007D59EF">
        <w:rPr>
          <w:noProof/>
          <w:color w:val="000000"/>
          <w:highlight w:val="black"/>
        </w:rPr>
        <w:t>'''''''''''''</w:t>
      </w:r>
      <w:r w:rsidR="0040050E" w:rsidRPr="004D292C">
        <w:t xml:space="preserve"> for 28 tablets; </w:t>
      </w:r>
      <w:r w:rsidRPr="004D292C">
        <w:t>13.04 scripts</w:t>
      </w:r>
      <w:r w:rsidR="0040050E" w:rsidRPr="004D292C">
        <w:t xml:space="preserve"> per year</w:t>
      </w:r>
      <w:r w:rsidRPr="004D292C">
        <w:t xml:space="preserve">). </w:t>
      </w:r>
      <w:r w:rsidR="00311B24" w:rsidRPr="004D292C">
        <w:t xml:space="preserve">The </w:t>
      </w:r>
      <w:r w:rsidR="00311B24" w:rsidRPr="004D292C">
        <w:lastRenderedPageBreak/>
        <w:t>estimated drug cost per patient per year for dapagliflozin i</w:t>
      </w:r>
      <w:r w:rsidR="0040050E" w:rsidRPr="004D292C">
        <w:t>ncorporating the submission’s assumed compliance rate of 95%</w:t>
      </w:r>
      <w:r w:rsidR="00311B24" w:rsidRPr="004D292C">
        <w:t xml:space="preserve"> </w:t>
      </w:r>
      <w:r w:rsidR="004A54FB" w:rsidRPr="004D292C">
        <w:t xml:space="preserve">was </w:t>
      </w:r>
      <w:r w:rsidRPr="004D292C">
        <w:t>$</w:t>
      </w:r>
      <w:r w:rsidR="007D59EF">
        <w:rPr>
          <w:noProof/>
          <w:color w:val="000000"/>
          <w:highlight w:val="black"/>
        </w:rPr>
        <w:t>''''''''''</w:t>
      </w:r>
      <w:r w:rsidR="0040050E" w:rsidRPr="004D292C">
        <w:t>.</w:t>
      </w:r>
      <w:r w:rsidR="0040050E" w:rsidRPr="004D292C">
        <w:rPr>
          <w:i/>
        </w:rPr>
        <w:t xml:space="preserve"> </w:t>
      </w:r>
      <w:r w:rsidR="0040050E" w:rsidRPr="004D292C">
        <w:t xml:space="preserve">Patients treated with dapagliflozin </w:t>
      </w:r>
      <w:r w:rsidR="004A54FB" w:rsidRPr="004D292C">
        <w:t xml:space="preserve">would </w:t>
      </w:r>
      <w:r w:rsidR="0040050E" w:rsidRPr="004D292C">
        <w:t>also require treatment with an ACE inhibitor, ARB or sacubitril/valsartan.</w:t>
      </w:r>
    </w:p>
    <w:bookmarkEnd w:id="28"/>
    <w:p w:rsidR="0040050E" w:rsidRPr="004D292C" w:rsidRDefault="0040050E" w:rsidP="00311B24">
      <w:pPr>
        <w:pStyle w:val="ExecSumBodyText"/>
        <w:rPr>
          <w:i/>
        </w:rPr>
      </w:pPr>
      <w:r w:rsidRPr="004D292C">
        <w:t xml:space="preserve">The estimated drug cost per patient per year for sacubitril/valsartan </w:t>
      </w:r>
      <w:r w:rsidR="004A54FB" w:rsidRPr="004D292C">
        <w:t xml:space="preserve">was </w:t>
      </w:r>
      <w:r w:rsidRPr="004D292C">
        <w:t>$</w:t>
      </w:r>
      <w:r w:rsidRPr="00323E3F">
        <w:t>2,646</w:t>
      </w:r>
      <w:r w:rsidRPr="004D292C">
        <w:t xml:space="preserve"> (based on the published DPMQ of $</w:t>
      </w:r>
      <w:r w:rsidRPr="00323E3F">
        <w:t>202.89</w:t>
      </w:r>
      <w:r w:rsidRPr="004D292C">
        <w:t xml:space="preserve"> for 56 tablets; 13.04 scripts per year). </w:t>
      </w:r>
      <w:r w:rsidR="00311B24" w:rsidRPr="004D292C">
        <w:t xml:space="preserve">The estimated drug cost per patient per year for sacubitril/valsartan incorporating the submission’s assumed compliance rate of 75% </w:t>
      </w:r>
      <w:r w:rsidR="004A54FB" w:rsidRPr="004D292C">
        <w:t xml:space="preserve">was </w:t>
      </w:r>
      <w:r w:rsidR="00311B24" w:rsidRPr="004D292C">
        <w:t>$</w:t>
      </w:r>
      <w:r w:rsidR="00311B24" w:rsidRPr="00323E3F">
        <w:t>1,984</w:t>
      </w:r>
      <w:r w:rsidR="00311B24" w:rsidRPr="004D292C">
        <w:t>.</w:t>
      </w:r>
    </w:p>
    <w:p w:rsidR="00B60939" w:rsidRPr="004D292C" w:rsidRDefault="00B60939" w:rsidP="002B05A1">
      <w:pPr>
        <w:pStyle w:val="3-SubsectionHeading"/>
      </w:pPr>
      <w:bookmarkStart w:id="29" w:name="_Toc22897647"/>
      <w:bookmarkStart w:id="30" w:name="_Toc50975084"/>
      <w:r w:rsidRPr="004D292C">
        <w:t>Estimated PBS usage &amp; financial implications</w:t>
      </w:r>
      <w:bookmarkEnd w:id="29"/>
      <w:bookmarkEnd w:id="30"/>
    </w:p>
    <w:p w:rsidR="00062ABA" w:rsidRPr="004D292C" w:rsidRDefault="00062ABA" w:rsidP="00062ABA">
      <w:pPr>
        <w:pStyle w:val="ExecSumBodyText"/>
        <w:numPr>
          <w:ilvl w:val="1"/>
          <w:numId w:val="1"/>
        </w:numPr>
        <w:rPr>
          <w:color w:val="0066FF"/>
        </w:rPr>
      </w:pPr>
      <w:bookmarkStart w:id="31" w:name="_Toc22897648"/>
      <w:bookmarkStart w:id="32" w:name="_Toc50975085"/>
      <w:r w:rsidRPr="004D292C">
        <w:t xml:space="preserve">The submission </w:t>
      </w:r>
      <w:r w:rsidR="00260DD8" w:rsidRPr="004D292C">
        <w:t>was</w:t>
      </w:r>
      <w:r w:rsidRPr="004D292C">
        <w:t xml:space="preserve"> considered by DUSC. The submission used a mixed epidemiological/market share approach to estimate the utilisation and financial impacts associated with the PBS listing of dapagliflozin for the treatment of chronic heart failure with reduced ejection fraction.</w:t>
      </w:r>
    </w:p>
    <w:p w:rsidR="00062ABA" w:rsidRPr="004D292C" w:rsidRDefault="00ED1F80" w:rsidP="00062ABA">
      <w:pPr>
        <w:pStyle w:val="TableFigureCaption"/>
      </w:pPr>
      <w:r>
        <w:t>Table 10</w:t>
      </w:r>
      <w:r w:rsidR="00062ABA" w:rsidRPr="004D292C">
        <w:t>: Key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4"/>
        <w:gridCol w:w="3527"/>
        <w:gridCol w:w="3776"/>
      </w:tblGrid>
      <w:tr w:rsidR="00062ABA" w:rsidRPr="002A5805" w:rsidTr="002A5805">
        <w:trPr>
          <w:cantSplit/>
          <w:tblHeader/>
        </w:trPr>
        <w:tc>
          <w:tcPr>
            <w:tcW w:w="950" w:type="pct"/>
            <w:shd w:val="clear" w:color="auto" w:fill="auto"/>
            <w:vAlign w:val="center"/>
          </w:tcPr>
          <w:p w:rsidR="00062ABA" w:rsidRPr="002A5805" w:rsidRDefault="00062ABA" w:rsidP="00066839">
            <w:pPr>
              <w:pStyle w:val="Tableheadingrow"/>
              <w:keepNext w:val="0"/>
              <w:rPr>
                <w:szCs w:val="20"/>
                <w:lang w:val="en-AU"/>
              </w:rPr>
            </w:pPr>
            <w:r w:rsidRPr="002A5805">
              <w:rPr>
                <w:szCs w:val="20"/>
                <w:lang w:val="en-AU"/>
              </w:rPr>
              <w:t>Parameter</w:t>
            </w:r>
          </w:p>
        </w:tc>
        <w:tc>
          <w:tcPr>
            <w:tcW w:w="1956" w:type="pct"/>
            <w:shd w:val="clear" w:color="auto" w:fill="auto"/>
            <w:vAlign w:val="center"/>
          </w:tcPr>
          <w:p w:rsidR="00062ABA" w:rsidRPr="002A5805" w:rsidRDefault="00062ABA" w:rsidP="00066839">
            <w:pPr>
              <w:pStyle w:val="Tableheadingrow"/>
              <w:keepNext w:val="0"/>
              <w:rPr>
                <w:szCs w:val="20"/>
                <w:lang w:val="en-AU"/>
              </w:rPr>
            </w:pPr>
            <w:r w:rsidRPr="002A5805">
              <w:rPr>
                <w:szCs w:val="20"/>
                <w:lang w:val="en-AU"/>
              </w:rPr>
              <w:t>Value applied and source</w:t>
            </w:r>
          </w:p>
        </w:tc>
        <w:tc>
          <w:tcPr>
            <w:tcW w:w="2094" w:type="pct"/>
            <w:shd w:val="clear" w:color="auto" w:fill="auto"/>
            <w:vAlign w:val="center"/>
          </w:tcPr>
          <w:p w:rsidR="00062ABA" w:rsidRPr="002A5805" w:rsidRDefault="00062ABA" w:rsidP="00853B8A">
            <w:pPr>
              <w:pStyle w:val="Tableheadingrow"/>
              <w:keepNext w:val="0"/>
              <w:rPr>
                <w:szCs w:val="20"/>
                <w:lang w:val="en-AU"/>
              </w:rPr>
            </w:pPr>
            <w:r w:rsidRPr="002A5805">
              <w:rPr>
                <w:szCs w:val="20"/>
                <w:lang w:val="en-AU"/>
              </w:rPr>
              <w:t>Comment</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Incident HF patients</w:t>
            </w:r>
          </w:p>
        </w:tc>
        <w:tc>
          <w:tcPr>
            <w:tcW w:w="1956" w:type="pct"/>
            <w:shd w:val="clear" w:color="auto" w:fill="auto"/>
            <w:vAlign w:val="center"/>
          </w:tcPr>
          <w:p w:rsidR="00062ABA" w:rsidRPr="002A5805" w:rsidRDefault="00062ABA" w:rsidP="00066839">
            <w:pPr>
              <w:pStyle w:val="TableText"/>
              <w:keepNext w:val="0"/>
              <w:rPr>
                <w:szCs w:val="20"/>
              </w:rPr>
            </w:pPr>
            <w:r w:rsidRPr="002A5805">
              <w:rPr>
                <w:szCs w:val="20"/>
              </w:rPr>
              <w:t>Prevalence of 1.5% based on a systematic review of studies reporting on the prevalence of heart failure in Australia between 1990 and 2015 (Sahle et al., 2016). The reported prevalence ranged from 1.0-2.0%.</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The National Heart Foundation guidelines suggest that based on international prevalence rates, there were an estimated 480,000 people aged ≥18 years with heart failure in 2014, representing 2.1% of the Australian adult population.</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Proportion of patients with HFrEF</w:t>
            </w:r>
          </w:p>
        </w:tc>
        <w:tc>
          <w:tcPr>
            <w:tcW w:w="1956" w:type="pct"/>
            <w:shd w:val="clear" w:color="auto" w:fill="auto"/>
            <w:vAlign w:val="center"/>
          </w:tcPr>
          <w:p w:rsidR="00062ABA" w:rsidRPr="002A5805" w:rsidRDefault="00062ABA" w:rsidP="00260DD8">
            <w:pPr>
              <w:pStyle w:val="TableText"/>
              <w:keepNext w:val="0"/>
              <w:rPr>
                <w:szCs w:val="20"/>
              </w:rPr>
            </w:pPr>
            <w:r w:rsidRPr="002A5805">
              <w:rPr>
                <w:szCs w:val="20"/>
              </w:rPr>
              <w:t>64% based on medical records of patients discharged with a primary diagnosis of HF from hospitals in Minneapolis-St Paul (Minnesota, US) in 1995 and 2000 (Adabag et al., 2012).</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HFrEF was defined as a LVEF &lt;45%, which differed from the proposed restriction (≤40%). The proportions were derived from hospitalised heart failure patients which may not be representative of the general heart failure population. The applicability of the US-based data was unclear.</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Proportion of patients with NYHA class II-IV</w:t>
            </w:r>
          </w:p>
        </w:tc>
        <w:tc>
          <w:tcPr>
            <w:tcW w:w="1956" w:type="pct"/>
            <w:shd w:val="clear" w:color="auto" w:fill="auto"/>
            <w:vAlign w:val="center"/>
          </w:tcPr>
          <w:p w:rsidR="00062ABA" w:rsidRPr="002A5805" w:rsidRDefault="00062ABA" w:rsidP="00260DD8">
            <w:pPr>
              <w:pStyle w:val="TableText"/>
              <w:keepNext w:val="0"/>
              <w:rPr>
                <w:szCs w:val="20"/>
              </w:rPr>
            </w:pPr>
            <w:r w:rsidRPr="002A5805">
              <w:rPr>
                <w:szCs w:val="20"/>
              </w:rPr>
              <w:t>95% based on the proportion of patients with class II-IV heart failure used in the July 2016 sacubitril/valsartan resubmission.</w:t>
            </w:r>
          </w:p>
        </w:tc>
        <w:tc>
          <w:tcPr>
            <w:tcW w:w="2094" w:type="pct"/>
            <w:shd w:val="clear" w:color="auto" w:fill="auto"/>
            <w:vAlign w:val="center"/>
          </w:tcPr>
          <w:p w:rsidR="00062ABA" w:rsidRPr="002A5805" w:rsidRDefault="00062ABA" w:rsidP="009D4187">
            <w:pPr>
              <w:pStyle w:val="TableText"/>
              <w:keepNext w:val="0"/>
              <w:rPr>
                <w:szCs w:val="20"/>
              </w:rPr>
            </w:pPr>
            <w:r w:rsidRPr="002A5805">
              <w:rPr>
                <w:szCs w:val="20"/>
              </w:rPr>
              <w:t>Th</w:t>
            </w:r>
            <w:r w:rsidR="009D4187" w:rsidRPr="002A5805">
              <w:rPr>
                <w:szCs w:val="20"/>
              </w:rPr>
              <w:t>e evaluation considered that this</w:t>
            </w:r>
            <w:r w:rsidRPr="002A5805">
              <w:rPr>
                <w:szCs w:val="20"/>
              </w:rPr>
              <w:t xml:space="preserve"> assumption appeared reasonable.</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Proportion of patients treated with standard care</w:t>
            </w:r>
          </w:p>
        </w:tc>
        <w:tc>
          <w:tcPr>
            <w:tcW w:w="1956" w:type="pct"/>
            <w:shd w:val="clear" w:color="auto" w:fill="auto"/>
            <w:vAlign w:val="center"/>
          </w:tcPr>
          <w:p w:rsidR="00062ABA" w:rsidRPr="002A5805" w:rsidRDefault="00062ABA" w:rsidP="00864C47">
            <w:pPr>
              <w:pStyle w:val="TableText"/>
              <w:keepNext w:val="0"/>
              <w:rPr>
                <w:szCs w:val="20"/>
              </w:rPr>
            </w:pPr>
            <w:r w:rsidRPr="002A5805">
              <w:rPr>
                <w:szCs w:val="20"/>
              </w:rPr>
              <w:t>95% based on sponsor assumption. The submission argued that the proportion of patients not receiving standard care would be less than 100% based on inability to tolerate standard care treatments, or choice not to be treated with standard.</w:t>
            </w:r>
          </w:p>
        </w:tc>
        <w:tc>
          <w:tcPr>
            <w:tcW w:w="2094" w:type="pct"/>
            <w:shd w:val="clear" w:color="auto" w:fill="auto"/>
            <w:vAlign w:val="center"/>
          </w:tcPr>
          <w:p w:rsidR="00062ABA" w:rsidRPr="002A5805" w:rsidRDefault="00062ABA" w:rsidP="009D4187">
            <w:pPr>
              <w:pStyle w:val="TableText"/>
              <w:keepNext w:val="0"/>
              <w:rPr>
                <w:szCs w:val="20"/>
              </w:rPr>
            </w:pPr>
            <w:r w:rsidRPr="002A5805">
              <w:rPr>
                <w:szCs w:val="20"/>
              </w:rPr>
              <w:t>Th</w:t>
            </w:r>
            <w:r w:rsidR="009D4187" w:rsidRPr="002A5805">
              <w:rPr>
                <w:szCs w:val="20"/>
              </w:rPr>
              <w:t>e evaluation considered that this</w:t>
            </w:r>
            <w:r w:rsidRPr="002A5805">
              <w:rPr>
                <w:szCs w:val="20"/>
              </w:rPr>
              <w:t xml:space="preserve"> proportion was uncertain, and may overestimate the proportion of patients receiving optimised standard care.</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Proportion of patients receiving a SGLT2 for diabetes</w:t>
            </w:r>
          </w:p>
        </w:tc>
        <w:tc>
          <w:tcPr>
            <w:tcW w:w="1956" w:type="pct"/>
            <w:shd w:val="clear" w:color="auto" w:fill="auto"/>
            <w:vAlign w:val="center"/>
          </w:tcPr>
          <w:p w:rsidR="00062ABA" w:rsidRPr="002A5805" w:rsidRDefault="00062ABA" w:rsidP="00F60CEC">
            <w:pPr>
              <w:pStyle w:val="TableText"/>
              <w:keepNext w:val="0"/>
              <w:rPr>
                <w:szCs w:val="20"/>
              </w:rPr>
            </w:pPr>
            <w:r w:rsidRPr="005E5A85">
              <w:rPr>
                <w:szCs w:val="20"/>
              </w:rPr>
              <w:t>11.6</w:t>
            </w:r>
            <w:r w:rsidRPr="002A5805">
              <w:rPr>
                <w:szCs w:val="20"/>
              </w:rPr>
              <w:t>%</w:t>
            </w:r>
            <w:r w:rsidRPr="002A5805">
              <w:rPr>
                <w:rStyle w:val="TabletextChar0"/>
                <w:szCs w:val="20"/>
              </w:rPr>
              <w:t xml:space="preserve"> derived</w:t>
            </w:r>
            <w:r w:rsidRPr="002A5805">
              <w:rPr>
                <w:szCs w:val="20"/>
              </w:rPr>
              <w:t xml:space="preserve"> from a 10% Medicare analysis of patients co-administering sacubitril/valsartan and an SGLT</w:t>
            </w:r>
            <w:r w:rsidR="00F60CEC" w:rsidRPr="002A5805">
              <w:rPr>
                <w:szCs w:val="20"/>
              </w:rPr>
              <w:t>-</w:t>
            </w:r>
            <w:r w:rsidRPr="002A5805">
              <w:rPr>
                <w:szCs w:val="20"/>
              </w:rPr>
              <w:t>2 inhibitor.</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There was a lack of documentation regarding the methods used in the analysis, including the definitions used to identify co-administration of therapies.</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Estimated annual rate of growth of sacubitril/</w:t>
            </w:r>
          </w:p>
          <w:p w:rsidR="00062ABA" w:rsidRPr="002A5805" w:rsidRDefault="00062ABA" w:rsidP="00066839">
            <w:pPr>
              <w:pStyle w:val="TableText"/>
              <w:keepNext w:val="0"/>
              <w:rPr>
                <w:szCs w:val="20"/>
              </w:rPr>
            </w:pPr>
            <w:r w:rsidRPr="002A5805">
              <w:rPr>
                <w:szCs w:val="20"/>
              </w:rPr>
              <w:t>valsartan market (from previous year to nominated year</w:t>
            </w:r>
            <w:r w:rsidR="00864C47" w:rsidRPr="002A5805">
              <w:rPr>
                <w:szCs w:val="20"/>
              </w:rPr>
              <w:t>)</w:t>
            </w:r>
          </w:p>
        </w:tc>
        <w:tc>
          <w:tcPr>
            <w:tcW w:w="1956" w:type="pct"/>
            <w:shd w:val="clear" w:color="auto" w:fill="auto"/>
            <w:vAlign w:val="center"/>
          </w:tcPr>
          <w:p w:rsidR="00062ABA" w:rsidRPr="002A5805" w:rsidRDefault="00062ABA" w:rsidP="00066839">
            <w:pPr>
              <w:pStyle w:val="TableText"/>
              <w:keepNext w:val="0"/>
              <w:rPr>
                <w:szCs w:val="20"/>
              </w:rPr>
            </w:pPr>
            <w:r w:rsidRPr="002A5805">
              <w:rPr>
                <w:szCs w:val="20"/>
              </w:rPr>
              <w:t>A rolling annual growth rate was derived from available PBS/RPBS dispensing data for sacubitril/valsartan (January 2017 to April</w:t>
            </w:r>
            <w:r w:rsidR="00864C47" w:rsidRPr="002A5805">
              <w:rPr>
                <w:szCs w:val="20"/>
              </w:rPr>
              <w:t> </w:t>
            </w:r>
            <w:r w:rsidRPr="002A5805">
              <w:rPr>
                <w:szCs w:val="20"/>
              </w:rPr>
              <w:t>2020). An exponential curve was fitted to the data points. The growth rate was assumed to decline until the rate of growth of the Australian population (1.5%) was reached, where it was assumed to stabilise.</w:t>
            </w:r>
          </w:p>
        </w:tc>
        <w:tc>
          <w:tcPr>
            <w:tcW w:w="2094" w:type="pct"/>
            <w:shd w:val="clear" w:color="auto" w:fill="auto"/>
            <w:vAlign w:val="center"/>
          </w:tcPr>
          <w:p w:rsidR="00062ABA" w:rsidRPr="002A5805" w:rsidRDefault="00062ABA" w:rsidP="00864C47">
            <w:pPr>
              <w:pStyle w:val="TableText"/>
              <w:keepNext w:val="0"/>
              <w:rPr>
                <w:szCs w:val="20"/>
              </w:rPr>
            </w:pPr>
            <w:r w:rsidRPr="002A5805">
              <w:rPr>
                <w:szCs w:val="20"/>
              </w:rPr>
              <w:t>Sacubitril/valsartan was PBS listed in June 2017. Therefore, there is limited available data to inform future growth. The</w:t>
            </w:r>
            <w:r w:rsidR="009D4187" w:rsidRPr="002A5805">
              <w:rPr>
                <w:szCs w:val="20"/>
              </w:rPr>
              <w:t xml:space="preserve"> evaluation considered that the</w:t>
            </w:r>
            <w:r w:rsidRPr="002A5805">
              <w:rPr>
                <w:szCs w:val="20"/>
              </w:rPr>
              <w:t xml:space="preserve"> assumption of an exponential curve with a 1.5% floor may underestimate the future growth of sacubitril/valsartan.</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lastRenderedPageBreak/>
              <w:t>Dapagliflozin uptake (additional eligible patients)</w:t>
            </w:r>
          </w:p>
        </w:tc>
        <w:tc>
          <w:tcPr>
            <w:tcW w:w="1956" w:type="pct"/>
            <w:shd w:val="clear" w:color="auto" w:fill="auto"/>
          </w:tcPr>
          <w:p w:rsidR="00062ABA" w:rsidRPr="005E5A85" w:rsidRDefault="00062ABA" w:rsidP="00066839">
            <w:pPr>
              <w:pStyle w:val="TableText"/>
              <w:rPr>
                <w:szCs w:val="20"/>
              </w:rPr>
            </w:pPr>
            <w:r w:rsidRPr="005E5A85">
              <w:rPr>
                <w:szCs w:val="20"/>
              </w:rPr>
              <w:t>Yr 1: 5%; Yr 2: 18%; Yr 3: 22%; Yr 4: 28%; Yr</w:t>
            </w:r>
            <w:r w:rsidR="00864C47" w:rsidRPr="005E5A85">
              <w:rPr>
                <w:szCs w:val="20"/>
              </w:rPr>
              <w:t> </w:t>
            </w:r>
            <w:r w:rsidRPr="005E5A85">
              <w:rPr>
                <w:szCs w:val="20"/>
              </w:rPr>
              <w:t>5: 35%; Yr 6: 42%. Based on sponsor assumption.</w:t>
            </w:r>
          </w:p>
        </w:tc>
        <w:tc>
          <w:tcPr>
            <w:tcW w:w="2094" w:type="pct"/>
            <w:shd w:val="clear" w:color="auto" w:fill="auto"/>
          </w:tcPr>
          <w:p w:rsidR="00062ABA" w:rsidRPr="002A5805" w:rsidRDefault="00062ABA" w:rsidP="00066839">
            <w:pPr>
              <w:pStyle w:val="TableText"/>
              <w:keepNext w:val="0"/>
              <w:rPr>
                <w:szCs w:val="20"/>
              </w:rPr>
            </w:pPr>
            <w:r w:rsidRPr="002A5805">
              <w:rPr>
                <w:szCs w:val="20"/>
              </w:rPr>
              <w:t>Uptake rates were considered uncertain given that the place of dapagliflozin in therapy is currently unclear.</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rPr>
                <w:szCs w:val="20"/>
              </w:rPr>
            </w:pPr>
            <w:r w:rsidRPr="002A5805">
              <w:rPr>
                <w:szCs w:val="20"/>
              </w:rPr>
              <w:t>Dapagliflozin uptake (sacubitril/</w:t>
            </w:r>
          </w:p>
          <w:p w:rsidR="00062ABA" w:rsidRPr="002A5805" w:rsidRDefault="00062ABA" w:rsidP="00066839">
            <w:pPr>
              <w:pStyle w:val="TableText"/>
              <w:keepNext w:val="0"/>
              <w:rPr>
                <w:szCs w:val="20"/>
              </w:rPr>
            </w:pPr>
            <w:r w:rsidRPr="002A5805">
              <w:rPr>
                <w:szCs w:val="20"/>
              </w:rPr>
              <w:t>valsartan patients)</w:t>
            </w:r>
          </w:p>
        </w:tc>
        <w:tc>
          <w:tcPr>
            <w:tcW w:w="1956" w:type="pct"/>
            <w:shd w:val="clear" w:color="auto" w:fill="auto"/>
            <w:vAlign w:val="center"/>
          </w:tcPr>
          <w:p w:rsidR="00062ABA" w:rsidRPr="005E5A85" w:rsidRDefault="00062ABA" w:rsidP="00066839">
            <w:pPr>
              <w:pStyle w:val="TableText"/>
              <w:rPr>
                <w:szCs w:val="20"/>
              </w:rPr>
            </w:pPr>
            <w:r w:rsidRPr="005E5A85">
              <w:rPr>
                <w:szCs w:val="20"/>
              </w:rPr>
              <w:t>Yr 1: 4%; Yr 2: 7%; Yr 3: 14%; Yr 4: 16%; Yr</w:t>
            </w:r>
            <w:r w:rsidR="00864C47" w:rsidRPr="005E5A85">
              <w:rPr>
                <w:szCs w:val="20"/>
              </w:rPr>
              <w:t> </w:t>
            </w:r>
            <w:r w:rsidRPr="005E5A85">
              <w:rPr>
                <w:szCs w:val="20"/>
              </w:rPr>
              <w:t>5:</w:t>
            </w:r>
            <w:r w:rsidR="00864C47" w:rsidRPr="005E5A85">
              <w:rPr>
                <w:szCs w:val="20"/>
              </w:rPr>
              <w:t> </w:t>
            </w:r>
            <w:r w:rsidRPr="005E5A85">
              <w:rPr>
                <w:szCs w:val="20"/>
              </w:rPr>
              <w:t>18%; Yr 6: 22%. Based on sponsor assumption.</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Uptake rates were considered uncertain given that the place of dapagliflozin in therapy is currently unclear. The submission did not account for potential co-administration of sacubitril/valsartan and dapagliflozin.</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Sacubitril/</w:t>
            </w:r>
          </w:p>
          <w:p w:rsidR="00062ABA" w:rsidRPr="002A5805" w:rsidRDefault="00062ABA" w:rsidP="00066839">
            <w:pPr>
              <w:pStyle w:val="TableText"/>
              <w:keepNext w:val="0"/>
              <w:rPr>
                <w:szCs w:val="20"/>
              </w:rPr>
            </w:pPr>
            <w:r w:rsidRPr="002A5805">
              <w:rPr>
                <w:szCs w:val="20"/>
              </w:rPr>
              <w:t>valsartan compliance</w:t>
            </w:r>
          </w:p>
        </w:tc>
        <w:tc>
          <w:tcPr>
            <w:tcW w:w="1956" w:type="pct"/>
            <w:shd w:val="clear" w:color="auto" w:fill="auto"/>
            <w:vAlign w:val="center"/>
          </w:tcPr>
          <w:p w:rsidR="00062ABA" w:rsidRPr="002A5805" w:rsidRDefault="00062ABA" w:rsidP="00066839">
            <w:pPr>
              <w:pStyle w:val="TableText"/>
              <w:keepNext w:val="0"/>
              <w:rPr>
                <w:szCs w:val="20"/>
              </w:rPr>
            </w:pPr>
            <w:r w:rsidRPr="002A5805">
              <w:rPr>
                <w:szCs w:val="20"/>
              </w:rPr>
              <w:t>75% based on the sacubitril/valsartan PBAC public summary document</w:t>
            </w:r>
            <w:r w:rsidR="00864C47" w:rsidRPr="002A5805">
              <w:rPr>
                <w:szCs w:val="20"/>
              </w:rPr>
              <w:t xml:space="preserve"> (July 2016)</w:t>
            </w:r>
            <w:r w:rsidRPr="002A5805">
              <w:rPr>
                <w:szCs w:val="20"/>
              </w:rPr>
              <w:t>.</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Differences in the assumed compliance between dapagliflozin and sacubitril/valsartan may be overestimated.</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Dapagliflozin compliance</w:t>
            </w:r>
          </w:p>
        </w:tc>
        <w:tc>
          <w:tcPr>
            <w:tcW w:w="1956" w:type="pct"/>
            <w:shd w:val="clear" w:color="auto" w:fill="auto"/>
            <w:vAlign w:val="center"/>
          </w:tcPr>
          <w:p w:rsidR="00062ABA" w:rsidRPr="002A5805" w:rsidRDefault="00062ABA" w:rsidP="00066839">
            <w:pPr>
              <w:pStyle w:val="TableText"/>
              <w:keepNext w:val="0"/>
              <w:rPr>
                <w:szCs w:val="20"/>
              </w:rPr>
            </w:pPr>
            <w:r w:rsidRPr="002A5805">
              <w:rPr>
                <w:szCs w:val="20"/>
              </w:rPr>
              <w:t>95% based on sponsor assumption. The submission predicted better compliance with dapagliflozin compared to sacubitril/valsartan.</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Differences in the assumed compliance between dapagliflozin and sacubitril/valsartan may be overestimated.</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keepNext w:val="0"/>
              <w:rPr>
                <w:szCs w:val="20"/>
              </w:rPr>
            </w:pPr>
            <w:r w:rsidRPr="002A5805">
              <w:rPr>
                <w:szCs w:val="20"/>
              </w:rPr>
              <w:t>Dapagliflozin price</w:t>
            </w:r>
          </w:p>
        </w:tc>
        <w:tc>
          <w:tcPr>
            <w:tcW w:w="1956" w:type="pct"/>
            <w:shd w:val="clear" w:color="auto" w:fill="auto"/>
            <w:vAlign w:val="center"/>
          </w:tcPr>
          <w:p w:rsidR="00062ABA" w:rsidRPr="002A5805" w:rsidRDefault="00062ABA" w:rsidP="00066839">
            <w:pPr>
              <w:pStyle w:val="TableText"/>
              <w:keepNext w:val="0"/>
              <w:rPr>
                <w:szCs w:val="20"/>
              </w:rPr>
            </w:pPr>
            <w:r w:rsidRPr="002A5805">
              <w:rPr>
                <w:szCs w:val="20"/>
              </w:rPr>
              <w:t>$</w:t>
            </w:r>
            <w:r w:rsidR="00CC6504">
              <w:rPr>
                <w:noProof/>
                <w:color w:val="000000"/>
                <w:szCs w:val="20"/>
                <w:highlight w:val="black"/>
              </w:rPr>
              <w:t>''''''''''''''''''</w:t>
            </w:r>
            <w:r w:rsidRPr="002A5805">
              <w:rPr>
                <w:szCs w:val="20"/>
              </w:rPr>
              <w:t xml:space="preserve"> (proposed dapagliflozin AEMP)</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The submission noted that sacubitril/valsartan is subject to a special pricing arrangement and that the dapagliflozin price would be derived using the proposed cost-minimisation analysis based on the effective price of sacubitril/valsartan</w:t>
            </w:r>
            <w:r w:rsidR="000B5A3E" w:rsidRPr="002A5805">
              <w:rPr>
                <w:szCs w:val="20"/>
              </w:rPr>
              <w:t xml:space="preserve"> minus the cost of valsartan</w:t>
            </w:r>
            <w:r w:rsidRPr="002A5805">
              <w:rPr>
                <w:szCs w:val="20"/>
              </w:rPr>
              <w:t>.</w:t>
            </w:r>
          </w:p>
        </w:tc>
      </w:tr>
      <w:tr w:rsidR="00062ABA" w:rsidRPr="002A5805" w:rsidTr="002A5805">
        <w:trPr>
          <w:cantSplit/>
        </w:trPr>
        <w:tc>
          <w:tcPr>
            <w:tcW w:w="950" w:type="pct"/>
            <w:shd w:val="clear" w:color="auto" w:fill="auto"/>
            <w:vAlign w:val="center"/>
          </w:tcPr>
          <w:p w:rsidR="00062ABA" w:rsidRPr="002A5805" w:rsidRDefault="00062ABA" w:rsidP="00066839">
            <w:pPr>
              <w:pStyle w:val="TableText"/>
              <w:rPr>
                <w:szCs w:val="20"/>
              </w:rPr>
            </w:pPr>
            <w:r w:rsidRPr="002A5805">
              <w:rPr>
                <w:szCs w:val="20"/>
              </w:rPr>
              <w:t>Sacubitril/valsartan price</w:t>
            </w:r>
          </w:p>
        </w:tc>
        <w:tc>
          <w:tcPr>
            <w:tcW w:w="1956" w:type="pct"/>
            <w:shd w:val="clear" w:color="auto" w:fill="auto"/>
            <w:vAlign w:val="center"/>
          </w:tcPr>
          <w:p w:rsidR="00062ABA" w:rsidRPr="002A5805" w:rsidRDefault="00062ABA" w:rsidP="00066839">
            <w:pPr>
              <w:pStyle w:val="TableText"/>
              <w:keepNext w:val="0"/>
              <w:rPr>
                <w:szCs w:val="20"/>
              </w:rPr>
            </w:pPr>
            <w:r w:rsidRPr="002A5805">
              <w:rPr>
                <w:szCs w:val="20"/>
              </w:rPr>
              <w:t>$173.49 (published sacubitril/valsartan AEMP)</w:t>
            </w:r>
          </w:p>
        </w:tc>
        <w:tc>
          <w:tcPr>
            <w:tcW w:w="2094" w:type="pct"/>
            <w:shd w:val="clear" w:color="auto" w:fill="auto"/>
            <w:vAlign w:val="center"/>
          </w:tcPr>
          <w:p w:rsidR="00062ABA" w:rsidRPr="002A5805" w:rsidRDefault="00062ABA" w:rsidP="00066839">
            <w:pPr>
              <w:pStyle w:val="TableText"/>
              <w:keepNext w:val="0"/>
              <w:rPr>
                <w:szCs w:val="20"/>
              </w:rPr>
            </w:pPr>
            <w:r w:rsidRPr="002A5805">
              <w:rPr>
                <w:szCs w:val="20"/>
              </w:rPr>
              <w:t>The submission noted that sacubitril/valsartan is subject to a special pricing arrangement.</w:t>
            </w:r>
          </w:p>
        </w:tc>
      </w:tr>
    </w:tbl>
    <w:p w:rsidR="00062ABA" w:rsidRPr="002A5805" w:rsidRDefault="00062ABA" w:rsidP="002A5805">
      <w:pPr>
        <w:pStyle w:val="TableFooter"/>
      </w:pPr>
      <w:r w:rsidRPr="002A5805">
        <w:t xml:space="preserve">Source: Figure 4.1-1, p.125 of the submission; ‘Key Inputs’ worksheet of the Section 4 financial Excel workbook. </w:t>
      </w:r>
    </w:p>
    <w:p w:rsidR="00062ABA" w:rsidRPr="002A5805" w:rsidRDefault="00062ABA" w:rsidP="002A5805">
      <w:pPr>
        <w:pStyle w:val="TableFooter"/>
      </w:pPr>
      <w:r w:rsidRPr="002A5805">
        <w:t>Abbreviations: ABS, Australian Bureau of Statistics; ACE, angiotensin-converting enzyme; AEMP, Approved ex-manufacturer price; ARB, angiotensin II receptor blocker; GP, General Practitioner; HF, heart failure; HFrEF, heart failure with reduced ejection fraction; LVEF, left ventricular ejection fraction; NYHA, New York Heart Association; SGLT2, sodium-glucose co-transporter-2; Yr, Year.</w:t>
      </w:r>
    </w:p>
    <w:p w:rsidR="00062ABA" w:rsidRPr="004D292C" w:rsidRDefault="00062ABA" w:rsidP="00062ABA">
      <w:pPr>
        <w:pStyle w:val="ExecSumBodyText"/>
        <w:numPr>
          <w:ilvl w:val="1"/>
          <w:numId w:val="1"/>
        </w:numPr>
      </w:pPr>
      <w:r w:rsidRPr="004D292C">
        <w:t>T</w:t>
      </w:r>
      <w:r w:rsidR="00ED1F80">
        <w:t>able 11</w:t>
      </w:r>
      <w:r w:rsidRPr="004D292C">
        <w:t xml:space="preserve"> presents the estimated net cost to the PBS/RPBS of listing dapagliflozin for the treatment of patients with chronic heart failure with reduced ejection fraction</w:t>
      </w:r>
      <w:r w:rsidR="004D292C">
        <w:t xml:space="preserve">. </w:t>
      </w:r>
    </w:p>
    <w:p w:rsidR="00062ABA" w:rsidRPr="004D292C" w:rsidRDefault="00ED1F80" w:rsidP="002A5805">
      <w:pPr>
        <w:pStyle w:val="TableHeading"/>
        <w:spacing w:before="0" w:after="0" w:line="240" w:lineRule="auto"/>
      </w:pPr>
      <w:r>
        <w:lastRenderedPageBreak/>
        <w:t>Table 11</w:t>
      </w:r>
      <w:r w:rsidR="00062ABA" w:rsidRPr="004D292C">
        <w:t>: Financial impact of listing dapagliflozin for chronic heart failure with reduced ejection fraction</w:t>
      </w:r>
    </w:p>
    <w:tbl>
      <w:tblPr>
        <w:tblStyle w:val="Summarybox3"/>
        <w:tblW w:w="5000" w:type="pct"/>
        <w:tblCellMar>
          <w:left w:w="28" w:type="dxa"/>
          <w:right w:w="28" w:type="dxa"/>
        </w:tblCellMar>
        <w:tblLook w:val="04A0" w:firstRow="1" w:lastRow="0" w:firstColumn="1" w:lastColumn="0" w:noHBand="0" w:noVBand="1"/>
        <w:tblCaption w:val="Table 11: Financial impact of listing dapagliflozin for chronic heart failure with reduced ejection fraction"/>
      </w:tblPr>
      <w:tblGrid>
        <w:gridCol w:w="3154"/>
        <w:gridCol w:w="973"/>
        <w:gridCol w:w="973"/>
        <w:gridCol w:w="991"/>
        <w:gridCol w:w="929"/>
        <w:gridCol w:w="973"/>
        <w:gridCol w:w="1024"/>
      </w:tblGrid>
      <w:tr w:rsidR="005A20F6" w:rsidRPr="002A5805" w:rsidTr="002A5805">
        <w:trPr>
          <w:trHeight w:val="209"/>
          <w:tblHeader/>
        </w:trPr>
        <w:tc>
          <w:tcPr>
            <w:tcW w:w="1334" w:type="pct"/>
            <w:hideMark/>
          </w:tcPr>
          <w:p w:rsidR="00062ABA" w:rsidRPr="002A5805" w:rsidRDefault="00062ABA" w:rsidP="002A5805">
            <w:pPr>
              <w:pStyle w:val="TableText"/>
              <w:keepLines/>
              <w:rPr>
                <w:szCs w:val="20"/>
              </w:rPr>
            </w:pPr>
            <w:r w:rsidRPr="002A5805">
              <w:rPr>
                <w:szCs w:val="20"/>
              </w:rPr>
              <w:t> </w:t>
            </w:r>
          </w:p>
        </w:tc>
        <w:tc>
          <w:tcPr>
            <w:tcW w:w="611" w:type="pct"/>
            <w:vAlign w:val="bottom"/>
            <w:hideMark/>
          </w:tcPr>
          <w:p w:rsidR="00062ABA" w:rsidRPr="002A5805" w:rsidRDefault="00062ABA" w:rsidP="002A5805">
            <w:pPr>
              <w:keepNext/>
              <w:keepLines/>
              <w:jc w:val="center"/>
              <w:rPr>
                <w:rFonts w:ascii="Arial Narrow" w:hAnsi="Arial Narrow"/>
                <w:b/>
                <w:bCs/>
                <w:snapToGrid w:val="0"/>
                <w:sz w:val="20"/>
                <w:szCs w:val="20"/>
              </w:rPr>
            </w:pPr>
            <w:r w:rsidRPr="002A5805">
              <w:rPr>
                <w:rFonts w:ascii="Arial Narrow" w:hAnsi="Arial Narrow"/>
                <w:b/>
                <w:bCs/>
                <w:snapToGrid w:val="0"/>
                <w:sz w:val="20"/>
                <w:szCs w:val="20"/>
              </w:rPr>
              <w:t>Year 1</w:t>
            </w:r>
          </w:p>
          <w:p w:rsidR="00062ABA" w:rsidRPr="002A5805" w:rsidRDefault="00062ABA" w:rsidP="002A5805">
            <w:pPr>
              <w:pStyle w:val="TableText"/>
              <w:keepLines/>
              <w:jc w:val="center"/>
              <w:rPr>
                <w:b/>
                <w:szCs w:val="20"/>
              </w:rPr>
            </w:pPr>
            <w:r w:rsidRPr="002A5805">
              <w:rPr>
                <w:rFonts w:eastAsia="Times New Roman" w:cs="Arial"/>
                <w:b/>
                <w:bCs w:val="0"/>
                <w:snapToGrid w:val="0"/>
                <w:szCs w:val="20"/>
              </w:rPr>
              <w:t>(2021)</w:t>
            </w:r>
          </w:p>
        </w:tc>
        <w:tc>
          <w:tcPr>
            <w:tcW w:w="611" w:type="pct"/>
            <w:vAlign w:val="bottom"/>
            <w:hideMark/>
          </w:tcPr>
          <w:p w:rsidR="00062ABA" w:rsidRPr="002A5805" w:rsidRDefault="00062ABA" w:rsidP="002A5805">
            <w:pPr>
              <w:keepNext/>
              <w:keepLines/>
              <w:jc w:val="center"/>
              <w:rPr>
                <w:rFonts w:ascii="Arial Narrow" w:hAnsi="Arial Narrow"/>
                <w:b/>
                <w:bCs/>
                <w:snapToGrid w:val="0"/>
                <w:sz w:val="20"/>
                <w:szCs w:val="20"/>
              </w:rPr>
            </w:pPr>
            <w:r w:rsidRPr="002A5805">
              <w:rPr>
                <w:rFonts w:ascii="Arial Narrow" w:hAnsi="Arial Narrow"/>
                <w:b/>
                <w:bCs/>
                <w:snapToGrid w:val="0"/>
                <w:sz w:val="20"/>
                <w:szCs w:val="20"/>
              </w:rPr>
              <w:t>Year 2</w:t>
            </w:r>
          </w:p>
          <w:p w:rsidR="00062ABA" w:rsidRPr="002A5805" w:rsidRDefault="00062ABA" w:rsidP="002A5805">
            <w:pPr>
              <w:pStyle w:val="TableText"/>
              <w:keepLines/>
              <w:jc w:val="center"/>
              <w:rPr>
                <w:b/>
                <w:szCs w:val="20"/>
              </w:rPr>
            </w:pPr>
            <w:r w:rsidRPr="002A5805">
              <w:rPr>
                <w:rFonts w:eastAsia="Times New Roman" w:cs="Arial"/>
                <w:b/>
                <w:bCs w:val="0"/>
                <w:snapToGrid w:val="0"/>
                <w:szCs w:val="20"/>
              </w:rPr>
              <w:t>(2022)</w:t>
            </w:r>
          </w:p>
        </w:tc>
        <w:tc>
          <w:tcPr>
            <w:tcW w:w="611" w:type="pct"/>
            <w:vAlign w:val="bottom"/>
            <w:hideMark/>
          </w:tcPr>
          <w:p w:rsidR="00062ABA" w:rsidRPr="002A5805" w:rsidRDefault="00062ABA" w:rsidP="002A5805">
            <w:pPr>
              <w:pStyle w:val="TableText"/>
              <w:keepLines/>
              <w:jc w:val="center"/>
              <w:rPr>
                <w:b/>
                <w:szCs w:val="20"/>
              </w:rPr>
            </w:pPr>
            <w:r w:rsidRPr="002A5805">
              <w:rPr>
                <w:rFonts w:eastAsia="Times New Roman" w:cs="Arial"/>
                <w:b/>
                <w:bCs w:val="0"/>
                <w:snapToGrid w:val="0"/>
                <w:szCs w:val="20"/>
              </w:rPr>
              <w:t>Year 3</w:t>
            </w:r>
            <w:r w:rsidRPr="002A5805">
              <w:rPr>
                <w:rFonts w:eastAsia="Times New Roman" w:cs="Arial"/>
                <w:b/>
                <w:bCs w:val="0"/>
                <w:snapToGrid w:val="0"/>
                <w:szCs w:val="20"/>
              </w:rPr>
              <w:br/>
              <w:t>(2023)</w:t>
            </w:r>
          </w:p>
        </w:tc>
        <w:tc>
          <w:tcPr>
            <w:tcW w:w="611" w:type="pct"/>
            <w:vAlign w:val="bottom"/>
            <w:hideMark/>
          </w:tcPr>
          <w:p w:rsidR="00062ABA" w:rsidRPr="002A5805" w:rsidRDefault="00062ABA" w:rsidP="002A5805">
            <w:pPr>
              <w:keepNext/>
              <w:keepLines/>
              <w:jc w:val="center"/>
              <w:rPr>
                <w:rFonts w:ascii="Arial Narrow" w:hAnsi="Arial Narrow"/>
                <w:b/>
                <w:bCs/>
                <w:snapToGrid w:val="0"/>
                <w:sz w:val="20"/>
                <w:szCs w:val="20"/>
              </w:rPr>
            </w:pPr>
            <w:r w:rsidRPr="002A5805">
              <w:rPr>
                <w:rFonts w:ascii="Arial Narrow" w:hAnsi="Arial Narrow"/>
                <w:b/>
                <w:bCs/>
                <w:snapToGrid w:val="0"/>
                <w:sz w:val="20"/>
                <w:szCs w:val="20"/>
              </w:rPr>
              <w:t>Year 4</w:t>
            </w:r>
          </w:p>
          <w:p w:rsidR="00062ABA" w:rsidRPr="002A5805" w:rsidRDefault="00062ABA" w:rsidP="002A5805">
            <w:pPr>
              <w:pStyle w:val="TableText"/>
              <w:keepLines/>
              <w:jc w:val="center"/>
              <w:rPr>
                <w:b/>
                <w:szCs w:val="20"/>
              </w:rPr>
            </w:pPr>
            <w:r w:rsidRPr="002A5805">
              <w:rPr>
                <w:rFonts w:eastAsia="Times New Roman" w:cs="Arial"/>
                <w:b/>
                <w:bCs w:val="0"/>
                <w:snapToGrid w:val="0"/>
                <w:szCs w:val="20"/>
              </w:rPr>
              <w:t>(2024)</w:t>
            </w:r>
          </w:p>
        </w:tc>
        <w:tc>
          <w:tcPr>
            <w:tcW w:w="611" w:type="pct"/>
            <w:vAlign w:val="bottom"/>
            <w:hideMark/>
          </w:tcPr>
          <w:p w:rsidR="00062ABA" w:rsidRPr="002A5805" w:rsidRDefault="00062ABA" w:rsidP="002A5805">
            <w:pPr>
              <w:keepNext/>
              <w:keepLines/>
              <w:jc w:val="center"/>
              <w:rPr>
                <w:rFonts w:ascii="Arial Narrow" w:hAnsi="Arial Narrow"/>
                <w:b/>
                <w:bCs/>
                <w:snapToGrid w:val="0"/>
                <w:sz w:val="20"/>
                <w:szCs w:val="20"/>
              </w:rPr>
            </w:pPr>
            <w:r w:rsidRPr="002A5805">
              <w:rPr>
                <w:rFonts w:ascii="Arial Narrow" w:hAnsi="Arial Narrow"/>
                <w:b/>
                <w:bCs/>
                <w:snapToGrid w:val="0"/>
                <w:sz w:val="20"/>
                <w:szCs w:val="20"/>
              </w:rPr>
              <w:t>Year 5</w:t>
            </w:r>
          </w:p>
          <w:p w:rsidR="00062ABA" w:rsidRPr="002A5805" w:rsidRDefault="00062ABA" w:rsidP="002A5805">
            <w:pPr>
              <w:pStyle w:val="TableText"/>
              <w:keepLines/>
              <w:jc w:val="center"/>
              <w:rPr>
                <w:b/>
                <w:szCs w:val="20"/>
              </w:rPr>
            </w:pPr>
            <w:r w:rsidRPr="002A5805">
              <w:rPr>
                <w:rFonts w:eastAsia="Times New Roman" w:cs="Arial"/>
                <w:b/>
                <w:bCs w:val="0"/>
                <w:snapToGrid w:val="0"/>
                <w:szCs w:val="20"/>
              </w:rPr>
              <w:t>(2025)</w:t>
            </w:r>
          </w:p>
        </w:tc>
        <w:tc>
          <w:tcPr>
            <w:tcW w:w="611" w:type="pct"/>
            <w:hideMark/>
          </w:tcPr>
          <w:p w:rsidR="00062ABA" w:rsidRPr="002A5805" w:rsidRDefault="00062ABA" w:rsidP="002A5805">
            <w:pPr>
              <w:keepNext/>
              <w:keepLines/>
              <w:jc w:val="center"/>
              <w:rPr>
                <w:rFonts w:ascii="Arial Narrow" w:hAnsi="Arial Narrow"/>
                <w:b/>
                <w:bCs/>
                <w:snapToGrid w:val="0"/>
                <w:sz w:val="20"/>
                <w:szCs w:val="20"/>
              </w:rPr>
            </w:pPr>
            <w:r w:rsidRPr="002A5805">
              <w:rPr>
                <w:rFonts w:ascii="Arial Narrow" w:hAnsi="Arial Narrow"/>
                <w:b/>
                <w:bCs/>
                <w:snapToGrid w:val="0"/>
                <w:sz w:val="20"/>
                <w:szCs w:val="20"/>
              </w:rPr>
              <w:t>Year 6</w:t>
            </w:r>
          </w:p>
          <w:p w:rsidR="00062ABA" w:rsidRPr="002A5805" w:rsidRDefault="00062ABA" w:rsidP="002A5805">
            <w:pPr>
              <w:pStyle w:val="TableText"/>
              <w:keepLines/>
              <w:jc w:val="center"/>
              <w:rPr>
                <w:b/>
                <w:szCs w:val="20"/>
              </w:rPr>
            </w:pPr>
            <w:r w:rsidRPr="002A5805">
              <w:rPr>
                <w:rFonts w:eastAsia="Times New Roman" w:cs="Arial"/>
                <w:b/>
                <w:bCs w:val="0"/>
                <w:snapToGrid w:val="0"/>
                <w:szCs w:val="20"/>
              </w:rPr>
              <w:t>(2026)</w:t>
            </w:r>
          </w:p>
        </w:tc>
      </w:tr>
      <w:tr w:rsidR="00062ABA" w:rsidRPr="002A5805" w:rsidTr="002A5805">
        <w:tc>
          <w:tcPr>
            <w:tcW w:w="5000" w:type="pct"/>
            <w:gridSpan w:val="7"/>
            <w:tcBorders>
              <w:left w:val="single" w:sz="4" w:space="0" w:color="auto"/>
              <w:bottom w:val="single" w:sz="4" w:space="0" w:color="auto"/>
              <w:right w:val="single" w:sz="4" w:space="0" w:color="auto"/>
            </w:tcBorders>
            <w:shd w:val="clear" w:color="auto" w:fill="auto"/>
            <w:noWrap/>
          </w:tcPr>
          <w:p w:rsidR="00062ABA" w:rsidRPr="002A5805" w:rsidRDefault="00062ABA" w:rsidP="002A5805">
            <w:pPr>
              <w:pStyle w:val="Tabletextcentred"/>
              <w:keepLines/>
              <w:jc w:val="left"/>
              <w:rPr>
                <w:b/>
              </w:rPr>
            </w:pPr>
            <w:r w:rsidRPr="002A5805">
              <w:rPr>
                <w:b/>
              </w:rPr>
              <w:t>Dapagliflozin scripts</w:t>
            </w:r>
          </w:p>
        </w:tc>
      </w:tr>
      <w:tr w:rsidR="0076169E" w:rsidRPr="002A5805" w:rsidTr="002A5805">
        <w:tc>
          <w:tcPr>
            <w:tcW w:w="1334" w:type="pct"/>
            <w:tcBorders>
              <w:left w:val="single" w:sz="4" w:space="0" w:color="auto"/>
              <w:bottom w:val="single" w:sz="4" w:space="0" w:color="auto"/>
            </w:tcBorders>
            <w:shd w:val="clear" w:color="auto" w:fill="auto"/>
            <w:noWrap/>
          </w:tcPr>
          <w:p w:rsidR="00062ABA" w:rsidRPr="002A5805" w:rsidRDefault="00062ABA" w:rsidP="002A5805">
            <w:pPr>
              <w:pStyle w:val="TableText"/>
              <w:keepLines/>
              <w:rPr>
                <w:szCs w:val="20"/>
              </w:rPr>
            </w:pPr>
            <w:r w:rsidRPr="002A5805">
              <w:rPr>
                <w:szCs w:val="20"/>
              </w:rPr>
              <w:t>Total treated patients</w:t>
            </w:r>
          </w:p>
        </w:tc>
        <w:tc>
          <w:tcPr>
            <w:tcW w:w="611" w:type="pct"/>
            <w:noWrap/>
          </w:tcPr>
          <w:p w:rsidR="00062ABA" w:rsidRPr="002A5805" w:rsidRDefault="007D59EF" w:rsidP="002A5805">
            <w:pPr>
              <w:pStyle w:val="Tabletextcentred"/>
              <w:keepLines/>
            </w:pPr>
            <w:r>
              <w:rPr>
                <w:noProof/>
                <w:color w:val="000000"/>
                <w:highlight w:val="black"/>
              </w:rPr>
              <w:t>'''''''''''''''</w:t>
            </w:r>
            <w:r w:rsidR="00285713" w:rsidRPr="00285713">
              <w:rPr>
                <w:rStyle w:val="FootnoteReference"/>
              </w:rPr>
              <w:footnoteReference w:id="1"/>
            </w:r>
          </w:p>
        </w:tc>
        <w:tc>
          <w:tcPr>
            <w:tcW w:w="611" w:type="pct"/>
            <w:noWrap/>
          </w:tcPr>
          <w:p w:rsidR="00062ABA" w:rsidRPr="002A5805" w:rsidRDefault="007D59EF" w:rsidP="002A5805">
            <w:pPr>
              <w:pStyle w:val="Tabletextcentred"/>
              <w:keepLines/>
            </w:pPr>
            <w:r>
              <w:rPr>
                <w:noProof/>
                <w:color w:val="000000"/>
                <w:highlight w:val="black"/>
              </w:rPr>
              <w:t>'''''''''''''''</w:t>
            </w:r>
            <w:r w:rsidR="00285713" w:rsidRPr="006974C8">
              <w:rPr>
                <w:rStyle w:val="FootnoteReference"/>
              </w:rPr>
              <w:footnoteReference w:id="2"/>
            </w:r>
          </w:p>
        </w:tc>
        <w:tc>
          <w:tcPr>
            <w:tcW w:w="611" w:type="pct"/>
            <w:noWrap/>
          </w:tcPr>
          <w:p w:rsidR="00062ABA" w:rsidRPr="002A5805" w:rsidRDefault="007D59EF" w:rsidP="002A5805">
            <w:pPr>
              <w:pStyle w:val="Tabletextcentred"/>
              <w:keepLines/>
            </w:pPr>
            <w:r>
              <w:rPr>
                <w:noProof/>
                <w:color w:val="000000"/>
                <w:highlight w:val="black"/>
              </w:rPr>
              <w:t>'''''''''''''''''</w:t>
            </w:r>
            <w:r w:rsidR="00285713" w:rsidRPr="006974C8">
              <w:rPr>
                <w:rStyle w:val="FootnoteReference"/>
              </w:rPr>
              <w:footnoteReference w:id="3"/>
            </w:r>
          </w:p>
        </w:tc>
        <w:tc>
          <w:tcPr>
            <w:tcW w:w="611" w:type="pct"/>
            <w:noWrap/>
          </w:tcPr>
          <w:p w:rsidR="00062ABA" w:rsidRPr="002A5805" w:rsidRDefault="007D59EF" w:rsidP="00297A21">
            <w:pPr>
              <w:pStyle w:val="Tabletextcentred"/>
              <w:keepLines/>
            </w:pPr>
            <w:r>
              <w:rPr>
                <w:noProof/>
                <w:color w:val="000000"/>
                <w:highlight w:val="black"/>
              </w:rPr>
              <w:t>''''''''''''''''''</w:t>
            </w:r>
            <w:r w:rsidR="00297A21" w:rsidRPr="00297A21">
              <w:rPr>
                <w:vertAlign w:val="superscript"/>
              </w:rPr>
              <w:t>3</w:t>
            </w:r>
          </w:p>
        </w:tc>
        <w:tc>
          <w:tcPr>
            <w:tcW w:w="611" w:type="pct"/>
            <w:noWrap/>
          </w:tcPr>
          <w:p w:rsidR="00062ABA" w:rsidRPr="002A5805" w:rsidRDefault="007D59EF" w:rsidP="00297A21">
            <w:pPr>
              <w:pStyle w:val="Tabletextcentred"/>
              <w:keepLines/>
            </w:pPr>
            <w:r>
              <w:rPr>
                <w:noProof/>
                <w:color w:val="000000"/>
                <w:highlight w:val="black"/>
              </w:rPr>
              <w:t>'''''''''''''''</w:t>
            </w:r>
            <w:r w:rsidR="00297A21" w:rsidRPr="00297A21">
              <w:rPr>
                <w:vertAlign w:val="superscript"/>
              </w:rPr>
              <w:t>4</w:t>
            </w:r>
          </w:p>
        </w:tc>
        <w:tc>
          <w:tcPr>
            <w:tcW w:w="611" w:type="pct"/>
            <w:noWrap/>
          </w:tcPr>
          <w:p w:rsidR="00062ABA" w:rsidRPr="002A5805" w:rsidRDefault="007D59EF" w:rsidP="00297A21">
            <w:pPr>
              <w:pStyle w:val="Tabletextcentred"/>
              <w:keepLines/>
            </w:pPr>
            <w:r>
              <w:rPr>
                <w:noProof/>
                <w:color w:val="000000"/>
                <w:highlight w:val="black"/>
              </w:rPr>
              <w:t>''''''''''''''''</w:t>
            </w:r>
            <w:r w:rsidR="00297A21" w:rsidRPr="00297A21">
              <w:rPr>
                <w:vertAlign w:val="superscript"/>
              </w:rPr>
              <w:t>5</w:t>
            </w:r>
          </w:p>
        </w:tc>
      </w:tr>
      <w:tr w:rsidR="0076169E" w:rsidRPr="002A5805" w:rsidTr="002A5805">
        <w:tc>
          <w:tcPr>
            <w:tcW w:w="1334" w:type="pct"/>
            <w:tcBorders>
              <w:left w:val="single" w:sz="4" w:space="0" w:color="auto"/>
              <w:bottom w:val="single" w:sz="4" w:space="0" w:color="auto"/>
            </w:tcBorders>
            <w:shd w:val="clear" w:color="auto" w:fill="auto"/>
            <w:noWrap/>
          </w:tcPr>
          <w:p w:rsidR="00062ABA" w:rsidRPr="002A5805" w:rsidRDefault="00062ABA" w:rsidP="002A5805">
            <w:pPr>
              <w:pStyle w:val="TableText"/>
              <w:keepLines/>
              <w:rPr>
                <w:szCs w:val="20"/>
              </w:rPr>
            </w:pPr>
            <w:r w:rsidRPr="002A5805">
              <w:rPr>
                <w:szCs w:val="20"/>
              </w:rPr>
              <w:t>Total dapagliflozin scripts</w:t>
            </w:r>
          </w:p>
        </w:tc>
        <w:tc>
          <w:tcPr>
            <w:tcW w:w="611" w:type="pct"/>
            <w:noWrap/>
            <w:vAlign w:val="center"/>
          </w:tcPr>
          <w:p w:rsidR="00062ABA" w:rsidRPr="002A5805" w:rsidRDefault="007D59EF" w:rsidP="00297A21">
            <w:pPr>
              <w:pStyle w:val="Tabletextcentred"/>
              <w:keepLines/>
            </w:pPr>
            <w:r>
              <w:rPr>
                <w:noProof/>
                <w:color w:val="000000"/>
                <w:highlight w:val="black"/>
              </w:rPr>
              <w:t>''''''''''''''''''</w:t>
            </w:r>
            <w:r w:rsidR="00297A21" w:rsidRPr="00297A21">
              <w:rPr>
                <w:vertAlign w:val="superscript"/>
              </w:rPr>
              <w:t>6</w:t>
            </w:r>
          </w:p>
        </w:tc>
        <w:tc>
          <w:tcPr>
            <w:tcW w:w="611" w:type="pct"/>
            <w:noWrap/>
            <w:vAlign w:val="center"/>
          </w:tcPr>
          <w:p w:rsidR="00062ABA" w:rsidRPr="002A5805" w:rsidRDefault="007D59EF" w:rsidP="005C723A">
            <w:pPr>
              <w:pStyle w:val="Tabletextcentred"/>
              <w:keepLines/>
            </w:pPr>
            <w:r>
              <w:rPr>
                <w:noProof/>
                <w:color w:val="000000"/>
                <w:highlight w:val="black"/>
              </w:rPr>
              <w:t>'''''''''''''''''''</w:t>
            </w:r>
            <w:r w:rsidR="00297A21" w:rsidRPr="00297A21">
              <w:rPr>
                <w:vertAlign w:val="superscript"/>
              </w:rPr>
              <w:t>7</w:t>
            </w:r>
          </w:p>
        </w:tc>
        <w:tc>
          <w:tcPr>
            <w:tcW w:w="611" w:type="pct"/>
            <w:noWrap/>
            <w:vAlign w:val="center"/>
          </w:tcPr>
          <w:p w:rsidR="00062ABA" w:rsidRPr="002A5805" w:rsidRDefault="007D59EF" w:rsidP="00297A21">
            <w:pPr>
              <w:pStyle w:val="Tabletextcentred"/>
              <w:keepLines/>
            </w:pPr>
            <w:r>
              <w:rPr>
                <w:noProof/>
                <w:color w:val="000000"/>
                <w:highlight w:val="black"/>
              </w:rPr>
              <w:t>'''''''''''''''''</w:t>
            </w:r>
            <w:r w:rsidR="00297A21" w:rsidRPr="00297A21">
              <w:rPr>
                <w:vertAlign w:val="superscript"/>
              </w:rPr>
              <w:t>8</w:t>
            </w:r>
          </w:p>
        </w:tc>
        <w:tc>
          <w:tcPr>
            <w:tcW w:w="611" w:type="pct"/>
            <w:noWrap/>
            <w:vAlign w:val="center"/>
          </w:tcPr>
          <w:p w:rsidR="00062ABA" w:rsidRPr="002A5805" w:rsidRDefault="007D59EF" w:rsidP="00297A21">
            <w:pPr>
              <w:pStyle w:val="Tabletextcentred"/>
              <w:keepLines/>
            </w:pPr>
            <w:r>
              <w:rPr>
                <w:noProof/>
                <w:color w:val="000000"/>
                <w:highlight w:val="black"/>
              </w:rPr>
              <w:t>'''''''''''''''''</w:t>
            </w:r>
            <w:r w:rsidR="00297A21">
              <w:rPr>
                <w:vertAlign w:val="superscript"/>
              </w:rPr>
              <w:t>9</w:t>
            </w:r>
          </w:p>
        </w:tc>
        <w:tc>
          <w:tcPr>
            <w:tcW w:w="611" w:type="pct"/>
            <w:noWrap/>
            <w:vAlign w:val="center"/>
          </w:tcPr>
          <w:p w:rsidR="00062ABA" w:rsidRPr="002A5805" w:rsidRDefault="007D59EF" w:rsidP="0076169E">
            <w:pPr>
              <w:pStyle w:val="Tabletextcentred"/>
              <w:keepLines/>
            </w:pPr>
            <w:r>
              <w:rPr>
                <w:noProof/>
                <w:color w:val="000000"/>
                <w:highlight w:val="black"/>
              </w:rPr>
              <w:t>''''''''''''''''''''</w:t>
            </w:r>
            <w:r w:rsidR="0076169E" w:rsidRPr="0076169E">
              <w:rPr>
                <w:vertAlign w:val="superscript"/>
              </w:rPr>
              <w:t>10</w:t>
            </w:r>
          </w:p>
        </w:tc>
        <w:tc>
          <w:tcPr>
            <w:tcW w:w="611" w:type="pct"/>
            <w:noWrap/>
            <w:vAlign w:val="center"/>
          </w:tcPr>
          <w:p w:rsidR="00062ABA" w:rsidRPr="002A5805" w:rsidRDefault="007D59EF" w:rsidP="0076169E">
            <w:pPr>
              <w:pStyle w:val="Tabletextcentred"/>
              <w:keepLines/>
            </w:pPr>
            <w:r>
              <w:rPr>
                <w:noProof/>
                <w:color w:val="000000"/>
                <w:highlight w:val="black"/>
              </w:rPr>
              <w:t>''''''''''''''''''</w:t>
            </w:r>
            <w:r w:rsidR="0076169E" w:rsidRPr="0076169E">
              <w:rPr>
                <w:vertAlign w:val="superscript"/>
              </w:rPr>
              <w:t>11</w:t>
            </w:r>
          </w:p>
        </w:tc>
      </w:tr>
      <w:tr w:rsidR="005A20F6" w:rsidRPr="002A5805" w:rsidTr="002A5805">
        <w:tc>
          <w:tcPr>
            <w:tcW w:w="1334" w:type="pct"/>
            <w:tcBorders>
              <w:left w:val="single" w:sz="4" w:space="0" w:color="auto"/>
              <w:bottom w:val="single" w:sz="4" w:space="0" w:color="auto"/>
            </w:tcBorders>
            <w:shd w:val="clear" w:color="auto" w:fill="auto"/>
            <w:noWrap/>
          </w:tcPr>
          <w:p w:rsidR="00062ABA" w:rsidRPr="002A5805" w:rsidRDefault="00062ABA" w:rsidP="002A5805">
            <w:pPr>
              <w:pStyle w:val="TableText"/>
              <w:keepLines/>
              <w:rPr>
                <w:szCs w:val="20"/>
              </w:rPr>
            </w:pPr>
            <w:r w:rsidRPr="002A5805">
              <w:rPr>
                <w:szCs w:val="20"/>
              </w:rPr>
              <w:t>PBS/RPBS cost ($</w:t>
            </w:r>
            <w:r w:rsidR="007D59EF">
              <w:rPr>
                <w:noProof/>
                <w:color w:val="000000"/>
                <w:szCs w:val="20"/>
                <w:highlight w:val="black"/>
              </w:rPr>
              <w:t>''''''''''''''''</w:t>
            </w:r>
            <w:r w:rsidRPr="002A5805">
              <w:rPr>
                <w:szCs w:val="20"/>
              </w:rPr>
              <w:t xml:space="preserve"> per script)</w:t>
            </w:r>
          </w:p>
        </w:tc>
        <w:tc>
          <w:tcPr>
            <w:tcW w:w="611" w:type="pct"/>
            <w:noWrap/>
            <w:vAlign w:val="center"/>
          </w:tcPr>
          <w:p w:rsidR="00062ABA" w:rsidRPr="002A5805" w:rsidRDefault="00062ABA" w:rsidP="0076169E">
            <w:pPr>
              <w:pStyle w:val="Tabletextcentred"/>
              <w:keepLines/>
            </w:pPr>
            <w:r w:rsidRPr="002A5805">
              <w:t>$</w:t>
            </w:r>
            <w:r w:rsidR="007D59EF">
              <w:rPr>
                <w:noProof/>
                <w:color w:val="000000"/>
                <w:highlight w:val="black"/>
              </w:rPr>
              <w:t>'''''''''''''''''''''''''''''</w:t>
            </w:r>
            <w:r w:rsidR="0076169E" w:rsidRPr="0076169E">
              <w:rPr>
                <w:vertAlign w:val="superscript"/>
              </w:rPr>
              <w:t>12</w:t>
            </w:r>
          </w:p>
        </w:tc>
        <w:tc>
          <w:tcPr>
            <w:tcW w:w="611" w:type="pct"/>
            <w:noWrap/>
            <w:vAlign w:val="center"/>
          </w:tcPr>
          <w:p w:rsidR="00062ABA" w:rsidRPr="002A5805" w:rsidRDefault="00062ABA" w:rsidP="0076169E">
            <w:pPr>
              <w:pStyle w:val="Tabletextcentred"/>
              <w:keepLines/>
            </w:pPr>
            <w:r w:rsidRPr="002A5805">
              <w:t>$</w:t>
            </w:r>
            <w:r w:rsidR="007D59EF">
              <w:rPr>
                <w:noProof/>
                <w:color w:val="000000"/>
                <w:highlight w:val="black"/>
              </w:rPr>
              <w:t>'''''''''''''''''''''''''</w:t>
            </w:r>
            <w:r w:rsidR="0076169E" w:rsidRPr="0076169E">
              <w:rPr>
                <w:vertAlign w:val="superscript"/>
              </w:rPr>
              <w:t>13</w:t>
            </w:r>
          </w:p>
        </w:tc>
        <w:tc>
          <w:tcPr>
            <w:tcW w:w="611" w:type="pct"/>
            <w:noWrap/>
            <w:vAlign w:val="center"/>
          </w:tcPr>
          <w:p w:rsidR="00062ABA" w:rsidRPr="002A5805" w:rsidRDefault="00062ABA" w:rsidP="0076169E">
            <w:pPr>
              <w:pStyle w:val="Tabletextcentred"/>
              <w:keepLines/>
            </w:pPr>
            <w:r w:rsidRPr="002A5805">
              <w:t>$</w:t>
            </w:r>
            <w:r w:rsidR="007D59EF">
              <w:rPr>
                <w:noProof/>
                <w:color w:val="000000"/>
                <w:highlight w:val="black"/>
              </w:rPr>
              <w:t>'''''''''''''''''''''''''</w:t>
            </w:r>
            <w:r w:rsidR="0076169E" w:rsidRPr="0076169E">
              <w:rPr>
                <w:vertAlign w:val="superscript"/>
              </w:rPr>
              <w:t>14</w:t>
            </w:r>
          </w:p>
        </w:tc>
        <w:tc>
          <w:tcPr>
            <w:tcW w:w="611" w:type="pct"/>
            <w:noWrap/>
            <w:vAlign w:val="center"/>
          </w:tcPr>
          <w:p w:rsidR="00062ABA" w:rsidRPr="002A5805" w:rsidRDefault="00062ABA" w:rsidP="0076169E">
            <w:pPr>
              <w:pStyle w:val="Tabletextcentred"/>
              <w:keepLines/>
            </w:pPr>
            <w:r w:rsidRPr="002A5805">
              <w:t>$</w:t>
            </w:r>
            <w:r w:rsidR="007D59EF">
              <w:rPr>
                <w:noProof/>
                <w:color w:val="000000"/>
                <w:highlight w:val="black"/>
              </w:rPr>
              <w:t>'''''''''''''''''''''''''''</w:t>
            </w:r>
            <w:r w:rsidR="0076169E" w:rsidRPr="0076169E">
              <w:rPr>
                <w:vertAlign w:val="superscript"/>
              </w:rPr>
              <w:t>15</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sidRPr="005A20F6">
              <w:rPr>
                <w:vertAlign w:val="superscript"/>
              </w:rPr>
              <w:t>16</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sidRPr="005A20F6">
              <w:rPr>
                <w:vertAlign w:val="superscript"/>
              </w:rPr>
              <w:t>17</w:t>
            </w:r>
          </w:p>
        </w:tc>
      </w:tr>
      <w:tr w:rsidR="005A20F6" w:rsidRPr="002A5805" w:rsidTr="002A5805">
        <w:tc>
          <w:tcPr>
            <w:tcW w:w="1334" w:type="pct"/>
            <w:tcBorders>
              <w:left w:val="single" w:sz="4" w:space="0" w:color="auto"/>
              <w:bottom w:val="single" w:sz="4" w:space="0" w:color="auto"/>
            </w:tcBorders>
            <w:shd w:val="clear" w:color="auto" w:fill="auto"/>
            <w:noWrap/>
          </w:tcPr>
          <w:p w:rsidR="00062ABA" w:rsidRPr="002A5805" w:rsidRDefault="00062ABA" w:rsidP="002A5805">
            <w:pPr>
              <w:pStyle w:val="TableText"/>
              <w:keepLines/>
              <w:rPr>
                <w:szCs w:val="20"/>
              </w:rPr>
            </w:pPr>
            <w:r w:rsidRPr="002A5805">
              <w:rPr>
                <w:szCs w:val="20"/>
              </w:rPr>
              <w:t>Patient co-payment ($13.25 per script)</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Pr>
                <w:vertAlign w:val="superscript"/>
              </w:rPr>
              <w:t>18</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Pr>
                <w:vertAlign w:val="superscript"/>
              </w:rPr>
              <w:t>18</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Pr>
                <w:vertAlign w:val="superscript"/>
              </w:rPr>
              <w:t>18</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Pr>
                <w:vertAlign w:val="superscript"/>
              </w:rPr>
              <w:t>18</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Pr>
                <w:vertAlign w:val="superscript"/>
              </w:rPr>
              <w:t>18</w:t>
            </w:r>
          </w:p>
        </w:tc>
        <w:tc>
          <w:tcPr>
            <w:tcW w:w="611" w:type="pct"/>
            <w:noWrap/>
            <w:vAlign w:val="center"/>
          </w:tcPr>
          <w:p w:rsidR="00062ABA" w:rsidRPr="002A5805" w:rsidRDefault="00062ABA" w:rsidP="005A20F6">
            <w:pPr>
              <w:pStyle w:val="Tabletextcentred"/>
              <w:keepLines/>
            </w:pPr>
            <w:r w:rsidRPr="002A5805">
              <w:t>$</w:t>
            </w:r>
            <w:r w:rsidR="007D59EF">
              <w:rPr>
                <w:noProof/>
                <w:color w:val="000000"/>
                <w:highlight w:val="black"/>
              </w:rPr>
              <w:t>''''''''''''''''''''''''''</w:t>
            </w:r>
            <w:r w:rsidR="005A20F6">
              <w:rPr>
                <w:vertAlign w:val="superscript"/>
              </w:rPr>
              <w:t>18</w:t>
            </w:r>
          </w:p>
        </w:tc>
      </w:tr>
      <w:tr w:rsidR="005A20F6" w:rsidRPr="002A5805" w:rsidTr="002A5805">
        <w:tc>
          <w:tcPr>
            <w:tcW w:w="1334" w:type="pct"/>
            <w:tcBorders>
              <w:left w:val="single" w:sz="4" w:space="0" w:color="auto"/>
              <w:bottom w:val="single" w:sz="4" w:space="0" w:color="auto"/>
            </w:tcBorders>
            <w:shd w:val="clear" w:color="auto" w:fill="auto"/>
            <w:noWrap/>
          </w:tcPr>
          <w:p w:rsidR="00062ABA" w:rsidRPr="002A5805" w:rsidRDefault="00062ABA" w:rsidP="002A5805">
            <w:pPr>
              <w:pStyle w:val="TableText"/>
              <w:keepLines/>
              <w:rPr>
                <w:szCs w:val="20"/>
                <w:vertAlign w:val="superscript"/>
              </w:rPr>
            </w:pPr>
            <w:r w:rsidRPr="002A5805">
              <w:rPr>
                <w:szCs w:val="20"/>
              </w:rPr>
              <w:t>Net PBS/RPBS cost of dapagliflozin</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D441D8" w:rsidRPr="00D441D8">
              <w:rPr>
                <w:vertAlign w:val="superscript"/>
              </w:rPr>
              <w:t>1</w:t>
            </w:r>
            <w:r w:rsidR="00F435A0">
              <w:rPr>
                <w:vertAlign w:val="superscript"/>
              </w:rPr>
              <w:t>2</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D441D8" w:rsidRPr="00D441D8">
              <w:rPr>
                <w:vertAlign w:val="superscript"/>
              </w:rPr>
              <w:t>1</w:t>
            </w:r>
            <w:r w:rsidR="00F435A0">
              <w:rPr>
                <w:vertAlign w:val="superscript"/>
              </w:rPr>
              <w:t>3</w:t>
            </w:r>
          </w:p>
        </w:tc>
        <w:tc>
          <w:tcPr>
            <w:tcW w:w="611" w:type="pct"/>
            <w:noWrap/>
            <w:vAlign w:val="center"/>
          </w:tcPr>
          <w:p w:rsidR="00062ABA" w:rsidRPr="002A5805" w:rsidRDefault="00062ABA" w:rsidP="00F435A0">
            <w:pPr>
              <w:pStyle w:val="Tabletextcentred"/>
              <w:keepLines/>
            </w:pPr>
            <w:r w:rsidRPr="002A5805">
              <w:t>$</w:t>
            </w:r>
            <w:r w:rsidR="007D59EF">
              <w:rPr>
                <w:noProof/>
                <w:color w:val="000000"/>
                <w:highlight w:val="black"/>
              </w:rPr>
              <w:t>'''''''''''''''''''''''''</w:t>
            </w:r>
            <w:r w:rsidR="00F435A0" w:rsidRPr="00F435A0">
              <w:rPr>
                <w:vertAlign w:val="superscript"/>
              </w:rPr>
              <w:t>19</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8171A4" w:rsidRPr="008171A4">
              <w:rPr>
                <w:vertAlign w:val="superscript"/>
              </w:rPr>
              <w:t>1</w:t>
            </w:r>
            <w:r w:rsidR="00F435A0">
              <w:rPr>
                <w:vertAlign w:val="superscript"/>
              </w:rPr>
              <w:t>5</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8171A4" w:rsidRPr="008171A4">
              <w:rPr>
                <w:vertAlign w:val="superscript"/>
              </w:rPr>
              <w:t>1</w:t>
            </w:r>
            <w:r w:rsidR="00F435A0">
              <w:rPr>
                <w:vertAlign w:val="superscript"/>
              </w:rPr>
              <w:t>6</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8171A4" w:rsidRPr="008171A4">
              <w:rPr>
                <w:vertAlign w:val="superscript"/>
              </w:rPr>
              <w:t>1</w:t>
            </w:r>
            <w:r w:rsidR="00F435A0">
              <w:rPr>
                <w:vertAlign w:val="superscript"/>
              </w:rPr>
              <w:t>7</w:t>
            </w:r>
          </w:p>
        </w:tc>
      </w:tr>
      <w:tr w:rsidR="00062ABA" w:rsidRPr="002A5805" w:rsidTr="002A5805">
        <w:tc>
          <w:tcPr>
            <w:tcW w:w="5000" w:type="pct"/>
            <w:gridSpan w:val="7"/>
            <w:tcBorders>
              <w:left w:val="single" w:sz="4" w:space="0" w:color="auto"/>
              <w:bottom w:val="single" w:sz="4" w:space="0" w:color="auto"/>
            </w:tcBorders>
            <w:shd w:val="clear" w:color="auto" w:fill="auto"/>
            <w:noWrap/>
          </w:tcPr>
          <w:p w:rsidR="00062ABA" w:rsidRPr="002A5805" w:rsidRDefault="00062ABA" w:rsidP="002A5805">
            <w:pPr>
              <w:pStyle w:val="Tabletextcentred"/>
              <w:keepLines/>
              <w:jc w:val="left"/>
              <w:rPr>
                <w:b/>
              </w:rPr>
            </w:pPr>
            <w:r w:rsidRPr="002A5805">
              <w:rPr>
                <w:b/>
              </w:rPr>
              <w:t>Displaced SAC/VAL scripts</w:t>
            </w:r>
          </w:p>
        </w:tc>
      </w:tr>
      <w:tr w:rsidR="005A20F6" w:rsidRPr="002A5805" w:rsidTr="002A5805">
        <w:tc>
          <w:tcPr>
            <w:tcW w:w="1334" w:type="pct"/>
            <w:noWrap/>
          </w:tcPr>
          <w:p w:rsidR="00062ABA" w:rsidRPr="002A5805" w:rsidRDefault="00062ABA" w:rsidP="002A5805">
            <w:pPr>
              <w:pStyle w:val="TableText"/>
              <w:keepLines/>
              <w:rPr>
                <w:szCs w:val="20"/>
              </w:rPr>
            </w:pPr>
            <w:r w:rsidRPr="002A5805">
              <w:rPr>
                <w:szCs w:val="20"/>
              </w:rPr>
              <w:t>Displaced SAC/VAL scripts</w:t>
            </w:r>
          </w:p>
        </w:tc>
        <w:tc>
          <w:tcPr>
            <w:tcW w:w="611" w:type="pct"/>
            <w:noWrap/>
            <w:vAlign w:val="center"/>
          </w:tcPr>
          <w:p w:rsidR="00062ABA" w:rsidRPr="002A5805" w:rsidRDefault="007D59EF" w:rsidP="002A5805">
            <w:pPr>
              <w:pStyle w:val="Tabletextcentred"/>
              <w:keepLines/>
            </w:pPr>
            <w:r>
              <w:rPr>
                <w:noProof/>
                <w:color w:val="000000"/>
                <w:highlight w:val="black"/>
              </w:rPr>
              <w:t>''''''''''''''''''</w:t>
            </w:r>
            <w:r w:rsidR="00F435A0">
              <w:rPr>
                <w:vertAlign w:val="superscript"/>
              </w:rPr>
              <w:t>18</w:t>
            </w:r>
          </w:p>
        </w:tc>
        <w:tc>
          <w:tcPr>
            <w:tcW w:w="611" w:type="pct"/>
            <w:noWrap/>
            <w:vAlign w:val="center"/>
          </w:tcPr>
          <w:p w:rsidR="00062ABA" w:rsidRPr="002A5805" w:rsidRDefault="007D59EF" w:rsidP="002A5805">
            <w:pPr>
              <w:pStyle w:val="Tabletextcentred"/>
              <w:keepLines/>
            </w:pPr>
            <w:r>
              <w:rPr>
                <w:noProof/>
                <w:color w:val="000000"/>
                <w:highlight w:val="black"/>
              </w:rPr>
              <w:t>''''''''''''''''''</w:t>
            </w:r>
            <w:r w:rsidR="00CA3B52" w:rsidRPr="00CA3B52">
              <w:rPr>
                <w:vertAlign w:val="superscript"/>
              </w:rPr>
              <w:t>4</w:t>
            </w:r>
          </w:p>
        </w:tc>
        <w:tc>
          <w:tcPr>
            <w:tcW w:w="611" w:type="pct"/>
            <w:noWrap/>
            <w:vAlign w:val="center"/>
          </w:tcPr>
          <w:p w:rsidR="00062ABA" w:rsidRPr="002A5805" w:rsidRDefault="007D59EF" w:rsidP="002A5805">
            <w:pPr>
              <w:pStyle w:val="Tabletextcentred"/>
              <w:keepLines/>
            </w:pPr>
            <w:r>
              <w:rPr>
                <w:noProof/>
                <w:color w:val="000000"/>
                <w:highlight w:val="black"/>
              </w:rPr>
              <w:t>''''''''''''''''</w:t>
            </w:r>
            <w:r w:rsidR="00F435A0">
              <w:rPr>
                <w:vertAlign w:val="superscript"/>
              </w:rPr>
              <w:t>6</w:t>
            </w:r>
          </w:p>
        </w:tc>
        <w:tc>
          <w:tcPr>
            <w:tcW w:w="611" w:type="pct"/>
            <w:noWrap/>
            <w:vAlign w:val="center"/>
          </w:tcPr>
          <w:p w:rsidR="00062ABA" w:rsidRPr="002A5805" w:rsidRDefault="007D59EF" w:rsidP="002A5805">
            <w:pPr>
              <w:pStyle w:val="Tabletextcentred"/>
              <w:keepLines/>
            </w:pPr>
            <w:r>
              <w:rPr>
                <w:noProof/>
                <w:color w:val="000000"/>
                <w:highlight w:val="black"/>
              </w:rPr>
              <w:t>''''''''''''''''''</w:t>
            </w:r>
            <w:r w:rsidR="00F435A0">
              <w:rPr>
                <w:vertAlign w:val="superscript"/>
              </w:rPr>
              <w:t>19</w:t>
            </w:r>
          </w:p>
        </w:tc>
        <w:tc>
          <w:tcPr>
            <w:tcW w:w="611" w:type="pct"/>
            <w:noWrap/>
            <w:vAlign w:val="center"/>
          </w:tcPr>
          <w:p w:rsidR="00062ABA" w:rsidRPr="002A5805" w:rsidRDefault="007D59EF" w:rsidP="002A5805">
            <w:pPr>
              <w:pStyle w:val="Tabletextcentred"/>
              <w:keepLines/>
            </w:pPr>
            <w:r>
              <w:rPr>
                <w:noProof/>
                <w:color w:val="000000"/>
                <w:highlight w:val="black"/>
              </w:rPr>
              <w:t>'''''''''''''''''''''</w:t>
            </w:r>
            <w:r w:rsidR="00F435A0">
              <w:rPr>
                <w:vertAlign w:val="superscript"/>
              </w:rPr>
              <w:t>19</w:t>
            </w:r>
          </w:p>
        </w:tc>
        <w:tc>
          <w:tcPr>
            <w:tcW w:w="611" w:type="pct"/>
            <w:noWrap/>
            <w:vAlign w:val="center"/>
          </w:tcPr>
          <w:p w:rsidR="00062ABA" w:rsidRPr="002A5805" w:rsidRDefault="007D59EF" w:rsidP="002A5805">
            <w:pPr>
              <w:pStyle w:val="Tabletextcentred"/>
              <w:keepLines/>
            </w:pPr>
            <w:r>
              <w:rPr>
                <w:noProof/>
                <w:color w:val="000000"/>
                <w:highlight w:val="black"/>
              </w:rPr>
              <w:t>''''''''''''''''''''</w:t>
            </w:r>
            <w:r w:rsidR="00F435A0">
              <w:rPr>
                <w:vertAlign w:val="superscript"/>
              </w:rPr>
              <w:t>19</w:t>
            </w:r>
          </w:p>
        </w:tc>
      </w:tr>
      <w:tr w:rsidR="005A20F6" w:rsidRPr="002A5805" w:rsidTr="002A5805">
        <w:tc>
          <w:tcPr>
            <w:tcW w:w="1334" w:type="pct"/>
            <w:noWrap/>
          </w:tcPr>
          <w:p w:rsidR="00062ABA" w:rsidRPr="002A5805" w:rsidRDefault="00062ABA" w:rsidP="002A5805">
            <w:pPr>
              <w:pStyle w:val="TableText"/>
              <w:keepLines/>
              <w:rPr>
                <w:szCs w:val="20"/>
              </w:rPr>
            </w:pPr>
            <w:r w:rsidRPr="002A5805">
              <w:rPr>
                <w:szCs w:val="20"/>
              </w:rPr>
              <w:t>PBS/RPBS cost ($202.89 per script)</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6763B9" w:rsidRPr="006763B9">
              <w:rPr>
                <w:vertAlign w:val="superscript"/>
              </w:rPr>
              <w:t>1</w:t>
            </w:r>
            <w:r w:rsidR="00F435A0">
              <w:rPr>
                <w:vertAlign w:val="superscript"/>
              </w:rPr>
              <w:t>2</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6763B9" w:rsidRPr="006763B9">
              <w:rPr>
                <w:vertAlign w:val="superscript"/>
              </w:rPr>
              <w:t>2</w:t>
            </w:r>
            <w:r w:rsidR="00F435A0">
              <w:rPr>
                <w:vertAlign w:val="superscript"/>
              </w:rPr>
              <w:t>1</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6763B9" w:rsidRPr="006763B9">
              <w:rPr>
                <w:vertAlign w:val="superscript"/>
              </w:rPr>
              <w:t>2</w:t>
            </w:r>
            <w:r w:rsidR="00F435A0">
              <w:rPr>
                <w:vertAlign w:val="superscript"/>
              </w:rPr>
              <w:t>1</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6763B9" w:rsidRPr="006763B9">
              <w:rPr>
                <w:vertAlign w:val="superscript"/>
              </w:rPr>
              <w:t>2</w:t>
            </w:r>
            <w:r w:rsidR="00F435A0">
              <w:rPr>
                <w:vertAlign w:val="superscript"/>
              </w:rPr>
              <w:t>1</w:t>
            </w:r>
          </w:p>
        </w:tc>
      </w:tr>
      <w:tr w:rsidR="005A20F6" w:rsidRPr="002A5805" w:rsidTr="002A5805">
        <w:tc>
          <w:tcPr>
            <w:tcW w:w="1334" w:type="pct"/>
            <w:noWrap/>
          </w:tcPr>
          <w:p w:rsidR="00062ABA" w:rsidRPr="002A5805" w:rsidRDefault="00062ABA" w:rsidP="002A5805">
            <w:pPr>
              <w:pStyle w:val="TableText"/>
              <w:keepLines/>
              <w:rPr>
                <w:szCs w:val="20"/>
              </w:rPr>
            </w:pPr>
            <w:r w:rsidRPr="002A5805">
              <w:rPr>
                <w:szCs w:val="20"/>
              </w:rPr>
              <w:t>Patient co-payment ($13.25 per script)</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r>
      <w:tr w:rsidR="005A20F6" w:rsidRPr="002A5805" w:rsidTr="002A5805">
        <w:tc>
          <w:tcPr>
            <w:tcW w:w="1334" w:type="pct"/>
            <w:noWrap/>
          </w:tcPr>
          <w:p w:rsidR="00062ABA" w:rsidRPr="002A5805" w:rsidRDefault="00062ABA" w:rsidP="002A5805">
            <w:pPr>
              <w:pStyle w:val="TableText"/>
              <w:keepLines/>
              <w:rPr>
                <w:szCs w:val="20"/>
              </w:rPr>
            </w:pPr>
            <w:r w:rsidRPr="002A5805">
              <w:rPr>
                <w:szCs w:val="20"/>
              </w:rPr>
              <w:t>Total cost displaced SAC/VAL</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F435A0">
              <w:rPr>
                <w:vertAlign w:val="superscript"/>
              </w:rPr>
              <w:t>20</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0572D3" w:rsidRPr="000572D3">
              <w:rPr>
                <w:vertAlign w:val="superscript"/>
              </w:rPr>
              <w:t>1</w:t>
            </w:r>
            <w:r w:rsidR="00F435A0">
              <w:rPr>
                <w:vertAlign w:val="superscript"/>
              </w:rPr>
              <w:t>2</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0572D3" w:rsidRPr="000572D3">
              <w:rPr>
                <w:vertAlign w:val="superscript"/>
              </w:rPr>
              <w:t>1</w:t>
            </w:r>
            <w:r w:rsidR="00F435A0">
              <w:rPr>
                <w:vertAlign w:val="superscript"/>
              </w:rPr>
              <w:t>2</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0572D3" w:rsidRPr="000572D3">
              <w:rPr>
                <w:vertAlign w:val="superscript"/>
              </w:rPr>
              <w:t>2</w:t>
            </w:r>
            <w:r w:rsidR="00F435A0">
              <w:rPr>
                <w:vertAlign w:val="superscript"/>
              </w:rPr>
              <w:t>1</w:t>
            </w:r>
          </w:p>
        </w:tc>
        <w:tc>
          <w:tcPr>
            <w:tcW w:w="611" w:type="pct"/>
            <w:noWrap/>
            <w:vAlign w:val="center"/>
          </w:tcPr>
          <w:p w:rsidR="00062ABA" w:rsidRPr="002A5805" w:rsidRDefault="00062ABA" w:rsidP="002A5805">
            <w:pPr>
              <w:pStyle w:val="Tabletextcentred"/>
              <w:keepLines/>
            </w:pPr>
            <w:r w:rsidRPr="002A5805">
              <w:t>$</w:t>
            </w:r>
            <w:r w:rsidR="007D59EF">
              <w:rPr>
                <w:noProof/>
                <w:color w:val="000000"/>
                <w:highlight w:val="black"/>
              </w:rPr>
              <w:t>''''''''''''''''''''''''''</w:t>
            </w:r>
            <w:r w:rsidR="000572D3" w:rsidRPr="000572D3">
              <w:rPr>
                <w:vertAlign w:val="superscript"/>
              </w:rPr>
              <w:t>2</w:t>
            </w:r>
            <w:r w:rsidR="00F435A0">
              <w:rPr>
                <w:vertAlign w:val="superscript"/>
              </w:rPr>
              <w:t>1</w:t>
            </w:r>
          </w:p>
        </w:tc>
      </w:tr>
      <w:tr w:rsidR="00062ABA" w:rsidRPr="002A5805" w:rsidTr="002A5805">
        <w:tc>
          <w:tcPr>
            <w:tcW w:w="5000" w:type="pct"/>
            <w:gridSpan w:val="7"/>
            <w:noWrap/>
          </w:tcPr>
          <w:p w:rsidR="00062ABA" w:rsidRPr="002A5805" w:rsidRDefault="00062ABA" w:rsidP="002A5805">
            <w:pPr>
              <w:pStyle w:val="Tabletextcentred"/>
              <w:keepLines/>
              <w:jc w:val="left"/>
              <w:rPr>
                <w:b/>
              </w:rPr>
            </w:pPr>
            <w:r w:rsidRPr="002A5805">
              <w:rPr>
                <w:b/>
                <w:lang w:eastAsia="en-AU"/>
              </w:rPr>
              <w:t>Net cost to the PBS/RPBS</w:t>
            </w:r>
          </w:p>
        </w:tc>
      </w:tr>
      <w:tr w:rsidR="005A20F6" w:rsidRPr="002A5805" w:rsidTr="002A5805">
        <w:tc>
          <w:tcPr>
            <w:tcW w:w="1334" w:type="pct"/>
            <w:noWrap/>
          </w:tcPr>
          <w:p w:rsidR="00062ABA" w:rsidRPr="002A5805" w:rsidRDefault="00062ABA" w:rsidP="002A5805">
            <w:pPr>
              <w:pStyle w:val="TableText"/>
              <w:keepLines/>
              <w:rPr>
                <w:szCs w:val="20"/>
              </w:rPr>
            </w:pPr>
            <w:r w:rsidRPr="002A5805">
              <w:rPr>
                <w:szCs w:val="20"/>
              </w:rPr>
              <w:t>Cost of listing dapagliflozin</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EB6D0B" w:rsidRPr="00EB6D0B">
              <w:rPr>
                <w:vertAlign w:val="superscript"/>
              </w:rPr>
              <w:t>1</w:t>
            </w:r>
            <w:r w:rsidR="00F435A0">
              <w:rPr>
                <w:vertAlign w:val="superscript"/>
              </w:rPr>
              <w:t>2</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EB6D0B" w:rsidRPr="00EB6D0B">
              <w:rPr>
                <w:vertAlign w:val="superscript"/>
              </w:rPr>
              <w:t>1</w:t>
            </w:r>
            <w:r w:rsidR="00F435A0">
              <w:rPr>
                <w:vertAlign w:val="superscript"/>
              </w:rPr>
              <w:t>3</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EB6D0B" w:rsidRPr="00EB6D0B">
              <w:rPr>
                <w:vertAlign w:val="superscript"/>
              </w:rPr>
              <w:t>2</w:t>
            </w:r>
            <w:r w:rsidR="000A04C4">
              <w:rPr>
                <w:vertAlign w:val="superscript"/>
              </w:rPr>
              <w:t>2</w:t>
            </w:r>
          </w:p>
        </w:tc>
        <w:tc>
          <w:tcPr>
            <w:tcW w:w="611" w:type="pct"/>
            <w:noWrap/>
            <w:vAlign w:val="center"/>
          </w:tcPr>
          <w:p w:rsidR="00062ABA" w:rsidRPr="002A5805" w:rsidRDefault="00062ABA" w:rsidP="000A04C4">
            <w:pPr>
              <w:pStyle w:val="Tabletextcentred"/>
              <w:keepLines/>
              <w:rPr>
                <w:b/>
              </w:rPr>
            </w:pPr>
            <w:r w:rsidRPr="002A5805">
              <w:t>$</w:t>
            </w:r>
            <w:r w:rsidR="007D59EF">
              <w:rPr>
                <w:noProof/>
                <w:color w:val="000000"/>
                <w:highlight w:val="black"/>
              </w:rPr>
              <w:t>'''''''''''''''''''''''''''</w:t>
            </w:r>
            <w:r w:rsidR="000A04C4" w:rsidRPr="000A04C4">
              <w:rPr>
                <w:vertAlign w:val="superscript"/>
              </w:rPr>
              <w:t>15</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EB6D0B" w:rsidRPr="00EB6D0B">
              <w:rPr>
                <w:vertAlign w:val="superscript"/>
              </w:rPr>
              <w:t>1</w:t>
            </w:r>
            <w:r w:rsidR="000A04C4">
              <w:rPr>
                <w:vertAlign w:val="superscript"/>
              </w:rPr>
              <w:t>6</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EB6D0B" w:rsidRPr="00EB6D0B">
              <w:rPr>
                <w:vertAlign w:val="superscript"/>
              </w:rPr>
              <w:t>1</w:t>
            </w:r>
            <w:r w:rsidR="000A04C4">
              <w:rPr>
                <w:vertAlign w:val="superscript"/>
              </w:rPr>
              <w:t>7</w:t>
            </w:r>
          </w:p>
        </w:tc>
      </w:tr>
      <w:tr w:rsidR="005A20F6" w:rsidRPr="002A5805" w:rsidTr="002A5805">
        <w:tc>
          <w:tcPr>
            <w:tcW w:w="1334" w:type="pct"/>
            <w:noWrap/>
          </w:tcPr>
          <w:p w:rsidR="00062ABA" w:rsidRPr="002A5805" w:rsidRDefault="00062ABA" w:rsidP="002A5805">
            <w:pPr>
              <w:pStyle w:val="TableText"/>
              <w:keepLines/>
              <w:rPr>
                <w:szCs w:val="20"/>
              </w:rPr>
            </w:pPr>
            <w:r w:rsidRPr="002A5805">
              <w:rPr>
                <w:szCs w:val="20"/>
              </w:rPr>
              <w:t>Net PBS/RPBS cost of displaced sacubitril/valsartan</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0A04C4">
              <w:rPr>
                <w:vertAlign w:val="superscript"/>
              </w:rPr>
              <w:t>20</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0A04C4">
              <w:rPr>
                <w:vertAlign w:val="superscript"/>
              </w:rPr>
              <w:t>20</w:t>
            </w:r>
          </w:p>
        </w:tc>
        <w:tc>
          <w:tcPr>
            <w:tcW w:w="611" w:type="pct"/>
            <w:noWrap/>
            <w:vAlign w:val="center"/>
          </w:tcPr>
          <w:p w:rsidR="00062ABA" w:rsidRPr="002A5805" w:rsidRDefault="00062ABA" w:rsidP="00E44477">
            <w:pPr>
              <w:pStyle w:val="Tabletextcentred"/>
              <w:keepLines/>
              <w:rPr>
                <w:b/>
              </w:rPr>
            </w:pPr>
            <w:r w:rsidRPr="002A5805">
              <w:t>$</w:t>
            </w:r>
            <w:r w:rsidR="007D59EF">
              <w:rPr>
                <w:noProof/>
                <w:color w:val="000000"/>
                <w:highlight w:val="black"/>
              </w:rPr>
              <w:t>''''''''''''''''''''''''</w:t>
            </w:r>
            <w:r w:rsidR="00E44477" w:rsidRPr="000A04C4">
              <w:rPr>
                <w:vertAlign w:val="superscript"/>
              </w:rPr>
              <w:t>1</w:t>
            </w:r>
            <w:r w:rsidR="000A04C4" w:rsidRPr="000A04C4">
              <w:rPr>
                <w:vertAlign w:val="superscript"/>
              </w:rPr>
              <w:t>2</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E44477">
              <w:rPr>
                <w:vertAlign w:val="superscript"/>
              </w:rPr>
              <w:t>1</w:t>
            </w:r>
            <w:r w:rsidR="000A04C4">
              <w:rPr>
                <w:vertAlign w:val="superscript"/>
              </w:rPr>
              <w:t>2</w:t>
            </w:r>
          </w:p>
        </w:tc>
        <w:tc>
          <w:tcPr>
            <w:tcW w:w="611" w:type="pct"/>
            <w:noWrap/>
            <w:vAlign w:val="center"/>
          </w:tcPr>
          <w:p w:rsidR="00062ABA" w:rsidRPr="002A5805" w:rsidRDefault="00062ABA" w:rsidP="00E44477">
            <w:pPr>
              <w:pStyle w:val="Tabletextcentred"/>
              <w:keepLines/>
              <w:rPr>
                <w:b/>
              </w:rPr>
            </w:pPr>
            <w:r w:rsidRPr="002A5805">
              <w:t>$</w:t>
            </w:r>
            <w:r w:rsidR="007D59EF">
              <w:rPr>
                <w:noProof/>
                <w:color w:val="000000"/>
                <w:highlight w:val="black"/>
              </w:rPr>
              <w:t>'''''''''''''''''''''''''''</w:t>
            </w:r>
            <w:r w:rsidR="000A04C4">
              <w:rPr>
                <w:vertAlign w:val="superscript"/>
              </w:rPr>
              <w:t>21</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8250DD" w:rsidRPr="008250DD">
              <w:rPr>
                <w:vertAlign w:val="superscript"/>
              </w:rPr>
              <w:t>2</w:t>
            </w:r>
            <w:r w:rsidR="000A04C4">
              <w:rPr>
                <w:vertAlign w:val="superscript"/>
              </w:rPr>
              <w:t>1</w:t>
            </w:r>
          </w:p>
        </w:tc>
      </w:tr>
      <w:tr w:rsidR="005A20F6" w:rsidRPr="002A5805" w:rsidTr="002A5805">
        <w:tc>
          <w:tcPr>
            <w:tcW w:w="1334" w:type="pct"/>
            <w:noWrap/>
          </w:tcPr>
          <w:p w:rsidR="00062ABA" w:rsidRPr="002A5805" w:rsidRDefault="00062ABA" w:rsidP="002A5805">
            <w:pPr>
              <w:pStyle w:val="TableText"/>
              <w:keepLines/>
              <w:rPr>
                <w:b/>
                <w:szCs w:val="20"/>
              </w:rPr>
            </w:pPr>
            <w:r w:rsidRPr="002A5805">
              <w:rPr>
                <w:b/>
                <w:szCs w:val="20"/>
              </w:rPr>
              <w:t>Net cost to PBS/RPBS</w:t>
            </w:r>
          </w:p>
        </w:tc>
        <w:tc>
          <w:tcPr>
            <w:tcW w:w="611" w:type="pct"/>
            <w:noWrap/>
            <w:vAlign w:val="center"/>
          </w:tcPr>
          <w:p w:rsidR="00062ABA" w:rsidRPr="002A5805" w:rsidRDefault="00062ABA" w:rsidP="002A5805">
            <w:pPr>
              <w:pStyle w:val="Tabletextcentred"/>
              <w:keepLines/>
              <w:rPr>
                <w:b/>
              </w:rPr>
            </w:pPr>
            <w:r w:rsidRPr="002A5805">
              <w:rPr>
                <w:b/>
              </w:rPr>
              <w:t>$</w:t>
            </w:r>
            <w:r w:rsidR="007D59EF">
              <w:rPr>
                <w:b/>
                <w:noProof/>
                <w:color w:val="000000"/>
                <w:highlight w:val="black"/>
              </w:rPr>
              <w:t>'''''''''''''''''''''''</w:t>
            </w:r>
            <w:r w:rsidR="00E44477">
              <w:rPr>
                <w:vertAlign w:val="superscript"/>
              </w:rPr>
              <w:t>1</w:t>
            </w:r>
            <w:r w:rsidR="000A04C4">
              <w:rPr>
                <w:vertAlign w:val="superscript"/>
              </w:rPr>
              <w:t>2</w:t>
            </w:r>
          </w:p>
        </w:tc>
        <w:tc>
          <w:tcPr>
            <w:tcW w:w="611" w:type="pct"/>
            <w:noWrap/>
            <w:vAlign w:val="center"/>
          </w:tcPr>
          <w:p w:rsidR="00062ABA" w:rsidRPr="002A5805" w:rsidRDefault="00062ABA" w:rsidP="00E44477">
            <w:pPr>
              <w:pStyle w:val="Tabletextcentred"/>
              <w:keepLines/>
              <w:rPr>
                <w:b/>
              </w:rPr>
            </w:pPr>
            <w:r w:rsidRPr="002A5805">
              <w:rPr>
                <w:b/>
              </w:rPr>
              <w:t>$</w:t>
            </w:r>
            <w:r w:rsidR="007D59EF">
              <w:rPr>
                <w:b/>
                <w:noProof/>
                <w:color w:val="000000"/>
                <w:highlight w:val="black"/>
              </w:rPr>
              <w:t>''''''''''''''''''''''</w:t>
            </w:r>
            <w:r w:rsidR="00E44477" w:rsidRPr="000A04C4">
              <w:rPr>
                <w:vertAlign w:val="superscript"/>
              </w:rPr>
              <w:t>23</w:t>
            </w:r>
          </w:p>
        </w:tc>
        <w:tc>
          <w:tcPr>
            <w:tcW w:w="611" w:type="pct"/>
            <w:noWrap/>
            <w:vAlign w:val="center"/>
          </w:tcPr>
          <w:p w:rsidR="00062ABA" w:rsidRPr="002A5805" w:rsidRDefault="00062ABA" w:rsidP="002A5805">
            <w:pPr>
              <w:pStyle w:val="Tabletextcentred"/>
              <w:keepLines/>
              <w:rPr>
                <w:b/>
              </w:rPr>
            </w:pPr>
            <w:r w:rsidRPr="002A5805">
              <w:rPr>
                <w:b/>
              </w:rPr>
              <w:t>$</w:t>
            </w:r>
            <w:r w:rsidR="007D59EF">
              <w:rPr>
                <w:b/>
                <w:noProof/>
                <w:color w:val="000000"/>
                <w:highlight w:val="black"/>
              </w:rPr>
              <w:t>''''''''''''''''''''''''</w:t>
            </w:r>
            <w:r w:rsidR="008250DD" w:rsidRPr="008250DD">
              <w:rPr>
                <w:vertAlign w:val="superscript"/>
              </w:rPr>
              <w:t>1</w:t>
            </w:r>
            <w:r w:rsidR="000A04C4">
              <w:rPr>
                <w:vertAlign w:val="superscript"/>
              </w:rPr>
              <w:t>3</w:t>
            </w:r>
          </w:p>
        </w:tc>
        <w:tc>
          <w:tcPr>
            <w:tcW w:w="611" w:type="pct"/>
            <w:noWrap/>
            <w:vAlign w:val="center"/>
          </w:tcPr>
          <w:p w:rsidR="00062ABA" w:rsidRPr="002A5805" w:rsidRDefault="00062ABA" w:rsidP="002A5805">
            <w:pPr>
              <w:pStyle w:val="Tabletextcentred"/>
              <w:keepLines/>
              <w:rPr>
                <w:b/>
              </w:rPr>
            </w:pPr>
            <w:r w:rsidRPr="002A5805">
              <w:rPr>
                <w:b/>
              </w:rPr>
              <w:t>$</w:t>
            </w:r>
            <w:r w:rsidR="007D59EF">
              <w:rPr>
                <w:b/>
                <w:noProof/>
                <w:color w:val="000000"/>
                <w:highlight w:val="black"/>
              </w:rPr>
              <w:t>''''''''''''''''''''''</w:t>
            </w:r>
            <w:r w:rsidR="008250DD" w:rsidRPr="008250DD">
              <w:rPr>
                <w:vertAlign w:val="superscript"/>
              </w:rPr>
              <w:t>2</w:t>
            </w:r>
            <w:r w:rsidR="000A04C4">
              <w:rPr>
                <w:vertAlign w:val="superscript"/>
              </w:rPr>
              <w:t>2</w:t>
            </w:r>
          </w:p>
        </w:tc>
        <w:tc>
          <w:tcPr>
            <w:tcW w:w="611" w:type="pct"/>
            <w:noWrap/>
            <w:vAlign w:val="center"/>
          </w:tcPr>
          <w:p w:rsidR="00062ABA" w:rsidRPr="002A5805" w:rsidRDefault="00062ABA" w:rsidP="00E44477">
            <w:pPr>
              <w:pStyle w:val="Tabletextcentred"/>
              <w:keepLines/>
              <w:rPr>
                <w:b/>
              </w:rPr>
            </w:pPr>
            <w:r w:rsidRPr="002A5805">
              <w:rPr>
                <w:b/>
              </w:rPr>
              <w:t>$</w:t>
            </w:r>
            <w:r w:rsidR="007D59EF">
              <w:rPr>
                <w:b/>
                <w:noProof/>
                <w:color w:val="000000"/>
                <w:highlight w:val="black"/>
              </w:rPr>
              <w:t>''''''''''''''''''''''</w:t>
            </w:r>
            <w:r w:rsidR="000A04C4">
              <w:rPr>
                <w:vertAlign w:val="superscript"/>
              </w:rPr>
              <w:t>14</w:t>
            </w:r>
          </w:p>
        </w:tc>
        <w:tc>
          <w:tcPr>
            <w:tcW w:w="611" w:type="pct"/>
            <w:noWrap/>
            <w:vAlign w:val="center"/>
          </w:tcPr>
          <w:p w:rsidR="00062ABA" w:rsidRPr="002A5805" w:rsidRDefault="00062ABA" w:rsidP="00E44477">
            <w:pPr>
              <w:pStyle w:val="Tabletextcentred"/>
              <w:keepLines/>
              <w:rPr>
                <w:b/>
              </w:rPr>
            </w:pPr>
            <w:r w:rsidRPr="002A5805">
              <w:rPr>
                <w:b/>
              </w:rPr>
              <w:t>$</w:t>
            </w:r>
            <w:r w:rsidR="007D59EF">
              <w:rPr>
                <w:b/>
                <w:noProof/>
                <w:color w:val="000000"/>
                <w:highlight w:val="black"/>
              </w:rPr>
              <w:t>''''''''''''''''''''''</w:t>
            </w:r>
            <w:r w:rsidR="00E44477">
              <w:rPr>
                <w:vertAlign w:val="superscript"/>
              </w:rPr>
              <w:t>2</w:t>
            </w:r>
            <w:r w:rsidR="000A04C4">
              <w:rPr>
                <w:vertAlign w:val="superscript"/>
              </w:rPr>
              <w:t>4</w:t>
            </w:r>
          </w:p>
        </w:tc>
      </w:tr>
      <w:tr w:rsidR="005A20F6" w:rsidRPr="002A5805" w:rsidTr="002A5805">
        <w:tc>
          <w:tcPr>
            <w:tcW w:w="1334" w:type="pct"/>
            <w:noWrap/>
          </w:tcPr>
          <w:p w:rsidR="00062ABA" w:rsidRPr="002A5805" w:rsidRDefault="00062ABA" w:rsidP="002A5805">
            <w:pPr>
              <w:pStyle w:val="TableText"/>
              <w:keepLines/>
              <w:rPr>
                <w:b/>
                <w:i/>
                <w:szCs w:val="20"/>
                <w:vertAlign w:val="superscript"/>
              </w:rPr>
            </w:pPr>
            <w:r w:rsidRPr="002A5805">
              <w:rPr>
                <w:szCs w:val="20"/>
              </w:rPr>
              <w:t>Net saving to MBS</w:t>
            </w:r>
          </w:p>
        </w:tc>
        <w:tc>
          <w:tcPr>
            <w:tcW w:w="611" w:type="pct"/>
            <w:noWrap/>
            <w:vAlign w:val="center"/>
          </w:tcPr>
          <w:p w:rsidR="00062ABA" w:rsidRPr="002A5805" w:rsidRDefault="00062ABA" w:rsidP="002A5805">
            <w:pPr>
              <w:pStyle w:val="Tabletextcentred"/>
              <w:keepLines/>
              <w:rPr>
                <w:b/>
                <w:i/>
              </w:rPr>
            </w:pPr>
            <w:r w:rsidRPr="002A5805">
              <w:t>$</w:t>
            </w:r>
            <w:r w:rsidR="007D59EF">
              <w:rPr>
                <w:noProof/>
                <w:color w:val="000000"/>
                <w:highlight w:val="black"/>
              </w:rPr>
              <w:t>'''''''''''''''''''''</w:t>
            </w:r>
            <w:r w:rsidR="000A6A0F">
              <w:rPr>
                <w:vertAlign w:val="superscript"/>
              </w:rPr>
              <w:t>20</w:t>
            </w:r>
          </w:p>
        </w:tc>
        <w:tc>
          <w:tcPr>
            <w:tcW w:w="611" w:type="pct"/>
            <w:noWrap/>
            <w:vAlign w:val="center"/>
          </w:tcPr>
          <w:p w:rsidR="00062ABA" w:rsidRPr="002A5805" w:rsidRDefault="00062ABA" w:rsidP="002A5805">
            <w:pPr>
              <w:pStyle w:val="Tabletextcentred"/>
              <w:keepLines/>
              <w:rPr>
                <w:b/>
                <w:i/>
              </w:rPr>
            </w:pPr>
            <w:r w:rsidRPr="002A5805">
              <w:t>$</w:t>
            </w:r>
            <w:r w:rsidR="007D59EF">
              <w:rPr>
                <w:noProof/>
                <w:color w:val="000000"/>
                <w:highlight w:val="black"/>
              </w:rPr>
              <w:t>''''''''''''''''''</w:t>
            </w:r>
            <w:r w:rsidR="000A6A0F">
              <w:rPr>
                <w:vertAlign w:val="superscript"/>
              </w:rPr>
              <w:t>20</w:t>
            </w:r>
          </w:p>
        </w:tc>
        <w:tc>
          <w:tcPr>
            <w:tcW w:w="611" w:type="pct"/>
            <w:noWrap/>
            <w:vAlign w:val="center"/>
          </w:tcPr>
          <w:p w:rsidR="00062ABA" w:rsidRPr="002A5805" w:rsidRDefault="00062ABA" w:rsidP="002A5805">
            <w:pPr>
              <w:pStyle w:val="Tabletextcentred"/>
              <w:keepLines/>
              <w:rPr>
                <w:b/>
                <w:i/>
              </w:rPr>
            </w:pPr>
            <w:r w:rsidRPr="002A5805">
              <w:t>$</w:t>
            </w:r>
            <w:r w:rsidR="007D59EF">
              <w:rPr>
                <w:noProof/>
                <w:color w:val="000000"/>
                <w:highlight w:val="black"/>
              </w:rPr>
              <w:t>'''''''''''''''''''''</w:t>
            </w:r>
            <w:r w:rsidR="000A6A0F">
              <w:rPr>
                <w:vertAlign w:val="superscript"/>
              </w:rPr>
              <w:t>20</w:t>
            </w:r>
          </w:p>
        </w:tc>
        <w:tc>
          <w:tcPr>
            <w:tcW w:w="611" w:type="pct"/>
            <w:noWrap/>
            <w:vAlign w:val="center"/>
          </w:tcPr>
          <w:p w:rsidR="00062ABA" w:rsidRPr="002A5805" w:rsidRDefault="00062ABA" w:rsidP="002A5805">
            <w:pPr>
              <w:pStyle w:val="Tabletextcentred"/>
              <w:keepLines/>
              <w:rPr>
                <w:b/>
                <w:i/>
              </w:rPr>
            </w:pPr>
            <w:r w:rsidRPr="002A5805">
              <w:t>$</w:t>
            </w:r>
            <w:r w:rsidR="007D59EF">
              <w:rPr>
                <w:noProof/>
                <w:color w:val="000000"/>
                <w:highlight w:val="black"/>
              </w:rPr>
              <w:t>'''''''''''''''''</w:t>
            </w:r>
            <w:r w:rsidR="000A6A0F">
              <w:rPr>
                <w:vertAlign w:val="superscript"/>
              </w:rPr>
              <w:t>20</w:t>
            </w:r>
          </w:p>
        </w:tc>
        <w:tc>
          <w:tcPr>
            <w:tcW w:w="611" w:type="pct"/>
            <w:noWrap/>
            <w:vAlign w:val="center"/>
          </w:tcPr>
          <w:p w:rsidR="00062ABA" w:rsidRPr="002A5805" w:rsidRDefault="00062ABA" w:rsidP="002A5805">
            <w:pPr>
              <w:pStyle w:val="Tabletextcentred"/>
              <w:keepLines/>
              <w:rPr>
                <w:b/>
                <w:i/>
              </w:rPr>
            </w:pPr>
            <w:r w:rsidRPr="002A5805">
              <w:t>$</w:t>
            </w:r>
            <w:r w:rsidR="007D59EF">
              <w:rPr>
                <w:noProof/>
                <w:color w:val="000000"/>
                <w:highlight w:val="black"/>
              </w:rPr>
              <w:t>''''''''''''''''''</w:t>
            </w:r>
            <w:r w:rsidR="000A6A0F">
              <w:rPr>
                <w:vertAlign w:val="superscript"/>
              </w:rPr>
              <w:t>20</w:t>
            </w:r>
          </w:p>
        </w:tc>
        <w:tc>
          <w:tcPr>
            <w:tcW w:w="611" w:type="pct"/>
            <w:noWrap/>
            <w:vAlign w:val="center"/>
          </w:tcPr>
          <w:p w:rsidR="00062ABA" w:rsidRPr="002A5805" w:rsidRDefault="00062ABA" w:rsidP="002A5805">
            <w:pPr>
              <w:pStyle w:val="Tabletextcentred"/>
              <w:keepLines/>
              <w:rPr>
                <w:b/>
                <w:i/>
              </w:rPr>
            </w:pPr>
            <w:r w:rsidRPr="002A5805">
              <w:t>$</w:t>
            </w:r>
            <w:r w:rsidR="007D59EF">
              <w:rPr>
                <w:noProof/>
                <w:color w:val="000000"/>
                <w:highlight w:val="black"/>
              </w:rPr>
              <w:t>''''''''''''''''''</w:t>
            </w:r>
            <w:r w:rsidR="000A6A0F">
              <w:rPr>
                <w:vertAlign w:val="superscript"/>
              </w:rPr>
              <w:t>20</w:t>
            </w:r>
          </w:p>
        </w:tc>
      </w:tr>
      <w:tr w:rsidR="005A20F6" w:rsidRPr="002A5805" w:rsidTr="002A5805">
        <w:trPr>
          <w:trHeight w:val="58"/>
        </w:trPr>
        <w:tc>
          <w:tcPr>
            <w:tcW w:w="1334" w:type="pct"/>
            <w:noWrap/>
          </w:tcPr>
          <w:p w:rsidR="00062ABA" w:rsidRPr="002A5805" w:rsidRDefault="00062ABA" w:rsidP="002A5805">
            <w:pPr>
              <w:pStyle w:val="TableText"/>
              <w:keepLines/>
              <w:rPr>
                <w:b/>
                <w:szCs w:val="20"/>
                <w:vertAlign w:val="superscript"/>
              </w:rPr>
            </w:pPr>
            <w:r w:rsidRPr="002A5805">
              <w:rPr>
                <w:szCs w:val="20"/>
              </w:rPr>
              <w:t>Net cost to Government</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8250DD" w:rsidRPr="008250DD">
              <w:rPr>
                <w:vertAlign w:val="superscript"/>
              </w:rPr>
              <w:t>1</w:t>
            </w:r>
            <w:r w:rsidR="000A6A0F">
              <w:rPr>
                <w:vertAlign w:val="superscript"/>
              </w:rPr>
              <w:t>2</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C26B2F" w:rsidRPr="00C26B2F">
              <w:rPr>
                <w:vertAlign w:val="superscript"/>
              </w:rPr>
              <w:t>2</w:t>
            </w:r>
            <w:r w:rsidR="000A6A0F">
              <w:rPr>
                <w:vertAlign w:val="superscript"/>
              </w:rPr>
              <w:t>3</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C26B2F" w:rsidRPr="00C26B2F">
              <w:rPr>
                <w:vertAlign w:val="superscript"/>
              </w:rPr>
              <w:t>1</w:t>
            </w:r>
            <w:r w:rsidR="000A6A0F">
              <w:rPr>
                <w:vertAlign w:val="superscript"/>
              </w:rPr>
              <w:t>3</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C26B2F" w:rsidRPr="00C26B2F">
              <w:rPr>
                <w:vertAlign w:val="superscript"/>
              </w:rPr>
              <w:t>2</w:t>
            </w:r>
            <w:r w:rsidR="000A6A0F">
              <w:rPr>
                <w:vertAlign w:val="superscript"/>
              </w:rPr>
              <w:t>2</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0A6A0F">
              <w:rPr>
                <w:vertAlign w:val="superscript"/>
              </w:rPr>
              <w:t>14</w:t>
            </w:r>
          </w:p>
        </w:tc>
        <w:tc>
          <w:tcPr>
            <w:tcW w:w="611" w:type="pct"/>
            <w:noWrap/>
            <w:vAlign w:val="center"/>
          </w:tcPr>
          <w:p w:rsidR="00062ABA" w:rsidRPr="002A5805" w:rsidRDefault="00062ABA" w:rsidP="002A5805">
            <w:pPr>
              <w:pStyle w:val="Tabletextcentred"/>
              <w:keepLines/>
              <w:rPr>
                <w:b/>
              </w:rPr>
            </w:pPr>
            <w:r w:rsidRPr="002A5805">
              <w:t>$</w:t>
            </w:r>
            <w:r w:rsidR="007D59EF">
              <w:rPr>
                <w:noProof/>
                <w:color w:val="000000"/>
                <w:highlight w:val="black"/>
              </w:rPr>
              <w:t>''''''''''''''''''''''''</w:t>
            </w:r>
            <w:r w:rsidR="000A6A0F">
              <w:rPr>
                <w:vertAlign w:val="superscript"/>
              </w:rPr>
              <w:t>24</w:t>
            </w:r>
          </w:p>
        </w:tc>
      </w:tr>
    </w:tbl>
    <w:p w:rsidR="00062ABA" w:rsidRPr="004D292C" w:rsidRDefault="00062ABA" w:rsidP="002A5805">
      <w:pPr>
        <w:pStyle w:val="TableFooter"/>
        <w:keepNext/>
        <w:keepLines/>
      </w:pPr>
      <w:r w:rsidRPr="004D292C">
        <w:t>Source: Table 4.2.4, p.130; Table 4.2.5, p.130; Table 4.2.6, p.132; Table 4.3.1, p.132; Table 4.3.2, p.133; Table 4.5.3, p.136 of the submission.</w:t>
      </w:r>
    </w:p>
    <w:p w:rsidR="000A6A0F" w:rsidRDefault="000A6A0F" w:rsidP="000A6A0F">
      <w:pPr>
        <w:pStyle w:val="TableFooter"/>
        <w:keepNext/>
        <w:keepLines/>
      </w:pPr>
      <w:r w:rsidRPr="004D292C">
        <w:t>Abbreviations: SAC/VAL, sacubitril/valsartan.</w:t>
      </w:r>
    </w:p>
    <w:p w:rsidR="000A6A0F" w:rsidRPr="00872D88" w:rsidRDefault="000A6A0F" w:rsidP="000A6A0F">
      <w:pPr>
        <w:pStyle w:val="TableFigureFooter"/>
        <w:keepNext/>
        <w:spacing w:after="0"/>
        <w:contextualSpacing w:val="0"/>
        <w:rPr>
          <w:i/>
          <w:szCs w:val="18"/>
        </w:rPr>
      </w:pPr>
      <w:r w:rsidRPr="00872D88">
        <w:rPr>
          <w:i/>
          <w:szCs w:val="18"/>
        </w:rPr>
        <w:t>The redacted values correspond to the following ranges:</w:t>
      </w:r>
    </w:p>
    <w:p w:rsidR="000A6A0F" w:rsidRPr="00872D88" w:rsidRDefault="00DD3C47" w:rsidP="000A6A0F">
      <w:pPr>
        <w:pStyle w:val="TableFooter"/>
        <w:keepNext/>
        <w:keepLines/>
        <w:rPr>
          <w:i/>
          <w:szCs w:val="18"/>
        </w:rPr>
      </w:pPr>
      <w:r w:rsidRPr="00DD3C47">
        <w:rPr>
          <w:i/>
          <w:szCs w:val="18"/>
          <w:vertAlign w:val="superscript"/>
        </w:rPr>
        <w:t>1</w:t>
      </w:r>
      <w:r w:rsidR="000A6A0F" w:rsidRPr="00872D88">
        <w:rPr>
          <w:i/>
          <w:szCs w:val="18"/>
        </w:rPr>
        <w:t xml:space="preserve">5,000 to &lt;10,000 </w:t>
      </w:r>
    </w:p>
    <w:p w:rsidR="000A6A0F" w:rsidRPr="00872D88" w:rsidRDefault="000A6A0F" w:rsidP="000A6A0F">
      <w:pPr>
        <w:pStyle w:val="TableFooter"/>
        <w:keepNext/>
        <w:keepLines/>
        <w:rPr>
          <w:i/>
          <w:szCs w:val="18"/>
        </w:rPr>
      </w:pPr>
      <w:r w:rsidRPr="00872D88">
        <w:rPr>
          <w:i/>
          <w:szCs w:val="18"/>
          <w:vertAlign w:val="superscript"/>
        </w:rPr>
        <w:t>2</w:t>
      </w:r>
      <w:r>
        <w:rPr>
          <w:i/>
          <w:szCs w:val="18"/>
        </w:rPr>
        <w:t>20,</w:t>
      </w:r>
      <w:r w:rsidRPr="00872D88">
        <w:rPr>
          <w:i/>
          <w:szCs w:val="18"/>
        </w:rPr>
        <w:t>000 to &lt;</w:t>
      </w:r>
      <w:r>
        <w:rPr>
          <w:i/>
          <w:szCs w:val="18"/>
        </w:rPr>
        <w:t>30</w:t>
      </w:r>
      <w:r w:rsidRPr="00872D88">
        <w:rPr>
          <w:i/>
          <w:szCs w:val="18"/>
        </w:rPr>
        <w:t>,000</w:t>
      </w:r>
    </w:p>
    <w:p w:rsidR="000A6A0F" w:rsidRPr="00872D88" w:rsidRDefault="000A6A0F" w:rsidP="000A6A0F">
      <w:pPr>
        <w:pStyle w:val="TableFooter"/>
        <w:keepNext/>
        <w:keepLines/>
        <w:rPr>
          <w:i/>
          <w:szCs w:val="18"/>
        </w:rPr>
      </w:pPr>
      <w:r w:rsidRPr="00872D88">
        <w:rPr>
          <w:i/>
          <w:szCs w:val="18"/>
          <w:vertAlign w:val="superscript"/>
        </w:rPr>
        <w:t>3</w:t>
      </w:r>
      <w:r>
        <w:rPr>
          <w:i/>
          <w:szCs w:val="18"/>
        </w:rPr>
        <w:t>30,</w:t>
      </w:r>
      <w:r w:rsidRPr="00872D88">
        <w:rPr>
          <w:i/>
          <w:szCs w:val="18"/>
        </w:rPr>
        <w:t>000 to &lt;</w:t>
      </w:r>
      <w:r>
        <w:rPr>
          <w:i/>
          <w:szCs w:val="18"/>
        </w:rPr>
        <w:t>40</w:t>
      </w:r>
      <w:r w:rsidRPr="00872D88">
        <w:rPr>
          <w:i/>
          <w:szCs w:val="18"/>
        </w:rPr>
        <w:t>,000</w:t>
      </w:r>
    </w:p>
    <w:p w:rsidR="000A6A0F" w:rsidRPr="00872D88" w:rsidRDefault="000A6A0F" w:rsidP="000A6A0F">
      <w:pPr>
        <w:pStyle w:val="TableFooter"/>
        <w:keepNext/>
        <w:keepLines/>
        <w:rPr>
          <w:i/>
          <w:szCs w:val="18"/>
        </w:rPr>
      </w:pPr>
      <w:r w:rsidRPr="00872D88">
        <w:rPr>
          <w:i/>
          <w:szCs w:val="18"/>
          <w:vertAlign w:val="superscript"/>
        </w:rPr>
        <w:t>4</w:t>
      </w:r>
      <w:r>
        <w:rPr>
          <w:i/>
          <w:szCs w:val="18"/>
        </w:rPr>
        <w:t>40</w:t>
      </w:r>
      <w:r w:rsidRPr="00872D88">
        <w:rPr>
          <w:i/>
          <w:szCs w:val="18"/>
        </w:rPr>
        <w:t>,000 to &lt;</w:t>
      </w:r>
      <w:r>
        <w:rPr>
          <w:i/>
          <w:szCs w:val="18"/>
        </w:rPr>
        <w:t>50</w:t>
      </w:r>
      <w:r w:rsidRPr="00872D88">
        <w:rPr>
          <w:i/>
          <w:szCs w:val="18"/>
        </w:rPr>
        <w:t>,000</w:t>
      </w:r>
    </w:p>
    <w:p w:rsidR="000A6A0F" w:rsidRPr="00872D88" w:rsidRDefault="000A6A0F" w:rsidP="000A6A0F">
      <w:pPr>
        <w:pStyle w:val="TableFooter"/>
        <w:keepNext/>
        <w:keepLines/>
        <w:rPr>
          <w:i/>
          <w:szCs w:val="18"/>
        </w:rPr>
      </w:pPr>
      <w:r w:rsidRPr="00872D88">
        <w:rPr>
          <w:i/>
          <w:szCs w:val="18"/>
          <w:vertAlign w:val="superscript"/>
        </w:rPr>
        <w:t>5</w:t>
      </w:r>
      <w:r>
        <w:rPr>
          <w:i/>
          <w:szCs w:val="18"/>
        </w:rPr>
        <w:t>50</w:t>
      </w:r>
      <w:r w:rsidRPr="00872D88">
        <w:rPr>
          <w:i/>
          <w:szCs w:val="18"/>
        </w:rPr>
        <w:t>,000 to &lt;</w:t>
      </w:r>
      <w:r>
        <w:rPr>
          <w:i/>
          <w:szCs w:val="18"/>
        </w:rPr>
        <w:t>60</w:t>
      </w:r>
      <w:r w:rsidRPr="00872D88">
        <w:rPr>
          <w:i/>
          <w:szCs w:val="18"/>
        </w:rPr>
        <w:t>,000</w:t>
      </w:r>
    </w:p>
    <w:p w:rsidR="000A6A0F" w:rsidRDefault="000A6A0F" w:rsidP="000A6A0F">
      <w:pPr>
        <w:pStyle w:val="TableFooter"/>
        <w:keepNext/>
        <w:keepLines/>
        <w:rPr>
          <w:i/>
          <w:szCs w:val="18"/>
        </w:rPr>
      </w:pPr>
      <w:r w:rsidRPr="00872D88">
        <w:rPr>
          <w:i/>
          <w:szCs w:val="18"/>
          <w:vertAlign w:val="superscript"/>
        </w:rPr>
        <w:t>6</w:t>
      </w:r>
      <w:r>
        <w:rPr>
          <w:i/>
          <w:szCs w:val="18"/>
        </w:rPr>
        <w:t>80</w:t>
      </w:r>
      <w:r w:rsidRPr="00872D88">
        <w:rPr>
          <w:i/>
          <w:szCs w:val="18"/>
        </w:rPr>
        <w:t>,</w:t>
      </w:r>
      <w:r>
        <w:rPr>
          <w:i/>
          <w:szCs w:val="18"/>
        </w:rPr>
        <w:t>000 to &lt; 90,000</w:t>
      </w:r>
    </w:p>
    <w:p w:rsidR="000A6A0F" w:rsidRPr="00872D88" w:rsidRDefault="000A6A0F" w:rsidP="000A6A0F">
      <w:pPr>
        <w:pStyle w:val="TableFooter"/>
        <w:keepNext/>
        <w:keepLines/>
        <w:rPr>
          <w:i/>
          <w:szCs w:val="18"/>
        </w:rPr>
      </w:pPr>
      <w:r w:rsidRPr="00297A21">
        <w:rPr>
          <w:i/>
          <w:szCs w:val="18"/>
          <w:vertAlign w:val="superscript"/>
        </w:rPr>
        <w:t>7</w:t>
      </w:r>
      <w:r>
        <w:rPr>
          <w:i/>
          <w:szCs w:val="18"/>
        </w:rPr>
        <w:t>200,000 to &lt;300,000</w:t>
      </w:r>
    </w:p>
    <w:p w:rsidR="000A6A0F" w:rsidRPr="00872D88" w:rsidRDefault="000A6A0F" w:rsidP="000A6A0F">
      <w:pPr>
        <w:pStyle w:val="TableFooter"/>
        <w:keepNext/>
        <w:keepLines/>
        <w:rPr>
          <w:i/>
          <w:szCs w:val="18"/>
        </w:rPr>
      </w:pPr>
      <w:r w:rsidRPr="00872D88">
        <w:rPr>
          <w:i/>
          <w:szCs w:val="18"/>
          <w:vertAlign w:val="superscript"/>
        </w:rPr>
        <w:t>8</w:t>
      </w:r>
      <w:r>
        <w:rPr>
          <w:i/>
          <w:szCs w:val="18"/>
        </w:rPr>
        <w:t>3</w:t>
      </w:r>
      <w:r w:rsidRPr="00872D88">
        <w:rPr>
          <w:i/>
          <w:szCs w:val="18"/>
        </w:rPr>
        <w:t>00,000 to &lt;</w:t>
      </w:r>
      <w:r>
        <w:rPr>
          <w:i/>
          <w:szCs w:val="18"/>
        </w:rPr>
        <w:t>4</w:t>
      </w:r>
      <w:r w:rsidRPr="00872D88">
        <w:rPr>
          <w:i/>
          <w:szCs w:val="18"/>
        </w:rPr>
        <w:t>00,000</w:t>
      </w:r>
    </w:p>
    <w:p w:rsidR="000A6A0F" w:rsidRPr="00872D88" w:rsidRDefault="000A6A0F" w:rsidP="000A6A0F">
      <w:pPr>
        <w:pStyle w:val="TableFooter"/>
        <w:keepNext/>
        <w:keepLines/>
        <w:rPr>
          <w:i/>
          <w:szCs w:val="18"/>
        </w:rPr>
      </w:pPr>
      <w:r w:rsidRPr="00872D88">
        <w:rPr>
          <w:i/>
          <w:szCs w:val="18"/>
          <w:vertAlign w:val="superscript"/>
        </w:rPr>
        <w:t>9</w:t>
      </w:r>
      <w:r>
        <w:rPr>
          <w:i/>
          <w:szCs w:val="18"/>
        </w:rPr>
        <w:t>4</w:t>
      </w:r>
      <w:r w:rsidRPr="00872D88">
        <w:rPr>
          <w:i/>
          <w:szCs w:val="18"/>
        </w:rPr>
        <w:t>00,000 to &lt;</w:t>
      </w:r>
      <w:r>
        <w:rPr>
          <w:i/>
          <w:szCs w:val="18"/>
        </w:rPr>
        <w:t>5</w:t>
      </w:r>
      <w:r w:rsidRPr="00872D88">
        <w:rPr>
          <w:i/>
          <w:szCs w:val="18"/>
        </w:rPr>
        <w:t>00,000</w:t>
      </w:r>
    </w:p>
    <w:p w:rsidR="000A6A0F" w:rsidRPr="00872D88" w:rsidRDefault="000A6A0F" w:rsidP="000A6A0F">
      <w:pPr>
        <w:pStyle w:val="TableFooter"/>
        <w:keepNext/>
        <w:keepLines/>
        <w:rPr>
          <w:i/>
          <w:szCs w:val="18"/>
        </w:rPr>
      </w:pPr>
      <w:r w:rsidRPr="00872D88">
        <w:rPr>
          <w:i/>
          <w:szCs w:val="18"/>
          <w:vertAlign w:val="superscript"/>
        </w:rPr>
        <w:t>10</w:t>
      </w:r>
      <w:r>
        <w:rPr>
          <w:i/>
          <w:szCs w:val="18"/>
        </w:rPr>
        <w:t>5</w:t>
      </w:r>
      <w:r w:rsidRPr="00872D88">
        <w:rPr>
          <w:i/>
          <w:szCs w:val="18"/>
        </w:rPr>
        <w:t>00,000 to &lt;</w:t>
      </w:r>
      <w:r>
        <w:rPr>
          <w:i/>
          <w:szCs w:val="18"/>
        </w:rPr>
        <w:t>6</w:t>
      </w:r>
      <w:r w:rsidRPr="00872D88">
        <w:rPr>
          <w:i/>
          <w:szCs w:val="18"/>
        </w:rPr>
        <w:t>00,000</w:t>
      </w:r>
    </w:p>
    <w:p w:rsidR="000A6A0F" w:rsidRPr="00872D88" w:rsidRDefault="000A6A0F" w:rsidP="000A6A0F">
      <w:pPr>
        <w:pStyle w:val="TableFooter"/>
        <w:keepNext/>
        <w:keepLines/>
        <w:rPr>
          <w:i/>
          <w:szCs w:val="18"/>
        </w:rPr>
      </w:pPr>
      <w:r w:rsidRPr="00872D88">
        <w:rPr>
          <w:i/>
          <w:szCs w:val="18"/>
          <w:vertAlign w:val="superscript"/>
        </w:rPr>
        <w:t>11</w:t>
      </w:r>
      <w:r>
        <w:rPr>
          <w:i/>
          <w:szCs w:val="18"/>
        </w:rPr>
        <w:t>6</w:t>
      </w:r>
      <w:r w:rsidRPr="00872D88">
        <w:rPr>
          <w:i/>
          <w:szCs w:val="18"/>
        </w:rPr>
        <w:t>00,000 to &lt;</w:t>
      </w:r>
      <w:r>
        <w:rPr>
          <w:i/>
          <w:szCs w:val="18"/>
        </w:rPr>
        <w:t>7</w:t>
      </w:r>
      <w:r w:rsidRPr="00872D88">
        <w:rPr>
          <w:i/>
          <w:szCs w:val="18"/>
        </w:rPr>
        <w:t>00,000</w:t>
      </w:r>
    </w:p>
    <w:p w:rsidR="000A6A0F" w:rsidRDefault="000A6A0F" w:rsidP="000A6A0F">
      <w:pPr>
        <w:pStyle w:val="TableFooter"/>
        <w:keepNext/>
        <w:keepLines/>
        <w:rPr>
          <w:i/>
          <w:szCs w:val="18"/>
        </w:rPr>
      </w:pPr>
      <w:r>
        <w:rPr>
          <w:i/>
          <w:szCs w:val="18"/>
          <w:vertAlign w:val="superscript"/>
        </w:rPr>
        <w:t>12</w:t>
      </w:r>
      <w:r w:rsidRPr="00872D88">
        <w:rPr>
          <w:i/>
          <w:szCs w:val="18"/>
        </w:rPr>
        <w:t>$10 million to &lt;$20 million</w:t>
      </w:r>
    </w:p>
    <w:p w:rsidR="000A6A0F" w:rsidRDefault="000A6A0F" w:rsidP="000A6A0F">
      <w:pPr>
        <w:pStyle w:val="TableFooter"/>
        <w:keepNext/>
        <w:keepLines/>
        <w:rPr>
          <w:i/>
          <w:szCs w:val="18"/>
        </w:rPr>
      </w:pPr>
      <w:r w:rsidRPr="00872D88">
        <w:rPr>
          <w:i/>
          <w:szCs w:val="18"/>
          <w:vertAlign w:val="superscript"/>
        </w:rPr>
        <w:t>1</w:t>
      </w:r>
      <w:r>
        <w:rPr>
          <w:i/>
          <w:szCs w:val="18"/>
          <w:vertAlign w:val="superscript"/>
        </w:rPr>
        <w:t>3</w:t>
      </w:r>
      <w:r>
        <w:rPr>
          <w:i/>
          <w:szCs w:val="18"/>
        </w:rPr>
        <w:t>$40 million to &lt;$50 million</w:t>
      </w:r>
    </w:p>
    <w:p w:rsidR="000A6A0F" w:rsidRDefault="000A6A0F" w:rsidP="000A6A0F">
      <w:pPr>
        <w:pStyle w:val="TableFooter"/>
        <w:keepNext/>
        <w:keepLines/>
        <w:rPr>
          <w:i/>
          <w:szCs w:val="18"/>
        </w:rPr>
      </w:pPr>
      <w:r>
        <w:rPr>
          <w:i/>
          <w:szCs w:val="18"/>
          <w:vertAlign w:val="superscript"/>
        </w:rPr>
        <w:t>14</w:t>
      </w:r>
      <w:r>
        <w:rPr>
          <w:i/>
          <w:szCs w:val="18"/>
        </w:rPr>
        <w:t>$60 million to &lt;$70 million</w:t>
      </w:r>
    </w:p>
    <w:p w:rsidR="000A6A0F" w:rsidRDefault="000A6A0F" w:rsidP="000A6A0F">
      <w:pPr>
        <w:pStyle w:val="TableFooter"/>
        <w:keepNext/>
        <w:keepLines/>
        <w:rPr>
          <w:i/>
          <w:szCs w:val="18"/>
        </w:rPr>
      </w:pPr>
      <w:r w:rsidRPr="00872D88">
        <w:rPr>
          <w:i/>
          <w:szCs w:val="18"/>
          <w:vertAlign w:val="superscript"/>
        </w:rPr>
        <w:t>1</w:t>
      </w:r>
      <w:r>
        <w:rPr>
          <w:i/>
          <w:szCs w:val="18"/>
          <w:vertAlign w:val="superscript"/>
        </w:rPr>
        <w:t>5</w:t>
      </w:r>
      <w:r>
        <w:rPr>
          <w:i/>
          <w:szCs w:val="18"/>
        </w:rPr>
        <w:t>$70 million to &lt;$80 million</w:t>
      </w:r>
    </w:p>
    <w:p w:rsidR="000A6A0F" w:rsidRDefault="000A6A0F" w:rsidP="000A6A0F">
      <w:pPr>
        <w:pStyle w:val="TableFooter"/>
        <w:keepNext/>
        <w:keepLines/>
        <w:rPr>
          <w:i/>
          <w:szCs w:val="18"/>
        </w:rPr>
      </w:pPr>
      <w:r>
        <w:rPr>
          <w:i/>
          <w:szCs w:val="18"/>
          <w:vertAlign w:val="superscript"/>
        </w:rPr>
        <w:t>16</w:t>
      </w:r>
      <w:r>
        <w:rPr>
          <w:i/>
          <w:szCs w:val="18"/>
        </w:rPr>
        <w:t xml:space="preserve"> $90 million to &lt;$100 million</w:t>
      </w:r>
    </w:p>
    <w:p w:rsidR="000A6A0F" w:rsidRDefault="000A6A0F" w:rsidP="000A6A0F">
      <w:pPr>
        <w:pStyle w:val="TableFooter"/>
        <w:keepNext/>
        <w:keepLines/>
        <w:rPr>
          <w:i/>
          <w:szCs w:val="18"/>
        </w:rPr>
      </w:pPr>
      <w:r>
        <w:rPr>
          <w:i/>
          <w:szCs w:val="18"/>
          <w:vertAlign w:val="superscript"/>
        </w:rPr>
        <w:t>17</w:t>
      </w:r>
      <w:r>
        <w:rPr>
          <w:i/>
          <w:szCs w:val="18"/>
        </w:rPr>
        <w:t>$100 million to &lt;$200 million</w:t>
      </w:r>
    </w:p>
    <w:p w:rsidR="000A6A0F" w:rsidRDefault="000A6A0F" w:rsidP="000A6A0F">
      <w:pPr>
        <w:pStyle w:val="TableFooter"/>
        <w:keepNext/>
        <w:keepLines/>
        <w:rPr>
          <w:i/>
          <w:szCs w:val="18"/>
        </w:rPr>
      </w:pPr>
      <w:r>
        <w:rPr>
          <w:i/>
          <w:szCs w:val="18"/>
          <w:vertAlign w:val="superscript"/>
        </w:rPr>
        <w:t>18</w:t>
      </w:r>
      <w:r>
        <w:rPr>
          <w:i/>
          <w:szCs w:val="18"/>
        </w:rPr>
        <w:t>10,000 to &lt;20,000</w:t>
      </w:r>
    </w:p>
    <w:p w:rsidR="000A6A0F" w:rsidRDefault="000A6A0F" w:rsidP="000A6A0F">
      <w:pPr>
        <w:pStyle w:val="TableFooter"/>
        <w:keepNext/>
        <w:keepLines/>
        <w:rPr>
          <w:i/>
          <w:szCs w:val="18"/>
        </w:rPr>
      </w:pPr>
      <w:r>
        <w:rPr>
          <w:i/>
          <w:szCs w:val="18"/>
          <w:vertAlign w:val="superscript"/>
        </w:rPr>
        <w:t>19</w:t>
      </w:r>
      <w:r>
        <w:rPr>
          <w:i/>
          <w:szCs w:val="18"/>
        </w:rPr>
        <w:t>100,000 to &lt;200,000</w:t>
      </w:r>
    </w:p>
    <w:p w:rsidR="000A6A0F" w:rsidRDefault="000A6A0F" w:rsidP="000A6A0F">
      <w:pPr>
        <w:pStyle w:val="TableFooter"/>
        <w:keepNext/>
        <w:keepLines/>
        <w:rPr>
          <w:i/>
          <w:szCs w:val="18"/>
        </w:rPr>
      </w:pPr>
      <w:r>
        <w:rPr>
          <w:i/>
          <w:szCs w:val="18"/>
          <w:vertAlign w:val="superscript"/>
        </w:rPr>
        <w:t>20</w:t>
      </w:r>
      <w:r w:rsidR="00E42782">
        <w:rPr>
          <w:i/>
          <w:szCs w:val="18"/>
        </w:rPr>
        <w:t>$0</w:t>
      </w:r>
      <w:r>
        <w:rPr>
          <w:i/>
          <w:szCs w:val="18"/>
        </w:rPr>
        <w:t xml:space="preserve"> to &lt;$10 million</w:t>
      </w:r>
    </w:p>
    <w:p w:rsidR="000A6A0F" w:rsidRPr="005E10C1" w:rsidRDefault="000A6A0F" w:rsidP="000A6A0F">
      <w:pPr>
        <w:pStyle w:val="TableFooter"/>
        <w:keepNext/>
        <w:keepLines/>
        <w:rPr>
          <w:i/>
          <w:szCs w:val="18"/>
        </w:rPr>
      </w:pPr>
      <w:r>
        <w:rPr>
          <w:i/>
          <w:szCs w:val="18"/>
          <w:vertAlign w:val="superscript"/>
        </w:rPr>
        <w:t>21</w:t>
      </w:r>
      <w:r>
        <w:rPr>
          <w:i/>
          <w:szCs w:val="18"/>
        </w:rPr>
        <w:t>$20 million to &lt;$30 million</w:t>
      </w:r>
    </w:p>
    <w:p w:rsidR="000A6A0F" w:rsidRDefault="000A6A0F" w:rsidP="000A6A0F">
      <w:pPr>
        <w:pStyle w:val="TableFooter"/>
        <w:keepNext/>
        <w:keepLines/>
        <w:rPr>
          <w:i/>
          <w:szCs w:val="18"/>
        </w:rPr>
      </w:pPr>
      <w:r>
        <w:rPr>
          <w:i/>
          <w:szCs w:val="18"/>
          <w:vertAlign w:val="superscript"/>
        </w:rPr>
        <w:t>22</w:t>
      </w:r>
      <w:r>
        <w:rPr>
          <w:i/>
          <w:szCs w:val="18"/>
        </w:rPr>
        <w:t>$50 million to &lt;$60 million</w:t>
      </w:r>
    </w:p>
    <w:p w:rsidR="000A6A0F" w:rsidRDefault="000A6A0F" w:rsidP="000A6A0F">
      <w:pPr>
        <w:pStyle w:val="TableFooter"/>
        <w:keepNext/>
        <w:keepLines/>
        <w:rPr>
          <w:i/>
          <w:szCs w:val="18"/>
        </w:rPr>
      </w:pPr>
      <w:r w:rsidRPr="00872D88">
        <w:rPr>
          <w:i/>
          <w:szCs w:val="18"/>
          <w:vertAlign w:val="superscript"/>
        </w:rPr>
        <w:t>23</w:t>
      </w:r>
      <w:r>
        <w:rPr>
          <w:i/>
          <w:szCs w:val="18"/>
        </w:rPr>
        <w:t>$30 million to &lt;$40 million</w:t>
      </w:r>
      <w:r>
        <w:rPr>
          <w:i/>
          <w:szCs w:val="18"/>
          <w:vertAlign w:val="superscript"/>
        </w:rPr>
        <w:t>24</w:t>
      </w:r>
      <w:r>
        <w:rPr>
          <w:i/>
          <w:szCs w:val="18"/>
        </w:rPr>
        <w:t>$80 million to &lt;$90 million</w:t>
      </w:r>
    </w:p>
    <w:p w:rsidR="00F73D30" w:rsidRPr="00F73D30" w:rsidRDefault="00F73D30" w:rsidP="006974C8"/>
    <w:p w:rsidR="00062ABA" w:rsidRPr="004D292C" w:rsidRDefault="00C62699" w:rsidP="00062ABA">
      <w:pPr>
        <w:pStyle w:val="ExecSumBodyText"/>
        <w:numPr>
          <w:ilvl w:val="1"/>
          <w:numId w:val="1"/>
        </w:numPr>
      </w:pPr>
      <w:r w:rsidRPr="004D292C">
        <w:t xml:space="preserve">At year 6, the estimated number of patients was </w:t>
      </w:r>
      <w:r w:rsidR="008A0845">
        <w:t>50,000 to &lt;60,000</w:t>
      </w:r>
      <w:r w:rsidRPr="004D292C">
        <w:t xml:space="preserve"> and the net cost to the PBS/RPBS would be </w:t>
      </w:r>
      <w:r w:rsidR="00062ABA" w:rsidRPr="004D292C">
        <w:t>$</w:t>
      </w:r>
      <w:r w:rsidR="008A0845">
        <w:t>80-90</w:t>
      </w:r>
      <w:r w:rsidR="00062ABA" w:rsidRPr="004D292C">
        <w:t xml:space="preserve"> million</w:t>
      </w:r>
      <w:r w:rsidR="00600CA8">
        <w:t xml:space="preserve">. There </w:t>
      </w:r>
      <w:r w:rsidRPr="004D292C">
        <w:t>as</w:t>
      </w:r>
      <w:r w:rsidR="00062ABA" w:rsidRPr="004D292C">
        <w:t xml:space="preserve"> an estimated net cost </w:t>
      </w:r>
      <w:r w:rsidR="00F54242" w:rsidRPr="004D292C">
        <w:t xml:space="preserve">to the PBS/RPBS </w:t>
      </w:r>
      <w:r w:rsidR="00062ABA" w:rsidRPr="004D292C">
        <w:t>of $</w:t>
      </w:r>
      <w:r w:rsidR="005246B1">
        <w:t>200 to &lt;$300</w:t>
      </w:r>
      <w:r w:rsidR="00062ABA" w:rsidRPr="004D292C">
        <w:t xml:space="preserve"> million over the first six years of listing. </w:t>
      </w:r>
      <w:r w:rsidRPr="004D292C">
        <w:t>The PBAC noted these costs were based on the published price of the comparator. The net cost to the PBS would reduce once the effective price of the comparator was applied</w:t>
      </w:r>
      <w:r w:rsidR="004D292C">
        <w:t xml:space="preserve">. </w:t>
      </w:r>
    </w:p>
    <w:p w:rsidR="00062ABA" w:rsidRPr="004D292C" w:rsidRDefault="00F54242" w:rsidP="00F54242">
      <w:pPr>
        <w:pStyle w:val="ExecSumBodyText"/>
        <w:numPr>
          <w:ilvl w:val="1"/>
          <w:numId w:val="1"/>
        </w:numPr>
        <w:rPr>
          <w:b/>
        </w:rPr>
      </w:pPr>
      <w:r w:rsidRPr="004D292C">
        <w:t xml:space="preserve">DUSC considered that the estimates presented in the submission were underestimated. The main issues were: </w:t>
      </w:r>
    </w:p>
    <w:p w:rsidR="00062ABA" w:rsidRPr="004D292C" w:rsidRDefault="00062ABA" w:rsidP="00855E0D">
      <w:pPr>
        <w:pStyle w:val="ExecSumBodyText"/>
        <w:numPr>
          <w:ilvl w:val="0"/>
          <w:numId w:val="7"/>
        </w:numPr>
        <w:ind w:left="1134" w:hanging="357"/>
      </w:pPr>
      <w:r w:rsidRPr="004D292C">
        <w:t xml:space="preserve">The risk of leakage is likely to be high as dapagliflozin is already well-known to prescribers and evidence shows positive outcomes for cardiovascular disease, heart failure with reduced/preserved ejection fraction and potentially chronic kidney disease. There may also be an increase in patients utilising the diabetes restriction due to these positive outcomes for other diseases. </w:t>
      </w:r>
    </w:p>
    <w:p w:rsidR="00062ABA" w:rsidRPr="004D292C" w:rsidRDefault="00062ABA" w:rsidP="00855E0D">
      <w:pPr>
        <w:pStyle w:val="ExecSumBodyText"/>
        <w:numPr>
          <w:ilvl w:val="0"/>
          <w:numId w:val="7"/>
        </w:numPr>
        <w:ind w:left="1134" w:hanging="357"/>
      </w:pPr>
      <w:r w:rsidRPr="004D292C">
        <w:t>The submission provide</w:t>
      </w:r>
      <w:r w:rsidR="00F54242" w:rsidRPr="004D292C">
        <w:t>d</w:t>
      </w:r>
      <w:r w:rsidRPr="004D292C">
        <w:t xml:space="preserve"> no estimates with regards to patients who may use both dapagliflozin and sacubitril/valsartan and acknowledge</w:t>
      </w:r>
      <w:r w:rsidR="00F54242" w:rsidRPr="004D292C">
        <w:t>d</w:t>
      </w:r>
      <w:r w:rsidRPr="004D292C">
        <w:t xml:space="preserve"> that even 20% of patients using both could still be a substantial cost to the PBS.</w:t>
      </w:r>
    </w:p>
    <w:p w:rsidR="00062ABA" w:rsidRPr="004D292C" w:rsidRDefault="00062ABA" w:rsidP="00855E0D">
      <w:pPr>
        <w:pStyle w:val="ExecSumBodyText"/>
        <w:numPr>
          <w:ilvl w:val="0"/>
          <w:numId w:val="7"/>
        </w:numPr>
        <w:ind w:left="1134" w:hanging="357"/>
      </w:pPr>
      <w:r w:rsidRPr="004D292C">
        <w:t>The incidence of heart failure was underestimated. Altering the prevalence rate from 1.5% to 2.199% (as reported by the SHAPE study) change</w:t>
      </w:r>
      <w:r w:rsidR="00F54242" w:rsidRPr="004D292C">
        <w:t>d</w:t>
      </w:r>
      <w:r w:rsidRPr="004D292C">
        <w:t xml:space="preserve"> the prevalence of heart failure in Australia to 450,000 people instead of the submissions proposed 306,449. Accepting this alteration in the financial workbook change</w:t>
      </w:r>
      <w:r w:rsidR="00F54242" w:rsidRPr="004D292C">
        <w:t>d</w:t>
      </w:r>
      <w:r w:rsidRPr="004D292C">
        <w:t xml:space="preserve"> the total six year PBS cost from $2</w:t>
      </w:r>
      <w:r w:rsidR="005246B1">
        <w:t>00</w:t>
      </w:r>
      <w:r w:rsidR="00201F65">
        <w:t xml:space="preserve"> to </w:t>
      </w:r>
      <w:r w:rsidR="008A0845">
        <w:t>3</w:t>
      </w:r>
      <w:r w:rsidR="005246B1">
        <w:t>00</w:t>
      </w:r>
      <w:r w:rsidRPr="004D292C">
        <w:t xml:space="preserve"> million to $5</w:t>
      </w:r>
      <w:r w:rsidR="008A0845">
        <w:t>00</w:t>
      </w:r>
      <w:r w:rsidR="00201F65">
        <w:t xml:space="preserve"> to </w:t>
      </w:r>
      <w:r w:rsidR="008A0845">
        <w:t>600</w:t>
      </w:r>
      <w:r w:rsidRPr="004D292C">
        <w:t xml:space="preserve"> million</w:t>
      </w:r>
      <w:r w:rsidR="009771C1">
        <w:t>.</w:t>
      </w:r>
    </w:p>
    <w:p w:rsidR="00E44477" w:rsidRDefault="00062ABA" w:rsidP="00855E0D">
      <w:pPr>
        <w:pStyle w:val="ExecSumBodyText"/>
        <w:numPr>
          <w:ilvl w:val="0"/>
          <w:numId w:val="7"/>
        </w:numPr>
        <w:ind w:left="1134" w:hanging="357"/>
      </w:pPr>
      <w:r w:rsidRPr="004D292C">
        <w:t xml:space="preserve">The assumption of the proportion of heart failure patients who have heart failure with reduced ejection fraction (HFrEF) as 64% may be overestimated. Data from an analysis on the SHAPE study suggests that 62% of heart failure patients may be considered HFrEF and data from the SNAPSHOT-HF study suggests 58% of acute heart failure admissions were HFrEF. Altering this proportion of patients to 60% resulted in a reduction in the six year net </w:t>
      </w:r>
      <w:r w:rsidR="00F54242" w:rsidRPr="004D292C">
        <w:t xml:space="preserve">PBS </w:t>
      </w:r>
      <w:r w:rsidRPr="004D292C">
        <w:t>costs from $</w:t>
      </w:r>
      <w:r w:rsidR="007E0B27">
        <w:t>200-300</w:t>
      </w:r>
      <w:r w:rsidRPr="004D292C">
        <w:t xml:space="preserve"> million</w:t>
      </w:r>
      <w:r w:rsidR="00BC27E3">
        <w:t xml:space="preserve"> to </w:t>
      </w:r>
      <w:r w:rsidR="00BC27E3" w:rsidRPr="004D292C">
        <w:t>$</w:t>
      </w:r>
      <w:r w:rsidR="00BC27E3">
        <w:t>200-300</w:t>
      </w:r>
      <w:r w:rsidR="00BC27E3" w:rsidRPr="004D292C">
        <w:t xml:space="preserve"> million</w:t>
      </w:r>
      <w:r w:rsidR="00F54242" w:rsidRPr="004D292C">
        <w:t>.</w:t>
      </w:r>
    </w:p>
    <w:p w:rsidR="00062ABA" w:rsidRPr="00E44477" w:rsidRDefault="00E44477" w:rsidP="00E44477">
      <w:pPr>
        <w:tabs>
          <w:tab w:val="left" w:pos="2410"/>
        </w:tabs>
      </w:pPr>
      <w:r>
        <w:tab/>
      </w:r>
    </w:p>
    <w:p w:rsidR="00062ABA" w:rsidRPr="004D292C" w:rsidRDefault="00062ABA" w:rsidP="00855E0D">
      <w:pPr>
        <w:pStyle w:val="ExecSumBodyText"/>
        <w:numPr>
          <w:ilvl w:val="0"/>
          <w:numId w:val="7"/>
        </w:numPr>
        <w:ind w:left="1134" w:hanging="357"/>
      </w:pPr>
      <w:r w:rsidRPr="004D292C">
        <w:t xml:space="preserve">Uptake is likely to be higher as dapagliflozin is already well-known to prescribers with a favourable safety profile relative to sacubitril/valsartan. Uptake for patients switching from sacubitril/valsartan </w:t>
      </w:r>
      <w:r w:rsidR="00F54242" w:rsidRPr="004D292C">
        <w:t>was</w:t>
      </w:r>
      <w:r w:rsidRPr="004D292C">
        <w:t xml:space="preserve"> unjustified and likely to be overestimated as patients would be switching from stable therapy. It would be more likely that dapagliflozin would be added on to therapy in these patients if needed.</w:t>
      </w:r>
      <w:r w:rsidR="00DC74C7" w:rsidRPr="004D292C">
        <w:t xml:space="preserve"> </w:t>
      </w:r>
    </w:p>
    <w:p w:rsidR="00062ABA" w:rsidRPr="004D292C" w:rsidRDefault="00062ABA" w:rsidP="00855E0D">
      <w:pPr>
        <w:pStyle w:val="ExecSumBodyText"/>
        <w:numPr>
          <w:ilvl w:val="0"/>
          <w:numId w:val="7"/>
        </w:numPr>
        <w:ind w:left="1134" w:hanging="357"/>
      </w:pPr>
      <w:r w:rsidRPr="004D292C">
        <w:t>Dapagliflozin may have greater compliance due to once daily dosing compared to twice daily dosing of sacubitril/valsartan. However an adherence of 95% compared to 75% is likely an overestimate</w:t>
      </w:r>
      <w:r w:rsidR="00365C0A" w:rsidRPr="004D292C">
        <w:t>. Moreover, t</w:t>
      </w:r>
      <w:r w:rsidR="00365C0A" w:rsidRPr="004D292C">
        <w:rPr>
          <w:bCs/>
        </w:rPr>
        <w:t xml:space="preserve">he method used to derive the number of dapagliflozin scripts due to substitution for sacubitril/valsartan resulted in an assumption of equal compliance for sacubitril/valsartan and </w:t>
      </w:r>
      <w:r w:rsidR="00365C0A" w:rsidRPr="004D292C">
        <w:rPr>
          <w:bCs/>
        </w:rPr>
        <w:lastRenderedPageBreak/>
        <w:t>dapagliflozin, which was not consistent with the compliance assumptions used for dapagliflozin treated patients in the additional eligible population.</w:t>
      </w:r>
      <w:r w:rsidRPr="004D292C">
        <w:t xml:space="preserve"> </w:t>
      </w:r>
      <w:r w:rsidR="00365C0A" w:rsidRPr="004D292C">
        <w:t xml:space="preserve">The DUSC considered that </w:t>
      </w:r>
      <w:r w:rsidRPr="004D292C">
        <w:t>compliance assumptions should be consistent across calculations.</w:t>
      </w:r>
    </w:p>
    <w:p w:rsidR="00D77720" w:rsidRPr="004D292C" w:rsidRDefault="00D77720" w:rsidP="00D77720">
      <w:pPr>
        <w:pStyle w:val="ExecSumBodyText"/>
      </w:pPr>
      <w:r w:rsidRPr="004D292C">
        <w:t>The evaluation had additionally noted that:</w:t>
      </w:r>
    </w:p>
    <w:p w:rsidR="00D77720" w:rsidRPr="004D292C" w:rsidRDefault="00D77720" w:rsidP="00855E0D">
      <w:pPr>
        <w:pStyle w:val="ExecSumBodyText"/>
        <w:numPr>
          <w:ilvl w:val="0"/>
          <w:numId w:val="7"/>
        </w:numPr>
        <w:ind w:left="1134" w:hanging="357"/>
      </w:pPr>
      <w:r w:rsidRPr="004D292C">
        <w:t>There was a risk of use outside of the proposed restriction</w:t>
      </w:r>
      <w:r w:rsidR="0081011B">
        <w:t>,</w:t>
      </w:r>
      <w:r w:rsidRPr="004D292C">
        <w:t xml:space="preserve"> among patients with HFpEF, NYHA Class I heart failure, patients not receiving optimal therapy with an ACE inhibitor and cardio-selective beta blocker, and patients with heart failure with moderately reduced ejection fraction (LVEF of 40-49%).</w:t>
      </w:r>
    </w:p>
    <w:p w:rsidR="00D77720" w:rsidRPr="004D292C" w:rsidRDefault="00D77720" w:rsidP="00855E0D">
      <w:pPr>
        <w:pStyle w:val="ExecSumBodyText"/>
        <w:numPr>
          <w:ilvl w:val="0"/>
          <w:numId w:val="7"/>
        </w:numPr>
        <w:ind w:left="1134" w:hanging="357"/>
        <w:rPr>
          <w:bCs/>
        </w:rPr>
      </w:pPr>
      <w:r w:rsidRPr="004D292C">
        <w:rPr>
          <w:bCs/>
        </w:rPr>
        <w:t>The estimates did not account for an additional cost of ACE inhibitor/ARB therapy among patients who switch from sacubitril/valsartan to dapagliflozin.</w:t>
      </w:r>
    </w:p>
    <w:p w:rsidR="00D77720" w:rsidRPr="004D292C" w:rsidRDefault="00D77720" w:rsidP="00855E0D">
      <w:pPr>
        <w:pStyle w:val="ExecSumBodyText"/>
        <w:numPr>
          <w:ilvl w:val="0"/>
          <w:numId w:val="7"/>
        </w:numPr>
        <w:ind w:left="1134" w:hanging="357"/>
        <w:rPr>
          <w:i/>
        </w:rPr>
      </w:pPr>
      <w:r w:rsidRPr="004D292C">
        <w:rPr>
          <w:bCs/>
        </w:rPr>
        <w:t>The estimates did not account for substitution of dapagliflozin for other heart failure therapies such as MRAs, digoxin,</w:t>
      </w:r>
      <w:r w:rsidRPr="004D292C">
        <w:rPr>
          <w:i/>
        </w:rPr>
        <w:t xml:space="preserve"> </w:t>
      </w:r>
      <w:r w:rsidRPr="004D292C">
        <w:t>ivabradine or hydralazine plus isosorbide dinitrate.</w:t>
      </w:r>
    </w:p>
    <w:p w:rsidR="00576972" w:rsidRPr="004D292C" w:rsidRDefault="00576972" w:rsidP="00606FBA">
      <w:pPr>
        <w:pStyle w:val="3-SubsectionHeading"/>
      </w:pPr>
      <w:r w:rsidRPr="004D292C">
        <w:t>Quality Use of Medicines</w:t>
      </w:r>
      <w:bookmarkEnd w:id="31"/>
      <w:bookmarkEnd w:id="32"/>
    </w:p>
    <w:p w:rsidR="00555CEB" w:rsidRPr="004D292C" w:rsidRDefault="00555CEB" w:rsidP="00555CEB">
      <w:pPr>
        <w:pStyle w:val="ExecSumBodyText"/>
      </w:pPr>
      <w:r w:rsidRPr="004D292C">
        <w:t>No quality use of medicines issues were identified in the submission, and no activities to support the quality use of medicines were proposed.</w:t>
      </w:r>
    </w:p>
    <w:p w:rsidR="008C2FD9" w:rsidRPr="004D292C" w:rsidRDefault="00555CEB" w:rsidP="008C2FD9">
      <w:pPr>
        <w:pStyle w:val="ExecSumBodyText"/>
      </w:pPr>
      <w:r w:rsidRPr="004D292C">
        <w:t>The following quality use of medicines issues we</w:t>
      </w:r>
      <w:r w:rsidR="008C2FD9" w:rsidRPr="004D292C">
        <w:t>re noted during the evaluation</w:t>
      </w:r>
      <w:r w:rsidR="005C164D" w:rsidRPr="004D292C">
        <w:t xml:space="preserve"> and by DUSC</w:t>
      </w:r>
      <w:r w:rsidR="008C2FD9" w:rsidRPr="004D292C">
        <w:t>:</w:t>
      </w:r>
    </w:p>
    <w:p w:rsidR="008C2FD9" w:rsidRPr="004D292C" w:rsidRDefault="00555CEB" w:rsidP="00855E0D">
      <w:pPr>
        <w:pStyle w:val="ExecSumBodyText"/>
        <w:numPr>
          <w:ilvl w:val="0"/>
          <w:numId w:val="7"/>
        </w:numPr>
        <w:ind w:left="1134" w:hanging="357"/>
      </w:pPr>
      <w:r w:rsidRPr="004D292C">
        <w:t>Patients may initiate dapagliflozin despite not being on optimised treatment with an ACE inhibitor</w:t>
      </w:r>
      <w:r w:rsidR="004928F2" w:rsidRPr="004D292C">
        <w:t xml:space="preserve"> </w:t>
      </w:r>
      <w:r w:rsidRPr="004D292C">
        <w:t xml:space="preserve">or ARB, </w:t>
      </w:r>
      <w:r w:rsidR="003E20D4" w:rsidRPr="004D292C">
        <w:t xml:space="preserve">a </w:t>
      </w:r>
      <w:r w:rsidRPr="004D292C">
        <w:t xml:space="preserve">beta blocker, and </w:t>
      </w:r>
      <w:r w:rsidR="00705A14" w:rsidRPr="004D292C">
        <w:t xml:space="preserve">(if appropriate) </w:t>
      </w:r>
      <w:r w:rsidR="003E20D4" w:rsidRPr="004D292C">
        <w:t xml:space="preserve">an </w:t>
      </w:r>
      <w:r w:rsidRPr="004D292C">
        <w:t xml:space="preserve">MRA. </w:t>
      </w:r>
    </w:p>
    <w:p w:rsidR="008C2FD9" w:rsidRPr="004D292C" w:rsidRDefault="00555CEB" w:rsidP="00855E0D">
      <w:pPr>
        <w:pStyle w:val="ExecSumBodyText"/>
        <w:numPr>
          <w:ilvl w:val="0"/>
          <w:numId w:val="7"/>
        </w:numPr>
        <w:ind w:left="1134" w:hanging="357"/>
      </w:pPr>
      <w:r w:rsidRPr="004D292C">
        <w:t>Patients switching from sacubitril/valsartan to dapagliflozin may neglect to recommence treatment with an ACE inhibitor or ARB.</w:t>
      </w:r>
    </w:p>
    <w:p w:rsidR="008C2FD9" w:rsidRPr="004D292C" w:rsidRDefault="00555CEB" w:rsidP="00855E0D">
      <w:pPr>
        <w:pStyle w:val="ExecSumBodyText"/>
        <w:numPr>
          <w:ilvl w:val="0"/>
          <w:numId w:val="7"/>
        </w:numPr>
        <w:ind w:left="1134" w:hanging="357"/>
      </w:pPr>
      <w:r w:rsidRPr="004D292C">
        <w:t>The dapagliflozin product information states that dapagliflozin should not be used to improve glycaemic control in patients with an eGFR persistently less than 45</w:t>
      </w:r>
      <w:r w:rsidR="005C164D" w:rsidRPr="004D292C">
        <w:t> </w:t>
      </w:r>
      <w:r w:rsidRPr="004D292C">
        <w:t>mL/min/1.73</w:t>
      </w:r>
      <w:r w:rsidR="00A567EE" w:rsidRPr="004D292C">
        <w:t xml:space="preserve"> </w:t>
      </w:r>
      <w:r w:rsidRPr="004D292C">
        <w:t>m2, as the glycaemic efficacy of dapagliflozin is dependent on renal function.</w:t>
      </w:r>
      <w:r w:rsidR="00913645" w:rsidRPr="004D292C">
        <w:t xml:space="preserve"> While the DAPA-HF Trial included patients with an eGFR of at least 30 mL/min/1.73m2, i</w:t>
      </w:r>
      <w:r w:rsidRPr="004D292C">
        <w:t xml:space="preserve">t is unclear whether an eGFR </w:t>
      </w:r>
      <w:r w:rsidR="00913645" w:rsidRPr="004D292C">
        <w:t>of &gt;30 and &lt;</w:t>
      </w:r>
      <w:r w:rsidR="005C164D" w:rsidRPr="004D292C">
        <w:t> </w:t>
      </w:r>
      <w:r w:rsidRPr="004D292C">
        <w:t>45</w:t>
      </w:r>
      <w:r w:rsidR="005C164D" w:rsidRPr="004D292C">
        <w:t> </w:t>
      </w:r>
      <w:r w:rsidRPr="004D292C">
        <w:t>mL/min/1.73</w:t>
      </w:r>
      <w:r w:rsidR="005C164D" w:rsidRPr="004D292C">
        <w:t> </w:t>
      </w:r>
      <w:r w:rsidRPr="004D292C">
        <w:t>m2 would affect the efficacy of dapagliflozin in the management of heart failure.</w:t>
      </w:r>
    </w:p>
    <w:p w:rsidR="00EF4532" w:rsidRPr="004D292C" w:rsidRDefault="00555CEB" w:rsidP="00855E0D">
      <w:pPr>
        <w:pStyle w:val="ExecSumBodyText"/>
        <w:numPr>
          <w:ilvl w:val="0"/>
          <w:numId w:val="7"/>
        </w:numPr>
        <w:ind w:left="1134" w:hanging="357"/>
      </w:pPr>
      <w:r w:rsidRPr="004D292C">
        <w:t xml:space="preserve">Patients switching from sacubitril/valsartan to dapagliflozin are likely to require additional monitoring due to the potential for exacerbation of heart failure during cessation of sacubitril/valsartan, restabilisation on an ACE inhibitor or ARB, </w:t>
      </w:r>
      <w:r w:rsidR="003E20D4" w:rsidRPr="004D292C">
        <w:t xml:space="preserve">and </w:t>
      </w:r>
      <w:r w:rsidRPr="004D292C">
        <w:t xml:space="preserve">initiation of dapagliflozin. </w:t>
      </w:r>
    </w:p>
    <w:p w:rsidR="00EF4532" w:rsidRPr="004D292C" w:rsidRDefault="005C164D" w:rsidP="00855E0D">
      <w:pPr>
        <w:pStyle w:val="ExecSumBodyText"/>
        <w:numPr>
          <w:ilvl w:val="0"/>
          <w:numId w:val="7"/>
        </w:numPr>
        <w:ind w:left="1134" w:hanging="357"/>
      </w:pPr>
      <w:r w:rsidRPr="004D292C">
        <w:t>There is a p</w:t>
      </w:r>
      <w:r w:rsidR="00EF4532" w:rsidRPr="004D292C">
        <w:t>otential risk of volume depletion associated with the use of multiple diuretic agents</w:t>
      </w:r>
      <w:r w:rsidR="002F6A3A" w:rsidRPr="004D292C">
        <w:t>, including dapagliflozin, loop diuretics and</w:t>
      </w:r>
      <w:r w:rsidR="00317E7D" w:rsidRPr="004D292C">
        <w:t xml:space="preserve"> </w:t>
      </w:r>
      <w:r w:rsidR="002F6A3A" w:rsidRPr="004D292C">
        <w:t>MRA</w:t>
      </w:r>
      <w:r w:rsidR="00317E7D" w:rsidRPr="004D292C">
        <w:t>s</w:t>
      </w:r>
      <w:r w:rsidR="002F6A3A" w:rsidRPr="004D292C">
        <w:t>.</w:t>
      </w:r>
    </w:p>
    <w:p w:rsidR="00EF4532" w:rsidRPr="004D292C" w:rsidRDefault="00705A14" w:rsidP="00855E0D">
      <w:pPr>
        <w:pStyle w:val="ExecSumBodyText"/>
        <w:numPr>
          <w:ilvl w:val="0"/>
          <w:numId w:val="7"/>
        </w:numPr>
        <w:ind w:left="1134" w:hanging="357"/>
      </w:pPr>
      <w:r w:rsidRPr="004D292C">
        <w:t xml:space="preserve">Urinary tract infections are an important identified risk of dapagliflozin. Treatment of urinary tract infections with </w:t>
      </w:r>
      <w:r w:rsidR="00EF4532" w:rsidRPr="004D292C">
        <w:t xml:space="preserve">trimethoprim may increase the risk of </w:t>
      </w:r>
      <w:r w:rsidR="00EF4532" w:rsidRPr="004D292C">
        <w:lastRenderedPageBreak/>
        <w:t>hyperkalaemia due to interaction with other heart failure medications (ACE inhibitor/ARB, MRA).</w:t>
      </w:r>
    </w:p>
    <w:p w:rsidR="005C164D" w:rsidRPr="004D292C" w:rsidRDefault="005C164D" w:rsidP="00855E0D">
      <w:pPr>
        <w:pStyle w:val="ExecSumBodyText"/>
        <w:numPr>
          <w:ilvl w:val="0"/>
          <w:numId w:val="7"/>
        </w:numPr>
        <w:ind w:left="1134" w:hanging="357"/>
      </w:pPr>
      <w:r w:rsidRPr="004D292C">
        <w:t>There may be potential for inadvertent co-prescribing of dapagliflozin with other SGLT2 inhibitors used for the treatment of diabetes.</w:t>
      </w:r>
    </w:p>
    <w:p w:rsidR="005C164D" w:rsidRPr="004D292C" w:rsidRDefault="005C164D" w:rsidP="00855E0D">
      <w:pPr>
        <w:pStyle w:val="ExecSumBodyText"/>
        <w:numPr>
          <w:ilvl w:val="0"/>
          <w:numId w:val="7"/>
        </w:numPr>
        <w:ind w:left="1134" w:hanging="357"/>
      </w:pPr>
      <w:r w:rsidRPr="004D292C">
        <w:t xml:space="preserve">There is a definite risk of diabetic ketoacidosis when SGLT2 inhibitors are taken by patients undergoing surgical procedures causing unexpected delays in surgeries. Patients should be informed upon commencement of these medications. </w:t>
      </w:r>
    </w:p>
    <w:p w:rsidR="00576972" w:rsidRPr="004D292C" w:rsidRDefault="00576972" w:rsidP="00606FBA">
      <w:pPr>
        <w:pStyle w:val="3-SubsectionHeading"/>
      </w:pPr>
      <w:bookmarkStart w:id="33" w:name="_Toc22897649"/>
      <w:bookmarkStart w:id="34" w:name="_Toc50975086"/>
      <w:r w:rsidRPr="004D292C">
        <w:t>Financial Management – Risk Sharing Arrangements</w:t>
      </w:r>
      <w:bookmarkEnd w:id="33"/>
      <w:bookmarkEnd w:id="34"/>
    </w:p>
    <w:p w:rsidR="00E026BA" w:rsidRPr="004D292C" w:rsidRDefault="008C2FD9" w:rsidP="00D51985">
      <w:pPr>
        <w:pStyle w:val="ExecSumBodyText"/>
      </w:pPr>
      <w:r w:rsidRPr="004D292C">
        <w:t>No risk-sharing arrangement</w:t>
      </w:r>
      <w:r w:rsidR="00A95F63" w:rsidRPr="004D292C">
        <w:t xml:space="preserve"> (RSA) was</w:t>
      </w:r>
      <w:r w:rsidRPr="004D292C">
        <w:t xml:space="preserve"> proposed</w:t>
      </w:r>
      <w:r w:rsidR="00913645" w:rsidRPr="004D292C">
        <w:t xml:space="preserve"> in the submission</w:t>
      </w:r>
      <w:r w:rsidR="004D292C">
        <w:t xml:space="preserve">. </w:t>
      </w:r>
      <w:r w:rsidR="00913645" w:rsidRPr="004D292C">
        <w:t>However, the PSCR indicated that the sponsor was willing to accept the current RSA in place for sacubitril/valsartan as an RSA to cover both dapagliflozin and sacubitril/valsartan</w:t>
      </w:r>
      <w:r w:rsidR="004D292C">
        <w:t xml:space="preserve">. </w:t>
      </w:r>
      <w:r w:rsidR="00913645" w:rsidRPr="004D292C">
        <w:t xml:space="preserve">The ESC noted that, should dapagliflozin be approved under this RSA, any other ARNIs or SGLT2-inhibitors subsequently approved for this indication </w:t>
      </w:r>
      <w:r w:rsidR="00E74F99" w:rsidRPr="004D292C">
        <w:t>sh</w:t>
      </w:r>
      <w:r w:rsidR="00913645" w:rsidRPr="004D292C">
        <w:t>ould also be encompassed in the same RSA</w:t>
      </w:r>
      <w:r w:rsidR="00E74F99" w:rsidRPr="004D292C">
        <w:t>.</w:t>
      </w:r>
    </w:p>
    <w:p w:rsidR="00E026BA" w:rsidRPr="004D292C" w:rsidRDefault="00C913F2" w:rsidP="00D51985">
      <w:pPr>
        <w:pStyle w:val="ExecSumBodyText"/>
      </w:pPr>
      <w:r w:rsidRPr="004D292C">
        <w:rPr>
          <w:iCs/>
        </w:rPr>
        <w:t xml:space="preserve">In the July 2016 consideration of sacubitril/valsartan, </w:t>
      </w:r>
      <w:r w:rsidR="00364670" w:rsidRPr="004D292C">
        <w:rPr>
          <w:iCs/>
        </w:rPr>
        <w:t>the PBAC noted that the submission’s model structure was unchanged from the March 2016 major submission, and recalled that it was previously concerned that the model did not accurately reflect the disease progression of patients with heart failure and the baseline heart failure mortality was not reflective of that for the likely PBS population. T</w:t>
      </w:r>
      <w:r w:rsidRPr="004D292C">
        <w:rPr>
          <w:iCs/>
        </w:rPr>
        <w:t xml:space="preserve">he PBAC considered that it would be appropriate to reduce the price of sacubitril/valsartan to the price of enalapril beyond </w:t>
      </w:r>
      <w:r w:rsidR="00364670" w:rsidRPr="004D292C">
        <w:rPr>
          <w:iCs/>
        </w:rPr>
        <w:t>an expenditure</w:t>
      </w:r>
      <w:r w:rsidRPr="004D292C">
        <w:rPr>
          <w:iCs/>
        </w:rPr>
        <w:t xml:space="preserve"> cap. Specifically, the PBAC recalled the previous sensitivity analyses and sought to be reassured that, at the revised price, cost effectiveness was likely to remain acceptable using model inputs more likely to reflect the PBS population</w:t>
      </w:r>
      <w:r w:rsidR="00E026BA" w:rsidRPr="004D292C">
        <w:rPr>
          <w:iCs/>
        </w:rPr>
        <w:t xml:space="preserve"> (Paragraph 7.1, sacubitril/valsartan, Public Summary Document, July 2016)</w:t>
      </w:r>
      <w:r w:rsidRPr="004D292C">
        <w:rPr>
          <w:iCs/>
        </w:rPr>
        <w:t>.</w:t>
      </w:r>
      <w:r w:rsidRPr="004D292C">
        <w:t xml:space="preserve"> </w:t>
      </w:r>
    </w:p>
    <w:p w:rsidR="00576972" w:rsidRPr="004D292C" w:rsidRDefault="008C2FD9" w:rsidP="00D51985">
      <w:pPr>
        <w:pStyle w:val="ExecSumBodyText"/>
      </w:pPr>
      <w:r w:rsidRPr="004D292C">
        <w:t xml:space="preserve">Sacubitril/valsartan was </w:t>
      </w:r>
      <w:r w:rsidR="00C913F2" w:rsidRPr="004D292C">
        <w:t xml:space="preserve">subsequently </w:t>
      </w:r>
      <w:r w:rsidRPr="004D292C">
        <w:t xml:space="preserve">recommended </w:t>
      </w:r>
      <w:r w:rsidR="005439CE" w:rsidRPr="004D292C">
        <w:t>in August 2016 based on</w:t>
      </w:r>
      <w:r w:rsidRPr="004D292C">
        <w:t xml:space="preserve"> a </w:t>
      </w:r>
      <w:r w:rsidR="00364670" w:rsidRPr="004D292C">
        <w:t xml:space="preserve">reduced price, and a </w:t>
      </w:r>
      <w:r w:rsidRPr="004D292C">
        <w:t xml:space="preserve">proposed </w:t>
      </w:r>
      <w:r w:rsidR="00A95F63" w:rsidRPr="004D292C">
        <w:t>RSA</w:t>
      </w:r>
      <w:r w:rsidRPr="004D292C">
        <w:t xml:space="preserve"> including a two-tier financial cap (Addendum, sacubitril/valsartan, Public Summary Document, July 2016 PBAC meeting).</w:t>
      </w:r>
    </w:p>
    <w:p w:rsidR="000B5A3E" w:rsidRPr="004D292C" w:rsidRDefault="000B5A3E" w:rsidP="00D51985">
      <w:pPr>
        <w:pStyle w:val="ExecSumBodyText"/>
      </w:pPr>
      <w:r w:rsidRPr="004D292C">
        <w:t>The PBAC did not consider it appropriate for dapagliflozin to share the caps in the sacubitril/valsartan RSA (see section 7).</w:t>
      </w:r>
    </w:p>
    <w:p w:rsidR="004D77AA" w:rsidRPr="004D292C" w:rsidRDefault="004D77AA" w:rsidP="0087143A">
      <w:pPr>
        <w:pStyle w:val="2-SectionHeading"/>
        <w:numPr>
          <w:ilvl w:val="0"/>
          <w:numId w:val="1"/>
        </w:numPr>
      </w:pPr>
      <w:bookmarkStart w:id="35" w:name="_Toc50975090"/>
      <w:r w:rsidRPr="004D292C">
        <w:t>PBAC Outcome</w:t>
      </w:r>
    </w:p>
    <w:p w:rsidR="00B837F7" w:rsidRPr="004D292C" w:rsidRDefault="00B837F7" w:rsidP="00D01068">
      <w:pPr>
        <w:pStyle w:val="ExecSumBodyText"/>
        <w:widowControl w:val="0"/>
        <w:numPr>
          <w:ilvl w:val="1"/>
          <w:numId w:val="1"/>
        </w:numPr>
      </w:pPr>
      <w:r w:rsidRPr="004D292C">
        <w:t xml:space="preserve">The PBAC did not recommend dapagliflozin for the treatment of patients with chronic heart failure with reduced ejection fraction. The PBAC considered that although dapagliflozin was effective for this indication, its clinical place was unclear and likely to evolve. The selection of </w:t>
      </w:r>
      <w:r w:rsidR="001C5694" w:rsidRPr="004D292C">
        <w:t xml:space="preserve">sacubitril/valsartan as the main </w:t>
      </w:r>
      <w:r w:rsidRPr="004D292C">
        <w:t>comparator was inappropriate</w:t>
      </w:r>
      <w:r w:rsidR="001C5694" w:rsidRPr="004D292C">
        <w:t>,</w:t>
      </w:r>
      <w:r w:rsidR="001C5694" w:rsidRPr="004D292C">
        <w:rPr>
          <w:bCs/>
        </w:rPr>
        <w:t xml:space="preserve"> </w:t>
      </w:r>
      <w:r w:rsidRPr="004D292C">
        <w:rPr>
          <w:bCs/>
        </w:rPr>
        <w:t xml:space="preserve">and </w:t>
      </w:r>
      <w:r w:rsidR="00FB2F64" w:rsidRPr="004D292C">
        <w:rPr>
          <w:bCs/>
        </w:rPr>
        <w:t xml:space="preserve">hence the </w:t>
      </w:r>
      <w:r w:rsidRPr="004D292C">
        <w:rPr>
          <w:bCs/>
        </w:rPr>
        <w:t>economic analys</w:t>
      </w:r>
      <w:r w:rsidR="00B26D93" w:rsidRPr="004D292C">
        <w:rPr>
          <w:bCs/>
        </w:rPr>
        <w:t>i</w:t>
      </w:r>
      <w:r w:rsidRPr="004D292C">
        <w:rPr>
          <w:bCs/>
        </w:rPr>
        <w:t xml:space="preserve">s presented in the submission did not allow for an assessment of cost effectiveness. </w:t>
      </w:r>
      <w:r w:rsidR="001C5694" w:rsidRPr="004D292C">
        <w:t xml:space="preserve">The PBAC considered </w:t>
      </w:r>
      <w:r w:rsidR="001C5694" w:rsidRPr="004D292C">
        <w:rPr>
          <w:bCs/>
        </w:rPr>
        <w:t>the cost-</w:t>
      </w:r>
      <w:r w:rsidR="0084707A" w:rsidRPr="004D292C">
        <w:rPr>
          <w:bCs/>
        </w:rPr>
        <w:t xml:space="preserve">effectiveness of dapagliflozin </w:t>
      </w:r>
      <w:r w:rsidR="001C5694" w:rsidRPr="004D292C">
        <w:rPr>
          <w:bCs/>
        </w:rPr>
        <w:t>added to standard care</w:t>
      </w:r>
      <w:r w:rsidR="0084707A" w:rsidRPr="004D292C">
        <w:rPr>
          <w:bCs/>
        </w:rPr>
        <w:t xml:space="preserve"> (comprising a beta-blocker plus </w:t>
      </w:r>
      <w:r w:rsidR="0084707A" w:rsidRPr="004D292C">
        <w:rPr>
          <w:bCs/>
        </w:rPr>
        <w:lastRenderedPageBreak/>
        <w:t>an ACE inhibitor or ARB)</w:t>
      </w:r>
      <w:r w:rsidR="001C5694" w:rsidRPr="004D292C">
        <w:rPr>
          <w:bCs/>
        </w:rPr>
        <w:t xml:space="preserve"> versus standard care alone </w:t>
      </w:r>
      <w:r w:rsidR="0084707A" w:rsidRPr="004D292C">
        <w:rPr>
          <w:bCs/>
        </w:rPr>
        <w:t>(comprising a beta-blocker plus an ACE inhibitor or ARB)</w:t>
      </w:r>
      <w:r w:rsidR="001C5694" w:rsidRPr="004D292C">
        <w:rPr>
          <w:bCs/>
        </w:rPr>
        <w:t xml:space="preserve"> would need to be established</w:t>
      </w:r>
      <w:r w:rsidR="003C75CE" w:rsidRPr="004D292C">
        <w:rPr>
          <w:bCs/>
        </w:rPr>
        <w:t xml:space="preserve"> in a future resubmission</w:t>
      </w:r>
      <w:r w:rsidR="001C5694" w:rsidRPr="004D292C">
        <w:rPr>
          <w:bCs/>
        </w:rPr>
        <w:t>.</w:t>
      </w:r>
      <w:r w:rsidR="0084707A" w:rsidRPr="004D292C">
        <w:rPr>
          <w:bCs/>
        </w:rPr>
        <w:t xml:space="preserve"> An additional cost-effectiveness analysis is also required for concomitant use of dapagliflozin and sacubitril/valsartan (plus a beta-blocker) compared to sacubitril/valsartan (plus a beta-blocker)</w:t>
      </w:r>
      <w:r w:rsidR="00686DB1" w:rsidRPr="004D292C">
        <w:rPr>
          <w:bCs/>
        </w:rPr>
        <w:t>,</w:t>
      </w:r>
      <w:r w:rsidR="0084707A" w:rsidRPr="004D292C">
        <w:rPr>
          <w:bCs/>
        </w:rPr>
        <w:t xml:space="preserve"> which would be allowed under the proposed PBS listing.</w:t>
      </w:r>
    </w:p>
    <w:p w:rsidR="00B837F7" w:rsidRPr="004D292C" w:rsidRDefault="00B837F7" w:rsidP="002A5805">
      <w:pPr>
        <w:pStyle w:val="ExecSumBodyText"/>
        <w:keepNext/>
        <w:numPr>
          <w:ilvl w:val="1"/>
          <w:numId w:val="1"/>
        </w:numPr>
      </w:pPr>
      <w:r w:rsidRPr="004D292C">
        <w:t>The PBAC noted that the submission positioned dapagliflozin as an alternative or add-on option to sacubitril/valsartan when intensification of treatment is required following stabilisation on therapy with an ACE inhibitor/ARB, a beta-blocker and a MRA. However, the PBAC considered that the clinical place for dapagliflozin is not yet established</w:t>
      </w:r>
      <w:r w:rsidR="006C2E1F" w:rsidRPr="004D292C">
        <w:t xml:space="preserve"> and will evolve over time</w:t>
      </w:r>
      <w:r w:rsidRPr="004D292C">
        <w:t>, noting that:</w:t>
      </w:r>
    </w:p>
    <w:p w:rsidR="00B837F7" w:rsidRPr="004D292C" w:rsidRDefault="00B837F7" w:rsidP="002A5805">
      <w:pPr>
        <w:pStyle w:val="ExecSumBodyText"/>
        <w:keepNext/>
        <w:numPr>
          <w:ilvl w:val="0"/>
          <w:numId w:val="33"/>
        </w:numPr>
      </w:pPr>
      <w:r w:rsidRPr="004D292C">
        <w:t>The National Heart Foundation guidelines (2018) do not contain specific recommendations for the use of SGLT2 inhibitors in the treatment of established heart failure.</w:t>
      </w:r>
    </w:p>
    <w:p w:rsidR="00B837F7" w:rsidRPr="004D292C" w:rsidRDefault="00B837F7" w:rsidP="002A5805">
      <w:pPr>
        <w:pStyle w:val="ExecSumBodyText"/>
        <w:keepNext/>
        <w:numPr>
          <w:ilvl w:val="0"/>
          <w:numId w:val="33"/>
        </w:numPr>
      </w:pPr>
      <w:r w:rsidRPr="004D292C">
        <w:t>There was a major submission to the November 2020 PBAC meeting, which sought to include a broader population of patients in the current sacubitril/valsartan PBS listing.</w:t>
      </w:r>
    </w:p>
    <w:p w:rsidR="00B837F7" w:rsidRPr="004D292C" w:rsidRDefault="00B837F7" w:rsidP="00B837F7">
      <w:pPr>
        <w:pStyle w:val="ExecSumBodyText"/>
        <w:numPr>
          <w:ilvl w:val="0"/>
          <w:numId w:val="33"/>
        </w:numPr>
      </w:pPr>
      <w:r w:rsidRPr="004D292C">
        <w:t>The substantial diuretic effect of dapagliflozin may influence the positi</w:t>
      </w:r>
      <w:r w:rsidR="007956B2" w:rsidRPr="004D292C">
        <w:t>on of MRAs and other diuretics.</w:t>
      </w:r>
    </w:p>
    <w:p w:rsidR="006C2E1F" w:rsidRPr="004D292C" w:rsidRDefault="00000874" w:rsidP="006C2E1F">
      <w:pPr>
        <w:pStyle w:val="ListParagraph"/>
        <w:numPr>
          <w:ilvl w:val="0"/>
          <w:numId w:val="33"/>
        </w:numPr>
      </w:pPr>
      <w:r w:rsidRPr="004D292C">
        <w:t>S</w:t>
      </w:r>
      <w:r w:rsidR="006C2E1F" w:rsidRPr="004D292C">
        <w:t xml:space="preserve">acubitril/valsartan and dapagliflozin have different optimal patient profiles and dapagliflozin was more likely to be used in patients with diabetes, </w:t>
      </w:r>
      <w:r w:rsidR="005E6943">
        <w:t xml:space="preserve">normotension/relative </w:t>
      </w:r>
      <w:r w:rsidR="006C2E1F" w:rsidRPr="004D292C">
        <w:t>or fluid overload, whereas sacubitril/valsartan may be preferred for use in patients with hypertension.</w:t>
      </w:r>
    </w:p>
    <w:p w:rsidR="00B837F7" w:rsidRPr="004D292C" w:rsidRDefault="00B837F7" w:rsidP="00B837F7">
      <w:pPr>
        <w:pStyle w:val="ExecSumBodyText"/>
        <w:numPr>
          <w:ilvl w:val="1"/>
          <w:numId w:val="1"/>
        </w:numPr>
      </w:pPr>
      <w:r w:rsidRPr="004D292C">
        <w:t>The PBAC agreed with the ESC that given that dapagliflozin has a different mechanism of action compared to sacubitril/valsartan, patients will potentially switch from, add-on, or displace sacubitril/valsartan, or grow the current heart failure market.</w:t>
      </w:r>
    </w:p>
    <w:p w:rsidR="00B837F7" w:rsidRPr="004D292C" w:rsidRDefault="00B837F7" w:rsidP="00B837F7">
      <w:pPr>
        <w:pStyle w:val="ExecSumBodyText"/>
        <w:numPr>
          <w:ilvl w:val="1"/>
          <w:numId w:val="1"/>
        </w:numPr>
      </w:pPr>
      <w:r w:rsidRPr="004D292C">
        <w:t xml:space="preserve">The PBAC noted that the submission nominated sacubitril/valsartan as a major comparator, and standard of care (which may </w:t>
      </w:r>
      <w:r w:rsidR="00000874" w:rsidRPr="004D292C">
        <w:t xml:space="preserve">or may not </w:t>
      </w:r>
      <w:r w:rsidRPr="004D292C">
        <w:t>include sacubitril/valsartan) as a minor comparator. The PBAC also noted that the majority of patients in the DAPA-HF trial were not using an ARNI as part of standard care (approximately 89%). The PBAC agreed with the ESC that this would likely reflect Australian clinical practice, and thus considered that the appropriate comparator for the majority</w:t>
      </w:r>
      <w:r w:rsidR="00F73419" w:rsidRPr="004D292C">
        <w:t xml:space="preserve"> of dapagliflozin use would be ‘</w:t>
      </w:r>
      <w:r w:rsidRPr="004D292C">
        <w:t>standard of care</w:t>
      </w:r>
      <w:r w:rsidR="00F73419" w:rsidRPr="004D292C">
        <w:t>’</w:t>
      </w:r>
      <w:r w:rsidRPr="004D292C">
        <w:t xml:space="preserve"> consisting of an ACE inhibitor (or ARB) and a beta blocker. MRAs and other background heart failure therapies could be considered as part of this standard of care, but noting the variability of </w:t>
      </w:r>
      <w:r w:rsidR="00DF3046" w:rsidRPr="004D292C">
        <w:t>current</w:t>
      </w:r>
      <w:r w:rsidRPr="004D292C">
        <w:t xml:space="preserve"> care, the PBAC viewed that they would complicate a cost-effectiveness comparison and could potentially be excluded if their financial impact were minor.</w:t>
      </w:r>
    </w:p>
    <w:p w:rsidR="00B837F7" w:rsidRPr="004D292C" w:rsidRDefault="00B837F7" w:rsidP="00B837F7">
      <w:pPr>
        <w:pStyle w:val="ExecSumBodyText"/>
        <w:numPr>
          <w:ilvl w:val="1"/>
          <w:numId w:val="1"/>
        </w:numPr>
      </w:pPr>
      <w:r w:rsidRPr="004D292C">
        <w:t xml:space="preserve">Complementary to this, </w:t>
      </w:r>
      <w:r w:rsidR="00F73419" w:rsidRPr="004D292C">
        <w:t>the PBAC considered that ‘</w:t>
      </w:r>
      <w:r w:rsidRPr="004D292C">
        <w:t>standard of care plus sacubitril/valsartan</w:t>
      </w:r>
      <w:r w:rsidR="00F73419" w:rsidRPr="004D292C">
        <w:t>’</w:t>
      </w:r>
      <w:r w:rsidRPr="004D292C">
        <w:t xml:space="preserve"> (i.e. a beta blocker plus sacubitril/valsartan) would be an appropriate comparator for a minor proportion of the proposed population. The PBAC </w:t>
      </w:r>
      <w:r w:rsidRPr="004D292C">
        <w:lastRenderedPageBreak/>
        <w:t xml:space="preserve">considered that this portion could be </w:t>
      </w:r>
      <w:r w:rsidRPr="00975EE0">
        <w:rPr>
          <w:i/>
          <w:iCs/>
        </w:rPr>
        <w:t>reasonably</w:t>
      </w:r>
      <w:r w:rsidRPr="004D292C">
        <w:t xml:space="preserve"> estimated as somewhere between 11% (the proportion in the DAPA-HF trial using both dapagliflozin and sacubitril/valsartan at baseline) and 20% (the proportion of concomitant use estimated in the PSCR and pre-PBAC response</w:t>
      </w:r>
      <w:r w:rsidR="00DF3046" w:rsidRPr="004D292C">
        <w:t>, based on the EMPEROR-Reduced trial and clinical opinion</w:t>
      </w:r>
      <w:r w:rsidRPr="004D292C">
        <w:t>).</w:t>
      </w:r>
    </w:p>
    <w:p w:rsidR="002D70EC" w:rsidRPr="004D292C" w:rsidRDefault="00DB4D49" w:rsidP="00D01068">
      <w:pPr>
        <w:pStyle w:val="ExecSumBodyText"/>
        <w:numPr>
          <w:ilvl w:val="1"/>
          <w:numId w:val="1"/>
        </w:numPr>
        <w:rPr>
          <w:color w:val="0070C0"/>
        </w:rPr>
      </w:pPr>
      <w:r w:rsidRPr="004D292C">
        <w:t xml:space="preserve">Based on the key trial, DAPA-HF, </w:t>
      </w:r>
      <w:r w:rsidR="00674C38" w:rsidRPr="004D292C">
        <w:t>treatment</w:t>
      </w:r>
      <w:r w:rsidRPr="004D292C">
        <w:t xml:space="preserve"> with dapagliflozin (plus standard care) was associated with statistically significant reductions in the primary composite outcome of time to cardiovascular death, hospitalisation due to heart failure, or an urgent heart failure visit, and the secondary composite outcome of time to cardiovascular death or hospitalisation due to heart failure, compared to placebo (plus standard care). The PBAC noted the treatment effect appeared to be consistent across diabetic and non-diabetic subgroups.</w:t>
      </w:r>
      <w:r w:rsidR="00B837F7" w:rsidRPr="004D292C">
        <w:t xml:space="preserve"> </w:t>
      </w:r>
    </w:p>
    <w:p w:rsidR="00DB4D49" w:rsidRPr="004D292C" w:rsidRDefault="00DB4D49" w:rsidP="00D01068">
      <w:pPr>
        <w:pStyle w:val="ExecSumBodyText"/>
        <w:numPr>
          <w:ilvl w:val="1"/>
          <w:numId w:val="1"/>
        </w:numPr>
        <w:rPr>
          <w:color w:val="0070C0"/>
        </w:rPr>
      </w:pPr>
      <w:r w:rsidRPr="004D292C">
        <w:t xml:space="preserve">The PBAC considered it was reasonable to claim that based on the DAPA-HF trial, dapagliflozin added to standard care (comprising an ACE inhibitor, ARB or sacubitril/valsartan; a beta-blocker; and, if appropriate, an MRA along with other heart failure treatments) was superior compared with standard care alone. Whilst noting the </w:t>
      </w:r>
      <w:r w:rsidRPr="004D292C">
        <w:rPr>
          <w:bCs/>
        </w:rPr>
        <w:t>TGA Evaluators’ concerns with regard to a lower outcome benefit seen with dapagliflozin in the DAPA-HF trial for NYHA Class III/IV patients compared to NYHA Class II patients, the PBAC also noted the pre-PBAC response, which highlighted that findings with respect to other advanced disease subgroups did not show a reduced treatment effect by HF severity.</w:t>
      </w:r>
    </w:p>
    <w:p w:rsidR="00DB4D49" w:rsidRPr="004D292C" w:rsidRDefault="00DB4D49" w:rsidP="00DB4D49">
      <w:pPr>
        <w:pStyle w:val="ExecSumBodyText"/>
      </w:pPr>
      <w:r w:rsidRPr="004D292C">
        <w:t>The PBAC considered the claim of non-inferior safety was also reasonable.</w:t>
      </w:r>
    </w:p>
    <w:p w:rsidR="00B837F7" w:rsidRPr="004D292C" w:rsidRDefault="00DB4D49" w:rsidP="00B837F7">
      <w:pPr>
        <w:pStyle w:val="ExecSumBodyText"/>
        <w:numPr>
          <w:ilvl w:val="1"/>
          <w:numId w:val="1"/>
        </w:numPr>
        <w:rPr>
          <w:color w:val="0070C0"/>
        </w:rPr>
      </w:pPr>
      <w:r w:rsidRPr="004D292C">
        <w:t>The PBAC did not consider the ITC comparisons to sacubitril/valsartan were relevant for decision-making.</w:t>
      </w:r>
    </w:p>
    <w:p w:rsidR="00B837F7" w:rsidRPr="004D292C" w:rsidRDefault="002D70EC" w:rsidP="00B837F7">
      <w:pPr>
        <w:pStyle w:val="ExecSumBodyText"/>
        <w:numPr>
          <w:ilvl w:val="1"/>
          <w:numId w:val="1"/>
        </w:numPr>
        <w:rPr>
          <w:bCs/>
        </w:rPr>
      </w:pPr>
      <w:r w:rsidRPr="004D292C">
        <w:t>T</w:t>
      </w:r>
      <w:r w:rsidR="00B837F7" w:rsidRPr="004D292C">
        <w:rPr>
          <w:bCs/>
        </w:rPr>
        <w:t xml:space="preserve">he submission presented a </w:t>
      </w:r>
      <w:r w:rsidRPr="004D292C">
        <w:rPr>
          <w:bCs/>
        </w:rPr>
        <w:t xml:space="preserve">cost-minimisation analysis </w:t>
      </w:r>
      <w:r w:rsidR="00B837F7" w:rsidRPr="004D292C">
        <w:rPr>
          <w:bCs/>
        </w:rPr>
        <w:t xml:space="preserve">comparing dapagliflozin (plus standard care) with sacubitril/valsartan (plus standard care). </w:t>
      </w:r>
      <w:r w:rsidR="005B5FBB" w:rsidRPr="004D292C">
        <w:rPr>
          <w:bCs/>
        </w:rPr>
        <w:t>T</w:t>
      </w:r>
      <w:r w:rsidR="00B837F7" w:rsidRPr="004D292C">
        <w:rPr>
          <w:bCs/>
        </w:rPr>
        <w:t>he PBAC considered that the economic analysis was not informative because:</w:t>
      </w:r>
    </w:p>
    <w:p w:rsidR="00B837F7" w:rsidRPr="004D292C" w:rsidRDefault="00B837F7" w:rsidP="002A5805">
      <w:pPr>
        <w:pStyle w:val="ExecSumBodyText"/>
        <w:numPr>
          <w:ilvl w:val="0"/>
          <w:numId w:val="33"/>
        </w:numPr>
        <w:ind w:left="1134"/>
        <w:rPr>
          <w:bCs/>
        </w:rPr>
      </w:pPr>
      <w:r w:rsidRPr="004D292C">
        <w:rPr>
          <w:bCs/>
        </w:rPr>
        <w:t>It was not based on the appropriate main comparator (see paragraph 7.4).</w:t>
      </w:r>
    </w:p>
    <w:p w:rsidR="00B837F7" w:rsidRPr="004D292C" w:rsidRDefault="00B837F7" w:rsidP="002A5805">
      <w:pPr>
        <w:pStyle w:val="ExecSumBodyText"/>
        <w:numPr>
          <w:ilvl w:val="0"/>
          <w:numId w:val="33"/>
        </w:numPr>
        <w:ind w:left="1134"/>
        <w:rPr>
          <w:bCs/>
        </w:rPr>
      </w:pPr>
      <w:r w:rsidRPr="004D292C">
        <w:rPr>
          <w:bCs/>
        </w:rPr>
        <w:t xml:space="preserve">The cost-effectiveness of dapagliflozin (added to standard care) versus standard care alone has not been established. </w:t>
      </w:r>
    </w:p>
    <w:p w:rsidR="00B837F7" w:rsidRPr="004D292C" w:rsidRDefault="00B837F7" w:rsidP="002A5805">
      <w:pPr>
        <w:pStyle w:val="ExecSumBodyText"/>
        <w:numPr>
          <w:ilvl w:val="0"/>
          <w:numId w:val="33"/>
        </w:numPr>
        <w:ind w:left="1134"/>
        <w:rPr>
          <w:bCs/>
        </w:rPr>
      </w:pPr>
      <w:r w:rsidRPr="004D292C">
        <w:rPr>
          <w:bCs/>
        </w:rPr>
        <w:t>The cost-effectiveness of concomitant use of dapagliflozin and sacubitril/valsartan has not been established.</w:t>
      </w:r>
    </w:p>
    <w:p w:rsidR="00B837F7" w:rsidRPr="004D292C" w:rsidRDefault="00B837F7" w:rsidP="00B837F7">
      <w:pPr>
        <w:pStyle w:val="ExecSumBodyText"/>
        <w:numPr>
          <w:ilvl w:val="1"/>
          <w:numId w:val="1"/>
        </w:numPr>
      </w:pPr>
      <w:r w:rsidRPr="004D292C">
        <w:t>The PBAC agreed with the ESC that a cost-utility analysis comparing dapagliflozin plus standard care (comprising of a beta blocker, plus ACE-</w:t>
      </w:r>
      <w:r w:rsidR="00626E27" w:rsidRPr="004D292C">
        <w:t>inhibitor</w:t>
      </w:r>
      <w:r w:rsidRPr="004D292C">
        <w:t>/ARB) to standard care (beta blocker, plus ACE-</w:t>
      </w:r>
      <w:r w:rsidR="00626E27" w:rsidRPr="004D292C">
        <w:t>inhibitor</w:t>
      </w:r>
      <w:r w:rsidR="008A1E12" w:rsidRPr="004D292C">
        <w:t>/</w:t>
      </w:r>
      <w:r w:rsidRPr="004D292C">
        <w:t xml:space="preserve">ARB) would be necessary to support the expected majority use of dapagliflozin (approximately 80-89%, based on the DAPA-HF and </w:t>
      </w:r>
      <w:r w:rsidRPr="004D292C">
        <w:rPr>
          <w:bCs/>
        </w:rPr>
        <w:t xml:space="preserve">EMPEROR-Reduced trials). </w:t>
      </w:r>
      <w:r w:rsidR="00D74DF0" w:rsidRPr="004D292C">
        <w:rPr>
          <w:bCs/>
        </w:rPr>
        <w:t>Complimentarily, f</w:t>
      </w:r>
      <w:r w:rsidRPr="004D292C">
        <w:rPr>
          <w:bCs/>
        </w:rPr>
        <w:t>or 11-20% of the expected PBS use, a cost-effectiveness analysis comparing dapagliflozin added to standard care</w:t>
      </w:r>
      <w:r w:rsidR="00261F9C" w:rsidRPr="004D292C">
        <w:rPr>
          <w:bCs/>
        </w:rPr>
        <w:t xml:space="preserve"> (comprising of a beta-blocker, plus sacubitril/valsartan</w:t>
      </w:r>
      <w:r w:rsidRPr="004D292C">
        <w:rPr>
          <w:bCs/>
        </w:rPr>
        <w:t xml:space="preserve">) versus standard care alone </w:t>
      </w:r>
      <w:r w:rsidRPr="004D292C">
        <w:rPr>
          <w:bCs/>
        </w:rPr>
        <w:lastRenderedPageBreak/>
        <w:t>(</w:t>
      </w:r>
      <w:r w:rsidR="00261F9C" w:rsidRPr="004D292C">
        <w:rPr>
          <w:bCs/>
        </w:rPr>
        <w:t>comprising of a beta-blocker, plus sacubitril/valsartan</w:t>
      </w:r>
      <w:r w:rsidRPr="004D292C">
        <w:rPr>
          <w:bCs/>
        </w:rPr>
        <w:t xml:space="preserve">), would also be </w:t>
      </w:r>
      <w:r w:rsidR="00261F9C" w:rsidRPr="004D292C">
        <w:rPr>
          <w:bCs/>
        </w:rPr>
        <w:t>necessary</w:t>
      </w:r>
      <w:r w:rsidRPr="004D292C">
        <w:rPr>
          <w:bCs/>
        </w:rPr>
        <w:t xml:space="preserve"> </w:t>
      </w:r>
      <w:r w:rsidR="00261F9C" w:rsidRPr="004D292C">
        <w:rPr>
          <w:bCs/>
        </w:rPr>
        <w:t>to account</w:t>
      </w:r>
      <w:r w:rsidRPr="004D292C">
        <w:rPr>
          <w:bCs/>
        </w:rPr>
        <w:t xml:space="preserve"> for the concomitant use of dapagliflozin and sacubitril/valsartan. </w:t>
      </w:r>
    </w:p>
    <w:p w:rsidR="00541ECE" w:rsidRPr="004D292C" w:rsidRDefault="00483B38" w:rsidP="00B837F7">
      <w:pPr>
        <w:widowControl w:val="0"/>
        <w:numPr>
          <w:ilvl w:val="1"/>
          <w:numId w:val="1"/>
        </w:numPr>
        <w:spacing w:after="120"/>
      </w:pPr>
      <w:r w:rsidRPr="004D292C">
        <w:rPr>
          <w:rFonts w:asciiTheme="minorHAnsi" w:hAnsiTheme="minorHAnsi"/>
          <w:bCs/>
          <w:snapToGrid w:val="0"/>
        </w:rPr>
        <w:t xml:space="preserve">The PBAC noted the DUSC’s advice that the financial estimates were likely underestimated, and agreed that there were a number of issues including a high risk of leakage in earlier stages of disease, underestimated uptake rates, and </w:t>
      </w:r>
      <w:r w:rsidR="006D0CBC" w:rsidRPr="004D292C">
        <w:rPr>
          <w:rFonts w:asciiTheme="minorHAnsi" w:hAnsiTheme="minorHAnsi"/>
          <w:bCs/>
          <w:snapToGrid w:val="0"/>
        </w:rPr>
        <w:t>a lack of accounting for concomitant use of dapagliflozin and sacubitril/valsartan</w:t>
      </w:r>
      <w:r w:rsidRPr="004D292C">
        <w:rPr>
          <w:rFonts w:asciiTheme="minorHAnsi" w:hAnsiTheme="minorHAnsi"/>
          <w:bCs/>
          <w:snapToGrid w:val="0"/>
        </w:rPr>
        <w:t>. Furthermore, the PBAC express</w:t>
      </w:r>
      <w:r w:rsidR="00B90A47" w:rsidRPr="004D292C">
        <w:rPr>
          <w:rFonts w:asciiTheme="minorHAnsi" w:hAnsiTheme="minorHAnsi"/>
          <w:bCs/>
          <w:snapToGrid w:val="0"/>
        </w:rPr>
        <w:t>ed concern around the QUM issues expressed in paragraph 6.6</w:t>
      </w:r>
      <w:r w:rsidR="00B6788B">
        <w:rPr>
          <w:rFonts w:asciiTheme="minorHAnsi" w:hAnsiTheme="minorHAnsi"/>
          <w:bCs/>
          <w:snapToGrid w:val="0"/>
        </w:rPr>
        <w:t>2</w:t>
      </w:r>
      <w:r w:rsidRPr="004D292C">
        <w:rPr>
          <w:rFonts w:asciiTheme="minorHAnsi" w:hAnsiTheme="minorHAnsi"/>
          <w:bCs/>
          <w:snapToGrid w:val="0"/>
        </w:rPr>
        <w:t>, noting that these were not identified</w:t>
      </w:r>
      <w:r w:rsidR="009E09AC" w:rsidRPr="004D292C">
        <w:rPr>
          <w:rFonts w:asciiTheme="minorHAnsi" w:hAnsiTheme="minorHAnsi"/>
          <w:bCs/>
          <w:snapToGrid w:val="0"/>
        </w:rPr>
        <w:t xml:space="preserve"> or addressed</w:t>
      </w:r>
      <w:r w:rsidRPr="004D292C">
        <w:rPr>
          <w:rFonts w:asciiTheme="minorHAnsi" w:hAnsiTheme="minorHAnsi"/>
          <w:bCs/>
          <w:snapToGrid w:val="0"/>
        </w:rPr>
        <w:t xml:space="preserve"> in the submission.</w:t>
      </w:r>
    </w:p>
    <w:p w:rsidR="00483B38" w:rsidRPr="004D292C" w:rsidRDefault="00541ECE" w:rsidP="00B837F7">
      <w:pPr>
        <w:widowControl w:val="0"/>
        <w:numPr>
          <w:ilvl w:val="1"/>
          <w:numId w:val="1"/>
        </w:numPr>
        <w:spacing w:after="120"/>
      </w:pPr>
      <w:r w:rsidRPr="004D292C">
        <w:rPr>
          <w:rFonts w:asciiTheme="minorHAnsi" w:hAnsiTheme="minorHAnsi"/>
          <w:bCs/>
          <w:snapToGrid w:val="0"/>
        </w:rPr>
        <w:t>The PBAC also rejected the submission’s proposal to share the caps of the current risk-sharing arrangement for sacubitril/valsartan. A separate and distinct RSA for dapagliflozin would be required.</w:t>
      </w:r>
    </w:p>
    <w:p w:rsidR="00E10A34" w:rsidRPr="004D292C" w:rsidRDefault="002B168F" w:rsidP="00E10A34">
      <w:pPr>
        <w:widowControl w:val="0"/>
        <w:numPr>
          <w:ilvl w:val="1"/>
          <w:numId w:val="1"/>
        </w:numPr>
        <w:spacing w:after="120"/>
      </w:pPr>
      <w:r w:rsidRPr="004D292C">
        <w:rPr>
          <w:rFonts w:asciiTheme="minorHAnsi" w:hAnsiTheme="minorHAnsi"/>
          <w:bCs/>
          <w:snapToGrid w:val="0"/>
        </w:rPr>
        <w:t>In view of the above, the PBAC considered that any resubmission would need to be a major submission</w:t>
      </w:r>
      <w:r w:rsidR="000250FB" w:rsidRPr="004D292C">
        <w:rPr>
          <w:rFonts w:asciiTheme="minorHAnsi" w:hAnsiTheme="minorHAnsi"/>
          <w:bCs/>
          <w:snapToGrid w:val="0"/>
        </w:rPr>
        <w:t>, presenting a modelled economic evaluation as outlined in paragraph 7.1</w:t>
      </w:r>
      <w:r w:rsidR="00D068B6" w:rsidRPr="004D292C">
        <w:rPr>
          <w:rFonts w:asciiTheme="minorHAnsi" w:hAnsiTheme="minorHAnsi"/>
          <w:bCs/>
          <w:snapToGrid w:val="0"/>
        </w:rPr>
        <w:t>1</w:t>
      </w:r>
      <w:r w:rsidR="00110ABB" w:rsidRPr="004D292C">
        <w:rPr>
          <w:rFonts w:asciiTheme="minorHAnsi" w:hAnsiTheme="minorHAnsi"/>
          <w:bCs/>
          <w:snapToGrid w:val="0"/>
        </w:rPr>
        <w:t xml:space="preserve">, and addressing DUSC’s concerns, including the QUM issues identified. </w:t>
      </w:r>
    </w:p>
    <w:p w:rsidR="00A76E13" w:rsidRPr="004D292C" w:rsidRDefault="00A76E13" w:rsidP="007D774F">
      <w:pPr>
        <w:widowControl w:val="0"/>
        <w:numPr>
          <w:ilvl w:val="1"/>
          <w:numId w:val="1"/>
        </w:numPr>
        <w:spacing w:after="120"/>
        <w:rPr>
          <w:rFonts w:asciiTheme="minorHAnsi" w:hAnsiTheme="minorHAnsi"/>
          <w:bCs/>
          <w:snapToGrid w:val="0"/>
        </w:rPr>
      </w:pPr>
      <w:r w:rsidRPr="004D292C">
        <w:rPr>
          <w:rFonts w:asciiTheme="minorHAnsi" w:hAnsiTheme="minorHAnsi"/>
          <w:bCs/>
          <w:snapToGrid w:val="0"/>
        </w:rPr>
        <w:t>The PBAC noted that this submission is eligible for an Independent Review.</w:t>
      </w:r>
    </w:p>
    <w:p w:rsidR="004D77AA" w:rsidRPr="004D292C" w:rsidRDefault="004D77AA" w:rsidP="005B10B2">
      <w:pPr>
        <w:rPr>
          <w:rFonts w:asciiTheme="minorHAnsi" w:hAnsiTheme="minorHAnsi"/>
          <w:b/>
          <w:bCs/>
          <w:snapToGrid w:val="0"/>
        </w:rPr>
      </w:pPr>
      <w:r w:rsidRPr="004D292C">
        <w:rPr>
          <w:rFonts w:asciiTheme="minorHAnsi" w:hAnsiTheme="minorHAnsi"/>
          <w:b/>
          <w:bCs/>
          <w:snapToGrid w:val="0"/>
        </w:rPr>
        <w:t>Outcome:</w:t>
      </w:r>
    </w:p>
    <w:p w:rsidR="004D77AA" w:rsidRDefault="00007380" w:rsidP="00D9377F">
      <w:pPr>
        <w:rPr>
          <w:color w:val="3366FF"/>
        </w:rPr>
      </w:pPr>
      <w:r w:rsidRPr="004D292C">
        <w:rPr>
          <w:rFonts w:asciiTheme="minorHAnsi" w:hAnsiTheme="minorHAnsi"/>
          <w:bCs/>
          <w:snapToGrid w:val="0"/>
        </w:rPr>
        <w:t>Rejected</w:t>
      </w:r>
      <w:bookmarkEnd w:id="35"/>
      <w:r w:rsidR="00D9377F" w:rsidRPr="004D292C">
        <w:rPr>
          <w:color w:val="3366FF"/>
        </w:rPr>
        <w:t xml:space="preserve"> </w:t>
      </w:r>
    </w:p>
    <w:p w:rsidR="004C70D9" w:rsidRPr="00D9377F" w:rsidRDefault="004C70D9" w:rsidP="00D9377F">
      <w:pPr>
        <w:rPr>
          <w:rFonts w:asciiTheme="minorHAnsi" w:hAnsiTheme="minorHAnsi"/>
          <w:bCs/>
          <w:snapToGrid w:val="0"/>
        </w:rPr>
      </w:pPr>
    </w:p>
    <w:p w:rsidR="004C70D9" w:rsidRPr="004C70D9" w:rsidRDefault="004C70D9" w:rsidP="004C70D9">
      <w:pPr>
        <w:pStyle w:val="2-SectionHeading"/>
        <w:numPr>
          <w:ilvl w:val="0"/>
          <w:numId w:val="1"/>
        </w:numPr>
      </w:pPr>
      <w:r w:rsidRPr="00C07617">
        <w:t>Context for Decision</w:t>
      </w:r>
    </w:p>
    <w:p w:rsidR="004C70D9" w:rsidRPr="004C70D9" w:rsidRDefault="004C70D9" w:rsidP="00DD3C47">
      <w:pPr>
        <w:widowControl w:val="0"/>
        <w:spacing w:after="120"/>
        <w:ind w:left="720"/>
        <w:rPr>
          <w:rFonts w:asciiTheme="minorHAnsi" w:hAnsiTheme="minorHAnsi"/>
          <w:bCs/>
          <w:snapToGrid w:val="0"/>
        </w:rPr>
      </w:pPr>
      <w:r w:rsidRPr="004C70D9">
        <w:rPr>
          <w:rFonts w:asciiTheme="minorHAnsi" w:hAnsiTheme="minorHAnsi"/>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C70D9" w:rsidRPr="004C70D9" w:rsidRDefault="004C70D9" w:rsidP="004C70D9">
      <w:pPr>
        <w:pStyle w:val="2-SectionHeading"/>
        <w:numPr>
          <w:ilvl w:val="0"/>
          <w:numId w:val="1"/>
        </w:numPr>
      </w:pPr>
      <w:r>
        <w:t>Sponsor’s Comment</w:t>
      </w:r>
    </w:p>
    <w:p w:rsidR="004C70D9" w:rsidRPr="004C70D9" w:rsidRDefault="004C70D9" w:rsidP="00082AE3">
      <w:pPr>
        <w:widowControl w:val="0"/>
        <w:spacing w:after="120"/>
        <w:ind w:left="720"/>
        <w:rPr>
          <w:rFonts w:asciiTheme="minorHAnsi" w:hAnsiTheme="minorHAnsi"/>
          <w:bCs/>
          <w:snapToGrid w:val="0"/>
        </w:rPr>
      </w:pPr>
      <w:r w:rsidRPr="004C70D9">
        <w:rPr>
          <w:rFonts w:asciiTheme="minorHAnsi" w:hAnsiTheme="minorHAnsi"/>
          <w:snapToGrid w:val="0"/>
        </w:rPr>
        <w:t>The sponsor had no comment.</w:t>
      </w:r>
    </w:p>
    <w:p w:rsidR="004D77AA" w:rsidRPr="004D292C" w:rsidRDefault="004D77AA" w:rsidP="00D9377F">
      <w:pPr>
        <w:spacing w:after="120"/>
        <w:rPr>
          <w:color w:val="3366FF"/>
        </w:rPr>
      </w:pPr>
    </w:p>
    <w:sectPr w:rsidR="004D77AA" w:rsidRPr="004D292C" w:rsidSect="00251006">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B59F7" w16cex:dateUtc="2020-12-09T03:13:00Z"/>
  <w16cex:commentExtensible w16cex:durableId="2378EDE0" w16cex:dateUtc="2020-12-07T07:07:00Z"/>
  <w16cex:commentExtensible w16cex:durableId="237B5CC3" w16cex:dateUtc="2020-12-09T03:25:00Z"/>
  <w16cex:commentExtensible w16cex:durableId="2378EE5E" w16cex:dateUtc="2020-12-07T07:09:00Z"/>
  <w16cex:commentExtensible w16cex:durableId="237B5E3A" w16cex:dateUtc="2020-12-09T03:31:00Z"/>
  <w16cex:commentExtensible w16cex:durableId="2378EF0A" w16cex:dateUtc="2020-12-07T07:12:00Z"/>
  <w16cex:commentExtensible w16cex:durableId="2378EF8A" w16cex:dateUtc="2020-12-07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0B937" w16cid:durableId="237B59F7"/>
  <w16cid:commentId w16cid:paraId="25AC59B7" w16cid:durableId="2378EDBD"/>
  <w16cid:commentId w16cid:paraId="3DF7917B" w16cid:durableId="2378EDE0"/>
  <w16cid:commentId w16cid:paraId="4F7C2DF5" w16cid:durableId="237B5CC3"/>
  <w16cid:commentId w16cid:paraId="5A9F620E" w16cid:durableId="2378EE5E"/>
  <w16cid:commentId w16cid:paraId="3A678542" w16cid:durableId="237B5E3A"/>
  <w16cid:commentId w16cid:paraId="0779DE74" w16cid:durableId="2378EDBE"/>
  <w16cid:commentId w16cid:paraId="52F18EFE" w16cid:durableId="2378EF0A"/>
  <w16cid:commentId w16cid:paraId="1A10CEA6" w16cid:durableId="2378EDBF"/>
  <w16cid:commentId w16cid:paraId="39C1CA2F" w16cid:durableId="2378EF8A"/>
  <w16cid:commentId w16cid:paraId="165DB922" w16cid:durableId="2378ED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04" w:rsidRDefault="00CC6504" w:rsidP="00124A51">
      <w:r>
        <w:separator/>
      </w:r>
    </w:p>
    <w:p w:rsidR="00CC6504" w:rsidRDefault="00CC6504"/>
  </w:endnote>
  <w:endnote w:type="continuationSeparator" w:id="0">
    <w:p w:rsidR="00CC6504" w:rsidRDefault="00CC6504" w:rsidP="00124A51">
      <w:r>
        <w:continuationSeparator/>
      </w:r>
    </w:p>
    <w:p w:rsidR="00CC6504" w:rsidRDefault="00CC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Default="00856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Default="00856AEF" w:rsidP="00AA7E91">
    <w:pPr>
      <w:pStyle w:val="Footer"/>
      <w:jc w:val="center"/>
    </w:pPr>
  </w:p>
  <w:p w:rsidR="00856AEF" w:rsidRPr="00025A2C" w:rsidRDefault="00856AEF" w:rsidP="00BC2DD4">
    <w:pPr>
      <w:pStyle w:val="Footer"/>
      <w:keepNext/>
      <w:jc w:val="center"/>
    </w:pPr>
    <w:r w:rsidRPr="00836F75">
      <w:rPr>
        <w:b/>
      </w:rPr>
      <w:fldChar w:fldCharType="begin"/>
    </w:r>
    <w:r w:rsidRPr="00836F75">
      <w:rPr>
        <w:b/>
      </w:rPr>
      <w:instrText xml:space="preserve"> PAGE   \* MERGEFORMAT </w:instrText>
    </w:r>
    <w:r w:rsidRPr="00836F75">
      <w:rPr>
        <w:b/>
      </w:rPr>
      <w:fldChar w:fldCharType="separate"/>
    </w:r>
    <w:r w:rsidR="007E0297">
      <w:rPr>
        <w:b/>
        <w:noProof/>
      </w:rPr>
      <w:t>33</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Default="0085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04" w:rsidRDefault="00CC6504" w:rsidP="00124A51">
      <w:r>
        <w:separator/>
      </w:r>
    </w:p>
    <w:p w:rsidR="00CC6504" w:rsidRDefault="00CC6504"/>
  </w:footnote>
  <w:footnote w:type="continuationSeparator" w:id="0">
    <w:p w:rsidR="00CC6504" w:rsidRDefault="00CC6504" w:rsidP="00124A51">
      <w:r>
        <w:continuationSeparator/>
      </w:r>
    </w:p>
    <w:p w:rsidR="00CC6504" w:rsidRDefault="00CC6504"/>
  </w:footnote>
  <w:footnote w:id="1">
    <w:p w:rsidR="00856AEF" w:rsidRPr="006974C8" w:rsidRDefault="00856AEF">
      <w:pPr>
        <w:pStyle w:val="FootnoteText"/>
        <w:rPr>
          <w:rFonts w:ascii="Arial Narrow" w:hAnsi="Arial Narrow"/>
          <w:sz w:val="16"/>
        </w:rPr>
      </w:pPr>
    </w:p>
  </w:footnote>
  <w:footnote w:id="2">
    <w:p w:rsidR="00856AEF" w:rsidRPr="006974C8" w:rsidRDefault="00856AEF">
      <w:pPr>
        <w:pStyle w:val="FootnoteText"/>
        <w:rPr>
          <w:rFonts w:ascii="Arial Narrow" w:hAnsi="Arial Narrow"/>
          <w:sz w:val="16"/>
        </w:rPr>
      </w:pPr>
    </w:p>
  </w:footnote>
  <w:footnote w:id="3">
    <w:p w:rsidR="00856AEF" w:rsidRPr="006974C8" w:rsidRDefault="00856AEF">
      <w:pPr>
        <w:pStyle w:val="FootnoteText"/>
        <w:rPr>
          <w:rFonts w:ascii="Arial Narrow" w:hAnsi="Arial Narrow"/>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Default="00856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Pr="00025A2C" w:rsidRDefault="00856AEF" w:rsidP="004C70D9">
    <w:pPr>
      <w:pStyle w:val="Header"/>
      <w:keepNext/>
      <w:ind w:left="360"/>
      <w:jc w:val="center"/>
      <w:rPr>
        <w:i/>
        <w:color w:val="808080"/>
      </w:rPr>
    </w:pPr>
    <w:r>
      <w:rPr>
        <w:i/>
        <w:color w:val="808080"/>
      </w:rPr>
      <w:t>Public Summary Document</w:t>
    </w:r>
    <w:r w:rsidRPr="00025A2C">
      <w:rPr>
        <w:i/>
        <w:color w:val="808080"/>
      </w:rPr>
      <w:t xml:space="preserve"> – November 2020 PBAC Meeting</w:t>
    </w:r>
  </w:p>
  <w:p w:rsidR="00856AEF" w:rsidRDefault="00856AE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EF" w:rsidRDefault="00856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10C7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D6920"/>
    <w:multiLevelType w:val="hybridMultilevel"/>
    <w:tmpl w:val="9056C87A"/>
    <w:lvl w:ilvl="0" w:tplc="90360A20">
      <w:start w:val="1"/>
      <w:numFmt w:val="bullet"/>
      <w:lvlText w:val=""/>
      <w:lvlJc w:val="left"/>
      <w:pPr>
        <w:tabs>
          <w:tab w:val="num" w:pos="720"/>
        </w:tabs>
        <w:ind w:left="720" w:hanging="360"/>
      </w:pPr>
      <w:rPr>
        <w:rFonts w:ascii="Wingdings" w:hAnsi="Wingdings" w:hint="default"/>
      </w:rPr>
    </w:lvl>
    <w:lvl w:ilvl="1" w:tplc="B4B8AEF0" w:tentative="1">
      <w:start w:val="1"/>
      <w:numFmt w:val="bullet"/>
      <w:lvlText w:val=""/>
      <w:lvlJc w:val="left"/>
      <w:pPr>
        <w:tabs>
          <w:tab w:val="num" w:pos="1440"/>
        </w:tabs>
        <w:ind w:left="1440" w:hanging="360"/>
      </w:pPr>
      <w:rPr>
        <w:rFonts w:ascii="Wingdings" w:hAnsi="Wingdings" w:hint="default"/>
      </w:rPr>
    </w:lvl>
    <w:lvl w:ilvl="2" w:tplc="BB6A4E22" w:tentative="1">
      <w:start w:val="1"/>
      <w:numFmt w:val="bullet"/>
      <w:lvlText w:val=""/>
      <w:lvlJc w:val="left"/>
      <w:pPr>
        <w:tabs>
          <w:tab w:val="num" w:pos="2160"/>
        </w:tabs>
        <w:ind w:left="2160" w:hanging="360"/>
      </w:pPr>
      <w:rPr>
        <w:rFonts w:ascii="Wingdings" w:hAnsi="Wingdings" w:hint="default"/>
      </w:rPr>
    </w:lvl>
    <w:lvl w:ilvl="3" w:tplc="F4F02706" w:tentative="1">
      <w:start w:val="1"/>
      <w:numFmt w:val="bullet"/>
      <w:lvlText w:val=""/>
      <w:lvlJc w:val="left"/>
      <w:pPr>
        <w:tabs>
          <w:tab w:val="num" w:pos="2880"/>
        </w:tabs>
        <w:ind w:left="2880" w:hanging="360"/>
      </w:pPr>
      <w:rPr>
        <w:rFonts w:ascii="Wingdings" w:hAnsi="Wingdings" w:hint="default"/>
      </w:rPr>
    </w:lvl>
    <w:lvl w:ilvl="4" w:tplc="6C22F100" w:tentative="1">
      <w:start w:val="1"/>
      <w:numFmt w:val="bullet"/>
      <w:lvlText w:val=""/>
      <w:lvlJc w:val="left"/>
      <w:pPr>
        <w:tabs>
          <w:tab w:val="num" w:pos="3600"/>
        </w:tabs>
        <w:ind w:left="3600" w:hanging="360"/>
      </w:pPr>
      <w:rPr>
        <w:rFonts w:ascii="Wingdings" w:hAnsi="Wingdings" w:hint="default"/>
      </w:rPr>
    </w:lvl>
    <w:lvl w:ilvl="5" w:tplc="25C20E46" w:tentative="1">
      <w:start w:val="1"/>
      <w:numFmt w:val="bullet"/>
      <w:lvlText w:val=""/>
      <w:lvlJc w:val="left"/>
      <w:pPr>
        <w:tabs>
          <w:tab w:val="num" w:pos="4320"/>
        </w:tabs>
        <w:ind w:left="4320" w:hanging="360"/>
      </w:pPr>
      <w:rPr>
        <w:rFonts w:ascii="Wingdings" w:hAnsi="Wingdings" w:hint="default"/>
      </w:rPr>
    </w:lvl>
    <w:lvl w:ilvl="6" w:tplc="D05AC4C2" w:tentative="1">
      <w:start w:val="1"/>
      <w:numFmt w:val="bullet"/>
      <w:lvlText w:val=""/>
      <w:lvlJc w:val="left"/>
      <w:pPr>
        <w:tabs>
          <w:tab w:val="num" w:pos="5040"/>
        </w:tabs>
        <w:ind w:left="5040" w:hanging="360"/>
      </w:pPr>
      <w:rPr>
        <w:rFonts w:ascii="Wingdings" w:hAnsi="Wingdings" w:hint="default"/>
      </w:rPr>
    </w:lvl>
    <w:lvl w:ilvl="7" w:tplc="DE085AD6" w:tentative="1">
      <w:start w:val="1"/>
      <w:numFmt w:val="bullet"/>
      <w:lvlText w:val=""/>
      <w:lvlJc w:val="left"/>
      <w:pPr>
        <w:tabs>
          <w:tab w:val="num" w:pos="5760"/>
        </w:tabs>
        <w:ind w:left="5760" w:hanging="360"/>
      </w:pPr>
      <w:rPr>
        <w:rFonts w:ascii="Wingdings" w:hAnsi="Wingdings" w:hint="default"/>
      </w:rPr>
    </w:lvl>
    <w:lvl w:ilvl="8" w:tplc="43FC85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D371F"/>
    <w:multiLevelType w:val="hybridMultilevel"/>
    <w:tmpl w:val="91EA3BE0"/>
    <w:lvl w:ilvl="0" w:tplc="CE1A58A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27F4D"/>
    <w:multiLevelType w:val="hybridMultilevel"/>
    <w:tmpl w:val="037C1B00"/>
    <w:lvl w:ilvl="0" w:tplc="53EACFAE">
      <w:start w:val="1"/>
      <w:numFmt w:val="bullet"/>
      <w:lvlText w:val=""/>
      <w:lvlJc w:val="left"/>
      <w:pPr>
        <w:tabs>
          <w:tab w:val="num" w:pos="720"/>
        </w:tabs>
        <w:ind w:left="720" w:hanging="360"/>
      </w:pPr>
      <w:rPr>
        <w:rFonts w:ascii="Wingdings" w:hAnsi="Wingdings" w:hint="default"/>
      </w:rPr>
    </w:lvl>
    <w:lvl w:ilvl="1" w:tplc="05CA6E38" w:tentative="1">
      <w:start w:val="1"/>
      <w:numFmt w:val="bullet"/>
      <w:lvlText w:val=""/>
      <w:lvlJc w:val="left"/>
      <w:pPr>
        <w:tabs>
          <w:tab w:val="num" w:pos="1440"/>
        </w:tabs>
        <w:ind w:left="1440" w:hanging="360"/>
      </w:pPr>
      <w:rPr>
        <w:rFonts w:ascii="Wingdings" w:hAnsi="Wingdings" w:hint="default"/>
      </w:rPr>
    </w:lvl>
    <w:lvl w:ilvl="2" w:tplc="B7E69BEA" w:tentative="1">
      <w:start w:val="1"/>
      <w:numFmt w:val="bullet"/>
      <w:lvlText w:val=""/>
      <w:lvlJc w:val="left"/>
      <w:pPr>
        <w:tabs>
          <w:tab w:val="num" w:pos="2160"/>
        </w:tabs>
        <w:ind w:left="2160" w:hanging="360"/>
      </w:pPr>
      <w:rPr>
        <w:rFonts w:ascii="Wingdings" w:hAnsi="Wingdings" w:hint="default"/>
      </w:rPr>
    </w:lvl>
    <w:lvl w:ilvl="3" w:tplc="0F98851E" w:tentative="1">
      <w:start w:val="1"/>
      <w:numFmt w:val="bullet"/>
      <w:lvlText w:val=""/>
      <w:lvlJc w:val="left"/>
      <w:pPr>
        <w:tabs>
          <w:tab w:val="num" w:pos="2880"/>
        </w:tabs>
        <w:ind w:left="2880" w:hanging="360"/>
      </w:pPr>
      <w:rPr>
        <w:rFonts w:ascii="Wingdings" w:hAnsi="Wingdings" w:hint="default"/>
      </w:rPr>
    </w:lvl>
    <w:lvl w:ilvl="4" w:tplc="2FA41C16" w:tentative="1">
      <w:start w:val="1"/>
      <w:numFmt w:val="bullet"/>
      <w:lvlText w:val=""/>
      <w:lvlJc w:val="left"/>
      <w:pPr>
        <w:tabs>
          <w:tab w:val="num" w:pos="3600"/>
        </w:tabs>
        <w:ind w:left="3600" w:hanging="360"/>
      </w:pPr>
      <w:rPr>
        <w:rFonts w:ascii="Wingdings" w:hAnsi="Wingdings" w:hint="default"/>
      </w:rPr>
    </w:lvl>
    <w:lvl w:ilvl="5" w:tplc="FB4C24A0" w:tentative="1">
      <w:start w:val="1"/>
      <w:numFmt w:val="bullet"/>
      <w:lvlText w:val=""/>
      <w:lvlJc w:val="left"/>
      <w:pPr>
        <w:tabs>
          <w:tab w:val="num" w:pos="4320"/>
        </w:tabs>
        <w:ind w:left="4320" w:hanging="360"/>
      </w:pPr>
      <w:rPr>
        <w:rFonts w:ascii="Wingdings" w:hAnsi="Wingdings" w:hint="default"/>
      </w:rPr>
    </w:lvl>
    <w:lvl w:ilvl="6" w:tplc="61B84848" w:tentative="1">
      <w:start w:val="1"/>
      <w:numFmt w:val="bullet"/>
      <w:lvlText w:val=""/>
      <w:lvlJc w:val="left"/>
      <w:pPr>
        <w:tabs>
          <w:tab w:val="num" w:pos="5040"/>
        </w:tabs>
        <w:ind w:left="5040" w:hanging="360"/>
      </w:pPr>
      <w:rPr>
        <w:rFonts w:ascii="Wingdings" w:hAnsi="Wingdings" w:hint="default"/>
      </w:rPr>
    </w:lvl>
    <w:lvl w:ilvl="7" w:tplc="873EF8EE" w:tentative="1">
      <w:start w:val="1"/>
      <w:numFmt w:val="bullet"/>
      <w:lvlText w:val=""/>
      <w:lvlJc w:val="left"/>
      <w:pPr>
        <w:tabs>
          <w:tab w:val="num" w:pos="5760"/>
        </w:tabs>
        <w:ind w:left="5760" w:hanging="360"/>
      </w:pPr>
      <w:rPr>
        <w:rFonts w:ascii="Wingdings" w:hAnsi="Wingdings" w:hint="default"/>
      </w:rPr>
    </w:lvl>
    <w:lvl w:ilvl="8" w:tplc="4580A4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1259D"/>
    <w:multiLevelType w:val="hybridMultilevel"/>
    <w:tmpl w:val="68227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975B6"/>
    <w:multiLevelType w:val="hybridMultilevel"/>
    <w:tmpl w:val="459602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D3D200F"/>
    <w:multiLevelType w:val="hybridMultilevel"/>
    <w:tmpl w:val="0DCCC84E"/>
    <w:lvl w:ilvl="0" w:tplc="E13C72C4">
      <w:start w:val="1"/>
      <w:numFmt w:val="bullet"/>
      <w:lvlText w:val=""/>
      <w:lvlJc w:val="left"/>
      <w:pPr>
        <w:tabs>
          <w:tab w:val="num" w:pos="720"/>
        </w:tabs>
        <w:ind w:left="720" w:hanging="360"/>
      </w:pPr>
      <w:rPr>
        <w:rFonts w:ascii="Wingdings" w:hAnsi="Wingdings" w:hint="default"/>
      </w:rPr>
    </w:lvl>
    <w:lvl w:ilvl="1" w:tplc="3664EF66">
      <w:start w:val="24"/>
      <w:numFmt w:val="bullet"/>
      <w:lvlText w:val="•"/>
      <w:lvlJc w:val="left"/>
      <w:pPr>
        <w:tabs>
          <w:tab w:val="num" w:pos="1440"/>
        </w:tabs>
        <w:ind w:left="1440" w:hanging="360"/>
      </w:pPr>
      <w:rPr>
        <w:rFonts w:ascii="Arial" w:hAnsi="Arial" w:hint="default"/>
      </w:rPr>
    </w:lvl>
    <w:lvl w:ilvl="2" w:tplc="D2825B9C">
      <w:start w:val="24"/>
      <w:numFmt w:val="bullet"/>
      <w:lvlText w:val=""/>
      <w:lvlJc w:val="left"/>
      <w:pPr>
        <w:tabs>
          <w:tab w:val="num" w:pos="2160"/>
        </w:tabs>
        <w:ind w:left="2160" w:hanging="360"/>
      </w:pPr>
      <w:rPr>
        <w:rFonts w:ascii="Wingdings" w:hAnsi="Wingdings" w:hint="default"/>
      </w:rPr>
    </w:lvl>
    <w:lvl w:ilvl="3" w:tplc="D1820E8A" w:tentative="1">
      <w:start w:val="1"/>
      <w:numFmt w:val="bullet"/>
      <w:lvlText w:val=""/>
      <w:lvlJc w:val="left"/>
      <w:pPr>
        <w:tabs>
          <w:tab w:val="num" w:pos="2880"/>
        </w:tabs>
        <w:ind w:left="2880" w:hanging="360"/>
      </w:pPr>
      <w:rPr>
        <w:rFonts w:ascii="Wingdings" w:hAnsi="Wingdings" w:hint="default"/>
      </w:rPr>
    </w:lvl>
    <w:lvl w:ilvl="4" w:tplc="27A2EAC0" w:tentative="1">
      <w:start w:val="1"/>
      <w:numFmt w:val="bullet"/>
      <w:lvlText w:val=""/>
      <w:lvlJc w:val="left"/>
      <w:pPr>
        <w:tabs>
          <w:tab w:val="num" w:pos="3600"/>
        </w:tabs>
        <w:ind w:left="3600" w:hanging="360"/>
      </w:pPr>
      <w:rPr>
        <w:rFonts w:ascii="Wingdings" w:hAnsi="Wingdings" w:hint="default"/>
      </w:rPr>
    </w:lvl>
    <w:lvl w:ilvl="5" w:tplc="824ACA00" w:tentative="1">
      <w:start w:val="1"/>
      <w:numFmt w:val="bullet"/>
      <w:lvlText w:val=""/>
      <w:lvlJc w:val="left"/>
      <w:pPr>
        <w:tabs>
          <w:tab w:val="num" w:pos="4320"/>
        </w:tabs>
        <w:ind w:left="4320" w:hanging="360"/>
      </w:pPr>
      <w:rPr>
        <w:rFonts w:ascii="Wingdings" w:hAnsi="Wingdings" w:hint="default"/>
      </w:rPr>
    </w:lvl>
    <w:lvl w:ilvl="6" w:tplc="F0F44578" w:tentative="1">
      <w:start w:val="1"/>
      <w:numFmt w:val="bullet"/>
      <w:lvlText w:val=""/>
      <w:lvlJc w:val="left"/>
      <w:pPr>
        <w:tabs>
          <w:tab w:val="num" w:pos="5040"/>
        </w:tabs>
        <w:ind w:left="5040" w:hanging="360"/>
      </w:pPr>
      <w:rPr>
        <w:rFonts w:ascii="Wingdings" w:hAnsi="Wingdings" w:hint="default"/>
      </w:rPr>
    </w:lvl>
    <w:lvl w:ilvl="7" w:tplc="7A1634EE" w:tentative="1">
      <w:start w:val="1"/>
      <w:numFmt w:val="bullet"/>
      <w:lvlText w:val=""/>
      <w:lvlJc w:val="left"/>
      <w:pPr>
        <w:tabs>
          <w:tab w:val="num" w:pos="5760"/>
        </w:tabs>
        <w:ind w:left="5760" w:hanging="360"/>
      </w:pPr>
      <w:rPr>
        <w:rFonts w:ascii="Wingdings" w:hAnsi="Wingdings" w:hint="default"/>
      </w:rPr>
    </w:lvl>
    <w:lvl w:ilvl="8" w:tplc="E188AA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11576"/>
    <w:multiLevelType w:val="hybridMultilevel"/>
    <w:tmpl w:val="085E5226"/>
    <w:lvl w:ilvl="0" w:tplc="E7CC0AC6">
      <w:start w:val="1"/>
      <w:numFmt w:val="bullet"/>
      <w:lvlText w:val="•"/>
      <w:lvlJc w:val="left"/>
      <w:pPr>
        <w:tabs>
          <w:tab w:val="num" w:pos="720"/>
        </w:tabs>
        <w:ind w:left="720" w:hanging="360"/>
      </w:pPr>
      <w:rPr>
        <w:rFonts w:ascii="Arial" w:hAnsi="Arial" w:hint="default"/>
      </w:rPr>
    </w:lvl>
    <w:lvl w:ilvl="1" w:tplc="CF02F6B2">
      <w:start w:val="1"/>
      <w:numFmt w:val="bullet"/>
      <w:lvlText w:val="•"/>
      <w:lvlJc w:val="left"/>
      <w:pPr>
        <w:tabs>
          <w:tab w:val="num" w:pos="1440"/>
        </w:tabs>
        <w:ind w:left="1440" w:hanging="360"/>
      </w:pPr>
      <w:rPr>
        <w:rFonts w:ascii="Arial" w:hAnsi="Arial" w:hint="default"/>
      </w:rPr>
    </w:lvl>
    <w:lvl w:ilvl="2" w:tplc="C90C660C" w:tentative="1">
      <w:start w:val="1"/>
      <w:numFmt w:val="bullet"/>
      <w:lvlText w:val="•"/>
      <w:lvlJc w:val="left"/>
      <w:pPr>
        <w:tabs>
          <w:tab w:val="num" w:pos="2160"/>
        </w:tabs>
        <w:ind w:left="2160" w:hanging="360"/>
      </w:pPr>
      <w:rPr>
        <w:rFonts w:ascii="Arial" w:hAnsi="Arial" w:hint="default"/>
      </w:rPr>
    </w:lvl>
    <w:lvl w:ilvl="3" w:tplc="5B1CA21A" w:tentative="1">
      <w:start w:val="1"/>
      <w:numFmt w:val="bullet"/>
      <w:lvlText w:val="•"/>
      <w:lvlJc w:val="left"/>
      <w:pPr>
        <w:tabs>
          <w:tab w:val="num" w:pos="2880"/>
        </w:tabs>
        <w:ind w:left="2880" w:hanging="360"/>
      </w:pPr>
      <w:rPr>
        <w:rFonts w:ascii="Arial" w:hAnsi="Arial" w:hint="default"/>
      </w:rPr>
    </w:lvl>
    <w:lvl w:ilvl="4" w:tplc="2694602A" w:tentative="1">
      <w:start w:val="1"/>
      <w:numFmt w:val="bullet"/>
      <w:lvlText w:val="•"/>
      <w:lvlJc w:val="left"/>
      <w:pPr>
        <w:tabs>
          <w:tab w:val="num" w:pos="3600"/>
        </w:tabs>
        <w:ind w:left="3600" w:hanging="360"/>
      </w:pPr>
      <w:rPr>
        <w:rFonts w:ascii="Arial" w:hAnsi="Arial" w:hint="default"/>
      </w:rPr>
    </w:lvl>
    <w:lvl w:ilvl="5" w:tplc="A28C3CAE" w:tentative="1">
      <w:start w:val="1"/>
      <w:numFmt w:val="bullet"/>
      <w:lvlText w:val="•"/>
      <w:lvlJc w:val="left"/>
      <w:pPr>
        <w:tabs>
          <w:tab w:val="num" w:pos="4320"/>
        </w:tabs>
        <w:ind w:left="4320" w:hanging="360"/>
      </w:pPr>
      <w:rPr>
        <w:rFonts w:ascii="Arial" w:hAnsi="Arial" w:hint="default"/>
      </w:rPr>
    </w:lvl>
    <w:lvl w:ilvl="6" w:tplc="6EA4025C" w:tentative="1">
      <w:start w:val="1"/>
      <w:numFmt w:val="bullet"/>
      <w:lvlText w:val="•"/>
      <w:lvlJc w:val="left"/>
      <w:pPr>
        <w:tabs>
          <w:tab w:val="num" w:pos="5040"/>
        </w:tabs>
        <w:ind w:left="5040" w:hanging="360"/>
      </w:pPr>
      <w:rPr>
        <w:rFonts w:ascii="Arial" w:hAnsi="Arial" w:hint="default"/>
      </w:rPr>
    </w:lvl>
    <w:lvl w:ilvl="7" w:tplc="C96E0E22" w:tentative="1">
      <w:start w:val="1"/>
      <w:numFmt w:val="bullet"/>
      <w:lvlText w:val="•"/>
      <w:lvlJc w:val="left"/>
      <w:pPr>
        <w:tabs>
          <w:tab w:val="num" w:pos="5760"/>
        </w:tabs>
        <w:ind w:left="5760" w:hanging="360"/>
      </w:pPr>
      <w:rPr>
        <w:rFonts w:ascii="Arial" w:hAnsi="Arial" w:hint="default"/>
      </w:rPr>
    </w:lvl>
    <w:lvl w:ilvl="8" w:tplc="835836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1A0DF8"/>
    <w:multiLevelType w:val="hybridMultilevel"/>
    <w:tmpl w:val="073AC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Theme="minorHAnsi"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753A78"/>
    <w:multiLevelType w:val="hybridMultilevel"/>
    <w:tmpl w:val="8CDC6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191D07"/>
    <w:multiLevelType w:val="hybridMultilevel"/>
    <w:tmpl w:val="B8DEA432"/>
    <w:lvl w:ilvl="0" w:tplc="7CD46B2A">
      <w:start w:val="1"/>
      <w:numFmt w:val="bullet"/>
      <w:lvlText w:val="•"/>
      <w:lvlJc w:val="left"/>
      <w:pPr>
        <w:tabs>
          <w:tab w:val="num" w:pos="720"/>
        </w:tabs>
        <w:ind w:left="720" w:hanging="360"/>
      </w:pPr>
      <w:rPr>
        <w:rFonts w:ascii="Arial" w:hAnsi="Arial" w:hint="default"/>
      </w:rPr>
    </w:lvl>
    <w:lvl w:ilvl="1" w:tplc="C920694E">
      <w:start w:val="1"/>
      <w:numFmt w:val="bullet"/>
      <w:lvlText w:val="•"/>
      <w:lvlJc w:val="left"/>
      <w:pPr>
        <w:tabs>
          <w:tab w:val="num" w:pos="1440"/>
        </w:tabs>
        <w:ind w:left="1440" w:hanging="360"/>
      </w:pPr>
      <w:rPr>
        <w:rFonts w:ascii="Arial" w:hAnsi="Arial" w:hint="default"/>
      </w:rPr>
    </w:lvl>
    <w:lvl w:ilvl="2" w:tplc="5BD6A8F2">
      <w:start w:val="24"/>
      <w:numFmt w:val="bullet"/>
      <w:lvlText w:val=""/>
      <w:lvlJc w:val="left"/>
      <w:pPr>
        <w:tabs>
          <w:tab w:val="num" w:pos="2160"/>
        </w:tabs>
        <w:ind w:left="2160" w:hanging="360"/>
      </w:pPr>
      <w:rPr>
        <w:rFonts w:ascii="Wingdings" w:hAnsi="Wingdings" w:hint="default"/>
      </w:rPr>
    </w:lvl>
    <w:lvl w:ilvl="3" w:tplc="F8C64D00" w:tentative="1">
      <w:start w:val="1"/>
      <w:numFmt w:val="bullet"/>
      <w:lvlText w:val="•"/>
      <w:lvlJc w:val="left"/>
      <w:pPr>
        <w:tabs>
          <w:tab w:val="num" w:pos="2880"/>
        </w:tabs>
        <w:ind w:left="2880" w:hanging="360"/>
      </w:pPr>
      <w:rPr>
        <w:rFonts w:ascii="Arial" w:hAnsi="Arial" w:hint="default"/>
      </w:rPr>
    </w:lvl>
    <w:lvl w:ilvl="4" w:tplc="60529E0E" w:tentative="1">
      <w:start w:val="1"/>
      <w:numFmt w:val="bullet"/>
      <w:lvlText w:val="•"/>
      <w:lvlJc w:val="left"/>
      <w:pPr>
        <w:tabs>
          <w:tab w:val="num" w:pos="3600"/>
        </w:tabs>
        <w:ind w:left="3600" w:hanging="360"/>
      </w:pPr>
      <w:rPr>
        <w:rFonts w:ascii="Arial" w:hAnsi="Arial" w:hint="default"/>
      </w:rPr>
    </w:lvl>
    <w:lvl w:ilvl="5" w:tplc="FD984EFA" w:tentative="1">
      <w:start w:val="1"/>
      <w:numFmt w:val="bullet"/>
      <w:lvlText w:val="•"/>
      <w:lvlJc w:val="left"/>
      <w:pPr>
        <w:tabs>
          <w:tab w:val="num" w:pos="4320"/>
        </w:tabs>
        <w:ind w:left="4320" w:hanging="360"/>
      </w:pPr>
      <w:rPr>
        <w:rFonts w:ascii="Arial" w:hAnsi="Arial" w:hint="default"/>
      </w:rPr>
    </w:lvl>
    <w:lvl w:ilvl="6" w:tplc="4E683D3C" w:tentative="1">
      <w:start w:val="1"/>
      <w:numFmt w:val="bullet"/>
      <w:lvlText w:val="•"/>
      <w:lvlJc w:val="left"/>
      <w:pPr>
        <w:tabs>
          <w:tab w:val="num" w:pos="5040"/>
        </w:tabs>
        <w:ind w:left="5040" w:hanging="360"/>
      </w:pPr>
      <w:rPr>
        <w:rFonts w:ascii="Arial" w:hAnsi="Arial" w:hint="default"/>
      </w:rPr>
    </w:lvl>
    <w:lvl w:ilvl="7" w:tplc="7DF21F38" w:tentative="1">
      <w:start w:val="1"/>
      <w:numFmt w:val="bullet"/>
      <w:lvlText w:val="•"/>
      <w:lvlJc w:val="left"/>
      <w:pPr>
        <w:tabs>
          <w:tab w:val="num" w:pos="5760"/>
        </w:tabs>
        <w:ind w:left="5760" w:hanging="360"/>
      </w:pPr>
      <w:rPr>
        <w:rFonts w:ascii="Arial" w:hAnsi="Arial" w:hint="default"/>
      </w:rPr>
    </w:lvl>
    <w:lvl w:ilvl="8" w:tplc="2DDE06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676AFD"/>
    <w:multiLevelType w:val="hybridMultilevel"/>
    <w:tmpl w:val="72B067EE"/>
    <w:lvl w:ilvl="0" w:tplc="72F838B6">
      <w:start w:val="1"/>
      <w:numFmt w:val="bullet"/>
      <w:lvlText w:val=""/>
      <w:lvlJc w:val="left"/>
      <w:pPr>
        <w:tabs>
          <w:tab w:val="num" w:pos="720"/>
        </w:tabs>
        <w:ind w:left="720" w:hanging="360"/>
      </w:pPr>
      <w:rPr>
        <w:rFonts w:ascii="Wingdings" w:hAnsi="Wingdings" w:hint="default"/>
      </w:rPr>
    </w:lvl>
    <w:lvl w:ilvl="1" w:tplc="13FE79F8">
      <w:start w:val="24"/>
      <w:numFmt w:val="bullet"/>
      <w:lvlText w:val="•"/>
      <w:lvlJc w:val="left"/>
      <w:pPr>
        <w:tabs>
          <w:tab w:val="num" w:pos="1440"/>
        </w:tabs>
        <w:ind w:left="1440" w:hanging="360"/>
      </w:pPr>
      <w:rPr>
        <w:rFonts w:ascii="Arial" w:hAnsi="Arial" w:hint="default"/>
      </w:rPr>
    </w:lvl>
    <w:lvl w:ilvl="2" w:tplc="9F3AE6B8" w:tentative="1">
      <w:start w:val="1"/>
      <w:numFmt w:val="bullet"/>
      <w:lvlText w:val=""/>
      <w:lvlJc w:val="left"/>
      <w:pPr>
        <w:tabs>
          <w:tab w:val="num" w:pos="2160"/>
        </w:tabs>
        <w:ind w:left="2160" w:hanging="360"/>
      </w:pPr>
      <w:rPr>
        <w:rFonts w:ascii="Wingdings" w:hAnsi="Wingdings" w:hint="default"/>
      </w:rPr>
    </w:lvl>
    <w:lvl w:ilvl="3" w:tplc="E46A49F2" w:tentative="1">
      <w:start w:val="1"/>
      <w:numFmt w:val="bullet"/>
      <w:lvlText w:val=""/>
      <w:lvlJc w:val="left"/>
      <w:pPr>
        <w:tabs>
          <w:tab w:val="num" w:pos="2880"/>
        </w:tabs>
        <w:ind w:left="2880" w:hanging="360"/>
      </w:pPr>
      <w:rPr>
        <w:rFonts w:ascii="Wingdings" w:hAnsi="Wingdings" w:hint="default"/>
      </w:rPr>
    </w:lvl>
    <w:lvl w:ilvl="4" w:tplc="50B6F0A8" w:tentative="1">
      <w:start w:val="1"/>
      <w:numFmt w:val="bullet"/>
      <w:lvlText w:val=""/>
      <w:lvlJc w:val="left"/>
      <w:pPr>
        <w:tabs>
          <w:tab w:val="num" w:pos="3600"/>
        </w:tabs>
        <w:ind w:left="3600" w:hanging="360"/>
      </w:pPr>
      <w:rPr>
        <w:rFonts w:ascii="Wingdings" w:hAnsi="Wingdings" w:hint="default"/>
      </w:rPr>
    </w:lvl>
    <w:lvl w:ilvl="5" w:tplc="E914466E" w:tentative="1">
      <w:start w:val="1"/>
      <w:numFmt w:val="bullet"/>
      <w:lvlText w:val=""/>
      <w:lvlJc w:val="left"/>
      <w:pPr>
        <w:tabs>
          <w:tab w:val="num" w:pos="4320"/>
        </w:tabs>
        <w:ind w:left="4320" w:hanging="360"/>
      </w:pPr>
      <w:rPr>
        <w:rFonts w:ascii="Wingdings" w:hAnsi="Wingdings" w:hint="default"/>
      </w:rPr>
    </w:lvl>
    <w:lvl w:ilvl="6" w:tplc="5A306D08" w:tentative="1">
      <w:start w:val="1"/>
      <w:numFmt w:val="bullet"/>
      <w:lvlText w:val=""/>
      <w:lvlJc w:val="left"/>
      <w:pPr>
        <w:tabs>
          <w:tab w:val="num" w:pos="5040"/>
        </w:tabs>
        <w:ind w:left="5040" w:hanging="360"/>
      </w:pPr>
      <w:rPr>
        <w:rFonts w:ascii="Wingdings" w:hAnsi="Wingdings" w:hint="default"/>
      </w:rPr>
    </w:lvl>
    <w:lvl w:ilvl="7" w:tplc="2E76D67C" w:tentative="1">
      <w:start w:val="1"/>
      <w:numFmt w:val="bullet"/>
      <w:lvlText w:val=""/>
      <w:lvlJc w:val="left"/>
      <w:pPr>
        <w:tabs>
          <w:tab w:val="num" w:pos="5760"/>
        </w:tabs>
        <w:ind w:left="5760" w:hanging="360"/>
      </w:pPr>
      <w:rPr>
        <w:rFonts w:ascii="Wingdings" w:hAnsi="Wingdings" w:hint="default"/>
      </w:rPr>
    </w:lvl>
    <w:lvl w:ilvl="8" w:tplc="F1863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228C6"/>
    <w:multiLevelType w:val="hybridMultilevel"/>
    <w:tmpl w:val="62B4E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CF1522"/>
    <w:multiLevelType w:val="hybridMultilevel"/>
    <w:tmpl w:val="F3E09C20"/>
    <w:lvl w:ilvl="0" w:tplc="01264BD2">
      <w:start w:val="1"/>
      <w:numFmt w:val="bullet"/>
      <w:lvlText w:val=""/>
      <w:lvlJc w:val="left"/>
      <w:pPr>
        <w:tabs>
          <w:tab w:val="num" w:pos="720"/>
        </w:tabs>
        <w:ind w:left="720" w:hanging="360"/>
      </w:pPr>
      <w:rPr>
        <w:rFonts w:ascii="Wingdings" w:hAnsi="Wingdings" w:hint="default"/>
      </w:rPr>
    </w:lvl>
    <w:lvl w:ilvl="1" w:tplc="292CF724">
      <w:start w:val="24"/>
      <w:numFmt w:val="bullet"/>
      <w:lvlText w:val="•"/>
      <w:lvlJc w:val="left"/>
      <w:pPr>
        <w:tabs>
          <w:tab w:val="num" w:pos="1440"/>
        </w:tabs>
        <w:ind w:left="1440" w:hanging="360"/>
      </w:pPr>
      <w:rPr>
        <w:rFonts w:ascii="Arial" w:hAnsi="Arial" w:hint="default"/>
      </w:rPr>
    </w:lvl>
    <w:lvl w:ilvl="2" w:tplc="A78C1B3A" w:tentative="1">
      <w:start w:val="1"/>
      <w:numFmt w:val="bullet"/>
      <w:lvlText w:val=""/>
      <w:lvlJc w:val="left"/>
      <w:pPr>
        <w:tabs>
          <w:tab w:val="num" w:pos="2160"/>
        </w:tabs>
        <w:ind w:left="2160" w:hanging="360"/>
      </w:pPr>
      <w:rPr>
        <w:rFonts w:ascii="Wingdings" w:hAnsi="Wingdings" w:hint="default"/>
      </w:rPr>
    </w:lvl>
    <w:lvl w:ilvl="3" w:tplc="03C28680" w:tentative="1">
      <w:start w:val="1"/>
      <w:numFmt w:val="bullet"/>
      <w:lvlText w:val=""/>
      <w:lvlJc w:val="left"/>
      <w:pPr>
        <w:tabs>
          <w:tab w:val="num" w:pos="2880"/>
        </w:tabs>
        <w:ind w:left="2880" w:hanging="360"/>
      </w:pPr>
      <w:rPr>
        <w:rFonts w:ascii="Wingdings" w:hAnsi="Wingdings" w:hint="default"/>
      </w:rPr>
    </w:lvl>
    <w:lvl w:ilvl="4" w:tplc="72B4E972" w:tentative="1">
      <w:start w:val="1"/>
      <w:numFmt w:val="bullet"/>
      <w:lvlText w:val=""/>
      <w:lvlJc w:val="left"/>
      <w:pPr>
        <w:tabs>
          <w:tab w:val="num" w:pos="3600"/>
        </w:tabs>
        <w:ind w:left="3600" w:hanging="360"/>
      </w:pPr>
      <w:rPr>
        <w:rFonts w:ascii="Wingdings" w:hAnsi="Wingdings" w:hint="default"/>
      </w:rPr>
    </w:lvl>
    <w:lvl w:ilvl="5" w:tplc="683E9226" w:tentative="1">
      <w:start w:val="1"/>
      <w:numFmt w:val="bullet"/>
      <w:lvlText w:val=""/>
      <w:lvlJc w:val="left"/>
      <w:pPr>
        <w:tabs>
          <w:tab w:val="num" w:pos="4320"/>
        </w:tabs>
        <w:ind w:left="4320" w:hanging="360"/>
      </w:pPr>
      <w:rPr>
        <w:rFonts w:ascii="Wingdings" w:hAnsi="Wingdings" w:hint="default"/>
      </w:rPr>
    </w:lvl>
    <w:lvl w:ilvl="6" w:tplc="44D4F494" w:tentative="1">
      <w:start w:val="1"/>
      <w:numFmt w:val="bullet"/>
      <w:lvlText w:val=""/>
      <w:lvlJc w:val="left"/>
      <w:pPr>
        <w:tabs>
          <w:tab w:val="num" w:pos="5040"/>
        </w:tabs>
        <w:ind w:left="5040" w:hanging="360"/>
      </w:pPr>
      <w:rPr>
        <w:rFonts w:ascii="Wingdings" w:hAnsi="Wingdings" w:hint="default"/>
      </w:rPr>
    </w:lvl>
    <w:lvl w:ilvl="7" w:tplc="77F2DCB0" w:tentative="1">
      <w:start w:val="1"/>
      <w:numFmt w:val="bullet"/>
      <w:lvlText w:val=""/>
      <w:lvlJc w:val="left"/>
      <w:pPr>
        <w:tabs>
          <w:tab w:val="num" w:pos="5760"/>
        </w:tabs>
        <w:ind w:left="5760" w:hanging="360"/>
      </w:pPr>
      <w:rPr>
        <w:rFonts w:ascii="Wingdings" w:hAnsi="Wingdings" w:hint="default"/>
      </w:rPr>
    </w:lvl>
    <w:lvl w:ilvl="8" w:tplc="F28A3F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8D783E"/>
    <w:multiLevelType w:val="hybridMultilevel"/>
    <w:tmpl w:val="74426EF0"/>
    <w:lvl w:ilvl="0" w:tplc="7A545A76">
      <w:start w:val="1"/>
      <w:numFmt w:val="bullet"/>
      <w:lvlText w:val="•"/>
      <w:lvlJc w:val="left"/>
      <w:pPr>
        <w:tabs>
          <w:tab w:val="num" w:pos="720"/>
        </w:tabs>
        <w:ind w:left="720" w:hanging="360"/>
      </w:pPr>
      <w:rPr>
        <w:rFonts w:ascii="Arial" w:hAnsi="Arial" w:hint="default"/>
      </w:rPr>
    </w:lvl>
    <w:lvl w:ilvl="1" w:tplc="E9A4FED0">
      <w:start w:val="1"/>
      <w:numFmt w:val="bullet"/>
      <w:lvlText w:val="•"/>
      <w:lvlJc w:val="left"/>
      <w:pPr>
        <w:tabs>
          <w:tab w:val="num" w:pos="1440"/>
        </w:tabs>
        <w:ind w:left="1440" w:hanging="360"/>
      </w:pPr>
      <w:rPr>
        <w:rFonts w:ascii="Arial" w:hAnsi="Arial" w:hint="default"/>
      </w:rPr>
    </w:lvl>
    <w:lvl w:ilvl="2" w:tplc="2EEA3182">
      <w:start w:val="24"/>
      <w:numFmt w:val="bullet"/>
      <w:lvlText w:val=""/>
      <w:lvlJc w:val="left"/>
      <w:pPr>
        <w:tabs>
          <w:tab w:val="num" w:pos="2160"/>
        </w:tabs>
        <w:ind w:left="2160" w:hanging="360"/>
      </w:pPr>
      <w:rPr>
        <w:rFonts w:ascii="Wingdings" w:hAnsi="Wingdings" w:hint="default"/>
      </w:rPr>
    </w:lvl>
    <w:lvl w:ilvl="3" w:tplc="A4F28096" w:tentative="1">
      <w:start w:val="1"/>
      <w:numFmt w:val="bullet"/>
      <w:lvlText w:val="•"/>
      <w:lvlJc w:val="left"/>
      <w:pPr>
        <w:tabs>
          <w:tab w:val="num" w:pos="2880"/>
        </w:tabs>
        <w:ind w:left="2880" w:hanging="360"/>
      </w:pPr>
      <w:rPr>
        <w:rFonts w:ascii="Arial" w:hAnsi="Arial" w:hint="default"/>
      </w:rPr>
    </w:lvl>
    <w:lvl w:ilvl="4" w:tplc="8258DDA0" w:tentative="1">
      <w:start w:val="1"/>
      <w:numFmt w:val="bullet"/>
      <w:lvlText w:val="•"/>
      <w:lvlJc w:val="left"/>
      <w:pPr>
        <w:tabs>
          <w:tab w:val="num" w:pos="3600"/>
        </w:tabs>
        <w:ind w:left="3600" w:hanging="360"/>
      </w:pPr>
      <w:rPr>
        <w:rFonts w:ascii="Arial" w:hAnsi="Arial" w:hint="default"/>
      </w:rPr>
    </w:lvl>
    <w:lvl w:ilvl="5" w:tplc="02667EF6" w:tentative="1">
      <w:start w:val="1"/>
      <w:numFmt w:val="bullet"/>
      <w:lvlText w:val="•"/>
      <w:lvlJc w:val="left"/>
      <w:pPr>
        <w:tabs>
          <w:tab w:val="num" w:pos="4320"/>
        </w:tabs>
        <w:ind w:left="4320" w:hanging="360"/>
      </w:pPr>
      <w:rPr>
        <w:rFonts w:ascii="Arial" w:hAnsi="Arial" w:hint="default"/>
      </w:rPr>
    </w:lvl>
    <w:lvl w:ilvl="6" w:tplc="311A2B8C" w:tentative="1">
      <w:start w:val="1"/>
      <w:numFmt w:val="bullet"/>
      <w:lvlText w:val="•"/>
      <w:lvlJc w:val="left"/>
      <w:pPr>
        <w:tabs>
          <w:tab w:val="num" w:pos="5040"/>
        </w:tabs>
        <w:ind w:left="5040" w:hanging="360"/>
      </w:pPr>
      <w:rPr>
        <w:rFonts w:ascii="Arial" w:hAnsi="Arial" w:hint="default"/>
      </w:rPr>
    </w:lvl>
    <w:lvl w:ilvl="7" w:tplc="E5E40D56" w:tentative="1">
      <w:start w:val="1"/>
      <w:numFmt w:val="bullet"/>
      <w:lvlText w:val="•"/>
      <w:lvlJc w:val="left"/>
      <w:pPr>
        <w:tabs>
          <w:tab w:val="num" w:pos="5760"/>
        </w:tabs>
        <w:ind w:left="5760" w:hanging="360"/>
      </w:pPr>
      <w:rPr>
        <w:rFonts w:ascii="Arial" w:hAnsi="Arial" w:hint="default"/>
      </w:rPr>
    </w:lvl>
    <w:lvl w:ilvl="8" w:tplc="096AA4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B6274A"/>
    <w:multiLevelType w:val="hybridMultilevel"/>
    <w:tmpl w:val="4AD0894C"/>
    <w:lvl w:ilvl="0" w:tplc="95E60DF4">
      <w:start w:val="1"/>
      <w:numFmt w:val="decimal"/>
      <w:lvlText w:val="%1."/>
      <w:lvlJc w:val="left"/>
      <w:pPr>
        <w:ind w:left="1778"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795F82"/>
    <w:multiLevelType w:val="hybridMultilevel"/>
    <w:tmpl w:val="943C52EC"/>
    <w:lvl w:ilvl="0" w:tplc="C4FA44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D76BF8"/>
    <w:multiLevelType w:val="hybridMultilevel"/>
    <w:tmpl w:val="AD5E9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E7CA1"/>
    <w:multiLevelType w:val="hybridMultilevel"/>
    <w:tmpl w:val="EB90AF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1E5218"/>
    <w:multiLevelType w:val="hybridMultilevel"/>
    <w:tmpl w:val="19F40B22"/>
    <w:lvl w:ilvl="0" w:tplc="340E761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BD41887"/>
    <w:multiLevelType w:val="hybridMultilevel"/>
    <w:tmpl w:val="5C103E82"/>
    <w:lvl w:ilvl="0" w:tplc="5F603F02">
      <w:start w:val="1"/>
      <w:numFmt w:val="bullet"/>
      <w:lvlText w:val=""/>
      <w:lvlJc w:val="left"/>
      <w:pPr>
        <w:tabs>
          <w:tab w:val="num" w:pos="720"/>
        </w:tabs>
        <w:ind w:left="720" w:hanging="360"/>
      </w:pPr>
      <w:rPr>
        <w:rFonts w:ascii="Wingdings" w:hAnsi="Wingdings" w:hint="default"/>
      </w:rPr>
    </w:lvl>
    <w:lvl w:ilvl="1" w:tplc="B25E584A">
      <w:start w:val="1"/>
      <w:numFmt w:val="bullet"/>
      <w:lvlText w:val=""/>
      <w:lvlJc w:val="left"/>
      <w:pPr>
        <w:tabs>
          <w:tab w:val="num" w:pos="1440"/>
        </w:tabs>
        <w:ind w:left="1440" w:hanging="360"/>
      </w:pPr>
      <w:rPr>
        <w:rFonts w:ascii="Wingdings" w:hAnsi="Wingdings" w:hint="default"/>
      </w:rPr>
    </w:lvl>
    <w:lvl w:ilvl="2" w:tplc="A184EF5A" w:tentative="1">
      <w:start w:val="1"/>
      <w:numFmt w:val="bullet"/>
      <w:lvlText w:val=""/>
      <w:lvlJc w:val="left"/>
      <w:pPr>
        <w:tabs>
          <w:tab w:val="num" w:pos="2160"/>
        </w:tabs>
        <w:ind w:left="2160" w:hanging="360"/>
      </w:pPr>
      <w:rPr>
        <w:rFonts w:ascii="Wingdings" w:hAnsi="Wingdings" w:hint="default"/>
      </w:rPr>
    </w:lvl>
    <w:lvl w:ilvl="3" w:tplc="F3BC0742" w:tentative="1">
      <w:start w:val="1"/>
      <w:numFmt w:val="bullet"/>
      <w:lvlText w:val=""/>
      <w:lvlJc w:val="left"/>
      <w:pPr>
        <w:tabs>
          <w:tab w:val="num" w:pos="2880"/>
        </w:tabs>
        <w:ind w:left="2880" w:hanging="360"/>
      </w:pPr>
      <w:rPr>
        <w:rFonts w:ascii="Wingdings" w:hAnsi="Wingdings" w:hint="default"/>
      </w:rPr>
    </w:lvl>
    <w:lvl w:ilvl="4" w:tplc="B224A21E" w:tentative="1">
      <w:start w:val="1"/>
      <w:numFmt w:val="bullet"/>
      <w:lvlText w:val=""/>
      <w:lvlJc w:val="left"/>
      <w:pPr>
        <w:tabs>
          <w:tab w:val="num" w:pos="3600"/>
        </w:tabs>
        <w:ind w:left="3600" w:hanging="360"/>
      </w:pPr>
      <w:rPr>
        <w:rFonts w:ascii="Wingdings" w:hAnsi="Wingdings" w:hint="default"/>
      </w:rPr>
    </w:lvl>
    <w:lvl w:ilvl="5" w:tplc="E7D449CA" w:tentative="1">
      <w:start w:val="1"/>
      <w:numFmt w:val="bullet"/>
      <w:lvlText w:val=""/>
      <w:lvlJc w:val="left"/>
      <w:pPr>
        <w:tabs>
          <w:tab w:val="num" w:pos="4320"/>
        </w:tabs>
        <w:ind w:left="4320" w:hanging="360"/>
      </w:pPr>
      <w:rPr>
        <w:rFonts w:ascii="Wingdings" w:hAnsi="Wingdings" w:hint="default"/>
      </w:rPr>
    </w:lvl>
    <w:lvl w:ilvl="6" w:tplc="5156A69E" w:tentative="1">
      <w:start w:val="1"/>
      <w:numFmt w:val="bullet"/>
      <w:lvlText w:val=""/>
      <w:lvlJc w:val="left"/>
      <w:pPr>
        <w:tabs>
          <w:tab w:val="num" w:pos="5040"/>
        </w:tabs>
        <w:ind w:left="5040" w:hanging="360"/>
      </w:pPr>
      <w:rPr>
        <w:rFonts w:ascii="Wingdings" w:hAnsi="Wingdings" w:hint="default"/>
      </w:rPr>
    </w:lvl>
    <w:lvl w:ilvl="7" w:tplc="A9443B94" w:tentative="1">
      <w:start w:val="1"/>
      <w:numFmt w:val="bullet"/>
      <w:lvlText w:val=""/>
      <w:lvlJc w:val="left"/>
      <w:pPr>
        <w:tabs>
          <w:tab w:val="num" w:pos="5760"/>
        </w:tabs>
        <w:ind w:left="5760" w:hanging="360"/>
      </w:pPr>
      <w:rPr>
        <w:rFonts w:ascii="Wingdings" w:hAnsi="Wingdings" w:hint="default"/>
      </w:rPr>
    </w:lvl>
    <w:lvl w:ilvl="8" w:tplc="ECF649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8545F"/>
    <w:multiLevelType w:val="hybridMultilevel"/>
    <w:tmpl w:val="251C0F8C"/>
    <w:lvl w:ilvl="0" w:tplc="D07001B2">
      <w:start w:val="1"/>
      <w:numFmt w:val="bullet"/>
      <w:lvlText w:val=""/>
      <w:lvlJc w:val="left"/>
      <w:pPr>
        <w:tabs>
          <w:tab w:val="num" w:pos="720"/>
        </w:tabs>
        <w:ind w:left="720" w:hanging="360"/>
      </w:pPr>
      <w:rPr>
        <w:rFonts w:ascii="Wingdings" w:hAnsi="Wingdings" w:hint="default"/>
      </w:rPr>
    </w:lvl>
    <w:lvl w:ilvl="1" w:tplc="6142A744">
      <w:start w:val="24"/>
      <w:numFmt w:val="bullet"/>
      <w:lvlText w:val="•"/>
      <w:lvlJc w:val="left"/>
      <w:pPr>
        <w:tabs>
          <w:tab w:val="num" w:pos="1440"/>
        </w:tabs>
        <w:ind w:left="1440" w:hanging="360"/>
      </w:pPr>
      <w:rPr>
        <w:rFonts w:ascii="Arial" w:hAnsi="Arial" w:hint="default"/>
      </w:rPr>
    </w:lvl>
    <w:lvl w:ilvl="2" w:tplc="48D0BDC8" w:tentative="1">
      <w:start w:val="1"/>
      <w:numFmt w:val="bullet"/>
      <w:lvlText w:val=""/>
      <w:lvlJc w:val="left"/>
      <w:pPr>
        <w:tabs>
          <w:tab w:val="num" w:pos="2160"/>
        </w:tabs>
        <w:ind w:left="2160" w:hanging="360"/>
      </w:pPr>
      <w:rPr>
        <w:rFonts w:ascii="Wingdings" w:hAnsi="Wingdings" w:hint="default"/>
      </w:rPr>
    </w:lvl>
    <w:lvl w:ilvl="3" w:tplc="26029304" w:tentative="1">
      <w:start w:val="1"/>
      <w:numFmt w:val="bullet"/>
      <w:lvlText w:val=""/>
      <w:lvlJc w:val="left"/>
      <w:pPr>
        <w:tabs>
          <w:tab w:val="num" w:pos="2880"/>
        </w:tabs>
        <w:ind w:left="2880" w:hanging="360"/>
      </w:pPr>
      <w:rPr>
        <w:rFonts w:ascii="Wingdings" w:hAnsi="Wingdings" w:hint="default"/>
      </w:rPr>
    </w:lvl>
    <w:lvl w:ilvl="4" w:tplc="744CE180" w:tentative="1">
      <w:start w:val="1"/>
      <w:numFmt w:val="bullet"/>
      <w:lvlText w:val=""/>
      <w:lvlJc w:val="left"/>
      <w:pPr>
        <w:tabs>
          <w:tab w:val="num" w:pos="3600"/>
        </w:tabs>
        <w:ind w:left="3600" w:hanging="360"/>
      </w:pPr>
      <w:rPr>
        <w:rFonts w:ascii="Wingdings" w:hAnsi="Wingdings" w:hint="default"/>
      </w:rPr>
    </w:lvl>
    <w:lvl w:ilvl="5" w:tplc="82C67D40" w:tentative="1">
      <w:start w:val="1"/>
      <w:numFmt w:val="bullet"/>
      <w:lvlText w:val=""/>
      <w:lvlJc w:val="left"/>
      <w:pPr>
        <w:tabs>
          <w:tab w:val="num" w:pos="4320"/>
        </w:tabs>
        <w:ind w:left="4320" w:hanging="360"/>
      </w:pPr>
      <w:rPr>
        <w:rFonts w:ascii="Wingdings" w:hAnsi="Wingdings" w:hint="default"/>
      </w:rPr>
    </w:lvl>
    <w:lvl w:ilvl="6" w:tplc="95F6A1E2" w:tentative="1">
      <w:start w:val="1"/>
      <w:numFmt w:val="bullet"/>
      <w:lvlText w:val=""/>
      <w:lvlJc w:val="left"/>
      <w:pPr>
        <w:tabs>
          <w:tab w:val="num" w:pos="5040"/>
        </w:tabs>
        <w:ind w:left="5040" w:hanging="360"/>
      </w:pPr>
      <w:rPr>
        <w:rFonts w:ascii="Wingdings" w:hAnsi="Wingdings" w:hint="default"/>
      </w:rPr>
    </w:lvl>
    <w:lvl w:ilvl="7" w:tplc="F49A7914" w:tentative="1">
      <w:start w:val="1"/>
      <w:numFmt w:val="bullet"/>
      <w:lvlText w:val=""/>
      <w:lvlJc w:val="left"/>
      <w:pPr>
        <w:tabs>
          <w:tab w:val="num" w:pos="5760"/>
        </w:tabs>
        <w:ind w:left="5760" w:hanging="360"/>
      </w:pPr>
      <w:rPr>
        <w:rFonts w:ascii="Wingdings" w:hAnsi="Wingdings" w:hint="default"/>
      </w:rPr>
    </w:lvl>
    <w:lvl w:ilvl="8" w:tplc="8BEEC79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92B2A"/>
    <w:multiLevelType w:val="hybridMultilevel"/>
    <w:tmpl w:val="5F06C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D02083"/>
    <w:multiLevelType w:val="hybridMultilevel"/>
    <w:tmpl w:val="130AC7BC"/>
    <w:lvl w:ilvl="0" w:tplc="1B82B0DC">
      <w:start w:val="1"/>
      <w:numFmt w:val="bullet"/>
      <w:lvlText w:val=""/>
      <w:lvlJc w:val="left"/>
      <w:pPr>
        <w:tabs>
          <w:tab w:val="num" w:pos="720"/>
        </w:tabs>
        <w:ind w:left="720" w:hanging="360"/>
      </w:pPr>
      <w:rPr>
        <w:rFonts w:ascii="Wingdings" w:hAnsi="Wingdings" w:hint="default"/>
      </w:rPr>
    </w:lvl>
    <w:lvl w:ilvl="1" w:tplc="5EB4742C" w:tentative="1">
      <w:start w:val="1"/>
      <w:numFmt w:val="bullet"/>
      <w:lvlText w:val=""/>
      <w:lvlJc w:val="left"/>
      <w:pPr>
        <w:tabs>
          <w:tab w:val="num" w:pos="1440"/>
        </w:tabs>
        <w:ind w:left="1440" w:hanging="360"/>
      </w:pPr>
      <w:rPr>
        <w:rFonts w:ascii="Wingdings" w:hAnsi="Wingdings" w:hint="default"/>
      </w:rPr>
    </w:lvl>
    <w:lvl w:ilvl="2" w:tplc="24867B22" w:tentative="1">
      <w:start w:val="1"/>
      <w:numFmt w:val="bullet"/>
      <w:lvlText w:val=""/>
      <w:lvlJc w:val="left"/>
      <w:pPr>
        <w:tabs>
          <w:tab w:val="num" w:pos="2160"/>
        </w:tabs>
        <w:ind w:left="2160" w:hanging="360"/>
      </w:pPr>
      <w:rPr>
        <w:rFonts w:ascii="Wingdings" w:hAnsi="Wingdings" w:hint="default"/>
      </w:rPr>
    </w:lvl>
    <w:lvl w:ilvl="3" w:tplc="46466B62" w:tentative="1">
      <w:start w:val="1"/>
      <w:numFmt w:val="bullet"/>
      <w:lvlText w:val=""/>
      <w:lvlJc w:val="left"/>
      <w:pPr>
        <w:tabs>
          <w:tab w:val="num" w:pos="2880"/>
        </w:tabs>
        <w:ind w:left="2880" w:hanging="360"/>
      </w:pPr>
      <w:rPr>
        <w:rFonts w:ascii="Wingdings" w:hAnsi="Wingdings" w:hint="default"/>
      </w:rPr>
    </w:lvl>
    <w:lvl w:ilvl="4" w:tplc="FA54340A" w:tentative="1">
      <w:start w:val="1"/>
      <w:numFmt w:val="bullet"/>
      <w:lvlText w:val=""/>
      <w:lvlJc w:val="left"/>
      <w:pPr>
        <w:tabs>
          <w:tab w:val="num" w:pos="3600"/>
        </w:tabs>
        <w:ind w:left="3600" w:hanging="360"/>
      </w:pPr>
      <w:rPr>
        <w:rFonts w:ascii="Wingdings" w:hAnsi="Wingdings" w:hint="default"/>
      </w:rPr>
    </w:lvl>
    <w:lvl w:ilvl="5" w:tplc="C19889F6" w:tentative="1">
      <w:start w:val="1"/>
      <w:numFmt w:val="bullet"/>
      <w:lvlText w:val=""/>
      <w:lvlJc w:val="left"/>
      <w:pPr>
        <w:tabs>
          <w:tab w:val="num" w:pos="4320"/>
        </w:tabs>
        <w:ind w:left="4320" w:hanging="360"/>
      </w:pPr>
      <w:rPr>
        <w:rFonts w:ascii="Wingdings" w:hAnsi="Wingdings" w:hint="default"/>
      </w:rPr>
    </w:lvl>
    <w:lvl w:ilvl="6" w:tplc="2ACE9CF0" w:tentative="1">
      <w:start w:val="1"/>
      <w:numFmt w:val="bullet"/>
      <w:lvlText w:val=""/>
      <w:lvlJc w:val="left"/>
      <w:pPr>
        <w:tabs>
          <w:tab w:val="num" w:pos="5040"/>
        </w:tabs>
        <w:ind w:left="5040" w:hanging="360"/>
      </w:pPr>
      <w:rPr>
        <w:rFonts w:ascii="Wingdings" w:hAnsi="Wingdings" w:hint="default"/>
      </w:rPr>
    </w:lvl>
    <w:lvl w:ilvl="7" w:tplc="4E2AF928" w:tentative="1">
      <w:start w:val="1"/>
      <w:numFmt w:val="bullet"/>
      <w:lvlText w:val=""/>
      <w:lvlJc w:val="left"/>
      <w:pPr>
        <w:tabs>
          <w:tab w:val="num" w:pos="5760"/>
        </w:tabs>
        <w:ind w:left="5760" w:hanging="360"/>
      </w:pPr>
      <w:rPr>
        <w:rFonts w:ascii="Wingdings" w:hAnsi="Wingdings" w:hint="default"/>
      </w:rPr>
    </w:lvl>
    <w:lvl w:ilvl="8" w:tplc="19D687A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41D73"/>
    <w:multiLevelType w:val="hybridMultilevel"/>
    <w:tmpl w:val="C14C1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385ED6"/>
    <w:multiLevelType w:val="hybridMultilevel"/>
    <w:tmpl w:val="FE98BA44"/>
    <w:lvl w:ilvl="0" w:tplc="3F92297E">
      <w:start w:val="1"/>
      <w:numFmt w:val="bullet"/>
      <w:lvlText w:val="•"/>
      <w:lvlJc w:val="left"/>
      <w:pPr>
        <w:tabs>
          <w:tab w:val="num" w:pos="720"/>
        </w:tabs>
        <w:ind w:left="720" w:hanging="360"/>
      </w:pPr>
      <w:rPr>
        <w:rFonts w:ascii="Arial" w:hAnsi="Arial" w:hint="default"/>
      </w:rPr>
    </w:lvl>
    <w:lvl w:ilvl="1" w:tplc="21DC3666">
      <w:start w:val="1"/>
      <w:numFmt w:val="bullet"/>
      <w:lvlText w:val="•"/>
      <w:lvlJc w:val="left"/>
      <w:pPr>
        <w:tabs>
          <w:tab w:val="num" w:pos="1440"/>
        </w:tabs>
        <w:ind w:left="1440" w:hanging="360"/>
      </w:pPr>
      <w:rPr>
        <w:rFonts w:ascii="Arial" w:hAnsi="Arial" w:hint="default"/>
      </w:rPr>
    </w:lvl>
    <w:lvl w:ilvl="2" w:tplc="2FF64E06" w:tentative="1">
      <w:start w:val="1"/>
      <w:numFmt w:val="bullet"/>
      <w:lvlText w:val="•"/>
      <w:lvlJc w:val="left"/>
      <w:pPr>
        <w:tabs>
          <w:tab w:val="num" w:pos="2160"/>
        </w:tabs>
        <w:ind w:left="2160" w:hanging="360"/>
      </w:pPr>
      <w:rPr>
        <w:rFonts w:ascii="Arial" w:hAnsi="Arial" w:hint="default"/>
      </w:rPr>
    </w:lvl>
    <w:lvl w:ilvl="3" w:tplc="ABFE9D04" w:tentative="1">
      <w:start w:val="1"/>
      <w:numFmt w:val="bullet"/>
      <w:lvlText w:val="•"/>
      <w:lvlJc w:val="left"/>
      <w:pPr>
        <w:tabs>
          <w:tab w:val="num" w:pos="2880"/>
        </w:tabs>
        <w:ind w:left="2880" w:hanging="360"/>
      </w:pPr>
      <w:rPr>
        <w:rFonts w:ascii="Arial" w:hAnsi="Arial" w:hint="default"/>
      </w:rPr>
    </w:lvl>
    <w:lvl w:ilvl="4" w:tplc="0D0276D6" w:tentative="1">
      <w:start w:val="1"/>
      <w:numFmt w:val="bullet"/>
      <w:lvlText w:val="•"/>
      <w:lvlJc w:val="left"/>
      <w:pPr>
        <w:tabs>
          <w:tab w:val="num" w:pos="3600"/>
        </w:tabs>
        <w:ind w:left="3600" w:hanging="360"/>
      </w:pPr>
      <w:rPr>
        <w:rFonts w:ascii="Arial" w:hAnsi="Arial" w:hint="default"/>
      </w:rPr>
    </w:lvl>
    <w:lvl w:ilvl="5" w:tplc="6EF07B94" w:tentative="1">
      <w:start w:val="1"/>
      <w:numFmt w:val="bullet"/>
      <w:lvlText w:val="•"/>
      <w:lvlJc w:val="left"/>
      <w:pPr>
        <w:tabs>
          <w:tab w:val="num" w:pos="4320"/>
        </w:tabs>
        <w:ind w:left="4320" w:hanging="360"/>
      </w:pPr>
      <w:rPr>
        <w:rFonts w:ascii="Arial" w:hAnsi="Arial" w:hint="default"/>
      </w:rPr>
    </w:lvl>
    <w:lvl w:ilvl="6" w:tplc="5CDCDB3E" w:tentative="1">
      <w:start w:val="1"/>
      <w:numFmt w:val="bullet"/>
      <w:lvlText w:val="•"/>
      <w:lvlJc w:val="left"/>
      <w:pPr>
        <w:tabs>
          <w:tab w:val="num" w:pos="5040"/>
        </w:tabs>
        <w:ind w:left="5040" w:hanging="360"/>
      </w:pPr>
      <w:rPr>
        <w:rFonts w:ascii="Arial" w:hAnsi="Arial" w:hint="default"/>
      </w:rPr>
    </w:lvl>
    <w:lvl w:ilvl="7" w:tplc="956A8F78" w:tentative="1">
      <w:start w:val="1"/>
      <w:numFmt w:val="bullet"/>
      <w:lvlText w:val="•"/>
      <w:lvlJc w:val="left"/>
      <w:pPr>
        <w:tabs>
          <w:tab w:val="num" w:pos="5760"/>
        </w:tabs>
        <w:ind w:left="5760" w:hanging="360"/>
      </w:pPr>
      <w:rPr>
        <w:rFonts w:ascii="Arial" w:hAnsi="Arial" w:hint="default"/>
      </w:rPr>
    </w:lvl>
    <w:lvl w:ilvl="8" w:tplc="857EDBB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4D033C"/>
    <w:multiLevelType w:val="multilevel"/>
    <w:tmpl w:val="1B003248"/>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9"/>
  </w:num>
  <w:num w:numId="2">
    <w:abstractNumId w:val="19"/>
  </w:num>
  <w:num w:numId="3">
    <w:abstractNumId w:val="29"/>
  </w:num>
  <w:num w:numId="4">
    <w:abstractNumId w:val="12"/>
  </w:num>
  <w:num w:numId="5">
    <w:abstractNumId w:val="18"/>
  </w:num>
  <w:num w:numId="6">
    <w:abstractNumId w:val="25"/>
  </w:num>
  <w:num w:numId="7">
    <w:abstractNumId w:val="27"/>
  </w:num>
  <w:num w:numId="8">
    <w:abstractNumId w:val="15"/>
  </w:num>
  <w:num w:numId="9">
    <w:abstractNumId w:val="30"/>
  </w:num>
  <w:num w:numId="10">
    <w:abstractNumId w:val="21"/>
  </w:num>
  <w:num w:numId="11">
    <w:abstractNumId w:val="17"/>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10"/>
  </w:num>
  <w:num w:numId="19">
    <w:abstractNumId w:val="23"/>
  </w:num>
  <w:num w:numId="20">
    <w:abstractNumId w:val="1"/>
  </w:num>
  <w:num w:numId="21">
    <w:abstractNumId w:val="28"/>
  </w:num>
  <w:num w:numId="22">
    <w:abstractNumId w:val="26"/>
  </w:num>
  <w:num w:numId="23">
    <w:abstractNumId w:val="13"/>
  </w:num>
  <w:num w:numId="24">
    <w:abstractNumId w:val="7"/>
  </w:num>
  <w:num w:numId="25">
    <w:abstractNumId w:val="11"/>
  </w:num>
  <w:num w:numId="26">
    <w:abstractNumId w:val="14"/>
  </w:num>
  <w:num w:numId="27">
    <w:abstractNumId w:val="3"/>
  </w:num>
  <w:num w:numId="28">
    <w:abstractNumId w:val="24"/>
  </w:num>
  <w:num w:numId="29">
    <w:abstractNumId w:val="6"/>
  </w:num>
  <w:num w:numId="30">
    <w:abstractNumId w:val="0"/>
  </w:num>
  <w:num w:numId="31">
    <w:abstractNumId w:val="9"/>
  </w:num>
  <w:num w:numId="32">
    <w:abstractNumId w:val="4"/>
  </w:num>
  <w:num w:numId="33">
    <w:abstractNumId w:val="20"/>
  </w:num>
  <w:num w:numId="34">
    <w:abstractNumId w:val="22"/>
  </w:num>
  <w:num w:numId="35">
    <w:abstractNumId w:val="29"/>
  </w:num>
  <w:num w:numId="36">
    <w:abstractNumId w:val="29"/>
  </w:num>
  <w:num w:numId="37">
    <w:abstractNumId w:val="29"/>
  </w:num>
  <w:num w:numId="38">
    <w:abstractNumId w:val="29"/>
  </w:num>
  <w:num w:numId="39">
    <w:abstractNumId w:val="29"/>
  </w:num>
  <w:num w:numId="40">
    <w:abstractNumId w:val="29"/>
  </w:num>
  <w:num w:numId="41">
    <w:abstractNumId w:val="16"/>
  </w:num>
  <w:num w:numId="42">
    <w:abstractNumId w:val="2"/>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74"/>
    <w:rsid w:val="0000110B"/>
    <w:rsid w:val="00001FC5"/>
    <w:rsid w:val="00003128"/>
    <w:rsid w:val="00003499"/>
    <w:rsid w:val="000039B7"/>
    <w:rsid w:val="000039E1"/>
    <w:rsid w:val="00004353"/>
    <w:rsid w:val="00005A04"/>
    <w:rsid w:val="0000639A"/>
    <w:rsid w:val="00006CAF"/>
    <w:rsid w:val="00007380"/>
    <w:rsid w:val="000108F2"/>
    <w:rsid w:val="00013247"/>
    <w:rsid w:val="00013FF7"/>
    <w:rsid w:val="0001423C"/>
    <w:rsid w:val="00015886"/>
    <w:rsid w:val="000162EF"/>
    <w:rsid w:val="0001711B"/>
    <w:rsid w:val="000179DD"/>
    <w:rsid w:val="000207C9"/>
    <w:rsid w:val="000212C5"/>
    <w:rsid w:val="00021BCC"/>
    <w:rsid w:val="0002225F"/>
    <w:rsid w:val="00023763"/>
    <w:rsid w:val="000250FB"/>
    <w:rsid w:val="00025A2C"/>
    <w:rsid w:val="00026389"/>
    <w:rsid w:val="000274B8"/>
    <w:rsid w:val="000306B0"/>
    <w:rsid w:val="0003128B"/>
    <w:rsid w:val="00032ECB"/>
    <w:rsid w:val="00033863"/>
    <w:rsid w:val="00033B65"/>
    <w:rsid w:val="00034C23"/>
    <w:rsid w:val="00035DC0"/>
    <w:rsid w:val="00036829"/>
    <w:rsid w:val="00037E45"/>
    <w:rsid w:val="00040132"/>
    <w:rsid w:val="00040895"/>
    <w:rsid w:val="00042217"/>
    <w:rsid w:val="000435EE"/>
    <w:rsid w:val="00043C37"/>
    <w:rsid w:val="00044136"/>
    <w:rsid w:val="000448BA"/>
    <w:rsid w:val="00044F12"/>
    <w:rsid w:val="00045017"/>
    <w:rsid w:val="00045268"/>
    <w:rsid w:val="00045A2B"/>
    <w:rsid w:val="0004698F"/>
    <w:rsid w:val="00050DD7"/>
    <w:rsid w:val="00051665"/>
    <w:rsid w:val="000517D9"/>
    <w:rsid w:val="00051A26"/>
    <w:rsid w:val="000524A4"/>
    <w:rsid w:val="00053239"/>
    <w:rsid w:val="000534C3"/>
    <w:rsid w:val="000539D0"/>
    <w:rsid w:val="00053D5C"/>
    <w:rsid w:val="00054621"/>
    <w:rsid w:val="000546D7"/>
    <w:rsid w:val="000557B8"/>
    <w:rsid w:val="000565F0"/>
    <w:rsid w:val="00056ECF"/>
    <w:rsid w:val="000572D3"/>
    <w:rsid w:val="00057E69"/>
    <w:rsid w:val="000604DF"/>
    <w:rsid w:val="0006266A"/>
    <w:rsid w:val="000627EC"/>
    <w:rsid w:val="00062ABA"/>
    <w:rsid w:val="00062F7C"/>
    <w:rsid w:val="000630EF"/>
    <w:rsid w:val="000653B5"/>
    <w:rsid w:val="00066360"/>
    <w:rsid w:val="00066839"/>
    <w:rsid w:val="00066AF8"/>
    <w:rsid w:val="000674E5"/>
    <w:rsid w:val="00071248"/>
    <w:rsid w:val="000720B9"/>
    <w:rsid w:val="0007247D"/>
    <w:rsid w:val="000737F7"/>
    <w:rsid w:val="000744C6"/>
    <w:rsid w:val="00075E1F"/>
    <w:rsid w:val="000766FE"/>
    <w:rsid w:val="0007672F"/>
    <w:rsid w:val="00076B24"/>
    <w:rsid w:val="00076B54"/>
    <w:rsid w:val="000774F0"/>
    <w:rsid w:val="000807A7"/>
    <w:rsid w:val="00080909"/>
    <w:rsid w:val="000812CA"/>
    <w:rsid w:val="000817B5"/>
    <w:rsid w:val="00081803"/>
    <w:rsid w:val="0008198C"/>
    <w:rsid w:val="00081E63"/>
    <w:rsid w:val="0008258D"/>
    <w:rsid w:val="00082AE3"/>
    <w:rsid w:val="00083E99"/>
    <w:rsid w:val="00084849"/>
    <w:rsid w:val="00084FA8"/>
    <w:rsid w:val="000856C5"/>
    <w:rsid w:val="00085C31"/>
    <w:rsid w:val="00086274"/>
    <w:rsid w:val="000902D9"/>
    <w:rsid w:val="00090C7E"/>
    <w:rsid w:val="00092029"/>
    <w:rsid w:val="00092600"/>
    <w:rsid w:val="0009262B"/>
    <w:rsid w:val="00092C92"/>
    <w:rsid w:val="00093310"/>
    <w:rsid w:val="0009445C"/>
    <w:rsid w:val="00095200"/>
    <w:rsid w:val="00095FE5"/>
    <w:rsid w:val="00096284"/>
    <w:rsid w:val="00097BEE"/>
    <w:rsid w:val="000A04C4"/>
    <w:rsid w:val="000A115E"/>
    <w:rsid w:val="000A1635"/>
    <w:rsid w:val="000A1BC0"/>
    <w:rsid w:val="000A200F"/>
    <w:rsid w:val="000A4426"/>
    <w:rsid w:val="000A6039"/>
    <w:rsid w:val="000A6A0F"/>
    <w:rsid w:val="000A7453"/>
    <w:rsid w:val="000A7693"/>
    <w:rsid w:val="000A7D08"/>
    <w:rsid w:val="000B0121"/>
    <w:rsid w:val="000B0670"/>
    <w:rsid w:val="000B0E75"/>
    <w:rsid w:val="000B1BE4"/>
    <w:rsid w:val="000B1FBA"/>
    <w:rsid w:val="000B2DCB"/>
    <w:rsid w:val="000B5274"/>
    <w:rsid w:val="000B530C"/>
    <w:rsid w:val="000B5A3E"/>
    <w:rsid w:val="000B5CE0"/>
    <w:rsid w:val="000B6766"/>
    <w:rsid w:val="000B6CAC"/>
    <w:rsid w:val="000B6CBC"/>
    <w:rsid w:val="000B6CFF"/>
    <w:rsid w:val="000B713C"/>
    <w:rsid w:val="000B7612"/>
    <w:rsid w:val="000B78AE"/>
    <w:rsid w:val="000C131C"/>
    <w:rsid w:val="000C1995"/>
    <w:rsid w:val="000C3A74"/>
    <w:rsid w:val="000C3B6E"/>
    <w:rsid w:val="000C3DF9"/>
    <w:rsid w:val="000C5338"/>
    <w:rsid w:val="000C5406"/>
    <w:rsid w:val="000C5563"/>
    <w:rsid w:val="000C6540"/>
    <w:rsid w:val="000C6656"/>
    <w:rsid w:val="000C6713"/>
    <w:rsid w:val="000D0C0E"/>
    <w:rsid w:val="000D0F02"/>
    <w:rsid w:val="000D1BFC"/>
    <w:rsid w:val="000D1D5D"/>
    <w:rsid w:val="000D281A"/>
    <w:rsid w:val="000D2848"/>
    <w:rsid w:val="000D31D4"/>
    <w:rsid w:val="000D326A"/>
    <w:rsid w:val="000D3AAC"/>
    <w:rsid w:val="000D51FB"/>
    <w:rsid w:val="000D5BD7"/>
    <w:rsid w:val="000D5F74"/>
    <w:rsid w:val="000E0640"/>
    <w:rsid w:val="000E0CB3"/>
    <w:rsid w:val="000E0D8E"/>
    <w:rsid w:val="000E135D"/>
    <w:rsid w:val="000E4078"/>
    <w:rsid w:val="000E4419"/>
    <w:rsid w:val="000E4BA0"/>
    <w:rsid w:val="000E4C63"/>
    <w:rsid w:val="000E5888"/>
    <w:rsid w:val="000E76FE"/>
    <w:rsid w:val="000F00BA"/>
    <w:rsid w:val="000F1278"/>
    <w:rsid w:val="000F2795"/>
    <w:rsid w:val="000F2A34"/>
    <w:rsid w:val="000F316A"/>
    <w:rsid w:val="000F3C74"/>
    <w:rsid w:val="000F4455"/>
    <w:rsid w:val="000F4BB8"/>
    <w:rsid w:val="000F4FA9"/>
    <w:rsid w:val="000F53FB"/>
    <w:rsid w:val="000F67A2"/>
    <w:rsid w:val="000F7127"/>
    <w:rsid w:val="000F7B54"/>
    <w:rsid w:val="001001F4"/>
    <w:rsid w:val="00100F8A"/>
    <w:rsid w:val="00103A6A"/>
    <w:rsid w:val="00103E97"/>
    <w:rsid w:val="0010452E"/>
    <w:rsid w:val="00104A9F"/>
    <w:rsid w:val="00105AE2"/>
    <w:rsid w:val="00105F41"/>
    <w:rsid w:val="001060C6"/>
    <w:rsid w:val="00106B80"/>
    <w:rsid w:val="0011032E"/>
    <w:rsid w:val="00110ABB"/>
    <w:rsid w:val="00111163"/>
    <w:rsid w:val="00111EAF"/>
    <w:rsid w:val="0011348B"/>
    <w:rsid w:val="0011578A"/>
    <w:rsid w:val="001158A5"/>
    <w:rsid w:val="00115982"/>
    <w:rsid w:val="00116C53"/>
    <w:rsid w:val="00117B82"/>
    <w:rsid w:val="0012092C"/>
    <w:rsid w:val="001209CC"/>
    <w:rsid w:val="00121799"/>
    <w:rsid w:val="001219B9"/>
    <w:rsid w:val="001222FC"/>
    <w:rsid w:val="00123902"/>
    <w:rsid w:val="00124A51"/>
    <w:rsid w:val="00124B1F"/>
    <w:rsid w:val="001251A5"/>
    <w:rsid w:val="00126621"/>
    <w:rsid w:val="00126B1D"/>
    <w:rsid w:val="00127CA7"/>
    <w:rsid w:val="001301E9"/>
    <w:rsid w:val="00131193"/>
    <w:rsid w:val="00131A73"/>
    <w:rsid w:val="00131D82"/>
    <w:rsid w:val="00131DD1"/>
    <w:rsid w:val="00132240"/>
    <w:rsid w:val="001325A2"/>
    <w:rsid w:val="00132B22"/>
    <w:rsid w:val="00132C08"/>
    <w:rsid w:val="00133D36"/>
    <w:rsid w:val="0013447D"/>
    <w:rsid w:val="0013522B"/>
    <w:rsid w:val="0013741D"/>
    <w:rsid w:val="00137645"/>
    <w:rsid w:val="0014015A"/>
    <w:rsid w:val="00140E99"/>
    <w:rsid w:val="00143F67"/>
    <w:rsid w:val="0014552B"/>
    <w:rsid w:val="00145540"/>
    <w:rsid w:val="001456B0"/>
    <w:rsid w:val="00145A12"/>
    <w:rsid w:val="00147B9B"/>
    <w:rsid w:val="00154C61"/>
    <w:rsid w:val="00154CAE"/>
    <w:rsid w:val="00155711"/>
    <w:rsid w:val="00156840"/>
    <w:rsid w:val="00156F8F"/>
    <w:rsid w:val="00157130"/>
    <w:rsid w:val="001575B0"/>
    <w:rsid w:val="001576B1"/>
    <w:rsid w:val="001579C9"/>
    <w:rsid w:val="0016047B"/>
    <w:rsid w:val="00160A4C"/>
    <w:rsid w:val="00160E4F"/>
    <w:rsid w:val="0016190E"/>
    <w:rsid w:val="00162913"/>
    <w:rsid w:val="00163CD1"/>
    <w:rsid w:val="00163EFF"/>
    <w:rsid w:val="00163F66"/>
    <w:rsid w:val="00166150"/>
    <w:rsid w:val="001661E7"/>
    <w:rsid w:val="001661FB"/>
    <w:rsid w:val="0016676B"/>
    <w:rsid w:val="001671A0"/>
    <w:rsid w:val="0016767F"/>
    <w:rsid w:val="001719FB"/>
    <w:rsid w:val="00173565"/>
    <w:rsid w:val="00173B07"/>
    <w:rsid w:val="001747AD"/>
    <w:rsid w:val="001751FA"/>
    <w:rsid w:val="00176C45"/>
    <w:rsid w:val="0018120D"/>
    <w:rsid w:val="00181D9C"/>
    <w:rsid w:val="001826E2"/>
    <w:rsid w:val="001837D5"/>
    <w:rsid w:val="00184055"/>
    <w:rsid w:val="00184B0E"/>
    <w:rsid w:val="00185425"/>
    <w:rsid w:val="0018634E"/>
    <w:rsid w:val="0018752F"/>
    <w:rsid w:val="001900DF"/>
    <w:rsid w:val="00190F4C"/>
    <w:rsid w:val="00191187"/>
    <w:rsid w:val="00192525"/>
    <w:rsid w:val="00193838"/>
    <w:rsid w:val="00194AD8"/>
    <w:rsid w:val="00195222"/>
    <w:rsid w:val="001975D8"/>
    <w:rsid w:val="00197DC8"/>
    <w:rsid w:val="001A178E"/>
    <w:rsid w:val="001A355E"/>
    <w:rsid w:val="001A3C95"/>
    <w:rsid w:val="001A3EBB"/>
    <w:rsid w:val="001A3F44"/>
    <w:rsid w:val="001A43FA"/>
    <w:rsid w:val="001A47C5"/>
    <w:rsid w:val="001A48EC"/>
    <w:rsid w:val="001A4EB3"/>
    <w:rsid w:val="001A59FB"/>
    <w:rsid w:val="001A5E9E"/>
    <w:rsid w:val="001A6023"/>
    <w:rsid w:val="001A633D"/>
    <w:rsid w:val="001A6354"/>
    <w:rsid w:val="001A6366"/>
    <w:rsid w:val="001A67AF"/>
    <w:rsid w:val="001A6C7C"/>
    <w:rsid w:val="001A7AE8"/>
    <w:rsid w:val="001B11EF"/>
    <w:rsid w:val="001B204E"/>
    <w:rsid w:val="001B2372"/>
    <w:rsid w:val="001B25C0"/>
    <w:rsid w:val="001B2A1C"/>
    <w:rsid w:val="001B32DC"/>
    <w:rsid w:val="001B3443"/>
    <w:rsid w:val="001B4D20"/>
    <w:rsid w:val="001B59F1"/>
    <w:rsid w:val="001B7B35"/>
    <w:rsid w:val="001C0B2D"/>
    <w:rsid w:val="001C11B1"/>
    <w:rsid w:val="001C2A9B"/>
    <w:rsid w:val="001C4299"/>
    <w:rsid w:val="001C4779"/>
    <w:rsid w:val="001C4874"/>
    <w:rsid w:val="001C5071"/>
    <w:rsid w:val="001C5694"/>
    <w:rsid w:val="001C5F94"/>
    <w:rsid w:val="001C6E66"/>
    <w:rsid w:val="001C6FC5"/>
    <w:rsid w:val="001C7615"/>
    <w:rsid w:val="001D1100"/>
    <w:rsid w:val="001D1391"/>
    <w:rsid w:val="001D25D7"/>
    <w:rsid w:val="001D281E"/>
    <w:rsid w:val="001D3ABC"/>
    <w:rsid w:val="001D3F83"/>
    <w:rsid w:val="001D4124"/>
    <w:rsid w:val="001D50B2"/>
    <w:rsid w:val="001D5D71"/>
    <w:rsid w:val="001D746C"/>
    <w:rsid w:val="001D7645"/>
    <w:rsid w:val="001E1E86"/>
    <w:rsid w:val="001E238E"/>
    <w:rsid w:val="001E2483"/>
    <w:rsid w:val="001E2B1E"/>
    <w:rsid w:val="001E2CFF"/>
    <w:rsid w:val="001E2F24"/>
    <w:rsid w:val="001E30D4"/>
    <w:rsid w:val="001E3212"/>
    <w:rsid w:val="001E34DF"/>
    <w:rsid w:val="001E52EB"/>
    <w:rsid w:val="001E548A"/>
    <w:rsid w:val="001E5591"/>
    <w:rsid w:val="001E61D2"/>
    <w:rsid w:val="001E6E1D"/>
    <w:rsid w:val="001E740C"/>
    <w:rsid w:val="001E7F31"/>
    <w:rsid w:val="001F1235"/>
    <w:rsid w:val="001F1CB3"/>
    <w:rsid w:val="001F1F0C"/>
    <w:rsid w:val="001F210B"/>
    <w:rsid w:val="001F36CE"/>
    <w:rsid w:val="001F38B5"/>
    <w:rsid w:val="001F3BEC"/>
    <w:rsid w:val="001F4081"/>
    <w:rsid w:val="001F6CCB"/>
    <w:rsid w:val="001F7361"/>
    <w:rsid w:val="001F7428"/>
    <w:rsid w:val="001F7A08"/>
    <w:rsid w:val="00200128"/>
    <w:rsid w:val="00200EF8"/>
    <w:rsid w:val="002011B0"/>
    <w:rsid w:val="00201F65"/>
    <w:rsid w:val="00202408"/>
    <w:rsid w:val="00203181"/>
    <w:rsid w:val="00203783"/>
    <w:rsid w:val="0020385F"/>
    <w:rsid w:val="002048CD"/>
    <w:rsid w:val="00206590"/>
    <w:rsid w:val="002068A0"/>
    <w:rsid w:val="00207021"/>
    <w:rsid w:val="0020732F"/>
    <w:rsid w:val="00207D00"/>
    <w:rsid w:val="00207E52"/>
    <w:rsid w:val="002105C1"/>
    <w:rsid w:val="002119EE"/>
    <w:rsid w:val="00212F1D"/>
    <w:rsid w:val="00213EEC"/>
    <w:rsid w:val="00213EF5"/>
    <w:rsid w:val="00216BF5"/>
    <w:rsid w:val="00217292"/>
    <w:rsid w:val="00217F57"/>
    <w:rsid w:val="002207AF"/>
    <w:rsid w:val="00221230"/>
    <w:rsid w:val="00222D79"/>
    <w:rsid w:val="00223B49"/>
    <w:rsid w:val="00223BC6"/>
    <w:rsid w:val="00223D5A"/>
    <w:rsid w:val="00224D35"/>
    <w:rsid w:val="00224DD4"/>
    <w:rsid w:val="00225A52"/>
    <w:rsid w:val="002278A0"/>
    <w:rsid w:val="00230638"/>
    <w:rsid w:val="002309CC"/>
    <w:rsid w:val="00230B79"/>
    <w:rsid w:val="00230DB1"/>
    <w:rsid w:val="00231C75"/>
    <w:rsid w:val="0023209F"/>
    <w:rsid w:val="002321FC"/>
    <w:rsid w:val="0023266C"/>
    <w:rsid w:val="00233989"/>
    <w:rsid w:val="00233A5D"/>
    <w:rsid w:val="00233C01"/>
    <w:rsid w:val="0023413C"/>
    <w:rsid w:val="002346F0"/>
    <w:rsid w:val="0023629D"/>
    <w:rsid w:val="00237255"/>
    <w:rsid w:val="00242472"/>
    <w:rsid w:val="002424AF"/>
    <w:rsid w:val="00243870"/>
    <w:rsid w:val="002439DC"/>
    <w:rsid w:val="0024417B"/>
    <w:rsid w:val="002441D2"/>
    <w:rsid w:val="00244DC8"/>
    <w:rsid w:val="00244DE9"/>
    <w:rsid w:val="002458BA"/>
    <w:rsid w:val="00245CE9"/>
    <w:rsid w:val="0024636C"/>
    <w:rsid w:val="00246E52"/>
    <w:rsid w:val="00247925"/>
    <w:rsid w:val="0024799D"/>
    <w:rsid w:val="00251006"/>
    <w:rsid w:val="0025209B"/>
    <w:rsid w:val="002524D5"/>
    <w:rsid w:val="00253B1D"/>
    <w:rsid w:val="002546CD"/>
    <w:rsid w:val="00254DCF"/>
    <w:rsid w:val="0025534B"/>
    <w:rsid w:val="00255BB7"/>
    <w:rsid w:val="00256B65"/>
    <w:rsid w:val="00257541"/>
    <w:rsid w:val="00257A39"/>
    <w:rsid w:val="00257AC4"/>
    <w:rsid w:val="00257C01"/>
    <w:rsid w:val="00260DD8"/>
    <w:rsid w:val="00261EEF"/>
    <w:rsid w:val="00261F9C"/>
    <w:rsid w:val="00262A1A"/>
    <w:rsid w:val="00262A87"/>
    <w:rsid w:val="0026357D"/>
    <w:rsid w:val="0026383C"/>
    <w:rsid w:val="002643D0"/>
    <w:rsid w:val="00264D26"/>
    <w:rsid w:val="0026736D"/>
    <w:rsid w:val="00267642"/>
    <w:rsid w:val="00267AEA"/>
    <w:rsid w:val="002700E6"/>
    <w:rsid w:val="00270DBA"/>
    <w:rsid w:val="0027294B"/>
    <w:rsid w:val="00272F2E"/>
    <w:rsid w:val="00273DEE"/>
    <w:rsid w:val="00273EB4"/>
    <w:rsid w:val="00274682"/>
    <w:rsid w:val="00274FDF"/>
    <w:rsid w:val="00275083"/>
    <w:rsid w:val="00275C5A"/>
    <w:rsid w:val="002768EB"/>
    <w:rsid w:val="0028058F"/>
    <w:rsid w:val="002806C9"/>
    <w:rsid w:val="00281014"/>
    <w:rsid w:val="00283B9E"/>
    <w:rsid w:val="00285713"/>
    <w:rsid w:val="00285747"/>
    <w:rsid w:val="00285A46"/>
    <w:rsid w:val="0028665D"/>
    <w:rsid w:val="00287BD9"/>
    <w:rsid w:val="00296788"/>
    <w:rsid w:val="00296FB1"/>
    <w:rsid w:val="002974B1"/>
    <w:rsid w:val="00297A21"/>
    <w:rsid w:val="002A01D5"/>
    <w:rsid w:val="002A0395"/>
    <w:rsid w:val="002A14AB"/>
    <w:rsid w:val="002A2ADE"/>
    <w:rsid w:val="002A2F50"/>
    <w:rsid w:val="002A3522"/>
    <w:rsid w:val="002A3BBB"/>
    <w:rsid w:val="002A42EE"/>
    <w:rsid w:val="002A4362"/>
    <w:rsid w:val="002A4561"/>
    <w:rsid w:val="002A487F"/>
    <w:rsid w:val="002A5805"/>
    <w:rsid w:val="002A6887"/>
    <w:rsid w:val="002A7284"/>
    <w:rsid w:val="002A7F8F"/>
    <w:rsid w:val="002B05A1"/>
    <w:rsid w:val="002B09A4"/>
    <w:rsid w:val="002B168F"/>
    <w:rsid w:val="002B1B72"/>
    <w:rsid w:val="002B1C1F"/>
    <w:rsid w:val="002B2BEF"/>
    <w:rsid w:val="002B432F"/>
    <w:rsid w:val="002B4FE9"/>
    <w:rsid w:val="002B62B3"/>
    <w:rsid w:val="002B6754"/>
    <w:rsid w:val="002B6CCE"/>
    <w:rsid w:val="002B7ADF"/>
    <w:rsid w:val="002B7D37"/>
    <w:rsid w:val="002C2510"/>
    <w:rsid w:val="002C2775"/>
    <w:rsid w:val="002C27C1"/>
    <w:rsid w:val="002C2BEC"/>
    <w:rsid w:val="002C4B96"/>
    <w:rsid w:val="002C4EF3"/>
    <w:rsid w:val="002C5099"/>
    <w:rsid w:val="002C5889"/>
    <w:rsid w:val="002C71CE"/>
    <w:rsid w:val="002D08F8"/>
    <w:rsid w:val="002D0A08"/>
    <w:rsid w:val="002D1C73"/>
    <w:rsid w:val="002D1C81"/>
    <w:rsid w:val="002D21BF"/>
    <w:rsid w:val="002D3050"/>
    <w:rsid w:val="002D488E"/>
    <w:rsid w:val="002D577C"/>
    <w:rsid w:val="002D61F3"/>
    <w:rsid w:val="002D6F28"/>
    <w:rsid w:val="002D70EC"/>
    <w:rsid w:val="002E1071"/>
    <w:rsid w:val="002E15B9"/>
    <w:rsid w:val="002E183B"/>
    <w:rsid w:val="002E2158"/>
    <w:rsid w:val="002E4F02"/>
    <w:rsid w:val="002E7722"/>
    <w:rsid w:val="002E7964"/>
    <w:rsid w:val="002F069D"/>
    <w:rsid w:val="002F07BA"/>
    <w:rsid w:val="002F0DA9"/>
    <w:rsid w:val="002F0ED4"/>
    <w:rsid w:val="002F1014"/>
    <w:rsid w:val="002F1145"/>
    <w:rsid w:val="002F3FDE"/>
    <w:rsid w:val="002F643C"/>
    <w:rsid w:val="002F6A3A"/>
    <w:rsid w:val="002F71C0"/>
    <w:rsid w:val="002F74F1"/>
    <w:rsid w:val="002F76F3"/>
    <w:rsid w:val="002F795E"/>
    <w:rsid w:val="002F798F"/>
    <w:rsid w:val="00301017"/>
    <w:rsid w:val="00301295"/>
    <w:rsid w:val="0030155F"/>
    <w:rsid w:val="003017E7"/>
    <w:rsid w:val="00301A79"/>
    <w:rsid w:val="00303023"/>
    <w:rsid w:val="00304092"/>
    <w:rsid w:val="0030587B"/>
    <w:rsid w:val="00306893"/>
    <w:rsid w:val="00306D98"/>
    <w:rsid w:val="0030772F"/>
    <w:rsid w:val="0030786C"/>
    <w:rsid w:val="003078E3"/>
    <w:rsid w:val="0031031A"/>
    <w:rsid w:val="00310981"/>
    <w:rsid w:val="00310F56"/>
    <w:rsid w:val="00311B24"/>
    <w:rsid w:val="003124D9"/>
    <w:rsid w:val="00312594"/>
    <w:rsid w:val="00312C8A"/>
    <w:rsid w:val="00314971"/>
    <w:rsid w:val="00315498"/>
    <w:rsid w:val="00316474"/>
    <w:rsid w:val="00316994"/>
    <w:rsid w:val="00317644"/>
    <w:rsid w:val="00317E7D"/>
    <w:rsid w:val="003209D4"/>
    <w:rsid w:val="00322107"/>
    <w:rsid w:val="00322355"/>
    <w:rsid w:val="00322846"/>
    <w:rsid w:val="00322A58"/>
    <w:rsid w:val="00322C1E"/>
    <w:rsid w:val="003234B2"/>
    <w:rsid w:val="003235FF"/>
    <w:rsid w:val="00323E3F"/>
    <w:rsid w:val="00324101"/>
    <w:rsid w:val="0032417B"/>
    <w:rsid w:val="00324B19"/>
    <w:rsid w:val="00326DA7"/>
    <w:rsid w:val="003270E4"/>
    <w:rsid w:val="0032776B"/>
    <w:rsid w:val="00330DAA"/>
    <w:rsid w:val="00330F5C"/>
    <w:rsid w:val="00333471"/>
    <w:rsid w:val="003335F0"/>
    <w:rsid w:val="00333FF9"/>
    <w:rsid w:val="003366C9"/>
    <w:rsid w:val="003371B0"/>
    <w:rsid w:val="00340DF1"/>
    <w:rsid w:val="00341A70"/>
    <w:rsid w:val="003440A5"/>
    <w:rsid w:val="003458D5"/>
    <w:rsid w:val="003517F9"/>
    <w:rsid w:val="00351BA9"/>
    <w:rsid w:val="00352C0A"/>
    <w:rsid w:val="00353D35"/>
    <w:rsid w:val="00354F64"/>
    <w:rsid w:val="00355D41"/>
    <w:rsid w:val="0035620E"/>
    <w:rsid w:val="0035662D"/>
    <w:rsid w:val="00356B6A"/>
    <w:rsid w:val="00360345"/>
    <w:rsid w:val="00361A05"/>
    <w:rsid w:val="00362264"/>
    <w:rsid w:val="003624C4"/>
    <w:rsid w:val="00363447"/>
    <w:rsid w:val="00363B00"/>
    <w:rsid w:val="00364670"/>
    <w:rsid w:val="00364FB7"/>
    <w:rsid w:val="003654AC"/>
    <w:rsid w:val="00365527"/>
    <w:rsid w:val="00365C0A"/>
    <w:rsid w:val="00366A5D"/>
    <w:rsid w:val="00367D49"/>
    <w:rsid w:val="003705EC"/>
    <w:rsid w:val="00370B09"/>
    <w:rsid w:val="003710CF"/>
    <w:rsid w:val="0037358A"/>
    <w:rsid w:val="003746EC"/>
    <w:rsid w:val="00374D33"/>
    <w:rsid w:val="003750F6"/>
    <w:rsid w:val="003756DE"/>
    <w:rsid w:val="003760FC"/>
    <w:rsid w:val="0038213E"/>
    <w:rsid w:val="0038289A"/>
    <w:rsid w:val="0038365C"/>
    <w:rsid w:val="0038369B"/>
    <w:rsid w:val="00383B78"/>
    <w:rsid w:val="00385A9D"/>
    <w:rsid w:val="0038744C"/>
    <w:rsid w:val="003902B1"/>
    <w:rsid w:val="0039157E"/>
    <w:rsid w:val="0039179C"/>
    <w:rsid w:val="00391EC7"/>
    <w:rsid w:val="00393C17"/>
    <w:rsid w:val="00394EFE"/>
    <w:rsid w:val="00395EF5"/>
    <w:rsid w:val="00396896"/>
    <w:rsid w:val="00396FD0"/>
    <w:rsid w:val="003A1A7A"/>
    <w:rsid w:val="003A2392"/>
    <w:rsid w:val="003A2831"/>
    <w:rsid w:val="003A3CB6"/>
    <w:rsid w:val="003A3ED1"/>
    <w:rsid w:val="003A44DB"/>
    <w:rsid w:val="003A5E0B"/>
    <w:rsid w:val="003A6E86"/>
    <w:rsid w:val="003A6F7F"/>
    <w:rsid w:val="003A7180"/>
    <w:rsid w:val="003A7E5E"/>
    <w:rsid w:val="003B1BC3"/>
    <w:rsid w:val="003B3971"/>
    <w:rsid w:val="003B3E66"/>
    <w:rsid w:val="003B4C9E"/>
    <w:rsid w:val="003B55D1"/>
    <w:rsid w:val="003B5786"/>
    <w:rsid w:val="003B5B61"/>
    <w:rsid w:val="003B5B9E"/>
    <w:rsid w:val="003B69E6"/>
    <w:rsid w:val="003C085D"/>
    <w:rsid w:val="003C1654"/>
    <w:rsid w:val="003C4290"/>
    <w:rsid w:val="003C49CB"/>
    <w:rsid w:val="003C5542"/>
    <w:rsid w:val="003C75CE"/>
    <w:rsid w:val="003C7D19"/>
    <w:rsid w:val="003C7D2F"/>
    <w:rsid w:val="003D1828"/>
    <w:rsid w:val="003D1DE4"/>
    <w:rsid w:val="003D1E9A"/>
    <w:rsid w:val="003D2110"/>
    <w:rsid w:val="003D2422"/>
    <w:rsid w:val="003D39A1"/>
    <w:rsid w:val="003D3FBF"/>
    <w:rsid w:val="003D49D6"/>
    <w:rsid w:val="003D4A30"/>
    <w:rsid w:val="003D7452"/>
    <w:rsid w:val="003D775B"/>
    <w:rsid w:val="003D79BB"/>
    <w:rsid w:val="003D7B84"/>
    <w:rsid w:val="003D7C98"/>
    <w:rsid w:val="003D7D9D"/>
    <w:rsid w:val="003E0417"/>
    <w:rsid w:val="003E0543"/>
    <w:rsid w:val="003E098A"/>
    <w:rsid w:val="003E1F05"/>
    <w:rsid w:val="003E20D4"/>
    <w:rsid w:val="003E5418"/>
    <w:rsid w:val="003E6C79"/>
    <w:rsid w:val="003E749E"/>
    <w:rsid w:val="003E7B9F"/>
    <w:rsid w:val="003F01E8"/>
    <w:rsid w:val="003F2605"/>
    <w:rsid w:val="003F4156"/>
    <w:rsid w:val="003F462D"/>
    <w:rsid w:val="003F5560"/>
    <w:rsid w:val="003F5ADF"/>
    <w:rsid w:val="003F6149"/>
    <w:rsid w:val="003F6260"/>
    <w:rsid w:val="004000F3"/>
    <w:rsid w:val="0040050E"/>
    <w:rsid w:val="00400B29"/>
    <w:rsid w:val="00402D0F"/>
    <w:rsid w:val="0040504B"/>
    <w:rsid w:val="004059F4"/>
    <w:rsid w:val="00405DF3"/>
    <w:rsid w:val="00407FE5"/>
    <w:rsid w:val="004101B0"/>
    <w:rsid w:val="00410326"/>
    <w:rsid w:val="00410708"/>
    <w:rsid w:val="00410C71"/>
    <w:rsid w:val="00410EC7"/>
    <w:rsid w:val="00411B39"/>
    <w:rsid w:val="00412328"/>
    <w:rsid w:val="004127A7"/>
    <w:rsid w:val="00413A1E"/>
    <w:rsid w:val="00413CA9"/>
    <w:rsid w:val="004143A6"/>
    <w:rsid w:val="0041445E"/>
    <w:rsid w:val="00414476"/>
    <w:rsid w:val="00414667"/>
    <w:rsid w:val="00414C2E"/>
    <w:rsid w:val="004151CF"/>
    <w:rsid w:val="004153B9"/>
    <w:rsid w:val="00416364"/>
    <w:rsid w:val="004178CE"/>
    <w:rsid w:val="0042047F"/>
    <w:rsid w:val="00420AA6"/>
    <w:rsid w:val="00420B9F"/>
    <w:rsid w:val="00421436"/>
    <w:rsid w:val="00421496"/>
    <w:rsid w:val="0042192C"/>
    <w:rsid w:val="00422260"/>
    <w:rsid w:val="00422930"/>
    <w:rsid w:val="00422B55"/>
    <w:rsid w:val="004232F1"/>
    <w:rsid w:val="00423DD9"/>
    <w:rsid w:val="0042413F"/>
    <w:rsid w:val="00427CF3"/>
    <w:rsid w:val="004310EA"/>
    <w:rsid w:val="00431562"/>
    <w:rsid w:val="004319F8"/>
    <w:rsid w:val="00431E55"/>
    <w:rsid w:val="004321F6"/>
    <w:rsid w:val="004327F4"/>
    <w:rsid w:val="00433044"/>
    <w:rsid w:val="00433349"/>
    <w:rsid w:val="00434088"/>
    <w:rsid w:val="0043536B"/>
    <w:rsid w:val="00436606"/>
    <w:rsid w:val="00436B89"/>
    <w:rsid w:val="004375B9"/>
    <w:rsid w:val="004417B4"/>
    <w:rsid w:val="004428D0"/>
    <w:rsid w:val="00444185"/>
    <w:rsid w:val="004443A7"/>
    <w:rsid w:val="0044442C"/>
    <w:rsid w:val="00444E76"/>
    <w:rsid w:val="00445941"/>
    <w:rsid w:val="00445A1D"/>
    <w:rsid w:val="004464EB"/>
    <w:rsid w:val="00447D26"/>
    <w:rsid w:val="00447DFC"/>
    <w:rsid w:val="00447E10"/>
    <w:rsid w:val="00451E40"/>
    <w:rsid w:val="00452BFC"/>
    <w:rsid w:val="00452E34"/>
    <w:rsid w:val="00453C8F"/>
    <w:rsid w:val="0045419F"/>
    <w:rsid w:val="00454BB8"/>
    <w:rsid w:val="00455D45"/>
    <w:rsid w:val="00461801"/>
    <w:rsid w:val="004631DD"/>
    <w:rsid w:val="00464595"/>
    <w:rsid w:val="00465145"/>
    <w:rsid w:val="004658B5"/>
    <w:rsid w:val="00465E55"/>
    <w:rsid w:val="0046741B"/>
    <w:rsid w:val="00467FC0"/>
    <w:rsid w:val="00470AE8"/>
    <w:rsid w:val="004710D9"/>
    <w:rsid w:val="00471EA5"/>
    <w:rsid w:val="004725D9"/>
    <w:rsid w:val="00472A79"/>
    <w:rsid w:val="00473A0D"/>
    <w:rsid w:val="00473F19"/>
    <w:rsid w:val="00474D83"/>
    <w:rsid w:val="00475E22"/>
    <w:rsid w:val="00477071"/>
    <w:rsid w:val="0048088E"/>
    <w:rsid w:val="00480F2B"/>
    <w:rsid w:val="00482720"/>
    <w:rsid w:val="004835E7"/>
    <w:rsid w:val="00483B38"/>
    <w:rsid w:val="004842AE"/>
    <w:rsid w:val="004851EA"/>
    <w:rsid w:val="004852B1"/>
    <w:rsid w:val="004867E2"/>
    <w:rsid w:val="00490B17"/>
    <w:rsid w:val="00491044"/>
    <w:rsid w:val="00491B3A"/>
    <w:rsid w:val="004928F2"/>
    <w:rsid w:val="00492C7B"/>
    <w:rsid w:val="00492CFD"/>
    <w:rsid w:val="0049339F"/>
    <w:rsid w:val="00494207"/>
    <w:rsid w:val="00494D72"/>
    <w:rsid w:val="00494DD5"/>
    <w:rsid w:val="0049554A"/>
    <w:rsid w:val="004962D2"/>
    <w:rsid w:val="004979F7"/>
    <w:rsid w:val="004A0229"/>
    <w:rsid w:val="004A0DA1"/>
    <w:rsid w:val="004A13D6"/>
    <w:rsid w:val="004A25DB"/>
    <w:rsid w:val="004A2CFC"/>
    <w:rsid w:val="004A52E9"/>
    <w:rsid w:val="004A54FB"/>
    <w:rsid w:val="004A6040"/>
    <w:rsid w:val="004A6597"/>
    <w:rsid w:val="004A6AE1"/>
    <w:rsid w:val="004A6EAD"/>
    <w:rsid w:val="004A7457"/>
    <w:rsid w:val="004A7848"/>
    <w:rsid w:val="004B0ECE"/>
    <w:rsid w:val="004B0F84"/>
    <w:rsid w:val="004B19FD"/>
    <w:rsid w:val="004B1CB4"/>
    <w:rsid w:val="004B2F18"/>
    <w:rsid w:val="004B3DDB"/>
    <w:rsid w:val="004B44FD"/>
    <w:rsid w:val="004B56DE"/>
    <w:rsid w:val="004B57E3"/>
    <w:rsid w:val="004B5CFC"/>
    <w:rsid w:val="004B6BED"/>
    <w:rsid w:val="004B6F79"/>
    <w:rsid w:val="004B774D"/>
    <w:rsid w:val="004B7BE4"/>
    <w:rsid w:val="004B7EE0"/>
    <w:rsid w:val="004C188B"/>
    <w:rsid w:val="004C248B"/>
    <w:rsid w:val="004C2588"/>
    <w:rsid w:val="004C442F"/>
    <w:rsid w:val="004C4AED"/>
    <w:rsid w:val="004C62CE"/>
    <w:rsid w:val="004C6ED5"/>
    <w:rsid w:val="004C70D9"/>
    <w:rsid w:val="004D0DDD"/>
    <w:rsid w:val="004D1BB9"/>
    <w:rsid w:val="004D292C"/>
    <w:rsid w:val="004D2C2D"/>
    <w:rsid w:val="004D4488"/>
    <w:rsid w:val="004D69B5"/>
    <w:rsid w:val="004D7227"/>
    <w:rsid w:val="004D77AA"/>
    <w:rsid w:val="004D7E8A"/>
    <w:rsid w:val="004E00FD"/>
    <w:rsid w:val="004E0E7F"/>
    <w:rsid w:val="004E0EB8"/>
    <w:rsid w:val="004E13DE"/>
    <w:rsid w:val="004E1546"/>
    <w:rsid w:val="004E18E9"/>
    <w:rsid w:val="004E1A05"/>
    <w:rsid w:val="004E2ADC"/>
    <w:rsid w:val="004E43B2"/>
    <w:rsid w:val="004E6B97"/>
    <w:rsid w:val="004E7947"/>
    <w:rsid w:val="004F1D02"/>
    <w:rsid w:val="004F2679"/>
    <w:rsid w:val="004F270B"/>
    <w:rsid w:val="004F2F21"/>
    <w:rsid w:val="004F3DE5"/>
    <w:rsid w:val="004F6913"/>
    <w:rsid w:val="004F7865"/>
    <w:rsid w:val="004F799A"/>
    <w:rsid w:val="004F7D84"/>
    <w:rsid w:val="00500DB2"/>
    <w:rsid w:val="0050174E"/>
    <w:rsid w:val="00501854"/>
    <w:rsid w:val="0050219B"/>
    <w:rsid w:val="0050282B"/>
    <w:rsid w:val="00503F17"/>
    <w:rsid w:val="00506928"/>
    <w:rsid w:val="00507651"/>
    <w:rsid w:val="005077EF"/>
    <w:rsid w:val="00511AD5"/>
    <w:rsid w:val="00511DC7"/>
    <w:rsid w:val="005128A3"/>
    <w:rsid w:val="005129C3"/>
    <w:rsid w:val="00513449"/>
    <w:rsid w:val="005142C5"/>
    <w:rsid w:val="005143F9"/>
    <w:rsid w:val="0051501B"/>
    <w:rsid w:val="005152B5"/>
    <w:rsid w:val="005152E4"/>
    <w:rsid w:val="0052078D"/>
    <w:rsid w:val="00520F9E"/>
    <w:rsid w:val="0052123C"/>
    <w:rsid w:val="00521319"/>
    <w:rsid w:val="00521364"/>
    <w:rsid w:val="005216EE"/>
    <w:rsid w:val="005227A8"/>
    <w:rsid w:val="00522B71"/>
    <w:rsid w:val="00522BC8"/>
    <w:rsid w:val="005234F8"/>
    <w:rsid w:val="00523C28"/>
    <w:rsid w:val="005246B1"/>
    <w:rsid w:val="00527423"/>
    <w:rsid w:val="00527B43"/>
    <w:rsid w:val="005301F3"/>
    <w:rsid w:val="00531165"/>
    <w:rsid w:val="0053176B"/>
    <w:rsid w:val="005319F9"/>
    <w:rsid w:val="00531FEB"/>
    <w:rsid w:val="00533535"/>
    <w:rsid w:val="005341B3"/>
    <w:rsid w:val="00534E75"/>
    <w:rsid w:val="0053533E"/>
    <w:rsid w:val="00536F42"/>
    <w:rsid w:val="00537182"/>
    <w:rsid w:val="0053735C"/>
    <w:rsid w:val="00541ECE"/>
    <w:rsid w:val="00541EDD"/>
    <w:rsid w:val="00542743"/>
    <w:rsid w:val="00542C2D"/>
    <w:rsid w:val="005439CE"/>
    <w:rsid w:val="00545820"/>
    <w:rsid w:val="0054633E"/>
    <w:rsid w:val="005478BD"/>
    <w:rsid w:val="005479E3"/>
    <w:rsid w:val="00551985"/>
    <w:rsid w:val="00552BD3"/>
    <w:rsid w:val="005532A0"/>
    <w:rsid w:val="00555109"/>
    <w:rsid w:val="00555B91"/>
    <w:rsid w:val="00555CEB"/>
    <w:rsid w:val="00556B35"/>
    <w:rsid w:val="0055735E"/>
    <w:rsid w:val="0055741A"/>
    <w:rsid w:val="00557589"/>
    <w:rsid w:val="005611B7"/>
    <w:rsid w:val="005618D4"/>
    <w:rsid w:val="0056390C"/>
    <w:rsid w:val="005641B2"/>
    <w:rsid w:val="005646B8"/>
    <w:rsid w:val="00564780"/>
    <w:rsid w:val="00565538"/>
    <w:rsid w:val="00565DF0"/>
    <w:rsid w:val="0056696F"/>
    <w:rsid w:val="00566A0D"/>
    <w:rsid w:val="00566AD6"/>
    <w:rsid w:val="0056761C"/>
    <w:rsid w:val="005678F8"/>
    <w:rsid w:val="00572269"/>
    <w:rsid w:val="0057244A"/>
    <w:rsid w:val="00572F26"/>
    <w:rsid w:val="00572F3D"/>
    <w:rsid w:val="00573119"/>
    <w:rsid w:val="005750C5"/>
    <w:rsid w:val="005752DE"/>
    <w:rsid w:val="00575311"/>
    <w:rsid w:val="00575D8D"/>
    <w:rsid w:val="00576972"/>
    <w:rsid w:val="00576BF7"/>
    <w:rsid w:val="00577839"/>
    <w:rsid w:val="0058311B"/>
    <w:rsid w:val="00583699"/>
    <w:rsid w:val="0058375B"/>
    <w:rsid w:val="00585CDD"/>
    <w:rsid w:val="005868A4"/>
    <w:rsid w:val="00587058"/>
    <w:rsid w:val="005876B6"/>
    <w:rsid w:val="00590BC6"/>
    <w:rsid w:val="00591957"/>
    <w:rsid w:val="00592F09"/>
    <w:rsid w:val="00595A26"/>
    <w:rsid w:val="005960D3"/>
    <w:rsid w:val="00596167"/>
    <w:rsid w:val="00596DB4"/>
    <w:rsid w:val="00597A57"/>
    <w:rsid w:val="00597BF9"/>
    <w:rsid w:val="00597C0E"/>
    <w:rsid w:val="005A10DE"/>
    <w:rsid w:val="005A2041"/>
    <w:rsid w:val="005A20F6"/>
    <w:rsid w:val="005A27CF"/>
    <w:rsid w:val="005A309A"/>
    <w:rsid w:val="005A3659"/>
    <w:rsid w:val="005A373D"/>
    <w:rsid w:val="005A411C"/>
    <w:rsid w:val="005A55DB"/>
    <w:rsid w:val="005A5A8B"/>
    <w:rsid w:val="005B0B58"/>
    <w:rsid w:val="005B10B2"/>
    <w:rsid w:val="005B221A"/>
    <w:rsid w:val="005B3576"/>
    <w:rsid w:val="005B4377"/>
    <w:rsid w:val="005B4A4B"/>
    <w:rsid w:val="005B4E53"/>
    <w:rsid w:val="005B539E"/>
    <w:rsid w:val="005B5857"/>
    <w:rsid w:val="005B5D2D"/>
    <w:rsid w:val="005B5FBB"/>
    <w:rsid w:val="005B7306"/>
    <w:rsid w:val="005C0257"/>
    <w:rsid w:val="005C164D"/>
    <w:rsid w:val="005C1743"/>
    <w:rsid w:val="005C1B83"/>
    <w:rsid w:val="005C2581"/>
    <w:rsid w:val="005C25FF"/>
    <w:rsid w:val="005C2D55"/>
    <w:rsid w:val="005C346B"/>
    <w:rsid w:val="005C4B3E"/>
    <w:rsid w:val="005C4D7E"/>
    <w:rsid w:val="005C5E6B"/>
    <w:rsid w:val="005C6FDE"/>
    <w:rsid w:val="005C723A"/>
    <w:rsid w:val="005C76C2"/>
    <w:rsid w:val="005C7AB0"/>
    <w:rsid w:val="005D044D"/>
    <w:rsid w:val="005D0ABD"/>
    <w:rsid w:val="005D114A"/>
    <w:rsid w:val="005D18AD"/>
    <w:rsid w:val="005D26B4"/>
    <w:rsid w:val="005D2933"/>
    <w:rsid w:val="005D46CB"/>
    <w:rsid w:val="005D7054"/>
    <w:rsid w:val="005E0B20"/>
    <w:rsid w:val="005E0CEF"/>
    <w:rsid w:val="005E2E4D"/>
    <w:rsid w:val="005E3C9B"/>
    <w:rsid w:val="005E4089"/>
    <w:rsid w:val="005E42DB"/>
    <w:rsid w:val="005E5744"/>
    <w:rsid w:val="005E5A85"/>
    <w:rsid w:val="005E6943"/>
    <w:rsid w:val="005E6CBC"/>
    <w:rsid w:val="005E6D56"/>
    <w:rsid w:val="005E7100"/>
    <w:rsid w:val="005E72FF"/>
    <w:rsid w:val="005E73C0"/>
    <w:rsid w:val="005E75C2"/>
    <w:rsid w:val="005E7C76"/>
    <w:rsid w:val="005F0C26"/>
    <w:rsid w:val="005F0C45"/>
    <w:rsid w:val="005F1A09"/>
    <w:rsid w:val="005F2706"/>
    <w:rsid w:val="005F4D08"/>
    <w:rsid w:val="005F4D32"/>
    <w:rsid w:val="005F6637"/>
    <w:rsid w:val="005F6A8F"/>
    <w:rsid w:val="005F6BB7"/>
    <w:rsid w:val="005F7588"/>
    <w:rsid w:val="00600CA8"/>
    <w:rsid w:val="00603DB9"/>
    <w:rsid w:val="0060408A"/>
    <w:rsid w:val="00606FBA"/>
    <w:rsid w:val="00607669"/>
    <w:rsid w:val="006076F4"/>
    <w:rsid w:val="00607AFD"/>
    <w:rsid w:val="00610A27"/>
    <w:rsid w:val="00611173"/>
    <w:rsid w:val="00612F97"/>
    <w:rsid w:val="0061345D"/>
    <w:rsid w:val="0061412C"/>
    <w:rsid w:val="0061549B"/>
    <w:rsid w:val="00615D0D"/>
    <w:rsid w:val="00616802"/>
    <w:rsid w:val="00617896"/>
    <w:rsid w:val="00617E12"/>
    <w:rsid w:val="00620C25"/>
    <w:rsid w:val="006210F3"/>
    <w:rsid w:val="00621477"/>
    <w:rsid w:val="00621ADA"/>
    <w:rsid w:val="0062331D"/>
    <w:rsid w:val="006234AF"/>
    <w:rsid w:val="00623D4E"/>
    <w:rsid w:val="00623F7B"/>
    <w:rsid w:val="006244C1"/>
    <w:rsid w:val="00626E27"/>
    <w:rsid w:val="006303B8"/>
    <w:rsid w:val="0063158F"/>
    <w:rsid w:val="00631D6B"/>
    <w:rsid w:val="00632183"/>
    <w:rsid w:val="006328A9"/>
    <w:rsid w:val="006330A1"/>
    <w:rsid w:val="00633F89"/>
    <w:rsid w:val="006342B6"/>
    <w:rsid w:val="006342FB"/>
    <w:rsid w:val="0063479F"/>
    <w:rsid w:val="006349D9"/>
    <w:rsid w:val="00634E2E"/>
    <w:rsid w:val="006353F0"/>
    <w:rsid w:val="006357B5"/>
    <w:rsid w:val="006364A1"/>
    <w:rsid w:val="00636773"/>
    <w:rsid w:val="0063678E"/>
    <w:rsid w:val="00637BFD"/>
    <w:rsid w:val="00637F3C"/>
    <w:rsid w:val="006413DB"/>
    <w:rsid w:val="00641C4E"/>
    <w:rsid w:val="00641FB3"/>
    <w:rsid w:val="0064434C"/>
    <w:rsid w:val="00644ADA"/>
    <w:rsid w:val="006471CC"/>
    <w:rsid w:val="00647A29"/>
    <w:rsid w:val="0065079F"/>
    <w:rsid w:val="00652A28"/>
    <w:rsid w:val="0065379F"/>
    <w:rsid w:val="00653DE8"/>
    <w:rsid w:val="00656188"/>
    <w:rsid w:val="00656C45"/>
    <w:rsid w:val="0065715A"/>
    <w:rsid w:val="006610F1"/>
    <w:rsid w:val="00661C6B"/>
    <w:rsid w:val="00662ACE"/>
    <w:rsid w:val="0066468B"/>
    <w:rsid w:val="00664EBB"/>
    <w:rsid w:val="006662D9"/>
    <w:rsid w:val="00670366"/>
    <w:rsid w:val="00671004"/>
    <w:rsid w:val="00671197"/>
    <w:rsid w:val="00672646"/>
    <w:rsid w:val="00672C23"/>
    <w:rsid w:val="006736F0"/>
    <w:rsid w:val="006739E9"/>
    <w:rsid w:val="0067474A"/>
    <w:rsid w:val="00674C38"/>
    <w:rsid w:val="00674DCA"/>
    <w:rsid w:val="00674E42"/>
    <w:rsid w:val="006757CA"/>
    <w:rsid w:val="006763B9"/>
    <w:rsid w:val="0068106A"/>
    <w:rsid w:val="006813F8"/>
    <w:rsid w:val="00681B4B"/>
    <w:rsid w:val="00682112"/>
    <w:rsid w:val="00682BA6"/>
    <w:rsid w:val="00684E10"/>
    <w:rsid w:val="00684EC3"/>
    <w:rsid w:val="006856BA"/>
    <w:rsid w:val="00685982"/>
    <w:rsid w:val="00686957"/>
    <w:rsid w:val="00686DB1"/>
    <w:rsid w:val="006872BA"/>
    <w:rsid w:val="006902C8"/>
    <w:rsid w:val="006906AF"/>
    <w:rsid w:val="00690795"/>
    <w:rsid w:val="00690902"/>
    <w:rsid w:val="00691173"/>
    <w:rsid w:val="00691648"/>
    <w:rsid w:val="006917D7"/>
    <w:rsid w:val="00692D2E"/>
    <w:rsid w:val="00694197"/>
    <w:rsid w:val="0069434C"/>
    <w:rsid w:val="00694F44"/>
    <w:rsid w:val="00694FEB"/>
    <w:rsid w:val="00695A7F"/>
    <w:rsid w:val="00696F51"/>
    <w:rsid w:val="006974C8"/>
    <w:rsid w:val="006979A5"/>
    <w:rsid w:val="006A03E0"/>
    <w:rsid w:val="006A1DB7"/>
    <w:rsid w:val="006A4ED5"/>
    <w:rsid w:val="006A6B99"/>
    <w:rsid w:val="006A7E5F"/>
    <w:rsid w:val="006B02FF"/>
    <w:rsid w:val="006B261B"/>
    <w:rsid w:val="006B2C90"/>
    <w:rsid w:val="006B35E6"/>
    <w:rsid w:val="006B465A"/>
    <w:rsid w:val="006B4D1E"/>
    <w:rsid w:val="006B6DD0"/>
    <w:rsid w:val="006C0399"/>
    <w:rsid w:val="006C2A8E"/>
    <w:rsid w:val="006C2E1F"/>
    <w:rsid w:val="006C2FA2"/>
    <w:rsid w:val="006C31CE"/>
    <w:rsid w:val="006C3255"/>
    <w:rsid w:val="006C3F26"/>
    <w:rsid w:val="006C6317"/>
    <w:rsid w:val="006C7245"/>
    <w:rsid w:val="006D04A4"/>
    <w:rsid w:val="006D08C4"/>
    <w:rsid w:val="006D0CBC"/>
    <w:rsid w:val="006D0D17"/>
    <w:rsid w:val="006D3345"/>
    <w:rsid w:val="006D3C7D"/>
    <w:rsid w:val="006D4659"/>
    <w:rsid w:val="006D5B6E"/>
    <w:rsid w:val="006D5D5F"/>
    <w:rsid w:val="006D68EB"/>
    <w:rsid w:val="006D68FB"/>
    <w:rsid w:val="006D70C4"/>
    <w:rsid w:val="006E0BC3"/>
    <w:rsid w:val="006E1794"/>
    <w:rsid w:val="006E2868"/>
    <w:rsid w:val="006E2EC1"/>
    <w:rsid w:val="006E3476"/>
    <w:rsid w:val="006E42F0"/>
    <w:rsid w:val="006E58BD"/>
    <w:rsid w:val="006F0EB2"/>
    <w:rsid w:val="006F2E2F"/>
    <w:rsid w:val="006F306C"/>
    <w:rsid w:val="006F4B2C"/>
    <w:rsid w:val="006F521E"/>
    <w:rsid w:val="006F63A5"/>
    <w:rsid w:val="006F72A3"/>
    <w:rsid w:val="006F7498"/>
    <w:rsid w:val="007000F9"/>
    <w:rsid w:val="0070018E"/>
    <w:rsid w:val="00700F58"/>
    <w:rsid w:val="0070142B"/>
    <w:rsid w:val="00701A57"/>
    <w:rsid w:val="0070276E"/>
    <w:rsid w:val="00702F8F"/>
    <w:rsid w:val="00703E51"/>
    <w:rsid w:val="00705A14"/>
    <w:rsid w:val="007079FC"/>
    <w:rsid w:val="00707EE8"/>
    <w:rsid w:val="0071103D"/>
    <w:rsid w:val="00711956"/>
    <w:rsid w:val="00711A36"/>
    <w:rsid w:val="007133AC"/>
    <w:rsid w:val="0071369D"/>
    <w:rsid w:val="00714166"/>
    <w:rsid w:val="00714C26"/>
    <w:rsid w:val="0071529C"/>
    <w:rsid w:val="00715A86"/>
    <w:rsid w:val="007170DA"/>
    <w:rsid w:val="007172AD"/>
    <w:rsid w:val="00720801"/>
    <w:rsid w:val="00720D78"/>
    <w:rsid w:val="00720F2C"/>
    <w:rsid w:val="00722B1B"/>
    <w:rsid w:val="00722E89"/>
    <w:rsid w:val="00723C84"/>
    <w:rsid w:val="0072416F"/>
    <w:rsid w:val="00724543"/>
    <w:rsid w:val="00724A7F"/>
    <w:rsid w:val="00727058"/>
    <w:rsid w:val="007271C5"/>
    <w:rsid w:val="00727C94"/>
    <w:rsid w:val="00730D0E"/>
    <w:rsid w:val="00730D92"/>
    <w:rsid w:val="00731B0A"/>
    <w:rsid w:val="00731EAE"/>
    <w:rsid w:val="00733073"/>
    <w:rsid w:val="00733A7E"/>
    <w:rsid w:val="0073434B"/>
    <w:rsid w:val="00734390"/>
    <w:rsid w:val="00734F36"/>
    <w:rsid w:val="00735033"/>
    <w:rsid w:val="00735328"/>
    <w:rsid w:val="00735CE7"/>
    <w:rsid w:val="0073685B"/>
    <w:rsid w:val="007377BA"/>
    <w:rsid w:val="00740B5D"/>
    <w:rsid w:val="00740E02"/>
    <w:rsid w:val="00743BFD"/>
    <w:rsid w:val="007449BF"/>
    <w:rsid w:val="0074686A"/>
    <w:rsid w:val="00746BC0"/>
    <w:rsid w:val="00747F4F"/>
    <w:rsid w:val="00750E94"/>
    <w:rsid w:val="007510B4"/>
    <w:rsid w:val="00752142"/>
    <w:rsid w:val="007522AF"/>
    <w:rsid w:val="007523F9"/>
    <w:rsid w:val="007532C3"/>
    <w:rsid w:val="0075357E"/>
    <w:rsid w:val="00755242"/>
    <w:rsid w:val="00755C28"/>
    <w:rsid w:val="00756031"/>
    <w:rsid w:val="007573E8"/>
    <w:rsid w:val="00757B0D"/>
    <w:rsid w:val="00760B0E"/>
    <w:rsid w:val="00760B73"/>
    <w:rsid w:val="00760C4E"/>
    <w:rsid w:val="00760F9E"/>
    <w:rsid w:val="00761258"/>
    <w:rsid w:val="0076169E"/>
    <w:rsid w:val="00762785"/>
    <w:rsid w:val="007627BE"/>
    <w:rsid w:val="00762917"/>
    <w:rsid w:val="0076342C"/>
    <w:rsid w:val="00763530"/>
    <w:rsid w:val="00763799"/>
    <w:rsid w:val="00764F03"/>
    <w:rsid w:val="00765B1A"/>
    <w:rsid w:val="00767BD1"/>
    <w:rsid w:val="00767E9A"/>
    <w:rsid w:val="00770BB6"/>
    <w:rsid w:val="00771244"/>
    <w:rsid w:val="00771CC9"/>
    <w:rsid w:val="00772219"/>
    <w:rsid w:val="0077375C"/>
    <w:rsid w:val="00773FAA"/>
    <w:rsid w:val="00776E97"/>
    <w:rsid w:val="007771EF"/>
    <w:rsid w:val="00777335"/>
    <w:rsid w:val="00780F05"/>
    <w:rsid w:val="00782891"/>
    <w:rsid w:val="007843F2"/>
    <w:rsid w:val="0078504B"/>
    <w:rsid w:val="007855BF"/>
    <w:rsid w:val="00785A9F"/>
    <w:rsid w:val="0078760B"/>
    <w:rsid w:val="007904B1"/>
    <w:rsid w:val="007912CE"/>
    <w:rsid w:val="007921C2"/>
    <w:rsid w:val="00792325"/>
    <w:rsid w:val="00792344"/>
    <w:rsid w:val="007925DF"/>
    <w:rsid w:val="007956B2"/>
    <w:rsid w:val="00796DB4"/>
    <w:rsid w:val="00796E23"/>
    <w:rsid w:val="007A05F1"/>
    <w:rsid w:val="007A08AA"/>
    <w:rsid w:val="007A0A12"/>
    <w:rsid w:val="007A132D"/>
    <w:rsid w:val="007A1345"/>
    <w:rsid w:val="007A20FF"/>
    <w:rsid w:val="007A2DDB"/>
    <w:rsid w:val="007A4A5F"/>
    <w:rsid w:val="007A5498"/>
    <w:rsid w:val="007A70BA"/>
    <w:rsid w:val="007B0D68"/>
    <w:rsid w:val="007B251D"/>
    <w:rsid w:val="007B4B02"/>
    <w:rsid w:val="007B4F58"/>
    <w:rsid w:val="007B528D"/>
    <w:rsid w:val="007B55F1"/>
    <w:rsid w:val="007B63CA"/>
    <w:rsid w:val="007B670C"/>
    <w:rsid w:val="007B6727"/>
    <w:rsid w:val="007B6A52"/>
    <w:rsid w:val="007B76BF"/>
    <w:rsid w:val="007B77D1"/>
    <w:rsid w:val="007C07C7"/>
    <w:rsid w:val="007C1C3A"/>
    <w:rsid w:val="007C1CD9"/>
    <w:rsid w:val="007C3034"/>
    <w:rsid w:val="007C32EF"/>
    <w:rsid w:val="007C361D"/>
    <w:rsid w:val="007C3D11"/>
    <w:rsid w:val="007C3E0B"/>
    <w:rsid w:val="007C4B84"/>
    <w:rsid w:val="007C4C62"/>
    <w:rsid w:val="007C5145"/>
    <w:rsid w:val="007C66EF"/>
    <w:rsid w:val="007C70FF"/>
    <w:rsid w:val="007C783B"/>
    <w:rsid w:val="007C7C25"/>
    <w:rsid w:val="007D001D"/>
    <w:rsid w:val="007D004F"/>
    <w:rsid w:val="007D0B38"/>
    <w:rsid w:val="007D1892"/>
    <w:rsid w:val="007D2C45"/>
    <w:rsid w:val="007D4957"/>
    <w:rsid w:val="007D5440"/>
    <w:rsid w:val="007D59EF"/>
    <w:rsid w:val="007D69EB"/>
    <w:rsid w:val="007D6FD0"/>
    <w:rsid w:val="007D72DA"/>
    <w:rsid w:val="007D7667"/>
    <w:rsid w:val="007D774F"/>
    <w:rsid w:val="007E0192"/>
    <w:rsid w:val="007E0297"/>
    <w:rsid w:val="007E0B27"/>
    <w:rsid w:val="007E120B"/>
    <w:rsid w:val="007E128F"/>
    <w:rsid w:val="007E3DCE"/>
    <w:rsid w:val="007E73D6"/>
    <w:rsid w:val="007F1017"/>
    <w:rsid w:val="007F2906"/>
    <w:rsid w:val="007F4A3F"/>
    <w:rsid w:val="007F4A61"/>
    <w:rsid w:val="007F5119"/>
    <w:rsid w:val="007F5255"/>
    <w:rsid w:val="007F55B6"/>
    <w:rsid w:val="007F56CC"/>
    <w:rsid w:val="007F61C2"/>
    <w:rsid w:val="007F6491"/>
    <w:rsid w:val="007F7091"/>
    <w:rsid w:val="00800945"/>
    <w:rsid w:val="00800DA2"/>
    <w:rsid w:val="00802B91"/>
    <w:rsid w:val="00804A9F"/>
    <w:rsid w:val="00805142"/>
    <w:rsid w:val="008051FB"/>
    <w:rsid w:val="008057CA"/>
    <w:rsid w:val="00805DF4"/>
    <w:rsid w:val="00805FCE"/>
    <w:rsid w:val="00806458"/>
    <w:rsid w:val="00806FFD"/>
    <w:rsid w:val="00807A8B"/>
    <w:rsid w:val="0081011B"/>
    <w:rsid w:val="00810A86"/>
    <w:rsid w:val="00811383"/>
    <w:rsid w:val="0081143F"/>
    <w:rsid w:val="00812149"/>
    <w:rsid w:val="00812CAC"/>
    <w:rsid w:val="00815382"/>
    <w:rsid w:val="00816047"/>
    <w:rsid w:val="00816361"/>
    <w:rsid w:val="008166EF"/>
    <w:rsid w:val="008168DE"/>
    <w:rsid w:val="00816EBB"/>
    <w:rsid w:val="00816FEF"/>
    <w:rsid w:val="008171A4"/>
    <w:rsid w:val="008202C8"/>
    <w:rsid w:val="00820A8C"/>
    <w:rsid w:val="008215FB"/>
    <w:rsid w:val="00821C90"/>
    <w:rsid w:val="00822E0D"/>
    <w:rsid w:val="00823174"/>
    <w:rsid w:val="00823A7C"/>
    <w:rsid w:val="0082416A"/>
    <w:rsid w:val="008250DD"/>
    <w:rsid w:val="00825751"/>
    <w:rsid w:val="008264EB"/>
    <w:rsid w:val="00826AA6"/>
    <w:rsid w:val="00832C30"/>
    <w:rsid w:val="00832C71"/>
    <w:rsid w:val="00832E3E"/>
    <w:rsid w:val="00833B05"/>
    <w:rsid w:val="00835552"/>
    <w:rsid w:val="00835CD8"/>
    <w:rsid w:val="008361EF"/>
    <w:rsid w:val="008362B4"/>
    <w:rsid w:val="00836314"/>
    <w:rsid w:val="0083698E"/>
    <w:rsid w:val="00837A74"/>
    <w:rsid w:val="00840151"/>
    <w:rsid w:val="00840349"/>
    <w:rsid w:val="00840CA2"/>
    <w:rsid w:val="00842C6C"/>
    <w:rsid w:val="00842E9B"/>
    <w:rsid w:val="008435FD"/>
    <w:rsid w:val="0084374F"/>
    <w:rsid w:val="00844A22"/>
    <w:rsid w:val="00845857"/>
    <w:rsid w:val="008465BB"/>
    <w:rsid w:val="00846A65"/>
    <w:rsid w:val="0084707A"/>
    <w:rsid w:val="00847703"/>
    <w:rsid w:val="00847DF5"/>
    <w:rsid w:val="008523AF"/>
    <w:rsid w:val="0085308C"/>
    <w:rsid w:val="0085309D"/>
    <w:rsid w:val="00853B8A"/>
    <w:rsid w:val="00853C3C"/>
    <w:rsid w:val="00855E0D"/>
    <w:rsid w:val="00856780"/>
    <w:rsid w:val="00856897"/>
    <w:rsid w:val="00856AEF"/>
    <w:rsid w:val="00856E9A"/>
    <w:rsid w:val="008577BF"/>
    <w:rsid w:val="0086033A"/>
    <w:rsid w:val="0086075D"/>
    <w:rsid w:val="00860B9A"/>
    <w:rsid w:val="00861721"/>
    <w:rsid w:val="008621F4"/>
    <w:rsid w:val="00862502"/>
    <w:rsid w:val="00862AE8"/>
    <w:rsid w:val="00862CC1"/>
    <w:rsid w:val="00864A43"/>
    <w:rsid w:val="00864C47"/>
    <w:rsid w:val="00865004"/>
    <w:rsid w:val="00865D70"/>
    <w:rsid w:val="008660D4"/>
    <w:rsid w:val="00867549"/>
    <w:rsid w:val="00867FA6"/>
    <w:rsid w:val="008712B7"/>
    <w:rsid w:val="0087143A"/>
    <w:rsid w:val="00871FA9"/>
    <w:rsid w:val="008728E9"/>
    <w:rsid w:val="00873756"/>
    <w:rsid w:val="00875C53"/>
    <w:rsid w:val="008766CF"/>
    <w:rsid w:val="00877891"/>
    <w:rsid w:val="00880FFB"/>
    <w:rsid w:val="0088114B"/>
    <w:rsid w:val="00882874"/>
    <w:rsid w:val="00882E3C"/>
    <w:rsid w:val="00883787"/>
    <w:rsid w:val="008837E3"/>
    <w:rsid w:val="0088462B"/>
    <w:rsid w:val="008855E4"/>
    <w:rsid w:val="00886CD2"/>
    <w:rsid w:val="00886F74"/>
    <w:rsid w:val="0088712F"/>
    <w:rsid w:val="00887745"/>
    <w:rsid w:val="00890260"/>
    <w:rsid w:val="00890AC1"/>
    <w:rsid w:val="00890DC2"/>
    <w:rsid w:val="00891E6F"/>
    <w:rsid w:val="0089275D"/>
    <w:rsid w:val="00892A36"/>
    <w:rsid w:val="00893239"/>
    <w:rsid w:val="00894489"/>
    <w:rsid w:val="008963A5"/>
    <w:rsid w:val="00896D5D"/>
    <w:rsid w:val="00897529"/>
    <w:rsid w:val="008977E4"/>
    <w:rsid w:val="008A0029"/>
    <w:rsid w:val="008A0845"/>
    <w:rsid w:val="008A1403"/>
    <w:rsid w:val="008A1849"/>
    <w:rsid w:val="008A1B0A"/>
    <w:rsid w:val="008A1E12"/>
    <w:rsid w:val="008A3363"/>
    <w:rsid w:val="008A3371"/>
    <w:rsid w:val="008A3C3E"/>
    <w:rsid w:val="008A79DE"/>
    <w:rsid w:val="008A7C02"/>
    <w:rsid w:val="008B15D5"/>
    <w:rsid w:val="008B1757"/>
    <w:rsid w:val="008B1D7A"/>
    <w:rsid w:val="008B279A"/>
    <w:rsid w:val="008B6A0A"/>
    <w:rsid w:val="008B7156"/>
    <w:rsid w:val="008B7992"/>
    <w:rsid w:val="008B7D7E"/>
    <w:rsid w:val="008C0388"/>
    <w:rsid w:val="008C1CC0"/>
    <w:rsid w:val="008C1F18"/>
    <w:rsid w:val="008C2247"/>
    <w:rsid w:val="008C2FD9"/>
    <w:rsid w:val="008C49B4"/>
    <w:rsid w:val="008C4DA2"/>
    <w:rsid w:val="008C51D1"/>
    <w:rsid w:val="008C5610"/>
    <w:rsid w:val="008C5739"/>
    <w:rsid w:val="008C6B24"/>
    <w:rsid w:val="008C7396"/>
    <w:rsid w:val="008C7B93"/>
    <w:rsid w:val="008C7ECB"/>
    <w:rsid w:val="008D00E6"/>
    <w:rsid w:val="008D023A"/>
    <w:rsid w:val="008D2117"/>
    <w:rsid w:val="008D2554"/>
    <w:rsid w:val="008D32F3"/>
    <w:rsid w:val="008D3B86"/>
    <w:rsid w:val="008D4755"/>
    <w:rsid w:val="008D4C3D"/>
    <w:rsid w:val="008D743C"/>
    <w:rsid w:val="008E0D3C"/>
    <w:rsid w:val="008E14E9"/>
    <w:rsid w:val="008E1B9E"/>
    <w:rsid w:val="008E1ED7"/>
    <w:rsid w:val="008E2EBD"/>
    <w:rsid w:val="008E3CBB"/>
    <w:rsid w:val="008E4843"/>
    <w:rsid w:val="008E5256"/>
    <w:rsid w:val="008E55AB"/>
    <w:rsid w:val="008E76FC"/>
    <w:rsid w:val="008E7B88"/>
    <w:rsid w:val="008F015D"/>
    <w:rsid w:val="008F11E5"/>
    <w:rsid w:val="008F120A"/>
    <w:rsid w:val="008F27E0"/>
    <w:rsid w:val="008F3B2C"/>
    <w:rsid w:val="008F48EB"/>
    <w:rsid w:val="008F4F0B"/>
    <w:rsid w:val="008F51CE"/>
    <w:rsid w:val="00902692"/>
    <w:rsid w:val="009046C4"/>
    <w:rsid w:val="00905B86"/>
    <w:rsid w:val="009062A5"/>
    <w:rsid w:val="009073AF"/>
    <w:rsid w:val="009108DD"/>
    <w:rsid w:val="00910FA7"/>
    <w:rsid w:val="00911272"/>
    <w:rsid w:val="00912701"/>
    <w:rsid w:val="009135D6"/>
    <w:rsid w:val="00913645"/>
    <w:rsid w:val="009142FF"/>
    <w:rsid w:val="00914C77"/>
    <w:rsid w:val="00914EDC"/>
    <w:rsid w:val="00915773"/>
    <w:rsid w:val="0091657B"/>
    <w:rsid w:val="00921ACB"/>
    <w:rsid w:val="00923144"/>
    <w:rsid w:val="0092369B"/>
    <w:rsid w:val="00923996"/>
    <w:rsid w:val="0092588B"/>
    <w:rsid w:val="00934988"/>
    <w:rsid w:val="009356DB"/>
    <w:rsid w:val="0093653A"/>
    <w:rsid w:val="00936A34"/>
    <w:rsid w:val="00937089"/>
    <w:rsid w:val="009370C7"/>
    <w:rsid w:val="009415D8"/>
    <w:rsid w:val="00944090"/>
    <w:rsid w:val="00944F8A"/>
    <w:rsid w:val="009474B3"/>
    <w:rsid w:val="009510A2"/>
    <w:rsid w:val="00951EBB"/>
    <w:rsid w:val="00952135"/>
    <w:rsid w:val="00953040"/>
    <w:rsid w:val="00953257"/>
    <w:rsid w:val="009541C2"/>
    <w:rsid w:val="009545CE"/>
    <w:rsid w:val="0095474C"/>
    <w:rsid w:val="00957D0C"/>
    <w:rsid w:val="00960BD4"/>
    <w:rsid w:val="00962A0B"/>
    <w:rsid w:val="00962CB9"/>
    <w:rsid w:val="00962DD4"/>
    <w:rsid w:val="00963039"/>
    <w:rsid w:val="00963440"/>
    <w:rsid w:val="00964312"/>
    <w:rsid w:val="00965A5C"/>
    <w:rsid w:val="00965B8A"/>
    <w:rsid w:val="00966520"/>
    <w:rsid w:val="00966ABF"/>
    <w:rsid w:val="0097071F"/>
    <w:rsid w:val="009717AC"/>
    <w:rsid w:val="00973B76"/>
    <w:rsid w:val="00974432"/>
    <w:rsid w:val="00974A98"/>
    <w:rsid w:val="009751C1"/>
    <w:rsid w:val="00975E14"/>
    <w:rsid w:val="00975EE0"/>
    <w:rsid w:val="00976059"/>
    <w:rsid w:val="00976621"/>
    <w:rsid w:val="00976B3F"/>
    <w:rsid w:val="009771C1"/>
    <w:rsid w:val="009803B3"/>
    <w:rsid w:val="009811F1"/>
    <w:rsid w:val="00981847"/>
    <w:rsid w:val="00983E57"/>
    <w:rsid w:val="00985270"/>
    <w:rsid w:val="00985DE2"/>
    <w:rsid w:val="0098675D"/>
    <w:rsid w:val="00986E58"/>
    <w:rsid w:val="00991C3C"/>
    <w:rsid w:val="009924A1"/>
    <w:rsid w:val="009926E0"/>
    <w:rsid w:val="009934FB"/>
    <w:rsid w:val="0099432F"/>
    <w:rsid w:val="0099451E"/>
    <w:rsid w:val="00994F43"/>
    <w:rsid w:val="00995136"/>
    <w:rsid w:val="009962AF"/>
    <w:rsid w:val="00996B1A"/>
    <w:rsid w:val="00997437"/>
    <w:rsid w:val="009976FF"/>
    <w:rsid w:val="009A1D40"/>
    <w:rsid w:val="009A2DCC"/>
    <w:rsid w:val="009A5ABC"/>
    <w:rsid w:val="009A6262"/>
    <w:rsid w:val="009A7A3C"/>
    <w:rsid w:val="009A7F10"/>
    <w:rsid w:val="009A7FCA"/>
    <w:rsid w:val="009B06B4"/>
    <w:rsid w:val="009B2393"/>
    <w:rsid w:val="009B272E"/>
    <w:rsid w:val="009B275E"/>
    <w:rsid w:val="009B3E26"/>
    <w:rsid w:val="009B5084"/>
    <w:rsid w:val="009B5E92"/>
    <w:rsid w:val="009B6A30"/>
    <w:rsid w:val="009B7B07"/>
    <w:rsid w:val="009C1106"/>
    <w:rsid w:val="009C3706"/>
    <w:rsid w:val="009C3A3A"/>
    <w:rsid w:val="009C6833"/>
    <w:rsid w:val="009C6CEA"/>
    <w:rsid w:val="009C77A2"/>
    <w:rsid w:val="009C7B85"/>
    <w:rsid w:val="009C7CBF"/>
    <w:rsid w:val="009D0254"/>
    <w:rsid w:val="009D1A64"/>
    <w:rsid w:val="009D1F0E"/>
    <w:rsid w:val="009D2D5C"/>
    <w:rsid w:val="009D3806"/>
    <w:rsid w:val="009D4187"/>
    <w:rsid w:val="009D4332"/>
    <w:rsid w:val="009D5B91"/>
    <w:rsid w:val="009D76A0"/>
    <w:rsid w:val="009D792E"/>
    <w:rsid w:val="009E09AC"/>
    <w:rsid w:val="009E0DFE"/>
    <w:rsid w:val="009E31F6"/>
    <w:rsid w:val="009E3E82"/>
    <w:rsid w:val="009E47D0"/>
    <w:rsid w:val="009E4C07"/>
    <w:rsid w:val="009E5157"/>
    <w:rsid w:val="009E6C3C"/>
    <w:rsid w:val="009E74B4"/>
    <w:rsid w:val="009E7ECB"/>
    <w:rsid w:val="009F1BF7"/>
    <w:rsid w:val="009F2289"/>
    <w:rsid w:val="009F3AA1"/>
    <w:rsid w:val="009F46F1"/>
    <w:rsid w:val="00A002FA"/>
    <w:rsid w:val="00A01184"/>
    <w:rsid w:val="00A024B1"/>
    <w:rsid w:val="00A02DFC"/>
    <w:rsid w:val="00A037C2"/>
    <w:rsid w:val="00A03D43"/>
    <w:rsid w:val="00A04380"/>
    <w:rsid w:val="00A04B46"/>
    <w:rsid w:val="00A05160"/>
    <w:rsid w:val="00A05472"/>
    <w:rsid w:val="00A05C32"/>
    <w:rsid w:val="00A0653F"/>
    <w:rsid w:val="00A07949"/>
    <w:rsid w:val="00A10EA1"/>
    <w:rsid w:val="00A110C9"/>
    <w:rsid w:val="00A11CD0"/>
    <w:rsid w:val="00A120ED"/>
    <w:rsid w:val="00A128FF"/>
    <w:rsid w:val="00A1325A"/>
    <w:rsid w:val="00A13686"/>
    <w:rsid w:val="00A13948"/>
    <w:rsid w:val="00A14C97"/>
    <w:rsid w:val="00A1555B"/>
    <w:rsid w:val="00A155C5"/>
    <w:rsid w:val="00A15F1B"/>
    <w:rsid w:val="00A163CD"/>
    <w:rsid w:val="00A16821"/>
    <w:rsid w:val="00A16AD8"/>
    <w:rsid w:val="00A213E2"/>
    <w:rsid w:val="00A21C95"/>
    <w:rsid w:val="00A21CF3"/>
    <w:rsid w:val="00A24813"/>
    <w:rsid w:val="00A255F1"/>
    <w:rsid w:val="00A261E5"/>
    <w:rsid w:val="00A266F8"/>
    <w:rsid w:val="00A27AEC"/>
    <w:rsid w:val="00A27D13"/>
    <w:rsid w:val="00A320DB"/>
    <w:rsid w:val="00A32D5A"/>
    <w:rsid w:val="00A35D16"/>
    <w:rsid w:val="00A35F9E"/>
    <w:rsid w:val="00A36176"/>
    <w:rsid w:val="00A36EAA"/>
    <w:rsid w:val="00A37BCD"/>
    <w:rsid w:val="00A40E36"/>
    <w:rsid w:val="00A41689"/>
    <w:rsid w:val="00A41D35"/>
    <w:rsid w:val="00A42592"/>
    <w:rsid w:val="00A4329D"/>
    <w:rsid w:val="00A43C59"/>
    <w:rsid w:val="00A444FC"/>
    <w:rsid w:val="00A47039"/>
    <w:rsid w:val="00A47459"/>
    <w:rsid w:val="00A47853"/>
    <w:rsid w:val="00A50075"/>
    <w:rsid w:val="00A50ECD"/>
    <w:rsid w:val="00A51207"/>
    <w:rsid w:val="00A518F3"/>
    <w:rsid w:val="00A51CA6"/>
    <w:rsid w:val="00A52729"/>
    <w:rsid w:val="00A53675"/>
    <w:rsid w:val="00A5503F"/>
    <w:rsid w:val="00A55067"/>
    <w:rsid w:val="00A55104"/>
    <w:rsid w:val="00A55366"/>
    <w:rsid w:val="00A55B0D"/>
    <w:rsid w:val="00A55F23"/>
    <w:rsid w:val="00A564D7"/>
    <w:rsid w:val="00A567EE"/>
    <w:rsid w:val="00A56B6A"/>
    <w:rsid w:val="00A578DC"/>
    <w:rsid w:val="00A60A6C"/>
    <w:rsid w:val="00A6385E"/>
    <w:rsid w:val="00A640E2"/>
    <w:rsid w:val="00A64183"/>
    <w:rsid w:val="00A64834"/>
    <w:rsid w:val="00A64D65"/>
    <w:rsid w:val="00A64E2F"/>
    <w:rsid w:val="00A65EBB"/>
    <w:rsid w:val="00A6725B"/>
    <w:rsid w:val="00A70605"/>
    <w:rsid w:val="00A72C62"/>
    <w:rsid w:val="00A73134"/>
    <w:rsid w:val="00A7596C"/>
    <w:rsid w:val="00A759A5"/>
    <w:rsid w:val="00A75CA6"/>
    <w:rsid w:val="00A76001"/>
    <w:rsid w:val="00A76A73"/>
    <w:rsid w:val="00A76E13"/>
    <w:rsid w:val="00A777B2"/>
    <w:rsid w:val="00A82521"/>
    <w:rsid w:val="00A825D4"/>
    <w:rsid w:val="00A828F6"/>
    <w:rsid w:val="00A82B73"/>
    <w:rsid w:val="00A837AC"/>
    <w:rsid w:val="00A86E8B"/>
    <w:rsid w:val="00A87164"/>
    <w:rsid w:val="00A87D4F"/>
    <w:rsid w:val="00A87EA3"/>
    <w:rsid w:val="00A92460"/>
    <w:rsid w:val="00A93072"/>
    <w:rsid w:val="00A938BD"/>
    <w:rsid w:val="00A93953"/>
    <w:rsid w:val="00A959D8"/>
    <w:rsid w:val="00A95F63"/>
    <w:rsid w:val="00A97F5E"/>
    <w:rsid w:val="00AA0592"/>
    <w:rsid w:val="00AA06F2"/>
    <w:rsid w:val="00AA113D"/>
    <w:rsid w:val="00AA11E9"/>
    <w:rsid w:val="00AA1772"/>
    <w:rsid w:val="00AA2161"/>
    <w:rsid w:val="00AA2F8C"/>
    <w:rsid w:val="00AA34EE"/>
    <w:rsid w:val="00AA364B"/>
    <w:rsid w:val="00AA3DD2"/>
    <w:rsid w:val="00AA4B6C"/>
    <w:rsid w:val="00AA5339"/>
    <w:rsid w:val="00AA6BD5"/>
    <w:rsid w:val="00AA6BD8"/>
    <w:rsid w:val="00AA6C7D"/>
    <w:rsid w:val="00AA7E91"/>
    <w:rsid w:val="00AA7FD6"/>
    <w:rsid w:val="00AB042A"/>
    <w:rsid w:val="00AB19EF"/>
    <w:rsid w:val="00AB2D34"/>
    <w:rsid w:val="00AB3430"/>
    <w:rsid w:val="00AB37B9"/>
    <w:rsid w:val="00AB3FE0"/>
    <w:rsid w:val="00AB4255"/>
    <w:rsid w:val="00AB42C8"/>
    <w:rsid w:val="00AB4AD1"/>
    <w:rsid w:val="00AB5E07"/>
    <w:rsid w:val="00AB7CFA"/>
    <w:rsid w:val="00AC0500"/>
    <w:rsid w:val="00AC0A02"/>
    <w:rsid w:val="00AC2F4F"/>
    <w:rsid w:val="00AC3F04"/>
    <w:rsid w:val="00AC4953"/>
    <w:rsid w:val="00AC4D90"/>
    <w:rsid w:val="00AC5AC8"/>
    <w:rsid w:val="00AC5B48"/>
    <w:rsid w:val="00AC79EA"/>
    <w:rsid w:val="00AD1450"/>
    <w:rsid w:val="00AD3B37"/>
    <w:rsid w:val="00AD6502"/>
    <w:rsid w:val="00AD6D23"/>
    <w:rsid w:val="00AD7040"/>
    <w:rsid w:val="00AD7882"/>
    <w:rsid w:val="00AE0695"/>
    <w:rsid w:val="00AE2A0A"/>
    <w:rsid w:val="00AE2E5F"/>
    <w:rsid w:val="00AE398B"/>
    <w:rsid w:val="00AE3E7E"/>
    <w:rsid w:val="00AE4974"/>
    <w:rsid w:val="00AE55D8"/>
    <w:rsid w:val="00AE6F50"/>
    <w:rsid w:val="00AF01E4"/>
    <w:rsid w:val="00AF036E"/>
    <w:rsid w:val="00AF1315"/>
    <w:rsid w:val="00AF19BF"/>
    <w:rsid w:val="00AF226B"/>
    <w:rsid w:val="00AF2745"/>
    <w:rsid w:val="00AF2DB4"/>
    <w:rsid w:val="00AF2DC3"/>
    <w:rsid w:val="00AF3794"/>
    <w:rsid w:val="00AF6B1C"/>
    <w:rsid w:val="00AF6EEE"/>
    <w:rsid w:val="00B00CFF"/>
    <w:rsid w:val="00B01B71"/>
    <w:rsid w:val="00B033E5"/>
    <w:rsid w:val="00B03A63"/>
    <w:rsid w:val="00B043F9"/>
    <w:rsid w:val="00B04EA6"/>
    <w:rsid w:val="00B06364"/>
    <w:rsid w:val="00B06792"/>
    <w:rsid w:val="00B06CDB"/>
    <w:rsid w:val="00B06D92"/>
    <w:rsid w:val="00B07D5A"/>
    <w:rsid w:val="00B102F8"/>
    <w:rsid w:val="00B12363"/>
    <w:rsid w:val="00B13F43"/>
    <w:rsid w:val="00B14A0A"/>
    <w:rsid w:val="00B15072"/>
    <w:rsid w:val="00B154B4"/>
    <w:rsid w:val="00B1555E"/>
    <w:rsid w:val="00B15BB8"/>
    <w:rsid w:val="00B16AF6"/>
    <w:rsid w:val="00B178F5"/>
    <w:rsid w:val="00B201A4"/>
    <w:rsid w:val="00B201D1"/>
    <w:rsid w:val="00B21042"/>
    <w:rsid w:val="00B213A6"/>
    <w:rsid w:val="00B21970"/>
    <w:rsid w:val="00B21F89"/>
    <w:rsid w:val="00B22953"/>
    <w:rsid w:val="00B235B0"/>
    <w:rsid w:val="00B24344"/>
    <w:rsid w:val="00B24615"/>
    <w:rsid w:val="00B24756"/>
    <w:rsid w:val="00B24DF6"/>
    <w:rsid w:val="00B25E52"/>
    <w:rsid w:val="00B26D93"/>
    <w:rsid w:val="00B270B0"/>
    <w:rsid w:val="00B272FE"/>
    <w:rsid w:val="00B27BBE"/>
    <w:rsid w:val="00B302B4"/>
    <w:rsid w:val="00B303F7"/>
    <w:rsid w:val="00B30B3B"/>
    <w:rsid w:val="00B31985"/>
    <w:rsid w:val="00B33473"/>
    <w:rsid w:val="00B34FE2"/>
    <w:rsid w:val="00B35166"/>
    <w:rsid w:val="00B357D8"/>
    <w:rsid w:val="00B360F4"/>
    <w:rsid w:val="00B36365"/>
    <w:rsid w:val="00B36A00"/>
    <w:rsid w:val="00B37BFC"/>
    <w:rsid w:val="00B40358"/>
    <w:rsid w:val="00B41614"/>
    <w:rsid w:val="00B42851"/>
    <w:rsid w:val="00B42F80"/>
    <w:rsid w:val="00B435CB"/>
    <w:rsid w:val="00B47100"/>
    <w:rsid w:val="00B505C8"/>
    <w:rsid w:val="00B50DB8"/>
    <w:rsid w:val="00B53654"/>
    <w:rsid w:val="00B53905"/>
    <w:rsid w:val="00B54B5B"/>
    <w:rsid w:val="00B5562E"/>
    <w:rsid w:val="00B55D65"/>
    <w:rsid w:val="00B57000"/>
    <w:rsid w:val="00B578EB"/>
    <w:rsid w:val="00B60939"/>
    <w:rsid w:val="00B60AFD"/>
    <w:rsid w:val="00B625D2"/>
    <w:rsid w:val="00B62715"/>
    <w:rsid w:val="00B62AD8"/>
    <w:rsid w:val="00B64723"/>
    <w:rsid w:val="00B64C9C"/>
    <w:rsid w:val="00B6526A"/>
    <w:rsid w:val="00B655F6"/>
    <w:rsid w:val="00B65611"/>
    <w:rsid w:val="00B66BA4"/>
    <w:rsid w:val="00B67273"/>
    <w:rsid w:val="00B6788B"/>
    <w:rsid w:val="00B67ABA"/>
    <w:rsid w:val="00B70B77"/>
    <w:rsid w:val="00B70E8E"/>
    <w:rsid w:val="00B70FA8"/>
    <w:rsid w:val="00B71019"/>
    <w:rsid w:val="00B719BA"/>
    <w:rsid w:val="00B7244E"/>
    <w:rsid w:val="00B73A0C"/>
    <w:rsid w:val="00B73EA0"/>
    <w:rsid w:val="00B74C64"/>
    <w:rsid w:val="00B76C92"/>
    <w:rsid w:val="00B80DF7"/>
    <w:rsid w:val="00B80E18"/>
    <w:rsid w:val="00B818A4"/>
    <w:rsid w:val="00B81F48"/>
    <w:rsid w:val="00B821BB"/>
    <w:rsid w:val="00B821D2"/>
    <w:rsid w:val="00B837F7"/>
    <w:rsid w:val="00B84117"/>
    <w:rsid w:val="00B857BF"/>
    <w:rsid w:val="00B858F0"/>
    <w:rsid w:val="00B85AA2"/>
    <w:rsid w:val="00B85CFB"/>
    <w:rsid w:val="00B8649C"/>
    <w:rsid w:val="00B8695D"/>
    <w:rsid w:val="00B872CE"/>
    <w:rsid w:val="00B87F0A"/>
    <w:rsid w:val="00B90069"/>
    <w:rsid w:val="00B90A47"/>
    <w:rsid w:val="00B91586"/>
    <w:rsid w:val="00B92D0B"/>
    <w:rsid w:val="00B931B1"/>
    <w:rsid w:val="00B93DBF"/>
    <w:rsid w:val="00B94945"/>
    <w:rsid w:val="00B94DD6"/>
    <w:rsid w:val="00B94E85"/>
    <w:rsid w:val="00B9643A"/>
    <w:rsid w:val="00B9648B"/>
    <w:rsid w:val="00B96C2B"/>
    <w:rsid w:val="00BA0EFC"/>
    <w:rsid w:val="00BA216A"/>
    <w:rsid w:val="00BA322D"/>
    <w:rsid w:val="00BA49C7"/>
    <w:rsid w:val="00BA57F7"/>
    <w:rsid w:val="00BA5BD0"/>
    <w:rsid w:val="00BA6094"/>
    <w:rsid w:val="00BA63FA"/>
    <w:rsid w:val="00BB00B3"/>
    <w:rsid w:val="00BB0BDD"/>
    <w:rsid w:val="00BB176C"/>
    <w:rsid w:val="00BB2A73"/>
    <w:rsid w:val="00BB3A45"/>
    <w:rsid w:val="00BB3B3B"/>
    <w:rsid w:val="00BB4725"/>
    <w:rsid w:val="00BB4ACC"/>
    <w:rsid w:val="00BB5D2E"/>
    <w:rsid w:val="00BB703E"/>
    <w:rsid w:val="00BB732D"/>
    <w:rsid w:val="00BB7405"/>
    <w:rsid w:val="00BC0A56"/>
    <w:rsid w:val="00BC148A"/>
    <w:rsid w:val="00BC1A06"/>
    <w:rsid w:val="00BC1EB0"/>
    <w:rsid w:val="00BC2572"/>
    <w:rsid w:val="00BC27E3"/>
    <w:rsid w:val="00BC2DD4"/>
    <w:rsid w:val="00BC3631"/>
    <w:rsid w:val="00BC42F1"/>
    <w:rsid w:val="00BC591F"/>
    <w:rsid w:val="00BC5AC8"/>
    <w:rsid w:val="00BC7D63"/>
    <w:rsid w:val="00BC7D6D"/>
    <w:rsid w:val="00BD0062"/>
    <w:rsid w:val="00BD2108"/>
    <w:rsid w:val="00BD311B"/>
    <w:rsid w:val="00BD5475"/>
    <w:rsid w:val="00BD568F"/>
    <w:rsid w:val="00BD5E96"/>
    <w:rsid w:val="00BD68A3"/>
    <w:rsid w:val="00BD6938"/>
    <w:rsid w:val="00BD6CF3"/>
    <w:rsid w:val="00BE0ECA"/>
    <w:rsid w:val="00BE0F8F"/>
    <w:rsid w:val="00BE2180"/>
    <w:rsid w:val="00BE21F2"/>
    <w:rsid w:val="00BE28D7"/>
    <w:rsid w:val="00BE2976"/>
    <w:rsid w:val="00BE4275"/>
    <w:rsid w:val="00BE5F67"/>
    <w:rsid w:val="00BE759D"/>
    <w:rsid w:val="00BE76F9"/>
    <w:rsid w:val="00BE7F15"/>
    <w:rsid w:val="00BF06AE"/>
    <w:rsid w:val="00BF0955"/>
    <w:rsid w:val="00BF0D9B"/>
    <w:rsid w:val="00BF0F95"/>
    <w:rsid w:val="00BF2433"/>
    <w:rsid w:val="00BF2A2F"/>
    <w:rsid w:val="00BF61C9"/>
    <w:rsid w:val="00BF6723"/>
    <w:rsid w:val="00BF6C94"/>
    <w:rsid w:val="00BF7554"/>
    <w:rsid w:val="00BF789A"/>
    <w:rsid w:val="00BF7F25"/>
    <w:rsid w:val="00C00424"/>
    <w:rsid w:val="00C03309"/>
    <w:rsid w:val="00C05E16"/>
    <w:rsid w:val="00C10E0C"/>
    <w:rsid w:val="00C1179F"/>
    <w:rsid w:val="00C12C14"/>
    <w:rsid w:val="00C13985"/>
    <w:rsid w:val="00C15123"/>
    <w:rsid w:val="00C152E4"/>
    <w:rsid w:val="00C15360"/>
    <w:rsid w:val="00C15F04"/>
    <w:rsid w:val="00C179B3"/>
    <w:rsid w:val="00C17E3F"/>
    <w:rsid w:val="00C200AA"/>
    <w:rsid w:val="00C20EDD"/>
    <w:rsid w:val="00C210B1"/>
    <w:rsid w:val="00C237ED"/>
    <w:rsid w:val="00C23C3F"/>
    <w:rsid w:val="00C24632"/>
    <w:rsid w:val="00C25418"/>
    <w:rsid w:val="00C25D9C"/>
    <w:rsid w:val="00C26651"/>
    <w:rsid w:val="00C26B2F"/>
    <w:rsid w:val="00C27337"/>
    <w:rsid w:val="00C2778B"/>
    <w:rsid w:val="00C312EF"/>
    <w:rsid w:val="00C31649"/>
    <w:rsid w:val="00C319AF"/>
    <w:rsid w:val="00C31BFB"/>
    <w:rsid w:val="00C3434C"/>
    <w:rsid w:val="00C40385"/>
    <w:rsid w:val="00C415D5"/>
    <w:rsid w:val="00C41768"/>
    <w:rsid w:val="00C44071"/>
    <w:rsid w:val="00C44582"/>
    <w:rsid w:val="00C46968"/>
    <w:rsid w:val="00C46FCC"/>
    <w:rsid w:val="00C473A2"/>
    <w:rsid w:val="00C475AA"/>
    <w:rsid w:val="00C47C91"/>
    <w:rsid w:val="00C51448"/>
    <w:rsid w:val="00C53C98"/>
    <w:rsid w:val="00C554EE"/>
    <w:rsid w:val="00C55BFC"/>
    <w:rsid w:val="00C564DB"/>
    <w:rsid w:val="00C56FCF"/>
    <w:rsid w:val="00C57436"/>
    <w:rsid w:val="00C57B6C"/>
    <w:rsid w:val="00C60824"/>
    <w:rsid w:val="00C61E1C"/>
    <w:rsid w:val="00C61EFA"/>
    <w:rsid w:val="00C62091"/>
    <w:rsid w:val="00C62699"/>
    <w:rsid w:val="00C628A6"/>
    <w:rsid w:val="00C62D68"/>
    <w:rsid w:val="00C64344"/>
    <w:rsid w:val="00C65108"/>
    <w:rsid w:val="00C65576"/>
    <w:rsid w:val="00C656C6"/>
    <w:rsid w:val="00C658CF"/>
    <w:rsid w:val="00C66054"/>
    <w:rsid w:val="00C66165"/>
    <w:rsid w:val="00C6687D"/>
    <w:rsid w:val="00C67EF9"/>
    <w:rsid w:val="00C704E2"/>
    <w:rsid w:val="00C7060A"/>
    <w:rsid w:val="00C706D1"/>
    <w:rsid w:val="00C7151A"/>
    <w:rsid w:val="00C717E3"/>
    <w:rsid w:val="00C71F60"/>
    <w:rsid w:val="00C72241"/>
    <w:rsid w:val="00C73C7B"/>
    <w:rsid w:val="00C750C8"/>
    <w:rsid w:val="00C7560F"/>
    <w:rsid w:val="00C75826"/>
    <w:rsid w:val="00C77BCF"/>
    <w:rsid w:val="00C80A0E"/>
    <w:rsid w:val="00C81B10"/>
    <w:rsid w:val="00C8213F"/>
    <w:rsid w:val="00C822A1"/>
    <w:rsid w:val="00C8339D"/>
    <w:rsid w:val="00C8383F"/>
    <w:rsid w:val="00C846C3"/>
    <w:rsid w:val="00C85154"/>
    <w:rsid w:val="00C86171"/>
    <w:rsid w:val="00C872DD"/>
    <w:rsid w:val="00C87456"/>
    <w:rsid w:val="00C8797A"/>
    <w:rsid w:val="00C87F14"/>
    <w:rsid w:val="00C900B8"/>
    <w:rsid w:val="00C902BE"/>
    <w:rsid w:val="00C90C71"/>
    <w:rsid w:val="00C913F2"/>
    <w:rsid w:val="00C917CC"/>
    <w:rsid w:val="00C91FD1"/>
    <w:rsid w:val="00C92CCB"/>
    <w:rsid w:val="00C931CF"/>
    <w:rsid w:val="00C93740"/>
    <w:rsid w:val="00C938CF"/>
    <w:rsid w:val="00C93FDC"/>
    <w:rsid w:val="00C94053"/>
    <w:rsid w:val="00C9624D"/>
    <w:rsid w:val="00C969DA"/>
    <w:rsid w:val="00C96C5F"/>
    <w:rsid w:val="00C97C51"/>
    <w:rsid w:val="00CA2C77"/>
    <w:rsid w:val="00CA33AE"/>
    <w:rsid w:val="00CA3B52"/>
    <w:rsid w:val="00CA444F"/>
    <w:rsid w:val="00CA5245"/>
    <w:rsid w:val="00CA641D"/>
    <w:rsid w:val="00CA71F4"/>
    <w:rsid w:val="00CA7A7B"/>
    <w:rsid w:val="00CA7B09"/>
    <w:rsid w:val="00CB0F78"/>
    <w:rsid w:val="00CB12A5"/>
    <w:rsid w:val="00CB1CAC"/>
    <w:rsid w:val="00CB2F2A"/>
    <w:rsid w:val="00CB35E9"/>
    <w:rsid w:val="00CB4049"/>
    <w:rsid w:val="00CB44EA"/>
    <w:rsid w:val="00CB4AAA"/>
    <w:rsid w:val="00CB5B1A"/>
    <w:rsid w:val="00CB6B22"/>
    <w:rsid w:val="00CB7BCD"/>
    <w:rsid w:val="00CB7F5F"/>
    <w:rsid w:val="00CC11A4"/>
    <w:rsid w:val="00CC1B39"/>
    <w:rsid w:val="00CC23C2"/>
    <w:rsid w:val="00CC35EA"/>
    <w:rsid w:val="00CC3848"/>
    <w:rsid w:val="00CC3DCA"/>
    <w:rsid w:val="00CC411F"/>
    <w:rsid w:val="00CC6504"/>
    <w:rsid w:val="00CC6CD1"/>
    <w:rsid w:val="00CC6E01"/>
    <w:rsid w:val="00CD00F6"/>
    <w:rsid w:val="00CD2874"/>
    <w:rsid w:val="00CD3050"/>
    <w:rsid w:val="00CD3B64"/>
    <w:rsid w:val="00CD3F77"/>
    <w:rsid w:val="00CD5763"/>
    <w:rsid w:val="00CD65E5"/>
    <w:rsid w:val="00CD67B8"/>
    <w:rsid w:val="00CD6ADC"/>
    <w:rsid w:val="00CD6E23"/>
    <w:rsid w:val="00CD7193"/>
    <w:rsid w:val="00CD7C98"/>
    <w:rsid w:val="00CE12C7"/>
    <w:rsid w:val="00CE1DFD"/>
    <w:rsid w:val="00CE21BA"/>
    <w:rsid w:val="00CE2B63"/>
    <w:rsid w:val="00CE2CC2"/>
    <w:rsid w:val="00CE38C8"/>
    <w:rsid w:val="00CE6274"/>
    <w:rsid w:val="00CE6C10"/>
    <w:rsid w:val="00CE77B6"/>
    <w:rsid w:val="00CF03BE"/>
    <w:rsid w:val="00CF0C8A"/>
    <w:rsid w:val="00CF1A78"/>
    <w:rsid w:val="00CF290D"/>
    <w:rsid w:val="00CF2B8D"/>
    <w:rsid w:val="00CF2DD5"/>
    <w:rsid w:val="00CF3252"/>
    <w:rsid w:val="00CF3822"/>
    <w:rsid w:val="00CF4259"/>
    <w:rsid w:val="00CF456B"/>
    <w:rsid w:val="00CF4C07"/>
    <w:rsid w:val="00CF5A22"/>
    <w:rsid w:val="00CF6CDB"/>
    <w:rsid w:val="00CF708F"/>
    <w:rsid w:val="00CF7EEC"/>
    <w:rsid w:val="00D00314"/>
    <w:rsid w:val="00D005B8"/>
    <w:rsid w:val="00D01068"/>
    <w:rsid w:val="00D0262E"/>
    <w:rsid w:val="00D02D1C"/>
    <w:rsid w:val="00D02E22"/>
    <w:rsid w:val="00D03E11"/>
    <w:rsid w:val="00D05E3D"/>
    <w:rsid w:val="00D06139"/>
    <w:rsid w:val="00D06153"/>
    <w:rsid w:val="00D068B6"/>
    <w:rsid w:val="00D1099C"/>
    <w:rsid w:val="00D10F9F"/>
    <w:rsid w:val="00D110BD"/>
    <w:rsid w:val="00D11D93"/>
    <w:rsid w:val="00D123A3"/>
    <w:rsid w:val="00D12537"/>
    <w:rsid w:val="00D13675"/>
    <w:rsid w:val="00D14042"/>
    <w:rsid w:val="00D141E1"/>
    <w:rsid w:val="00D1494C"/>
    <w:rsid w:val="00D14EFA"/>
    <w:rsid w:val="00D15314"/>
    <w:rsid w:val="00D17D6C"/>
    <w:rsid w:val="00D2155B"/>
    <w:rsid w:val="00D22760"/>
    <w:rsid w:val="00D23404"/>
    <w:rsid w:val="00D23D11"/>
    <w:rsid w:val="00D244B6"/>
    <w:rsid w:val="00D247FC"/>
    <w:rsid w:val="00D263E9"/>
    <w:rsid w:val="00D2754D"/>
    <w:rsid w:val="00D27AB1"/>
    <w:rsid w:val="00D27B27"/>
    <w:rsid w:val="00D30148"/>
    <w:rsid w:val="00D30209"/>
    <w:rsid w:val="00D30727"/>
    <w:rsid w:val="00D33BE9"/>
    <w:rsid w:val="00D33F93"/>
    <w:rsid w:val="00D34429"/>
    <w:rsid w:val="00D34451"/>
    <w:rsid w:val="00D3503B"/>
    <w:rsid w:val="00D357FF"/>
    <w:rsid w:val="00D36307"/>
    <w:rsid w:val="00D37103"/>
    <w:rsid w:val="00D371C8"/>
    <w:rsid w:val="00D424C7"/>
    <w:rsid w:val="00D42865"/>
    <w:rsid w:val="00D43B2A"/>
    <w:rsid w:val="00D43D83"/>
    <w:rsid w:val="00D43E24"/>
    <w:rsid w:val="00D441D8"/>
    <w:rsid w:val="00D451C8"/>
    <w:rsid w:val="00D453CE"/>
    <w:rsid w:val="00D45DFD"/>
    <w:rsid w:val="00D460FE"/>
    <w:rsid w:val="00D4665C"/>
    <w:rsid w:val="00D468AB"/>
    <w:rsid w:val="00D46EFC"/>
    <w:rsid w:val="00D47575"/>
    <w:rsid w:val="00D47A2C"/>
    <w:rsid w:val="00D50814"/>
    <w:rsid w:val="00D50B27"/>
    <w:rsid w:val="00D51985"/>
    <w:rsid w:val="00D5243B"/>
    <w:rsid w:val="00D533EC"/>
    <w:rsid w:val="00D5347A"/>
    <w:rsid w:val="00D54261"/>
    <w:rsid w:val="00D54867"/>
    <w:rsid w:val="00D5501B"/>
    <w:rsid w:val="00D55738"/>
    <w:rsid w:val="00D56A95"/>
    <w:rsid w:val="00D56EAF"/>
    <w:rsid w:val="00D615F8"/>
    <w:rsid w:val="00D636F8"/>
    <w:rsid w:val="00D64A04"/>
    <w:rsid w:val="00D664FA"/>
    <w:rsid w:val="00D66DE2"/>
    <w:rsid w:val="00D67CA5"/>
    <w:rsid w:val="00D70F16"/>
    <w:rsid w:val="00D72F36"/>
    <w:rsid w:val="00D72F57"/>
    <w:rsid w:val="00D73464"/>
    <w:rsid w:val="00D74DF0"/>
    <w:rsid w:val="00D7588A"/>
    <w:rsid w:val="00D7591C"/>
    <w:rsid w:val="00D76A25"/>
    <w:rsid w:val="00D76A44"/>
    <w:rsid w:val="00D77720"/>
    <w:rsid w:val="00D811EF"/>
    <w:rsid w:val="00D815EF"/>
    <w:rsid w:val="00D81F26"/>
    <w:rsid w:val="00D8526F"/>
    <w:rsid w:val="00D86231"/>
    <w:rsid w:val="00D866CA"/>
    <w:rsid w:val="00D868CC"/>
    <w:rsid w:val="00D91923"/>
    <w:rsid w:val="00D9290F"/>
    <w:rsid w:val="00D92B75"/>
    <w:rsid w:val="00D93753"/>
    <w:rsid w:val="00D9377F"/>
    <w:rsid w:val="00D9459A"/>
    <w:rsid w:val="00D95FC2"/>
    <w:rsid w:val="00D96AF1"/>
    <w:rsid w:val="00DA1BAE"/>
    <w:rsid w:val="00DA3167"/>
    <w:rsid w:val="00DA3841"/>
    <w:rsid w:val="00DA42BF"/>
    <w:rsid w:val="00DA4DC3"/>
    <w:rsid w:val="00DA5EDD"/>
    <w:rsid w:val="00DA645E"/>
    <w:rsid w:val="00DA6F54"/>
    <w:rsid w:val="00DA77A5"/>
    <w:rsid w:val="00DB1DDC"/>
    <w:rsid w:val="00DB375D"/>
    <w:rsid w:val="00DB3DBF"/>
    <w:rsid w:val="00DB484F"/>
    <w:rsid w:val="00DB4D49"/>
    <w:rsid w:val="00DB743B"/>
    <w:rsid w:val="00DB7673"/>
    <w:rsid w:val="00DB7C3A"/>
    <w:rsid w:val="00DC04F6"/>
    <w:rsid w:val="00DC0690"/>
    <w:rsid w:val="00DC1832"/>
    <w:rsid w:val="00DC1D65"/>
    <w:rsid w:val="00DC3C57"/>
    <w:rsid w:val="00DC5501"/>
    <w:rsid w:val="00DC6617"/>
    <w:rsid w:val="00DC68D3"/>
    <w:rsid w:val="00DC7154"/>
    <w:rsid w:val="00DC74C7"/>
    <w:rsid w:val="00DC7E8A"/>
    <w:rsid w:val="00DD0907"/>
    <w:rsid w:val="00DD0F78"/>
    <w:rsid w:val="00DD115C"/>
    <w:rsid w:val="00DD1817"/>
    <w:rsid w:val="00DD237F"/>
    <w:rsid w:val="00DD273C"/>
    <w:rsid w:val="00DD3C47"/>
    <w:rsid w:val="00DD3F28"/>
    <w:rsid w:val="00DD412A"/>
    <w:rsid w:val="00DD4537"/>
    <w:rsid w:val="00DD4E15"/>
    <w:rsid w:val="00DD5797"/>
    <w:rsid w:val="00DD6BFD"/>
    <w:rsid w:val="00DD6F9F"/>
    <w:rsid w:val="00DD714F"/>
    <w:rsid w:val="00DE1693"/>
    <w:rsid w:val="00DE1E58"/>
    <w:rsid w:val="00DE2304"/>
    <w:rsid w:val="00DE3138"/>
    <w:rsid w:val="00DE37F8"/>
    <w:rsid w:val="00DE46C7"/>
    <w:rsid w:val="00DE4FCB"/>
    <w:rsid w:val="00DE5D07"/>
    <w:rsid w:val="00DE72A7"/>
    <w:rsid w:val="00DE7832"/>
    <w:rsid w:val="00DF05FE"/>
    <w:rsid w:val="00DF1488"/>
    <w:rsid w:val="00DF1698"/>
    <w:rsid w:val="00DF17AE"/>
    <w:rsid w:val="00DF18FC"/>
    <w:rsid w:val="00DF21D9"/>
    <w:rsid w:val="00DF3046"/>
    <w:rsid w:val="00DF33DC"/>
    <w:rsid w:val="00DF50AC"/>
    <w:rsid w:val="00DF5D2B"/>
    <w:rsid w:val="00DF5DD7"/>
    <w:rsid w:val="00DF722C"/>
    <w:rsid w:val="00DF74D7"/>
    <w:rsid w:val="00DF7FEE"/>
    <w:rsid w:val="00E0010A"/>
    <w:rsid w:val="00E00E8E"/>
    <w:rsid w:val="00E01C2B"/>
    <w:rsid w:val="00E026BA"/>
    <w:rsid w:val="00E052C2"/>
    <w:rsid w:val="00E05630"/>
    <w:rsid w:val="00E06DBB"/>
    <w:rsid w:val="00E0794B"/>
    <w:rsid w:val="00E10149"/>
    <w:rsid w:val="00E10A34"/>
    <w:rsid w:val="00E10E83"/>
    <w:rsid w:val="00E11340"/>
    <w:rsid w:val="00E116BC"/>
    <w:rsid w:val="00E122A1"/>
    <w:rsid w:val="00E12381"/>
    <w:rsid w:val="00E1313F"/>
    <w:rsid w:val="00E13438"/>
    <w:rsid w:val="00E14B46"/>
    <w:rsid w:val="00E14C0A"/>
    <w:rsid w:val="00E151F5"/>
    <w:rsid w:val="00E16372"/>
    <w:rsid w:val="00E1641F"/>
    <w:rsid w:val="00E17D48"/>
    <w:rsid w:val="00E20E4D"/>
    <w:rsid w:val="00E20ED6"/>
    <w:rsid w:val="00E21358"/>
    <w:rsid w:val="00E21885"/>
    <w:rsid w:val="00E2249B"/>
    <w:rsid w:val="00E22A0D"/>
    <w:rsid w:val="00E238A8"/>
    <w:rsid w:val="00E23F4C"/>
    <w:rsid w:val="00E244F6"/>
    <w:rsid w:val="00E25AED"/>
    <w:rsid w:val="00E2695E"/>
    <w:rsid w:val="00E2726D"/>
    <w:rsid w:val="00E2746F"/>
    <w:rsid w:val="00E2771E"/>
    <w:rsid w:val="00E311EF"/>
    <w:rsid w:val="00E32180"/>
    <w:rsid w:val="00E33CC6"/>
    <w:rsid w:val="00E34948"/>
    <w:rsid w:val="00E36FB1"/>
    <w:rsid w:val="00E37534"/>
    <w:rsid w:val="00E37569"/>
    <w:rsid w:val="00E401B2"/>
    <w:rsid w:val="00E41E30"/>
    <w:rsid w:val="00E4263A"/>
    <w:rsid w:val="00E42782"/>
    <w:rsid w:val="00E42F73"/>
    <w:rsid w:val="00E43D70"/>
    <w:rsid w:val="00E44477"/>
    <w:rsid w:val="00E45DD0"/>
    <w:rsid w:val="00E466F3"/>
    <w:rsid w:val="00E46DFD"/>
    <w:rsid w:val="00E47B2C"/>
    <w:rsid w:val="00E51560"/>
    <w:rsid w:val="00E51E94"/>
    <w:rsid w:val="00E531C1"/>
    <w:rsid w:val="00E53F59"/>
    <w:rsid w:val="00E53FC8"/>
    <w:rsid w:val="00E54347"/>
    <w:rsid w:val="00E55242"/>
    <w:rsid w:val="00E55424"/>
    <w:rsid w:val="00E55915"/>
    <w:rsid w:val="00E55BB5"/>
    <w:rsid w:val="00E56C44"/>
    <w:rsid w:val="00E61392"/>
    <w:rsid w:val="00E61C8F"/>
    <w:rsid w:val="00E640C3"/>
    <w:rsid w:val="00E6462C"/>
    <w:rsid w:val="00E64B29"/>
    <w:rsid w:val="00E65E79"/>
    <w:rsid w:val="00E6653C"/>
    <w:rsid w:val="00E66BA2"/>
    <w:rsid w:val="00E67416"/>
    <w:rsid w:val="00E67CED"/>
    <w:rsid w:val="00E67DD2"/>
    <w:rsid w:val="00E67E24"/>
    <w:rsid w:val="00E703C9"/>
    <w:rsid w:val="00E70469"/>
    <w:rsid w:val="00E718B6"/>
    <w:rsid w:val="00E723BA"/>
    <w:rsid w:val="00E73213"/>
    <w:rsid w:val="00E733FD"/>
    <w:rsid w:val="00E73581"/>
    <w:rsid w:val="00E74184"/>
    <w:rsid w:val="00E74F99"/>
    <w:rsid w:val="00E75A9A"/>
    <w:rsid w:val="00E76110"/>
    <w:rsid w:val="00E80405"/>
    <w:rsid w:val="00E80C67"/>
    <w:rsid w:val="00E80C6E"/>
    <w:rsid w:val="00E81DFC"/>
    <w:rsid w:val="00E82FCF"/>
    <w:rsid w:val="00E833F7"/>
    <w:rsid w:val="00E83BDF"/>
    <w:rsid w:val="00E84706"/>
    <w:rsid w:val="00E87A1D"/>
    <w:rsid w:val="00E9094A"/>
    <w:rsid w:val="00E91ABA"/>
    <w:rsid w:val="00E91D35"/>
    <w:rsid w:val="00E926A5"/>
    <w:rsid w:val="00E926E8"/>
    <w:rsid w:val="00E94E56"/>
    <w:rsid w:val="00E96568"/>
    <w:rsid w:val="00E97745"/>
    <w:rsid w:val="00E97B6F"/>
    <w:rsid w:val="00EA0660"/>
    <w:rsid w:val="00EA096E"/>
    <w:rsid w:val="00EA0EEC"/>
    <w:rsid w:val="00EA17C3"/>
    <w:rsid w:val="00EA2CAA"/>
    <w:rsid w:val="00EA32A8"/>
    <w:rsid w:val="00EA34A2"/>
    <w:rsid w:val="00EA3864"/>
    <w:rsid w:val="00EA51AA"/>
    <w:rsid w:val="00EA7F1C"/>
    <w:rsid w:val="00EB15B6"/>
    <w:rsid w:val="00EB25CF"/>
    <w:rsid w:val="00EB3A04"/>
    <w:rsid w:val="00EB3D06"/>
    <w:rsid w:val="00EB4916"/>
    <w:rsid w:val="00EB6D0B"/>
    <w:rsid w:val="00EB7947"/>
    <w:rsid w:val="00EB7D7B"/>
    <w:rsid w:val="00EC00C9"/>
    <w:rsid w:val="00EC0DD9"/>
    <w:rsid w:val="00EC2649"/>
    <w:rsid w:val="00EC2EF3"/>
    <w:rsid w:val="00EC31ED"/>
    <w:rsid w:val="00EC3968"/>
    <w:rsid w:val="00EC3C0A"/>
    <w:rsid w:val="00EC5836"/>
    <w:rsid w:val="00EC5C3B"/>
    <w:rsid w:val="00EC688C"/>
    <w:rsid w:val="00EC71C2"/>
    <w:rsid w:val="00ED13CC"/>
    <w:rsid w:val="00ED1F80"/>
    <w:rsid w:val="00ED3275"/>
    <w:rsid w:val="00ED57EA"/>
    <w:rsid w:val="00ED5BD4"/>
    <w:rsid w:val="00ED5FBB"/>
    <w:rsid w:val="00EE07D3"/>
    <w:rsid w:val="00EE0972"/>
    <w:rsid w:val="00EE13D8"/>
    <w:rsid w:val="00EE1996"/>
    <w:rsid w:val="00EE1C01"/>
    <w:rsid w:val="00EE22AF"/>
    <w:rsid w:val="00EE4FFD"/>
    <w:rsid w:val="00EE563C"/>
    <w:rsid w:val="00EF0171"/>
    <w:rsid w:val="00EF0C85"/>
    <w:rsid w:val="00EF12D9"/>
    <w:rsid w:val="00EF188F"/>
    <w:rsid w:val="00EF1B25"/>
    <w:rsid w:val="00EF1DA0"/>
    <w:rsid w:val="00EF1E43"/>
    <w:rsid w:val="00EF3041"/>
    <w:rsid w:val="00EF4532"/>
    <w:rsid w:val="00EF4747"/>
    <w:rsid w:val="00EF4BF8"/>
    <w:rsid w:val="00EF5991"/>
    <w:rsid w:val="00EF5E94"/>
    <w:rsid w:val="00F01FA1"/>
    <w:rsid w:val="00F02253"/>
    <w:rsid w:val="00F03C2E"/>
    <w:rsid w:val="00F043B7"/>
    <w:rsid w:val="00F04A5C"/>
    <w:rsid w:val="00F04A66"/>
    <w:rsid w:val="00F04B4B"/>
    <w:rsid w:val="00F0516C"/>
    <w:rsid w:val="00F05819"/>
    <w:rsid w:val="00F067A2"/>
    <w:rsid w:val="00F0704A"/>
    <w:rsid w:val="00F07B9E"/>
    <w:rsid w:val="00F101E7"/>
    <w:rsid w:val="00F107BF"/>
    <w:rsid w:val="00F107D9"/>
    <w:rsid w:val="00F1116F"/>
    <w:rsid w:val="00F11716"/>
    <w:rsid w:val="00F1263A"/>
    <w:rsid w:val="00F13464"/>
    <w:rsid w:val="00F14A9D"/>
    <w:rsid w:val="00F15B77"/>
    <w:rsid w:val="00F17FB4"/>
    <w:rsid w:val="00F24212"/>
    <w:rsid w:val="00F24837"/>
    <w:rsid w:val="00F2575F"/>
    <w:rsid w:val="00F2692E"/>
    <w:rsid w:val="00F27565"/>
    <w:rsid w:val="00F30649"/>
    <w:rsid w:val="00F310D4"/>
    <w:rsid w:val="00F312E2"/>
    <w:rsid w:val="00F31D5A"/>
    <w:rsid w:val="00F32EE5"/>
    <w:rsid w:val="00F33975"/>
    <w:rsid w:val="00F33DE9"/>
    <w:rsid w:val="00F33F6A"/>
    <w:rsid w:val="00F346C7"/>
    <w:rsid w:val="00F349AE"/>
    <w:rsid w:val="00F35E6D"/>
    <w:rsid w:val="00F3619A"/>
    <w:rsid w:val="00F40AAA"/>
    <w:rsid w:val="00F40BA7"/>
    <w:rsid w:val="00F40F9D"/>
    <w:rsid w:val="00F41ACD"/>
    <w:rsid w:val="00F41B3B"/>
    <w:rsid w:val="00F4229E"/>
    <w:rsid w:val="00F435A0"/>
    <w:rsid w:val="00F436F2"/>
    <w:rsid w:val="00F43BF4"/>
    <w:rsid w:val="00F44980"/>
    <w:rsid w:val="00F44F16"/>
    <w:rsid w:val="00F45345"/>
    <w:rsid w:val="00F45DF0"/>
    <w:rsid w:val="00F45F89"/>
    <w:rsid w:val="00F46BF3"/>
    <w:rsid w:val="00F46CB6"/>
    <w:rsid w:val="00F472DF"/>
    <w:rsid w:val="00F4756D"/>
    <w:rsid w:val="00F47DE8"/>
    <w:rsid w:val="00F507C7"/>
    <w:rsid w:val="00F517F9"/>
    <w:rsid w:val="00F51A94"/>
    <w:rsid w:val="00F54242"/>
    <w:rsid w:val="00F542C1"/>
    <w:rsid w:val="00F545FD"/>
    <w:rsid w:val="00F55E73"/>
    <w:rsid w:val="00F55EDA"/>
    <w:rsid w:val="00F56C80"/>
    <w:rsid w:val="00F57B17"/>
    <w:rsid w:val="00F60092"/>
    <w:rsid w:val="00F60CEC"/>
    <w:rsid w:val="00F61C18"/>
    <w:rsid w:val="00F635CD"/>
    <w:rsid w:val="00F64ECF"/>
    <w:rsid w:val="00F65F4B"/>
    <w:rsid w:val="00F67A69"/>
    <w:rsid w:val="00F70BFF"/>
    <w:rsid w:val="00F70C9D"/>
    <w:rsid w:val="00F7124C"/>
    <w:rsid w:val="00F7195E"/>
    <w:rsid w:val="00F72722"/>
    <w:rsid w:val="00F733C2"/>
    <w:rsid w:val="00F73419"/>
    <w:rsid w:val="00F73D30"/>
    <w:rsid w:val="00F74CD9"/>
    <w:rsid w:val="00F751F2"/>
    <w:rsid w:val="00F75A24"/>
    <w:rsid w:val="00F774CC"/>
    <w:rsid w:val="00F80A7B"/>
    <w:rsid w:val="00F80E5D"/>
    <w:rsid w:val="00F81E78"/>
    <w:rsid w:val="00F8309E"/>
    <w:rsid w:val="00F83D1D"/>
    <w:rsid w:val="00F851CE"/>
    <w:rsid w:val="00F86B8D"/>
    <w:rsid w:val="00F91219"/>
    <w:rsid w:val="00F92444"/>
    <w:rsid w:val="00F9393E"/>
    <w:rsid w:val="00F943BF"/>
    <w:rsid w:val="00F95343"/>
    <w:rsid w:val="00F95496"/>
    <w:rsid w:val="00F95CB0"/>
    <w:rsid w:val="00F96223"/>
    <w:rsid w:val="00F96FD0"/>
    <w:rsid w:val="00F97A78"/>
    <w:rsid w:val="00FA0B20"/>
    <w:rsid w:val="00FA127B"/>
    <w:rsid w:val="00FA24E7"/>
    <w:rsid w:val="00FA37B4"/>
    <w:rsid w:val="00FA3DA1"/>
    <w:rsid w:val="00FA3F68"/>
    <w:rsid w:val="00FA559B"/>
    <w:rsid w:val="00FA572A"/>
    <w:rsid w:val="00FA5EE6"/>
    <w:rsid w:val="00FA77ED"/>
    <w:rsid w:val="00FA7956"/>
    <w:rsid w:val="00FB1155"/>
    <w:rsid w:val="00FB2F64"/>
    <w:rsid w:val="00FB2FCB"/>
    <w:rsid w:val="00FB3763"/>
    <w:rsid w:val="00FB73D8"/>
    <w:rsid w:val="00FB7808"/>
    <w:rsid w:val="00FB7C55"/>
    <w:rsid w:val="00FC1074"/>
    <w:rsid w:val="00FC127E"/>
    <w:rsid w:val="00FC1884"/>
    <w:rsid w:val="00FC371D"/>
    <w:rsid w:val="00FC56D1"/>
    <w:rsid w:val="00FC5F0B"/>
    <w:rsid w:val="00FC63C3"/>
    <w:rsid w:val="00FC740E"/>
    <w:rsid w:val="00FD0356"/>
    <w:rsid w:val="00FD2100"/>
    <w:rsid w:val="00FD2E83"/>
    <w:rsid w:val="00FD35B5"/>
    <w:rsid w:val="00FD4189"/>
    <w:rsid w:val="00FD436C"/>
    <w:rsid w:val="00FD446D"/>
    <w:rsid w:val="00FD4F2C"/>
    <w:rsid w:val="00FD50A6"/>
    <w:rsid w:val="00FD5D1E"/>
    <w:rsid w:val="00FD6394"/>
    <w:rsid w:val="00FD72E5"/>
    <w:rsid w:val="00FD73AE"/>
    <w:rsid w:val="00FD7B69"/>
    <w:rsid w:val="00FE0118"/>
    <w:rsid w:val="00FE0E6C"/>
    <w:rsid w:val="00FE1CDC"/>
    <w:rsid w:val="00FE3FD2"/>
    <w:rsid w:val="00FE5635"/>
    <w:rsid w:val="00FE5A5C"/>
    <w:rsid w:val="00FE5CD4"/>
    <w:rsid w:val="00FE70C3"/>
    <w:rsid w:val="00FF0535"/>
    <w:rsid w:val="00FF1AD1"/>
    <w:rsid w:val="00FF26DA"/>
    <w:rsid w:val="00FF2AD9"/>
    <w:rsid w:val="00FF30AA"/>
    <w:rsid w:val="00FF32FA"/>
    <w:rsid w:val="00FF359F"/>
    <w:rsid w:val="00FF3DCF"/>
    <w:rsid w:val="00FF492C"/>
    <w:rsid w:val="00FF4A21"/>
    <w:rsid w:val="00FF4EC7"/>
    <w:rsid w:val="00FF4F23"/>
    <w:rsid w:val="00FF5789"/>
    <w:rsid w:val="00FF5AA3"/>
    <w:rsid w:val="00FF5AD8"/>
    <w:rsid w:val="00FF5B88"/>
    <w:rsid w:val="00FF60AC"/>
    <w:rsid w:val="00FF7C29"/>
    <w:rsid w:val="00FF7D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6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1F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3"/>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69"/>
    <w:unhideWhenUsed/>
    <w:qFormat/>
    <w:rsid w:val="00F05819"/>
    <w:rPr>
      <w:sz w:val="16"/>
      <w:szCs w:val="16"/>
    </w:rPr>
  </w:style>
  <w:style w:type="paragraph" w:styleId="CommentText">
    <w:name w:val="annotation text"/>
    <w:basedOn w:val="Normal"/>
    <w:link w:val="CommentTextChar"/>
    <w:uiPriority w:val="99"/>
    <w:unhideWhenUsed/>
    <w:rsid w:val="00F05819"/>
    <w:rPr>
      <w:sz w:val="20"/>
      <w:szCs w:val="20"/>
    </w:rPr>
  </w:style>
  <w:style w:type="character" w:customStyle="1" w:styleId="CommentTextChar">
    <w:name w:val="Comment Text Char"/>
    <w:basedOn w:val="DefaultParagraphFont"/>
    <w:link w:val="CommentText"/>
    <w:uiPriority w:val="99"/>
    <w:rsid w:val="00F05819"/>
    <w:rPr>
      <w:rFonts w:ascii="Calibri" w:hAnsi="Calibri" w:cs="Arial"/>
    </w:rPr>
  </w:style>
  <w:style w:type="paragraph" w:styleId="CommentSubject">
    <w:name w:val="annotation subject"/>
    <w:basedOn w:val="CommentText"/>
    <w:next w:val="CommentText"/>
    <w:link w:val="CommentSubjectChar"/>
    <w:semiHidden/>
    <w:unhideWhenUsed/>
    <w:rsid w:val="00F05819"/>
    <w:rPr>
      <w:b/>
      <w:bCs/>
    </w:rPr>
  </w:style>
  <w:style w:type="character" w:customStyle="1" w:styleId="CommentSubjectChar">
    <w:name w:val="Comment Subject Char"/>
    <w:basedOn w:val="CommentTextChar"/>
    <w:link w:val="CommentSubject"/>
    <w:semiHidden/>
    <w:rsid w:val="00F05819"/>
    <w:rPr>
      <w:rFonts w:ascii="Calibri" w:hAnsi="Calibri" w:cs="Arial"/>
      <w:b/>
      <w:bCs/>
    </w:rPr>
  </w:style>
  <w:style w:type="paragraph" w:styleId="Header">
    <w:name w:val="header"/>
    <w:aliases w:val="Page Header,Header title,he=header,cntr/bld"/>
    <w:basedOn w:val="Normal"/>
    <w:link w:val="HeaderChar"/>
    <w:uiPriority w:val="99"/>
    <w:unhideWhenUsed/>
    <w:qFormat/>
    <w:rsid w:val="00F0581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05819"/>
    <w:rPr>
      <w:rFonts w:ascii="Calibri" w:hAnsi="Calibri" w:cs="Arial"/>
      <w:sz w:val="24"/>
      <w:szCs w:val="24"/>
    </w:rPr>
  </w:style>
  <w:style w:type="paragraph" w:styleId="Footer">
    <w:name w:val="footer"/>
    <w:basedOn w:val="Normal"/>
    <w:link w:val="FooterChar"/>
    <w:uiPriority w:val="99"/>
    <w:unhideWhenUsed/>
    <w:rsid w:val="00F05819"/>
    <w:pPr>
      <w:tabs>
        <w:tab w:val="center" w:pos="4513"/>
        <w:tab w:val="right" w:pos="9026"/>
      </w:tabs>
    </w:pPr>
  </w:style>
  <w:style w:type="character" w:customStyle="1" w:styleId="FooterChar">
    <w:name w:val="Footer Char"/>
    <w:basedOn w:val="DefaultParagraphFont"/>
    <w:link w:val="Footer"/>
    <w:uiPriority w:val="99"/>
    <w:rsid w:val="00F05819"/>
    <w:rPr>
      <w:rFonts w:ascii="Calibri" w:hAnsi="Calibri" w:cs="Arial"/>
      <w:sz w:val="24"/>
      <w:szCs w:val="24"/>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next w:val="ListBullet"/>
    <w:link w:val="ListParagraphChar"/>
    <w:uiPriority w:val="34"/>
    <w:qFormat/>
    <w:rsid w:val="00F05819"/>
    <w:pPr>
      <w:spacing w:after="120"/>
      <w:ind w:left="720" w:hanging="36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F05819"/>
    <w:rPr>
      <w:rFonts w:asciiTheme="minorHAnsi" w:hAnsiTheme="minorHAnsi" w:cs="Arial"/>
      <w:snapToGrid w:val="0"/>
      <w:sz w:val="24"/>
      <w:szCs w:val="24"/>
    </w:rPr>
  </w:style>
  <w:style w:type="paragraph" w:customStyle="1" w:styleId="TableFigureHeading">
    <w:name w:val="Table/Figure Heading"/>
    <w:next w:val="Normal"/>
    <w:link w:val="TableFigureHeadingChar"/>
    <w:qFormat/>
    <w:rsid w:val="006E42F0"/>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E42F0"/>
    <w:rPr>
      <w:rFonts w:ascii="Arial Narrow" w:eastAsiaTheme="majorEastAsia" w:hAnsi="Arial Narrow" w:cstheme="majorBidi"/>
      <w:b/>
      <w:bCs/>
      <w:szCs w:val="24"/>
    </w:rPr>
  </w:style>
  <w:style w:type="paragraph" w:customStyle="1" w:styleId="TableFooter">
    <w:name w:val="Table Footer"/>
    <w:basedOn w:val="Normal"/>
    <w:link w:val="TableFooterChar"/>
    <w:qFormat/>
    <w:rsid w:val="002A5805"/>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2A5805"/>
    <w:rPr>
      <w:rFonts w:ascii="Arial Narrow" w:hAnsi="Arial Narrow" w:cs="Arial"/>
      <w:snapToGrid w:val="0"/>
      <w:sz w:val="18"/>
      <w:lang w:eastAsia="en-US"/>
    </w:rPr>
  </w:style>
  <w:style w:type="paragraph" w:customStyle="1" w:styleId="Tabletext0">
    <w:name w:val="Table text"/>
    <w:basedOn w:val="Normal"/>
    <w:link w:val="TabletextChar0"/>
    <w:qFormat/>
    <w:rsid w:val="004C2588"/>
    <w:pPr>
      <w:jc w:val="left"/>
    </w:pPr>
    <w:rPr>
      <w:rFonts w:ascii="Arial Narrow" w:hAnsi="Arial Narrow" w:cs="Times New Roman"/>
      <w:sz w:val="20"/>
      <w:szCs w:val="20"/>
      <w:lang w:eastAsia="en-US"/>
    </w:rPr>
  </w:style>
  <w:style w:type="character" w:customStyle="1" w:styleId="TabletextChar0">
    <w:name w:val="Table text Char"/>
    <w:link w:val="Tabletext0"/>
    <w:rsid w:val="004C2588"/>
    <w:rPr>
      <w:rFonts w:ascii="Arial Narrow" w:hAnsi="Arial Narrow"/>
      <w:lang w:eastAsia="en-US"/>
    </w:rPr>
  </w:style>
  <w:style w:type="table" w:customStyle="1" w:styleId="AZTable1">
    <w:name w:val="AZ Table1"/>
    <w:basedOn w:val="TableNormal"/>
    <w:uiPriority w:val="99"/>
    <w:rsid w:val="008766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TableGrid1">
    <w:name w:val="Table Grid1"/>
    <w:basedOn w:val="TableNormal"/>
    <w:next w:val="TableGrid"/>
    <w:uiPriority w:val="39"/>
    <w:rsid w:val="004851EA"/>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link w:val="TableHeadingChar"/>
    <w:qFormat/>
    <w:rsid w:val="007C1C3A"/>
    <w:pPr>
      <w:keepLines/>
      <w:spacing w:before="20" w:after="20" w:line="276" w:lineRule="auto"/>
    </w:pPr>
    <w:rPr>
      <w:rFonts w:cs="Arial"/>
      <w:b/>
      <w:bCs w:val="0"/>
      <w:szCs w:val="20"/>
      <w:lang w:bidi="en-US"/>
    </w:rPr>
  </w:style>
  <w:style w:type="character" w:customStyle="1" w:styleId="TableHeadingChar">
    <w:name w:val="Table Heading Char"/>
    <w:link w:val="TableHeading"/>
    <w:rsid w:val="007C1C3A"/>
    <w:rPr>
      <w:rFonts w:ascii="Arial Narrow" w:eastAsiaTheme="majorEastAsia" w:hAnsi="Arial Narrow" w:cs="Arial"/>
      <w:b/>
      <w:lang w:bidi="en-US"/>
    </w:rPr>
  </w:style>
  <w:style w:type="paragraph" w:customStyle="1" w:styleId="Tabletextcentred">
    <w:name w:val="Table text centred"/>
    <w:basedOn w:val="Normal"/>
    <w:link w:val="TabletextcentredChar"/>
    <w:qFormat/>
    <w:rsid w:val="00823A7C"/>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823A7C"/>
    <w:rPr>
      <w:rFonts w:ascii="Arial Narrow" w:hAnsi="Arial Narrow" w:cs="Arial Narrow"/>
      <w:lang w:eastAsia="en-US"/>
    </w:rPr>
  </w:style>
  <w:style w:type="table" w:customStyle="1" w:styleId="Summarybox3">
    <w:name w:val="Summary box3"/>
    <w:basedOn w:val="TableNormal"/>
    <w:next w:val="TableGrid"/>
    <w:uiPriority w:val="59"/>
    <w:rsid w:val="0082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ACTableTextChar">
    <w:name w:val="PBAC Table Text Char"/>
    <w:basedOn w:val="DefaultParagraphFont"/>
    <w:link w:val="PBACTableText"/>
    <w:locked/>
    <w:rsid w:val="00050DD7"/>
    <w:rPr>
      <w:rFonts w:ascii="Arial Narrow" w:hAnsi="Arial Narrow"/>
    </w:rPr>
  </w:style>
  <w:style w:type="paragraph" w:customStyle="1" w:styleId="PBACTableText">
    <w:name w:val="PBAC Table Text"/>
    <w:basedOn w:val="Normal"/>
    <w:link w:val="PBACTableTextChar"/>
    <w:qFormat/>
    <w:rsid w:val="00050DD7"/>
    <w:pPr>
      <w:spacing w:before="40" w:after="40"/>
    </w:pPr>
    <w:rPr>
      <w:rFonts w:ascii="Arial Narrow" w:hAnsi="Arial Narrow" w:cs="Times New Roman"/>
      <w:sz w:val="20"/>
      <w:szCs w:val="20"/>
    </w:rPr>
  </w:style>
  <w:style w:type="paragraph" w:customStyle="1" w:styleId="In-tableHeading">
    <w:name w:val="In-table Heading"/>
    <w:qFormat/>
    <w:rsid w:val="00592F09"/>
    <w:pPr>
      <w:keepNext/>
    </w:pPr>
    <w:rPr>
      <w:rFonts w:ascii="Arial Narrow" w:eastAsiaTheme="majorEastAsia" w:hAnsi="Arial Narrow"/>
      <w:b/>
      <w:szCs w:val="24"/>
      <w:lang w:val="en-US"/>
    </w:rPr>
  </w:style>
  <w:style w:type="paragraph" w:customStyle="1" w:styleId="4-SubsectionHeading">
    <w:name w:val="4-Subsection Heading"/>
    <w:basedOn w:val="Heading2"/>
    <w:next w:val="Normal"/>
    <w:link w:val="4-SubsectionHeadingChar"/>
    <w:qFormat/>
    <w:rsid w:val="006244C1"/>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6244C1"/>
    <w:rPr>
      <w:rFonts w:asciiTheme="minorHAnsi" w:eastAsiaTheme="majorEastAsia" w:hAnsiTheme="minorHAnsi" w:cstheme="majorBidi"/>
      <w:b/>
      <w:i/>
      <w:snapToGrid/>
      <w:spacing w:val="5"/>
      <w:kern w:val="28"/>
      <w:sz w:val="28"/>
      <w:szCs w:val="36"/>
      <w:lang w:eastAsia="en-US"/>
    </w:rPr>
  </w:style>
  <w:style w:type="paragraph" w:customStyle="1" w:styleId="PBACHeading1">
    <w:name w:val="PBAC Heading 1"/>
    <w:qFormat/>
    <w:rsid w:val="002207AF"/>
    <w:pPr>
      <w:ind w:left="720" w:hanging="720"/>
      <w:outlineLvl w:val="0"/>
    </w:pPr>
    <w:rPr>
      <w:rFonts w:ascii="Calibri" w:hAnsi="Calibri" w:cs="Calibri"/>
      <w:b/>
      <w:snapToGrid w:val="0"/>
      <w:sz w:val="32"/>
      <w:szCs w:val="32"/>
      <w:lang w:eastAsia="en-US"/>
    </w:rPr>
  </w:style>
  <w:style w:type="paragraph" w:styleId="EndnoteText">
    <w:name w:val="endnote text"/>
    <w:basedOn w:val="Normal"/>
    <w:link w:val="EndnoteTextChar"/>
    <w:semiHidden/>
    <w:unhideWhenUsed/>
    <w:rsid w:val="00285713"/>
    <w:rPr>
      <w:sz w:val="20"/>
      <w:szCs w:val="20"/>
    </w:rPr>
  </w:style>
  <w:style w:type="character" w:customStyle="1" w:styleId="EndnoteTextChar">
    <w:name w:val="Endnote Text Char"/>
    <w:basedOn w:val="DefaultParagraphFont"/>
    <w:link w:val="EndnoteText"/>
    <w:semiHidden/>
    <w:rsid w:val="00285713"/>
    <w:rPr>
      <w:rFonts w:ascii="Calibri" w:hAnsi="Calibri" w:cs="Arial"/>
    </w:rPr>
  </w:style>
  <w:style w:type="character" w:styleId="EndnoteReference">
    <w:name w:val="endnote reference"/>
    <w:basedOn w:val="DefaultParagraphFont"/>
    <w:semiHidden/>
    <w:unhideWhenUsed/>
    <w:rsid w:val="00285713"/>
    <w:rPr>
      <w:vertAlign w:val="superscript"/>
    </w:rPr>
  </w:style>
  <w:style w:type="paragraph" w:styleId="FootnoteText">
    <w:name w:val="footnote text"/>
    <w:basedOn w:val="Normal"/>
    <w:link w:val="FootnoteTextChar"/>
    <w:semiHidden/>
    <w:unhideWhenUsed/>
    <w:rsid w:val="00285713"/>
    <w:rPr>
      <w:sz w:val="20"/>
      <w:szCs w:val="20"/>
    </w:rPr>
  </w:style>
  <w:style w:type="character" w:customStyle="1" w:styleId="FootnoteTextChar">
    <w:name w:val="Footnote Text Char"/>
    <w:basedOn w:val="DefaultParagraphFont"/>
    <w:link w:val="FootnoteText"/>
    <w:semiHidden/>
    <w:rsid w:val="00285713"/>
    <w:rPr>
      <w:rFonts w:ascii="Calibri" w:hAnsi="Calibri" w:cs="Arial"/>
    </w:rPr>
  </w:style>
  <w:style w:type="character" w:styleId="FootnoteReference">
    <w:name w:val="footnote reference"/>
    <w:basedOn w:val="DefaultParagraphFont"/>
    <w:semiHidden/>
    <w:unhideWhenUsed/>
    <w:rsid w:val="002857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2478">
      <w:bodyDiv w:val="1"/>
      <w:marLeft w:val="0"/>
      <w:marRight w:val="0"/>
      <w:marTop w:val="0"/>
      <w:marBottom w:val="0"/>
      <w:divBdr>
        <w:top w:val="none" w:sz="0" w:space="0" w:color="auto"/>
        <w:left w:val="none" w:sz="0" w:space="0" w:color="auto"/>
        <w:bottom w:val="none" w:sz="0" w:space="0" w:color="auto"/>
        <w:right w:val="none" w:sz="0" w:space="0" w:color="auto"/>
      </w:divBdr>
      <w:divsChild>
        <w:div w:id="118375195">
          <w:marLeft w:val="360"/>
          <w:marRight w:val="0"/>
          <w:marTop w:val="200"/>
          <w:marBottom w:val="0"/>
          <w:divBdr>
            <w:top w:val="none" w:sz="0" w:space="0" w:color="auto"/>
            <w:left w:val="none" w:sz="0" w:space="0" w:color="auto"/>
            <w:bottom w:val="none" w:sz="0" w:space="0" w:color="auto"/>
            <w:right w:val="none" w:sz="0" w:space="0" w:color="auto"/>
          </w:divBdr>
        </w:div>
        <w:div w:id="1102140085">
          <w:marLeft w:val="1080"/>
          <w:marRight w:val="0"/>
          <w:marTop w:val="100"/>
          <w:marBottom w:val="0"/>
          <w:divBdr>
            <w:top w:val="none" w:sz="0" w:space="0" w:color="auto"/>
            <w:left w:val="none" w:sz="0" w:space="0" w:color="auto"/>
            <w:bottom w:val="none" w:sz="0" w:space="0" w:color="auto"/>
            <w:right w:val="none" w:sz="0" w:space="0" w:color="auto"/>
          </w:divBdr>
        </w:div>
        <w:div w:id="1528446015">
          <w:marLeft w:val="1080"/>
          <w:marRight w:val="0"/>
          <w:marTop w:val="100"/>
          <w:marBottom w:val="0"/>
          <w:divBdr>
            <w:top w:val="none" w:sz="0" w:space="0" w:color="auto"/>
            <w:left w:val="none" w:sz="0" w:space="0" w:color="auto"/>
            <w:bottom w:val="none" w:sz="0" w:space="0" w:color="auto"/>
            <w:right w:val="none" w:sz="0" w:space="0" w:color="auto"/>
          </w:divBdr>
        </w:div>
        <w:div w:id="915092997">
          <w:marLeft w:val="1080"/>
          <w:marRight w:val="0"/>
          <w:marTop w:val="100"/>
          <w:marBottom w:val="0"/>
          <w:divBdr>
            <w:top w:val="none" w:sz="0" w:space="0" w:color="auto"/>
            <w:left w:val="none" w:sz="0" w:space="0" w:color="auto"/>
            <w:bottom w:val="none" w:sz="0" w:space="0" w:color="auto"/>
            <w:right w:val="none" w:sz="0" w:space="0" w:color="auto"/>
          </w:divBdr>
        </w:div>
      </w:divsChild>
    </w:div>
    <w:div w:id="55208101">
      <w:bodyDiv w:val="1"/>
      <w:marLeft w:val="0"/>
      <w:marRight w:val="0"/>
      <w:marTop w:val="0"/>
      <w:marBottom w:val="0"/>
      <w:divBdr>
        <w:top w:val="none" w:sz="0" w:space="0" w:color="auto"/>
        <w:left w:val="none" w:sz="0" w:space="0" w:color="auto"/>
        <w:bottom w:val="none" w:sz="0" w:space="0" w:color="auto"/>
        <w:right w:val="none" w:sz="0" w:space="0" w:color="auto"/>
      </w:divBdr>
      <w:divsChild>
        <w:div w:id="616713880">
          <w:marLeft w:val="360"/>
          <w:marRight w:val="0"/>
          <w:marTop w:val="200"/>
          <w:marBottom w:val="0"/>
          <w:divBdr>
            <w:top w:val="none" w:sz="0" w:space="0" w:color="auto"/>
            <w:left w:val="none" w:sz="0" w:space="0" w:color="auto"/>
            <w:bottom w:val="none" w:sz="0" w:space="0" w:color="auto"/>
            <w:right w:val="none" w:sz="0" w:space="0" w:color="auto"/>
          </w:divBdr>
        </w:div>
        <w:div w:id="29040597">
          <w:marLeft w:val="1080"/>
          <w:marRight w:val="0"/>
          <w:marTop w:val="100"/>
          <w:marBottom w:val="0"/>
          <w:divBdr>
            <w:top w:val="none" w:sz="0" w:space="0" w:color="auto"/>
            <w:left w:val="none" w:sz="0" w:space="0" w:color="auto"/>
            <w:bottom w:val="none" w:sz="0" w:space="0" w:color="auto"/>
            <w:right w:val="none" w:sz="0" w:space="0" w:color="auto"/>
          </w:divBdr>
        </w:div>
        <w:div w:id="1611820221">
          <w:marLeft w:val="1080"/>
          <w:marRight w:val="0"/>
          <w:marTop w:val="100"/>
          <w:marBottom w:val="0"/>
          <w:divBdr>
            <w:top w:val="none" w:sz="0" w:space="0" w:color="auto"/>
            <w:left w:val="none" w:sz="0" w:space="0" w:color="auto"/>
            <w:bottom w:val="none" w:sz="0" w:space="0" w:color="auto"/>
            <w:right w:val="none" w:sz="0" w:space="0" w:color="auto"/>
          </w:divBdr>
        </w:div>
        <w:div w:id="199897538">
          <w:marLeft w:val="1080"/>
          <w:marRight w:val="0"/>
          <w:marTop w:val="100"/>
          <w:marBottom w:val="0"/>
          <w:divBdr>
            <w:top w:val="none" w:sz="0" w:space="0" w:color="auto"/>
            <w:left w:val="none" w:sz="0" w:space="0" w:color="auto"/>
            <w:bottom w:val="none" w:sz="0" w:space="0" w:color="auto"/>
            <w:right w:val="none" w:sz="0" w:space="0" w:color="auto"/>
          </w:divBdr>
        </w:div>
        <w:div w:id="735400303">
          <w:marLeft w:val="1080"/>
          <w:marRight w:val="0"/>
          <w:marTop w:val="100"/>
          <w:marBottom w:val="0"/>
          <w:divBdr>
            <w:top w:val="none" w:sz="0" w:space="0" w:color="auto"/>
            <w:left w:val="none" w:sz="0" w:space="0" w:color="auto"/>
            <w:bottom w:val="none" w:sz="0" w:space="0" w:color="auto"/>
            <w:right w:val="none" w:sz="0" w:space="0" w:color="auto"/>
          </w:divBdr>
        </w:div>
        <w:div w:id="225839042">
          <w:marLeft w:val="360"/>
          <w:marRight w:val="0"/>
          <w:marTop w:val="200"/>
          <w:marBottom w:val="0"/>
          <w:divBdr>
            <w:top w:val="none" w:sz="0" w:space="0" w:color="auto"/>
            <w:left w:val="none" w:sz="0" w:space="0" w:color="auto"/>
            <w:bottom w:val="none" w:sz="0" w:space="0" w:color="auto"/>
            <w:right w:val="none" w:sz="0" w:space="0" w:color="auto"/>
          </w:divBdr>
        </w:div>
        <w:div w:id="2041736010">
          <w:marLeft w:val="360"/>
          <w:marRight w:val="0"/>
          <w:marTop w:val="200"/>
          <w:marBottom w:val="0"/>
          <w:divBdr>
            <w:top w:val="none" w:sz="0" w:space="0" w:color="auto"/>
            <w:left w:val="none" w:sz="0" w:space="0" w:color="auto"/>
            <w:bottom w:val="none" w:sz="0" w:space="0" w:color="auto"/>
            <w:right w:val="none" w:sz="0" w:space="0" w:color="auto"/>
          </w:divBdr>
        </w:div>
        <w:div w:id="1209344612">
          <w:marLeft w:val="1080"/>
          <w:marRight w:val="0"/>
          <w:marTop w:val="100"/>
          <w:marBottom w:val="0"/>
          <w:divBdr>
            <w:top w:val="none" w:sz="0" w:space="0" w:color="auto"/>
            <w:left w:val="none" w:sz="0" w:space="0" w:color="auto"/>
            <w:bottom w:val="none" w:sz="0" w:space="0" w:color="auto"/>
            <w:right w:val="none" w:sz="0" w:space="0" w:color="auto"/>
          </w:divBdr>
        </w:div>
        <w:div w:id="2028212112">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3915011">
      <w:bodyDiv w:val="1"/>
      <w:marLeft w:val="0"/>
      <w:marRight w:val="0"/>
      <w:marTop w:val="0"/>
      <w:marBottom w:val="0"/>
      <w:divBdr>
        <w:top w:val="none" w:sz="0" w:space="0" w:color="auto"/>
        <w:left w:val="none" w:sz="0" w:space="0" w:color="auto"/>
        <w:bottom w:val="none" w:sz="0" w:space="0" w:color="auto"/>
        <w:right w:val="none" w:sz="0" w:space="0" w:color="auto"/>
      </w:divBdr>
      <w:divsChild>
        <w:div w:id="795611194">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3252341">
      <w:bodyDiv w:val="1"/>
      <w:marLeft w:val="0"/>
      <w:marRight w:val="0"/>
      <w:marTop w:val="0"/>
      <w:marBottom w:val="0"/>
      <w:divBdr>
        <w:top w:val="none" w:sz="0" w:space="0" w:color="auto"/>
        <w:left w:val="none" w:sz="0" w:space="0" w:color="auto"/>
        <w:bottom w:val="none" w:sz="0" w:space="0" w:color="auto"/>
        <w:right w:val="none" w:sz="0" w:space="0" w:color="auto"/>
      </w:divBdr>
      <w:divsChild>
        <w:div w:id="259148175">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8436162">
      <w:bodyDiv w:val="1"/>
      <w:marLeft w:val="0"/>
      <w:marRight w:val="0"/>
      <w:marTop w:val="0"/>
      <w:marBottom w:val="0"/>
      <w:divBdr>
        <w:top w:val="none" w:sz="0" w:space="0" w:color="auto"/>
        <w:left w:val="none" w:sz="0" w:space="0" w:color="auto"/>
        <w:bottom w:val="none" w:sz="0" w:space="0" w:color="auto"/>
        <w:right w:val="none" w:sz="0" w:space="0" w:color="auto"/>
      </w:divBdr>
      <w:divsChild>
        <w:div w:id="1899323195">
          <w:marLeft w:val="1080"/>
          <w:marRight w:val="0"/>
          <w:marTop w:val="100"/>
          <w:marBottom w:val="0"/>
          <w:divBdr>
            <w:top w:val="none" w:sz="0" w:space="0" w:color="auto"/>
            <w:left w:val="none" w:sz="0" w:space="0" w:color="auto"/>
            <w:bottom w:val="none" w:sz="0" w:space="0" w:color="auto"/>
            <w:right w:val="none" w:sz="0" w:space="0" w:color="auto"/>
          </w:divBdr>
        </w:div>
        <w:div w:id="915438961">
          <w:marLeft w:val="1800"/>
          <w:marRight w:val="0"/>
          <w:marTop w:val="100"/>
          <w:marBottom w:val="0"/>
          <w:divBdr>
            <w:top w:val="none" w:sz="0" w:space="0" w:color="auto"/>
            <w:left w:val="none" w:sz="0" w:space="0" w:color="auto"/>
            <w:bottom w:val="none" w:sz="0" w:space="0" w:color="auto"/>
            <w:right w:val="none" w:sz="0" w:space="0" w:color="auto"/>
          </w:divBdr>
        </w:div>
      </w:divsChild>
    </w:div>
    <w:div w:id="351612055">
      <w:bodyDiv w:val="1"/>
      <w:marLeft w:val="0"/>
      <w:marRight w:val="0"/>
      <w:marTop w:val="0"/>
      <w:marBottom w:val="0"/>
      <w:divBdr>
        <w:top w:val="none" w:sz="0" w:space="0" w:color="auto"/>
        <w:left w:val="none" w:sz="0" w:space="0" w:color="auto"/>
        <w:bottom w:val="none" w:sz="0" w:space="0" w:color="auto"/>
        <w:right w:val="none" w:sz="0" w:space="0" w:color="auto"/>
      </w:divBdr>
      <w:divsChild>
        <w:div w:id="2084990093">
          <w:marLeft w:val="1080"/>
          <w:marRight w:val="0"/>
          <w:marTop w:val="100"/>
          <w:marBottom w:val="0"/>
          <w:divBdr>
            <w:top w:val="none" w:sz="0" w:space="0" w:color="auto"/>
            <w:left w:val="none" w:sz="0" w:space="0" w:color="auto"/>
            <w:bottom w:val="none" w:sz="0" w:space="0" w:color="auto"/>
            <w:right w:val="none" w:sz="0" w:space="0" w:color="auto"/>
          </w:divBdr>
        </w:div>
        <w:div w:id="2077043098">
          <w:marLeft w:val="360"/>
          <w:marRight w:val="0"/>
          <w:marTop w:val="200"/>
          <w:marBottom w:val="0"/>
          <w:divBdr>
            <w:top w:val="none" w:sz="0" w:space="0" w:color="auto"/>
            <w:left w:val="none" w:sz="0" w:space="0" w:color="auto"/>
            <w:bottom w:val="none" w:sz="0" w:space="0" w:color="auto"/>
            <w:right w:val="none" w:sz="0" w:space="0" w:color="auto"/>
          </w:divBdr>
        </w:div>
      </w:divsChild>
    </w:div>
    <w:div w:id="416943596">
      <w:bodyDiv w:val="1"/>
      <w:marLeft w:val="0"/>
      <w:marRight w:val="0"/>
      <w:marTop w:val="0"/>
      <w:marBottom w:val="0"/>
      <w:divBdr>
        <w:top w:val="none" w:sz="0" w:space="0" w:color="auto"/>
        <w:left w:val="none" w:sz="0" w:space="0" w:color="auto"/>
        <w:bottom w:val="none" w:sz="0" w:space="0" w:color="auto"/>
        <w:right w:val="none" w:sz="0" w:space="0" w:color="auto"/>
      </w:divBdr>
      <w:divsChild>
        <w:div w:id="749812699">
          <w:marLeft w:val="360"/>
          <w:marRight w:val="0"/>
          <w:marTop w:val="200"/>
          <w:marBottom w:val="0"/>
          <w:divBdr>
            <w:top w:val="none" w:sz="0" w:space="0" w:color="auto"/>
            <w:left w:val="none" w:sz="0" w:space="0" w:color="auto"/>
            <w:bottom w:val="none" w:sz="0" w:space="0" w:color="auto"/>
            <w:right w:val="none" w:sz="0" w:space="0" w:color="auto"/>
          </w:divBdr>
        </w:div>
        <w:div w:id="884372701">
          <w:marLeft w:val="1080"/>
          <w:marRight w:val="0"/>
          <w:marTop w:val="100"/>
          <w:marBottom w:val="0"/>
          <w:divBdr>
            <w:top w:val="none" w:sz="0" w:space="0" w:color="auto"/>
            <w:left w:val="none" w:sz="0" w:space="0" w:color="auto"/>
            <w:bottom w:val="none" w:sz="0" w:space="0" w:color="auto"/>
            <w:right w:val="none" w:sz="0" w:space="0" w:color="auto"/>
          </w:divBdr>
        </w:div>
        <w:div w:id="1121923343">
          <w:marLeft w:val="360"/>
          <w:marRight w:val="0"/>
          <w:marTop w:val="200"/>
          <w:marBottom w:val="0"/>
          <w:divBdr>
            <w:top w:val="none" w:sz="0" w:space="0" w:color="auto"/>
            <w:left w:val="none" w:sz="0" w:space="0" w:color="auto"/>
            <w:bottom w:val="none" w:sz="0" w:space="0" w:color="auto"/>
            <w:right w:val="none" w:sz="0" w:space="0" w:color="auto"/>
          </w:divBdr>
        </w:div>
        <w:div w:id="1102412783">
          <w:marLeft w:val="360"/>
          <w:marRight w:val="0"/>
          <w:marTop w:val="200"/>
          <w:marBottom w:val="0"/>
          <w:divBdr>
            <w:top w:val="none" w:sz="0" w:space="0" w:color="auto"/>
            <w:left w:val="none" w:sz="0" w:space="0" w:color="auto"/>
            <w:bottom w:val="none" w:sz="0" w:space="0" w:color="auto"/>
            <w:right w:val="none" w:sz="0" w:space="0" w:color="auto"/>
          </w:divBdr>
        </w:div>
        <w:div w:id="4284582">
          <w:marLeft w:val="1080"/>
          <w:marRight w:val="0"/>
          <w:marTop w:val="100"/>
          <w:marBottom w:val="0"/>
          <w:divBdr>
            <w:top w:val="none" w:sz="0" w:space="0" w:color="auto"/>
            <w:left w:val="none" w:sz="0" w:space="0" w:color="auto"/>
            <w:bottom w:val="none" w:sz="0" w:space="0" w:color="auto"/>
            <w:right w:val="none" w:sz="0" w:space="0" w:color="auto"/>
          </w:divBdr>
        </w:div>
        <w:div w:id="1697583399">
          <w:marLeft w:val="1080"/>
          <w:marRight w:val="0"/>
          <w:marTop w:val="100"/>
          <w:marBottom w:val="0"/>
          <w:divBdr>
            <w:top w:val="none" w:sz="0" w:space="0" w:color="auto"/>
            <w:left w:val="none" w:sz="0" w:space="0" w:color="auto"/>
            <w:bottom w:val="none" w:sz="0" w:space="0" w:color="auto"/>
            <w:right w:val="none" w:sz="0" w:space="0" w:color="auto"/>
          </w:divBdr>
        </w:div>
        <w:div w:id="1116218941">
          <w:marLeft w:val="1800"/>
          <w:marRight w:val="0"/>
          <w:marTop w:val="100"/>
          <w:marBottom w:val="0"/>
          <w:divBdr>
            <w:top w:val="none" w:sz="0" w:space="0" w:color="auto"/>
            <w:left w:val="none" w:sz="0" w:space="0" w:color="auto"/>
            <w:bottom w:val="none" w:sz="0" w:space="0" w:color="auto"/>
            <w:right w:val="none" w:sz="0" w:space="0" w:color="auto"/>
          </w:divBdr>
        </w:div>
        <w:div w:id="1982149124">
          <w:marLeft w:val="1800"/>
          <w:marRight w:val="0"/>
          <w:marTop w:val="100"/>
          <w:marBottom w:val="0"/>
          <w:divBdr>
            <w:top w:val="none" w:sz="0" w:space="0" w:color="auto"/>
            <w:left w:val="none" w:sz="0" w:space="0" w:color="auto"/>
            <w:bottom w:val="none" w:sz="0" w:space="0" w:color="auto"/>
            <w:right w:val="none" w:sz="0" w:space="0" w:color="auto"/>
          </w:divBdr>
        </w:div>
        <w:div w:id="183978303">
          <w:marLeft w:val="360"/>
          <w:marRight w:val="0"/>
          <w:marTop w:val="200"/>
          <w:marBottom w:val="0"/>
          <w:divBdr>
            <w:top w:val="none" w:sz="0" w:space="0" w:color="auto"/>
            <w:left w:val="none" w:sz="0" w:space="0" w:color="auto"/>
            <w:bottom w:val="none" w:sz="0" w:space="0" w:color="auto"/>
            <w:right w:val="none" w:sz="0" w:space="0" w:color="auto"/>
          </w:divBdr>
        </w:div>
        <w:div w:id="1180702702">
          <w:marLeft w:val="1080"/>
          <w:marRight w:val="0"/>
          <w:marTop w:val="100"/>
          <w:marBottom w:val="0"/>
          <w:divBdr>
            <w:top w:val="none" w:sz="0" w:space="0" w:color="auto"/>
            <w:left w:val="none" w:sz="0" w:space="0" w:color="auto"/>
            <w:bottom w:val="none" w:sz="0" w:space="0" w:color="auto"/>
            <w:right w:val="none" w:sz="0" w:space="0" w:color="auto"/>
          </w:divBdr>
        </w:div>
        <w:div w:id="1079718264">
          <w:marLeft w:val="1080"/>
          <w:marRight w:val="0"/>
          <w:marTop w:val="100"/>
          <w:marBottom w:val="0"/>
          <w:divBdr>
            <w:top w:val="none" w:sz="0" w:space="0" w:color="auto"/>
            <w:left w:val="none" w:sz="0" w:space="0" w:color="auto"/>
            <w:bottom w:val="none" w:sz="0" w:space="0" w:color="auto"/>
            <w:right w:val="none" w:sz="0" w:space="0" w:color="auto"/>
          </w:divBdr>
        </w:div>
        <w:div w:id="903296938">
          <w:marLeft w:val="360"/>
          <w:marRight w:val="0"/>
          <w:marTop w:val="200"/>
          <w:marBottom w:val="0"/>
          <w:divBdr>
            <w:top w:val="none" w:sz="0" w:space="0" w:color="auto"/>
            <w:left w:val="none" w:sz="0" w:space="0" w:color="auto"/>
            <w:bottom w:val="none" w:sz="0" w:space="0" w:color="auto"/>
            <w:right w:val="none" w:sz="0" w:space="0" w:color="auto"/>
          </w:divBdr>
        </w:div>
      </w:divsChild>
    </w:div>
    <w:div w:id="439229899">
      <w:bodyDiv w:val="1"/>
      <w:marLeft w:val="0"/>
      <w:marRight w:val="0"/>
      <w:marTop w:val="0"/>
      <w:marBottom w:val="0"/>
      <w:divBdr>
        <w:top w:val="none" w:sz="0" w:space="0" w:color="auto"/>
        <w:left w:val="none" w:sz="0" w:space="0" w:color="auto"/>
        <w:bottom w:val="none" w:sz="0" w:space="0" w:color="auto"/>
        <w:right w:val="none" w:sz="0" w:space="0" w:color="auto"/>
      </w:divBdr>
    </w:div>
    <w:div w:id="532961460">
      <w:bodyDiv w:val="1"/>
      <w:marLeft w:val="0"/>
      <w:marRight w:val="0"/>
      <w:marTop w:val="0"/>
      <w:marBottom w:val="0"/>
      <w:divBdr>
        <w:top w:val="none" w:sz="0" w:space="0" w:color="auto"/>
        <w:left w:val="none" w:sz="0" w:space="0" w:color="auto"/>
        <w:bottom w:val="none" w:sz="0" w:space="0" w:color="auto"/>
        <w:right w:val="none" w:sz="0" w:space="0" w:color="auto"/>
      </w:divBdr>
      <w:divsChild>
        <w:div w:id="686180982">
          <w:marLeft w:val="360"/>
          <w:marRight w:val="0"/>
          <w:marTop w:val="200"/>
          <w:marBottom w:val="0"/>
          <w:divBdr>
            <w:top w:val="none" w:sz="0" w:space="0" w:color="auto"/>
            <w:left w:val="none" w:sz="0" w:space="0" w:color="auto"/>
            <w:bottom w:val="none" w:sz="0" w:space="0" w:color="auto"/>
            <w:right w:val="none" w:sz="0" w:space="0" w:color="auto"/>
          </w:divBdr>
        </w:div>
        <w:div w:id="7560394">
          <w:marLeft w:val="1080"/>
          <w:marRight w:val="0"/>
          <w:marTop w:val="100"/>
          <w:marBottom w:val="0"/>
          <w:divBdr>
            <w:top w:val="none" w:sz="0" w:space="0" w:color="auto"/>
            <w:left w:val="none" w:sz="0" w:space="0" w:color="auto"/>
            <w:bottom w:val="none" w:sz="0" w:space="0" w:color="auto"/>
            <w:right w:val="none" w:sz="0" w:space="0" w:color="auto"/>
          </w:divBdr>
        </w:div>
        <w:div w:id="1888374337">
          <w:marLeft w:val="1080"/>
          <w:marRight w:val="0"/>
          <w:marTop w:val="100"/>
          <w:marBottom w:val="0"/>
          <w:divBdr>
            <w:top w:val="none" w:sz="0" w:space="0" w:color="auto"/>
            <w:left w:val="none" w:sz="0" w:space="0" w:color="auto"/>
            <w:bottom w:val="none" w:sz="0" w:space="0" w:color="auto"/>
            <w:right w:val="none" w:sz="0" w:space="0" w:color="auto"/>
          </w:divBdr>
        </w:div>
        <w:div w:id="2086682192">
          <w:marLeft w:val="1080"/>
          <w:marRight w:val="0"/>
          <w:marTop w:val="100"/>
          <w:marBottom w:val="0"/>
          <w:divBdr>
            <w:top w:val="none" w:sz="0" w:space="0" w:color="auto"/>
            <w:left w:val="none" w:sz="0" w:space="0" w:color="auto"/>
            <w:bottom w:val="none" w:sz="0" w:space="0" w:color="auto"/>
            <w:right w:val="none" w:sz="0" w:space="0" w:color="auto"/>
          </w:divBdr>
        </w:div>
      </w:divsChild>
    </w:div>
    <w:div w:id="662702464">
      <w:bodyDiv w:val="1"/>
      <w:marLeft w:val="0"/>
      <w:marRight w:val="0"/>
      <w:marTop w:val="0"/>
      <w:marBottom w:val="0"/>
      <w:divBdr>
        <w:top w:val="none" w:sz="0" w:space="0" w:color="auto"/>
        <w:left w:val="none" w:sz="0" w:space="0" w:color="auto"/>
        <w:bottom w:val="none" w:sz="0" w:space="0" w:color="auto"/>
        <w:right w:val="none" w:sz="0" w:space="0" w:color="auto"/>
      </w:divBdr>
    </w:div>
    <w:div w:id="729572239">
      <w:bodyDiv w:val="1"/>
      <w:marLeft w:val="0"/>
      <w:marRight w:val="0"/>
      <w:marTop w:val="0"/>
      <w:marBottom w:val="0"/>
      <w:divBdr>
        <w:top w:val="none" w:sz="0" w:space="0" w:color="auto"/>
        <w:left w:val="none" w:sz="0" w:space="0" w:color="auto"/>
        <w:bottom w:val="none" w:sz="0" w:space="0" w:color="auto"/>
        <w:right w:val="none" w:sz="0" w:space="0" w:color="auto"/>
      </w:divBdr>
    </w:div>
    <w:div w:id="777061899">
      <w:bodyDiv w:val="1"/>
      <w:marLeft w:val="0"/>
      <w:marRight w:val="0"/>
      <w:marTop w:val="0"/>
      <w:marBottom w:val="0"/>
      <w:divBdr>
        <w:top w:val="none" w:sz="0" w:space="0" w:color="auto"/>
        <w:left w:val="none" w:sz="0" w:space="0" w:color="auto"/>
        <w:bottom w:val="none" w:sz="0" w:space="0" w:color="auto"/>
        <w:right w:val="none" w:sz="0" w:space="0" w:color="auto"/>
      </w:divBdr>
    </w:div>
    <w:div w:id="829952731">
      <w:bodyDiv w:val="1"/>
      <w:marLeft w:val="0"/>
      <w:marRight w:val="0"/>
      <w:marTop w:val="0"/>
      <w:marBottom w:val="0"/>
      <w:divBdr>
        <w:top w:val="none" w:sz="0" w:space="0" w:color="auto"/>
        <w:left w:val="none" w:sz="0" w:space="0" w:color="auto"/>
        <w:bottom w:val="none" w:sz="0" w:space="0" w:color="auto"/>
        <w:right w:val="none" w:sz="0" w:space="0" w:color="auto"/>
      </w:divBdr>
    </w:div>
    <w:div w:id="1009218137">
      <w:bodyDiv w:val="1"/>
      <w:marLeft w:val="0"/>
      <w:marRight w:val="0"/>
      <w:marTop w:val="0"/>
      <w:marBottom w:val="0"/>
      <w:divBdr>
        <w:top w:val="none" w:sz="0" w:space="0" w:color="auto"/>
        <w:left w:val="none" w:sz="0" w:space="0" w:color="auto"/>
        <w:bottom w:val="none" w:sz="0" w:space="0" w:color="auto"/>
        <w:right w:val="none" w:sz="0" w:space="0" w:color="auto"/>
      </w:divBdr>
      <w:divsChild>
        <w:div w:id="110825261">
          <w:marLeft w:val="360"/>
          <w:marRight w:val="0"/>
          <w:marTop w:val="200"/>
          <w:marBottom w:val="0"/>
          <w:divBdr>
            <w:top w:val="none" w:sz="0" w:space="0" w:color="auto"/>
            <w:left w:val="none" w:sz="0" w:space="0" w:color="auto"/>
            <w:bottom w:val="none" w:sz="0" w:space="0" w:color="auto"/>
            <w:right w:val="none" w:sz="0" w:space="0" w:color="auto"/>
          </w:divBdr>
        </w:div>
      </w:divsChild>
    </w:div>
    <w:div w:id="1024020437">
      <w:bodyDiv w:val="1"/>
      <w:marLeft w:val="0"/>
      <w:marRight w:val="0"/>
      <w:marTop w:val="0"/>
      <w:marBottom w:val="0"/>
      <w:divBdr>
        <w:top w:val="none" w:sz="0" w:space="0" w:color="auto"/>
        <w:left w:val="none" w:sz="0" w:space="0" w:color="auto"/>
        <w:bottom w:val="none" w:sz="0" w:space="0" w:color="auto"/>
        <w:right w:val="none" w:sz="0" w:space="0" w:color="auto"/>
      </w:divBdr>
      <w:divsChild>
        <w:div w:id="1811291400">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407">
      <w:bodyDiv w:val="1"/>
      <w:marLeft w:val="0"/>
      <w:marRight w:val="0"/>
      <w:marTop w:val="0"/>
      <w:marBottom w:val="0"/>
      <w:divBdr>
        <w:top w:val="none" w:sz="0" w:space="0" w:color="auto"/>
        <w:left w:val="none" w:sz="0" w:space="0" w:color="auto"/>
        <w:bottom w:val="none" w:sz="0" w:space="0" w:color="auto"/>
        <w:right w:val="none" w:sz="0" w:space="0" w:color="auto"/>
      </w:divBdr>
      <w:divsChild>
        <w:div w:id="980884999">
          <w:marLeft w:val="1080"/>
          <w:marRight w:val="0"/>
          <w:marTop w:val="100"/>
          <w:marBottom w:val="0"/>
          <w:divBdr>
            <w:top w:val="none" w:sz="0" w:space="0" w:color="auto"/>
            <w:left w:val="none" w:sz="0" w:space="0" w:color="auto"/>
            <w:bottom w:val="none" w:sz="0" w:space="0" w:color="auto"/>
            <w:right w:val="none" w:sz="0" w:space="0" w:color="auto"/>
          </w:divBdr>
        </w:div>
        <w:div w:id="1909613013">
          <w:marLeft w:val="1800"/>
          <w:marRight w:val="0"/>
          <w:marTop w:val="100"/>
          <w:marBottom w:val="0"/>
          <w:divBdr>
            <w:top w:val="none" w:sz="0" w:space="0" w:color="auto"/>
            <w:left w:val="none" w:sz="0" w:space="0" w:color="auto"/>
            <w:bottom w:val="none" w:sz="0" w:space="0" w:color="auto"/>
            <w:right w:val="none" w:sz="0" w:space="0" w:color="auto"/>
          </w:divBdr>
        </w:div>
      </w:divsChild>
    </w:div>
    <w:div w:id="1324161888">
      <w:bodyDiv w:val="1"/>
      <w:marLeft w:val="0"/>
      <w:marRight w:val="0"/>
      <w:marTop w:val="0"/>
      <w:marBottom w:val="0"/>
      <w:divBdr>
        <w:top w:val="none" w:sz="0" w:space="0" w:color="auto"/>
        <w:left w:val="none" w:sz="0" w:space="0" w:color="auto"/>
        <w:bottom w:val="none" w:sz="0" w:space="0" w:color="auto"/>
        <w:right w:val="none" w:sz="0" w:space="0" w:color="auto"/>
      </w:divBdr>
      <w:divsChild>
        <w:div w:id="375007400">
          <w:marLeft w:val="360"/>
          <w:marRight w:val="0"/>
          <w:marTop w:val="200"/>
          <w:marBottom w:val="0"/>
          <w:divBdr>
            <w:top w:val="none" w:sz="0" w:space="0" w:color="auto"/>
            <w:left w:val="none" w:sz="0" w:space="0" w:color="auto"/>
            <w:bottom w:val="none" w:sz="0" w:space="0" w:color="auto"/>
            <w:right w:val="none" w:sz="0" w:space="0" w:color="auto"/>
          </w:divBdr>
        </w:div>
      </w:divsChild>
    </w:div>
    <w:div w:id="1629317887">
      <w:bodyDiv w:val="1"/>
      <w:marLeft w:val="0"/>
      <w:marRight w:val="0"/>
      <w:marTop w:val="0"/>
      <w:marBottom w:val="0"/>
      <w:divBdr>
        <w:top w:val="none" w:sz="0" w:space="0" w:color="auto"/>
        <w:left w:val="none" w:sz="0" w:space="0" w:color="auto"/>
        <w:bottom w:val="none" w:sz="0" w:space="0" w:color="auto"/>
        <w:right w:val="none" w:sz="0" w:space="0" w:color="auto"/>
      </w:divBdr>
    </w:div>
    <w:div w:id="1941139698">
      <w:bodyDiv w:val="1"/>
      <w:marLeft w:val="0"/>
      <w:marRight w:val="0"/>
      <w:marTop w:val="0"/>
      <w:marBottom w:val="0"/>
      <w:divBdr>
        <w:top w:val="none" w:sz="0" w:space="0" w:color="auto"/>
        <w:left w:val="none" w:sz="0" w:space="0" w:color="auto"/>
        <w:bottom w:val="none" w:sz="0" w:space="0" w:color="auto"/>
        <w:right w:val="none" w:sz="0" w:space="0" w:color="auto"/>
      </w:divBdr>
      <w:divsChild>
        <w:div w:id="1702126463">
          <w:marLeft w:val="1080"/>
          <w:marRight w:val="0"/>
          <w:marTop w:val="100"/>
          <w:marBottom w:val="0"/>
          <w:divBdr>
            <w:top w:val="none" w:sz="0" w:space="0" w:color="auto"/>
            <w:left w:val="none" w:sz="0" w:space="0" w:color="auto"/>
            <w:bottom w:val="none" w:sz="0" w:space="0" w:color="auto"/>
            <w:right w:val="none" w:sz="0" w:space="0" w:color="auto"/>
          </w:divBdr>
        </w:div>
        <w:div w:id="320280203">
          <w:marLeft w:val="1800"/>
          <w:marRight w:val="0"/>
          <w:marTop w:val="100"/>
          <w:marBottom w:val="0"/>
          <w:divBdr>
            <w:top w:val="none" w:sz="0" w:space="0" w:color="auto"/>
            <w:left w:val="none" w:sz="0" w:space="0" w:color="auto"/>
            <w:bottom w:val="none" w:sz="0" w:space="0" w:color="auto"/>
            <w:right w:val="none" w:sz="0" w:space="0" w:color="auto"/>
          </w:divBdr>
        </w:div>
        <w:div w:id="249119456">
          <w:marLeft w:val="1800"/>
          <w:marRight w:val="0"/>
          <w:marTop w:val="100"/>
          <w:marBottom w:val="0"/>
          <w:divBdr>
            <w:top w:val="none" w:sz="0" w:space="0" w:color="auto"/>
            <w:left w:val="none" w:sz="0" w:space="0" w:color="auto"/>
            <w:bottom w:val="none" w:sz="0" w:space="0" w:color="auto"/>
            <w:right w:val="none" w:sz="0" w:space="0" w:color="auto"/>
          </w:divBdr>
        </w:div>
        <w:div w:id="966354775">
          <w:marLeft w:val="1080"/>
          <w:marRight w:val="0"/>
          <w:marTop w:val="100"/>
          <w:marBottom w:val="0"/>
          <w:divBdr>
            <w:top w:val="none" w:sz="0" w:space="0" w:color="auto"/>
            <w:left w:val="none" w:sz="0" w:space="0" w:color="auto"/>
            <w:bottom w:val="none" w:sz="0" w:space="0" w:color="auto"/>
            <w:right w:val="none" w:sz="0" w:space="0" w:color="auto"/>
          </w:divBdr>
        </w:div>
        <w:div w:id="1531407436">
          <w:marLeft w:val="1080"/>
          <w:marRight w:val="0"/>
          <w:marTop w:val="100"/>
          <w:marBottom w:val="0"/>
          <w:divBdr>
            <w:top w:val="none" w:sz="0" w:space="0" w:color="auto"/>
            <w:left w:val="none" w:sz="0" w:space="0" w:color="auto"/>
            <w:bottom w:val="none" w:sz="0" w:space="0" w:color="auto"/>
            <w:right w:val="none" w:sz="0" w:space="0" w:color="auto"/>
          </w:divBdr>
        </w:div>
        <w:div w:id="20935271">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2440922">
      <w:bodyDiv w:val="1"/>
      <w:marLeft w:val="0"/>
      <w:marRight w:val="0"/>
      <w:marTop w:val="0"/>
      <w:marBottom w:val="0"/>
      <w:divBdr>
        <w:top w:val="none" w:sz="0" w:space="0" w:color="auto"/>
        <w:left w:val="none" w:sz="0" w:space="0" w:color="auto"/>
        <w:bottom w:val="none" w:sz="0" w:space="0" w:color="auto"/>
        <w:right w:val="none" w:sz="0" w:space="0" w:color="auto"/>
      </w:divBdr>
      <w:divsChild>
        <w:div w:id="2125923231">
          <w:marLeft w:val="1080"/>
          <w:marRight w:val="0"/>
          <w:marTop w:val="100"/>
          <w:marBottom w:val="0"/>
          <w:divBdr>
            <w:top w:val="none" w:sz="0" w:space="0" w:color="auto"/>
            <w:left w:val="none" w:sz="0" w:space="0" w:color="auto"/>
            <w:bottom w:val="none" w:sz="0" w:space="0" w:color="auto"/>
            <w:right w:val="none" w:sz="0" w:space="0" w:color="auto"/>
          </w:divBdr>
        </w:div>
      </w:divsChild>
    </w:div>
    <w:div w:id="20825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938F-A08C-4298-A370-FC41F290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12843</Words>
  <Characters>75830</Characters>
  <Application>Microsoft Office Word</Application>
  <DocSecurity>0</DocSecurity>
  <Lines>631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2021-02-26T02:40:00Z</dcterms:created>
  <dcterms:modified xsi:type="dcterms:W3CDTF">2021-03-15T05:38:00Z</dcterms:modified>
</cp:coreProperties>
</file>