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9E1" w:rsidRPr="005802E9" w:rsidRDefault="006259E1" w:rsidP="006259E1">
      <w:pPr>
        <w:rPr>
          <w:rFonts w:cs="Calibri"/>
        </w:rPr>
      </w:pPr>
    </w:p>
    <w:p w:rsidR="005F27EF" w:rsidRPr="005802E9" w:rsidRDefault="008F2988" w:rsidP="005F27EF">
      <w:pPr>
        <w:pStyle w:val="1-MainHeading"/>
        <w:spacing w:before="0" w:after="0"/>
      </w:pPr>
      <w:r w:rsidRPr="005802E9">
        <w:t xml:space="preserve">7.03 </w:t>
      </w:r>
      <w:r w:rsidR="007D37D1" w:rsidRPr="005802E9">
        <w:t>CRISABOROLE</w:t>
      </w:r>
      <w:r w:rsidR="00163F66" w:rsidRPr="005802E9">
        <w:t>,</w:t>
      </w:r>
      <w:r w:rsidR="00163F66" w:rsidRPr="005802E9">
        <w:br/>
      </w:r>
      <w:r w:rsidR="005F7375" w:rsidRPr="005802E9">
        <w:t>O</w:t>
      </w:r>
      <w:r w:rsidR="007D37D1" w:rsidRPr="005802E9">
        <w:t>intment</w:t>
      </w:r>
      <w:r w:rsidR="00436D4D" w:rsidRPr="005802E9">
        <w:t xml:space="preserve"> 2%</w:t>
      </w:r>
      <w:r w:rsidR="00163F66" w:rsidRPr="005802E9">
        <w:t>,</w:t>
      </w:r>
      <w:r w:rsidR="009B5374" w:rsidRPr="005802E9">
        <w:t xml:space="preserve"> </w:t>
      </w:r>
      <w:r w:rsidR="007D37D1" w:rsidRPr="005802E9">
        <w:t xml:space="preserve">30 g </w:t>
      </w:r>
    </w:p>
    <w:p w:rsidR="00B60939" w:rsidRPr="005802E9" w:rsidRDefault="005F7375" w:rsidP="005F27EF">
      <w:pPr>
        <w:pStyle w:val="1-MainHeading"/>
        <w:spacing w:before="0" w:after="0"/>
        <w:ind w:firstLine="0"/>
      </w:pPr>
      <w:r w:rsidRPr="005802E9">
        <w:t>O</w:t>
      </w:r>
      <w:r w:rsidR="005F27EF" w:rsidRPr="005802E9">
        <w:t>intment</w:t>
      </w:r>
      <w:r w:rsidR="00436D4D" w:rsidRPr="005802E9">
        <w:t xml:space="preserve"> 2%</w:t>
      </w:r>
      <w:r w:rsidR="005F27EF" w:rsidRPr="005802E9">
        <w:t xml:space="preserve">, </w:t>
      </w:r>
      <w:r w:rsidR="007D37D1" w:rsidRPr="005802E9">
        <w:t>60 g</w:t>
      </w:r>
      <w:r w:rsidR="00163F66" w:rsidRPr="005802E9">
        <w:br/>
      </w:r>
      <w:r w:rsidR="007D37D1" w:rsidRPr="005802E9">
        <w:t>Staquis</w:t>
      </w:r>
      <w:r w:rsidR="00B60939" w:rsidRPr="005802E9">
        <w:t>®</w:t>
      </w:r>
      <w:r w:rsidR="004A6040" w:rsidRPr="005802E9">
        <w:t>,</w:t>
      </w:r>
      <w:r w:rsidR="004A6040" w:rsidRPr="005802E9">
        <w:br/>
      </w:r>
      <w:r w:rsidR="007D37D1" w:rsidRPr="005802E9">
        <w:t>Pfizer Australia Pty Ltd</w:t>
      </w:r>
      <w:r w:rsidR="00B60939" w:rsidRPr="005802E9">
        <w:t>.</w:t>
      </w:r>
    </w:p>
    <w:p w:rsidR="00B50DB8" w:rsidRPr="005802E9" w:rsidRDefault="00B50DB8" w:rsidP="004A6040">
      <w:pPr>
        <w:pStyle w:val="2-SectionHeading"/>
      </w:pPr>
      <w:bookmarkStart w:id="0" w:name="_Toc50995083"/>
      <w:r w:rsidRPr="005802E9">
        <w:t xml:space="preserve">Purpose of </w:t>
      </w:r>
      <w:r w:rsidR="00CD7193" w:rsidRPr="005802E9">
        <w:t>s</w:t>
      </w:r>
      <w:r w:rsidR="00BB3A45" w:rsidRPr="005802E9">
        <w:t>ubmission</w:t>
      </w:r>
      <w:bookmarkEnd w:id="0"/>
    </w:p>
    <w:p w:rsidR="002C2775" w:rsidRPr="005802E9" w:rsidRDefault="007170DA" w:rsidP="004E18E9">
      <w:pPr>
        <w:pStyle w:val="ExecSumBodyText"/>
      </w:pPr>
      <w:r w:rsidRPr="005802E9">
        <w:t xml:space="preserve">The </w:t>
      </w:r>
      <w:r w:rsidR="00654F27" w:rsidRPr="005802E9">
        <w:t>re</w:t>
      </w:r>
      <w:r w:rsidRPr="005802E9">
        <w:t xml:space="preserve">submission requested </w:t>
      </w:r>
      <w:r w:rsidR="00654F27" w:rsidRPr="005802E9">
        <w:t xml:space="preserve">a Section 85 Streamlined Authority Required listing for crisaborole for the treatment of mild to moderate atopic dermatitis in patients aged at least 2 years who have failed to achieve satisfactory disease control with, are contraindicated </w:t>
      </w:r>
      <w:r w:rsidR="006B543F" w:rsidRPr="005802E9">
        <w:t xml:space="preserve">or intolerant </w:t>
      </w:r>
      <w:r w:rsidR="00654F27" w:rsidRPr="005802E9">
        <w:t>to topical corticosteroids</w:t>
      </w:r>
      <w:r w:rsidR="00A045FD" w:rsidRPr="005802E9">
        <w:t xml:space="preserve"> (TCS)</w:t>
      </w:r>
      <w:r w:rsidR="00654F27" w:rsidRPr="005802E9">
        <w:t>. The PBAC previously considered crisaborole for the same indication in November 2018</w:t>
      </w:r>
      <w:r w:rsidR="005802E9">
        <w:t xml:space="preserve">. </w:t>
      </w:r>
    </w:p>
    <w:p w:rsidR="006B543F" w:rsidRPr="005802E9" w:rsidRDefault="006B543F" w:rsidP="006B543F">
      <w:pPr>
        <w:pStyle w:val="ExecSumBodyText"/>
      </w:pPr>
      <w:r w:rsidRPr="005802E9">
        <w:t>Listing was requested on a cost-minimisation basis compared to pimecrolimus for use on the face and eyelids and a cost-effectiveness basis compared to standard management for the rest of the body</w:t>
      </w:r>
      <w:r w:rsidR="005802E9">
        <w:t xml:space="preserve">. </w:t>
      </w:r>
      <w:r w:rsidRPr="005802E9">
        <w:rPr>
          <w:color w:val="0066FF"/>
        </w:rPr>
        <w:t xml:space="preserve"> </w:t>
      </w:r>
    </w:p>
    <w:p w:rsidR="006B543F" w:rsidRPr="005802E9" w:rsidRDefault="00187263" w:rsidP="006B543F">
      <w:pPr>
        <w:pStyle w:val="TableFigureCaption"/>
      </w:pPr>
      <w:r w:rsidRPr="005802E9">
        <w:t>Table 1</w:t>
      </w:r>
      <w:r w:rsidR="006B543F" w:rsidRPr="005802E9">
        <w:t xml:space="preserve">: Key components of the clinical issue addressed in the resubmission </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6B543F" w:rsidRPr="005802E9" w:rsidTr="00A56897">
        <w:tc>
          <w:tcPr>
            <w:tcW w:w="1668" w:type="dxa"/>
            <w:vAlign w:val="center"/>
          </w:tcPr>
          <w:p w:rsidR="006B543F" w:rsidRPr="005802E9" w:rsidRDefault="006B543F" w:rsidP="00A56897">
            <w:pPr>
              <w:pStyle w:val="Tableheadingrow"/>
              <w:rPr>
                <w:lang w:val="en-AU"/>
              </w:rPr>
            </w:pPr>
            <w:r w:rsidRPr="005802E9">
              <w:rPr>
                <w:lang w:val="en-AU"/>
              </w:rPr>
              <w:t>Component</w:t>
            </w:r>
          </w:p>
        </w:tc>
        <w:tc>
          <w:tcPr>
            <w:tcW w:w="7488" w:type="dxa"/>
            <w:vAlign w:val="center"/>
          </w:tcPr>
          <w:p w:rsidR="006B543F" w:rsidRPr="005802E9" w:rsidRDefault="006B543F" w:rsidP="00A56897">
            <w:pPr>
              <w:pStyle w:val="Tableheadingrow"/>
              <w:rPr>
                <w:lang w:val="en-AU"/>
              </w:rPr>
            </w:pPr>
            <w:r w:rsidRPr="005802E9">
              <w:rPr>
                <w:lang w:val="en-AU"/>
              </w:rPr>
              <w:t>Description</w:t>
            </w:r>
          </w:p>
        </w:tc>
      </w:tr>
      <w:tr w:rsidR="006B543F" w:rsidRPr="005802E9" w:rsidTr="00A56897">
        <w:tc>
          <w:tcPr>
            <w:tcW w:w="1668" w:type="dxa"/>
            <w:vAlign w:val="center"/>
          </w:tcPr>
          <w:p w:rsidR="006B543F" w:rsidRPr="005802E9" w:rsidRDefault="006B543F" w:rsidP="00A56897">
            <w:pPr>
              <w:pStyle w:val="TableText"/>
            </w:pPr>
            <w:r w:rsidRPr="005802E9">
              <w:t>Population</w:t>
            </w:r>
          </w:p>
        </w:tc>
        <w:tc>
          <w:tcPr>
            <w:tcW w:w="7488" w:type="dxa"/>
            <w:vAlign w:val="center"/>
          </w:tcPr>
          <w:p w:rsidR="006B543F" w:rsidRPr="005802E9" w:rsidRDefault="006B543F" w:rsidP="00A56897">
            <w:pPr>
              <w:pStyle w:val="TableText"/>
            </w:pPr>
            <w:r w:rsidRPr="005802E9">
              <w:t>Patients aged ≥2 years with mild to moderate atopic dermatitis who have failed to achieve satisfactory disease control with, are contraindicated, or are intolerant to topical corticosteroids</w:t>
            </w:r>
          </w:p>
        </w:tc>
      </w:tr>
      <w:tr w:rsidR="006B543F" w:rsidRPr="005802E9" w:rsidTr="00A56897">
        <w:tc>
          <w:tcPr>
            <w:tcW w:w="1668" w:type="dxa"/>
            <w:vAlign w:val="center"/>
          </w:tcPr>
          <w:p w:rsidR="006B543F" w:rsidRPr="005802E9" w:rsidRDefault="006B543F" w:rsidP="00A56897">
            <w:pPr>
              <w:pStyle w:val="TableText"/>
            </w:pPr>
            <w:r w:rsidRPr="005802E9">
              <w:t>Intervention</w:t>
            </w:r>
          </w:p>
        </w:tc>
        <w:tc>
          <w:tcPr>
            <w:tcW w:w="7488" w:type="dxa"/>
            <w:vAlign w:val="center"/>
          </w:tcPr>
          <w:p w:rsidR="006B543F" w:rsidRPr="005802E9" w:rsidRDefault="006B543F" w:rsidP="00A56897">
            <w:pPr>
              <w:pStyle w:val="TableText"/>
            </w:pPr>
            <w:r w:rsidRPr="005802E9">
              <w:t>Crisaborole 2% ointment</w:t>
            </w:r>
          </w:p>
        </w:tc>
      </w:tr>
      <w:tr w:rsidR="006B543F" w:rsidRPr="005802E9" w:rsidTr="00A56897">
        <w:tc>
          <w:tcPr>
            <w:tcW w:w="1668" w:type="dxa"/>
            <w:vAlign w:val="center"/>
          </w:tcPr>
          <w:p w:rsidR="006B543F" w:rsidRPr="005802E9" w:rsidRDefault="006B543F" w:rsidP="00A56897">
            <w:pPr>
              <w:pStyle w:val="TableText"/>
            </w:pPr>
            <w:r w:rsidRPr="005802E9">
              <w:t>Comparator</w:t>
            </w:r>
          </w:p>
        </w:tc>
        <w:tc>
          <w:tcPr>
            <w:tcW w:w="7488" w:type="dxa"/>
            <w:vAlign w:val="center"/>
          </w:tcPr>
          <w:p w:rsidR="006B543F" w:rsidRPr="005802E9" w:rsidRDefault="006B543F" w:rsidP="00A56897">
            <w:pPr>
              <w:pStyle w:val="TableText"/>
            </w:pPr>
            <w:r w:rsidRPr="005802E9">
              <w:t>Pimecrolimus (face and eyelids) and standard management (rest of the body)</w:t>
            </w:r>
          </w:p>
        </w:tc>
      </w:tr>
      <w:tr w:rsidR="006B543F" w:rsidRPr="005802E9" w:rsidTr="00A56897">
        <w:tc>
          <w:tcPr>
            <w:tcW w:w="1668" w:type="dxa"/>
            <w:vAlign w:val="center"/>
          </w:tcPr>
          <w:p w:rsidR="006B543F" w:rsidRPr="005802E9" w:rsidRDefault="006B543F" w:rsidP="00A56897">
            <w:pPr>
              <w:pStyle w:val="TableText"/>
            </w:pPr>
            <w:r w:rsidRPr="005802E9">
              <w:t>Outcomes</w:t>
            </w:r>
          </w:p>
        </w:tc>
        <w:tc>
          <w:tcPr>
            <w:tcW w:w="7488" w:type="dxa"/>
            <w:vAlign w:val="center"/>
          </w:tcPr>
          <w:p w:rsidR="006B543F" w:rsidRPr="005802E9" w:rsidRDefault="006B543F" w:rsidP="00A56897">
            <w:pPr>
              <w:pStyle w:val="TableText"/>
            </w:pPr>
            <w:r w:rsidRPr="005802E9">
              <w:t>Improvement in signs and symptoms of atopic dermatitis</w:t>
            </w:r>
          </w:p>
        </w:tc>
      </w:tr>
      <w:tr w:rsidR="006B543F" w:rsidRPr="005802E9" w:rsidTr="00A56897">
        <w:tc>
          <w:tcPr>
            <w:tcW w:w="1668" w:type="dxa"/>
            <w:vAlign w:val="center"/>
          </w:tcPr>
          <w:p w:rsidR="006B543F" w:rsidRPr="005802E9" w:rsidRDefault="006B543F" w:rsidP="00A56897">
            <w:pPr>
              <w:pStyle w:val="TableText"/>
            </w:pPr>
            <w:r w:rsidRPr="005802E9">
              <w:t>Clinical claim</w:t>
            </w:r>
          </w:p>
        </w:tc>
        <w:tc>
          <w:tcPr>
            <w:tcW w:w="7488" w:type="dxa"/>
            <w:vAlign w:val="center"/>
          </w:tcPr>
          <w:p w:rsidR="006B543F" w:rsidRPr="005802E9" w:rsidRDefault="006B543F" w:rsidP="00A56897">
            <w:pPr>
              <w:pStyle w:val="Tabletext0"/>
            </w:pPr>
            <w:r w:rsidRPr="005802E9">
              <w:t>Crisaborole is non-inferior in terms of efficacy and safety compared with pimecrolimus</w:t>
            </w:r>
          </w:p>
          <w:p w:rsidR="006B543F" w:rsidRPr="005802E9" w:rsidRDefault="006B543F" w:rsidP="00A56897">
            <w:pPr>
              <w:pStyle w:val="TableText"/>
            </w:pPr>
            <w:r w:rsidRPr="005802E9">
              <w:t>Crisaborole is superior in terms of efficacy and inferior in terms of safety compared with standard management</w:t>
            </w:r>
          </w:p>
        </w:tc>
      </w:tr>
    </w:tbl>
    <w:p w:rsidR="006B543F" w:rsidRPr="005802E9" w:rsidRDefault="006B543F" w:rsidP="001D59EF">
      <w:pPr>
        <w:pStyle w:val="TableFigureFooter"/>
        <w:rPr>
          <w:sz w:val="20"/>
        </w:rPr>
      </w:pPr>
      <w:r w:rsidRPr="005802E9">
        <w:t>Source: Table 1.1.1, p4 of the resubmission</w:t>
      </w:r>
    </w:p>
    <w:p w:rsidR="006B543F" w:rsidRPr="005802E9" w:rsidRDefault="006B543F" w:rsidP="004E18E9">
      <w:pPr>
        <w:pStyle w:val="ExecSumBodyText"/>
      </w:pPr>
      <w:r w:rsidRPr="005802E9">
        <w:t xml:space="preserve">The </w:t>
      </w:r>
      <w:r w:rsidR="00891242" w:rsidRPr="005802E9">
        <w:t xml:space="preserve">commentary considered that the </w:t>
      </w:r>
      <w:r w:rsidRPr="005802E9">
        <w:t xml:space="preserve">clinical context of the resubmission </w:t>
      </w:r>
      <w:r w:rsidR="00026F31">
        <w:t>wa</w:t>
      </w:r>
      <w:r w:rsidRPr="005802E9">
        <w:t>s largely unchanged compared to the November 2018 submission.</w:t>
      </w:r>
      <w:r w:rsidR="009C0DE4" w:rsidRPr="005802E9">
        <w:t xml:space="preserve"> The </w:t>
      </w:r>
      <w:r w:rsidR="00FC75D3">
        <w:t>Pre-Sub-Committee-Response (</w:t>
      </w:r>
      <w:r w:rsidR="009C0DE4" w:rsidRPr="005802E9">
        <w:t>PSCR</w:t>
      </w:r>
      <w:r w:rsidR="00FC75D3">
        <w:t>)</w:t>
      </w:r>
      <w:r w:rsidR="009C0DE4" w:rsidRPr="005802E9">
        <w:t xml:space="preserve"> argued that the population </w:t>
      </w:r>
      <w:r w:rsidR="00026F31">
        <w:t>wa</w:t>
      </w:r>
      <w:r w:rsidR="009C0DE4" w:rsidRPr="005802E9">
        <w:t>s clearer in that the restriction include</w:t>
      </w:r>
      <w:r w:rsidR="00026F31">
        <w:t>d</w:t>
      </w:r>
      <w:r w:rsidR="009C0DE4" w:rsidRPr="005802E9">
        <w:t xml:space="preserve"> a definition of mild to moderate AD (ie. with erythematous patches and induration/papulation). The PSCR also contended that the place in clinical therapy </w:t>
      </w:r>
      <w:r w:rsidR="00026F31">
        <w:t>wa</w:t>
      </w:r>
      <w:r w:rsidR="009C0DE4" w:rsidRPr="005802E9">
        <w:t>s clearly articulated in terms of contraindication, intolerance and intermittent use of TCS.</w:t>
      </w:r>
    </w:p>
    <w:p w:rsidR="005C25FF" w:rsidRPr="005802E9" w:rsidRDefault="005C25FF" w:rsidP="004A6040">
      <w:pPr>
        <w:pStyle w:val="2-SectionHeading"/>
      </w:pPr>
      <w:bookmarkStart w:id="1" w:name="_Toc50995084"/>
      <w:r w:rsidRPr="005802E9">
        <w:t>Background</w:t>
      </w:r>
      <w:bookmarkEnd w:id="1"/>
    </w:p>
    <w:p w:rsidR="005C25FF" w:rsidRPr="005802E9" w:rsidRDefault="005C25FF" w:rsidP="004A6040">
      <w:pPr>
        <w:pStyle w:val="3-SubsectionHeading"/>
      </w:pPr>
      <w:bookmarkStart w:id="2" w:name="_Toc22897638"/>
      <w:bookmarkStart w:id="3" w:name="_Toc50995085"/>
      <w:r w:rsidRPr="005802E9">
        <w:t>Registration status</w:t>
      </w:r>
      <w:bookmarkEnd w:id="2"/>
      <w:bookmarkEnd w:id="3"/>
    </w:p>
    <w:p w:rsidR="005C25FF" w:rsidRPr="005802E9" w:rsidRDefault="006B543F" w:rsidP="004E18E9">
      <w:pPr>
        <w:pStyle w:val="ExecSumBodyText"/>
      </w:pPr>
      <w:r w:rsidRPr="005802E9">
        <w:t>Crisaborole was approved by the TGA on 20 February 2019 for the treatment of mild to moderate atopic dermatitis in patients aged 2 years and older.</w:t>
      </w:r>
    </w:p>
    <w:p w:rsidR="005C25FF" w:rsidRPr="005802E9" w:rsidRDefault="005C25FF" w:rsidP="004E18E9">
      <w:pPr>
        <w:pStyle w:val="3-SubsectionHeading"/>
      </w:pPr>
      <w:bookmarkStart w:id="4" w:name="_Toc22897639"/>
      <w:bookmarkStart w:id="5" w:name="_Toc50995086"/>
      <w:r w:rsidRPr="005802E9">
        <w:lastRenderedPageBreak/>
        <w:t>Previous PBAC consideration</w:t>
      </w:r>
      <w:bookmarkEnd w:id="4"/>
      <w:bookmarkEnd w:id="5"/>
    </w:p>
    <w:p w:rsidR="007E5931" w:rsidRPr="005802E9" w:rsidRDefault="007E5931" w:rsidP="007E5931">
      <w:pPr>
        <w:pStyle w:val="ExecSumBodyText"/>
        <w:rPr>
          <w:snapToGrid/>
          <w:color w:val="0066FF"/>
        </w:rPr>
      </w:pPr>
      <w:r w:rsidRPr="005802E9">
        <w:rPr>
          <w:snapToGrid/>
        </w:rPr>
        <w:t xml:space="preserve">The key matters of concern from the previous November 2018 submission are summarised in the table below. </w:t>
      </w:r>
    </w:p>
    <w:p w:rsidR="007E5931" w:rsidRPr="005802E9" w:rsidRDefault="00187263" w:rsidP="007E5931">
      <w:pPr>
        <w:pStyle w:val="TableFigureCaption"/>
      </w:pPr>
      <w:r w:rsidRPr="005802E9">
        <w:t>Table 2</w:t>
      </w:r>
      <w:r w:rsidR="007E5931" w:rsidRPr="005802E9">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059"/>
      </w:tblGrid>
      <w:tr w:rsidR="007E5931" w:rsidRPr="005802E9" w:rsidTr="002B66D6">
        <w:trPr>
          <w:cantSplit/>
          <w:tblHeader/>
        </w:trPr>
        <w:tc>
          <w:tcPr>
            <w:tcW w:w="2749" w:type="pct"/>
            <w:vAlign w:val="center"/>
          </w:tcPr>
          <w:p w:rsidR="007E5931" w:rsidRPr="005802E9" w:rsidRDefault="007E5931" w:rsidP="002B66D6">
            <w:pPr>
              <w:pStyle w:val="Tableheadingrow"/>
              <w:keepNext w:val="0"/>
              <w:widowControl w:val="0"/>
              <w:jc w:val="center"/>
              <w:rPr>
                <w:lang w:val="en-AU"/>
              </w:rPr>
            </w:pPr>
            <w:r w:rsidRPr="005802E9">
              <w:rPr>
                <w:lang w:val="en-AU"/>
              </w:rPr>
              <w:t>Matter of concern</w:t>
            </w:r>
          </w:p>
        </w:tc>
        <w:tc>
          <w:tcPr>
            <w:tcW w:w="2251" w:type="pct"/>
            <w:vAlign w:val="center"/>
          </w:tcPr>
          <w:p w:rsidR="007E5931" w:rsidRPr="005802E9" w:rsidRDefault="007E5931" w:rsidP="00A56897">
            <w:pPr>
              <w:pStyle w:val="Tableheadingrow"/>
              <w:keepNext w:val="0"/>
              <w:widowControl w:val="0"/>
              <w:jc w:val="center"/>
              <w:rPr>
                <w:lang w:val="en-AU"/>
              </w:rPr>
            </w:pPr>
            <w:r w:rsidRPr="005802E9">
              <w:rPr>
                <w:lang w:val="en-AU"/>
              </w:rPr>
              <w:t>How the resubmission addresses it</w:t>
            </w:r>
          </w:p>
        </w:tc>
      </w:tr>
      <w:tr w:rsidR="007E5931" w:rsidRPr="005802E9" w:rsidTr="002B66D6">
        <w:trPr>
          <w:cantSplit/>
        </w:trPr>
        <w:tc>
          <w:tcPr>
            <w:tcW w:w="2749" w:type="pct"/>
          </w:tcPr>
          <w:p w:rsidR="007E5931" w:rsidRPr="005802E9" w:rsidRDefault="006B543F" w:rsidP="002B66D6">
            <w:pPr>
              <w:pStyle w:val="TableText"/>
              <w:keepNext w:val="0"/>
              <w:widowControl w:val="0"/>
              <w:rPr>
                <w:szCs w:val="20"/>
              </w:rPr>
            </w:pPr>
            <w:r w:rsidRPr="005802E9">
              <w:rPr>
                <w:rFonts w:eastAsia="Times New Roman" w:cs="Arial"/>
                <w:bCs w:val="0"/>
                <w:snapToGrid w:val="0"/>
                <w:szCs w:val="20"/>
              </w:rPr>
              <w:t xml:space="preserve">The PBAC considered that the comparator of pimecrolimus was appropriate for use on the face and eyelids, although tacrolimus ointment may also be a relevant comparator. </w:t>
            </w:r>
            <w:r w:rsidR="00A56897" w:rsidRPr="005802E9">
              <w:rPr>
                <w:rFonts w:eastAsia="Times New Roman" w:cs="Arial"/>
                <w:bCs w:val="0"/>
                <w:snapToGrid w:val="0"/>
                <w:szCs w:val="20"/>
              </w:rPr>
              <w:t xml:space="preserve">The PBAC considered that </w:t>
            </w:r>
            <w:r w:rsidRPr="005802E9">
              <w:rPr>
                <w:rFonts w:eastAsia="Times New Roman" w:cs="Arial"/>
                <w:bCs w:val="0"/>
                <w:snapToGrid w:val="0"/>
                <w:szCs w:val="20"/>
              </w:rPr>
              <w:t xml:space="preserve">TCS should be </w:t>
            </w:r>
            <w:r w:rsidR="00A56897" w:rsidRPr="005802E9">
              <w:rPr>
                <w:rFonts w:eastAsia="Times New Roman" w:cs="Arial"/>
                <w:bCs w:val="0"/>
                <w:snapToGrid w:val="0"/>
                <w:szCs w:val="20"/>
              </w:rPr>
              <w:t xml:space="preserve">a </w:t>
            </w:r>
            <w:r w:rsidRPr="005802E9">
              <w:rPr>
                <w:rFonts w:eastAsia="Times New Roman" w:cs="Arial"/>
                <w:bCs w:val="0"/>
                <w:snapToGrid w:val="0"/>
                <w:szCs w:val="20"/>
              </w:rPr>
              <w:t xml:space="preserve">comparator for </w:t>
            </w:r>
            <w:r w:rsidR="00A56897" w:rsidRPr="005802E9">
              <w:rPr>
                <w:rFonts w:eastAsia="Times New Roman" w:cs="Arial"/>
                <w:bCs w:val="0"/>
                <w:snapToGrid w:val="0"/>
                <w:szCs w:val="20"/>
              </w:rPr>
              <w:t>the rest of the body</w:t>
            </w:r>
            <w:r w:rsidRPr="005802E9">
              <w:rPr>
                <w:rFonts w:eastAsia="Times New Roman" w:cs="Arial"/>
                <w:bCs w:val="0"/>
                <w:snapToGrid w:val="0"/>
                <w:szCs w:val="20"/>
              </w:rPr>
              <w:t xml:space="preserve"> (paragraph 7.5, crisaborole, PSD, November 2018 PBAC meeting). </w:t>
            </w:r>
          </w:p>
        </w:tc>
        <w:tc>
          <w:tcPr>
            <w:tcW w:w="2251" w:type="pct"/>
            <w:vAlign w:val="center"/>
          </w:tcPr>
          <w:p w:rsidR="007E5931" w:rsidRPr="005802E9" w:rsidRDefault="006B543F" w:rsidP="00A56897">
            <w:pPr>
              <w:pStyle w:val="TableText"/>
              <w:keepNext w:val="0"/>
              <w:widowControl w:val="0"/>
            </w:pPr>
            <w:r w:rsidRPr="005802E9">
              <w:t>No change. The resubmission nominated pimecrolimus (face and eyelids) and standard management (for rest of body) as comparators.</w:t>
            </w:r>
          </w:p>
          <w:p w:rsidR="00565C88" w:rsidRPr="005802E9" w:rsidRDefault="00565C88" w:rsidP="00EA5E8A">
            <w:pPr>
              <w:pStyle w:val="TableText"/>
              <w:keepNext w:val="0"/>
              <w:widowControl w:val="0"/>
            </w:pPr>
            <w:r w:rsidRPr="005802E9">
              <w:t>The PSCR argue</w:t>
            </w:r>
            <w:r w:rsidR="00891242" w:rsidRPr="005802E9">
              <w:t>d</w:t>
            </w:r>
            <w:r w:rsidRPr="005802E9">
              <w:t xml:space="preserve"> that the restriction only allows for crisaborole use where TCS would not be used</w:t>
            </w:r>
            <w:r w:rsidR="00EA5E8A" w:rsidRPr="005802E9">
              <w:t>, therefore TCS would not be replaced by crisaborole</w:t>
            </w:r>
            <w:r w:rsidRPr="005802E9">
              <w:t xml:space="preserve">. </w:t>
            </w:r>
          </w:p>
        </w:tc>
      </w:tr>
      <w:tr w:rsidR="007E5931" w:rsidRPr="005802E9" w:rsidTr="002B66D6">
        <w:trPr>
          <w:cantSplit/>
        </w:trPr>
        <w:tc>
          <w:tcPr>
            <w:tcW w:w="2749" w:type="pct"/>
          </w:tcPr>
          <w:p w:rsidR="007E5931" w:rsidRPr="005802E9" w:rsidRDefault="00A56897" w:rsidP="002B66D6">
            <w:pPr>
              <w:pStyle w:val="TableText"/>
              <w:keepNext w:val="0"/>
              <w:widowControl w:val="0"/>
              <w:rPr>
                <w:rFonts w:eastAsia="Times New Roman" w:cs="Arial"/>
                <w:bCs w:val="0"/>
                <w:snapToGrid w:val="0"/>
                <w:color w:val="0066FF"/>
                <w:szCs w:val="20"/>
              </w:rPr>
            </w:pPr>
            <w:r w:rsidRPr="005802E9">
              <w:rPr>
                <w:rFonts w:eastAsia="Times New Roman" w:cs="Arial"/>
                <w:bCs w:val="0"/>
                <w:snapToGrid w:val="0"/>
                <w:szCs w:val="20"/>
              </w:rPr>
              <w:t>The PBAC considered that the proposed clinical place for crisaborole was unclear and was not consistent in published international guidelines. The PBAC noted limitations with the short-term efficacy data but assumed that long-term intermittent use was likely (paragraph 7.4, crisaborole, PSD, November 2018 PBAC meeting).</w:t>
            </w:r>
          </w:p>
        </w:tc>
        <w:tc>
          <w:tcPr>
            <w:tcW w:w="2251" w:type="pct"/>
            <w:vAlign w:val="center"/>
          </w:tcPr>
          <w:p w:rsidR="00330CC4" w:rsidRPr="005802E9" w:rsidRDefault="00244287" w:rsidP="00A86F14">
            <w:pPr>
              <w:pStyle w:val="TableText"/>
              <w:keepNext w:val="0"/>
              <w:widowControl w:val="0"/>
            </w:pPr>
            <w:r w:rsidRPr="005802E9">
              <w:t>The</w:t>
            </w:r>
            <w:r w:rsidR="00330CC4" w:rsidRPr="005802E9">
              <w:t xml:space="preserve"> place in therapy</w:t>
            </w:r>
            <w:r w:rsidRPr="005802E9">
              <w:t xml:space="preserve"> remained </w:t>
            </w:r>
            <w:r w:rsidR="00A56897" w:rsidRPr="005802E9">
              <w:t>first-line in patients contraindicated to TCS and second-line in patients who have failed or are intolerant to TCS.</w:t>
            </w:r>
          </w:p>
          <w:p w:rsidR="007E5931" w:rsidRPr="005802E9" w:rsidRDefault="00A56897" w:rsidP="00244287">
            <w:pPr>
              <w:pStyle w:val="TableText"/>
              <w:keepNext w:val="0"/>
              <w:widowControl w:val="0"/>
              <w:rPr>
                <w:rFonts w:eastAsia="Times New Roman" w:cs="Arial"/>
                <w:bCs w:val="0"/>
                <w:snapToGrid w:val="0"/>
                <w:color w:val="0066FF"/>
                <w:szCs w:val="20"/>
              </w:rPr>
            </w:pPr>
            <w:r w:rsidRPr="005802E9">
              <w:t>Additional clarification was provided in the requested restriction regarding use alongside intermitten</w:t>
            </w:r>
            <w:r w:rsidR="00A86F14" w:rsidRPr="005802E9">
              <w:t xml:space="preserve">t TCS. Additional data on </w:t>
            </w:r>
            <w:r w:rsidRPr="005802E9">
              <w:t>long-term use</w:t>
            </w:r>
            <w:r w:rsidR="00A86F14" w:rsidRPr="005802E9">
              <w:t xml:space="preserve"> was presented</w:t>
            </w:r>
            <w:r w:rsidRPr="005802E9">
              <w:t xml:space="preserve"> based on safety extension data (up to 48 weeks follow-up).</w:t>
            </w:r>
            <w:r w:rsidR="00CE6588" w:rsidRPr="005802E9">
              <w:t xml:space="preserve"> The ESC considered if </w:t>
            </w:r>
            <w:r w:rsidR="00244287" w:rsidRPr="005802E9">
              <w:t xml:space="preserve">the restriction was </w:t>
            </w:r>
            <w:r w:rsidR="00CE6588" w:rsidRPr="005802E9">
              <w:t xml:space="preserve">applied </w:t>
            </w:r>
            <w:r w:rsidR="00244287" w:rsidRPr="005802E9">
              <w:t>as strictly intended</w:t>
            </w:r>
            <w:r w:rsidR="00EA5E8A" w:rsidRPr="005802E9">
              <w:t>,</w:t>
            </w:r>
            <w:r w:rsidR="00CE6588" w:rsidRPr="005802E9">
              <w:t xml:space="preserve"> </w:t>
            </w:r>
            <w:r w:rsidR="00EA5E8A" w:rsidRPr="005802E9">
              <w:t xml:space="preserve">the </w:t>
            </w:r>
            <w:r w:rsidR="00244287" w:rsidRPr="005802E9">
              <w:t>eligible</w:t>
            </w:r>
            <w:r w:rsidR="00EA5E8A" w:rsidRPr="005802E9">
              <w:t xml:space="preserve"> population </w:t>
            </w:r>
            <w:r w:rsidR="00CE6588" w:rsidRPr="005802E9">
              <w:t>would account for only a small proportion of AD patients.</w:t>
            </w:r>
          </w:p>
        </w:tc>
      </w:tr>
      <w:tr w:rsidR="007E5931" w:rsidRPr="005802E9" w:rsidTr="002B66D6">
        <w:trPr>
          <w:cantSplit/>
        </w:trPr>
        <w:tc>
          <w:tcPr>
            <w:tcW w:w="2749" w:type="pct"/>
          </w:tcPr>
          <w:p w:rsidR="007E5931" w:rsidRPr="005802E9" w:rsidRDefault="00A56897" w:rsidP="002B66D6">
            <w:pPr>
              <w:pStyle w:val="TableText"/>
              <w:keepNext w:val="0"/>
              <w:widowControl w:val="0"/>
              <w:rPr>
                <w:rFonts w:eastAsia="Times New Roman" w:cs="Arial"/>
                <w:bCs w:val="0"/>
                <w:snapToGrid w:val="0"/>
                <w:color w:val="0066FF"/>
                <w:szCs w:val="20"/>
              </w:rPr>
            </w:pPr>
            <w:r w:rsidRPr="005802E9">
              <w:rPr>
                <w:rFonts w:eastAsia="Times New Roman" w:cs="Arial"/>
                <w:bCs w:val="0"/>
                <w:snapToGrid w:val="0"/>
                <w:szCs w:val="20"/>
              </w:rPr>
              <w:t>The PBAC noted that the proposed listing was narrower than the requested TGA indication and inconsistent with the clinical data. The PBAC noted that the concept of intolerance to TCS was not addressed in the proposed restriction and remained open to interpretation (paragraph 7.3, crisaborole, PSD, November 2018 PBAC meeting).</w:t>
            </w:r>
          </w:p>
        </w:tc>
        <w:tc>
          <w:tcPr>
            <w:tcW w:w="2251" w:type="pct"/>
            <w:vAlign w:val="center"/>
          </w:tcPr>
          <w:p w:rsidR="007E5931" w:rsidRPr="005802E9" w:rsidRDefault="00A56897" w:rsidP="00244287">
            <w:pPr>
              <w:pStyle w:val="TableText"/>
              <w:keepNext w:val="0"/>
              <w:widowControl w:val="0"/>
              <w:rPr>
                <w:rFonts w:eastAsia="Times New Roman" w:cs="Arial"/>
                <w:bCs w:val="0"/>
                <w:snapToGrid w:val="0"/>
                <w:color w:val="0066FF"/>
                <w:szCs w:val="20"/>
              </w:rPr>
            </w:pPr>
            <w:r w:rsidRPr="005802E9">
              <w:rPr>
                <w:rFonts w:eastAsia="Times New Roman" w:cs="Arial"/>
                <w:bCs w:val="0"/>
                <w:snapToGrid w:val="0"/>
                <w:szCs w:val="20"/>
              </w:rPr>
              <w:t xml:space="preserve">The proposed listing is for the same target population as per the November 2018 submission (patients who are failing, contraindicated or intolerant to TCS). </w:t>
            </w:r>
            <w:r w:rsidR="00891242" w:rsidRPr="005802E9">
              <w:rPr>
                <w:rFonts w:eastAsia="Times New Roman" w:cs="Arial"/>
                <w:bCs w:val="0"/>
                <w:snapToGrid w:val="0"/>
                <w:szCs w:val="20"/>
              </w:rPr>
              <w:t xml:space="preserve">The proposed restriction </w:t>
            </w:r>
            <w:r w:rsidR="00244287" w:rsidRPr="005802E9">
              <w:rPr>
                <w:rFonts w:eastAsia="Times New Roman" w:cs="Arial"/>
                <w:bCs w:val="0"/>
                <w:snapToGrid w:val="0"/>
                <w:szCs w:val="20"/>
              </w:rPr>
              <w:t>defined</w:t>
            </w:r>
            <w:r w:rsidR="00891242" w:rsidRPr="005802E9">
              <w:rPr>
                <w:rFonts w:eastAsia="Times New Roman" w:cs="Arial"/>
                <w:bCs w:val="0"/>
                <w:snapToGrid w:val="0"/>
                <w:szCs w:val="20"/>
              </w:rPr>
              <w:t xml:space="preserve"> intolerance as “</w:t>
            </w:r>
            <w:r w:rsidR="00891242" w:rsidRPr="005802E9">
              <w:t>development of atrophy of the skin, infection of the skin, contact allergy and/or systemic effects”.</w:t>
            </w:r>
          </w:p>
        </w:tc>
      </w:tr>
      <w:tr w:rsidR="00A56897" w:rsidRPr="005802E9" w:rsidTr="002B66D6">
        <w:trPr>
          <w:cantSplit/>
        </w:trPr>
        <w:tc>
          <w:tcPr>
            <w:tcW w:w="2749" w:type="pct"/>
          </w:tcPr>
          <w:p w:rsidR="00A56897" w:rsidRPr="005802E9" w:rsidRDefault="00A56897" w:rsidP="002B66D6">
            <w:pPr>
              <w:pStyle w:val="TableText"/>
              <w:keepNext w:val="0"/>
              <w:widowControl w:val="0"/>
              <w:rPr>
                <w:rFonts w:eastAsia="Times New Roman" w:cs="Arial"/>
                <w:bCs w:val="0"/>
                <w:snapToGrid w:val="0"/>
                <w:szCs w:val="20"/>
              </w:rPr>
            </w:pPr>
            <w:r w:rsidRPr="005802E9">
              <w:rPr>
                <w:rFonts w:eastAsia="Times New Roman" w:cs="Arial"/>
                <w:bCs w:val="0"/>
                <w:snapToGrid w:val="0"/>
                <w:szCs w:val="20"/>
              </w:rPr>
              <w:t>The PBAC considered that the proposed listing for chronic use may not be appropriate</w:t>
            </w:r>
            <w:r w:rsidR="00A86F14" w:rsidRPr="005802E9">
              <w:rPr>
                <w:rFonts w:eastAsia="Times New Roman" w:cs="Arial"/>
                <w:bCs w:val="0"/>
                <w:snapToGrid w:val="0"/>
                <w:szCs w:val="20"/>
              </w:rPr>
              <w:t xml:space="preserve"> (based on pimecrolimus restriction). The restriction should address the use of crisaborole in terms of initiation, discontinuation and optimal duration of therapy; the maximum quantity and number of repeats was inadequately justified; and the appropriate amount remains unclear </w:t>
            </w:r>
            <w:r w:rsidRPr="005802E9">
              <w:rPr>
                <w:rFonts w:eastAsia="Times New Roman" w:cs="Arial"/>
                <w:bCs w:val="0"/>
                <w:snapToGrid w:val="0"/>
                <w:szCs w:val="20"/>
              </w:rPr>
              <w:t>(paragraph 7.2, crisaborole, PSD, November 2018 PBAC meeting</w:t>
            </w:r>
            <w:r w:rsidR="00A86F14" w:rsidRPr="005802E9">
              <w:rPr>
                <w:rFonts w:eastAsia="Times New Roman" w:cs="Arial"/>
                <w:bCs w:val="0"/>
                <w:snapToGrid w:val="0"/>
                <w:szCs w:val="20"/>
              </w:rPr>
              <w:t xml:space="preserve">). </w:t>
            </w:r>
          </w:p>
        </w:tc>
        <w:tc>
          <w:tcPr>
            <w:tcW w:w="2251" w:type="pct"/>
            <w:vAlign w:val="center"/>
          </w:tcPr>
          <w:p w:rsidR="00A56897" w:rsidRPr="005802E9" w:rsidRDefault="00A86F14" w:rsidP="00026F31">
            <w:pPr>
              <w:pStyle w:val="TableText"/>
              <w:keepNext w:val="0"/>
              <w:widowControl w:val="0"/>
              <w:rPr>
                <w:rFonts w:eastAsia="Times New Roman" w:cs="Arial"/>
                <w:bCs w:val="0"/>
                <w:snapToGrid w:val="0"/>
                <w:color w:val="0066FF"/>
                <w:szCs w:val="20"/>
              </w:rPr>
            </w:pPr>
            <w:r w:rsidRPr="005802E9">
              <w:rPr>
                <w:rFonts w:eastAsia="Times New Roman" w:cs="Arial"/>
                <w:bCs w:val="0"/>
                <w:snapToGrid w:val="0"/>
                <w:szCs w:val="20"/>
              </w:rPr>
              <w:t>The proposed listing in the resubmission include</w:t>
            </w:r>
            <w:r w:rsidR="00026F31">
              <w:rPr>
                <w:rFonts w:eastAsia="Times New Roman" w:cs="Arial"/>
                <w:bCs w:val="0"/>
                <w:snapToGrid w:val="0"/>
                <w:szCs w:val="20"/>
              </w:rPr>
              <w:t>d</w:t>
            </w:r>
            <w:r w:rsidRPr="005802E9">
              <w:rPr>
                <w:rFonts w:eastAsia="Times New Roman" w:cs="Arial"/>
                <w:bCs w:val="0"/>
                <w:snapToGrid w:val="0"/>
                <w:szCs w:val="20"/>
              </w:rPr>
              <w:t xml:space="preserve"> initial, continuing and grandfathering restrictions with stopping rules for eac</w:t>
            </w:r>
            <w:r w:rsidR="007905DB">
              <w:rPr>
                <w:rFonts w:eastAsia="Times New Roman" w:cs="Arial"/>
                <w:bCs w:val="0"/>
                <w:snapToGrid w:val="0"/>
                <w:szCs w:val="20"/>
              </w:rPr>
              <w:t>h restriction. The resubmission</w:t>
            </w:r>
            <w:r w:rsidRPr="005802E9">
              <w:rPr>
                <w:rFonts w:eastAsia="Times New Roman" w:cs="Arial"/>
                <w:bCs w:val="0"/>
                <w:snapToGrid w:val="0"/>
                <w:szCs w:val="20"/>
              </w:rPr>
              <w:t xml:space="preserve"> also request</w:t>
            </w:r>
            <w:r w:rsidR="00026F31">
              <w:rPr>
                <w:rFonts w:eastAsia="Times New Roman" w:cs="Arial"/>
                <w:bCs w:val="0"/>
                <w:snapToGrid w:val="0"/>
                <w:szCs w:val="20"/>
              </w:rPr>
              <w:t>ed</w:t>
            </w:r>
            <w:r w:rsidRPr="005802E9">
              <w:rPr>
                <w:rFonts w:eastAsia="Times New Roman" w:cs="Arial"/>
                <w:bCs w:val="0"/>
                <w:snapToGrid w:val="0"/>
                <w:szCs w:val="20"/>
              </w:rPr>
              <w:t xml:space="preserve"> a smaller size tube of 30 g for the initial restriction, and the 60 g tube for the continuing and grandfathering restrictions. Restriction</w:t>
            </w:r>
            <w:r w:rsidR="00244287" w:rsidRPr="005802E9">
              <w:rPr>
                <w:rFonts w:eastAsia="Times New Roman" w:cs="Arial"/>
                <w:bCs w:val="0"/>
                <w:snapToGrid w:val="0"/>
                <w:szCs w:val="20"/>
              </w:rPr>
              <w:t xml:space="preserve"> criteria</w:t>
            </w:r>
            <w:r w:rsidRPr="005802E9">
              <w:rPr>
                <w:rFonts w:eastAsia="Times New Roman" w:cs="Arial"/>
                <w:bCs w:val="0"/>
                <w:snapToGrid w:val="0"/>
                <w:szCs w:val="20"/>
              </w:rPr>
              <w:t xml:space="preserve"> specific to pimecrolimus </w:t>
            </w:r>
            <w:r w:rsidR="00026F31">
              <w:rPr>
                <w:rFonts w:eastAsia="Times New Roman" w:cs="Arial"/>
                <w:bCs w:val="0"/>
                <w:snapToGrid w:val="0"/>
                <w:szCs w:val="20"/>
              </w:rPr>
              <w:t>were</w:t>
            </w:r>
            <w:r w:rsidRPr="005802E9">
              <w:rPr>
                <w:rFonts w:eastAsia="Times New Roman" w:cs="Arial"/>
                <w:bCs w:val="0"/>
                <w:snapToGrid w:val="0"/>
                <w:szCs w:val="20"/>
              </w:rPr>
              <w:t xml:space="preserve"> removed.</w:t>
            </w:r>
          </w:p>
        </w:tc>
      </w:tr>
      <w:tr w:rsidR="00A56897" w:rsidRPr="005802E9" w:rsidTr="002B66D6">
        <w:trPr>
          <w:cantSplit/>
        </w:trPr>
        <w:tc>
          <w:tcPr>
            <w:tcW w:w="2749" w:type="pct"/>
          </w:tcPr>
          <w:p w:rsidR="00A56897" w:rsidRPr="005802E9" w:rsidRDefault="00A86F14" w:rsidP="002B66D6">
            <w:pPr>
              <w:pStyle w:val="TableText"/>
              <w:keepNext w:val="0"/>
              <w:rPr>
                <w:szCs w:val="20"/>
              </w:rPr>
            </w:pPr>
            <w:r w:rsidRPr="005802E9">
              <w:rPr>
                <w:szCs w:val="20"/>
              </w:rPr>
              <w:t>The PBAC considered that overall the claim of superior comparative effectiveness compared with standard management was not adequately supported and noted numerous concerns with the data presented including: limited applicability of the short-term key trials, lack of data for the requested subgroup, clinical importance of outcomes based on ISGA, lack of comparative data with well-established therapies, the robustness of the meta-analysis of the key trials, and the modest magnitude of benefit of crisaborole over its vehicle that only just exceeded the proposed MCID (paragraph 7.6, crisaborole, PSD, November 2018 PBAC meeting).</w:t>
            </w:r>
          </w:p>
        </w:tc>
        <w:tc>
          <w:tcPr>
            <w:tcW w:w="2251" w:type="pct"/>
            <w:vAlign w:val="center"/>
          </w:tcPr>
          <w:p w:rsidR="00A86F14" w:rsidRPr="005802E9" w:rsidRDefault="00A86F14" w:rsidP="00A86F14">
            <w:pPr>
              <w:pStyle w:val="TableText"/>
              <w:rPr>
                <w:rFonts w:eastAsia="Times New Roman" w:cs="Arial"/>
                <w:bCs w:val="0"/>
                <w:snapToGrid w:val="0"/>
                <w:szCs w:val="20"/>
              </w:rPr>
            </w:pPr>
            <w:r w:rsidRPr="005802E9">
              <w:rPr>
                <w:rFonts w:eastAsia="Times New Roman" w:cs="Arial"/>
                <w:bCs w:val="0"/>
                <w:snapToGrid w:val="0"/>
                <w:szCs w:val="20"/>
              </w:rPr>
              <w:t xml:space="preserve">To address concerns regarding the lack of subgroup data for the requested restriction, the resubmission presented post-hoc subgroup analyses by prior topical corticosteroid </w:t>
            </w:r>
            <w:r w:rsidR="001D59EF" w:rsidRPr="005802E9">
              <w:rPr>
                <w:rFonts w:eastAsia="Times New Roman" w:cs="Arial"/>
                <w:bCs w:val="0"/>
                <w:snapToGrid w:val="0"/>
                <w:szCs w:val="20"/>
              </w:rPr>
              <w:t xml:space="preserve">use </w:t>
            </w:r>
            <w:r w:rsidRPr="005802E9">
              <w:rPr>
                <w:rFonts w:eastAsia="Times New Roman" w:cs="Arial"/>
                <w:bCs w:val="0"/>
                <w:snapToGrid w:val="0"/>
                <w:szCs w:val="20"/>
              </w:rPr>
              <w:t>based on the key trials AD-301 and AD-302.</w:t>
            </w:r>
          </w:p>
          <w:p w:rsidR="00A86F14" w:rsidRPr="005802E9" w:rsidRDefault="00A86F14" w:rsidP="00A86F14">
            <w:pPr>
              <w:pStyle w:val="TableText"/>
              <w:rPr>
                <w:rFonts w:eastAsia="Times New Roman" w:cs="Arial"/>
                <w:bCs w:val="0"/>
                <w:snapToGrid w:val="0"/>
                <w:szCs w:val="20"/>
              </w:rPr>
            </w:pPr>
            <w:r w:rsidRPr="005802E9">
              <w:rPr>
                <w:rFonts w:eastAsia="Times New Roman" w:cs="Arial"/>
                <w:bCs w:val="0"/>
                <w:snapToGrid w:val="0"/>
                <w:szCs w:val="20"/>
              </w:rPr>
              <w:t>To address concerns regarding the lack of long-term efficacy data for crisaborole, the resubmission presented analyses of ISGA scores over time using data from the AD-301, AD-302 trials and the open-label safety extension study</w:t>
            </w:r>
            <w:r w:rsidR="00D44A40" w:rsidRPr="005802E9">
              <w:rPr>
                <w:rFonts w:eastAsia="Times New Roman" w:cs="Arial"/>
                <w:bCs w:val="0"/>
                <w:snapToGrid w:val="0"/>
                <w:szCs w:val="20"/>
              </w:rPr>
              <w:t xml:space="preserve"> AD-303</w:t>
            </w:r>
            <w:r w:rsidRPr="005802E9">
              <w:rPr>
                <w:rFonts w:eastAsia="Times New Roman" w:cs="Arial"/>
                <w:bCs w:val="0"/>
                <w:snapToGrid w:val="0"/>
                <w:szCs w:val="20"/>
              </w:rPr>
              <w:t>.</w:t>
            </w:r>
            <w:r w:rsidR="00D44A40" w:rsidRPr="005802E9">
              <w:rPr>
                <w:rFonts w:eastAsia="Times New Roman" w:cs="Arial"/>
                <w:bCs w:val="0"/>
                <w:snapToGrid w:val="0"/>
                <w:szCs w:val="20"/>
              </w:rPr>
              <w:t xml:space="preserve"> Previously only safety data were presented for study AD-303 in the submission as the CSR only reported analyses of safety.</w:t>
            </w:r>
            <w:r w:rsidRPr="005802E9">
              <w:rPr>
                <w:rFonts w:eastAsia="Times New Roman" w:cs="Arial"/>
                <w:bCs w:val="0"/>
                <w:snapToGrid w:val="0"/>
                <w:szCs w:val="20"/>
              </w:rPr>
              <w:t xml:space="preserve"> </w:t>
            </w:r>
          </w:p>
          <w:p w:rsidR="00A56897" w:rsidRPr="005802E9" w:rsidRDefault="00A86F14" w:rsidP="00A86F14">
            <w:pPr>
              <w:pStyle w:val="TableText"/>
              <w:keepNext w:val="0"/>
              <w:widowControl w:val="0"/>
              <w:rPr>
                <w:rFonts w:eastAsia="Times New Roman" w:cs="Arial"/>
                <w:bCs w:val="0"/>
                <w:snapToGrid w:val="0"/>
                <w:color w:val="0066FF"/>
                <w:szCs w:val="20"/>
              </w:rPr>
            </w:pPr>
            <w:r w:rsidRPr="005802E9">
              <w:rPr>
                <w:rFonts w:eastAsia="Times New Roman" w:cs="Arial"/>
                <w:bCs w:val="0"/>
                <w:snapToGrid w:val="0"/>
                <w:szCs w:val="20"/>
              </w:rPr>
              <w:t>The resubmission did not nominate any MCIDs.</w:t>
            </w:r>
          </w:p>
        </w:tc>
      </w:tr>
      <w:tr w:rsidR="00A56897" w:rsidRPr="005802E9" w:rsidTr="00891242">
        <w:trPr>
          <w:cantSplit/>
        </w:trPr>
        <w:tc>
          <w:tcPr>
            <w:tcW w:w="2749" w:type="pct"/>
          </w:tcPr>
          <w:p w:rsidR="00A56897" w:rsidRPr="005802E9" w:rsidRDefault="00A86F14" w:rsidP="002B66D6">
            <w:pPr>
              <w:pStyle w:val="TableText"/>
              <w:keepNext w:val="0"/>
              <w:widowControl w:val="0"/>
              <w:rPr>
                <w:rFonts w:eastAsia="Times New Roman" w:cs="Arial"/>
                <w:bCs w:val="0"/>
                <w:snapToGrid w:val="0"/>
                <w:color w:val="0066FF"/>
                <w:szCs w:val="20"/>
              </w:rPr>
            </w:pPr>
            <w:r w:rsidRPr="005802E9">
              <w:rPr>
                <w:rFonts w:eastAsia="Times New Roman" w:cs="Arial"/>
                <w:bCs w:val="0"/>
                <w:snapToGrid w:val="0"/>
                <w:szCs w:val="20"/>
              </w:rPr>
              <w:lastRenderedPageBreak/>
              <w:t xml:space="preserve">The PBAC considered that the results of the indirect comparison did not exclude the possibility that pimecrolimus was superior to crisaborole in terms of efficacy and noted the following concerns with the evidence presented: the exclusion of a large body of evidence for pimecrolimus, major transitivity issues with the indirect comparison and the nominated non-inferiority margin did not appear reasonable (paragraph 7.7, crisaborole, PSD, November 2018 PBAC meeting). </w:t>
            </w:r>
          </w:p>
        </w:tc>
        <w:tc>
          <w:tcPr>
            <w:tcW w:w="2251" w:type="pct"/>
          </w:tcPr>
          <w:p w:rsidR="00A86F14" w:rsidRPr="005802E9" w:rsidRDefault="00A86F14" w:rsidP="00891242">
            <w:pPr>
              <w:pStyle w:val="TableText"/>
              <w:keepNext w:val="0"/>
            </w:pPr>
            <w:r w:rsidRPr="005802E9">
              <w:t xml:space="preserve">The resubmission excluded two infant trials (Trial 0316 and Breuer 2004) from the previous indirect comparison that were not applicable to the requested PBS population. </w:t>
            </w:r>
          </w:p>
          <w:p w:rsidR="00A56897" w:rsidRPr="005802E9" w:rsidRDefault="00A86F14" w:rsidP="00891242">
            <w:pPr>
              <w:pStyle w:val="TableText"/>
              <w:keepNext w:val="0"/>
              <w:rPr>
                <w:rFonts w:eastAsia="Times New Roman" w:cs="Arial"/>
                <w:bCs w:val="0"/>
                <w:i/>
                <w:snapToGrid w:val="0"/>
                <w:color w:val="0066FF"/>
                <w:szCs w:val="20"/>
              </w:rPr>
            </w:pPr>
            <w:r w:rsidRPr="005802E9">
              <w:t xml:space="preserve">The resubmission did not nominate a non-inferiority margin. </w:t>
            </w:r>
          </w:p>
        </w:tc>
      </w:tr>
      <w:tr w:rsidR="00A56897" w:rsidRPr="005802E9" w:rsidTr="008422F8">
        <w:trPr>
          <w:cantSplit/>
        </w:trPr>
        <w:tc>
          <w:tcPr>
            <w:tcW w:w="2749" w:type="pct"/>
          </w:tcPr>
          <w:p w:rsidR="00A56897" w:rsidRPr="005802E9" w:rsidRDefault="00330CC4" w:rsidP="002B66D6">
            <w:pPr>
              <w:pStyle w:val="TableText"/>
              <w:keepNext w:val="0"/>
              <w:widowControl w:val="0"/>
              <w:rPr>
                <w:rFonts w:eastAsia="Times New Roman" w:cs="Arial"/>
                <w:bCs w:val="0"/>
                <w:snapToGrid w:val="0"/>
                <w:color w:val="0066FF"/>
                <w:szCs w:val="20"/>
              </w:rPr>
            </w:pPr>
            <w:r w:rsidRPr="005802E9">
              <w:rPr>
                <w:rFonts w:eastAsia="Times New Roman" w:cs="Arial"/>
                <w:bCs w:val="0"/>
                <w:snapToGrid w:val="0"/>
                <w:szCs w:val="20"/>
              </w:rPr>
              <w:t>The PBAC considered that the cost-minimisation analysis was not reasonable given that the clinical claim of non-inferiority to pimecrolimus was inadequately supported. The PBAC also considered that the assumption of equivalence of crisaborole and pimecrolimus on a per gram basis was not appropriate and was unlikely to reflect actual use of the treatments (paragraph 7.10, crisaborole PSD, November 2018 PBAC meeting).</w:t>
            </w:r>
          </w:p>
        </w:tc>
        <w:tc>
          <w:tcPr>
            <w:tcW w:w="2251" w:type="pct"/>
          </w:tcPr>
          <w:p w:rsidR="00A56897" w:rsidRPr="005802E9" w:rsidRDefault="00330CC4" w:rsidP="008422F8">
            <w:pPr>
              <w:pStyle w:val="TableText"/>
              <w:keepNext w:val="0"/>
              <w:widowControl w:val="0"/>
              <w:rPr>
                <w:rFonts w:eastAsia="Times New Roman" w:cs="Arial"/>
                <w:bCs w:val="0"/>
                <w:snapToGrid w:val="0"/>
                <w:color w:val="0066FF"/>
                <w:szCs w:val="20"/>
              </w:rPr>
            </w:pPr>
            <w:r w:rsidRPr="005802E9">
              <w:rPr>
                <w:rFonts w:eastAsia="Times New Roman" w:cs="Arial"/>
                <w:bCs w:val="0"/>
                <w:snapToGrid w:val="0"/>
                <w:szCs w:val="20"/>
              </w:rPr>
              <w:t>Same approach as the November 2018 submission</w:t>
            </w:r>
            <w:r w:rsidR="008422F8" w:rsidRPr="005802E9">
              <w:rPr>
                <w:rFonts w:eastAsia="Times New Roman" w:cs="Arial"/>
                <w:bCs w:val="0"/>
                <w:snapToGrid w:val="0"/>
                <w:szCs w:val="20"/>
              </w:rPr>
              <w:t xml:space="preserve"> based on the </w:t>
            </w:r>
            <w:r w:rsidR="008422F8" w:rsidRPr="005802E9">
              <w:rPr>
                <w:szCs w:val="20"/>
              </w:rPr>
              <w:t>assumption that crisaborole is equivalent to pimecrolimus on a per gram basis</w:t>
            </w:r>
            <w:r w:rsidRPr="005802E9">
              <w:rPr>
                <w:rFonts w:eastAsia="Times New Roman" w:cs="Arial"/>
                <w:bCs w:val="0"/>
                <w:snapToGrid w:val="0"/>
                <w:szCs w:val="20"/>
              </w:rPr>
              <w:t xml:space="preserve">. The resubmission included </w:t>
            </w:r>
            <w:r w:rsidR="008422F8" w:rsidRPr="005802E9">
              <w:rPr>
                <w:rFonts w:eastAsia="Times New Roman" w:cs="Arial"/>
                <w:bCs w:val="0"/>
                <w:snapToGrid w:val="0"/>
                <w:szCs w:val="20"/>
              </w:rPr>
              <w:t xml:space="preserve">an adjustment factor for young children in the weighting and </w:t>
            </w:r>
            <w:r w:rsidRPr="005802E9">
              <w:rPr>
                <w:rFonts w:eastAsia="Times New Roman" w:cs="Arial"/>
                <w:bCs w:val="0"/>
                <w:snapToGrid w:val="0"/>
                <w:szCs w:val="20"/>
              </w:rPr>
              <w:t>an additional analysis for the 30 g tube (initial script).</w:t>
            </w:r>
          </w:p>
        </w:tc>
      </w:tr>
      <w:tr w:rsidR="00A56897" w:rsidRPr="005802E9" w:rsidTr="008422F8">
        <w:trPr>
          <w:cantSplit/>
        </w:trPr>
        <w:tc>
          <w:tcPr>
            <w:tcW w:w="2749" w:type="pct"/>
          </w:tcPr>
          <w:p w:rsidR="00330CC4" w:rsidRPr="005802E9" w:rsidRDefault="00330CC4" w:rsidP="002B66D6">
            <w:pPr>
              <w:pStyle w:val="TableText"/>
              <w:keepNext w:val="0"/>
              <w:widowControl w:val="0"/>
              <w:rPr>
                <w:rFonts w:eastAsia="Times New Roman" w:cs="Arial"/>
                <w:snapToGrid w:val="0"/>
                <w:szCs w:val="20"/>
              </w:rPr>
            </w:pPr>
            <w:r w:rsidRPr="005802E9">
              <w:rPr>
                <w:rFonts w:eastAsia="Times New Roman" w:cs="Arial"/>
                <w:snapToGrid w:val="0"/>
                <w:szCs w:val="20"/>
              </w:rPr>
              <w:t>The PBAC considered that the cost-effectiveness of crisaborole compared with standard management was highly uncertain due to the following concerns (paragraph 7.9, crisaborole PSD, November 2018 PBAC meeting):</w:t>
            </w:r>
          </w:p>
          <w:p w:rsidR="00330CC4" w:rsidRPr="005802E9" w:rsidRDefault="00330CC4" w:rsidP="00C80D49">
            <w:pPr>
              <w:pStyle w:val="TableText"/>
              <w:widowControl w:val="0"/>
              <w:numPr>
                <w:ilvl w:val="0"/>
                <w:numId w:val="7"/>
              </w:numPr>
              <w:rPr>
                <w:snapToGrid w:val="0"/>
                <w:szCs w:val="20"/>
              </w:rPr>
            </w:pPr>
            <w:r w:rsidRPr="005802E9">
              <w:rPr>
                <w:snapToGrid w:val="0"/>
                <w:szCs w:val="20"/>
              </w:rPr>
              <w:t xml:space="preserve">the lack of a relevant comparator; </w:t>
            </w:r>
          </w:p>
          <w:p w:rsidR="00330CC4" w:rsidRPr="005802E9" w:rsidRDefault="00330CC4" w:rsidP="00C80D49">
            <w:pPr>
              <w:pStyle w:val="TableText"/>
              <w:widowControl w:val="0"/>
              <w:numPr>
                <w:ilvl w:val="0"/>
                <w:numId w:val="7"/>
              </w:numPr>
              <w:rPr>
                <w:snapToGrid w:val="0"/>
                <w:szCs w:val="20"/>
              </w:rPr>
            </w:pPr>
            <w:r w:rsidRPr="005802E9">
              <w:rPr>
                <w:snapToGrid w:val="0"/>
                <w:szCs w:val="20"/>
              </w:rPr>
              <w:t>the model did not reflect the likely use in practice, or capture all relevant health states;</w:t>
            </w:r>
          </w:p>
          <w:p w:rsidR="00330CC4" w:rsidRPr="005802E9" w:rsidRDefault="00330CC4" w:rsidP="00C80D49">
            <w:pPr>
              <w:pStyle w:val="TableText"/>
              <w:widowControl w:val="0"/>
              <w:numPr>
                <w:ilvl w:val="0"/>
                <w:numId w:val="7"/>
              </w:numPr>
              <w:rPr>
                <w:snapToGrid w:val="0"/>
                <w:szCs w:val="20"/>
              </w:rPr>
            </w:pPr>
            <w:r w:rsidRPr="005802E9">
              <w:rPr>
                <w:snapToGrid w:val="0"/>
                <w:szCs w:val="20"/>
              </w:rPr>
              <w:t>the extrapolation of the treatment benefit was based on unsupported assumptions which appeared clinically implausible; and</w:t>
            </w:r>
          </w:p>
          <w:p w:rsidR="00A56897" w:rsidRPr="005802E9" w:rsidRDefault="00330CC4" w:rsidP="00C80D49">
            <w:pPr>
              <w:pStyle w:val="TableText"/>
              <w:widowControl w:val="0"/>
              <w:numPr>
                <w:ilvl w:val="0"/>
                <w:numId w:val="7"/>
              </w:numPr>
              <w:rPr>
                <w:snapToGrid w:val="0"/>
                <w:szCs w:val="20"/>
              </w:rPr>
            </w:pPr>
            <w:r w:rsidRPr="005802E9">
              <w:rPr>
                <w:rFonts w:eastAsia="Times New Roman" w:cs="Arial"/>
                <w:bCs w:val="0"/>
                <w:snapToGrid w:val="0"/>
                <w:szCs w:val="20"/>
              </w:rPr>
              <w:t>usage costs in the model appeared substantially underestimated and did not reflect use in the trial on which the treatment benefit was based.</w:t>
            </w:r>
          </w:p>
        </w:tc>
        <w:tc>
          <w:tcPr>
            <w:tcW w:w="2251" w:type="pct"/>
          </w:tcPr>
          <w:p w:rsidR="00330CC4" w:rsidRPr="005802E9" w:rsidRDefault="00330CC4" w:rsidP="008422F8">
            <w:pPr>
              <w:pStyle w:val="TableText"/>
              <w:widowControl w:val="0"/>
              <w:rPr>
                <w:rFonts w:eastAsia="Times New Roman" w:cs="Arial"/>
                <w:bCs w:val="0"/>
                <w:snapToGrid w:val="0"/>
                <w:szCs w:val="20"/>
              </w:rPr>
            </w:pPr>
            <w:r w:rsidRPr="005802E9">
              <w:rPr>
                <w:rFonts w:eastAsia="Times New Roman" w:cs="Arial"/>
                <w:bCs w:val="0"/>
                <w:snapToGrid w:val="0"/>
                <w:szCs w:val="20"/>
              </w:rPr>
              <w:t>The resubmission presented a revised economic model for crisaborole versus standard management, with major changes to the time horizon, model structure, transition probabilities, drug costs, disease management costs and utilities.</w:t>
            </w:r>
          </w:p>
          <w:p w:rsidR="00330CC4" w:rsidRPr="005802E9" w:rsidRDefault="00330CC4" w:rsidP="008422F8">
            <w:pPr>
              <w:pStyle w:val="TableText"/>
              <w:widowControl w:val="0"/>
              <w:rPr>
                <w:rFonts w:eastAsia="Times New Roman" w:cs="Arial"/>
                <w:bCs w:val="0"/>
                <w:snapToGrid w:val="0"/>
                <w:szCs w:val="20"/>
              </w:rPr>
            </w:pPr>
          </w:p>
          <w:p w:rsidR="00A56897" w:rsidRPr="005802E9" w:rsidRDefault="00330CC4" w:rsidP="008422F8">
            <w:pPr>
              <w:pStyle w:val="TableText"/>
              <w:keepNext w:val="0"/>
              <w:widowControl w:val="0"/>
              <w:rPr>
                <w:rFonts w:eastAsia="Times New Roman" w:cs="Arial"/>
                <w:bCs w:val="0"/>
                <w:snapToGrid w:val="0"/>
                <w:szCs w:val="20"/>
              </w:rPr>
            </w:pPr>
            <w:r w:rsidRPr="005802E9">
              <w:rPr>
                <w:rFonts w:eastAsia="Times New Roman" w:cs="Arial"/>
                <w:bCs w:val="0"/>
                <w:snapToGrid w:val="0"/>
                <w:szCs w:val="20"/>
              </w:rPr>
              <w:t xml:space="preserve">There was no economic evaluation comparing crisaborole with a </w:t>
            </w:r>
            <w:r w:rsidR="00891242" w:rsidRPr="005802E9">
              <w:rPr>
                <w:rFonts w:eastAsia="Times New Roman" w:cs="Arial"/>
                <w:bCs w:val="0"/>
                <w:snapToGrid w:val="0"/>
                <w:szCs w:val="20"/>
              </w:rPr>
              <w:t xml:space="preserve">potentially </w:t>
            </w:r>
            <w:r w:rsidRPr="005802E9">
              <w:rPr>
                <w:rFonts w:eastAsia="Times New Roman" w:cs="Arial"/>
                <w:bCs w:val="0"/>
                <w:snapToGrid w:val="0"/>
                <w:szCs w:val="20"/>
              </w:rPr>
              <w:t>relevant comparator (topical corticosteroids, topical calcineurin inhibitors)</w:t>
            </w:r>
            <w:r w:rsidR="00D078A0" w:rsidRPr="005802E9">
              <w:rPr>
                <w:rFonts w:eastAsia="Times New Roman" w:cs="Arial"/>
                <w:bCs w:val="0"/>
                <w:snapToGrid w:val="0"/>
                <w:szCs w:val="20"/>
              </w:rPr>
              <w:t>.</w:t>
            </w:r>
          </w:p>
        </w:tc>
      </w:tr>
      <w:tr w:rsidR="00A56897" w:rsidRPr="005802E9" w:rsidTr="00894701">
        <w:trPr>
          <w:cantSplit/>
        </w:trPr>
        <w:tc>
          <w:tcPr>
            <w:tcW w:w="2749" w:type="pct"/>
          </w:tcPr>
          <w:p w:rsidR="00A56897" w:rsidRPr="005802E9" w:rsidRDefault="00330CC4" w:rsidP="002B66D6">
            <w:pPr>
              <w:pStyle w:val="TableText"/>
              <w:keepNext w:val="0"/>
              <w:widowControl w:val="0"/>
              <w:rPr>
                <w:rFonts w:eastAsia="Times New Roman" w:cs="Arial"/>
                <w:bCs w:val="0"/>
                <w:snapToGrid w:val="0"/>
                <w:szCs w:val="20"/>
              </w:rPr>
            </w:pPr>
            <w:r w:rsidRPr="005802E9">
              <w:rPr>
                <w:rFonts w:eastAsia="Times New Roman" w:cs="Arial"/>
                <w:bCs w:val="0"/>
                <w:snapToGrid w:val="0"/>
                <w:szCs w:val="20"/>
              </w:rPr>
              <w:t>The PBAC considered the use of the ‘rule of nines’ in the weighting of the price was not appropriate and was unlikely to reflect actual use, though the distribution of affected areas between the face and eyelids versus the rest of the body in the crisaborole trials was unknown (paragraph 7.10, crisaborole PSD, November 2018 PBAC meeting).</w:t>
            </w:r>
          </w:p>
        </w:tc>
        <w:tc>
          <w:tcPr>
            <w:tcW w:w="2251" w:type="pct"/>
          </w:tcPr>
          <w:p w:rsidR="00A56897" w:rsidRPr="005802E9" w:rsidRDefault="00330CC4" w:rsidP="00894701">
            <w:pPr>
              <w:pStyle w:val="TableText"/>
              <w:keepNext w:val="0"/>
              <w:widowControl w:val="0"/>
              <w:rPr>
                <w:rFonts w:eastAsia="Times New Roman" w:cs="Arial"/>
                <w:bCs w:val="0"/>
                <w:snapToGrid w:val="0"/>
                <w:szCs w:val="20"/>
              </w:rPr>
            </w:pPr>
            <w:r w:rsidRPr="005802E9">
              <w:rPr>
                <w:rFonts w:eastAsia="Times New Roman" w:cs="Arial"/>
                <w:bCs w:val="0"/>
                <w:snapToGrid w:val="0"/>
                <w:szCs w:val="20"/>
              </w:rPr>
              <w:t>The resubmission used a complex approach based on epidemiological data and the ‘rule of nines’ to calculate price weightings for the face and eyelids versus the rest of the body.</w:t>
            </w:r>
          </w:p>
        </w:tc>
      </w:tr>
      <w:tr w:rsidR="00330CC4" w:rsidRPr="005802E9" w:rsidTr="002B66D6">
        <w:trPr>
          <w:cantSplit/>
        </w:trPr>
        <w:tc>
          <w:tcPr>
            <w:tcW w:w="2749" w:type="pct"/>
          </w:tcPr>
          <w:p w:rsidR="00330CC4" w:rsidRPr="005802E9" w:rsidRDefault="00330CC4" w:rsidP="002B66D6">
            <w:pPr>
              <w:pStyle w:val="TableText"/>
              <w:keepNext w:val="0"/>
              <w:widowControl w:val="0"/>
              <w:rPr>
                <w:rFonts w:eastAsia="Times New Roman" w:cs="Arial"/>
                <w:bCs w:val="0"/>
                <w:snapToGrid w:val="0"/>
                <w:szCs w:val="20"/>
              </w:rPr>
            </w:pPr>
            <w:r w:rsidRPr="005802E9">
              <w:t>The PBAC noted that there was very limited evidence available to estimate the utilisation of crisaborole. The PBAC agreed with the DUSC that the estimated patient numbers presented were highly uncertain and likely to be underestimated (paragraph 7.11, crisaborole PSD, November 2018 PBAC meeting).</w:t>
            </w:r>
          </w:p>
        </w:tc>
        <w:tc>
          <w:tcPr>
            <w:tcW w:w="2251" w:type="pct"/>
          </w:tcPr>
          <w:p w:rsidR="00330CC4" w:rsidRPr="005802E9" w:rsidRDefault="00330CC4" w:rsidP="00330CC4">
            <w:pPr>
              <w:pStyle w:val="TableText"/>
              <w:keepNext w:val="0"/>
              <w:widowControl w:val="0"/>
              <w:rPr>
                <w:rFonts w:eastAsia="Times New Roman" w:cs="Arial"/>
                <w:bCs w:val="0"/>
                <w:snapToGrid w:val="0"/>
                <w:szCs w:val="20"/>
              </w:rPr>
            </w:pPr>
            <w:r w:rsidRPr="005802E9">
              <w:t xml:space="preserve">The resubmission used a revised mixed epidemiological and market share approach with updated data sources to estimate the financial impact of crisaborole. The approach to estimate utilisation was largely based on the economic evaluation of the resubmission. </w:t>
            </w:r>
          </w:p>
        </w:tc>
      </w:tr>
      <w:tr w:rsidR="00330CC4" w:rsidRPr="005802E9" w:rsidTr="002B66D6">
        <w:trPr>
          <w:cantSplit/>
        </w:trPr>
        <w:tc>
          <w:tcPr>
            <w:tcW w:w="2749" w:type="pct"/>
          </w:tcPr>
          <w:p w:rsidR="00330CC4" w:rsidRPr="005802E9" w:rsidRDefault="00330CC4" w:rsidP="002B66D6">
            <w:pPr>
              <w:pStyle w:val="TableText"/>
              <w:keepNext w:val="0"/>
              <w:widowControl w:val="0"/>
              <w:rPr>
                <w:rFonts w:eastAsia="Times New Roman" w:cs="Arial"/>
                <w:bCs w:val="0"/>
                <w:snapToGrid w:val="0"/>
                <w:szCs w:val="20"/>
              </w:rPr>
            </w:pPr>
            <w:r w:rsidRPr="005802E9">
              <w:t>The PBAC considered that the estimated prescription usage was highly uncertain and likely to be underestimated and that there would be a high likelihood of leakage to other types of dermatitis, infants under 2 years, and patients with ‘steroid phobia’. The PBAC agreed with the sponsor that an RSA would be required to address the likelihood of leakage outside the restriction (paragraph 7.11, crisaborole PSD, November 2018 PBAC meeting).</w:t>
            </w:r>
          </w:p>
        </w:tc>
        <w:tc>
          <w:tcPr>
            <w:tcW w:w="2251" w:type="pct"/>
          </w:tcPr>
          <w:p w:rsidR="00330CC4" w:rsidRPr="005802E9" w:rsidRDefault="00330CC4" w:rsidP="00330CC4">
            <w:pPr>
              <w:pStyle w:val="TableText"/>
              <w:keepNext w:val="0"/>
              <w:widowControl w:val="0"/>
            </w:pPr>
            <w:r w:rsidRPr="005802E9">
              <w:t>The resubmission proposed initial and continuing restrictions, claiming that this would limit the use of crisaborole to patients with mild to moderate atopic dermatitis based on the description of symptoms in the clinical criteria.</w:t>
            </w:r>
          </w:p>
          <w:p w:rsidR="00330CC4" w:rsidRPr="005802E9" w:rsidRDefault="00330CC4" w:rsidP="00330CC4">
            <w:pPr>
              <w:pStyle w:val="TableText"/>
              <w:keepNext w:val="0"/>
              <w:widowControl w:val="0"/>
              <w:rPr>
                <w:rFonts w:eastAsia="Times New Roman" w:cs="Arial"/>
                <w:bCs w:val="0"/>
                <w:snapToGrid w:val="0"/>
                <w:szCs w:val="20"/>
              </w:rPr>
            </w:pPr>
            <w:r w:rsidRPr="005802E9">
              <w:t xml:space="preserve">The sponsor also stated willingness to consider an RSA based on estimates of use. Detailed estimates were not provided. </w:t>
            </w:r>
          </w:p>
        </w:tc>
      </w:tr>
    </w:tbl>
    <w:p w:rsidR="007E5931" w:rsidRPr="005802E9" w:rsidRDefault="007E5931" w:rsidP="007E5931">
      <w:pPr>
        <w:pStyle w:val="TableFigureFooter"/>
      </w:pPr>
      <w:r w:rsidRPr="005802E9">
        <w:t xml:space="preserve">Source: </w:t>
      </w:r>
      <w:r w:rsidR="00330CC4" w:rsidRPr="005802E9">
        <w:t>compiled during the evaluation</w:t>
      </w:r>
    </w:p>
    <w:p w:rsidR="00A86F14" w:rsidRPr="005802E9" w:rsidRDefault="00A86F14" w:rsidP="007E5931">
      <w:pPr>
        <w:pStyle w:val="TableFigureFooter"/>
      </w:pPr>
      <w:r w:rsidRPr="005802E9">
        <w:t>Abbreviations: ISGA, Investigator’s Static Global Assessment; MCID, minimal clinically important difference</w:t>
      </w:r>
      <w:r w:rsidR="00330CC4" w:rsidRPr="005802E9">
        <w:t>; RSA, risk sharing arrangement</w:t>
      </w:r>
      <w:r w:rsidR="004359F8">
        <w:t>; PSD, public summary document</w:t>
      </w:r>
    </w:p>
    <w:p w:rsidR="007E5931" w:rsidRPr="005802E9" w:rsidRDefault="00726544" w:rsidP="00700994">
      <w:pPr>
        <w:pStyle w:val="ExecSumBodyText"/>
        <w:rPr>
          <w:snapToGrid/>
        </w:rPr>
      </w:pPr>
      <w:r w:rsidRPr="005802E9">
        <w:rPr>
          <w:bCs/>
          <w:snapToGrid/>
        </w:rPr>
        <w:t>T</w:t>
      </w:r>
      <w:r w:rsidR="007E5931" w:rsidRPr="005802E9">
        <w:rPr>
          <w:bCs/>
          <w:snapToGrid/>
        </w:rPr>
        <w:t xml:space="preserve">he PBAC </w:t>
      </w:r>
      <w:r w:rsidR="00891242" w:rsidRPr="005802E9">
        <w:rPr>
          <w:bCs/>
          <w:snapToGrid/>
        </w:rPr>
        <w:t xml:space="preserve">previously </w:t>
      </w:r>
      <w:r w:rsidR="007E5931" w:rsidRPr="005802E9">
        <w:rPr>
          <w:bCs/>
          <w:snapToGrid/>
        </w:rPr>
        <w:t xml:space="preserve">considered that any resubmission would need to include TCS as a comparator, present a clearly defined population aligned with a tight restriction, </w:t>
      </w:r>
      <w:r w:rsidR="007E5931" w:rsidRPr="005802E9">
        <w:rPr>
          <w:bCs/>
          <w:snapToGrid/>
        </w:rPr>
        <w:lastRenderedPageBreak/>
        <w:t xml:space="preserve">present clearly defined usage in terms of initiation, discontinuation and optimal duration of therapy aligned with an economic model that reflects the benefit and cost of this usage, and provide data to support uptake and estimated use of crisaborole in clinical practice. The PBAC </w:t>
      </w:r>
      <w:r w:rsidR="00891242" w:rsidRPr="005802E9">
        <w:rPr>
          <w:bCs/>
          <w:snapToGrid/>
        </w:rPr>
        <w:t xml:space="preserve">previously </w:t>
      </w:r>
      <w:r w:rsidR="007E5931" w:rsidRPr="005802E9">
        <w:rPr>
          <w:bCs/>
          <w:snapToGrid/>
        </w:rPr>
        <w:t xml:space="preserve">acknowledged the important impact of treatments for AD on patient quality of life and considered that data showing improvement in quality of life measures may be a more suitable basis for demonstrating the cost-effectiveness of crisaborole compared with standard management or TCS (paragraph 7.12, crisaborole </w:t>
      </w:r>
      <w:r w:rsidR="004359F8">
        <w:rPr>
          <w:bCs/>
          <w:snapToGrid/>
        </w:rPr>
        <w:t>Public Summary Document (</w:t>
      </w:r>
      <w:r w:rsidR="007E5931" w:rsidRPr="005802E9">
        <w:rPr>
          <w:bCs/>
          <w:snapToGrid/>
        </w:rPr>
        <w:t>PSD</w:t>
      </w:r>
      <w:r w:rsidR="004359F8">
        <w:rPr>
          <w:bCs/>
          <w:snapToGrid/>
        </w:rPr>
        <w:t>)</w:t>
      </w:r>
      <w:r w:rsidR="007E5931" w:rsidRPr="005802E9">
        <w:rPr>
          <w:bCs/>
          <w:snapToGrid/>
        </w:rPr>
        <w:t>, November 2018 PBAC meeting).</w:t>
      </w:r>
    </w:p>
    <w:p w:rsidR="006259E1" w:rsidRPr="005802E9" w:rsidRDefault="006259E1" w:rsidP="006259E1">
      <w:pPr>
        <w:pStyle w:val="ExecSumBodyText"/>
      </w:pPr>
      <w:r w:rsidRPr="005802E9">
        <w:t>The ESC considered that there were unresolved discrepancies in the circumstances of use of crisaborole between the requested restriction, clinical evidence, economic evaluation and financial estimates.</w:t>
      </w:r>
    </w:p>
    <w:p w:rsidR="007B2608" w:rsidRPr="005802E9" w:rsidRDefault="007B2608" w:rsidP="00DA5BED">
      <w:pPr>
        <w:pStyle w:val="Commentitalics"/>
        <w:ind w:firstLine="720"/>
        <w:rPr>
          <w:snapToGrid w:val="0"/>
        </w:rPr>
      </w:pPr>
      <w:r w:rsidRPr="005802E9">
        <w:t>For more detail on PBAC’s view, see section 7 PBAC outcome.</w:t>
      </w:r>
    </w:p>
    <w:p w:rsidR="00617E12" w:rsidRPr="005802E9" w:rsidRDefault="00B50DB8" w:rsidP="00617E12">
      <w:pPr>
        <w:pStyle w:val="2-SectionHeading"/>
      </w:pPr>
      <w:bookmarkStart w:id="6" w:name="_Toc50995087"/>
      <w:r w:rsidRPr="005802E9">
        <w:t>Requested listing</w:t>
      </w:r>
      <w:bookmarkEnd w:id="6"/>
    </w:p>
    <w:p w:rsidR="000B7EAA" w:rsidRPr="005802E9" w:rsidRDefault="00C06DDA" w:rsidP="00726544">
      <w:pPr>
        <w:pStyle w:val="ExecSumBodyText"/>
      </w:pPr>
      <w:r w:rsidRPr="005802E9">
        <w:t xml:space="preserve">The PSCR noted the restrictions have been revised </w:t>
      </w:r>
      <w:r w:rsidR="00891242" w:rsidRPr="005802E9">
        <w:t>with the intention of</w:t>
      </w:r>
      <w:r w:rsidRPr="005802E9">
        <w:t xml:space="preserve"> specify</w:t>
      </w:r>
      <w:r w:rsidR="00891242" w:rsidRPr="005802E9">
        <w:t>ing</w:t>
      </w:r>
      <w:r w:rsidRPr="005802E9">
        <w:t xml:space="preserve"> that crisaborole should be subject to the following limitations:</w:t>
      </w:r>
    </w:p>
    <w:p w:rsidR="00C06DDA" w:rsidRPr="005802E9" w:rsidRDefault="00C06DDA" w:rsidP="00C80D49">
      <w:pPr>
        <w:pStyle w:val="BodyText"/>
        <w:numPr>
          <w:ilvl w:val="0"/>
          <w:numId w:val="15"/>
        </w:numPr>
        <w:jc w:val="both"/>
      </w:pPr>
      <w:r w:rsidRPr="005802E9">
        <w:t xml:space="preserve">Patient has not had an adequate response to maximum tolerated doses of TCS (which may only consist of intermittent use of TCS); OR patient is intolerant to TCS; OR patient is contraindicated to TCS. </w:t>
      </w:r>
    </w:p>
    <w:p w:rsidR="00C06DDA" w:rsidRPr="005802E9" w:rsidRDefault="00C06DDA" w:rsidP="00C80D49">
      <w:pPr>
        <w:pStyle w:val="BodyText"/>
        <w:numPr>
          <w:ilvl w:val="0"/>
          <w:numId w:val="15"/>
        </w:numPr>
        <w:jc w:val="both"/>
      </w:pPr>
      <w:r w:rsidRPr="005802E9">
        <w:t xml:space="preserve">Treatment with TCS should continue if intermittent TCS can be used; AND in these patients, crisaborole should only be used in periods in which a break in TCS treatment is necessary to avoid intolerance and problematic adverse effects (e.g. atrophy of the skin, infection of the skin, contact allergy, and/or systemic effects); AND TCS and crisaborole should not be used simultaneously on the same lesion. </w:t>
      </w:r>
    </w:p>
    <w:p w:rsidR="00C06DDA" w:rsidRPr="005802E9" w:rsidRDefault="00C06DDA" w:rsidP="00C80D49">
      <w:pPr>
        <w:pStyle w:val="BodyText"/>
        <w:numPr>
          <w:ilvl w:val="0"/>
          <w:numId w:val="15"/>
        </w:numPr>
        <w:jc w:val="both"/>
      </w:pPr>
      <w:r w:rsidRPr="005802E9">
        <w:t xml:space="preserve">Treatment should be discontinued if an improvement is not shown after 3 months (i.e. AD is clear or almost clear), which is consistent with use of crisaborole in the extension study presented in detail in the resubmission. </w:t>
      </w:r>
    </w:p>
    <w:p w:rsidR="00C06DDA" w:rsidRPr="005802E9" w:rsidRDefault="00C06DDA" w:rsidP="00C80D49">
      <w:pPr>
        <w:pStyle w:val="BodyText"/>
        <w:numPr>
          <w:ilvl w:val="0"/>
          <w:numId w:val="15"/>
        </w:numPr>
        <w:jc w:val="both"/>
      </w:pPr>
      <w:r w:rsidRPr="005802E9">
        <w:t xml:space="preserve">Once clearance or near clearance of AD is achieved, patients should take a break in crisaborole treatment and reinitiate only if there is a flare of their AD, which is consistent with use of crisaborole in the extension study presented in detail in the resubmission. </w:t>
      </w:r>
    </w:p>
    <w:p w:rsidR="00C06DDA" w:rsidRPr="005802E9" w:rsidRDefault="001B5F30" w:rsidP="000B7EAA">
      <w:pPr>
        <w:pStyle w:val="ExecSumBodyText"/>
      </w:pPr>
      <w:r w:rsidRPr="005802E9">
        <w:t xml:space="preserve">The submission’s proposed listing is shown below, with preliminary additions suggested by the Secretariat in italics and deletions in strikethrough. </w:t>
      </w:r>
      <w:r w:rsidR="00891242" w:rsidRPr="005802E9">
        <w:t xml:space="preserve">The </w:t>
      </w:r>
      <w:r w:rsidRPr="005802E9">
        <w:t xml:space="preserve">PBAC agreed with the ESC </w:t>
      </w:r>
      <w:r w:rsidR="00891242" w:rsidRPr="005802E9">
        <w:t>that the restriction would still require substantial work in o</w:t>
      </w:r>
      <w:r w:rsidRPr="005802E9">
        <w:t>rder to adequately reflect the</w:t>
      </w:r>
      <w:r w:rsidR="00891242" w:rsidRPr="005802E9">
        <w:t xml:space="preserve"> intentions</w:t>
      </w:r>
      <w:r w:rsidRPr="005802E9">
        <w:t xml:space="preserve"> described above</w:t>
      </w:r>
      <w:r w:rsidR="00891242" w:rsidRPr="005802E9">
        <w:t>.</w:t>
      </w:r>
    </w:p>
    <w:tbl>
      <w:tblPr>
        <w:tblW w:w="4990" w:type="pct"/>
        <w:tblInd w:w="5" w:type="dxa"/>
        <w:tblCellMar>
          <w:left w:w="28" w:type="dxa"/>
          <w:right w:w="28" w:type="dxa"/>
        </w:tblCellMar>
        <w:tblLook w:val="0000" w:firstRow="0" w:lastRow="0" w:firstColumn="0" w:lastColumn="0" w:noHBand="0" w:noVBand="0"/>
      </w:tblPr>
      <w:tblGrid>
        <w:gridCol w:w="23"/>
        <w:gridCol w:w="3386"/>
        <w:gridCol w:w="1088"/>
        <w:gridCol w:w="847"/>
        <w:gridCol w:w="1517"/>
        <w:gridCol w:w="656"/>
        <w:gridCol w:w="1492"/>
      </w:tblGrid>
      <w:tr w:rsidR="003517F9" w:rsidRPr="005802E9" w:rsidTr="001B5F30">
        <w:trPr>
          <w:gridBefore w:val="1"/>
          <w:wBefore w:w="13" w:type="pct"/>
          <w:cantSplit/>
          <w:trHeight w:val="463"/>
        </w:trPr>
        <w:tc>
          <w:tcPr>
            <w:tcW w:w="1879" w:type="pct"/>
            <w:tcBorders>
              <w:top w:val="single" w:sz="4" w:space="0" w:color="auto"/>
              <w:bottom w:val="single" w:sz="4" w:space="0" w:color="auto"/>
            </w:tcBorders>
            <w:vAlign w:val="center"/>
          </w:tcPr>
          <w:p w:rsidR="00617E12" w:rsidRPr="005802E9" w:rsidRDefault="00617E12" w:rsidP="00617E12">
            <w:pPr>
              <w:keepNext/>
              <w:jc w:val="left"/>
              <w:rPr>
                <w:rFonts w:ascii="Arial Narrow" w:hAnsi="Arial Narrow"/>
                <w:b/>
                <w:sz w:val="20"/>
              </w:rPr>
            </w:pPr>
            <w:r w:rsidRPr="005802E9">
              <w:rPr>
                <w:rFonts w:ascii="Arial Narrow" w:hAnsi="Arial Narrow"/>
                <w:b/>
                <w:sz w:val="20"/>
              </w:rPr>
              <w:lastRenderedPageBreak/>
              <w:t>Name, Restriction,</w:t>
            </w:r>
          </w:p>
          <w:p w:rsidR="00617E12" w:rsidRPr="005802E9" w:rsidRDefault="00617E12" w:rsidP="00617E12">
            <w:pPr>
              <w:keepNext/>
              <w:jc w:val="left"/>
              <w:rPr>
                <w:rFonts w:ascii="Arial Narrow" w:hAnsi="Arial Narrow"/>
                <w:b/>
                <w:sz w:val="20"/>
              </w:rPr>
            </w:pPr>
            <w:r w:rsidRPr="005802E9">
              <w:rPr>
                <w:rFonts w:ascii="Arial Narrow" w:hAnsi="Arial Narrow"/>
                <w:b/>
                <w:sz w:val="20"/>
              </w:rPr>
              <w:t>Manner of administration and form</w:t>
            </w:r>
          </w:p>
        </w:tc>
        <w:tc>
          <w:tcPr>
            <w:tcW w:w="604" w:type="pct"/>
            <w:tcBorders>
              <w:top w:val="single" w:sz="4" w:space="0" w:color="auto"/>
              <w:bottom w:val="single" w:sz="4" w:space="0" w:color="auto"/>
            </w:tcBorders>
            <w:vAlign w:val="center"/>
          </w:tcPr>
          <w:p w:rsidR="00617E12" w:rsidRPr="005802E9" w:rsidRDefault="00617E12" w:rsidP="00617E12">
            <w:pPr>
              <w:keepNext/>
              <w:jc w:val="center"/>
              <w:rPr>
                <w:rFonts w:ascii="Arial Narrow" w:hAnsi="Arial Narrow"/>
                <w:b/>
                <w:sz w:val="20"/>
              </w:rPr>
            </w:pPr>
            <w:r w:rsidRPr="005802E9">
              <w:rPr>
                <w:rFonts w:ascii="Arial Narrow" w:hAnsi="Arial Narrow"/>
                <w:b/>
                <w:sz w:val="20"/>
              </w:rPr>
              <w:t>Max.</w:t>
            </w:r>
          </w:p>
          <w:p w:rsidR="00617E12" w:rsidRPr="005802E9" w:rsidRDefault="00617E12" w:rsidP="00330CC4">
            <w:pPr>
              <w:keepNext/>
              <w:jc w:val="center"/>
              <w:rPr>
                <w:rFonts w:ascii="Arial Narrow" w:hAnsi="Arial Narrow"/>
                <w:b/>
                <w:sz w:val="20"/>
              </w:rPr>
            </w:pPr>
            <w:r w:rsidRPr="005802E9">
              <w:rPr>
                <w:rFonts w:ascii="Arial Narrow" w:hAnsi="Arial Narrow"/>
                <w:b/>
                <w:sz w:val="20"/>
              </w:rPr>
              <w:t>Qty</w:t>
            </w:r>
            <w:r w:rsidR="00591957" w:rsidRPr="005802E9">
              <w:rPr>
                <w:rFonts w:ascii="Arial Narrow" w:hAnsi="Arial Narrow"/>
                <w:b/>
                <w:sz w:val="20"/>
              </w:rPr>
              <w:t xml:space="preserve"> </w:t>
            </w:r>
          </w:p>
        </w:tc>
        <w:tc>
          <w:tcPr>
            <w:tcW w:w="470" w:type="pct"/>
            <w:tcBorders>
              <w:top w:val="single" w:sz="4" w:space="0" w:color="auto"/>
              <w:bottom w:val="single" w:sz="4" w:space="0" w:color="auto"/>
            </w:tcBorders>
            <w:vAlign w:val="center"/>
          </w:tcPr>
          <w:p w:rsidR="00617E12" w:rsidRPr="005802E9" w:rsidRDefault="00617E12" w:rsidP="00617E12">
            <w:pPr>
              <w:keepNext/>
              <w:jc w:val="center"/>
              <w:rPr>
                <w:rFonts w:ascii="Arial Narrow" w:hAnsi="Arial Narrow"/>
                <w:b/>
                <w:sz w:val="20"/>
              </w:rPr>
            </w:pPr>
            <w:r w:rsidRPr="005802E9">
              <w:rPr>
                <w:rFonts w:ascii="Arial Narrow" w:hAnsi="Arial Narrow" w:cs="Times New Roman"/>
                <w:b/>
                <w:sz w:val="20"/>
              </w:rPr>
              <w:t>№</w:t>
            </w:r>
            <w:r w:rsidRPr="005802E9">
              <w:rPr>
                <w:rFonts w:ascii="Arial Narrow" w:hAnsi="Arial Narrow"/>
                <w:b/>
                <w:sz w:val="20"/>
              </w:rPr>
              <w:t>.of</w:t>
            </w:r>
          </w:p>
          <w:p w:rsidR="00617E12" w:rsidRPr="005802E9" w:rsidRDefault="00617E12" w:rsidP="00617E12">
            <w:pPr>
              <w:keepNext/>
              <w:jc w:val="center"/>
              <w:rPr>
                <w:rFonts w:ascii="Arial Narrow" w:hAnsi="Arial Narrow"/>
                <w:b/>
                <w:sz w:val="20"/>
              </w:rPr>
            </w:pPr>
            <w:r w:rsidRPr="005802E9">
              <w:rPr>
                <w:rFonts w:ascii="Arial Narrow" w:hAnsi="Arial Narrow"/>
                <w:b/>
                <w:sz w:val="20"/>
              </w:rPr>
              <w:t>Rpts</w:t>
            </w:r>
          </w:p>
        </w:tc>
        <w:tc>
          <w:tcPr>
            <w:tcW w:w="842" w:type="pct"/>
            <w:tcBorders>
              <w:top w:val="single" w:sz="4" w:space="0" w:color="auto"/>
              <w:bottom w:val="single" w:sz="4" w:space="0" w:color="auto"/>
            </w:tcBorders>
            <w:vAlign w:val="center"/>
          </w:tcPr>
          <w:p w:rsidR="00617E12" w:rsidRPr="005802E9" w:rsidRDefault="00617E12" w:rsidP="00330CC4">
            <w:pPr>
              <w:keepNext/>
              <w:jc w:val="center"/>
              <w:rPr>
                <w:rFonts w:ascii="Arial Narrow" w:hAnsi="Arial Narrow"/>
                <w:b/>
                <w:sz w:val="20"/>
              </w:rPr>
            </w:pPr>
            <w:r w:rsidRPr="005802E9">
              <w:rPr>
                <w:rFonts w:ascii="Arial Narrow" w:hAnsi="Arial Narrow"/>
                <w:b/>
                <w:sz w:val="20"/>
              </w:rPr>
              <w:t>Dispensed Price for Max. Qty</w:t>
            </w:r>
            <w:r w:rsidR="00591957" w:rsidRPr="005802E9">
              <w:rPr>
                <w:rFonts w:ascii="Arial Narrow" w:hAnsi="Arial Narrow"/>
                <w:b/>
                <w:sz w:val="20"/>
              </w:rPr>
              <w:t xml:space="preserve"> </w:t>
            </w:r>
          </w:p>
        </w:tc>
        <w:tc>
          <w:tcPr>
            <w:tcW w:w="1192" w:type="pct"/>
            <w:gridSpan w:val="2"/>
            <w:tcBorders>
              <w:top w:val="single" w:sz="4" w:space="0" w:color="auto"/>
              <w:bottom w:val="single" w:sz="4" w:space="0" w:color="auto"/>
            </w:tcBorders>
            <w:vAlign w:val="center"/>
          </w:tcPr>
          <w:p w:rsidR="00617E12" w:rsidRPr="005802E9" w:rsidRDefault="00617E12" w:rsidP="00617E12">
            <w:pPr>
              <w:keepNext/>
              <w:jc w:val="center"/>
              <w:rPr>
                <w:rFonts w:ascii="Arial Narrow" w:hAnsi="Arial Narrow"/>
                <w:b/>
                <w:sz w:val="20"/>
              </w:rPr>
            </w:pPr>
            <w:r w:rsidRPr="005802E9">
              <w:rPr>
                <w:rFonts w:ascii="Arial Narrow" w:hAnsi="Arial Narrow"/>
                <w:b/>
                <w:sz w:val="20"/>
              </w:rPr>
              <w:t>Proprietary Name and Manufacturer</w:t>
            </w:r>
          </w:p>
        </w:tc>
      </w:tr>
      <w:tr w:rsidR="003517F9" w:rsidRPr="005802E9" w:rsidTr="001B5F30">
        <w:trPr>
          <w:gridBefore w:val="1"/>
          <w:wBefore w:w="13" w:type="pct"/>
          <w:cantSplit/>
          <w:trHeight w:val="567"/>
        </w:trPr>
        <w:tc>
          <w:tcPr>
            <w:tcW w:w="1879" w:type="pct"/>
            <w:vAlign w:val="center"/>
          </w:tcPr>
          <w:p w:rsidR="00330CC4" w:rsidRPr="005802E9" w:rsidRDefault="00330CC4" w:rsidP="00330CC4">
            <w:pPr>
              <w:keepNext/>
              <w:jc w:val="left"/>
              <w:rPr>
                <w:rFonts w:ascii="Arial Narrow" w:hAnsi="Arial Narrow"/>
                <w:b/>
                <w:bCs/>
                <w:smallCaps/>
                <w:sz w:val="20"/>
              </w:rPr>
            </w:pPr>
            <w:r w:rsidRPr="005802E9">
              <w:rPr>
                <w:rFonts w:ascii="Arial Narrow" w:hAnsi="Arial Narrow"/>
                <w:bCs/>
                <w:smallCaps/>
                <w:sz w:val="20"/>
              </w:rPr>
              <w:t>Crisaborole</w:t>
            </w:r>
          </w:p>
          <w:p w:rsidR="00617E12" w:rsidRPr="005802E9" w:rsidRDefault="00330CC4" w:rsidP="00330CC4">
            <w:pPr>
              <w:keepNext/>
              <w:jc w:val="left"/>
              <w:rPr>
                <w:rFonts w:ascii="Arial Narrow" w:hAnsi="Arial Narrow"/>
                <w:sz w:val="20"/>
              </w:rPr>
            </w:pPr>
            <w:r w:rsidRPr="005802E9">
              <w:rPr>
                <w:rFonts w:ascii="Arial Narrow" w:hAnsi="Arial Narrow"/>
                <w:sz w:val="20"/>
              </w:rPr>
              <w:t>2% ointment, 30 grams</w:t>
            </w:r>
          </w:p>
        </w:tc>
        <w:tc>
          <w:tcPr>
            <w:tcW w:w="604" w:type="pct"/>
            <w:vAlign w:val="center"/>
          </w:tcPr>
          <w:p w:rsidR="00617E12" w:rsidRPr="005802E9" w:rsidRDefault="00330CC4" w:rsidP="00617E12">
            <w:pPr>
              <w:keepNext/>
              <w:jc w:val="center"/>
              <w:rPr>
                <w:rFonts w:ascii="Arial Narrow" w:hAnsi="Arial Narrow"/>
                <w:sz w:val="20"/>
              </w:rPr>
            </w:pPr>
            <w:r w:rsidRPr="005802E9">
              <w:rPr>
                <w:rFonts w:ascii="Arial Narrow" w:hAnsi="Arial Narrow"/>
                <w:sz w:val="20"/>
              </w:rPr>
              <w:t>1</w:t>
            </w:r>
          </w:p>
        </w:tc>
        <w:tc>
          <w:tcPr>
            <w:tcW w:w="470" w:type="pct"/>
            <w:vAlign w:val="center"/>
          </w:tcPr>
          <w:p w:rsidR="00617E12" w:rsidRPr="005802E9" w:rsidRDefault="002E76C7" w:rsidP="00617E12">
            <w:pPr>
              <w:keepNext/>
              <w:jc w:val="center"/>
              <w:rPr>
                <w:rFonts w:ascii="Arial Narrow" w:hAnsi="Arial Narrow"/>
                <w:sz w:val="20"/>
              </w:rPr>
            </w:pPr>
            <w:r w:rsidRPr="005802E9">
              <w:rPr>
                <w:rFonts w:ascii="Arial Narrow" w:hAnsi="Arial Narrow"/>
                <w:sz w:val="20"/>
              </w:rPr>
              <w:t>2</w:t>
            </w:r>
          </w:p>
        </w:tc>
        <w:tc>
          <w:tcPr>
            <w:tcW w:w="842" w:type="pct"/>
            <w:vAlign w:val="center"/>
          </w:tcPr>
          <w:p w:rsidR="00617E12" w:rsidRPr="005802E9" w:rsidRDefault="00330CC4" w:rsidP="00617E12">
            <w:pPr>
              <w:keepNext/>
              <w:jc w:val="center"/>
              <w:rPr>
                <w:rFonts w:ascii="Arial Narrow" w:hAnsi="Arial Narrow"/>
                <w:sz w:val="20"/>
              </w:rPr>
            </w:pPr>
            <w:r w:rsidRPr="005802E9">
              <w:rPr>
                <w:rFonts w:ascii="Arial Narrow" w:hAnsi="Arial Narrow"/>
                <w:sz w:val="20"/>
              </w:rPr>
              <w:t>$</w:t>
            </w:r>
            <w:r w:rsidR="00EC0E44">
              <w:rPr>
                <w:rFonts w:ascii="Arial Narrow" w:hAnsi="Arial Narrow"/>
                <w:noProof/>
                <w:color w:val="000000"/>
                <w:sz w:val="20"/>
                <w:highlight w:val="black"/>
              </w:rPr>
              <w:t>''''''''''''''</w:t>
            </w:r>
          </w:p>
        </w:tc>
        <w:tc>
          <w:tcPr>
            <w:tcW w:w="364" w:type="pct"/>
            <w:vAlign w:val="center"/>
          </w:tcPr>
          <w:p w:rsidR="00617E12" w:rsidRPr="005802E9" w:rsidRDefault="00330CC4" w:rsidP="00617E12">
            <w:pPr>
              <w:keepNext/>
              <w:jc w:val="center"/>
              <w:rPr>
                <w:rFonts w:ascii="Arial Narrow" w:hAnsi="Arial Narrow"/>
                <w:sz w:val="20"/>
              </w:rPr>
            </w:pPr>
            <w:r w:rsidRPr="005802E9">
              <w:rPr>
                <w:rFonts w:ascii="Arial Narrow" w:hAnsi="Arial Narrow"/>
                <w:sz w:val="20"/>
              </w:rPr>
              <w:t>Staquis</w:t>
            </w:r>
          </w:p>
        </w:tc>
        <w:tc>
          <w:tcPr>
            <w:tcW w:w="828" w:type="pct"/>
            <w:vAlign w:val="center"/>
          </w:tcPr>
          <w:p w:rsidR="00591957" w:rsidRPr="005802E9" w:rsidRDefault="00330CC4" w:rsidP="00EC0DD9">
            <w:pPr>
              <w:keepNext/>
              <w:jc w:val="center"/>
              <w:rPr>
                <w:rFonts w:ascii="Arial Narrow" w:hAnsi="Arial Narrow"/>
                <w:sz w:val="20"/>
              </w:rPr>
            </w:pPr>
            <w:r w:rsidRPr="005802E9">
              <w:rPr>
                <w:rFonts w:ascii="Arial Narrow" w:hAnsi="Arial Narrow"/>
                <w:sz w:val="20"/>
              </w:rPr>
              <w:t>Pfizer Australia</w:t>
            </w:r>
          </w:p>
        </w:tc>
      </w:tr>
      <w:tr w:rsidR="00330CC4" w:rsidRPr="005802E9" w:rsidTr="001B5F30">
        <w:trPr>
          <w:gridBefore w:val="1"/>
          <w:wBefore w:w="13" w:type="pct"/>
          <w:cantSplit/>
          <w:trHeight w:val="567"/>
        </w:trPr>
        <w:tc>
          <w:tcPr>
            <w:tcW w:w="1879" w:type="pct"/>
            <w:vAlign w:val="center"/>
          </w:tcPr>
          <w:p w:rsidR="00330CC4" w:rsidRPr="005802E9" w:rsidRDefault="00330CC4" w:rsidP="00330CC4">
            <w:pPr>
              <w:rPr>
                <w:rFonts w:ascii="Arial Narrow" w:hAnsi="Arial Narrow"/>
                <w:b/>
                <w:bCs/>
                <w:smallCaps/>
                <w:sz w:val="20"/>
              </w:rPr>
            </w:pPr>
            <w:r w:rsidRPr="005802E9">
              <w:rPr>
                <w:rFonts w:ascii="Arial Narrow" w:hAnsi="Arial Narrow"/>
                <w:bCs/>
                <w:smallCaps/>
                <w:sz w:val="20"/>
              </w:rPr>
              <w:t>Crisaborole</w:t>
            </w:r>
          </w:p>
          <w:p w:rsidR="00330CC4" w:rsidRPr="005802E9" w:rsidRDefault="00330CC4" w:rsidP="00330CC4">
            <w:pPr>
              <w:keepNext/>
              <w:jc w:val="left"/>
              <w:rPr>
                <w:rFonts w:ascii="Arial Narrow" w:hAnsi="Arial Narrow"/>
                <w:sz w:val="20"/>
              </w:rPr>
            </w:pPr>
            <w:r w:rsidRPr="005802E9">
              <w:rPr>
                <w:rFonts w:ascii="Arial Narrow" w:hAnsi="Arial Narrow"/>
                <w:sz w:val="20"/>
              </w:rPr>
              <w:t>2% ointment, 60 grams</w:t>
            </w:r>
          </w:p>
        </w:tc>
        <w:tc>
          <w:tcPr>
            <w:tcW w:w="604" w:type="pct"/>
            <w:vAlign w:val="center"/>
          </w:tcPr>
          <w:p w:rsidR="00330CC4" w:rsidRPr="005802E9" w:rsidRDefault="00330CC4" w:rsidP="00330CC4">
            <w:pPr>
              <w:keepNext/>
              <w:jc w:val="center"/>
              <w:rPr>
                <w:rFonts w:ascii="Arial Narrow" w:hAnsi="Arial Narrow"/>
                <w:sz w:val="20"/>
              </w:rPr>
            </w:pPr>
            <w:r w:rsidRPr="005802E9">
              <w:rPr>
                <w:rFonts w:ascii="Arial Narrow" w:hAnsi="Arial Narrow"/>
                <w:sz w:val="20"/>
              </w:rPr>
              <w:t>1</w:t>
            </w:r>
          </w:p>
        </w:tc>
        <w:tc>
          <w:tcPr>
            <w:tcW w:w="470" w:type="pct"/>
            <w:vAlign w:val="center"/>
          </w:tcPr>
          <w:p w:rsidR="00330CC4" w:rsidRPr="005802E9" w:rsidRDefault="00330CC4" w:rsidP="00330CC4">
            <w:pPr>
              <w:keepNext/>
              <w:jc w:val="center"/>
              <w:rPr>
                <w:rFonts w:ascii="Arial Narrow" w:hAnsi="Arial Narrow"/>
                <w:sz w:val="20"/>
              </w:rPr>
            </w:pPr>
            <w:r w:rsidRPr="005802E9">
              <w:rPr>
                <w:rFonts w:ascii="Arial Narrow" w:hAnsi="Arial Narrow"/>
                <w:sz w:val="20"/>
              </w:rPr>
              <w:t>2</w:t>
            </w:r>
          </w:p>
        </w:tc>
        <w:tc>
          <w:tcPr>
            <w:tcW w:w="842" w:type="pct"/>
            <w:vAlign w:val="center"/>
          </w:tcPr>
          <w:p w:rsidR="00330CC4" w:rsidRPr="005802E9" w:rsidRDefault="00330CC4" w:rsidP="00330CC4">
            <w:pPr>
              <w:keepNext/>
              <w:jc w:val="center"/>
              <w:rPr>
                <w:rFonts w:ascii="Arial Narrow" w:hAnsi="Arial Narrow"/>
                <w:sz w:val="20"/>
              </w:rPr>
            </w:pPr>
            <w:r w:rsidRPr="005802E9">
              <w:rPr>
                <w:rFonts w:ascii="Arial Narrow" w:hAnsi="Arial Narrow"/>
                <w:sz w:val="20"/>
              </w:rPr>
              <w:t>$</w:t>
            </w:r>
            <w:r w:rsidR="00EC0E44">
              <w:rPr>
                <w:rFonts w:ascii="Arial Narrow" w:hAnsi="Arial Narrow"/>
                <w:noProof/>
                <w:color w:val="000000"/>
                <w:sz w:val="20"/>
                <w:highlight w:val="black"/>
              </w:rPr>
              <w:t>''''''''''''''''</w:t>
            </w:r>
          </w:p>
        </w:tc>
        <w:tc>
          <w:tcPr>
            <w:tcW w:w="364" w:type="pct"/>
            <w:vAlign w:val="center"/>
          </w:tcPr>
          <w:p w:rsidR="00330CC4" w:rsidRPr="005802E9" w:rsidRDefault="00330CC4" w:rsidP="00330CC4">
            <w:pPr>
              <w:keepNext/>
              <w:jc w:val="center"/>
              <w:rPr>
                <w:rFonts w:ascii="Arial Narrow" w:hAnsi="Arial Narrow"/>
                <w:sz w:val="20"/>
              </w:rPr>
            </w:pPr>
            <w:r w:rsidRPr="005802E9">
              <w:rPr>
                <w:rFonts w:ascii="Arial Narrow" w:hAnsi="Arial Narrow"/>
                <w:sz w:val="20"/>
              </w:rPr>
              <w:t>Staquis</w:t>
            </w:r>
          </w:p>
        </w:tc>
        <w:tc>
          <w:tcPr>
            <w:tcW w:w="828" w:type="pct"/>
            <w:vAlign w:val="center"/>
          </w:tcPr>
          <w:p w:rsidR="00330CC4" w:rsidRPr="005802E9" w:rsidRDefault="00330CC4" w:rsidP="00330CC4">
            <w:pPr>
              <w:keepNext/>
              <w:jc w:val="center"/>
              <w:rPr>
                <w:rFonts w:ascii="Arial Narrow" w:hAnsi="Arial Narrow"/>
                <w:sz w:val="20"/>
              </w:rPr>
            </w:pPr>
            <w:r w:rsidRPr="005802E9">
              <w:rPr>
                <w:rFonts w:ascii="Arial Narrow" w:hAnsi="Arial Narrow"/>
                <w:sz w:val="20"/>
              </w:rPr>
              <w:t>Pfizer Australia</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rsidR="001B5F30" w:rsidRPr="005802E9" w:rsidRDefault="001B5F30" w:rsidP="001B5F30">
            <w:pPr>
              <w:widowControl w:val="0"/>
              <w:rPr>
                <w:rFonts w:ascii="Arial Narrow" w:hAnsi="Arial Narrow"/>
                <w:sz w:val="18"/>
                <w:szCs w:val="18"/>
              </w:rPr>
            </w:pPr>
            <w:r w:rsidRPr="005802E9">
              <w:rPr>
                <w:rFonts w:ascii="Arial Narrow" w:hAnsi="Arial Narrow"/>
                <w:b/>
                <w:sz w:val="18"/>
                <w:szCs w:val="18"/>
              </w:rPr>
              <w:t xml:space="preserve">Category / Program:   </w:t>
            </w:r>
            <w:r w:rsidRPr="005802E9">
              <w:rPr>
                <w:rFonts w:ascii="Arial Narrow" w:hAnsi="Arial Narrow"/>
                <w:sz w:val="18"/>
                <w:szCs w:val="18"/>
              </w:rPr>
              <w:t>GENERAL – General Schedule (Code GE)</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40"/>
        </w:trPr>
        <w:tc>
          <w:tcPr>
            <w:tcW w:w="5000" w:type="pct"/>
            <w:gridSpan w:val="7"/>
            <w:tcBorders>
              <w:top w:val="single" w:sz="4" w:space="0" w:color="auto"/>
              <w:left w:val="single" w:sz="4" w:space="0" w:color="auto"/>
              <w:bottom w:val="single" w:sz="4" w:space="0" w:color="auto"/>
              <w:right w:val="single" w:sz="4" w:space="0" w:color="auto"/>
            </w:tcBorders>
          </w:tcPr>
          <w:p w:rsidR="001B5F30" w:rsidRPr="005802E9" w:rsidRDefault="001B5F30" w:rsidP="001B5F30">
            <w:pPr>
              <w:widowControl w:val="0"/>
              <w:rPr>
                <w:rFonts w:ascii="Arial Narrow" w:hAnsi="Arial Narrow"/>
                <w:b/>
                <w:sz w:val="18"/>
                <w:szCs w:val="18"/>
              </w:rPr>
            </w:pPr>
            <w:r w:rsidRPr="005802E9">
              <w:rPr>
                <w:rFonts w:ascii="Arial Narrow" w:hAnsi="Arial Narrow"/>
                <w:b/>
                <w:sz w:val="18"/>
                <w:szCs w:val="18"/>
              </w:rPr>
              <w:t xml:space="preserve">Prescriber type:   </w:t>
            </w:r>
            <w:r w:rsidRPr="005802E9">
              <w:rPr>
                <w:rFonts w:ascii="Arial Narrow" w:hAnsi="Arial Narrow"/>
                <w:sz w:val="18"/>
                <w:szCs w:val="18"/>
              </w:rPr>
              <w:fldChar w:fldCharType="begin">
                <w:ffData>
                  <w:name w:val="Check1"/>
                  <w:enabled/>
                  <w:calcOnExit w:val="0"/>
                  <w:checkBox>
                    <w:sizeAuto/>
                    <w:default w:val="0"/>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Dental</w:t>
            </w:r>
            <w:r w:rsidR="00F27BD7">
              <w:rPr>
                <w:rFonts w:ascii="Arial Narrow" w:hAnsi="Arial Narrow"/>
                <w:sz w:val="18"/>
                <w:szCs w:val="18"/>
              </w:rPr>
              <w:t xml:space="preserve"> </w:t>
            </w:r>
            <w:r w:rsidRPr="005802E9">
              <w:rPr>
                <w:rFonts w:ascii="Arial Narrow" w:hAnsi="Arial Narrow"/>
                <w:sz w:val="18"/>
                <w:szCs w:val="18"/>
              </w:rPr>
              <w:t xml:space="preserve">  </w:t>
            </w:r>
            <w:r w:rsidRPr="005802E9">
              <w:rPr>
                <w:rFonts w:ascii="Arial Narrow" w:hAnsi="Arial Narrow"/>
                <w:sz w:val="18"/>
                <w:szCs w:val="18"/>
              </w:rPr>
              <w:fldChar w:fldCharType="begin">
                <w:ffData>
                  <w:name w:val=""/>
                  <w:enabled/>
                  <w:calcOnExit w:val="0"/>
                  <w:checkBox>
                    <w:sizeAuto/>
                    <w:default w:val="1"/>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Medical Practitioners</w:t>
            </w:r>
            <w:r w:rsidR="00F27BD7">
              <w:rPr>
                <w:rFonts w:ascii="Arial Narrow" w:hAnsi="Arial Narrow"/>
                <w:sz w:val="18"/>
                <w:szCs w:val="18"/>
              </w:rPr>
              <w:t xml:space="preserve">  </w:t>
            </w:r>
            <w:r w:rsidRPr="005802E9">
              <w:rPr>
                <w:rFonts w:ascii="Arial Narrow" w:hAnsi="Arial Narrow"/>
                <w:sz w:val="18"/>
                <w:szCs w:val="18"/>
              </w:rPr>
              <w:t xml:space="preserve"> </w:t>
            </w:r>
            <w:r w:rsidRPr="005802E9">
              <w:rPr>
                <w:rFonts w:ascii="Arial Narrow" w:hAnsi="Arial Narrow"/>
                <w:sz w:val="18"/>
                <w:szCs w:val="18"/>
              </w:rPr>
              <w:fldChar w:fldCharType="begin">
                <w:ffData>
                  <w:name w:val="Check3"/>
                  <w:enabled/>
                  <w:calcOnExit w:val="0"/>
                  <w:checkBox>
                    <w:sizeAuto/>
                    <w:default w:val="0"/>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Nurse practitioners</w:t>
            </w:r>
            <w:r w:rsidR="00F27BD7">
              <w:rPr>
                <w:rFonts w:ascii="Arial Narrow" w:hAnsi="Arial Narrow"/>
                <w:sz w:val="18"/>
                <w:szCs w:val="18"/>
              </w:rPr>
              <w:t xml:space="preserve">  </w:t>
            </w:r>
            <w:r w:rsidRPr="005802E9">
              <w:rPr>
                <w:rFonts w:ascii="Arial Narrow" w:hAnsi="Arial Narrow"/>
                <w:sz w:val="18"/>
                <w:szCs w:val="18"/>
              </w:rPr>
              <w:t xml:space="preserve"> </w:t>
            </w:r>
            <w:r w:rsidRPr="005802E9">
              <w:rPr>
                <w:rFonts w:ascii="Arial Narrow" w:hAnsi="Arial Narrow"/>
                <w:sz w:val="18"/>
                <w:szCs w:val="18"/>
              </w:rPr>
              <w:fldChar w:fldCharType="begin">
                <w:ffData>
                  <w:name w:val=""/>
                  <w:enabled/>
                  <w:calcOnExit w:val="0"/>
                  <w:checkBox>
                    <w:sizeAuto/>
                    <w:default w:val="0"/>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 xml:space="preserve">Optometrists   </w:t>
            </w:r>
            <w:r w:rsidRPr="005802E9">
              <w:rPr>
                <w:rFonts w:ascii="Arial Narrow" w:hAnsi="Arial Narrow"/>
                <w:sz w:val="18"/>
                <w:szCs w:val="18"/>
              </w:rPr>
              <w:fldChar w:fldCharType="begin">
                <w:ffData>
                  <w:name w:val="Check5"/>
                  <w:enabled/>
                  <w:calcOnExit w:val="0"/>
                  <w:checkBox>
                    <w:sizeAuto/>
                    <w:default w:val="0"/>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Midwives</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rsidR="001B5F30" w:rsidRPr="005802E9" w:rsidRDefault="001B5F30" w:rsidP="001B5F30">
            <w:pPr>
              <w:widowControl w:val="0"/>
              <w:rPr>
                <w:rFonts w:ascii="Arial Narrow" w:hAnsi="Arial Narrow"/>
                <w:b/>
                <w:sz w:val="18"/>
                <w:szCs w:val="18"/>
              </w:rPr>
            </w:pPr>
            <w:r w:rsidRPr="005802E9">
              <w:rPr>
                <w:rFonts w:ascii="Arial Narrow" w:hAnsi="Arial Narrow"/>
                <w:b/>
                <w:sz w:val="18"/>
                <w:szCs w:val="18"/>
              </w:rPr>
              <w:t>Restriction Type – assessment time by Medicare – Method of obtaining authority approval (if Authority Required):</w:t>
            </w:r>
          </w:p>
          <w:p w:rsidR="001B5F30" w:rsidRPr="005802E9" w:rsidRDefault="001B5F30" w:rsidP="001B5F30">
            <w:pPr>
              <w:widowControl w:val="0"/>
              <w:rPr>
                <w:rFonts w:ascii="Arial Narrow" w:eastAsia="Calibri" w:hAnsi="Arial Narrow"/>
                <w:sz w:val="18"/>
                <w:szCs w:val="18"/>
              </w:rPr>
            </w:pPr>
            <w:r w:rsidRPr="005802E9">
              <w:rPr>
                <w:rFonts w:ascii="Arial Narrow" w:eastAsia="Calibri" w:hAnsi="Arial Narrow"/>
                <w:sz w:val="18"/>
                <w:szCs w:val="18"/>
              </w:rPr>
              <w:fldChar w:fldCharType="begin">
                <w:ffData>
                  <w:name w:val=""/>
                  <w:enabled/>
                  <w:calcOnExit w:val="0"/>
                  <w:checkBox>
                    <w:sizeAuto/>
                    <w:default w:val="1"/>
                  </w:checkBox>
                </w:ffData>
              </w:fldChar>
            </w:r>
            <w:r w:rsidRPr="005802E9">
              <w:rPr>
                <w:rFonts w:ascii="Arial Narrow" w:eastAsia="Calibri" w:hAnsi="Arial Narrow"/>
                <w:sz w:val="18"/>
                <w:szCs w:val="18"/>
              </w:rPr>
              <w:instrText xml:space="preserve"> FORMCHECKBOX </w:instrText>
            </w:r>
            <w:r w:rsidR="003C2634">
              <w:rPr>
                <w:rFonts w:ascii="Arial Narrow" w:eastAsia="Calibri" w:hAnsi="Arial Narrow"/>
                <w:sz w:val="18"/>
                <w:szCs w:val="18"/>
              </w:rPr>
            </w:r>
            <w:r w:rsidR="003C2634">
              <w:rPr>
                <w:rFonts w:ascii="Arial Narrow" w:eastAsia="Calibri" w:hAnsi="Arial Narrow"/>
                <w:sz w:val="18"/>
                <w:szCs w:val="18"/>
              </w:rPr>
              <w:fldChar w:fldCharType="separate"/>
            </w:r>
            <w:r w:rsidRPr="005802E9">
              <w:rPr>
                <w:rFonts w:ascii="Arial Narrow" w:eastAsia="Calibri" w:hAnsi="Arial Narrow"/>
                <w:sz w:val="18"/>
                <w:szCs w:val="18"/>
              </w:rPr>
              <w:fldChar w:fldCharType="end"/>
            </w:r>
            <w:r w:rsidRPr="005802E9">
              <w:rPr>
                <w:rFonts w:ascii="Arial Narrow" w:eastAsia="Calibri" w:hAnsi="Arial Narrow"/>
                <w:sz w:val="18"/>
                <w:szCs w:val="18"/>
              </w:rPr>
              <w:t xml:space="preserve">Authority Required – </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tcPr>
          <w:p w:rsidR="001B5F30" w:rsidRPr="005802E9" w:rsidRDefault="001B5F30" w:rsidP="001B5F30">
            <w:pPr>
              <w:widowControl w:val="0"/>
              <w:rPr>
                <w:rFonts w:ascii="Arial Narrow" w:hAnsi="Arial Narrow"/>
                <w:bCs/>
                <w:strike/>
                <w:color w:val="333333"/>
                <w:sz w:val="18"/>
                <w:szCs w:val="18"/>
              </w:rPr>
            </w:pPr>
            <w:r w:rsidRPr="005802E9">
              <w:rPr>
                <w:rFonts w:ascii="Arial Narrow" w:hAnsi="Arial Narrow"/>
                <w:b/>
                <w:bCs/>
                <w:strike/>
                <w:color w:val="333333"/>
                <w:sz w:val="18"/>
                <w:szCs w:val="18"/>
              </w:rPr>
              <w:t xml:space="preserve">Episodicity: </w:t>
            </w:r>
            <w:r w:rsidRPr="005802E9">
              <w:rPr>
                <w:rFonts w:ascii="Arial Narrow" w:hAnsi="Arial Narrow"/>
                <w:bCs/>
                <w:strike/>
                <w:color w:val="333333"/>
                <w:sz w:val="18"/>
                <w:szCs w:val="18"/>
              </w:rPr>
              <w:t>Acute, intermittent or chronic</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tcPr>
          <w:p w:rsidR="001B5F30" w:rsidRPr="005802E9" w:rsidRDefault="001B5F30" w:rsidP="001B5F30">
            <w:pPr>
              <w:widowControl w:val="0"/>
              <w:rPr>
                <w:rFonts w:ascii="Arial Narrow" w:hAnsi="Arial Narrow"/>
                <w:b/>
                <w:bCs/>
                <w:color w:val="333333"/>
                <w:sz w:val="18"/>
                <w:szCs w:val="18"/>
              </w:rPr>
            </w:pPr>
            <w:r w:rsidRPr="005802E9">
              <w:rPr>
                <w:rFonts w:ascii="Arial Narrow" w:hAnsi="Arial Narrow"/>
                <w:b/>
                <w:bCs/>
                <w:color w:val="333333"/>
                <w:sz w:val="18"/>
                <w:szCs w:val="18"/>
              </w:rPr>
              <w:t xml:space="preserve">Severity: </w:t>
            </w:r>
            <w:r w:rsidRPr="005802E9">
              <w:rPr>
                <w:rFonts w:ascii="Arial Narrow" w:hAnsi="Arial Narrow"/>
                <w:bCs/>
                <w:color w:val="333333"/>
                <w:sz w:val="18"/>
                <w:szCs w:val="18"/>
              </w:rPr>
              <w:t>mild to moderate</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tcPr>
          <w:p w:rsidR="001B5F30" w:rsidRPr="005802E9" w:rsidRDefault="001B5F30" w:rsidP="001B5F30">
            <w:pPr>
              <w:widowControl w:val="0"/>
              <w:rPr>
                <w:rFonts w:ascii="Arial Narrow" w:hAnsi="Arial Narrow"/>
                <w:b/>
                <w:bCs/>
                <w:color w:val="333333"/>
                <w:sz w:val="18"/>
                <w:szCs w:val="18"/>
              </w:rPr>
            </w:pPr>
            <w:r w:rsidRPr="005802E9">
              <w:rPr>
                <w:rFonts w:ascii="Arial Narrow" w:hAnsi="Arial Narrow"/>
                <w:b/>
                <w:bCs/>
                <w:color w:val="333333"/>
                <w:sz w:val="18"/>
                <w:szCs w:val="18"/>
              </w:rPr>
              <w:t xml:space="preserve">Condition: </w:t>
            </w:r>
            <w:r w:rsidRPr="005802E9">
              <w:rPr>
                <w:rFonts w:ascii="Arial Narrow" w:hAnsi="Arial Narrow"/>
                <w:bCs/>
                <w:color w:val="333333"/>
                <w:sz w:val="18"/>
                <w:szCs w:val="18"/>
              </w:rPr>
              <w:t>Atopic dermatitis</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rsidR="001B5F30" w:rsidRPr="005802E9" w:rsidRDefault="001B5F30" w:rsidP="001B5F30">
            <w:pPr>
              <w:widowControl w:val="0"/>
              <w:rPr>
                <w:rFonts w:ascii="Arial Narrow" w:hAnsi="Arial Narrow"/>
                <w:i/>
                <w:color w:val="333333"/>
                <w:sz w:val="18"/>
                <w:szCs w:val="18"/>
              </w:rPr>
            </w:pPr>
            <w:r w:rsidRPr="005802E9">
              <w:rPr>
                <w:rFonts w:ascii="Arial Narrow" w:hAnsi="Arial Narrow"/>
                <w:b/>
                <w:bCs/>
                <w:i/>
                <w:color w:val="333333"/>
                <w:sz w:val="18"/>
                <w:szCs w:val="18"/>
              </w:rPr>
              <w:t>Indication:</w:t>
            </w:r>
            <w:r w:rsidRPr="005802E9">
              <w:rPr>
                <w:rFonts w:ascii="Arial Narrow" w:hAnsi="Arial Narrow"/>
                <w:i/>
                <w:color w:val="333333"/>
                <w:sz w:val="18"/>
                <w:szCs w:val="18"/>
              </w:rPr>
              <w:t xml:space="preserve"> Mild to moderate atopic dermatitis</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rsidR="001B5F30" w:rsidRPr="005802E9" w:rsidRDefault="001B5F30" w:rsidP="001B5F30">
            <w:pPr>
              <w:widowControl w:val="0"/>
              <w:rPr>
                <w:rFonts w:ascii="Arial Narrow" w:hAnsi="Arial Narrow"/>
                <w:color w:val="333333"/>
                <w:sz w:val="18"/>
                <w:szCs w:val="18"/>
              </w:rPr>
            </w:pPr>
            <w:r w:rsidRPr="005802E9">
              <w:rPr>
                <w:rFonts w:ascii="Arial Narrow" w:hAnsi="Arial Narrow"/>
                <w:b/>
                <w:bCs/>
                <w:color w:val="333333"/>
                <w:sz w:val="18"/>
                <w:szCs w:val="18"/>
              </w:rPr>
              <w:t>Treatment Phase:</w:t>
            </w:r>
            <w:r w:rsidRPr="005802E9">
              <w:rPr>
                <w:rFonts w:ascii="Arial Narrow" w:hAnsi="Arial Narrow"/>
                <w:color w:val="333333"/>
                <w:sz w:val="18"/>
                <w:szCs w:val="18"/>
              </w:rPr>
              <w:t xml:space="preserve"> Initiation</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rsidR="001B5F30" w:rsidRPr="005802E9" w:rsidRDefault="001B5F30" w:rsidP="001B5F30">
            <w:pPr>
              <w:widowControl w:val="0"/>
              <w:rPr>
                <w:rFonts w:ascii="Arial Narrow" w:hAnsi="Arial Narrow"/>
                <w:color w:val="333333"/>
                <w:sz w:val="18"/>
                <w:szCs w:val="18"/>
              </w:rPr>
            </w:pPr>
            <w:r w:rsidRPr="005802E9">
              <w:rPr>
                <w:rFonts w:ascii="Arial Narrow" w:hAnsi="Arial Narrow"/>
                <w:b/>
                <w:bCs/>
                <w:color w:val="333333"/>
                <w:sz w:val="18"/>
                <w:szCs w:val="18"/>
              </w:rPr>
              <w:t>Clinical criteria:</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rsidR="001B5F30" w:rsidRPr="005802E9" w:rsidRDefault="001B5F30" w:rsidP="001B5F30">
            <w:pPr>
              <w:widowControl w:val="0"/>
              <w:spacing w:before="60" w:after="60"/>
              <w:rPr>
                <w:rFonts w:ascii="Arial Narrow" w:hAnsi="Arial Narrow"/>
                <w:sz w:val="20"/>
                <w:szCs w:val="20"/>
              </w:rPr>
            </w:pPr>
            <w:r w:rsidRPr="005802E9">
              <w:rPr>
                <w:rFonts w:ascii="Arial Narrow" w:hAnsi="Arial Narrow" w:cs="Arial Narrow"/>
                <w:i/>
                <w:iCs/>
                <w:sz w:val="18"/>
                <w:szCs w:val="18"/>
              </w:rPr>
              <w:t xml:space="preserve">The condition must </w:t>
            </w:r>
            <w:r w:rsidRPr="005802E9">
              <w:rPr>
                <w:rFonts w:ascii="Arial Narrow" w:hAnsi="Arial Narrow"/>
                <w:i/>
                <w:color w:val="333333"/>
                <w:sz w:val="18"/>
                <w:szCs w:val="18"/>
              </w:rPr>
              <w:t>be</w:t>
            </w:r>
            <w:r w:rsidRPr="005802E9">
              <w:rPr>
                <w:rFonts w:ascii="Arial Narrow" w:hAnsi="Arial Narrow"/>
                <w:color w:val="333333"/>
                <w:sz w:val="18"/>
                <w:szCs w:val="18"/>
              </w:rPr>
              <w:t xml:space="preserve"> </w:t>
            </w:r>
            <w:r w:rsidRPr="005802E9">
              <w:rPr>
                <w:rFonts w:ascii="Arial Narrow" w:hAnsi="Arial Narrow"/>
                <w:strike/>
                <w:color w:val="333333"/>
                <w:sz w:val="18"/>
                <w:szCs w:val="18"/>
              </w:rPr>
              <w:t>Patient has</w:t>
            </w:r>
            <w:r w:rsidRPr="005802E9">
              <w:rPr>
                <w:rFonts w:ascii="Arial Narrow" w:hAnsi="Arial Narrow"/>
                <w:color w:val="333333"/>
                <w:sz w:val="18"/>
                <w:szCs w:val="18"/>
              </w:rPr>
              <w:t xml:space="preserve"> mild to moderate atopic dermatitis with erythematous patches and induration/papulation;</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rsidR="001B5F30" w:rsidRPr="005802E9" w:rsidRDefault="001B5F30" w:rsidP="001B5F30">
            <w:pPr>
              <w:widowControl w:val="0"/>
              <w:rPr>
                <w:rFonts w:ascii="Arial Narrow" w:hAnsi="Arial Narrow"/>
                <w:color w:val="333333"/>
                <w:sz w:val="18"/>
                <w:szCs w:val="18"/>
              </w:rPr>
            </w:pPr>
            <w:r w:rsidRPr="005802E9">
              <w:rPr>
                <w:rFonts w:ascii="Arial Narrow" w:hAnsi="Arial Narrow"/>
                <w:b/>
                <w:bCs/>
                <w:color w:val="333333"/>
                <w:sz w:val="18"/>
                <w:szCs w:val="18"/>
              </w:rPr>
              <w:t>AND</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rsidR="001B5F30" w:rsidRPr="005802E9" w:rsidRDefault="001B5F30" w:rsidP="001B5F30">
            <w:pPr>
              <w:widowControl w:val="0"/>
              <w:rPr>
                <w:rFonts w:ascii="Arial Narrow" w:hAnsi="Arial Narrow"/>
                <w:color w:val="333333"/>
                <w:sz w:val="18"/>
                <w:szCs w:val="18"/>
              </w:rPr>
            </w:pPr>
            <w:r w:rsidRPr="005802E9">
              <w:rPr>
                <w:rFonts w:ascii="Arial Narrow" w:hAnsi="Arial Narrow"/>
                <w:b/>
                <w:bCs/>
                <w:color w:val="333333"/>
                <w:sz w:val="18"/>
                <w:szCs w:val="18"/>
              </w:rPr>
              <w:t>Clinical criteria:</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rsidR="001B5F30" w:rsidRPr="005802E9" w:rsidRDefault="001B5F30" w:rsidP="001B5F30">
            <w:pPr>
              <w:widowControl w:val="0"/>
              <w:rPr>
                <w:rFonts w:ascii="Arial Narrow" w:hAnsi="Arial Narrow"/>
                <w:color w:val="333333"/>
                <w:sz w:val="18"/>
                <w:szCs w:val="18"/>
              </w:rPr>
            </w:pPr>
            <w:r w:rsidRPr="005802E9">
              <w:rPr>
                <w:rFonts w:ascii="Arial Narrow" w:hAnsi="Arial Narrow" w:cs="Arial Narrow"/>
                <w:i/>
                <w:iCs/>
                <w:sz w:val="18"/>
                <w:szCs w:val="18"/>
              </w:rPr>
              <w:t xml:space="preserve">Patient must have </w:t>
            </w:r>
            <w:r w:rsidRPr="005802E9">
              <w:rPr>
                <w:rFonts w:ascii="Arial Narrow" w:hAnsi="Arial Narrow" w:cs="Arial Narrow"/>
                <w:iCs/>
                <w:strike/>
                <w:sz w:val="18"/>
                <w:szCs w:val="18"/>
              </w:rPr>
              <w:t>Patient</w:t>
            </w:r>
            <w:r w:rsidRPr="005802E9">
              <w:rPr>
                <w:rFonts w:ascii="Arial Narrow" w:hAnsi="Arial Narrow"/>
                <w:strike/>
                <w:color w:val="333333"/>
                <w:sz w:val="18"/>
                <w:szCs w:val="18"/>
              </w:rPr>
              <w:t xml:space="preserve"> has not</w:t>
            </w:r>
            <w:r w:rsidRPr="005802E9">
              <w:rPr>
                <w:rFonts w:ascii="Arial Narrow" w:hAnsi="Arial Narrow"/>
                <w:color w:val="333333"/>
                <w:sz w:val="18"/>
                <w:szCs w:val="18"/>
              </w:rPr>
              <w:t xml:space="preserve"> had an</w:t>
            </w:r>
            <w:r w:rsidRPr="005802E9">
              <w:rPr>
                <w:rFonts w:ascii="Arial Narrow" w:hAnsi="Arial Narrow"/>
                <w:i/>
                <w:color w:val="333333"/>
                <w:sz w:val="18"/>
                <w:szCs w:val="18"/>
              </w:rPr>
              <w:t xml:space="preserve"> in</w:t>
            </w:r>
            <w:r w:rsidRPr="005802E9">
              <w:rPr>
                <w:rFonts w:ascii="Arial Narrow" w:hAnsi="Arial Narrow"/>
                <w:color w:val="333333"/>
                <w:sz w:val="18"/>
                <w:szCs w:val="18"/>
              </w:rPr>
              <w:t xml:space="preserve">adequate response to maximum tolerated doses of  topical corticosteroid (TCS) including intermittent use of TCS  </w:t>
            </w:r>
          </w:p>
          <w:p w:rsidR="001B5F30" w:rsidRPr="005802E9" w:rsidRDefault="001B5F30" w:rsidP="001B5F30">
            <w:pPr>
              <w:widowControl w:val="0"/>
              <w:rPr>
                <w:rFonts w:ascii="Arial Narrow" w:hAnsi="Arial Narrow"/>
                <w:color w:val="333333"/>
                <w:sz w:val="18"/>
                <w:szCs w:val="18"/>
              </w:rPr>
            </w:pPr>
            <w:r w:rsidRPr="005802E9">
              <w:rPr>
                <w:rFonts w:ascii="Arial Narrow" w:hAnsi="Arial Narrow"/>
                <w:color w:val="333333"/>
                <w:sz w:val="18"/>
                <w:szCs w:val="18"/>
              </w:rPr>
              <w:t>OR</w:t>
            </w:r>
          </w:p>
          <w:p w:rsidR="001B5F30" w:rsidRPr="005802E9" w:rsidRDefault="001B5F30" w:rsidP="001B5F30">
            <w:pPr>
              <w:widowControl w:val="0"/>
              <w:spacing w:before="60" w:after="60"/>
              <w:rPr>
                <w:rFonts w:ascii="Arial Narrow" w:hAnsi="Arial Narrow"/>
                <w:color w:val="333333"/>
                <w:sz w:val="18"/>
                <w:szCs w:val="18"/>
              </w:rPr>
            </w:pPr>
            <w:r w:rsidRPr="005802E9">
              <w:rPr>
                <w:rFonts w:ascii="Arial Narrow" w:hAnsi="Arial Narrow"/>
                <w:color w:val="333333"/>
                <w:sz w:val="18"/>
                <w:szCs w:val="18"/>
              </w:rPr>
              <w:t xml:space="preserve">Patient </w:t>
            </w:r>
            <w:r w:rsidRPr="005802E9">
              <w:rPr>
                <w:rFonts w:ascii="Arial Narrow" w:hAnsi="Arial Narrow"/>
                <w:i/>
                <w:color w:val="333333"/>
                <w:sz w:val="18"/>
                <w:szCs w:val="18"/>
              </w:rPr>
              <w:t>must be</w:t>
            </w:r>
            <w:r w:rsidRPr="005802E9">
              <w:rPr>
                <w:rFonts w:ascii="Arial Narrow" w:hAnsi="Arial Narrow"/>
                <w:color w:val="333333"/>
                <w:sz w:val="18"/>
                <w:szCs w:val="18"/>
              </w:rPr>
              <w:t xml:space="preserve"> </w:t>
            </w:r>
            <w:r w:rsidRPr="005802E9">
              <w:rPr>
                <w:rFonts w:ascii="Arial Narrow" w:hAnsi="Arial Narrow"/>
                <w:strike/>
                <w:color w:val="333333"/>
                <w:sz w:val="18"/>
                <w:szCs w:val="18"/>
              </w:rPr>
              <w:t>is</w:t>
            </w:r>
            <w:r w:rsidRPr="005802E9">
              <w:rPr>
                <w:rFonts w:ascii="Arial Narrow" w:hAnsi="Arial Narrow"/>
                <w:color w:val="333333"/>
                <w:sz w:val="18"/>
                <w:szCs w:val="18"/>
              </w:rPr>
              <w:t xml:space="preserve"> intolerant to TCS</w:t>
            </w:r>
            <w:r w:rsidR="00E035D7" w:rsidRPr="007905DB">
              <w:rPr>
                <w:rFonts w:ascii="Arial Narrow" w:hAnsi="Arial Narrow"/>
                <w:i/>
                <w:color w:val="333333"/>
                <w:sz w:val="18"/>
                <w:szCs w:val="18"/>
              </w:rPr>
              <w:t xml:space="preserve"> treatment for this condition</w:t>
            </w:r>
            <w:r w:rsidRPr="005802E9">
              <w:rPr>
                <w:rFonts w:ascii="Arial Narrow" w:hAnsi="Arial Narrow"/>
                <w:color w:val="333333"/>
                <w:sz w:val="18"/>
                <w:szCs w:val="18"/>
              </w:rPr>
              <w:t>; OR</w:t>
            </w:r>
          </w:p>
          <w:p w:rsidR="001B5F30" w:rsidRPr="005802E9" w:rsidRDefault="001B5F30" w:rsidP="001B5F30">
            <w:pPr>
              <w:widowControl w:val="0"/>
              <w:spacing w:after="40"/>
              <w:rPr>
                <w:rFonts w:ascii="Arial Narrow" w:hAnsi="Arial Narrow"/>
                <w:i/>
                <w:color w:val="333333"/>
                <w:sz w:val="18"/>
                <w:szCs w:val="18"/>
              </w:rPr>
            </w:pPr>
            <w:r w:rsidRPr="005802E9">
              <w:rPr>
                <w:rFonts w:ascii="Arial Narrow" w:hAnsi="Arial Narrow"/>
                <w:color w:val="333333"/>
                <w:sz w:val="18"/>
                <w:szCs w:val="18"/>
              </w:rPr>
              <w:t xml:space="preserve">Patient </w:t>
            </w:r>
            <w:r w:rsidRPr="005802E9">
              <w:rPr>
                <w:rFonts w:ascii="Arial Narrow" w:hAnsi="Arial Narrow"/>
                <w:i/>
                <w:color w:val="333333"/>
                <w:sz w:val="18"/>
                <w:szCs w:val="18"/>
              </w:rPr>
              <w:t>must be</w:t>
            </w:r>
            <w:r w:rsidRPr="005802E9">
              <w:rPr>
                <w:rFonts w:ascii="Arial Narrow" w:hAnsi="Arial Narrow"/>
                <w:color w:val="333333"/>
                <w:sz w:val="18"/>
                <w:szCs w:val="18"/>
              </w:rPr>
              <w:t xml:space="preserve"> </w:t>
            </w:r>
            <w:r w:rsidRPr="005802E9">
              <w:rPr>
                <w:rFonts w:ascii="Arial Narrow" w:hAnsi="Arial Narrow"/>
                <w:strike/>
                <w:color w:val="333333"/>
                <w:sz w:val="18"/>
                <w:szCs w:val="18"/>
              </w:rPr>
              <w:t>is</w:t>
            </w:r>
            <w:r w:rsidRPr="005802E9">
              <w:rPr>
                <w:rFonts w:ascii="Arial Narrow" w:hAnsi="Arial Narrow"/>
                <w:color w:val="333333"/>
                <w:sz w:val="18"/>
                <w:szCs w:val="18"/>
              </w:rPr>
              <w:t xml:space="preserve"> contraindicated to TCS</w:t>
            </w:r>
            <w:r w:rsidR="00E035D7" w:rsidRPr="005802E9">
              <w:rPr>
                <w:rFonts w:ascii="Arial Narrow" w:hAnsi="Arial Narrow"/>
                <w:color w:val="333333"/>
                <w:sz w:val="18"/>
                <w:szCs w:val="18"/>
              </w:rPr>
              <w:t xml:space="preserve"> </w:t>
            </w:r>
            <w:r w:rsidR="00E035D7" w:rsidRPr="007905DB">
              <w:rPr>
                <w:rFonts w:ascii="Arial Narrow" w:hAnsi="Arial Narrow"/>
                <w:i/>
                <w:color w:val="333333"/>
                <w:sz w:val="18"/>
                <w:szCs w:val="18"/>
              </w:rPr>
              <w:t>treatment for this condition</w:t>
            </w:r>
            <w:r w:rsidRPr="005802E9">
              <w:rPr>
                <w:rFonts w:ascii="Arial Narrow" w:hAnsi="Arial Narrow"/>
                <w:color w:val="333333"/>
                <w:sz w:val="18"/>
                <w:szCs w:val="18"/>
              </w:rPr>
              <w:t xml:space="preserve">; </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rsidR="001B5F30" w:rsidRPr="005802E9" w:rsidRDefault="001B5F30" w:rsidP="001B5F30">
            <w:pPr>
              <w:widowControl w:val="0"/>
              <w:rPr>
                <w:rFonts w:ascii="Arial Narrow" w:hAnsi="Arial Narrow"/>
                <w:strike/>
                <w:color w:val="333333"/>
                <w:sz w:val="18"/>
                <w:szCs w:val="18"/>
              </w:rPr>
            </w:pPr>
            <w:r w:rsidRPr="005802E9">
              <w:rPr>
                <w:rFonts w:ascii="Arial Narrow" w:hAnsi="Arial Narrow"/>
                <w:b/>
                <w:bCs/>
                <w:strike/>
                <w:color w:val="333333"/>
                <w:sz w:val="18"/>
                <w:szCs w:val="18"/>
              </w:rPr>
              <w:t>AND</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rsidR="001B5F30" w:rsidRPr="005802E9" w:rsidRDefault="001B5F30" w:rsidP="001B5F30">
            <w:pPr>
              <w:widowControl w:val="0"/>
              <w:rPr>
                <w:rFonts w:ascii="Arial Narrow" w:hAnsi="Arial Narrow"/>
                <w:strike/>
                <w:color w:val="333333"/>
                <w:sz w:val="18"/>
                <w:szCs w:val="18"/>
              </w:rPr>
            </w:pPr>
            <w:r w:rsidRPr="005802E9">
              <w:rPr>
                <w:rFonts w:ascii="Arial Narrow" w:hAnsi="Arial Narrow"/>
                <w:b/>
                <w:bCs/>
                <w:strike/>
                <w:color w:val="333333"/>
                <w:sz w:val="18"/>
                <w:szCs w:val="18"/>
              </w:rPr>
              <w:t>Treatment criteria:</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rsidR="001B5F30" w:rsidRPr="005802E9" w:rsidRDefault="001B5F30" w:rsidP="001B5F30">
            <w:pPr>
              <w:widowControl w:val="0"/>
              <w:spacing w:before="60" w:after="60"/>
              <w:rPr>
                <w:rFonts w:ascii="Arial Narrow" w:hAnsi="Arial Narrow" w:cs="Times New Roman"/>
                <w:strike/>
                <w:color w:val="333333"/>
                <w:sz w:val="18"/>
                <w:szCs w:val="18"/>
              </w:rPr>
            </w:pPr>
            <w:r w:rsidRPr="005802E9">
              <w:rPr>
                <w:rFonts w:ascii="Arial Narrow" w:hAnsi="Arial Narrow" w:cs="Times New Roman"/>
                <w:strike/>
                <w:color w:val="333333"/>
                <w:sz w:val="18"/>
                <w:szCs w:val="18"/>
              </w:rPr>
              <w:t>Treatment with TCS should continue if intermittent TCS can be used; AND</w:t>
            </w:r>
          </w:p>
          <w:p w:rsidR="001B5F30" w:rsidRPr="005802E9" w:rsidRDefault="001B5F30" w:rsidP="001B5F30">
            <w:pPr>
              <w:widowControl w:val="0"/>
              <w:spacing w:before="60" w:after="60"/>
              <w:rPr>
                <w:rFonts w:ascii="Arial Narrow" w:hAnsi="Arial Narrow" w:cs="Times New Roman"/>
                <w:strike/>
                <w:color w:val="333333"/>
                <w:sz w:val="18"/>
                <w:szCs w:val="18"/>
              </w:rPr>
            </w:pPr>
            <w:r w:rsidRPr="005802E9">
              <w:rPr>
                <w:rFonts w:ascii="Arial Narrow" w:hAnsi="Arial Narrow" w:cs="Times New Roman"/>
                <w:strike/>
                <w:color w:val="333333"/>
                <w:sz w:val="18"/>
                <w:szCs w:val="18"/>
              </w:rPr>
              <w:t>In these patients crisaborole should only be used in periods where a break in TCS treatment is necessary to avoid intolerance and problematic adverse effects (e.g., atrophy of the skin, infection of the skin, contact allergy, and/or systemic effects); AND</w:t>
            </w:r>
          </w:p>
          <w:p w:rsidR="001B5F30" w:rsidRPr="007905DB" w:rsidRDefault="001B5F30" w:rsidP="001B5F30">
            <w:pPr>
              <w:widowControl w:val="0"/>
              <w:autoSpaceDE w:val="0"/>
              <w:autoSpaceDN w:val="0"/>
              <w:adjustRightInd w:val="0"/>
              <w:rPr>
                <w:rFonts w:ascii="Arial Narrow" w:hAnsi="Arial Narrow" w:cs="Arial Narrow"/>
                <w:i/>
                <w:iCs/>
                <w:strike/>
                <w:sz w:val="20"/>
                <w:szCs w:val="20"/>
              </w:rPr>
            </w:pPr>
            <w:r w:rsidRPr="007905DB">
              <w:rPr>
                <w:rFonts w:ascii="Arial Narrow" w:hAnsi="Arial Narrow"/>
                <w:strike/>
                <w:color w:val="333333"/>
                <w:sz w:val="18"/>
                <w:szCs w:val="18"/>
              </w:rPr>
              <w:t>TCS and crisaborole should not be used simultaneously on the same lesion.</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rsidR="001B5F30" w:rsidRPr="005802E9" w:rsidRDefault="001B5F30" w:rsidP="001B5F30">
            <w:pPr>
              <w:widowControl w:val="0"/>
              <w:rPr>
                <w:rFonts w:ascii="Arial Narrow" w:hAnsi="Arial Narrow"/>
                <w:color w:val="333333"/>
                <w:sz w:val="18"/>
                <w:szCs w:val="18"/>
              </w:rPr>
            </w:pPr>
            <w:r w:rsidRPr="005802E9">
              <w:rPr>
                <w:rFonts w:ascii="Arial Narrow" w:hAnsi="Arial Narrow"/>
                <w:b/>
                <w:bCs/>
                <w:color w:val="333333"/>
                <w:sz w:val="18"/>
                <w:szCs w:val="18"/>
              </w:rPr>
              <w:t>AND</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tcPr>
          <w:p w:rsidR="001B5F30" w:rsidRPr="005802E9" w:rsidRDefault="001B5F30" w:rsidP="001B5F30">
            <w:pPr>
              <w:widowControl w:val="0"/>
              <w:rPr>
                <w:rFonts w:ascii="Arial Narrow" w:hAnsi="Arial Narrow"/>
                <w:b/>
                <w:bCs/>
                <w:color w:val="333333"/>
                <w:sz w:val="18"/>
                <w:szCs w:val="18"/>
              </w:rPr>
            </w:pPr>
            <w:r w:rsidRPr="005802E9">
              <w:rPr>
                <w:rFonts w:ascii="Arial Narrow" w:hAnsi="Arial Narrow"/>
                <w:b/>
                <w:bCs/>
                <w:color w:val="333333"/>
                <w:sz w:val="18"/>
                <w:szCs w:val="18"/>
              </w:rPr>
              <w:t>Population criteria:</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tcPr>
          <w:p w:rsidR="001B5F30" w:rsidRPr="005802E9" w:rsidRDefault="001B5F30" w:rsidP="001B5F30">
            <w:pPr>
              <w:widowControl w:val="0"/>
              <w:rPr>
                <w:rFonts w:ascii="Arial Narrow" w:hAnsi="Arial Narrow"/>
                <w:color w:val="333333"/>
                <w:sz w:val="18"/>
                <w:szCs w:val="18"/>
              </w:rPr>
            </w:pPr>
            <w:r w:rsidRPr="005802E9">
              <w:rPr>
                <w:rFonts w:ascii="Arial Narrow" w:hAnsi="Arial Narrow"/>
                <w:color w:val="333333"/>
                <w:sz w:val="18"/>
                <w:szCs w:val="18"/>
              </w:rPr>
              <w:t>Patient must be aged ≥2 years</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tcPr>
          <w:p w:rsidR="001B5F30" w:rsidRPr="005802E9" w:rsidRDefault="001B5F30" w:rsidP="001B5F30">
            <w:pPr>
              <w:widowControl w:val="0"/>
              <w:rPr>
                <w:rFonts w:ascii="Arial Narrow" w:hAnsi="Arial Narrow"/>
                <w:b/>
                <w:color w:val="333333"/>
                <w:sz w:val="18"/>
                <w:szCs w:val="18"/>
              </w:rPr>
            </w:pPr>
            <w:r w:rsidRPr="005802E9">
              <w:rPr>
                <w:rFonts w:ascii="Arial Narrow" w:hAnsi="Arial Narrow"/>
                <w:b/>
                <w:color w:val="333333"/>
                <w:sz w:val="18"/>
                <w:szCs w:val="18"/>
              </w:rPr>
              <w:t>AND</w:t>
            </w:r>
          </w:p>
        </w:tc>
      </w:tr>
      <w:tr w:rsidR="001B5F30" w:rsidRPr="005802E9" w:rsidTr="001B5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rsidR="001B5F30" w:rsidRPr="005802E9" w:rsidRDefault="001B5F30" w:rsidP="001B5F30">
            <w:pPr>
              <w:widowControl w:val="0"/>
              <w:rPr>
                <w:rFonts w:ascii="Arial Narrow" w:hAnsi="Arial Narrow"/>
                <w:color w:val="333333"/>
                <w:sz w:val="18"/>
                <w:szCs w:val="18"/>
              </w:rPr>
            </w:pPr>
            <w:r w:rsidRPr="005802E9">
              <w:rPr>
                <w:rFonts w:ascii="Arial Narrow" w:hAnsi="Arial Narrow"/>
                <w:b/>
                <w:bCs/>
                <w:color w:val="333333"/>
                <w:sz w:val="18"/>
                <w:szCs w:val="18"/>
              </w:rPr>
              <w:t>Prescribing Instructions:</w:t>
            </w:r>
          </w:p>
          <w:p w:rsidR="001B5F30" w:rsidRPr="005802E9" w:rsidRDefault="001B5F30" w:rsidP="001B5F30">
            <w:pPr>
              <w:widowControl w:val="0"/>
              <w:rPr>
                <w:rFonts w:ascii="Arial Narrow" w:hAnsi="Arial Narrow"/>
                <w:color w:val="333333"/>
                <w:sz w:val="18"/>
                <w:szCs w:val="18"/>
              </w:rPr>
            </w:pPr>
            <w:r w:rsidRPr="005802E9">
              <w:rPr>
                <w:rFonts w:ascii="Arial Narrow" w:hAnsi="Arial Narrow"/>
                <w:i/>
                <w:color w:val="333333"/>
                <w:sz w:val="18"/>
                <w:szCs w:val="18"/>
              </w:rPr>
              <w:t xml:space="preserve">Intermittent use of TCS should continue, if required, while being treated with crisaborole for this indication. </w:t>
            </w:r>
          </w:p>
          <w:p w:rsidR="001B5F30" w:rsidRPr="007905DB" w:rsidRDefault="001B5F30" w:rsidP="007905DB">
            <w:pPr>
              <w:widowControl w:val="0"/>
              <w:rPr>
                <w:rFonts w:ascii="Arial Narrow" w:hAnsi="Arial Narrow"/>
                <w:color w:val="333333"/>
                <w:sz w:val="18"/>
                <w:szCs w:val="18"/>
              </w:rPr>
            </w:pPr>
            <w:r w:rsidRPr="005802E9">
              <w:rPr>
                <w:rFonts w:ascii="Arial Narrow" w:hAnsi="Arial Narrow"/>
                <w:i/>
                <w:color w:val="333333"/>
                <w:sz w:val="18"/>
                <w:szCs w:val="18"/>
              </w:rPr>
              <w:t>C</w:t>
            </w:r>
            <w:r w:rsidR="007905DB">
              <w:rPr>
                <w:rFonts w:ascii="Arial Narrow" w:hAnsi="Arial Narrow"/>
                <w:i/>
                <w:color w:val="333333"/>
                <w:sz w:val="18"/>
                <w:szCs w:val="18"/>
              </w:rPr>
              <w:t xml:space="preserve">risaborole should not be used </w:t>
            </w:r>
            <w:r w:rsidRPr="005802E9">
              <w:rPr>
                <w:rFonts w:ascii="Arial Narrow" w:hAnsi="Arial Narrow"/>
                <w:i/>
                <w:color w:val="333333"/>
                <w:sz w:val="18"/>
                <w:szCs w:val="18"/>
              </w:rPr>
              <w:t xml:space="preserve">concomitantly with TCS, </w:t>
            </w:r>
            <w:r w:rsidRPr="005802E9">
              <w:rPr>
                <w:rFonts w:ascii="Arial Narrow" w:hAnsi="Arial Narrow"/>
                <w:color w:val="333333"/>
                <w:sz w:val="18"/>
                <w:szCs w:val="18"/>
              </w:rPr>
              <w:t xml:space="preserve">topical calcineurin inhibitors (TCI) or systemic corticosteroid; </w:t>
            </w:r>
          </w:p>
          <w:p w:rsidR="001B5F30" w:rsidRPr="005802E9" w:rsidRDefault="001B5F30" w:rsidP="001B5F30">
            <w:pPr>
              <w:widowControl w:val="0"/>
              <w:spacing w:before="60" w:after="60"/>
              <w:rPr>
                <w:rFonts w:ascii="Arial Narrow" w:hAnsi="Arial Narrow" w:cs="Times New Roman"/>
                <w:color w:val="333333"/>
                <w:sz w:val="18"/>
                <w:szCs w:val="18"/>
              </w:rPr>
            </w:pPr>
            <w:r w:rsidRPr="005802E9">
              <w:rPr>
                <w:rFonts w:ascii="Arial Narrow" w:hAnsi="Arial Narrow" w:cs="Times New Roman"/>
                <w:color w:val="333333"/>
                <w:sz w:val="18"/>
                <w:szCs w:val="18"/>
              </w:rPr>
              <w:t>Treatment should be discontinued if improvement is not maintained after a 3 month period of treatment (i.e AD is clear or almost clear). Once clearance or near clearance of AD is achieved, patients should take a break in crisaborole treatment and reinitiate only if there is a flare of their AD.</w:t>
            </w:r>
          </w:p>
        </w:tc>
      </w:tr>
    </w:tbl>
    <w:p w:rsidR="001B5F30" w:rsidRPr="005802E9" w:rsidRDefault="001B5F30" w:rsidP="001B5F30">
      <w:pPr>
        <w:rPr>
          <w:rFonts w:ascii="Arial Narrow" w:hAnsi="Arial Narrow"/>
          <w:b/>
          <w:sz w:val="18"/>
          <w:szCs w:val="1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1B5F30" w:rsidRPr="005802E9" w:rsidTr="001B5F30">
        <w:tc>
          <w:tcPr>
            <w:tcW w:w="5000" w:type="pct"/>
            <w:tcBorders>
              <w:top w:val="single" w:sz="4" w:space="0" w:color="auto"/>
              <w:left w:val="single" w:sz="4" w:space="0" w:color="auto"/>
              <w:bottom w:val="single" w:sz="4" w:space="0" w:color="auto"/>
              <w:right w:val="single" w:sz="4" w:space="0" w:color="auto"/>
            </w:tcBorders>
          </w:tcPr>
          <w:p w:rsidR="001B5F30" w:rsidRPr="005802E9" w:rsidRDefault="001B5F30" w:rsidP="001B5F30">
            <w:pPr>
              <w:rPr>
                <w:rFonts w:ascii="Arial Narrow" w:hAnsi="Arial Narrow"/>
                <w:sz w:val="18"/>
                <w:szCs w:val="18"/>
              </w:rPr>
            </w:pPr>
            <w:r w:rsidRPr="005802E9">
              <w:rPr>
                <w:rFonts w:ascii="Arial Narrow" w:hAnsi="Arial Narrow"/>
                <w:b/>
                <w:sz w:val="18"/>
                <w:szCs w:val="18"/>
              </w:rPr>
              <w:t xml:space="preserve">Category / Program:   </w:t>
            </w:r>
            <w:r w:rsidRPr="005802E9">
              <w:rPr>
                <w:rFonts w:ascii="Arial Narrow" w:hAnsi="Arial Narrow"/>
                <w:sz w:val="18"/>
                <w:szCs w:val="18"/>
              </w:rPr>
              <w:t>GENERAL – General Schedule (Code GE)</w:t>
            </w:r>
          </w:p>
        </w:tc>
      </w:tr>
      <w:tr w:rsidR="001B5F30" w:rsidRPr="005802E9" w:rsidTr="001B5F30">
        <w:trPr>
          <w:trHeight w:val="240"/>
        </w:trPr>
        <w:tc>
          <w:tcPr>
            <w:tcW w:w="5000" w:type="pct"/>
            <w:tcBorders>
              <w:top w:val="single" w:sz="4" w:space="0" w:color="auto"/>
              <w:left w:val="single" w:sz="4" w:space="0" w:color="auto"/>
              <w:bottom w:val="single" w:sz="4" w:space="0" w:color="auto"/>
              <w:right w:val="single" w:sz="4" w:space="0" w:color="auto"/>
            </w:tcBorders>
          </w:tcPr>
          <w:p w:rsidR="001B5F30" w:rsidRPr="005802E9" w:rsidRDefault="001B5F30" w:rsidP="001B5F30">
            <w:pPr>
              <w:rPr>
                <w:rFonts w:ascii="Arial Narrow" w:hAnsi="Arial Narrow"/>
                <w:b/>
                <w:sz w:val="18"/>
                <w:szCs w:val="18"/>
              </w:rPr>
            </w:pPr>
            <w:r w:rsidRPr="005802E9">
              <w:rPr>
                <w:rFonts w:ascii="Arial Narrow" w:hAnsi="Arial Narrow"/>
                <w:b/>
                <w:sz w:val="18"/>
                <w:szCs w:val="18"/>
              </w:rPr>
              <w:t xml:space="preserve">Prescriber type:   </w:t>
            </w:r>
            <w:r w:rsidRPr="005802E9">
              <w:rPr>
                <w:rFonts w:ascii="Arial Narrow" w:hAnsi="Arial Narrow"/>
                <w:sz w:val="18"/>
                <w:szCs w:val="18"/>
              </w:rPr>
              <w:fldChar w:fldCharType="begin">
                <w:ffData>
                  <w:name w:val="Check1"/>
                  <w:enabled/>
                  <w:calcOnExit w:val="0"/>
                  <w:checkBox>
                    <w:sizeAuto/>
                    <w:default w:val="0"/>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Dental</w:t>
            </w:r>
            <w:r w:rsidR="00F27BD7">
              <w:rPr>
                <w:rFonts w:ascii="Arial Narrow" w:hAnsi="Arial Narrow"/>
                <w:sz w:val="18"/>
                <w:szCs w:val="18"/>
              </w:rPr>
              <w:t xml:space="preserve">  </w:t>
            </w:r>
            <w:r w:rsidRPr="005802E9">
              <w:rPr>
                <w:rFonts w:ascii="Arial Narrow" w:hAnsi="Arial Narrow"/>
                <w:sz w:val="18"/>
                <w:szCs w:val="18"/>
              </w:rPr>
              <w:t xml:space="preserve"> </w:t>
            </w:r>
            <w:r w:rsidRPr="005802E9">
              <w:rPr>
                <w:rFonts w:ascii="Arial Narrow" w:hAnsi="Arial Narrow"/>
                <w:sz w:val="18"/>
                <w:szCs w:val="18"/>
              </w:rPr>
              <w:fldChar w:fldCharType="begin">
                <w:ffData>
                  <w:name w:val=""/>
                  <w:enabled/>
                  <w:calcOnExit w:val="0"/>
                  <w:checkBox>
                    <w:sizeAuto/>
                    <w:default w:val="1"/>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 xml:space="preserve">Medical Practitioners   </w:t>
            </w:r>
            <w:r w:rsidRPr="005802E9">
              <w:rPr>
                <w:rFonts w:ascii="Arial Narrow" w:hAnsi="Arial Narrow"/>
                <w:sz w:val="18"/>
                <w:szCs w:val="18"/>
              </w:rPr>
              <w:fldChar w:fldCharType="begin">
                <w:ffData>
                  <w:name w:val="Check3"/>
                  <w:enabled/>
                  <w:calcOnExit w:val="0"/>
                  <w:checkBox>
                    <w:sizeAuto/>
                    <w:default w:val="0"/>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Nurse practitioners</w:t>
            </w:r>
            <w:r w:rsidR="00F27BD7">
              <w:rPr>
                <w:rFonts w:ascii="Arial Narrow" w:hAnsi="Arial Narrow"/>
                <w:sz w:val="18"/>
                <w:szCs w:val="18"/>
              </w:rPr>
              <w:t xml:space="preserve"> </w:t>
            </w:r>
            <w:r w:rsidRPr="005802E9">
              <w:rPr>
                <w:rFonts w:ascii="Arial Narrow" w:hAnsi="Arial Narrow"/>
                <w:sz w:val="18"/>
                <w:szCs w:val="18"/>
              </w:rPr>
              <w:t xml:space="preserve">  </w:t>
            </w:r>
            <w:r w:rsidRPr="005802E9">
              <w:rPr>
                <w:rFonts w:ascii="Arial Narrow" w:hAnsi="Arial Narrow"/>
                <w:sz w:val="18"/>
                <w:szCs w:val="18"/>
              </w:rPr>
              <w:fldChar w:fldCharType="begin">
                <w:ffData>
                  <w:name w:val=""/>
                  <w:enabled/>
                  <w:calcOnExit w:val="0"/>
                  <w:checkBox>
                    <w:sizeAuto/>
                    <w:default w:val="0"/>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 xml:space="preserve">Optometrists   </w:t>
            </w:r>
            <w:r w:rsidRPr="005802E9">
              <w:rPr>
                <w:rFonts w:ascii="Arial Narrow" w:hAnsi="Arial Narrow"/>
                <w:sz w:val="18"/>
                <w:szCs w:val="18"/>
              </w:rPr>
              <w:fldChar w:fldCharType="begin">
                <w:ffData>
                  <w:name w:val="Check5"/>
                  <w:enabled/>
                  <w:calcOnExit w:val="0"/>
                  <w:checkBox>
                    <w:sizeAuto/>
                    <w:default w:val="0"/>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Midwives</w:t>
            </w:r>
          </w:p>
        </w:tc>
      </w:tr>
      <w:tr w:rsidR="001B5F30" w:rsidRPr="005802E9" w:rsidTr="001B5F30">
        <w:tc>
          <w:tcPr>
            <w:tcW w:w="5000" w:type="pct"/>
            <w:tcBorders>
              <w:top w:val="single" w:sz="4" w:space="0" w:color="auto"/>
              <w:left w:val="single" w:sz="4" w:space="0" w:color="auto"/>
              <w:bottom w:val="single" w:sz="4" w:space="0" w:color="auto"/>
              <w:right w:val="single" w:sz="4" w:space="0" w:color="auto"/>
            </w:tcBorders>
          </w:tcPr>
          <w:p w:rsidR="001B5F30" w:rsidRPr="005802E9" w:rsidRDefault="001B5F30" w:rsidP="001B5F30">
            <w:pPr>
              <w:rPr>
                <w:rFonts w:ascii="Arial Narrow" w:hAnsi="Arial Narrow"/>
                <w:b/>
                <w:sz w:val="18"/>
                <w:szCs w:val="18"/>
              </w:rPr>
            </w:pPr>
            <w:r w:rsidRPr="005802E9">
              <w:rPr>
                <w:rFonts w:ascii="Arial Narrow" w:hAnsi="Arial Narrow"/>
                <w:b/>
                <w:sz w:val="18"/>
                <w:szCs w:val="18"/>
              </w:rPr>
              <w:t>Restriction Type – assessment time by Medicare – Method of obtaining authority approval (if Authority Required):</w:t>
            </w:r>
          </w:p>
          <w:p w:rsidR="001B5F30" w:rsidRPr="005802E9" w:rsidRDefault="001B5F30" w:rsidP="001B5F30">
            <w:pPr>
              <w:rPr>
                <w:rFonts w:ascii="Arial Narrow" w:eastAsia="Calibri" w:hAnsi="Arial Narrow"/>
                <w:sz w:val="18"/>
                <w:szCs w:val="18"/>
              </w:rPr>
            </w:pPr>
            <w:r w:rsidRPr="005802E9">
              <w:rPr>
                <w:rFonts w:ascii="Arial Narrow" w:eastAsia="Calibri" w:hAnsi="Arial Narrow"/>
                <w:sz w:val="18"/>
                <w:szCs w:val="18"/>
              </w:rPr>
              <w:fldChar w:fldCharType="begin">
                <w:ffData>
                  <w:name w:val=""/>
                  <w:enabled/>
                  <w:calcOnExit w:val="0"/>
                  <w:checkBox>
                    <w:sizeAuto/>
                    <w:default w:val="1"/>
                  </w:checkBox>
                </w:ffData>
              </w:fldChar>
            </w:r>
            <w:r w:rsidRPr="005802E9">
              <w:rPr>
                <w:rFonts w:ascii="Arial Narrow" w:eastAsia="Calibri" w:hAnsi="Arial Narrow"/>
                <w:sz w:val="18"/>
                <w:szCs w:val="18"/>
              </w:rPr>
              <w:instrText xml:space="preserve"> FORMCHECKBOX </w:instrText>
            </w:r>
            <w:r w:rsidR="003C2634">
              <w:rPr>
                <w:rFonts w:ascii="Arial Narrow" w:eastAsia="Calibri" w:hAnsi="Arial Narrow"/>
                <w:sz w:val="18"/>
                <w:szCs w:val="18"/>
              </w:rPr>
            </w:r>
            <w:r w:rsidR="003C2634">
              <w:rPr>
                <w:rFonts w:ascii="Arial Narrow" w:eastAsia="Calibri" w:hAnsi="Arial Narrow"/>
                <w:sz w:val="18"/>
                <w:szCs w:val="18"/>
              </w:rPr>
              <w:fldChar w:fldCharType="separate"/>
            </w:r>
            <w:r w:rsidRPr="005802E9">
              <w:rPr>
                <w:rFonts w:ascii="Arial Narrow" w:eastAsia="Calibri" w:hAnsi="Arial Narrow"/>
                <w:sz w:val="18"/>
                <w:szCs w:val="18"/>
              </w:rPr>
              <w:fldChar w:fldCharType="end"/>
            </w:r>
            <w:r w:rsidRPr="005802E9">
              <w:rPr>
                <w:rFonts w:ascii="Arial Narrow" w:eastAsia="Calibri" w:hAnsi="Arial Narrow"/>
                <w:sz w:val="18"/>
                <w:szCs w:val="18"/>
              </w:rPr>
              <w:t xml:space="preserve">Authority Required – </w:t>
            </w:r>
          </w:p>
        </w:tc>
      </w:tr>
      <w:tr w:rsidR="001B5F30" w:rsidRPr="005802E9" w:rsidTr="001B5F30">
        <w:tc>
          <w:tcPr>
            <w:tcW w:w="5000" w:type="pct"/>
            <w:vAlign w:val="center"/>
          </w:tcPr>
          <w:p w:rsidR="001B5F30" w:rsidRPr="005802E9" w:rsidRDefault="001B5F30" w:rsidP="001B5F30">
            <w:pPr>
              <w:rPr>
                <w:rFonts w:ascii="Arial Narrow" w:hAnsi="Arial Narrow"/>
                <w:bCs/>
                <w:strike/>
                <w:color w:val="333333"/>
                <w:sz w:val="18"/>
                <w:szCs w:val="18"/>
              </w:rPr>
            </w:pPr>
            <w:r w:rsidRPr="005802E9">
              <w:rPr>
                <w:rFonts w:ascii="Arial Narrow" w:hAnsi="Arial Narrow"/>
                <w:b/>
                <w:bCs/>
                <w:strike/>
                <w:color w:val="333333"/>
                <w:sz w:val="18"/>
                <w:szCs w:val="18"/>
              </w:rPr>
              <w:t xml:space="preserve">Episodicity: </w:t>
            </w:r>
            <w:r w:rsidRPr="005802E9">
              <w:rPr>
                <w:rFonts w:ascii="Arial Narrow" w:hAnsi="Arial Narrow"/>
                <w:bCs/>
                <w:strike/>
                <w:color w:val="333333"/>
                <w:sz w:val="18"/>
                <w:szCs w:val="18"/>
              </w:rPr>
              <w:t>Acute, intermittent or chronic</w:t>
            </w:r>
          </w:p>
        </w:tc>
      </w:tr>
      <w:tr w:rsidR="001B5F30" w:rsidRPr="005802E9" w:rsidTr="001B5F30">
        <w:tc>
          <w:tcPr>
            <w:tcW w:w="5000" w:type="pct"/>
            <w:vAlign w:val="center"/>
          </w:tcPr>
          <w:p w:rsidR="001B5F30" w:rsidRPr="005802E9" w:rsidRDefault="001B5F30" w:rsidP="001B5F30">
            <w:pPr>
              <w:rPr>
                <w:rFonts w:ascii="Arial Narrow" w:hAnsi="Arial Narrow"/>
                <w:b/>
                <w:bCs/>
                <w:color w:val="333333"/>
                <w:sz w:val="18"/>
                <w:szCs w:val="18"/>
              </w:rPr>
            </w:pPr>
            <w:r w:rsidRPr="005802E9">
              <w:rPr>
                <w:rFonts w:ascii="Arial Narrow" w:hAnsi="Arial Narrow"/>
                <w:b/>
                <w:bCs/>
                <w:color w:val="333333"/>
                <w:sz w:val="18"/>
                <w:szCs w:val="18"/>
              </w:rPr>
              <w:t xml:space="preserve">Severity: </w:t>
            </w:r>
            <w:r w:rsidRPr="005802E9">
              <w:rPr>
                <w:rFonts w:ascii="Arial Narrow" w:hAnsi="Arial Narrow"/>
                <w:bCs/>
                <w:color w:val="333333"/>
                <w:sz w:val="18"/>
                <w:szCs w:val="18"/>
              </w:rPr>
              <w:t>mild to moderate</w:t>
            </w:r>
          </w:p>
        </w:tc>
      </w:tr>
      <w:tr w:rsidR="001B5F30" w:rsidRPr="005802E9" w:rsidTr="001B5F30">
        <w:tc>
          <w:tcPr>
            <w:tcW w:w="5000" w:type="pct"/>
            <w:vAlign w:val="center"/>
          </w:tcPr>
          <w:p w:rsidR="001B5F30" w:rsidRPr="005802E9" w:rsidRDefault="001B5F30" w:rsidP="001B5F30">
            <w:pPr>
              <w:rPr>
                <w:rFonts w:ascii="Arial Narrow" w:hAnsi="Arial Narrow"/>
                <w:b/>
                <w:bCs/>
                <w:color w:val="333333"/>
                <w:sz w:val="18"/>
                <w:szCs w:val="18"/>
              </w:rPr>
            </w:pPr>
            <w:r w:rsidRPr="005802E9">
              <w:rPr>
                <w:rFonts w:ascii="Arial Narrow" w:hAnsi="Arial Narrow"/>
                <w:b/>
                <w:bCs/>
                <w:color w:val="333333"/>
                <w:sz w:val="18"/>
                <w:szCs w:val="18"/>
              </w:rPr>
              <w:t xml:space="preserve">Condition: </w:t>
            </w:r>
            <w:r w:rsidRPr="005802E9">
              <w:rPr>
                <w:rFonts w:ascii="Arial Narrow" w:hAnsi="Arial Narrow"/>
                <w:bCs/>
                <w:color w:val="333333"/>
                <w:sz w:val="18"/>
                <w:szCs w:val="18"/>
              </w:rPr>
              <w:t>Atopic dermatitis</w:t>
            </w:r>
          </w:p>
        </w:tc>
      </w:tr>
      <w:tr w:rsidR="001B5F30" w:rsidRPr="005802E9" w:rsidTr="001B5F30">
        <w:tc>
          <w:tcPr>
            <w:tcW w:w="5000" w:type="pct"/>
            <w:vAlign w:val="center"/>
            <w:hideMark/>
          </w:tcPr>
          <w:p w:rsidR="001B5F30" w:rsidRPr="005802E9" w:rsidRDefault="001B5F30" w:rsidP="001B5F30">
            <w:pPr>
              <w:rPr>
                <w:rFonts w:ascii="Arial Narrow" w:hAnsi="Arial Narrow"/>
                <w:i/>
                <w:color w:val="333333"/>
                <w:sz w:val="18"/>
                <w:szCs w:val="18"/>
              </w:rPr>
            </w:pPr>
            <w:r w:rsidRPr="005802E9">
              <w:rPr>
                <w:rFonts w:ascii="Arial Narrow" w:hAnsi="Arial Narrow"/>
                <w:b/>
                <w:bCs/>
                <w:i/>
                <w:color w:val="333333"/>
                <w:sz w:val="18"/>
                <w:szCs w:val="18"/>
              </w:rPr>
              <w:t>Indication:</w:t>
            </w:r>
            <w:r w:rsidRPr="005802E9">
              <w:rPr>
                <w:rFonts w:ascii="Arial Narrow" w:hAnsi="Arial Narrow"/>
                <w:i/>
                <w:color w:val="333333"/>
                <w:sz w:val="18"/>
                <w:szCs w:val="18"/>
              </w:rPr>
              <w:t xml:space="preserve"> Mild to moderate atopic dermatitis</w:t>
            </w:r>
          </w:p>
        </w:tc>
      </w:tr>
      <w:tr w:rsidR="001B5F30" w:rsidRPr="005802E9" w:rsidTr="001B5F30">
        <w:tc>
          <w:tcPr>
            <w:tcW w:w="5000" w:type="pct"/>
            <w:vAlign w:val="center"/>
            <w:hideMark/>
          </w:tcPr>
          <w:p w:rsidR="001B5F30" w:rsidRPr="005802E9" w:rsidRDefault="001B5F30" w:rsidP="001B5F30">
            <w:pPr>
              <w:rPr>
                <w:rFonts w:ascii="Arial Narrow" w:hAnsi="Arial Narrow"/>
                <w:color w:val="333333"/>
                <w:sz w:val="18"/>
                <w:szCs w:val="18"/>
              </w:rPr>
            </w:pPr>
            <w:r w:rsidRPr="005802E9">
              <w:rPr>
                <w:rFonts w:ascii="Arial Narrow" w:hAnsi="Arial Narrow"/>
                <w:b/>
                <w:bCs/>
                <w:color w:val="333333"/>
                <w:sz w:val="18"/>
                <w:szCs w:val="18"/>
              </w:rPr>
              <w:t>Treatment Phase:</w:t>
            </w:r>
            <w:r w:rsidRPr="005802E9">
              <w:rPr>
                <w:rFonts w:ascii="Arial Narrow" w:hAnsi="Arial Narrow"/>
                <w:color w:val="333333"/>
                <w:sz w:val="18"/>
                <w:szCs w:val="18"/>
              </w:rPr>
              <w:t xml:space="preserve"> Continuing</w:t>
            </w:r>
          </w:p>
        </w:tc>
      </w:tr>
      <w:tr w:rsidR="001B5F30" w:rsidRPr="005802E9" w:rsidTr="001B5F30">
        <w:tc>
          <w:tcPr>
            <w:tcW w:w="5000" w:type="pct"/>
            <w:vAlign w:val="center"/>
            <w:hideMark/>
          </w:tcPr>
          <w:p w:rsidR="001B5F30" w:rsidRPr="005802E9" w:rsidRDefault="001B5F30" w:rsidP="001B5F30">
            <w:pPr>
              <w:rPr>
                <w:rFonts w:ascii="Arial Narrow" w:hAnsi="Arial Narrow"/>
                <w:color w:val="333333"/>
                <w:sz w:val="18"/>
                <w:szCs w:val="18"/>
              </w:rPr>
            </w:pPr>
            <w:r w:rsidRPr="005802E9">
              <w:rPr>
                <w:rFonts w:ascii="Arial Narrow" w:hAnsi="Arial Narrow"/>
                <w:b/>
                <w:bCs/>
                <w:color w:val="333333"/>
                <w:sz w:val="18"/>
                <w:szCs w:val="18"/>
              </w:rPr>
              <w:t>Clinical criteria:</w:t>
            </w:r>
          </w:p>
        </w:tc>
      </w:tr>
      <w:tr w:rsidR="001B5F30" w:rsidRPr="005802E9" w:rsidTr="001B5F30">
        <w:tc>
          <w:tcPr>
            <w:tcW w:w="5000" w:type="pct"/>
            <w:vAlign w:val="center"/>
            <w:hideMark/>
          </w:tcPr>
          <w:p w:rsidR="001B5F30" w:rsidRPr="005802E9" w:rsidRDefault="001B5F30" w:rsidP="001B5F30">
            <w:pPr>
              <w:spacing w:before="60" w:after="60"/>
              <w:rPr>
                <w:rFonts w:ascii="Arial Narrow" w:hAnsi="Arial Narrow"/>
                <w:sz w:val="20"/>
                <w:szCs w:val="20"/>
              </w:rPr>
            </w:pPr>
            <w:r w:rsidRPr="005802E9">
              <w:rPr>
                <w:rFonts w:ascii="Arial Narrow" w:hAnsi="Arial Narrow"/>
                <w:i/>
                <w:color w:val="333333"/>
                <w:sz w:val="18"/>
                <w:szCs w:val="18"/>
              </w:rPr>
              <w:lastRenderedPageBreak/>
              <w:t>Patient must have</w:t>
            </w:r>
            <w:r w:rsidRPr="005802E9">
              <w:rPr>
                <w:rFonts w:ascii="Arial Narrow" w:hAnsi="Arial Narrow"/>
                <w:color w:val="333333"/>
                <w:sz w:val="18"/>
                <w:szCs w:val="18"/>
              </w:rPr>
              <w:t xml:space="preserve"> </w:t>
            </w:r>
            <w:r w:rsidRPr="005802E9">
              <w:rPr>
                <w:rFonts w:ascii="Arial Narrow" w:hAnsi="Arial Narrow"/>
                <w:strike/>
                <w:color w:val="333333"/>
                <w:sz w:val="18"/>
                <w:szCs w:val="18"/>
              </w:rPr>
              <w:t xml:space="preserve">has </w:t>
            </w:r>
            <w:r w:rsidRPr="005802E9">
              <w:rPr>
                <w:rFonts w:ascii="Arial Narrow" w:hAnsi="Arial Narrow"/>
                <w:color w:val="333333"/>
                <w:sz w:val="18"/>
                <w:szCs w:val="18"/>
              </w:rPr>
              <w:t>responded to initial treatment with PBS-funded crisaborole treatment (i.e. achieved clearance or near clearance of AD)</w:t>
            </w:r>
          </w:p>
        </w:tc>
      </w:tr>
      <w:tr w:rsidR="001B5F30" w:rsidRPr="005802E9" w:rsidTr="001B5F30">
        <w:tc>
          <w:tcPr>
            <w:tcW w:w="5000" w:type="pct"/>
            <w:vAlign w:val="center"/>
            <w:hideMark/>
          </w:tcPr>
          <w:p w:rsidR="001B5F30" w:rsidRPr="005802E9" w:rsidRDefault="001B5F30" w:rsidP="001B5F30">
            <w:pPr>
              <w:rPr>
                <w:rFonts w:ascii="Arial Narrow" w:hAnsi="Arial Narrow"/>
                <w:strike/>
                <w:color w:val="333333"/>
                <w:sz w:val="18"/>
                <w:szCs w:val="18"/>
              </w:rPr>
            </w:pPr>
            <w:r w:rsidRPr="005802E9">
              <w:rPr>
                <w:rFonts w:ascii="Arial Narrow" w:hAnsi="Arial Narrow"/>
                <w:b/>
                <w:bCs/>
                <w:strike/>
                <w:color w:val="333333"/>
                <w:sz w:val="18"/>
                <w:szCs w:val="18"/>
              </w:rPr>
              <w:t>AND</w:t>
            </w:r>
          </w:p>
        </w:tc>
      </w:tr>
      <w:tr w:rsidR="001B5F30" w:rsidRPr="005802E9" w:rsidTr="001B5F30">
        <w:tc>
          <w:tcPr>
            <w:tcW w:w="5000" w:type="pct"/>
            <w:vAlign w:val="center"/>
            <w:hideMark/>
          </w:tcPr>
          <w:p w:rsidR="001B5F30" w:rsidRPr="005802E9" w:rsidRDefault="001B5F30" w:rsidP="001B5F30">
            <w:pPr>
              <w:rPr>
                <w:rFonts w:ascii="Arial Narrow" w:hAnsi="Arial Narrow"/>
                <w:strike/>
                <w:color w:val="333333"/>
                <w:sz w:val="18"/>
                <w:szCs w:val="18"/>
              </w:rPr>
            </w:pPr>
            <w:r w:rsidRPr="005802E9">
              <w:rPr>
                <w:rFonts w:ascii="Arial Narrow" w:hAnsi="Arial Narrow"/>
                <w:b/>
                <w:bCs/>
                <w:strike/>
                <w:color w:val="333333"/>
                <w:sz w:val="18"/>
                <w:szCs w:val="18"/>
              </w:rPr>
              <w:t>Treatment criteria:</w:t>
            </w:r>
          </w:p>
        </w:tc>
      </w:tr>
      <w:tr w:rsidR="001B5F30" w:rsidRPr="005802E9" w:rsidTr="001B5F30">
        <w:tc>
          <w:tcPr>
            <w:tcW w:w="5000" w:type="pct"/>
            <w:vAlign w:val="center"/>
            <w:hideMark/>
          </w:tcPr>
          <w:p w:rsidR="001B5F30" w:rsidRPr="005802E9" w:rsidRDefault="001B5F30" w:rsidP="001B5F30">
            <w:pPr>
              <w:spacing w:before="60" w:after="60"/>
              <w:rPr>
                <w:rFonts w:ascii="Arial Narrow" w:hAnsi="Arial Narrow" w:cs="Times New Roman"/>
                <w:strike/>
                <w:color w:val="333333"/>
                <w:sz w:val="18"/>
                <w:szCs w:val="18"/>
              </w:rPr>
            </w:pPr>
            <w:r w:rsidRPr="005802E9">
              <w:rPr>
                <w:rFonts w:ascii="Arial Narrow" w:hAnsi="Arial Narrow" w:cs="Times New Roman"/>
                <w:strike/>
                <w:color w:val="333333"/>
                <w:sz w:val="18"/>
                <w:szCs w:val="18"/>
              </w:rPr>
              <w:t>Treatment with TCS should continue if intermittent TCS can be used; AND</w:t>
            </w:r>
          </w:p>
          <w:p w:rsidR="001B5F30" w:rsidRPr="005802E9" w:rsidRDefault="001B5F30" w:rsidP="001B5F30">
            <w:pPr>
              <w:spacing w:before="60" w:after="60"/>
              <w:rPr>
                <w:rFonts w:ascii="Arial Narrow" w:hAnsi="Arial Narrow" w:cs="Times New Roman"/>
                <w:strike/>
                <w:color w:val="333333"/>
                <w:sz w:val="18"/>
                <w:szCs w:val="18"/>
              </w:rPr>
            </w:pPr>
            <w:r w:rsidRPr="005802E9">
              <w:rPr>
                <w:rFonts w:ascii="Arial Narrow" w:hAnsi="Arial Narrow" w:cs="Times New Roman"/>
                <w:strike/>
                <w:color w:val="333333"/>
                <w:sz w:val="18"/>
                <w:szCs w:val="18"/>
              </w:rPr>
              <w:t>In these patients crisaborole should only be used in periods where a break in TCS treatment is necessary to avoid intolerance and problematic adverse effects (e.g., atrophy of the skin, infection of the skin, contact allergy, and/or systemic effects); AND</w:t>
            </w:r>
          </w:p>
          <w:p w:rsidR="001B5F30" w:rsidRPr="007905DB" w:rsidRDefault="001B5F30" w:rsidP="001B5F30">
            <w:pPr>
              <w:autoSpaceDE w:val="0"/>
              <w:autoSpaceDN w:val="0"/>
              <w:adjustRightInd w:val="0"/>
              <w:rPr>
                <w:rFonts w:ascii="Arial Narrow" w:hAnsi="Arial Narrow" w:cs="Arial Narrow"/>
                <w:i/>
                <w:iCs/>
                <w:strike/>
                <w:sz w:val="20"/>
                <w:szCs w:val="20"/>
              </w:rPr>
            </w:pPr>
            <w:r w:rsidRPr="007905DB">
              <w:rPr>
                <w:rFonts w:ascii="Arial Narrow" w:hAnsi="Arial Narrow"/>
                <w:strike/>
                <w:color w:val="333333"/>
                <w:sz w:val="18"/>
                <w:szCs w:val="18"/>
              </w:rPr>
              <w:t>TCS and crisaborole should not be used simultaneously on the same lesion</w:t>
            </w:r>
          </w:p>
        </w:tc>
      </w:tr>
      <w:tr w:rsidR="001B5F30" w:rsidRPr="005802E9" w:rsidTr="001B5F30">
        <w:tc>
          <w:tcPr>
            <w:tcW w:w="5000" w:type="pct"/>
            <w:vAlign w:val="center"/>
            <w:hideMark/>
          </w:tcPr>
          <w:p w:rsidR="001B5F30" w:rsidRPr="005802E9" w:rsidRDefault="001B5F30" w:rsidP="001B5F30">
            <w:pPr>
              <w:rPr>
                <w:rFonts w:ascii="Arial Narrow" w:hAnsi="Arial Narrow"/>
                <w:color w:val="333333"/>
                <w:sz w:val="18"/>
                <w:szCs w:val="18"/>
              </w:rPr>
            </w:pPr>
            <w:r w:rsidRPr="005802E9">
              <w:rPr>
                <w:rFonts w:ascii="Arial Narrow" w:hAnsi="Arial Narrow"/>
                <w:b/>
                <w:bCs/>
                <w:color w:val="333333"/>
                <w:sz w:val="18"/>
                <w:szCs w:val="18"/>
              </w:rPr>
              <w:t>Prescribing Instructions:</w:t>
            </w:r>
          </w:p>
          <w:p w:rsidR="001B5F30" w:rsidRPr="005802E9" w:rsidRDefault="001B5F30" w:rsidP="001B5F30">
            <w:pPr>
              <w:rPr>
                <w:rFonts w:ascii="Arial Narrow" w:hAnsi="Arial Narrow"/>
                <w:color w:val="333333"/>
                <w:sz w:val="18"/>
                <w:szCs w:val="18"/>
              </w:rPr>
            </w:pPr>
            <w:r w:rsidRPr="005802E9">
              <w:rPr>
                <w:rFonts w:ascii="Arial Narrow" w:hAnsi="Arial Narrow"/>
                <w:i/>
                <w:color w:val="333333"/>
                <w:sz w:val="18"/>
                <w:szCs w:val="18"/>
              </w:rPr>
              <w:t xml:space="preserve">Intermittent use of TCS should continue, if required, while being treated with crisaborole for this indication. </w:t>
            </w:r>
          </w:p>
          <w:p w:rsidR="001B5F30" w:rsidRPr="005802E9" w:rsidRDefault="007905DB" w:rsidP="001B5F30">
            <w:pPr>
              <w:rPr>
                <w:rFonts w:ascii="Arial Narrow" w:hAnsi="Arial Narrow"/>
                <w:color w:val="333333"/>
                <w:sz w:val="18"/>
                <w:szCs w:val="18"/>
              </w:rPr>
            </w:pPr>
            <w:r>
              <w:rPr>
                <w:rFonts w:ascii="Arial Narrow" w:hAnsi="Arial Narrow"/>
                <w:i/>
                <w:color w:val="333333"/>
                <w:sz w:val="18"/>
                <w:szCs w:val="18"/>
              </w:rPr>
              <w:t>Crisaborole should not be</w:t>
            </w:r>
            <w:r w:rsidR="001B5F30" w:rsidRPr="005802E9">
              <w:rPr>
                <w:rFonts w:ascii="Arial Narrow" w:hAnsi="Arial Narrow"/>
                <w:i/>
                <w:color w:val="333333"/>
                <w:sz w:val="18"/>
                <w:szCs w:val="18"/>
              </w:rPr>
              <w:t xml:space="preserve"> used concomitantly with TCS, </w:t>
            </w:r>
            <w:r w:rsidR="001B5F30" w:rsidRPr="005802E9">
              <w:rPr>
                <w:rFonts w:ascii="Arial Narrow" w:hAnsi="Arial Narrow"/>
                <w:color w:val="333333"/>
                <w:sz w:val="18"/>
                <w:szCs w:val="18"/>
              </w:rPr>
              <w:t xml:space="preserve">topical calcineurin inhibitors (TCI) or systemic corticosteroid; </w:t>
            </w:r>
          </w:p>
          <w:p w:rsidR="001B5F30" w:rsidRPr="005802E9" w:rsidRDefault="001B5F30" w:rsidP="001B5F30">
            <w:pPr>
              <w:spacing w:before="60" w:after="60"/>
              <w:rPr>
                <w:rFonts w:ascii="Arial Narrow" w:hAnsi="Arial Narrow" w:cs="Times New Roman"/>
                <w:color w:val="333333"/>
                <w:sz w:val="18"/>
                <w:szCs w:val="18"/>
              </w:rPr>
            </w:pPr>
            <w:r w:rsidRPr="005802E9">
              <w:rPr>
                <w:rFonts w:ascii="Arial Narrow" w:hAnsi="Arial Narrow" w:cs="Times New Roman"/>
                <w:color w:val="333333"/>
                <w:sz w:val="18"/>
                <w:szCs w:val="18"/>
              </w:rPr>
              <w:t>Treatment should be discontinued if improvement is not maintained after a 3 month period of treatment (i.e AD is clear or almost clear). Once clearance or near clearance of AD is achieved, patients should take a break in crisaborole treatment and reinitiate only if there is a flare of their AD.</w:t>
            </w:r>
          </w:p>
        </w:tc>
      </w:tr>
    </w:tbl>
    <w:p w:rsidR="001B5F30" w:rsidRPr="005802E9" w:rsidRDefault="001B5F30" w:rsidP="001B5F30">
      <w:pPr>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1B5F30" w:rsidRPr="005802E9" w:rsidTr="00E85FC7">
        <w:trPr>
          <w:cantSplit/>
        </w:trPr>
        <w:tc>
          <w:tcPr>
            <w:tcW w:w="5000" w:type="pct"/>
            <w:tcBorders>
              <w:top w:val="single" w:sz="4" w:space="0" w:color="auto"/>
              <w:left w:val="single" w:sz="4" w:space="0" w:color="auto"/>
              <w:bottom w:val="single" w:sz="4" w:space="0" w:color="auto"/>
              <w:right w:val="single" w:sz="4" w:space="0" w:color="auto"/>
            </w:tcBorders>
          </w:tcPr>
          <w:p w:rsidR="001B5F30" w:rsidRPr="005802E9" w:rsidRDefault="001B5F30" w:rsidP="001B5F30">
            <w:pPr>
              <w:rPr>
                <w:rFonts w:ascii="Arial Narrow" w:hAnsi="Arial Narrow"/>
                <w:sz w:val="18"/>
                <w:szCs w:val="18"/>
              </w:rPr>
            </w:pPr>
            <w:r w:rsidRPr="005802E9">
              <w:rPr>
                <w:rFonts w:ascii="Arial Narrow" w:hAnsi="Arial Narrow"/>
                <w:b/>
                <w:sz w:val="18"/>
                <w:szCs w:val="18"/>
              </w:rPr>
              <w:t xml:space="preserve">Category / Program:   </w:t>
            </w:r>
            <w:r w:rsidRPr="005802E9">
              <w:rPr>
                <w:rFonts w:ascii="Arial Narrow" w:hAnsi="Arial Narrow"/>
                <w:sz w:val="18"/>
                <w:szCs w:val="18"/>
              </w:rPr>
              <w:t>GENERAL – General Schedule (Code GE)</w:t>
            </w:r>
          </w:p>
        </w:tc>
      </w:tr>
      <w:tr w:rsidR="001B5F30" w:rsidRPr="005802E9" w:rsidTr="00E85FC7">
        <w:trPr>
          <w:cantSplit/>
          <w:trHeight w:val="240"/>
        </w:trPr>
        <w:tc>
          <w:tcPr>
            <w:tcW w:w="5000" w:type="pct"/>
            <w:tcBorders>
              <w:top w:val="single" w:sz="4" w:space="0" w:color="auto"/>
              <w:left w:val="single" w:sz="4" w:space="0" w:color="auto"/>
              <w:bottom w:val="single" w:sz="4" w:space="0" w:color="auto"/>
              <w:right w:val="single" w:sz="4" w:space="0" w:color="auto"/>
            </w:tcBorders>
          </w:tcPr>
          <w:p w:rsidR="001B5F30" w:rsidRPr="005802E9" w:rsidRDefault="001B5F30" w:rsidP="001B5F30">
            <w:pPr>
              <w:rPr>
                <w:rFonts w:ascii="Arial Narrow" w:hAnsi="Arial Narrow"/>
                <w:b/>
                <w:sz w:val="18"/>
                <w:szCs w:val="18"/>
              </w:rPr>
            </w:pPr>
            <w:r w:rsidRPr="005802E9">
              <w:rPr>
                <w:rFonts w:ascii="Arial Narrow" w:hAnsi="Arial Narrow"/>
                <w:b/>
                <w:sz w:val="18"/>
                <w:szCs w:val="18"/>
              </w:rPr>
              <w:t xml:space="preserve">Prescriber type:   </w:t>
            </w:r>
            <w:r w:rsidRPr="005802E9">
              <w:rPr>
                <w:rFonts w:ascii="Arial Narrow" w:hAnsi="Arial Narrow"/>
                <w:sz w:val="18"/>
                <w:szCs w:val="18"/>
              </w:rPr>
              <w:fldChar w:fldCharType="begin">
                <w:ffData>
                  <w:name w:val="Check1"/>
                  <w:enabled/>
                  <w:calcOnExit w:val="0"/>
                  <w:checkBox>
                    <w:sizeAuto/>
                    <w:default w:val="0"/>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Dental</w:t>
            </w:r>
            <w:r w:rsidR="00F27BD7">
              <w:rPr>
                <w:rFonts w:ascii="Arial Narrow" w:hAnsi="Arial Narrow"/>
                <w:sz w:val="18"/>
                <w:szCs w:val="18"/>
              </w:rPr>
              <w:t xml:space="preserve">  </w:t>
            </w:r>
            <w:r w:rsidRPr="005802E9">
              <w:rPr>
                <w:rFonts w:ascii="Arial Narrow" w:hAnsi="Arial Narrow"/>
                <w:sz w:val="18"/>
                <w:szCs w:val="18"/>
              </w:rPr>
              <w:t xml:space="preserve"> </w:t>
            </w:r>
            <w:r w:rsidRPr="005802E9">
              <w:rPr>
                <w:rFonts w:ascii="Arial Narrow" w:hAnsi="Arial Narrow"/>
                <w:sz w:val="18"/>
                <w:szCs w:val="18"/>
              </w:rPr>
              <w:fldChar w:fldCharType="begin">
                <w:ffData>
                  <w:name w:val=""/>
                  <w:enabled/>
                  <w:calcOnExit w:val="0"/>
                  <w:checkBox>
                    <w:sizeAuto/>
                    <w:default w:val="1"/>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Medical Practitioners</w:t>
            </w:r>
            <w:r w:rsidR="00F27BD7">
              <w:rPr>
                <w:rFonts w:ascii="Arial Narrow" w:hAnsi="Arial Narrow"/>
                <w:sz w:val="18"/>
                <w:szCs w:val="18"/>
              </w:rPr>
              <w:t xml:space="preserve">  </w:t>
            </w:r>
            <w:r w:rsidRPr="005802E9">
              <w:rPr>
                <w:rFonts w:ascii="Arial Narrow" w:hAnsi="Arial Narrow"/>
                <w:sz w:val="18"/>
                <w:szCs w:val="18"/>
              </w:rPr>
              <w:t xml:space="preserve"> </w:t>
            </w:r>
            <w:r w:rsidRPr="005802E9">
              <w:rPr>
                <w:rFonts w:ascii="Arial Narrow" w:hAnsi="Arial Narrow"/>
                <w:sz w:val="18"/>
                <w:szCs w:val="18"/>
              </w:rPr>
              <w:fldChar w:fldCharType="begin">
                <w:ffData>
                  <w:name w:val="Check3"/>
                  <w:enabled/>
                  <w:calcOnExit w:val="0"/>
                  <w:checkBox>
                    <w:sizeAuto/>
                    <w:default w:val="0"/>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Nurse practitioners</w:t>
            </w:r>
            <w:r w:rsidR="00F27BD7">
              <w:rPr>
                <w:rFonts w:ascii="Arial Narrow" w:hAnsi="Arial Narrow"/>
                <w:sz w:val="18"/>
                <w:szCs w:val="18"/>
              </w:rPr>
              <w:t xml:space="preserve"> </w:t>
            </w:r>
            <w:r w:rsidRPr="005802E9">
              <w:rPr>
                <w:rFonts w:ascii="Arial Narrow" w:hAnsi="Arial Narrow"/>
                <w:sz w:val="18"/>
                <w:szCs w:val="18"/>
              </w:rPr>
              <w:t xml:space="preserve">  </w:t>
            </w:r>
            <w:r w:rsidRPr="005802E9">
              <w:rPr>
                <w:rFonts w:ascii="Arial Narrow" w:hAnsi="Arial Narrow"/>
                <w:sz w:val="18"/>
                <w:szCs w:val="18"/>
              </w:rPr>
              <w:fldChar w:fldCharType="begin">
                <w:ffData>
                  <w:name w:val=""/>
                  <w:enabled/>
                  <w:calcOnExit w:val="0"/>
                  <w:checkBox>
                    <w:sizeAuto/>
                    <w:default w:val="0"/>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Optometrists</w:t>
            </w:r>
            <w:r w:rsidR="00F27BD7">
              <w:rPr>
                <w:rFonts w:ascii="Arial Narrow" w:hAnsi="Arial Narrow"/>
                <w:sz w:val="18"/>
                <w:szCs w:val="18"/>
              </w:rPr>
              <w:t xml:space="preserve">  </w:t>
            </w:r>
            <w:r w:rsidRPr="005802E9">
              <w:rPr>
                <w:rFonts w:ascii="Arial Narrow" w:hAnsi="Arial Narrow"/>
                <w:sz w:val="18"/>
                <w:szCs w:val="18"/>
              </w:rPr>
              <w:t xml:space="preserve"> </w:t>
            </w:r>
            <w:r w:rsidRPr="005802E9">
              <w:rPr>
                <w:rFonts w:ascii="Arial Narrow" w:hAnsi="Arial Narrow"/>
                <w:sz w:val="18"/>
                <w:szCs w:val="18"/>
              </w:rPr>
              <w:fldChar w:fldCharType="begin">
                <w:ffData>
                  <w:name w:val="Check5"/>
                  <w:enabled/>
                  <w:calcOnExit w:val="0"/>
                  <w:checkBox>
                    <w:sizeAuto/>
                    <w:default w:val="0"/>
                  </w:checkBox>
                </w:ffData>
              </w:fldChar>
            </w:r>
            <w:r w:rsidRPr="005802E9">
              <w:rPr>
                <w:rFonts w:ascii="Arial Narrow" w:hAnsi="Arial Narrow"/>
                <w:sz w:val="18"/>
                <w:szCs w:val="18"/>
              </w:rPr>
              <w:instrText xml:space="preserve"> FORMCHECKBOX </w:instrText>
            </w:r>
            <w:r w:rsidR="003C2634">
              <w:rPr>
                <w:rFonts w:ascii="Arial Narrow" w:hAnsi="Arial Narrow"/>
                <w:sz w:val="18"/>
                <w:szCs w:val="18"/>
              </w:rPr>
            </w:r>
            <w:r w:rsidR="003C2634">
              <w:rPr>
                <w:rFonts w:ascii="Arial Narrow" w:hAnsi="Arial Narrow"/>
                <w:sz w:val="18"/>
                <w:szCs w:val="18"/>
              </w:rPr>
              <w:fldChar w:fldCharType="separate"/>
            </w:r>
            <w:r w:rsidRPr="005802E9">
              <w:rPr>
                <w:rFonts w:ascii="Arial Narrow" w:hAnsi="Arial Narrow"/>
                <w:sz w:val="18"/>
                <w:szCs w:val="18"/>
              </w:rPr>
              <w:fldChar w:fldCharType="end"/>
            </w:r>
            <w:r w:rsidRPr="005802E9">
              <w:rPr>
                <w:rFonts w:ascii="Arial Narrow" w:hAnsi="Arial Narrow"/>
                <w:sz w:val="18"/>
                <w:szCs w:val="18"/>
              </w:rPr>
              <w:t>Midwives</w:t>
            </w:r>
          </w:p>
        </w:tc>
      </w:tr>
      <w:tr w:rsidR="001B5F30" w:rsidRPr="005802E9" w:rsidTr="00E85FC7">
        <w:trPr>
          <w:cantSplit/>
        </w:trPr>
        <w:tc>
          <w:tcPr>
            <w:tcW w:w="5000" w:type="pct"/>
            <w:tcBorders>
              <w:top w:val="single" w:sz="4" w:space="0" w:color="auto"/>
              <w:left w:val="single" w:sz="4" w:space="0" w:color="auto"/>
              <w:bottom w:val="single" w:sz="4" w:space="0" w:color="auto"/>
              <w:right w:val="single" w:sz="4" w:space="0" w:color="auto"/>
            </w:tcBorders>
          </w:tcPr>
          <w:p w:rsidR="001B5F30" w:rsidRPr="005802E9" w:rsidRDefault="001B5F30" w:rsidP="001B5F30">
            <w:pPr>
              <w:rPr>
                <w:rFonts w:ascii="Arial Narrow" w:hAnsi="Arial Narrow"/>
                <w:b/>
                <w:sz w:val="18"/>
                <w:szCs w:val="18"/>
              </w:rPr>
            </w:pPr>
            <w:r w:rsidRPr="005802E9">
              <w:rPr>
                <w:rFonts w:ascii="Arial Narrow" w:hAnsi="Arial Narrow"/>
                <w:b/>
                <w:sz w:val="18"/>
                <w:szCs w:val="18"/>
              </w:rPr>
              <w:t>Restriction Type – assessment time by Medicare – Method of obtaining authority approval (if Authority Required):</w:t>
            </w:r>
          </w:p>
          <w:p w:rsidR="001B5F30" w:rsidRPr="005802E9" w:rsidRDefault="001B5F30" w:rsidP="001B5F30">
            <w:pPr>
              <w:rPr>
                <w:rFonts w:ascii="Arial Narrow" w:eastAsia="Calibri" w:hAnsi="Arial Narrow"/>
                <w:sz w:val="18"/>
                <w:szCs w:val="18"/>
              </w:rPr>
            </w:pPr>
            <w:r w:rsidRPr="005802E9">
              <w:rPr>
                <w:rFonts w:ascii="Arial Narrow" w:eastAsia="Calibri" w:hAnsi="Arial Narrow"/>
                <w:sz w:val="18"/>
                <w:szCs w:val="18"/>
              </w:rPr>
              <w:fldChar w:fldCharType="begin">
                <w:ffData>
                  <w:name w:val=""/>
                  <w:enabled/>
                  <w:calcOnExit w:val="0"/>
                  <w:checkBox>
                    <w:sizeAuto/>
                    <w:default w:val="1"/>
                  </w:checkBox>
                </w:ffData>
              </w:fldChar>
            </w:r>
            <w:r w:rsidRPr="005802E9">
              <w:rPr>
                <w:rFonts w:ascii="Arial Narrow" w:eastAsia="Calibri" w:hAnsi="Arial Narrow"/>
                <w:sz w:val="18"/>
                <w:szCs w:val="18"/>
              </w:rPr>
              <w:instrText xml:space="preserve"> FORMCHECKBOX </w:instrText>
            </w:r>
            <w:r w:rsidR="003C2634">
              <w:rPr>
                <w:rFonts w:ascii="Arial Narrow" w:eastAsia="Calibri" w:hAnsi="Arial Narrow"/>
                <w:sz w:val="18"/>
                <w:szCs w:val="18"/>
              </w:rPr>
            </w:r>
            <w:r w:rsidR="003C2634">
              <w:rPr>
                <w:rFonts w:ascii="Arial Narrow" w:eastAsia="Calibri" w:hAnsi="Arial Narrow"/>
                <w:sz w:val="18"/>
                <w:szCs w:val="18"/>
              </w:rPr>
              <w:fldChar w:fldCharType="separate"/>
            </w:r>
            <w:r w:rsidRPr="005802E9">
              <w:rPr>
                <w:rFonts w:ascii="Arial Narrow" w:eastAsia="Calibri" w:hAnsi="Arial Narrow"/>
                <w:sz w:val="18"/>
                <w:szCs w:val="18"/>
              </w:rPr>
              <w:fldChar w:fldCharType="end"/>
            </w:r>
            <w:r w:rsidRPr="005802E9">
              <w:rPr>
                <w:rFonts w:ascii="Arial Narrow" w:eastAsia="Calibri" w:hAnsi="Arial Narrow"/>
                <w:sz w:val="18"/>
                <w:szCs w:val="18"/>
              </w:rPr>
              <w:t xml:space="preserve">Authority Required – </w:t>
            </w:r>
          </w:p>
        </w:tc>
      </w:tr>
      <w:tr w:rsidR="001B5F30" w:rsidRPr="005802E9" w:rsidTr="00E85FC7">
        <w:trPr>
          <w:cantSplit/>
        </w:trPr>
        <w:tc>
          <w:tcPr>
            <w:tcW w:w="5000" w:type="pct"/>
            <w:vAlign w:val="center"/>
          </w:tcPr>
          <w:p w:rsidR="001B5F30" w:rsidRPr="005802E9" w:rsidRDefault="001B5F30" w:rsidP="001B5F30">
            <w:pPr>
              <w:rPr>
                <w:rFonts w:ascii="Arial Narrow" w:hAnsi="Arial Narrow"/>
                <w:bCs/>
                <w:strike/>
                <w:color w:val="333333"/>
                <w:sz w:val="18"/>
                <w:szCs w:val="18"/>
              </w:rPr>
            </w:pPr>
            <w:r w:rsidRPr="005802E9">
              <w:rPr>
                <w:rFonts w:ascii="Arial Narrow" w:hAnsi="Arial Narrow"/>
                <w:b/>
                <w:bCs/>
                <w:strike/>
                <w:color w:val="333333"/>
                <w:sz w:val="18"/>
                <w:szCs w:val="18"/>
              </w:rPr>
              <w:t xml:space="preserve">Episodicity: </w:t>
            </w:r>
            <w:r w:rsidRPr="005802E9">
              <w:rPr>
                <w:rFonts w:ascii="Arial Narrow" w:hAnsi="Arial Narrow"/>
                <w:bCs/>
                <w:strike/>
                <w:color w:val="333333"/>
                <w:sz w:val="18"/>
                <w:szCs w:val="18"/>
              </w:rPr>
              <w:t>Acute, intermittent or chronic</w:t>
            </w:r>
          </w:p>
        </w:tc>
      </w:tr>
      <w:tr w:rsidR="001B5F30" w:rsidRPr="005802E9" w:rsidTr="00E85FC7">
        <w:trPr>
          <w:cantSplit/>
        </w:trPr>
        <w:tc>
          <w:tcPr>
            <w:tcW w:w="5000" w:type="pct"/>
            <w:vAlign w:val="center"/>
          </w:tcPr>
          <w:p w:rsidR="001B5F30" w:rsidRPr="005802E9" w:rsidRDefault="001B5F30" w:rsidP="001B5F30">
            <w:pPr>
              <w:rPr>
                <w:rFonts w:ascii="Arial Narrow" w:hAnsi="Arial Narrow"/>
                <w:b/>
                <w:bCs/>
                <w:color w:val="333333"/>
                <w:sz w:val="18"/>
                <w:szCs w:val="18"/>
              </w:rPr>
            </w:pPr>
            <w:r w:rsidRPr="005802E9">
              <w:rPr>
                <w:rFonts w:ascii="Arial Narrow" w:hAnsi="Arial Narrow"/>
                <w:b/>
                <w:bCs/>
                <w:color w:val="333333"/>
                <w:sz w:val="18"/>
                <w:szCs w:val="18"/>
              </w:rPr>
              <w:t xml:space="preserve">Severity: </w:t>
            </w:r>
            <w:r w:rsidRPr="005802E9">
              <w:rPr>
                <w:rFonts w:ascii="Arial Narrow" w:hAnsi="Arial Narrow"/>
                <w:bCs/>
                <w:color w:val="333333"/>
                <w:sz w:val="18"/>
                <w:szCs w:val="18"/>
              </w:rPr>
              <w:t>mild to moderate</w:t>
            </w:r>
          </w:p>
        </w:tc>
      </w:tr>
      <w:tr w:rsidR="001B5F30" w:rsidRPr="005802E9" w:rsidTr="00E85FC7">
        <w:trPr>
          <w:cantSplit/>
        </w:trPr>
        <w:tc>
          <w:tcPr>
            <w:tcW w:w="5000" w:type="pct"/>
            <w:vAlign w:val="center"/>
          </w:tcPr>
          <w:p w:rsidR="001B5F30" w:rsidRPr="005802E9" w:rsidRDefault="001B5F30" w:rsidP="001B5F30">
            <w:pPr>
              <w:rPr>
                <w:rFonts w:ascii="Arial Narrow" w:hAnsi="Arial Narrow"/>
                <w:b/>
                <w:bCs/>
                <w:color w:val="333333"/>
                <w:sz w:val="18"/>
                <w:szCs w:val="18"/>
              </w:rPr>
            </w:pPr>
            <w:r w:rsidRPr="005802E9">
              <w:rPr>
                <w:rFonts w:ascii="Arial Narrow" w:hAnsi="Arial Narrow"/>
                <w:b/>
                <w:bCs/>
                <w:color w:val="333333"/>
                <w:sz w:val="18"/>
                <w:szCs w:val="18"/>
              </w:rPr>
              <w:t xml:space="preserve">Condition: </w:t>
            </w:r>
            <w:r w:rsidRPr="005802E9">
              <w:rPr>
                <w:rFonts w:ascii="Arial Narrow" w:hAnsi="Arial Narrow"/>
                <w:bCs/>
                <w:color w:val="333333"/>
                <w:sz w:val="18"/>
                <w:szCs w:val="18"/>
              </w:rPr>
              <w:t>Atopic dermatitis</w:t>
            </w:r>
          </w:p>
        </w:tc>
      </w:tr>
      <w:tr w:rsidR="001B5F30" w:rsidRPr="005802E9" w:rsidTr="00E85FC7">
        <w:trPr>
          <w:cantSplit/>
        </w:trPr>
        <w:tc>
          <w:tcPr>
            <w:tcW w:w="5000" w:type="pct"/>
            <w:vAlign w:val="center"/>
            <w:hideMark/>
          </w:tcPr>
          <w:p w:rsidR="001B5F30" w:rsidRPr="005802E9" w:rsidRDefault="001B5F30" w:rsidP="001B5F30">
            <w:pPr>
              <w:rPr>
                <w:rFonts w:ascii="Arial Narrow" w:hAnsi="Arial Narrow"/>
                <w:i/>
                <w:color w:val="333333"/>
                <w:sz w:val="18"/>
                <w:szCs w:val="18"/>
              </w:rPr>
            </w:pPr>
            <w:r w:rsidRPr="005802E9">
              <w:rPr>
                <w:rFonts w:ascii="Arial Narrow" w:hAnsi="Arial Narrow"/>
                <w:b/>
                <w:bCs/>
                <w:i/>
                <w:color w:val="333333"/>
                <w:sz w:val="18"/>
                <w:szCs w:val="18"/>
              </w:rPr>
              <w:t>Indication:</w:t>
            </w:r>
            <w:r w:rsidRPr="005802E9">
              <w:rPr>
                <w:rFonts w:ascii="Arial Narrow" w:hAnsi="Arial Narrow"/>
                <w:i/>
                <w:color w:val="333333"/>
                <w:sz w:val="18"/>
                <w:szCs w:val="18"/>
              </w:rPr>
              <w:t xml:space="preserve"> Mild to moderate atopic dermatitis</w:t>
            </w:r>
          </w:p>
        </w:tc>
      </w:tr>
      <w:tr w:rsidR="001B5F30" w:rsidRPr="005802E9" w:rsidTr="00E85FC7">
        <w:trPr>
          <w:cantSplit/>
        </w:trPr>
        <w:tc>
          <w:tcPr>
            <w:tcW w:w="5000" w:type="pct"/>
            <w:vAlign w:val="center"/>
            <w:hideMark/>
          </w:tcPr>
          <w:p w:rsidR="001B5F30" w:rsidRPr="005802E9" w:rsidRDefault="001B5F30" w:rsidP="001B5F30">
            <w:pPr>
              <w:rPr>
                <w:rFonts w:ascii="Arial Narrow" w:hAnsi="Arial Narrow"/>
                <w:color w:val="333333"/>
                <w:sz w:val="18"/>
                <w:szCs w:val="18"/>
              </w:rPr>
            </w:pPr>
            <w:r w:rsidRPr="005802E9">
              <w:rPr>
                <w:rFonts w:ascii="Arial Narrow" w:hAnsi="Arial Narrow"/>
                <w:b/>
                <w:bCs/>
                <w:color w:val="333333"/>
                <w:sz w:val="18"/>
                <w:szCs w:val="18"/>
              </w:rPr>
              <w:t>Treatment Phase:</w:t>
            </w:r>
            <w:r w:rsidRPr="005802E9">
              <w:rPr>
                <w:rFonts w:ascii="Arial Narrow" w:hAnsi="Arial Narrow"/>
                <w:color w:val="333333"/>
                <w:sz w:val="18"/>
                <w:szCs w:val="18"/>
              </w:rPr>
              <w:t xml:space="preserve"> Grandfather</w:t>
            </w:r>
          </w:p>
        </w:tc>
      </w:tr>
      <w:tr w:rsidR="001B5F30" w:rsidRPr="005802E9" w:rsidTr="00E85FC7">
        <w:trPr>
          <w:cantSplit/>
        </w:trPr>
        <w:tc>
          <w:tcPr>
            <w:tcW w:w="5000" w:type="pct"/>
            <w:vAlign w:val="center"/>
            <w:hideMark/>
          </w:tcPr>
          <w:p w:rsidR="001B5F30" w:rsidRPr="005802E9" w:rsidRDefault="001B5F30" w:rsidP="001B5F30">
            <w:pPr>
              <w:rPr>
                <w:rFonts w:ascii="Arial Narrow" w:hAnsi="Arial Narrow"/>
                <w:color w:val="333333"/>
                <w:sz w:val="18"/>
                <w:szCs w:val="18"/>
              </w:rPr>
            </w:pPr>
            <w:r w:rsidRPr="005802E9">
              <w:rPr>
                <w:rFonts w:ascii="Arial Narrow" w:hAnsi="Arial Narrow"/>
                <w:b/>
                <w:bCs/>
                <w:color w:val="333333"/>
                <w:sz w:val="18"/>
                <w:szCs w:val="18"/>
              </w:rPr>
              <w:t>Clinical criteria:</w:t>
            </w:r>
          </w:p>
        </w:tc>
      </w:tr>
      <w:tr w:rsidR="001B5F30" w:rsidRPr="005802E9" w:rsidTr="00E85FC7">
        <w:trPr>
          <w:cantSplit/>
        </w:trPr>
        <w:tc>
          <w:tcPr>
            <w:tcW w:w="5000" w:type="pct"/>
            <w:vAlign w:val="center"/>
            <w:hideMark/>
          </w:tcPr>
          <w:p w:rsidR="001B5F30" w:rsidRPr="005802E9" w:rsidRDefault="001B5F30" w:rsidP="001B5F30">
            <w:pPr>
              <w:spacing w:before="60" w:after="60"/>
              <w:rPr>
                <w:rFonts w:ascii="Arial Narrow" w:hAnsi="Arial Narrow"/>
                <w:sz w:val="20"/>
                <w:szCs w:val="20"/>
              </w:rPr>
            </w:pPr>
            <w:r w:rsidRPr="005802E9">
              <w:rPr>
                <w:rFonts w:ascii="Arial Narrow" w:hAnsi="Arial Narrow"/>
                <w:i/>
                <w:color w:val="333333"/>
                <w:sz w:val="18"/>
                <w:szCs w:val="18"/>
              </w:rPr>
              <w:t>Patient must have</w:t>
            </w:r>
            <w:r w:rsidRPr="005802E9">
              <w:rPr>
                <w:rFonts w:ascii="Arial Narrow" w:hAnsi="Arial Narrow"/>
                <w:color w:val="333333"/>
                <w:sz w:val="18"/>
                <w:szCs w:val="18"/>
              </w:rPr>
              <w:t xml:space="preserve"> </w:t>
            </w:r>
            <w:r w:rsidRPr="005802E9">
              <w:rPr>
                <w:rFonts w:ascii="Arial Narrow" w:hAnsi="Arial Narrow"/>
                <w:strike/>
                <w:color w:val="333333"/>
                <w:sz w:val="18"/>
                <w:szCs w:val="18"/>
              </w:rPr>
              <w:t xml:space="preserve">has </w:t>
            </w:r>
            <w:r w:rsidRPr="005802E9">
              <w:rPr>
                <w:rFonts w:ascii="Arial Narrow" w:hAnsi="Arial Narrow"/>
                <w:color w:val="333333"/>
                <w:sz w:val="18"/>
                <w:szCs w:val="18"/>
              </w:rPr>
              <w:t>responded to initial treatment with non-PBS funded crisaborole treatment (i.e. achieved clearance or near clearance of AD) prior to [PBS listing date]</w:t>
            </w:r>
          </w:p>
        </w:tc>
      </w:tr>
      <w:tr w:rsidR="001B5F30" w:rsidRPr="005802E9" w:rsidTr="00E85FC7">
        <w:trPr>
          <w:cantSplit/>
        </w:trPr>
        <w:tc>
          <w:tcPr>
            <w:tcW w:w="5000" w:type="pct"/>
            <w:vAlign w:val="center"/>
            <w:hideMark/>
          </w:tcPr>
          <w:p w:rsidR="001B5F30" w:rsidRPr="005802E9" w:rsidRDefault="001B5F30" w:rsidP="001B5F30">
            <w:pPr>
              <w:rPr>
                <w:rFonts w:ascii="Arial Narrow" w:hAnsi="Arial Narrow"/>
                <w:color w:val="333333"/>
                <w:sz w:val="18"/>
                <w:szCs w:val="18"/>
              </w:rPr>
            </w:pPr>
            <w:r w:rsidRPr="005802E9">
              <w:rPr>
                <w:rFonts w:ascii="Arial Narrow" w:hAnsi="Arial Narrow"/>
                <w:b/>
                <w:bCs/>
                <w:color w:val="333333"/>
                <w:sz w:val="18"/>
                <w:szCs w:val="18"/>
              </w:rPr>
              <w:t>AND</w:t>
            </w:r>
          </w:p>
        </w:tc>
      </w:tr>
      <w:tr w:rsidR="001B5F30" w:rsidRPr="005802E9" w:rsidTr="00E85FC7">
        <w:trPr>
          <w:cantSplit/>
        </w:trPr>
        <w:tc>
          <w:tcPr>
            <w:tcW w:w="5000" w:type="pct"/>
            <w:vAlign w:val="center"/>
            <w:hideMark/>
          </w:tcPr>
          <w:p w:rsidR="001B5F30" w:rsidRPr="005802E9" w:rsidRDefault="001B5F30" w:rsidP="001B5F30">
            <w:pPr>
              <w:rPr>
                <w:rFonts w:ascii="Arial Narrow" w:hAnsi="Arial Narrow"/>
                <w:color w:val="333333"/>
                <w:sz w:val="18"/>
                <w:szCs w:val="18"/>
              </w:rPr>
            </w:pPr>
            <w:r w:rsidRPr="005802E9">
              <w:rPr>
                <w:rFonts w:ascii="Arial Narrow" w:hAnsi="Arial Narrow"/>
                <w:b/>
                <w:bCs/>
                <w:color w:val="333333"/>
                <w:sz w:val="18"/>
                <w:szCs w:val="18"/>
              </w:rPr>
              <w:t>Clinical criteria:</w:t>
            </w:r>
          </w:p>
        </w:tc>
      </w:tr>
      <w:tr w:rsidR="001B5F30" w:rsidRPr="005802E9" w:rsidTr="00E85FC7">
        <w:trPr>
          <w:cantSplit/>
        </w:trPr>
        <w:tc>
          <w:tcPr>
            <w:tcW w:w="5000" w:type="pct"/>
            <w:vAlign w:val="center"/>
            <w:hideMark/>
          </w:tcPr>
          <w:p w:rsidR="001B5F30" w:rsidRPr="005802E9" w:rsidRDefault="001B5F30" w:rsidP="001B5F30">
            <w:pPr>
              <w:spacing w:before="60" w:after="60"/>
              <w:rPr>
                <w:rFonts w:ascii="Arial Narrow" w:hAnsi="Arial Narrow"/>
                <w:sz w:val="20"/>
                <w:szCs w:val="20"/>
              </w:rPr>
            </w:pPr>
            <w:r w:rsidRPr="005802E9">
              <w:rPr>
                <w:rFonts w:ascii="Arial Narrow" w:hAnsi="Arial Narrow" w:cs="Arial Narrow"/>
                <w:i/>
                <w:iCs/>
                <w:sz w:val="18"/>
                <w:szCs w:val="18"/>
              </w:rPr>
              <w:t xml:space="preserve">The condition must have </w:t>
            </w:r>
            <w:r w:rsidRPr="005802E9">
              <w:rPr>
                <w:rFonts w:ascii="Arial Narrow" w:hAnsi="Arial Narrow"/>
                <w:i/>
                <w:color w:val="333333"/>
                <w:sz w:val="18"/>
                <w:szCs w:val="18"/>
              </w:rPr>
              <w:t>been</w:t>
            </w:r>
            <w:r w:rsidRPr="005802E9">
              <w:rPr>
                <w:rFonts w:ascii="Arial Narrow" w:hAnsi="Arial Narrow"/>
                <w:color w:val="333333"/>
                <w:sz w:val="18"/>
                <w:szCs w:val="18"/>
              </w:rPr>
              <w:t xml:space="preserve"> </w:t>
            </w:r>
            <w:r w:rsidRPr="005802E9">
              <w:rPr>
                <w:rFonts w:ascii="Arial Narrow" w:hAnsi="Arial Narrow"/>
                <w:strike/>
                <w:color w:val="333333"/>
                <w:sz w:val="18"/>
                <w:szCs w:val="18"/>
              </w:rPr>
              <w:t>Patient has</w:t>
            </w:r>
            <w:r w:rsidRPr="005802E9">
              <w:rPr>
                <w:rFonts w:ascii="Arial Narrow" w:hAnsi="Arial Narrow"/>
                <w:color w:val="333333"/>
                <w:sz w:val="18"/>
                <w:szCs w:val="18"/>
              </w:rPr>
              <w:t xml:space="preserve"> mild to moderate atopic dermatitis with erythematous patches and induration/papulation </w:t>
            </w:r>
            <w:r w:rsidRPr="005802E9">
              <w:rPr>
                <w:rFonts w:ascii="Arial Narrow" w:hAnsi="Arial Narrow" w:cs="Arial Narrow"/>
                <w:i/>
                <w:iCs/>
                <w:sz w:val="18"/>
                <w:szCs w:val="18"/>
              </w:rPr>
              <w:t>at initiation of crisaborole</w:t>
            </w:r>
            <w:r w:rsidRPr="005802E9">
              <w:rPr>
                <w:rFonts w:ascii="Arial Narrow" w:hAnsi="Arial Narrow"/>
                <w:color w:val="333333"/>
                <w:sz w:val="18"/>
                <w:szCs w:val="18"/>
              </w:rPr>
              <w:t>;</w:t>
            </w:r>
          </w:p>
        </w:tc>
      </w:tr>
      <w:tr w:rsidR="001B5F30" w:rsidRPr="005802E9" w:rsidTr="00E85FC7">
        <w:trPr>
          <w:cantSplit/>
        </w:trPr>
        <w:tc>
          <w:tcPr>
            <w:tcW w:w="5000" w:type="pct"/>
            <w:vAlign w:val="center"/>
            <w:hideMark/>
          </w:tcPr>
          <w:p w:rsidR="001B5F30" w:rsidRPr="005802E9" w:rsidRDefault="001B5F30" w:rsidP="001B5F30">
            <w:pPr>
              <w:rPr>
                <w:rFonts w:ascii="Arial Narrow" w:hAnsi="Arial Narrow"/>
                <w:color w:val="333333"/>
                <w:sz w:val="18"/>
                <w:szCs w:val="18"/>
              </w:rPr>
            </w:pPr>
            <w:r w:rsidRPr="005802E9">
              <w:rPr>
                <w:rFonts w:ascii="Arial Narrow" w:hAnsi="Arial Narrow"/>
                <w:b/>
                <w:bCs/>
                <w:color w:val="333333"/>
                <w:sz w:val="18"/>
                <w:szCs w:val="18"/>
              </w:rPr>
              <w:t>AND</w:t>
            </w:r>
          </w:p>
        </w:tc>
      </w:tr>
      <w:tr w:rsidR="001B5F30" w:rsidRPr="005802E9" w:rsidTr="00E85FC7">
        <w:trPr>
          <w:cantSplit/>
        </w:trPr>
        <w:tc>
          <w:tcPr>
            <w:tcW w:w="5000" w:type="pct"/>
            <w:vAlign w:val="center"/>
            <w:hideMark/>
          </w:tcPr>
          <w:p w:rsidR="001B5F30" w:rsidRPr="005802E9" w:rsidRDefault="001B5F30" w:rsidP="001B5F30">
            <w:pPr>
              <w:rPr>
                <w:rFonts w:ascii="Arial Narrow" w:hAnsi="Arial Narrow"/>
                <w:color w:val="333333"/>
                <w:sz w:val="18"/>
                <w:szCs w:val="18"/>
              </w:rPr>
            </w:pPr>
            <w:r w:rsidRPr="005802E9">
              <w:rPr>
                <w:rFonts w:ascii="Arial Narrow" w:hAnsi="Arial Narrow"/>
                <w:b/>
                <w:bCs/>
                <w:color w:val="333333"/>
                <w:sz w:val="18"/>
                <w:szCs w:val="18"/>
              </w:rPr>
              <w:t>Clinical criteria:</w:t>
            </w:r>
          </w:p>
        </w:tc>
      </w:tr>
      <w:tr w:rsidR="001B5F30" w:rsidRPr="005802E9" w:rsidTr="00E85FC7">
        <w:trPr>
          <w:cantSplit/>
        </w:trPr>
        <w:tc>
          <w:tcPr>
            <w:tcW w:w="5000" w:type="pct"/>
            <w:vAlign w:val="center"/>
            <w:hideMark/>
          </w:tcPr>
          <w:p w:rsidR="001B5F30" w:rsidRPr="005802E9" w:rsidRDefault="001B5F30" w:rsidP="001B5F30">
            <w:pPr>
              <w:rPr>
                <w:rFonts w:ascii="Arial Narrow" w:hAnsi="Arial Narrow"/>
                <w:color w:val="333333"/>
                <w:sz w:val="18"/>
                <w:szCs w:val="18"/>
              </w:rPr>
            </w:pPr>
            <w:r w:rsidRPr="005802E9">
              <w:rPr>
                <w:rFonts w:ascii="Arial Narrow" w:hAnsi="Arial Narrow" w:cs="Arial Narrow"/>
                <w:i/>
                <w:iCs/>
                <w:sz w:val="18"/>
                <w:szCs w:val="18"/>
              </w:rPr>
              <w:t xml:space="preserve">Patient must have </w:t>
            </w:r>
            <w:r w:rsidRPr="005802E9">
              <w:rPr>
                <w:rFonts w:ascii="Arial Narrow" w:hAnsi="Arial Narrow" w:cs="Arial Narrow"/>
                <w:iCs/>
                <w:strike/>
                <w:sz w:val="18"/>
                <w:szCs w:val="18"/>
              </w:rPr>
              <w:t>Patient</w:t>
            </w:r>
            <w:r w:rsidRPr="005802E9">
              <w:rPr>
                <w:rFonts w:ascii="Arial Narrow" w:hAnsi="Arial Narrow"/>
                <w:strike/>
                <w:color w:val="333333"/>
                <w:sz w:val="18"/>
                <w:szCs w:val="18"/>
              </w:rPr>
              <w:t xml:space="preserve"> has not</w:t>
            </w:r>
            <w:r w:rsidRPr="005802E9">
              <w:rPr>
                <w:rFonts w:ascii="Arial Narrow" w:hAnsi="Arial Narrow"/>
                <w:color w:val="333333"/>
                <w:sz w:val="18"/>
                <w:szCs w:val="18"/>
              </w:rPr>
              <w:t xml:space="preserve"> had an</w:t>
            </w:r>
            <w:r w:rsidRPr="005802E9">
              <w:rPr>
                <w:rFonts w:ascii="Arial Narrow" w:hAnsi="Arial Narrow"/>
                <w:i/>
                <w:color w:val="333333"/>
                <w:sz w:val="18"/>
                <w:szCs w:val="18"/>
              </w:rPr>
              <w:t xml:space="preserve"> in</w:t>
            </w:r>
            <w:r w:rsidRPr="005802E9">
              <w:rPr>
                <w:rFonts w:ascii="Arial Narrow" w:hAnsi="Arial Narrow"/>
                <w:color w:val="333333"/>
                <w:sz w:val="18"/>
                <w:szCs w:val="18"/>
              </w:rPr>
              <w:t xml:space="preserve">adequate response to maximum tolerated doses of  topical corticosteroid (TCS) including intermittent use of TCS  </w:t>
            </w:r>
          </w:p>
          <w:p w:rsidR="001B5F30" w:rsidRPr="005802E9" w:rsidRDefault="001B5F30" w:rsidP="001B5F30">
            <w:pPr>
              <w:rPr>
                <w:rFonts w:ascii="Arial Narrow" w:hAnsi="Arial Narrow"/>
                <w:color w:val="333333"/>
                <w:sz w:val="18"/>
                <w:szCs w:val="18"/>
              </w:rPr>
            </w:pPr>
            <w:r w:rsidRPr="005802E9">
              <w:rPr>
                <w:rFonts w:ascii="Arial Narrow" w:hAnsi="Arial Narrow"/>
                <w:color w:val="333333"/>
                <w:sz w:val="18"/>
                <w:szCs w:val="18"/>
              </w:rPr>
              <w:t>OR</w:t>
            </w:r>
          </w:p>
          <w:p w:rsidR="001B5F30" w:rsidRPr="005802E9" w:rsidRDefault="001B5F30" w:rsidP="001B5F30">
            <w:pPr>
              <w:spacing w:before="60" w:after="60"/>
              <w:rPr>
                <w:rFonts w:ascii="Arial Narrow" w:hAnsi="Arial Narrow"/>
                <w:color w:val="333333"/>
                <w:sz w:val="18"/>
                <w:szCs w:val="18"/>
              </w:rPr>
            </w:pPr>
            <w:r w:rsidRPr="005802E9">
              <w:rPr>
                <w:rFonts w:ascii="Arial Narrow" w:hAnsi="Arial Narrow"/>
                <w:color w:val="333333"/>
                <w:sz w:val="18"/>
                <w:szCs w:val="18"/>
              </w:rPr>
              <w:t xml:space="preserve">Patient </w:t>
            </w:r>
            <w:r w:rsidRPr="005802E9">
              <w:rPr>
                <w:rFonts w:ascii="Arial Narrow" w:hAnsi="Arial Narrow"/>
                <w:i/>
                <w:color w:val="333333"/>
                <w:sz w:val="18"/>
                <w:szCs w:val="18"/>
              </w:rPr>
              <w:t>must be</w:t>
            </w:r>
            <w:r w:rsidRPr="005802E9">
              <w:rPr>
                <w:rFonts w:ascii="Arial Narrow" w:hAnsi="Arial Narrow"/>
                <w:color w:val="333333"/>
                <w:sz w:val="18"/>
                <w:szCs w:val="18"/>
              </w:rPr>
              <w:t xml:space="preserve"> </w:t>
            </w:r>
            <w:r w:rsidRPr="005802E9">
              <w:rPr>
                <w:rFonts w:ascii="Arial Narrow" w:hAnsi="Arial Narrow"/>
                <w:strike/>
                <w:color w:val="333333"/>
                <w:sz w:val="18"/>
                <w:szCs w:val="18"/>
              </w:rPr>
              <w:t>is</w:t>
            </w:r>
            <w:r w:rsidRPr="005802E9">
              <w:rPr>
                <w:rFonts w:ascii="Arial Narrow" w:hAnsi="Arial Narrow"/>
                <w:color w:val="333333"/>
                <w:sz w:val="18"/>
                <w:szCs w:val="18"/>
              </w:rPr>
              <w:t xml:space="preserve"> intolerant to TCS treatment for this condition; OR</w:t>
            </w:r>
          </w:p>
          <w:p w:rsidR="001B5F30" w:rsidRPr="005802E9" w:rsidRDefault="001B5F30" w:rsidP="001B5F30">
            <w:pPr>
              <w:rPr>
                <w:rFonts w:ascii="Arial Narrow" w:hAnsi="Arial Narrow"/>
                <w:i/>
                <w:color w:val="333333"/>
                <w:sz w:val="18"/>
                <w:szCs w:val="18"/>
              </w:rPr>
            </w:pPr>
            <w:r w:rsidRPr="005802E9">
              <w:rPr>
                <w:rFonts w:ascii="Arial Narrow" w:hAnsi="Arial Narrow"/>
                <w:color w:val="333333"/>
                <w:sz w:val="18"/>
                <w:szCs w:val="18"/>
              </w:rPr>
              <w:t xml:space="preserve">Patient </w:t>
            </w:r>
            <w:r w:rsidRPr="005802E9">
              <w:rPr>
                <w:rFonts w:ascii="Arial Narrow" w:hAnsi="Arial Narrow"/>
                <w:i/>
                <w:color w:val="333333"/>
                <w:sz w:val="18"/>
                <w:szCs w:val="18"/>
              </w:rPr>
              <w:t>must be</w:t>
            </w:r>
            <w:r w:rsidRPr="005802E9">
              <w:rPr>
                <w:rFonts w:ascii="Arial Narrow" w:hAnsi="Arial Narrow"/>
                <w:color w:val="333333"/>
                <w:sz w:val="18"/>
                <w:szCs w:val="18"/>
              </w:rPr>
              <w:t xml:space="preserve"> </w:t>
            </w:r>
            <w:r w:rsidRPr="005802E9">
              <w:rPr>
                <w:rFonts w:ascii="Arial Narrow" w:hAnsi="Arial Narrow"/>
                <w:strike/>
                <w:color w:val="333333"/>
                <w:sz w:val="18"/>
                <w:szCs w:val="18"/>
              </w:rPr>
              <w:t>is</w:t>
            </w:r>
            <w:r w:rsidRPr="005802E9">
              <w:rPr>
                <w:rFonts w:ascii="Arial Narrow" w:hAnsi="Arial Narrow"/>
                <w:color w:val="333333"/>
                <w:sz w:val="18"/>
                <w:szCs w:val="18"/>
              </w:rPr>
              <w:t xml:space="preserve"> contraindicated to TCS treatment for this condition; </w:t>
            </w:r>
          </w:p>
        </w:tc>
      </w:tr>
      <w:tr w:rsidR="001B5F30" w:rsidRPr="005802E9" w:rsidTr="00E85FC7">
        <w:trPr>
          <w:cantSplit/>
        </w:trPr>
        <w:tc>
          <w:tcPr>
            <w:tcW w:w="5000" w:type="pct"/>
            <w:vAlign w:val="center"/>
            <w:hideMark/>
          </w:tcPr>
          <w:p w:rsidR="001B5F30" w:rsidRPr="005802E9" w:rsidRDefault="001B5F30" w:rsidP="001B5F30">
            <w:pPr>
              <w:rPr>
                <w:rFonts w:ascii="Arial Narrow" w:hAnsi="Arial Narrow"/>
                <w:strike/>
                <w:color w:val="333333"/>
                <w:sz w:val="18"/>
                <w:szCs w:val="18"/>
              </w:rPr>
            </w:pPr>
            <w:r w:rsidRPr="005802E9">
              <w:rPr>
                <w:rFonts w:ascii="Arial Narrow" w:hAnsi="Arial Narrow"/>
                <w:b/>
                <w:bCs/>
                <w:strike/>
                <w:color w:val="333333"/>
                <w:sz w:val="18"/>
                <w:szCs w:val="18"/>
              </w:rPr>
              <w:t>AND</w:t>
            </w:r>
          </w:p>
        </w:tc>
      </w:tr>
      <w:tr w:rsidR="001B5F30" w:rsidRPr="005802E9" w:rsidTr="00E85FC7">
        <w:trPr>
          <w:cantSplit/>
        </w:trPr>
        <w:tc>
          <w:tcPr>
            <w:tcW w:w="5000" w:type="pct"/>
            <w:vAlign w:val="center"/>
            <w:hideMark/>
          </w:tcPr>
          <w:p w:rsidR="001B5F30" w:rsidRPr="005802E9" w:rsidRDefault="001B5F30" w:rsidP="001B5F30">
            <w:pPr>
              <w:rPr>
                <w:rFonts w:ascii="Arial Narrow" w:hAnsi="Arial Narrow"/>
                <w:strike/>
                <w:color w:val="333333"/>
                <w:sz w:val="18"/>
                <w:szCs w:val="18"/>
              </w:rPr>
            </w:pPr>
            <w:r w:rsidRPr="005802E9">
              <w:rPr>
                <w:rFonts w:ascii="Arial Narrow" w:hAnsi="Arial Narrow"/>
                <w:b/>
                <w:bCs/>
                <w:strike/>
                <w:color w:val="333333"/>
                <w:sz w:val="18"/>
                <w:szCs w:val="18"/>
              </w:rPr>
              <w:t>Treatment criteria:</w:t>
            </w:r>
          </w:p>
        </w:tc>
      </w:tr>
      <w:tr w:rsidR="001B5F30" w:rsidRPr="005802E9" w:rsidTr="00E85FC7">
        <w:trPr>
          <w:cantSplit/>
        </w:trPr>
        <w:tc>
          <w:tcPr>
            <w:tcW w:w="5000" w:type="pct"/>
            <w:vAlign w:val="center"/>
            <w:hideMark/>
          </w:tcPr>
          <w:p w:rsidR="001B5F30" w:rsidRPr="005802E9" w:rsidRDefault="001B5F30" w:rsidP="001B5F30">
            <w:pPr>
              <w:spacing w:before="60" w:after="60"/>
              <w:rPr>
                <w:rFonts w:ascii="Arial Narrow" w:hAnsi="Arial Narrow" w:cs="Times New Roman"/>
                <w:strike/>
                <w:color w:val="333333"/>
                <w:sz w:val="18"/>
                <w:szCs w:val="18"/>
              </w:rPr>
            </w:pPr>
            <w:r w:rsidRPr="005802E9">
              <w:rPr>
                <w:rFonts w:ascii="Arial Narrow" w:hAnsi="Arial Narrow" w:cs="Times New Roman"/>
                <w:strike/>
                <w:color w:val="333333"/>
                <w:sz w:val="18"/>
                <w:szCs w:val="18"/>
              </w:rPr>
              <w:t>Treatment with TCS should continue if intermittent TCS can be used; AND</w:t>
            </w:r>
          </w:p>
          <w:p w:rsidR="001B5F30" w:rsidRPr="005802E9" w:rsidRDefault="001B5F30" w:rsidP="001B5F30">
            <w:pPr>
              <w:spacing w:before="60" w:after="60"/>
              <w:rPr>
                <w:rFonts w:ascii="Arial Narrow" w:hAnsi="Arial Narrow" w:cs="Times New Roman"/>
                <w:strike/>
                <w:color w:val="333333"/>
                <w:sz w:val="18"/>
                <w:szCs w:val="18"/>
              </w:rPr>
            </w:pPr>
            <w:r w:rsidRPr="005802E9">
              <w:rPr>
                <w:rFonts w:ascii="Arial Narrow" w:hAnsi="Arial Narrow" w:cs="Times New Roman"/>
                <w:strike/>
                <w:color w:val="333333"/>
                <w:sz w:val="18"/>
                <w:szCs w:val="18"/>
              </w:rPr>
              <w:t>In these patients crisaborole should only be used in periods where a break in TCS treatment is necessary to avoid intolerance and problematic adverse effects (e.g., atrophy of the skin, infection of the skin, contact allergy, and/or systemic effects); AND</w:t>
            </w:r>
          </w:p>
          <w:p w:rsidR="001B5F30" w:rsidRPr="007905DB" w:rsidRDefault="001B5F30" w:rsidP="001B5F30">
            <w:pPr>
              <w:autoSpaceDE w:val="0"/>
              <w:autoSpaceDN w:val="0"/>
              <w:adjustRightInd w:val="0"/>
              <w:rPr>
                <w:rFonts w:ascii="Arial Narrow" w:hAnsi="Arial Narrow" w:cs="Arial Narrow"/>
                <w:i/>
                <w:iCs/>
                <w:strike/>
                <w:sz w:val="20"/>
                <w:szCs w:val="20"/>
              </w:rPr>
            </w:pPr>
            <w:r w:rsidRPr="007905DB">
              <w:rPr>
                <w:rFonts w:ascii="Arial Narrow" w:hAnsi="Arial Narrow"/>
                <w:strike/>
                <w:color w:val="333333"/>
                <w:sz w:val="18"/>
                <w:szCs w:val="18"/>
              </w:rPr>
              <w:t>TCS and crisaborole should not be used simultaneously on the same lesion.</w:t>
            </w:r>
          </w:p>
        </w:tc>
      </w:tr>
      <w:tr w:rsidR="001B5F30" w:rsidRPr="005802E9" w:rsidTr="00E85FC7">
        <w:trPr>
          <w:cantSplit/>
        </w:trPr>
        <w:tc>
          <w:tcPr>
            <w:tcW w:w="5000" w:type="pct"/>
            <w:vAlign w:val="center"/>
            <w:hideMark/>
          </w:tcPr>
          <w:p w:rsidR="001B5F30" w:rsidRPr="005802E9" w:rsidRDefault="001B5F30" w:rsidP="001B5F30">
            <w:pPr>
              <w:rPr>
                <w:rFonts w:ascii="Arial Narrow" w:hAnsi="Arial Narrow"/>
                <w:color w:val="333333"/>
                <w:sz w:val="18"/>
                <w:szCs w:val="18"/>
              </w:rPr>
            </w:pPr>
            <w:r w:rsidRPr="005802E9">
              <w:rPr>
                <w:rFonts w:ascii="Arial Narrow" w:hAnsi="Arial Narrow"/>
                <w:b/>
                <w:bCs/>
                <w:color w:val="333333"/>
                <w:sz w:val="18"/>
                <w:szCs w:val="18"/>
              </w:rPr>
              <w:t>AND</w:t>
            </w:r>
          </w:p>
        </w:tc>
      </w:tr>
      <w:tr w:rsidR="001B5F30" w:rsidRPr="005802E9" w:rsidTr="00E85FC7">
        <w:trPr>
          <w:cantSplit/>
        </w:trPr>
        <w:tc>
          <w:tcPr>
            <w:tcW w:w="5000" w:type="pct"/>
            <w:vAlign w:val="center"/>
          </w:tcPr>
          <w:p w:rsidR="001B5F30" w:rsidRPr="005802E9" w:rsidRDefault="001B5F30" w:rsidP="001B5F30">
            <w:pPr>
              <w:rPr>
                <w:rFonts w:ascii="Arial Narrow" w:hAnsi="Arial Narrow"/>
                <w:b/>
                <w:bCs/>
                <w:color w:val="333333"/>
                <w:sz w:val="18"/>
                <w:szCs w:val="18"/>
              </w:rPr>
            </w:pPr>
            <w:r w:rsidRPr="005802E9">
              <w:rPr>
                <w:rFonts w:ascii="Arial Narrow" w:hAnsi="Arial Narrow"/>
                <w:b/>
                <w:bCs/>
                <w:color w:val="333333"/>
                <w:sz w:val="18"/>
                <w:szCs w:val="18"/>
              </w:rPr>
              <w:t>Population criteria:</w:t>
            </w:r>
          </w:p>
        </w:tc>
      </w:tr>
      <w:tr w:rsidR="001B5F30" w:rsidRPr="005802E9" w:rsidTr="00E85FC7">
        <w:trPr>
          <w:cantSplit/>
        </w:trPr>
        <w:tc>
          <w:tcPr>
            <w:tcW w:w="5000" w:type="pct"/>
            <w:vAlign w:val="center"/>
          </w:tcPr>
          <w:p w:rsidR="001B5F30" w:rsidRPr="005802E9" w:rsidRDefault="001B5F30" w:rsidP="001B5F30">
            <w:pPr>
              <w:rPr>
                <w:rFonts w:ascii="Arial Narrow" w:hAnsi="Arial Narrow"/>
                <w:color w:val="333333"/>
                <w:sz w:val="18"/>
                <w:szCs w:val="18"/>
              </w:rPr>
            </w:pPr>
            <w:r w:rsidRPr="005802E9">
              <w:rPr>
                <w:rFonts w:ascii="Arial Narrow" w:hAnsi="Arial Narrow"/>
                <w:color w:val="333333"/>
                <w:sz w:val="18"/>
                <w:szCs w:val="18"/>
              </w:rPr>
              <w:t>Patient must be aged ≥2 years</w:t>
            </w:r>
          </w:p>
        </w:tc>
      </w:tr>
      <w:tr w:rsidR="001B5F30" w:rsidRPr="005802E9" w:rsidTr="00E85FC7">
        <w:trPr>
          <w:cantSplit/>
        </w:trPr>
        <w:tc>
          <w:tcPr>
            <w:tcW w:w="5000" w:type="pct"/>
            <w:vAlign w:val="center"/>
          </w:tcPr>
          <w:p w:rsidR="001B5F30" w:rsidRPr="005802E9" w:rsidRDefault="001B5F30" w:rsidP="001B5F30">
            <w:pPr>
              <w:rPr>
                <w:rFonts w:ascii="Arial Narrow" w:hAnsi="Arial Narrow"/>
                <w:b/>
                <w:color w:val="333333"/>
                <w:sz w:val="18"/>
                <w:szCs w:val="18"/>
              </w:rPr>
            </w:pPr>
            <w:r w:rsidRPr="005802E9">
              <w:rPr>
                <w:rFonts w:ascii="Arial Narrow" w:hAnsi="Arial Narrow"/>
                <w:b/>
                <w:color w:val="333333"/>
                <w:sz w:val="18"/>
                <w:szCs w:val="18"/>
              </w:rPr>
              <w:t>AND</w:t>
            </w:r>
          </w:p>
        </w:tc>
      </w:tr>
      <w:tr w:rsidR="001B5F30" w:rsidRPr="005802E9" w:rsidTr="00E85FC7">
        <w:trPr>
          <w:cantSplit/>
        </w:trPr>
        <w:tc>
          <w:tcPr>
            <w:tcW w:w="5000" w:type="pct"/>
            <w:vAlign w:val="center"/>
            <w:hideMark/>
          </w:tcPr>
          <w:p w:rsidR="001B5F30" w:rsidRPr="005802E9" w:rsidRDefault="001B5F30" w:rsidP="001B5F30">
            <w:pPr>
              <w:rPr>
                <w:rFonts w:ascii="Arial Narrow" w:hAnsi="Arial Narrow"/>
                <w:color w:val="333333"/>
                <w:sz w:val="18"/>
                <w:szCs w:val="18"/>
              </w:rPr>
            </w:pPr>
            <w:r w:rsidRPr="005802E9">
              <w:rPr>
                <w:rFonts w:ascii="Arial Narrow" w:hAnsi="Arial Narrow"/>
                <w:b/>
                <w:bCs/>
                <w:color w:val="333333"/>
                <w:sz w:val="18"/>
                <w:szCs w:val="18"/>
              </w:rPr>
              <w:lastRenderedPageBreak/>
              <w:t>Prescribing Instructions:</w:t>
            </w:r>
          </w:p>
          <w:p w:rsidR="00E035D7" w:rsidRPr="005802E9" w:rsidRDefault="00E035D7" w:rsidP="00E035D7">
            <w:pPr>
              <w:widowControl w:val="0"/>
              <w:rPr>
                <w:rFonts w:ascii="Arial Narrow" w:hAnsi="Arial Narrow"/>
                <w:color w:val="333333"/>
                <w:sz w:val="18"/>
                <w:szCs w:val="18"/>
              </w:rPr>
            </w:pPr>
            <w:r w:rsidRPr="005802E9">
              <w:rPr>
                <w:rFonts w:ascii="Arial Narrow" w:hAnsi="Arial Narrow"/>
                <w:i/>
                <w:color w:val="333333"/>
                <w:sz w:val="18"/>
                <w:szCs w:val="18"/>
              </w:rPr>
              <w:t xml:space="preserve">Intermittent use of TCS should continue, if required, while being treated with crisaborole for this indication. </w:t>
            </w:r>
          </w:p>
          <w:p w:rsidR="00E035D7" w:rsidRPr="005802E9" w:rsidRDefault="00E035D7" w:rsidP="00E035D7">
            <w:pPr>
              <w:widowControl w:val="0"/>
              <w:rPr>
                <w:rFonts w:ascii="Arial Narrow" w:hAnsi="Arial Narrow"/>
                <w:color w:val="333333"/>
                <w:sz w:val="18"/>
                <w:szCs w:val="18"/>
              </w:rPr>
            </w:pPr>
            <w:r w:rsidRPr="005802E9">
              <w:rPr>
                <w:rFonts w:ascii="Arial Narrow" w:hAnsi="Arial Narrow"/>
                <w:i/>
                <w:color w:val="333333"/>
                <w:sz w:val="18"/>
                <w:szCs w:val="18"/>
              </w:rPr>
              <w:t>C</w:t>
            </w:r>
            <w:r w:rsidR="007905DB">
              <w:rPr>
                <w:rFonts w:ascii="Arial Narrow" w:hAnsi="Arial Narrow"/>
                <w:i/>
                <w:color w:val="333333"/>
                <w:sz w:val="18"/>
                <w:szCs w:val="18"/>
              </w:rPr>
              <w:t xml:space="preserve">risaborole should not be used </w:t>
            </w:r>
            <w:r w:rsidRPr="005802E9">
              <w:rPr>
                <w:rFonts w:ascii="Arial Narrow" w:hAnsi="Arial Narrow"/>
                <w:i/>
                <w:color w:val="333333"/>
                <w:sz w:val="18"/>
                <w:szCs w:val="18"/>
              </w:rPr>
              <w:t xml:space="preserve">concomitantly with TCS, </w:t>
            </w:r>
            <w:r w:rsidRPr="005802E9">
              <w:rPr>
                <w:rFonts w:ascii="Arial Narrow" w:hAnsi="Arial Narrow"/>
                <w:color w:val="333333"/>
                <w:sz w:val="18"/>
                <w:szCs w:val="18"/>
              </w:rPr>
              <w:t xml:space="preserve">topical calcineurin inhibitors (TCI) or systemic corticosteroid; </w:t>
            </w:r>
          </w:p>
          <w:p w:rsidR="001B5F30" w:rsidRPr="005802E9" w:rsidRDefault="001B5F30" w:rsidP="001B5F30">
            <w:pPr>
              <w:spacing w:before="60" w:after="60"/>
              <w:rPr>
                <w:rFonts w:ascii="Arial Narrow" w:hAnsi="Arial Narrow" w:cs="Times New Roman"/>
                <w:color w:val="333333"/>
                <w:sz w:val="18"/>
                <w:szCs w:val="18"/>
              </w:rPr>
            </w:pPr>
            <w:r w:rsidRPr="005802E9">
              <w:rPr>
                <w:rFonts w:ascii="Arial Narrow" w:hAnsi="Arial Narrow" w:cs="Times New Roman"/>
                <w:color w:val="333333"/>
                <w:sz w:val="18"/>
                <w:szCs w:val="18"/>
              </w:rPr>
              <w:t>Treatment should be discontinued if improvement is not maintained after a 3 month period of treatment (i.e AD is clear or almost clear). Once clearance or near clearance of AD is achieved, patients should take a break in crisaborole treatment and reinitiate only if there is a flare of their AD.</w:t>
            </w:r>
          </w:p>
        </w:tc>
      </w:tr>
    </w:tbl>
    <w:p w:rsidR="00330CC4" w:rsidRPr="005802E9" w:rsidRDefault="00330CC4" w:rsidP="004B1CB4"/>
    <w:p w:rsidR="00591957" w:rsidRPr="005802E9" w:rsidRDefault="00330CC4" w:rsidP="004E18E9">
      <w:pPr>
        <w:pStyle w:val="ExecSumBodyText"/>
      </w:pPr>
      <w:r w:rsidRPr="005802E9">
        <w:t xml:space="preserve">The proposed price for the 60 g tube </w:t>
      </w:r>
      <w:r w:rsidR="005A630B" w:rsidRPr="005802E9">
        <w:t>($</w:t>
      </w:r>
      <w:r w:rsidR="00EC0E44">
        <w:rPr>
          <w:noProof/>
          <w:color w:val="000000"/>
          <w:highlight w:val="black"/>
        </w:rPr>
        <w:t>''''''''''''''</w:t>
      </w:r>
      <w:r w:rsidR="005A630B" w:rsidRPr="005802E9">
        <w:t xml:space="preserve">) </w:t>
      </w:r>
      <w:r w:rsidRPr="005802E9">
        <w:t>was similar to the price proposed in the previous submission (DPMQ $</w:t>
      </w:r>
      <w:r w:rsidR="00EC0E44">
        <w:rPr>
          <w:noProof/>
          <w:color w:val="000000"/>
          <w:highlight w:val="black"/>
        </w:rPr>
        <w:t>''''''''''''</w:t>
      </w:r>
      <w:r w:rsidRPr="005802E9">
        <w:t>). No special pricing arrangement was proposed in the resubmission.</w:t>
      </w:r>
    </w:p>
    <w:p w:rsidR="00330CC4" w:rsidRPr="005802E9" w:rsidRDefault="00330CC4" w:rsidP="00330CC4">
      <w:pPr>
        <w:pStyle w:val="ExecSumBodyText"/>
        <w:rPr>
          <w:i/>
        </w:rPr>
      </w:pPr>
      <w:r w:rsidRPr="005802E9">
        <w:t xml:space="preserve">The resubmission proposed initial and continuing </w:t>
      </w:r>
      <w:r w:rsidR="005A630B" w:rsidRPr="005802E9">
        <w:t xml:space="preserve">restrictions </w:t>
      </w:r>
      <w:r w:rsidRPr="005802E9">
        <w:t xml:space="preserve">including stopping rules </w:t>
      </w:r>
      <w:r w:rsidR="005A630B" w:rsidRPr="005802E9">
        <w:t>to attempt to</w:t>
      </w:r>
      <w:r w:rsidRPr="005802E9">
        <w:t xml:space="preserve"> reduce the risk of continued use in patients who are not responding to treatment with crisaborole. The proposed restriction was complex and may be difficult to implement in practice due to subjectivity in definitions of response. In general, PBS-listed topical corticosteroids do not have initial and continuing </w:t>
      </w:r>
      <w:r w:rsidR="005A630B" w:rsidRPr="005802E9">
        <w:t xml:space="preserve">restrictions </w:t>
      </w:r>
      <w:r w:rsidRPr="005802E9">
        <w:t xml:space="preserve">but tend to vary in restricted quantities depending on the amount required based on affected body surface area. </w:t>
      </w:r>
      <w:r w:rsidR="007C5788" w:rsidRPr="005802E9">
        <w:t>The PSCR argued that the restriction makes it clear that only patients achieving clearance or near clearance of treated lesions are eligible for continuing treatment and that this endpoint (ISGA</w:t>
      </w:r>
      <w:r w:rsidR="007C5788" w:rsidRPr="005802E9">
        <w:rPr>
          <w:rFonts w:cstheme="minorHAnsi"/>
        </w:rPr>
        <w:t>≤</w:t>
      </w:r>
      <w:r w:rsidR="007C5788" w:rsidRPr="005802E9">
        <w:t>1) is not difficult for clinicians to ascertain.</w:t>
      </w:r>
    </w:p>
    <w:p w:rsidR="00F67A69" w:rsidRPr="005802E9" w:rsidRDefault="00330CC4" w:rsidP="00330CC4">
      <w:pPr>
        <w:pStyle w:val="ExecSumBodyText"/>
      </w:pPr>
      <w:r w:rsidRPr="005802E9">
        <w:t xml:space="preserve">There was inadequate justification provided for the differing quantities between the initial (30 g) and continuing (60 g) </w:t>
      </w:r>
      <w:r w:rsidR="005A630B" w:rsidRPr="005802E9">
        <w:t xml:space="preserve">restrictions </w:t>
      </w:r>
      <w:r w:rsidRPr="005802E9">
        <w:t>in the resubmission. The proposed amounts for both restrictions were inconsistent with trial data suggesting initial use of 3 x 60 g tubes over 4 weeks based on the key trials (AD-301 and AD-302) and continuing use of 2 x 60 g tubes in the extension study (AD-303) during 4-week on-treatment periods.</w:t>
      </w:r>
    </w:p>
    <w:p w:rsidR="00330CC4" w:rsidRPr="005802E9" w:rsidRDefault="00330CC4" w:rsidP="00330CC4">
      <w:pPr>
        <w:pStyle w:val="ExecSumBodyText"/>
      </w:pPr>
      <w:r w:rsidRPr="005802E9">
        <w:t>The requested quantity of repeats was also inadequately justified. The total quantity supplied for each continuing script including repeats (3 x 60 g tubes) would potentially allow for 4 weeks of continuous treatment based on average use reported in the key trials and was in excess of average use reported in the extension study (2 x 60 g tubes). In general, PBS-listed weak topical corticosteroids (e.g. hydrocortisone 1%, 30 g and 50 g preparations) are restricted to a maximum quantity of 1 tube and 1 repeat</w:t>
      </w:r>
      <w:r w:rsidR="005802E9">
        <w:t xml:space="preserve">. </w:t>
      </w:r>
    </w:p>
    <w:p w:rsidR="00330CC4" w:rsidRPr="005802E9" w:rsidRDefault="00330CC4" w:rsidP="00912416">
      <w:pPr>
        <w:pStyle w:val="ExecSumBodyText"/>
      </w:pPr>
      <w:r w:rsidRPr="005802E9">
        <w:t xml:space="preserve">The proposed restriction in the resubmission is narrower than the approved TGA indication for the treatment of mild to moderate atopic dermatitis in patients of at least 2 years of age. The proposed subgroup was </w:t>
      </w:r>
      <w:r w:rsidR="00912416" w:rsidRPr="005802E9">
        <w:t xml:space="preserve">inadequately justified and </w:t>
      </w:r>
      <w:r w:rsidRPr="005802E9">
        <w:t>inconsistent with the broader population enrolled in the key trials.</w:t>
      </w:r>
      <w:r w:rsidR="00912416" w:rsidRPr="005802E9">
        <w:t xml:space="preserve"> It remains unclear if there are differences in terms of baseline severity or treatment response in the proposed </w:t>
      </w:r>
      <w:r w:rsidR="005656AC" w:rsidRPr="005802E9">
        <w:t>subset</w:t>
      </w:r>
      <w:r w:rsidR="00912416" w:rsidRPr="005802E9">
        <w:t xml:space="preserve"> compared with the broader population that were not limited by response, contraindication or intolerance to TCS.</w:t>
      </w:r>
    </w:p>
    <w:p w:rsidR="002312FA" w:rsidRPr="005802E9" w:rsidRDefault="00330CC4" w:rsidP="00733DE0">
      <w:pPr>
        <w:pStyle w:val="ExecSumBodyText"/>
        <w:rPr>
          <w:i/>
        </w:rPr>
      </w:pPr>
      <w:r w:rsidRPr="005802E9">
        <w:t xml:space="preserve">The resubmission redefined satisfactory disease control (previously based on pimecrolimus restrictions), based on an adequate response to maximum tolerated doses of TCS, which may consist of intermittent use of TCS. The definition aims to </w:t>
      </w:r>
      <w:r w:rsidRPr="005802E9">
        <w:lastRenderedPageBreak/>
        <w:t>capture patients who are failing treatment despite maximum tolerated use of TCS, however, this is difficult to implement and is likely to include patients who are not achieving treatment response due to non-compliance. The previous submission indicated that a significant proportion of dermatology patients and parents express ‘steroid phobia’ (40-73%, p12-13 of November 2018 crisaborole submission) or are dissatisfied with topical corticosteroids.</w:t>
      </w:r>
      <w:r w:rsidR="000961FB" w:rsidRPr="005802E9">
        <w:rPr>
          <w:i/>
        </w:rPr>
        <w:t xml:space="preserve"> </w:t>
      </w:r>
      <w:r w:rsidR="00202E6B" w:rsidRPr="005802E9">
        <w:t>The ESC advised that patients should have had an inadequate response to TCS in addition to best usual care</w:t>
      </w:r>
      <w:r w:rsidR="00D904DB" w:rsidRPr="005802E9">
        <w:t xml:space="preserve"> </w:t>
      </w:r>
      <w:r w:rsidR="009441FF" w:rsidRPr="005802E9">
        <w:t xml:space="preserve">(including bleach baths where appropriate) </w:t>
      </w:r>
      <w:r w:rsidR="00D904DB" w:rsidRPr="005802E9">
        <w:t>and suggested wording to this effect</w:t>
      </w:r>
      <w:r w:rsidR="009441FF" w:rsidRPr="005802E9">
        <w:t xml:space="preserve"> be added to the restriction</w:t>
      </w:r>
      <w:r w:rsidR="00202E6B" w:rsidRPr="005802E9">
        <w:t>.</w:t>
      </w:r>
    </w:p>
    <w:p w:rsidR="00585859" w:rsidRPr="005802E9" w:rsidRDefault="007E07B1" w:rsidP="004059D6">
      <w:pPr>
        <w:pStyle w:val="ExecSumBodyText"/>
      </w:pPr>
      <w:r w:rsidRPr="005802E9">
        <w:t xml:space="preserve">TCS failure: </w:t>
      </w:r>
      <w:r w:rsidR="002312FA" w:rsidRPr="005802E9">
        <w:t xml:space="preserve">The ESC noted that the revised restrictions did not define “maximum tolerated doses of TCS” in terms of duration, potency, frequency or formulation of TCS and tolerance was also not defined. </w:t>
      </w:r>
      <w:r w:rsidR="004054D0" w:rsidRPr="005802E9">
        <w:t xml:space="preserve">The ESC noted a </w:t>
      </w:r>
      <w:r w:rsidR="000961FB" w:rsidRPr="005802E9">
        <w:t xml:space="preserve">recent survey of GPs indicated </w:t>
      </w:r>
      <w:r w:rsidR="00733DE0" w:rsidRPr="005802E9">
        <w:t xml:space="preserve">a </w:t>
      </w:r>
      <w:r w:rsidR="000961FB" w:rsidRPr="005802E9">
        <w:t>significant number</w:t>
      </w:r>
      <w:r w:rsidR="004059D6" w:rsidRPr="005802E9">
        <w:t xml:space="preserve"> of GPs</w:t>
      </w:r>
      <w:r w:rsidR="000961FB" w:rsidRPr="005802E9">
        <w:t xml:space="preserve"> whose practice results in suboptimal amount and/or suboptimal duration of treatment (Smith et al 2017)</w:t>
      </w:r>
      <w:r w:rsidR="00733DE0" w:rsidRPr="00AA471C">
        <w:rPr>
          <w:vertAlign w:val="superscript"/>
        </w:rPr>
        <w:footnoteReference w:id="1"/>
      </w:r>
      <w:r w:rsidR="000961FB" w:rsidRPr="005802E9">
        <w:t>.</w:t>
      </w:r>
      <w:r w:rsidR="004059D6" w:rsidRPr="005802E9">
        <w:t xml:space="preserve"> The ESC considered the criteria for defining failure of TCS need to be more specific and clearer, however the criteria will necessarily require clinical judgement and subjectivity, and as such there would remain a significant risk of leakage with regards to initiation of treatment outside the intended use in patients with an adequate trial with TCS or an inadequate response to TCS.</w:t>
      </w:r>
      <w:r w:rsidR="000961FB" w:rsidRPr="005802E9">
        <w:t xml:space="preserve"> </w:t>
      </w:r>
    </w:p>
    <w:p w:rsidR="00330CC4" w:rsidRPr="005802E9" w:rsidRDefault="007E07B1" w:rsidP="007905DB">
      <w:pPr>
        <w:pStyle w:val="ExecSumBodyText"/>
      </w:pPr>
      <w:r w:rsidRPr="005802E9">
        <w:t xml:space="preserve">TCS intolerance: </w:t>
      </w:r>
      <w:r w:rsidR="00585859" w:rsidRPr="005802E9">
        <w:t xml:space="preserve">The </w:t>
      </w:r>
      <w:r w:rsidR="009C0DE4" w:rsidRPr="005802E9">
        <w:t xml:space="preserve">commentary noted the </w:t>
      </w:r>
      <w:r w:rsidR="00585859" w:rsidRPr="005802E9">
        <w:t>population who are intolerant to TCS remains poorly defined in the resubmission and appears to be broadly based on concepts of steroid phobia and limitations associated with TCS use in sensitive areas and potential long-term TCS-related adverse events. The ESC noted that the resubmission attempted to clarify the concept of intolerance as development of atrophy of the skin, infection of the skin, contact allergy and/or systemic effects.</w:t>
      </w:r>
      <w:r w:rsidR="004054D0" w:rsidRPr="005802E9">
        <w:t xml:space="preserve"> </w:t>
      </w:r>
      <w:r w:rsidR="00D904DB" w:rsidRPr="005802E9">
        <w:t xml:space="preserve">The ESC considered that although the intention of adding these treatment criteria was reasonable, their inclusion may unhelpfully overstate the adverse effects of TCS. </w:t>
      </w:r>
      <w:r w:rsidR="000961FB" w:rsidRPr="005802E9">
        <w:t xml:space="preserve">The </w:t>
      </w:r>
      <w:r w:rsidR="004054D0" w:rsidRPr="005802E9">
        <w:t xml:space="preserve">ESC noted that </w:t>
      </w:r>
      <w:r w:rsidR="000961FB" w:rsidRPr="005802E9">
        <w:t xml:space="preserve">perception of risks by a significant proportion of GPs are greater than </w:t>
      </w:r>
      <w:r w:rsidR="00733DE0" w:rsidRPr="005802E9">
        <w:t>the actual risks suggested by the evidence for TCS</w:t>
      </w:r>
      <w:r w:rsidR="007905DB">
        <w:rPr>
          <w:rStyle w:val="FootnoteReference"/>
        </w:rPr>
        <w:footnoteReference w:id="2"/>
      </w:r>
      <w:r w:rsidR="000961FB" w:rsidRPr="005802E9">
        <w:t>.</w:t>
      </w:r>
      <w:r w:rsidR="004054D0" w:rsidRPr="005802E9">
        <w:t xml:space="preserve"> </w:t>
      </w:r>
      <w:r w:rsidR="00A103C6" w:rsidRPr="005802E9">
        <w:t>The ESC considered that there is potential for misunderstanding amo</w:t>
      </w:r>
      <w:r w:rsidR="00D904DB" w:rsidRPr="005802E9">
        <w:t>n</w:t>
      </w:r>
      <w:r w:rsidR="00A103C6" w:rsidRPr="005802E9">
        <w:t>gst GPs that the clinical place of crisaborole is to reduce TCS use</w:t>
      </w:r>
      <w:r w:rsidR="00D904DB" w:rsidRPr="005802E9">
        <w:t>,</w:t>
      </w:r>
      <w:r w:rsidR="00A103C6" w:rsidRPr="005802E9">
        <w:t xml:space="preserve"> and</w:t>
      </w:r>
      <w:r w:rsidR="00D904DB" w:rsidRPr="005802E9">
        <w:t xml:space="preserve"> that</w:t>
      </w:r>
      <w:r w:rsidR="00A103C6" w:rsidRPr="005802E9">
        <w:t xml:space="preserve"> re-education of primary care providers is likely to be difficult to </w:t>
      </w:r>
      <w:r w:rsidR="00D904DB" w:rsidRPr="005802E9">
        <w:t>achieve</w:t>
      </w:r>
      <w:r w:rsidR="00A103C6" w:rsidRPr="005802E9">
        <w:t xml:space="preserve">. </w:t>
      </w:r>
      <w:r w:rsidR="00D904DB" w:rsidRPr="005802E9">
        <w:t>This</w:t>
      </w:r>
      <w:r w:rsidR="000961FB" w:rsidRPr="005802E9">
        <w:t xml:space="preserve"> could result in </w:t>
      </w:r>
      <w:r w:rsidR="004054D0" w:rsidRPr="005802E9">
        <w:t xml:space="preserve">treatment of </w:t>
      </w:r>
      <w:r w:rsidR="000961FB" w:rsidRPr="005802E9">
        <w:t>patients</w:t>
      </w:r>
      <w:r w:rsidR="004054D0" w:rsidRPr="005802E9">
        <w:t xml:space="preserve"> with crisaborole</w:t>
      </w:r>
      <w:r w:rsidR="000961FB" w:rsidRPr="005802E9">
        <w:t>, who are not intended for treatment under the sponsor</w:t>
      </w:r>
      <w:r w:rsidRPr="005802E9">
        <w:t>’</w:t>
      </w:r>
      <w:r w:rsidR="000961FB" w:rsidRPr="005802E9">
        <w:t>s stated restriction</w:t>
      </w:r>
      <w:r w:rsidR="00A103C6" w:rsidRPr="005802E9">
        <w:t>,</w:t>
      </w:r>
      <w:r w:rsidR="000961FB" w:rsidRPr="005802E9">
        <w:t xml:space="preserve"> due to</w:t>
      </w:r>
      <w:r w:rsidR="004054D0" w:rsidRPr="005802E9">
        <w:t xml:space="preserve"> </w:t>
      </w:r>
      <w:r w:rsidR="000961FB" w:rsidRPr="005802E9">
        <w:t>high perception of risk</w:t>
      </w:r>
      <w:r w:rsidR="009C0DE4" w:rsidRPr="005802E9">
        <w:t xml:space="preserve"> </w:t>
      </w:r>
      <w:r w:rsidRPr="005802E9">
        <w:t xml:space="preserve">with TCS </w:t>
      </w:r>
      <w:r w:rsidR="009C0DE4" w:rsidRPr="005802E9">
        <w:t>by both patients and GPs</w:t>
      </w:r>
      <w:r w:rsidR="000961FB" w:rsidRPr="005802E9">
        <w:t xml:space="preserve">. </w:t>
      </w:r>
    </w:p>
    <w:p w:rsidR="002312FA" w:rsidRPr="005802E9" w:rsidRDefault="007E07B1" w:rsidP="002312FA">
      <w:pPr>
        <w:pStyle w:val="ExecSumBodyText"/>
      </w:pPr>
      <w:r w:rsidRPr="005802E9">
        <w:t xml:space="preserve">TCS contraindication: </w:t>
      </w:r>
      <w:r w:rsidR="002312FA" w:rsidRPr="005802E9">
        <w:t xml:space="preserve">The ESC agreed with the commentary that the population who are contraindicated to topical corticosteroids, particularly in the whole of body, remains inadequately defined in the resubmission. </w:t>
      </w:r>
      <w:r w:rsidR="009C0DE4" w:rsidRPr="005802E9">
        <w:t xml:space="preserve">No data were provided for crisaborole in the subgroup of patients who are contraindicated to TCS. </w:t>
      </w:r>
      <w:r w:rsidR="002312FA" w:rsidRPr="005802E9">
        <w:t xml:space="preserve">The ESC </w:t>
      </w:r>
      <w:r w:rsidR="00A103C6" w:rsidRPr="005802E9">
        <w:t xml:space="preserve">noted </w:t>
      </w:r>
      <w:r w:rsidR="00A103C6" w:rsidRPr="005802E9">
        <w:lastRenderedPageBreak/>
        <w:t>that there are a variety of contraindications for TCS as included in their PIs and it was unclear wh</w:t>
      </w:r>
      <w:r w:rsidR="00D904DB" w:rsidRPr="005802E9">
        <w:t>ich</w:t>
      </w:r>
      <w:r w:rsidR="00A103C6" w:rsidRPr="005802E9">
        <w:t xml:space="preserve"> contraindications would be </w:t>
      </w:r>
      <w:r w:rsidR="00D904DB" w:rsidRPr="005802E9">
        <w:t>applicable</w:t>
      </w:r>
      <w:r w:rsidR="00A103C6" w:rsidRPr="005802E9">
        <w:t xml:space="preserve">. The ESC </w:t>
      </w:r>
      <w:r w:rsidR="002312FA" w:rsidRPr="005802E9">
        <w:t xml:space="preserve">considered that there would be very few patients </w:t>
      </w:r>
      <w:r w:rsidR="00D904DB" w:rsidRPr="005802E9">
        <w:t xml:space="preserve">genuinely </w:t>
      </w:r>
      <w:r w:rsidR="002312FA" w:rsidRPr="005802E9">
        <w:t xml:space="preserve">contraindicated to </w:t>
      </w:r>
      <w:r w:rsidR="00D904DB" w:rsidRPr="005802E9">
        <w:t>TCS</w:t>
      </w:r>
      <w:r w:rsidR="008B48B6" w:rsidRPr="005802E9">
        <w:t xml:space="preserve"> but not </w:t>
      </w:r>
      <w:r w:rsidR="009441FF" w:rsidRPr="005802E9">
        <w:t xml:space="preserve">contraindicated to </w:t>
      </w:r>
      <w:r w:rsidR="008B48B6" w:rsidRPr="005802E9">
        <w:t>crisaborole</w:t>
      </w:r>
      <w:r w:rsidR="00D904DB" w:rsidRPr="005802E9">
        <w:t>.</w:t>
      </w:r>
    </w:p>
    <w:p w:rsidR="00330CC4" w:rsidRPr="005802E9" w:rsidRDefault="00330CC4" w:rsidP="00330CC4">
      <w:pPr>
        <w:pStyle w:val="ExecSumBodyText"/>
      </w:pPr>
      <w:r w:rsidRPr="005802E9">
        <w:t xml:space="preserve">There is </w:t>
      </w:r>
      <w:r w:rsidR="005967B1" w:rsidRPr="005802E9">
        <w:t xml:space="preserve">also </w:t>
      </w:r>
      <w:r w:rsidRPr="005802E9">
        <w:t>potential for use outside the requested restriction due to subjectivity in the definitions of disease severity,</w:t>
      </w:r>
      <w:r w:rsidR="001D59EF" w:rsidRPr="005802E9">
        <w:t xml:space="preserve"> potential for use in other types of dermatitis and in</w:t>
      </w:r>
      <w:r w:rsidRPr="005802E9">
        <w:t xml:space="preserve"> younger patients (less than 2 years of age). The sponsor indicated willingness to consider a risk-sharing agreement to address the potential for leakage of use outside of the proposed restriction.</w:t>
      </w:r>
    </w:p>
    <w:p w:rsidR="00330CC4" w:rsidRPr="005802E9" w:rsidRDefault="000A0CD7" w:rsidP="00330CC4">
      <w:pPr>
        <w:pStyle w:val="ExecSumBodyText"/>
      </w:pPr>
      <w:r w:rsidRPr="005802E9">
        <w:t xml:space="preserve">The ESC noted that the sponsor had </w:t>
      </w:r>
      <w:r w:rsidR="007B235E" w:rsidRPr="005802E9">
        <w:t xml:space="preserve">attempted to address the PBAC’s </w:t>
      </w:r>
      <w:r w:rsidR="000961FB" w:rsidRPr="005802E9">
        <w:t xml:space="preserve">previous </w:t>
      </w:r>
      <w:r w:rsidR="007B235E" w:rsidRPr="005802E9">
        <w:t>concerns regarding the restriction</w:t>
      </w:r>
      <w:r w:rsidR="000961FB" w:rsidRPr="005802E9">
        <w:t xml:space="preserve"> and welcomed the changes aimed at improving the clarity of the restriction. </w:t>
      </w:r>
      <w:r w:rsidR="00202E6B" w:rsidRPr="005802E9">
        <w:t>The ESC noted that the utilisation as intended requires first that there is appropriate use of TCS. T</w:t>
      </w:r>
      <w:r w:rsidR="000961FB" w:rsidRPr="005802E9">
        <w:t xml:space="preserve">he ESC considered there is a need to further refine the restriction in terms of ensuring that patients have received and continue to receive adequate doses and duration of treatment with corticosteroids. The ESC noted that the </w:t>
      </w:r>
      <w:r w:rsidR="003A092E" w:rsidRPr="005802E9">
        <w:t>sponsor is willing to consider other options to clarify the intended population in the restriction, or to manage the risk of use beyond the intended population and also to determine the appropriate essential elements of the restriction (PSC</w:t>
      </w:r>
      <w:r w:rsidR="004359F8">
        <w:t>R</w:t>
      </w:r>
      <w:r w:rsidR="003A092E" w:rsidRPr="005802E9">
        <w:t>).</w:t>
      </w:r>
      <w:r w:rsidR="00580DE5" w:rsidRPr="005802E9">
        <w:t xml:space="preserve"> </w:t>
      </w:r>
      <w:r w:rsidR="000961FB" w:rsidRPr="005802E9">
        <w:t>The ESC considered that</w:t>
      </w:r>
      <w:r w:rsidR="00580DE5" w:rsidRPr="005802E9">
        <w:t xml:space="preserve"> the restriction needs substantial work</w:t>
      </w:r>
      <w:r w:rsidR="000961FB" w:rsidRPr="005802E9">
        <w:t>,</w:t>
      </w:r>
      <w:r w:rsidR="00580DE5" w:rsidRPr="005802E9">
        <w:t xml:space="preserve"> and</w:t>
      </w:r>
      <w:r w:rsidR="000961FB" w:rsidRPr="005802E9">
        <w:t xml:space="preserve"> even with further refinement to </w:t>
      </w:r>
      <w:r w:rsidR="00580DE5" w:rsidRPr="005802E9">
        <w:t xml:space="preserve">restriction criteria </w:t>
      </w:r>
      <w:r w:rsidR="00606B44" w:rsidRPr="005802E9">
        <w:t xml:space="preserve">it is likely to be difficult to </w:t>
      </w:r>
      <w:r w:rsidR="00580DE5" w:rsidRPr="005802E9">
        <w:t>ensur</w:t>
      </w:r>
      <w:r w:rsidR="00606B44" w:rsidRPr="005802E9">
        <w:t>e</w:t>
      </w:r>
      <w:r w:rsidR="00580DE5" w:rsidRPr="005802E9">
        <w:t xml:space="preserve"> that patients have received and continue to receive adequate doses and duration of treatment with </w:t>
      </w:r>
      <w:r w:rsidR="00202E6B" w:rsidRPr="005802E9">
        <w:t>TCS</w:t>
      </w:r>
      <w:r w:rsidR="00580DE5" w:rsidRPr="005802E9">
        <w:t>.</w:t>
      </w:r>
      <w:r w:rsidR="00F16CD3" w:rsidRPr="005802E9">
        <w:t xml:space="preserve"> The Pre-PBAC response also acknowledged the potential for leakage for use outside the </w:t>
      </w:r>
    </w:p>
    <w:p w:rsidR="007B2608" w:rsidRPr="005802E9" w:rsidRDefault="007B2608" w:rsidP="00593B54">
      <w:pPr>
        <w:pStyle w:val="Commentitalics"/>
        <w:ind w:firstLine="720"/>
        <w:rPr>
          <w:snapToGrid w:val="0"/>
        </w:rPr>
      </w:pPr>
      <w:bookmarkStart w:id="7" w:name="_Toc50995088"/>
      <w:r w:rsidRPr="005802E9">
        <w:t>For more detail on PBAC’s view, see section 7 PBAC outcome.</w:t>
      </w:r>
    </w:p>
    <w:p w:rsidR="00B50DB8" w:rsidRPr="005802E9" w:rsidRDefault="00203181" w:rsidP="004E18E9">
      <w:pPr>
        <w:pStyle w:val="2-SectionHeading"/>
      </w:pPr>
      <w:r w:rsidRPr="005802E9">
        <w:t xml:space="preserve">Population and </w:t>
      </w:r>
      <w:r w:rsidR="008E0D3C" w:rsidRPr="005802E9">
        <w:t>d</w:t>
      </w:r>
      <w:r w:rsidRPr="005802E9">
        <w:t>isease</w:t>
      </w:r>
      <w:bookmarkEnd w:id="7"/>
    </w:p>
    <w:p w:rsidR="00330CC4" w:rsidRPr="005802E9" w:rsidRDefault="00330CC4" w:rsidP="00330CC4">
      <w:pPr>
        <w:pStyle w:val="ExecSumBodyText"/>
      </w:pPr>
      <w:r w:rsidRPr="005802E9">
        <w:t>Atopic dermatitis is a chronic, inflammatory skin condition that occurs predominantly in the paediatric population. The disease is characterised by dry skin, itching and skin lesions which are typically red, scaly and crusted papules (raised bumps). Symptoms may be continuous for long periods or of a relapsing-remitting nature with repeated flare-ups. Clinical presentation of atopic dermatitis is highly variable and is dependent on age, phase (chronic or acute) and disease severity.</w:t>
      </w:r>
    </w:p>
    <w:p w:rsidR="00330CC4" w:rsidRPr="005802E9" w:rsidRDefault="00330CC4" w:rsidP="00330CC4">
      <w:pPr>
        <w:pStyle w:val="ExecSumBodyText"/>
      </w:pPr>
      <w:r w:rsidRPr="005802E9">
        <w:t xml:space="preserve">The positioning of crisaborole in the resubmission </w:t>
      </w:r>
      <w:r w:rsidR="008B48B6" w:rsidRPr="005802E9">
        <w:t>was more clearly articulated</w:t>
      </w:r>
      <w:r w:rsidR="002A7F68" w:rsidRPr="005802E9">
        <w:t>,</w:t>
      </w:r>
      <w:r w:rsidR="008B48B6" w:rsidRPr="005802E9">
        <w:t xml:space="preserve"> but otherwise </w:t>
      </w:r>
      <w:r w:rsidRPr="005802E9">
        <w:t>unchanged from the previous submission</w:t>
      </w:r>
      <w:r w:rsidR="004059D6" w:rsidRPr="005802E9">
        <w:t>.</w:t>
      </w:r>
    </w:p>
    <w:p w:rsidR="00A150E6" w:rsidRPr="005802E9" w:rsidRDefault="002E76C7" w:rsidP="00894701">
      <w:pPr>
        <w:pStyle w:val="ExecSumBodyText"/>
      </w:pPr>
      <w:r w:rsidRPr="005802E9">
        <w:t xml:space="preserve">The PBAC noted </w:t>
      </w:r>
      <w:r w:rsidR="00A150E6" w:rsidRPr="005802E9">
        <w:t>the NICE definitions</w:t>
      </w:r>
      <w:r w:rsidR="00A150E6" w:rsidRPr="005802E9">
        <w:rPr>
          <w:rStyle w:val="FootnoteReference"/>
        </w:rPr>
        <w:footnoteReference w:id="3"/>
      </w:r>
      <w:r w:rsidR="00A150E6" w:rsidRPr="005802E9">
        <w:t xml:space="preserve"> of mild and moderate atopic dermatitis:</w:t>
      </w:r>
    </w:p>
    <w:p w:rsidR="00A150E6" w:rsidRPr="005802E9" w:rsidRDefault="00A150E6" w:rsidP="00A150E6">
      <w:pPr>
        <w:pStyle w:val="ExecSumBodyText"/>
        <w:numPr>
          <w:ilvl w:val="3"/>
          <w:numId w:val="4"/>
        </w:numPr>
        <w:ind w:hanging="229"/>
      </w:pPr>
      <w:r w:rsidRPr="005802E9">
        <w:lastRenderedPageBreak/>
        <w:t xml:space="preserve"> Mild: </w:t>
      </w:r>
      <w:r w:rsidRPr="005802E9">
        <w:rPr>
          <w:iCs/>
        </w:rPr>
        <w:t>areas of dry skin, infrequent itching, little impact on everyday activities or sleep.</w:t>
      </w:r>
    </w:p>
    <w:p w:rsidR="00A150E6" w:rsidRPr="005802E9" w:rsidRDefault="00A150E6" w:rsidP="00A150E6">
      <w:pPr>
        <w:pStyle w:val="ExecSumBodyText"/>
        <w:numPr>
          <w:ilvl w:val="3"/>
          <w:numId w:val="4"/>
        </w:numPr>
        <w:ind w:hanging="229"/>
      </w:pPr>
      <w:r w:rsidRPr="005802E9">
        <w:t>Moderate:</w:t>
      </w:r>
      <w:r w:rsidRPr="005802E9">
        <w:rPr>
          <w:iCs/>
        </w:rPr>
        <w:t xml:space="preserve"> areas of dry skin, frequent itching, redness (with or without excoriation) moderate impact on everyda</w:t>
      </w:r>
      <w:r w:rsidR="004B4DD1" w:rsidRPr="005802E9">
        <w:rPr>
          <w:iCs/>
        </w:rPr>
        <w:t>y activities and psychosocial well</w:t>
      </w:r>
      <w:r w:rsidRPr="005802E9">
        <w:rPr>
          <w:iCs/>
        </w:rPr>
        <w:t>being, frequently disturbed sleep</w:t>
      </w:r>
      <w:r w:rsidR="004B4DD1" w:rsidRPr="005802E9">
        <w:rPr>
          <w:iCs/>
        </w:rPr>
        <w:t>.</w:t>
      </w:r>
    </w:p>
    <w:p w:rsidR="00894701" w:rsidRPr="005802E9" w:rsidRDefault="00894701" w:rsidP="00A150E6">
      <w:pPr>
        <w:pStyle w:val="ExecSumBodyText"/>
      </w:pPr>
      <w:r w:rsidRPr="005802E9">
        <w:t xml:space="preserve">The resubmission </w:t>
      </w:r>
      <w:r w:rsidR="00606B44" w:rsidRPr="005802E9">
        <w:t>considered</w:t>
      </w:r>
      <w:r w:rsidRPr="005802E9">
        <w:t xml:space="preserve"> crisaborole, </w:t>
      </w:r>
      <w:r w:rsidR="00606B44" w:rsidRPr="005802E9">
        <w:t>could</w:t>
      </w:r>
      <w:r w:rsidRPr="005802E9">
        <w:t xml:space="preserve"> be used alongside intermittent use of TCS.</w:t>
      </w:r>
      <w:r w:rsidR="00606B44" w:rsidRPr="005802E9">
        <w:t xml:space="preserve"> T</w:t>
      </w:r>
      <w:r w:rsidRPr="005802E9">
        <w:t xml:space="preserve">his </w:t>
      </w:r>
      <w:r w:rsidR="00606B44" w:rsidRPr="005802E9">
        <w:t>would need to relate to</w:t>
      </w:r>
      <w:r w:rsidRPr="005802E9">
        <w:t xml:space="preserve"> periods where a break in TCS is necessary to prevent TCS-related adverse events, and </w:t>
      </w:r>
      <w:r w:rsidR="00606B44" w:rsidRPr="005802E9">
        <w:t xml:space="preserve">concomitant use of </w:t>
      </w:r>
      <w:r w:rsidRPr="005802E9">
        <w:t>both treatments on any lesion</w:t>
      </w:r>
      <w:r w:rsidR="00606B44" w:rsidRPr="005802E9">
        <w:t xml:space="preserve"> would be inconsistent with the intended positioning of crisab</w:t>
      </w:r>
      <w:r w:rsidR="00BF6713" w:rsidRPr="005802E9">
        <w:t>o</w:t>
      </w:r>
      <w:r w:rsidR="00606B44" w:rsidRPr="005802E9">
        <w:t>role</w:t>
      </w:r>
      <w:r w:rsidRPr="005802E9">
        <w:t xml:space="preserve">. There are no data available to support the efficacy and safety of crisaborole use in this setting. </w:t>
      </w:r>
    </w:p>
    <w:p w:rsidR="004B4DD1" w:rsidRPr="005802E9" w:rsidRDefault="004B4DD1" w:rsidP="004B4DD1">
      <w:pPr>
        <w:pStyle w:val="ExecSumBodyText"/>
      </w:pPr>
      <w:r w:rsidRPr="005802E9">
        <w:t>The PBAC noted that established approaches to atopic dermatitis</w:t>
      </w:r>
      <w:r w:rsidRPr="005802E9">
        <w:rPr>
          <w:rStyle w:val="FootnoteReference"/>
        </w:rPr>
        <w:footnoteReference w:id="4"/>
      </w:r>
      <w:r w:rsidRPr="005802E9">
        <w:t xml:space="preserve"> include:</w:t>
      </w:r>
    </w:p>
    <w:p w:rsidR="004B4DD1" w:rsidRPr="005802E9" w:rsidRDefault="004B4DD1" w:rsidP="004B4DD1">
      <w:pPr>
        <w:pStyle w:val="ExecSumBodyText"/>
        <w:numPr>
          <w:ilvl w:val="3"/>
          <w:numId w:val="4"/>
        </w:numPr>
        <w:ind w:hanging="229"/>
      </w:pPr>
      <w:r w:rsidRPr="005802E9">
        <w:t>manage aggravating factors (e.g. contact with irritants such as soap, rough clothing, barrier ointments to manage contact with irritants)</w:t>
      </w:r>
    </w:p>
    <w:p w:rsidR="004B4DD1" w:rsidRPr="005802E9" w:rsidRDefault="004B4DD1" w:rsidP="004B4DD1">
      <w:pPr>
        <w:pStyle w:val="ExecSumBodyText"/>
        <w:numPr>
          <w:ilvl w:val="3"/>
          <w:numId w:val="4"/>
        </w:numPr>
        <w:ind w:hanging="229"/>
      </w:pPr>
      <w:r w:rsidRPr="005802E9">
        <w:t>Improve skin condition (e.g. use of soap substitutes, dispersible oils when bathing, emollients)</w:t>
      </w:r>
    </w:p>
    <w:p w:rsidR="004B4DD1" w:rsidRPr="005802E9" w:rsidRDefault="004B4DD1" w:rsidP="004B4DD1">
      <w:pPr>
        <w:pStyle w:val="ExecSumBodyText"/>
        <w:numPr>
          <w:ilvl w:val="3"/>
          <w:numId w:val="4"/>
        </w:numPr>
        <w:ind w:hanging="229"/>
      </w:pPr>
      <w:r w:rsidRPr="005802E9">
        <w:t>treat infection</w:t>
      </w:r>
    </w:p>
    <w:p w:rsidR="004B4DD1" w:rsidRPr="005802E9" w:rsidRDefault="004B4DD1" w:rsidP="004B4DD1">
      <w:pPr>
        <w:pStyle w:val="ExecSumBodyText"/>
        <w:numPr>
          <w:ilvl w:val="3"/>
          <w:numId w:val="4"/>
        </w:numPr>
        <w:ind w:hanging="229"/>
      </w:pPr>
      <w:r w:rsidRPr="005802E9">
        <w:t>Apply TCS, noting recurrence is more common if inflammation is undertreated, and skin atrophy is a concern but a rare adverse event as are systemic events. TCS should be applied liberally to all areas of redness until dermatitis has gone and skin is completely clear.</w:t>
      </w:r>
    </w:p>
    <w:p w:rsidR="004B4DD1" w:rsidRPr="005802E9" w:rsidRDefault="004B4DD1" w:rsidP="004B4DD1">
      <w:pPr>
        <w:pStyle w:val="ExecSumBodyText"/>
        <w:numPr>
          <w:ilvl w:val="0"/>
          <w:numId w:val="0"/>
        </w:numPr>
        <w:ind w:left="709"/>
      </w:pPr>
      <w:r w:rsidRPr="005802E9">
        <w:t>The PBAC considered that these aspects of treatment were important because the proposed clinica</w:t>
      </w:r>
      <w:r w:rsidR="002A7F68" w:rsidRPr="005802E9">
        <w:t xml:space="preserve">l place for </w:t>
      </w:r>
      <w:r w:rsidR="005802E9" w:rsidRPr="005802E9">
        <w:t>crisaborole</w:t>
      </w:r>
      <w:r w:rsidR="002A7F68" w:rsidRPr="005802E9">
        <w:t xml:space="preserve"> requires</w:t>
      </w:r>
      <w:r w:rsidRPr="005802E9">
        <w:t xml:space="preserve"> patients have had inadequate response to standard care, including adequate use of TCS.</w:t>
      </w:r>
    </w:p>
    <w:p w:rsidR="00892553" w:rsidRPr="005802E9" w:rsidRDefault="007B235E" w:rsidP="004B4DD1">
      <w:pPr>
        <w:pStyle w:val="ExecSumBodyText"/>
      </w:pPr>
      <w:r w:rsidRPr="005802E9">
        <w:t>Recent guidelines suggest that the role of crisaborole remains uncertain due to limited comparative data with established therapies for atopic dermatitis and uncertain efficacy due to the strong placebo effect noted in its key trials (UpToDate - Atopic Dermatitis June 2020).</w:t>
      </w:r>
      <w:r w:rsidR="0081425B" w:rsidRPr="005802E9">
        <w:t xml:space="preserve"> </w:t>
      </w:r>
    </w:p>
    <w:p w:rsidR="00330CC4" w:rsidRPr="005802E9" w:rsidRDefault="00330CC4" w:rsidP="00330CC4">
      <w:pPr>
        <w:pStyle w:val="ExecSumBodyText"/>
        <w:rPr>
          <w:color w:val="0066FF"/>
        </w:rPr>
      </w:pPr>
      <w:r w:rsidRPr="005802E9">
        <w:t xml:space="preserve">The PBAC </w:t>
      </w:r>
      <w:r w:rsidR="007B235E" w:rsidRPr="005802E9">
        <w:t xml:space="preserve">previously </w:t>
      </w:r>
      <w:r w:rsidRPr="005802E9">
        <w:t>noted that the data presented in the submission was limited to 4 weeks of acute treatment, but assumed that long-term intermittent use was likely (paragraph 7.4, crisaborole PSD, November 2018 PBAC meeting). T</w:t>
      </w:r>
      <w:r w:rsidRPr="005802E9">
        <w:rPr>
          <w:bCs/>
          <w:szCs w:val="20"/>
        </w:rPr>
        <w:t xml:space="preserve">he clinician presenting the sponsor hearing </w:t>
      </w:r>
      <w:r w:rsidR="00BE0CB2">
        <w:rPr>
          <w:bCs/>
          <w:szCs w:val="20"/>
        </w:rPr>
        <w:t xml:space="preserve">for the November 2018 submission </w:t>
      </w:r>
      <w:r w:rsidRPr="005802E9">
        <w:rPr>
          <w:bCs/>
          <w:szCs w:val="20"/>
        </w:rPr>
        <w:t>stated that crisaborole would be used as sole therapy, as per the clinical trials, and is likely to be used intermittently for flares for 2-3 weeks at a time (paragraph 6.1, crisaborole, PSD, November 2018 PBAC meeting).</w:t>
      </w:r>
    </w:p>
    <w:p w:rsidR="00330CC4" w:rsidRPr="005802E9" w:rsidRDefault="00330CC4" w:rsidP="00330CC4">
      <w:pPr>
        <w:pStyle w:val="ExecSumBodyText"/>
      </w:pPr>
      <w:r w:rsidRPr="005802E9">
        <w:t xml:space="preserve">The resubmission claimed that if a patient achieves disease clearance, then crisaborole can be stopped and reinitiated when the condition flares. The </w:t>
      </w:r>
      <w:r w:rsidRPr="005802E9">
        <w:lastRenderedPageBreak/>
        <w:t xml:space="preserve">resubmission also claimed that long-term use of crisaborole would be limited to </w:t>
      </w:r>
      <w:r w:rsidR="00333062" w:rsidRPr="005802E9">
        <w:t>three</w:t>
      </w:r>
      <w:r w:rsidRPr="005802E9">
        <w:t xml:space="preserve"> consecutive months without disease clearance. This appears to be based on the circumstances of use in the AD-303 open-label safety extension study, which </w:t>
      </w:r>
      <w:r w:rsidR="009E35A5" w:rsidRPr="005802E9">
        <w:t xml:space="preserve">may not </w:t>
      </w:r>
      <w:r w:rsidRPr="005802E9">
        <w:t>be representative of clinical practice</w:t>
      </w:r>
      <w:r w:rsidR="00FB46B5" w:rsidRPr="005802E9">
        <w:rPr>
          <w:i/>
        </w:rPr>
        <w:t xml:space="preserve">, </w:t>
      </w:r>
      <w:r w:rsidR="00FB46B5" w:rsidRPr="005802E9">
        <w:t>where patients are unlikely to adopt the same on/off treatment cycles</w:t>
      </w:r>
      <w:r w:rsidRPr="005802E9">
        <w:t>.</w:t>
      </w:r>
    </w:p>
    <w:p w:rsidR="00330CC4" w:rsidRPr="005802E9" w:rsidRDefault="00330CC4" w:rsidP="006C2184">
      <w:pPr>
        <w:pStyle w:val="ExecSumBodyText"/>
        <w:rPr>
          <w:i/>
        </w:rPr>
      </w:pPr>
      <w:r w:rsidRPr="005802E9">
        <w:rPr>
          <w:snapToGrid/>
        </w:rPr>
        <w:t>The resubmission identified a number of ongoing studies of crisaborole when used as ongoing maintenance therapy, an active-controlled trial comparing crisaborole with established therapies (hydrocortisone, pimecrolimus) and ointment vehicle, and a proof of concept study for the use of crisaborole as a steroid-sparing agent. These studies may provide some clarity on the future place in therapy for crisaborole.</w:t>
      </w:r>
      <w:r w:rsidR="00FB46B5" w:rsidRPr="005802E9">
        <w:rPr>
          <w:snapToGrid/>
        </w:rPr>
        <w:t xml:space="preserve"> </w:t>
      </w:r>
      <w:r w:rsidR="00FB46B5" w:rsidRPr="005802E9">
        <w:t xml:space="preserve">The ESC considered that there is a possible risk that prescribers will perceive crisaborole as a steroid sparer/alternative despite its proposed use in the resubmission, and this risk may be increased with studies being conducted with </w:t>
      </w:r>
      <w:r w:rsidR="007D3DD0" w:rsidRPr="005802E9">
        <w:t>crisaborole</w:t>
      </w:r>
      <w:r w:rsidR="00FB46B5" w:rsidRPr="005802E9">
        <w:t xml:space="preserve"> in this setting.</w:t>
      </w:r>
    </w:p>
    <w:p w:rsidR="007B2608" w:rsidRPr="005802E9" w:rsidRDefault="007B2608" w:rsidP="004B4DD1">
      <w:pPr>
        <w:pStyle w:val="Commentitalics"/>
        <w:ind w:firstLine="720"/>
      </w:pPr>
      <w:r w:rsidRPr="005802E9">
        <w:t>For more detail on PBAC’s view, see section 7 PBAC outcome.</w:t>
      </w:r>
    </w:p>
    <w:p w:rsidR="00A05472" w:rsidRPr="005802E9" w:rsidRDefault="00B50DB8" w:rsidP="00330CC4">
      <w:pPr>
        <w:pStyle w:val="2-SectionHeading"/>
      </w:pPr>
      <w:bookmarkStart w:id="8" w:name="_Toc50995089"/>
      <w:r w:rsidRPr="005802E9">
        <w:t>Comparator</w:t>
      </w:r>
      <w:bookmarkEnd w:id="8"/>
    </w:p>
    <w:p w:rsidR="002C2775" w:rsidRPr="005802E9" w:rsidRDefault="00330CC4" w:rsidP="00330CC4">
      <w:pPr>
        <w:pStyle w:val="ExecSumBodyText"/>
        <w:rPr>
          <w:i/>
        </w:rPr>
      </w:pPr>
      <w:r w:rsidRPr="005802E9">
        <w:t>The resubmission nominated pimecrolimus as the comparator for use on the face and eyelids. The PBAC considered that this was appropriate, although tacrolimus ointment may also be a relevant comparator (paragraph 5.1, crisaborole, PSD, November 2018 PBAC meeting).</w:t>
      </w:r>
    </w:p>
    <w:p w:rsidR="00330CC4" w:rsidRPr="005802E9" w:rsidRDefault="00330CC4" w:rsidP="00330CC4">
      <w:pPr>
        <w:pStyle w:val="ExecSumBodyText"/>
        <w:rPr>
          <w:i/>
        </w:rPr>
      </w:pPr>
      <w:r w:rsidRPr="005802E9">
        <w:t>For the rest of the body, the resubmission nominated standard management as the comparator. As per the November 2018 submission, standard management was defined as the use of moisturisers, emollients and non-irritant cleansers.</w:t>
      </w:r>
      <w:r w:rsidRPr="005802E9">
        <w:rPr>
          <w:i/>
        </w:rPr>
        <w:t xml:space="preserve"> </w:t>
      </w:r>
      <w:r w:rsidRPr="005802E9">
        <w:t xml:space="preserve">The resubmission argued that it is not intended for crisaborole to replace TCS use when TCS is effective, including intermittent TCS use. </w:t>
      </w:r>
      <w:r w:rsidR="007C5788" w:rsidRPr="005802E9">
        <w:t>The ESC considered that it would be unusual for patients with mild to moderate AD to have an inadequate response to TCS when appropriate dosages and durations</w:t>
      </w:r>
      <w:r w:rsidR="008117EB" w:rsidRPr="005802E9">
        <w:t xml:space="preserve"> are used</w:t>
      </w:r>
      <w:r w:rsidR="007C5788" w:rsidRPr="005802E9">
        <w:t xml:space="preserve">. </w:t>
      </w:r>
      <w:r w:rsidR="00BC2DA0" w:rsidRPr="005802E9">
        <w:t xml:space="preserve">The PBAC noted that the pre-PBAC response disagreed with this contention. </w:t>
      </w:r>
      <w:r w:rsidRPr="005802E9">
        <w:t>The resubmission claimed that crisaborole is only intended for use in periods in between TCS use (e.g. patients who experience a flare-up of symptoms when a pause of TCS use is necessary), and therefore, standard management was the appropriate comparator.</w:t>
      </w:r>
    </w:p>
    <w:p w:rsidR="00343527" w:rsidRPr="005802E9" w:rsidRDefault="00330CC4" w:rsidP="00343527">
      <w:pPr>
        <w:pStyle w:val="ExecSumBodyText"/>
      </w:pPr>
      <w:r w:rsidRPr="005802E9">
        <w:rPr>
          <w:iCs/>
          <w:snapToGrid/>
        </w:rPr>
        <w:t xml:space="preserve">In November 2018, the PBAC considered that standard management was the appropriate comparator for the small number of patients who are contraindicated to TCS. For the remaining patients who have failed to achieve satisfactory disease control with TCS or who are intolerant to TCS, the PBAC </w:t>
      </w:r>
      <w:r w:rsidR="004B4DD1" w:rsidRPr="005802E9">
        <w:rPr>
          <w:iCs/>
          <w:snapToGrid/>
        </w:rPr>
        <w:t xml:space="preserve">previously </w:t>
      </w:r>
      <w:r w:rsidRPr="005802E9">
        <w:rPr>
          <w:iCs/>
          <w:snapToGrid/>
        </w:rPr>
        <w:t xml:space="preserve">considered that some degree of continuing TCS use is likely for symptom management and that TCS should be included as a comparator. The PBAC also </w:t>
      </w:r>
      <w:r w:rsidR="004B4DD1" w:rsidRPr="005802E9">
        <w:rPr>
          <w:iCs/>
          <w:snapToGrid/>
        </w:rPr>
        <w:t xml:space="preserve">previously </w:t>
      </w:r>
      <w:r w:rsidRPr="005802E9">
        <w:rPr>
          <w:iCs/>
          <w:snapToGrid/>
        </w:rPr>
        <w:t xml:space="preserve">noted that this was consistent with its previous consideration of pimecrolimus (pimecrolimus PSD July 2006) in which TCS was considered as an appropriate comparator for treatment of patients contraindicated to or failing intermittent TCS (paragraph 7.5, crisaborole PSD, November 2018 PBAC meeting). </w:t>
      </w:r>
    </w:p>
    <w:p w:rsidR="00343527" w:rsidRPr="005802E9" w:rsidRDefault="00A85775" w:rsidP="00330CC4">
      <w:pPr>
        <w:pStyle w:val="ExecSumBodyText"/>
        <w:rPr>
          <w:snapToGrid/>
        </w:rPr>
      </w:pPr>
      <w:r w:rsidRPr="005802E9">
        <w:rPr>
          <w:iCs/>
          <w:snapToGrid/>
        </w:rPr>
        <w:lastRenderedPageBreak/>
        <w:t xml:space="preserve">The ESC noted that the PSCR </w:t>
      </w:r>
      <w:r w:rsidR="008117EB" w:rsidRPr="005802E9">
        <w:rPr>
          <w:iCs/>
          <w:snapToGrid/>
        </w:rPr>
        <w:t>clarified</w:t>
      </w:r>
      <w:r w:rsidRPr="005802E9">
        <w:rPr>
          <w:iCs/>
          <w:snapToGrid/>
        </w:rPr>
        <w:t xml:space="preserve"> that the proposed place of crisaborole in the resubmission was not as a TCS-sparing agent</w:t>
      </w:r>
      <w:r w:rsidR="00343527" w:rsidRPr="005802E9">
        <w:rPr>
          <w:iCs/>
          <w:snapToGrid/>
        </w:rPr>
        <w:t xml:space="preserve"> or to replace TCS use</w:t>
      </w:r>
      <w:r w:rsidR="008117EB" w:rsidRPr="005802E9">
        <w:rPr>
          <w:iCs/>
          <w:snapToGrid/>
        </w:rPr>
        <w:t>,</w:t>
      </w:r>
      <w:r w:rsidRPr="005802E9">
        <w:rPr>
          <w:iCs/>
          <w:snapToGrid/>
        </w:rPr>
        <w:t xml:space="preserve"> and </w:t>
      </w:r>
      <w:r w:rsidR="008117EB" w:rsidRPr="005802E9">
        <w:rPr>
          <w:iCs/>
          <w:snapToGrid/>
        </w:rPr>
        <w:t xml:space="preserve">that </w:t>
      </w:r>
      <w:r w:rsidRPr="005802E9">
        <w:rPr>
          <w:iCs/>
          <w:snapToGrid/>
        </w:rPr>
        <w:t xml:space="preserve">the intent of the revised restriction </w:t>
      </w:r>
      <w:r w:rsidR="008117EB" w:rsidRPr="005802E9">
        <w:rPr>
          <w:iCs/>
          <w:snapToGrid/>
        </w:rPr>
        <w:t>wa</w:t>
      </w:r>
      <w:r w:rsidRPr="005802E9">
        <w:rPr>
          <w:iCs/>
          <w:snapToGrid/>
        </w:rPr>
        <w:t xml:space="preserve">s that </w:t>
      </w:r>
      <w:r w:rsidR="007D3DD0" w:rsidRPr="005802E9">
        <w:rPr>
          <w:iCs/>
          <w:snapToGrid/>
        </w:rPr>
        <w:t>crisaborole</w:t>
      </w:r>
      <w:r w:rsidRPr="005802E9">
        <w:rPr>
          <w:iCs/>
          <w:snapToGrid/>
        </w:rPr>
        <w:t xml:space="preserve"> be used only when patients are unable to use TCS. As such the sponsor maintained that there is no intent for crisaborole to</w:t>
      </w:r>
      <w:r w:rsidR="00343527" w:rsidRPr="005802E9">
        <w:rPr>
          <w:iCs/>
          <w:snapToGrid/>
        </w:rPr>
        <w:t xml:space="preserve"> be used in place of TCS and thu</w:t>
      </w:r>
      <w:r w:rsidRPr="005802E9">
        <w:rPr>
          <w:iCs/>
          <w:snapToGrid/>
        </w:rPr>
        <w:t>s TCS is not a relevant comparator.</w:t>
      </w:r>
      <w:r w:rsidR="006C2184" w:rsidRPr="005802E9">
        <w:rPr>
          <w:iCs/>
          <w:snapToGrid/>
        </w:rPr>
        <w:t xml:space="preserve"> </w:t>
      </w:r>
      <w:r w:rsidR="00343527" w:rsidRPr="005802E9">
        <w:t xml:space="preserve">The ESC considered that although this may be reasonable, </w:t>
      </w:r>
      <w:r w:rsidR="00FB46B5" w:rsidRPr="005802E9">
        <w:t xml:space="preserve">there is only a very small proportion of the AD population unable to be treated with TCS where they are used appropriately. </w:t>
      </w:r>
    </w:p>
    <w:p w:rsidR="00A85775" w:rsidRPr="005802E9" w:rsidRDefault="006C2184" w:rsidP="00330CC4">
      <w:pPr>
        <w:pStyle w:val="ExecSumBodyText"/>
        <w:rPr>
          <w:snapToGrid/>
        </w:rPr>
      </w:pPr>
      <w:r w:rsidRPr="005802E9">
        <w:t>The ESC considered that despite the wording of the restriction, there is a possible risk that prescribers will perceive crisaborole as a steroid sparer/alternative. No evidence has been presented for its use in this context, although there are several ongoing trials</w:t>
      </w:r>
      <w:r w:rsidR="00607248" w:rsidRPr="005802E9">
        <w:t>.</w:t>
      </w:r>
      <w:r w:rsidRPr="005802E9">
        <w:t xml:space="preserve"> Appropriate use of crisaborole with</w:t>
      </w:r>
      <w:r w:rsidR="0040594A" w:rsidRPr="005802E9">
        <w:t>in</w:t>
      </w:r>
      <w:r w:rsidRPr="005802E9">
        <w:t xml:space="preserve"> the proposed restriction is predicated on appropriate use of TCS which would require significant additional resources to the re-education of the large and diverse prescriber base and patients to avoid the effects of “steroid phobia”.</w:t>
      </w:r>
      <w:r w:rsidR="00A7470E" w:rsidRPr="005802E9">
        <w:t xml:space="preserve"> The PBAC considered that patients frequently do not receive an adequate level of standard care, including adequate use of TCS, despite adverse events associated with TCS being very rare. The PBAC considered that there is a </w:t>
      </w:r>
      <w:r w:rsidR="004057DC" w:rsidRPr="005802E9">
        <w:t>considerable risk</w:t>
      </w:r>
      <w:r w:rsidR="00A7470E" w:rsidRPr="005802E9">
        <w:t xml:space="preserve"> crisaborole will be used as a steroid sparer/alternative in practice</w:t>
      </w:r>
      <w:r w:rsidR="004057DC" w:rsidRPr="005802E9">
        <w:t>, despite the intention of the restrictions proposed</w:t>
      </w:r>
      <w:r w:rsidR="00A7470E" w:rsidRPr="005802E9">
        <w:t>, in which case TCS would be a relevant comparator.</w:t>
      </w:r>
    </w:p>
    <w:p w:rsidR="007B2608" w:rsidRPr="005802E9" w:rsidRDefault="007B2608" w:rsidP="004057DC">
      <w:pPr>
        <w:pStyle w:val="Commentitalics"/>
        <w:ind w:firstLine="720"/>
        <w:rPr>
          <w:snapToGrid w:val="0"/>
        </w:rPr>
      </w:pPr>
      <w:bookmarkStart w:id="9" w:name="_Toc50995090"/>
      <w:bookmarkStart w:id="10" w:name="_Toc22897640"/>
      <w:r w:rsidRPr="005802E9">
        <w:t>For more detail on PBAC’s view, see section 7 PBAC outcome.</w:t>
      </w:r>
    </w:p>
    <w:p w:rsidR="00223D5A" w:rsidRPr="005802E9" w:rsidRDefault="00223D5A" w:rsidP="00223D5A">
      <w:pPr>
        <w:pStyle w:val="2-SectionHeading"/>
        <w:numPr>
          <w:ilvl w:val="0"/>
          <w:numId w:val="1"/>
        </w:numPr>
      </w:pPr>
      <w:r w:rsidRPr="005802E9">
        <w:t>Consideration of the evidence</w:t>
      </w:r>
      <w:bookmarkEnd w:id="9"/>
    </w:p>
    <w:p w:rsidR="007B2608" w:rsidRPr="005802E9" w:rsidRDefault="007B2608" w:rsidP="009442C7">
      <w:pPr>
        <w:pStyle w:val="3-SubsectionHeading"/>
      </w:pPr>
      <w:bookmarkStart w:id="11" w:name="_Toc50995091"/>
      <w:r w:rsidRPr="005802E9">
        <w:t>Sponsor hearing</w:t>
      </w:r>
    </w:p>
    <w:p w:rsidR="007B2608" w:rsidRPr="005802E9" w:rsidRDefault="007B2608" w:rsidP="007B2608">
      <w:pPr>
        <w:widowControl w:val="0"/>
        <w:numPr>
          <w:ilvl w:val="1"/>
          <w:numId w:val="1"/>
        </w:numPr>
        <w:spacing w:after="120"/>
        <w:rPr>
          <w:rFonts w:asciiTheme="minorHAnsi" w:hAnsiTheme="minorHAnsi"/>
          <w:bCs/>
          <w:snapToGrid w:val="0"/>
        </w:rPr>
      </w:pPr>
      <w:r w:rsidRPr="005802E9">
        <w:rPr>
          <w:rFonts w:asciiTheme="minorHAnsi" w:hAnsiTheme="minorHAnsi"/>
          <w:bCs/>
          <w:snapToGrid w:val="0"/>
        </w:rPr>
        <w:t>There was no hearing for this item.</w:t>
      </w:r>
    </w:p>
    <w:p w:rsidR="007B2608" w:rsidRPr="005802E9" w:rsidRDefault="007B2608" w:rsidP="009442C7">
      <w:pPr>
        <w:pStyle w:val="3-SubsectionHeading"/>
      </w:pPr>
      <w:r w:rsidRPr="005802E9">
        <w:t>Consumer comments</w:t>
      </w:r>
    </w:p>
    <w:p w:rsidR="008629A2" w:rsidRPr="005802E9" w:rsidRDefault="007B2608" w:rsidP="008629A2">
      <w:pPr>
        <w:widowControl w:val="0"/>
        <w:numPr>
          <w:ilvl w:val="1"/>
          <w:numId w:val="1"/>
        </w:numPr>
        <w:spacing w:after="120"/>
        <w:rPr>
          <w:rFonts w:asciiTheme="minorHAnsi" w:hAnsiTheme="minorHAnsi"/>
          <w:bCs/>
        </w:rPr>
      </w:pPr>
      <w:r w:rsidRPr="005802E9">
        <w:rPr>
          <w:rFonts w:asciiTheme="minorHAnsi" w:hAnsiTheme="minorHAnsi"/>
          <w:bCs/>
          <w:snapToGrid w:val="0"/>
        </w:rPr>
        <w:t>The PBAC noted and welcomed the input from individuals (</w:t>
      </w:r>
      <w:r w:rsidR="00C34939" w:rsidRPr="005802E9">
        <w:rPr>
          <w:rFonts w:asciiTheme="minorHAnsi" w:hAnsiTheme="minorHAnsi"/>
          <w:bCs/>
          <w:snapToGrid w:val="0"/>
        </w:rPr>
        <w:t>3</w:t>
      </w:r>
      <w:r w:rsidRPr="005802E9">
        <w:rPr>
          <w:rFonts w:asciiTheme="minorHAnsi" w:hAnsiTheme="minorHAnsi"/>
          <w:bCs/>
          <w:snapToGrid w:val="0"/>
        </w:rPr>
        <w:t>), health care professionals (1) and organisations (</w:t>
      </w:r>
      <w:r w:rsidR="00C34939" w:rsidRPr="005802E9">
        <w:rPr>
          <w:rFonts w:asciiTheme="minorHAnsi" w:hAnsiTheme="minorHAnsi"/>
          <w:bCs/>
          <w:snapToGrid w:val="0"/>
        </w:rPr>
        <w:t>2</w:t>
      </w:r>
      <w:r w:rsidRPr="005802E9">
        <w:rPr>
          <w:rFonts w:asciiTheme="minorHAnsi" w:hAnsiTheme="minorHAnsi"/>
          <w:bCs/>
          <w:snapToGrid w:val="0"/>
        </w:rPr>
        <w:t>) via the Consumer Comments facility on the PBS website</w:t>
      </w:r>
      <w:r w:rsidR="005802E9">
        <w:rPr>
          <w:rFonts w:asciiTheme="minorHAnsi" w:hAnsiTheme="minorHAnsi"/>
          <w:bCs/>
          <w:snapToGrid w:val="0"/>
        </w:rPr>
        <w:t xml:space="preserve">. </w:t>
      </w:r>
      <w:r w:rsidR="008629A2" w:rsidRPr="005802E9">
        <w:rPr>
          <w:rFonts w:asciiTheme="minorHAnsi" w:hAnsiTheme="minorHAnsi"/>
          <w:bCs/>
        </w:rPr>
        <w:t>The comments described the substantial impact on quality of life, physical and mental health outcomes associated with atopic dermatitis and the financial burden of managing the disease. The comments noted that some patients are currently able to access crisaborole but that others are not able to afford treatment. Comments also noted that crisaborole has the benefit of being able to be used long term</w:t>
      </w:r>
      <w:r w:rsidR="002A7F68" w:rsidRPr="005802E9">
        <w:rPr>
          <w:rFonts w:asciiTheme="minorHAnsi" w:hAnsiTheme="minorHAnsi"/>
          <w:bCs/>
        </w:rPr>
        <w:t xml:space="preserve"> and provides an alternative for treatment in sensitive and thin skin areas</w:t>
      </w:r>
      <w:r w:rsidR="006E08FD" w:rsidRPr="005802E9">
        <w:rPr>
          <w:rFonts w:asciiTheme="minorHAnsi" w:hAnsiTheme="minorHAnsi"/>
          <w:bCs/>
        </w:rPr>
        <w:t xml:space="preserve"> such as face and eyelids</w:t>
      </w:r>
      <w:r w:rsidR="008629A2" w:rsidRPr="005802E9">
        <w:rPr>
          <w:rFonts w:asciiTheme="minorHAnsi" w:hAnsiTheme="minorHAnsi"/>
          <w:bCs/>
        </w:rPr>
        <w:t>.</w:t>
      </w:r>
    </w:p>
    <w:p w:rsidR="00B60939" w:rsidRPr="005802E9" w:rsidRDefault="00B60939" w:rsidP="002E4F02">
      <w:pPr>
        <w:pStyle w:val="3-SubsectionHeading"/>
      </w:pPr>
      <w:r w:rsidRPr="005802E9">
        <w:t xml:space="preserve">Clinical </w:t>
      </w:r>
      <w:bookmarkEnd w:id="10"/>
      <w:r w:rsidR="00330CC4" w:rsidRPr="005802E9">
        <w:t>trials</w:t>
      </w:r>
      <w:bookmarkEnd w:id="11"/>
    </w:p>
    <w:p w:rsidR="00330CC4" w:rsidRPr="005802E9" w:rsidRDefault="00330CC4" w:rsidP="00330CC4">
      <w:pPr>
        <w:pStyle w:val="ExecSumBodyText"/>
        <w:spacing w:after="0"/>
        <w:rPr>
          <w:color w:val="0066FF"/>
        </w:rPr>
      </w:pPr>
      <w:r w:rsidRPr="005802E9">
        <w:t>The resubmission was based on the following comparisons of crisaborole and the nominated comparators:</w:t>
      </w:r>
    </w:p>
    <w:p w:rsidR="00330CC4" w:rsidRPr="005802E9" w:rsidRDefault="00330CC4" w:rsidP="00C0095B">
      <w:pPr>
        <w:pStyle w:val="ListParagraph"/>
        <w:numPr>
          <w:ilvl w:val="0"/>
          <w:numId w:val="5"/>
        </w:numPr>
      </w:pPr>
      <w:r w:rsidRPr="005802E9">
        <w:lastRenderedPageBreak/>
        <w:t>Direct comparison of crisaborole versus ointment vehicle based on two head-to-head randomised trials (AD-301, AD-302). This was previously considered by the PBAC in November 2018.</w:t>
      </w:r>
    </w:p>
    <w:p w:rsidR="00330CC4" w:rsidRPr="005802E9" w:rsidRDefault="00330CC4" w:rsidP="00C0095B">
      <w:pPr>
        <w:pStyle w:val="ListParagraph"/>
        <w:numPr>
          <w:ilvl w:val="0"/>
          <w:numId w:val="5"/>
        </w:numPr>
        <w:spacing w:after="120"/>
        <w:ind w:left="1077" w:hanging="357"/>
      </w:pPr>
      <w:r w:rsidRPr="005802E9">
        <w:t>Indirect comparison of crisaborole (AD-301, AD-302) versus pimecrolimus (Barba 2003, Trials B305 and B307, Leung 2009) using ointment vehicle/cream vehicle as the common reference. These trials were considered by the PBAC in November 2018, however, two studies of infants (Breuer 2004 and Trial 0316) that were previously included in the submission’s indirect analysis have been excluded from the comparison in the resubmission.</w:t>
      </w:r>
      <w:r w:rsidRPr="005802E9">
        <w:rPr>
          <w:i/>
        </w:rPr>
        <w:t xml:space="preserve"> </w:t>
      </w:r>
    </w:p>
    <w:p w:rsidR="00330CC4" w:rsidRPr="005802E9" w:rsidRDefault="00330CC4" w:rsidP="00330CC4">
      <w:pPr>
        <w:pStyle w:val="ExecSumBodyText"/>
        <w:spacing w:after="0"/>
      </w:pPr>
      <w:r w:rsidRPr="005802E9">
        <w:t>The resubmission also included the following analyses</w:t>
      </w:r>
      <w:r w:rsidR="00A22FF2" w:rsidRPr="005802E9">
        <w:t xml:space="preserve"> of AD-301, AD-302 and AD-303 trial data</w:t>
      </w:r>
      <w:r w:rsidRPr="005802E9">
        <w:t xml:space="preserve"> that have not </w:t>
      </w:r>
      <w:r w:rsidR="00A22FF2" w:rsidRPr="005802E9">
        <w:t xml:space="preserve">previously </w:t>
      </w:r>
      <w:r w:rsidRPr="005802E9">
        <w:t>been considered by the PBAC</w:t>
      </w:r>
      <w:r w:rsidR="00AA3915">
        <w:rPr>
          <w:rStyle w:val="FootnoteReference"/>
        </w:rPr>
        <w:footnoteReference w:id="5"/>
      </w:r>
      <w:r w:rsidRPr="005802E9">
        <w:t>:</w:t>
      </w:r>
    </w:p>
    <w:p w:rsidR="00330CC4" w:rsidRPr="005802E9" w:rsidRDefault="00330CC4" w:rsidP="00C0095B">
      <w:pPr>
        <w:pStyle w:val="ListParagraph"/>
        <w:numPr>
          <w:ilvl w:val="0"/>
          <w:numId w:val="6"/>
        </w:numPr>
      </w:pPr>
      <w:r w:rsidRPr="005802E9">
        <w:t>Post-hoc subgroup analyses by prior TCS use based on the key trials (AD-301, AD-302)</w:t>
      </w:r>
    </w:p>
    <w:p w:rsidR="00330CC4" w:rsidRPr="005802E9" w:rsidRDefault="00330CC4" w:rsidP="00C0095B">
      <w:pPr>
        <w:pStyle w:val="ListParagraph"/>
        <w:numPr>
          <w:ilvl w:val="0"/>
          <w:numId w:val="6"/>
        </w:numPr>
        <w:spacing w:after="120"/>
        <w:ind w:left="1077" w:hanging="357"/>
      </w:pPr>
      <w:r w:rsidRPr="005802E9">
        <w:t>Post-hoc analyses of ISGA scores from the key trials AD-301, AD-302 and the AD-303 safety extension study.</w:t>
      </w:r>
    </w:p>
    <w:p w:rsidR="00201E07" w:rsidRPr="005802E9" w:rsidRDefault="00201E07" w:rsidP="00201E07">
      <w:pPr>
        <w:pStyle w:val="ExecSumBodyText"/>
      </w:pPr>
      <w:r w:rsidRPr="005802E9">
        <w:t xml:space="preserve">The PSCR stated that the sponsor considered the data from AD-303 to be key analyses as they address a key concern of the PBAC (efficacy of intermittent use of crisaborole). </w:t>
      </w:r>
    </w:p>
    <w:p w:rsidR="00DA5BED" w:rsidRDefault="00A73134" w:rsidP="00330CC4">
      <w:pPr>
        <w:pStyle w:val="ExecSumBodyText"/>
        <w:rPr>
          <w:snapToGrid/>
        </w:rPr>
      </w:pPr>
      <w:r w:rsidRPr="005802E9">
        <w:rPr>
          <w:snapToGrid/>
        </w:rPr>
        <w:t xml:space="preserve">Details of the </w:t>
      </w:r>
      <w:r w:rsidR="00330CC4" w:rsidRPr="005802E9">
        <w:rPr>
          <w:snapToGrid/>
        </w:rPr>
        <w:t>trials</w:t>
      </w:r>
      <w:r w:rsidRPr="005802E9">
        <w:rPr>
          <w:snapToGrid/>
        </w:rPr>
        <w:t xml:space="preserve"> presented in the </w:t>
      </w:r>
      <w:r w:rsidR="00330CC4" w:rsidRPr="005802E9">
        <w:rPr>
          <w:snapToGrid/>
        </w:rPr>
        <w:t>re</w:t>
      </w:r>
      <w:r w:rsidRPr="005802E9">
        <w:rPr>
          <w:snapToGrid/>
        </w:rPr>
        <w:t>submission are provided in the table below.</w:t>
      </w:r>
      <w:r w:rsidR="00BC591F" w:rsidRPr="005802E9">
        <w:rPr>
          <w:snapToGrid/>
        </w:rPr>
        <w:t xml:space="preserve"> </w:t>
      </w:r>
    </w:p>
    <w:p w:rsidR="00DA5BED" w:rsidRDefault="00DA5BED">
      <w:pPr>
        <w:jc w:val="left"/>
        <w:rPr>
          <w:rFonts w:asciiTheme="minorHAnsi" w:hAnsiTheme="minorHAnsi"/>
        </w:rPr>
      </w:pPr>
      <w:r>
        <w:br w:type="page"/>
      </w:r>
    </w:p>
    <w:p w:rsidR="008E0D3C" w:rsidRPr="005802E9" w:rsidRDefault="00187263" w:rsidP="00230DB1">
      <w:pPr>
        <w:pStyle w:val="TableFigureCaption"/>
      </w:pPr>
      <w:r w:rsidRPr="005802E9">
        <w:lastRenderedPageBreak/>
        <w:t>Table 3</w:t>
      </w:r>
      <w:r w:rsidR="008E0D3C" w:rsidRPr="005802E9">
        <w:t>:</w:t>
      </w:r>
      <w:r w:rsidR="00BC591F" w:rsidRPr="005802E9">
        <w:t xml:space="preserve"> </w:t>
      </w:r>
      <w:r w:rsidR="008E0D3C" w:rsidRPr="005802E9">
        <w:t xml:space="preserve">Trials and associated reports presented in the </w:t>
      </w:r>
      <w:r w:rsidR="00330CC4" w:rsidRPr="005802E9">
        <w:t>re</w:t>
      </w:r>
      <w:r w:rsidR="008E0D3C" w:rsidRPr="005802E9">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330CC4" w:rsidRPr="005802E9" w:rsidTr="004864C7">
        <w:trPr>
          <w:tblHeader/>
        </w:trPr>
        <w:tc>
          <w:tcPr>
            <w:tcW w:w="796" w:type="pct"/>
            <w:vAlign w:val="center"/>
          </w:tcPr>
          <w:p w:rsidR="00330CC4" w:rsidRPr="005802E9" w:rsidRDefault="00330CC4" w:rsidP="004864C7">
            <w:pPr>
              <w:jc w:val="left"/>
              <w:rPr>
                <w:rFonts w:ascii="Arial Narrow" w:hAnsi="Arial Narrow" w:cs="Times New Roman"/>
                <w:b/>
                <w:sz w:val="20"/>
                <w:szCs w:val="20"/>
                <w:lang w:eastAsia="en-US"/>
              </w:rPr>
            </w:pPr>
            <w:r w:rsidRPr="005802E9">
              <w:rPr>
                <w:rFonts w:ascii="Arial Narrow" w:hAnsi="Arial Narrow" w:cs="Times New Roman"/>
                <w:b/>
                <w:sz w:val="20"/>
                <w:szCs w:val="20"/>
                <w:lang w:eastAsia="en-US"/>
              </w:rPr>
              <w:t>Trial ID</w:t>
            </w:r>
          </w:p>
        </w:tc>
        <w:tc>
          <w:tcPr>
            <w:tcW w:w="3027" w:type="pct"/>
            <w:vAlign w:val="center"/>
          </w:tcPr>
          <w:p w:rsidR="00330CC4" w:rsidRPr="005802E9" w:rsidRDefault="00330CC4" w:rsidP="004864C7">
            <w:pPr>
              <w:jc w:val="center"/>
              <w:rPr>
                <w:rFonts w:ascii="Arial Narrow" w:hAnsi="Arial Narrow" w:cs="Times New Roman"/>
                <w:b/>
                <w:sz w:val="20"/>
                <w:szCs w:val="20"/>
                <w:lang w:eastAsia="en-US"/>
              </w:rPr>
            </w:pPr>
            <w:r w:rsidRPr="005802E9">
              <w:rPr>
                <w:rFonts w:ascii="Arial Narrow" w:hAnsi="Arial Narrow" w:cs="Times New Roman"/>
                <w:b/>
                <w:sz w:val="20"/>
                <w:szCs w:val="20"/>
                <w:lang w:eastAsia="en-US"/>
              </w:rPr>
              <w:t>Protocol title/ Publication title</w:t>
            </w:r>
          </w:p>
        </w:tc>
        <w:tc>
          <w:tcPr>
            <w:tcW w:w="1177" w:type="pct"/>
            <w:vAlign w:val="center"/>
          </w:tcPr>
          <w:p w:rsidR="00330CC4" w:rsidRPr="005802E9" w:rsidRDefault="00330CC4" w:rsidP="004864C7">
            <w:pPr>
              <w:jc w:val="center"/>
              <w:rPr>
                <w:rFonts w:ascii="Arial Narrow" w:hAnsi="Arial Narrow" w:cs="Times New Roman"/>
                <w:b/>
                <w:sz w:val="20"/>
                <w:szCs w:val="20"/>
                <w:lang w:eastAsia="en-US"/>
              </w:rPr>
            </w:pPr>
            <w:r w:rsidRPr="005802E9">
              <w:rPr>
                <w:rFonts w:ascii="Arial Narrow" w:hAnsi="Arial Narrow" w:cs="Times New Roman"/>
                <w:b/>
                <w:sz w:val="20"/>
                <w:szCs w:val="20"/>
                <w:lang w:eastAsia="en-US"/>
              </w:rPr>
              <w:t>Publication citation</w:t>
            </w:r>
          </w:p>
        </w:tc>
      </w:tr>
      <w:tr w:rsidR="00330CC4" w:rsidRPr="005802E9" w:rsidTr="004864C7">
        <w:tc>
          <w:tcPr>
            <w:tcW w:w="5000" w:type="pct"/>
            <w:gridSpan w:val="3"/>
            <w:vAlign w:val="center"/>
          </w:tcPr>
          <w:p w:rsidR="00330CC4" w:rsidRPr="005802E9" w:rsidRDefault="00330CC4" w:rsidP="004864C7">
            <w:pPr>
              <w:jc w:val="left"/>
              <w:rPr>
                <w:rFonts w:ascii="Arial Narrow" w:hAnsi="Arial Narrow" w:cs="Times New Roman"/>
                <w:b/>
                <w:sz w:val="20"/>
                <w:szCs w:val="20"/>
                <w:lang w:eastAsia="en-US"/>
              </w:rPr>
            </w:pPr>
            <w:r w:rsidRPr="005802E9">
              <w:rPr>
                <w:rFonts w:ascii="Arial Narrow" w:hAnsi="Arial Narrow" w:cs="Times New Roman"/>
                <w:b/>
                <w:sz w:val="20"/>
                <w:szCs w:val="20"/>
                <w:lang w:eastAsia="en-US"/>
              </w:rPr>
              <w:t>Crisaborole trials</w:t>
            </w:r>
          </w:p>
        </w:tc>
      </w:tr>
      <w:tr w:rsidR="00330CC4" w:rsidRPr="005802E9" w:rsidTr="004864C7">
        <w:tc>
          <w:tcPr>
            <w:tcW w:w="796" w:type="pct"/>
            <w:vMerge w:val="restart"/>
            <w:vAlign w:val="center"/>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AD-301</w:t>
            </w:r>
          </w:p>
        </w:tc>
        <w:tc>
          <w:tcPr>
            <w:tcW w:w="3027" w:type="pct"/>
            <w:vMerge w:val="restart"/>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Paller AS, Tom WL, Lebwohl MG et al (2016). Efficacy and safety of crisaborole ointment, a novel, nonsteroidal phosphodiesterase 4 (PDE4) inhibitor for the topical treatment of atopic dermatitis (AD) in children and adults</w:t>
            </w: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Yosipovitch G, Simpson EL, Tan H, et al (2018). Effect of crisaborole topical ointment, 2%, on atopic dermatitis–associated pruritus: an extended analysis of 2 phase 3 clinical trials.</w:t>
            </w: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Yosipovitch G, Simpson EL, Bushmakin AG et al (2018). Assessment of pruritus in atopic dermatitis: validation of the Severity of Pruritus Scale (SPS)</w:t>
            </w: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Study AD-301 (23 November 2015). A multicenter, randomized, double-blind, vehicle-controlled study of the safety and efficacy of AN2728 topical ointment, 2% in children, adolescents, and adults (ages 2 years and older) with atopic dermatitis</w:t>
            </w:r>
          </w:p>
        </w:tc>
        <w:tc>
          <w:tcPr>
            <w:tcW w:w="1177" w:type="pct"/>
            <w:tcBorders>
              <w:bottom w:val="nil"/>
            </w:tcBorders>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 xml:space="preserve">Journal of the American Academy of Dermatology, 75(3):494-503 </w:t>
            </w: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Itch, 3:e12</w:t>
            </w: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Itch, 3:e13</w:t>
            </w: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Internal study report</w:t>
            </w:r>
          </w:p>
        </w:tc>
      </w:tr>
      <w:tr w:rsidR="00330CC4" w:rsidRPr="005802E9" w:rsidTr="004864C7">
        <w:trPr>
          <w:trHeight w:val="63"/>
        </w:trPr>
        <w:tc>
          <w:tcPr>
            <w:tcW w:w="796" w:type="pct"/>
            <w:vMerge/>
            <w:tcBorders>
              <w:bottom w:val="nil"/>
            </w:tcBorders>
            <w:vAlign w:val="center"/>
          </w:tcPr>
          <w:p w:rsidR="00330CC4" w:rsidRPr="005802E9" w:rsidRDefault="00330CC4" w:rsidP="004864C7">
            <w:pPr>
              <w:jc w:val="left"/>
              <w:rPr>
                <w:rFonts w:ascii="Arial Narrow" w:hAnsi="Arial Narrow" w:cs="Times New Roman"/>
                <w:sz w:val="20"/>
                <w:szCs w:val="20"/>
                <w:lang w:eastAsia="en-US"/>
              </w:rPr>
            </w:pPr>
          </w:p>
        </w:tc>
        <w:tc>
          <w:tcPr>
            <w:tcW w:w="3027" w:type="pct"/>
            <w:vMerge/>
            <w:tcBorders>
              <w:bottom w:val="nil"/>
            </w:tcBorders>
          </w:tcPr>
          <w:p w:rsidR="00330CC4" w:rsidRPr="005802E9" w:rsidRDefault="00330CC4" w:rsidP="004864C7">
            <w:pPr>
              <w:jc w:val="left"/>
              <w:rPr>
                <w:rFonts w:ascii="Arial Narrow" w:hAnsi="Arial Narrow" w:cs="Times New Roman"/>
                <w:sz w:val="20"/>
                <w:szCs w:val="20"/>
              </w:rPr>
            </w:pPr>
          </w:p>
        </w:tc>
        <w:tc>
          <w:tcPr>
            <w:tcW w:w="1177" w:type="pct"/>
            <w:tcBorders>
              <w:top w:val="nil"/>
              <w:bottom w:val="nil"/>
            </w:tcBorders>
          </w:tcPr>
          <w:p w:rsidR="00330CC4" w:rsidRPr="005802E9" w:rsidRDefault="00330CC4" w:rsidP="004864C7">
            <w:pPr>
              <w:jc w:val="left"/>
              <w:rPr>
                <w:rFonts w:ascii="Arial Narrow" w:hAnsi="Arial Narrow" w:cs="Times New Roman"/>
                <w:sz w:val="20"/>
                <w:szCs w:val="20"/>
              </w:rPr>
            </w:pPr>
          </w:p>
        </w:tc>
      </w:tr>
      <w:tr w:rsidR="00330CC4" w:rsidRPr="005802E9" w:rsidTr="004864C7">
        <w:trPr>
          <w:trHeight w:val="708"/>
        </w:trPr>
        <w:tc>
          <w:tcPr>
            <w:tcW w:w="796" w:type="pct"/>
            <w:vAlign w:val="center"/>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AD-302</w:t>
            </w:r>
          </w:p>
        </w:tc>
        <w:tc>
          <w:tcPr>
            <w:tcW w:w="3027" w:type="pct"/>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Paller AS, Tom WL, Lebwohl MG et al (2016). Efficacy and safety of crisaborole ointment, a novel, nonsteroidal phosphodiesterase 4 (PDE4) inhibitor for the topical treatment of atopic dermatitis (AD) in children and adults</w:t>
            </w: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Yosipovitch G, Simpson EL, Tan H, et al (2018). Effect of crisaborole topical ointment, 2%, on atopic dermatitis–associated pruritus: an extended analysis of 2 phase 3 clinical trials</w:t>
            </w: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Yosipovitch G, Simpson EL, Bushmakin AG et al (2018). Assessment of pruritus in atopic dermatitis: validation of the Severity of Pruritus Scale (SPS)</w:t>
            </w: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Study AD-302 (23 November 2015). A multicenter, randomized, double-blind, vehicle-controlled study of the safety and efficacy of AN2728 topical ointment, 2% in children, adolescents, and adults (ages 2 years and older) with atopic dermatitis</w:t>
            </w:r>
          </w:p>
        </w:tc>
        <w:tc>
          <w:tcPr>
            <w:tcW w:w="1177" w:type="pct"/>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 xml:space="preserve">Journal of the American Academy of Dermatology, 75(3):494-503 </w:t>
            </w: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Itch, 3:e12</w:t>
            </w: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Itch, 3:e13</w:t>
            </w: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Internal study report</w:t>
            </w: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p>
        </w:tc>
      </w:tr>
      <w:tr w:rsidR="00330CC4" w:rsidRPr="005802E9" w:rsidTr="004864C7">
        <w:tc>
          <w:tcPr>
            <w:tcW w:w="796" w:type="pct"/>
            <w:vAlign w:val="center"/>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AD-303 extension study</w:t>
            </w:r>
          </w:p>
        </w:tc>
        <w:tc>
          <w:tcPr>
            <w:tcW w:w="3027" w:type="pct"/>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Eichenfield LF, Call RS, Forsha DW et al (2017). Long term safety of crisaborole ointment 2% in children and adults with mild to moderate atopic dermatitis</w:t>
            </w: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Study AD-303 (24 November 2015). A multicenter, open-label study of the long-term safety of AN2728 topical ointment, 2% in the treatment of children, adolescents, and adults (Ages 2 Years and Older) with atopic dermatitis</w:t>
            </w:r>
          </w:p>
        </w:tc>
        <w:tc>
          <w:tcPr>
            <w:tcW w:w="1177" w:type="pct"/>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Journal of the American Academy of Dermatology, 77:641-649</w:t>
            </w: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Internal study report</w:t>
            </w: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 xml:space="preserve"> </w:t>
            </w:r>
          </w:p>
        </w:tc>
      </w:tr>
      <w:tr w:rsidR="00330CC4" w:rsidRPr="005802E9" w:rsidTr="004864C7">
        <w:tc>
          <w:tcPr>
            <w:tcW w:w="5000" w:type="pct"/>
            <w:gridSpan w:val="3"/>
            <w:tcBorders>
              <w:bottom w:val="single" w:sz="4" w:space="0" w:color="auto"/>
            </w:tcBorders>
            <w:vAlign w:val="center"/>
          </w:tcPr>
          <w:p w:rsidR="00330CC4" w:rsidRPr="005802E9" w:rsidRDefault="00330CC4" w:rsidP="004864C7">
            <w:pPr>
              <w:jc w:val="left"/>
              <w:rPr>
                <w:rFonts w:ascii="Arial Narrow" w:hAnsi="Arial Narrow" w:cs="Times New Roman"/>
                <w:b/>
                <w:sz w:val="20"/>
                <w:szCs w:val="20"/>
                <w:lang w:eastAsia="en-US"/>
              </w:rPr>
            </w:pPr>
            <w:r w:rsidRPr="005802E9">
              <w:rPr>
                <w:rFonts w:ascii="Arial Narrow" w:hAnsi="Arial Narrow" w:cs="Times New Roman"/>
                <w:b/>
                <w:sz w:val="20"/>
                <w:szCs w:val="20"/>
                <w:lang w:eastAsia="en-US"/>
              </w:rPr>
              <w:t>Pimecrolimus trials</w:t>
            </w:r>
          </w:p>
        </w:tc>
      </w:tr>
      <w:tr w:rsidR="00330CC4" w:rsidRPr="005802E9" w:rsidTr="004864C7">
        <w:tc>
          <w:tcPr>
            <w:tcW w:w="796" w:type="pct"/>
            <w:tcBorders>
              <w:bottom w:val="single" w:sz="4" w:space="0" w:color="auto"/>
            </w:tcBorders>
            <w:vAlign w:val="center"/>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Barba 2003</w:t>
            </w:r>
          </w:p>
        </w:tc>
        <w:tc>
          <w:tcPr>
            <w:tcW w:w="3027" w:type="pct"/>
            <w:tcBorders>
              <w:bottom w:val="single" w:sz="4" w:space="0" w:color="auto"/>
            </w:tcBorders>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 xml:space="preserve">Barba JF (2003). Pimecrolimus cream 1% is effective, well tolerated and safe in infants/children with atopic eczema of the face. The 12th Congress of the European Academy of Dermatology and Venereology. Barcelona, Spain 15-18th October 2003. </w:t>
            </w:r>
          </w:p>
        </w:tc>
        <w:tc>
          <w:tcPr>
            <w:tcW w:w="1177" w:type="pct"/>
            <w:tcBorders>
              <w:bottom w:val="single" w:sz="4" w:space="0" w:color="auto"/>
            </w:tcBorders>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Journal of the European Academy of Dermatology And Venereology, Abstract P2-35</w:t>
            </w:r>
          </w:p>
        </w:tc>
      </w:tr>
      <w:tr w:rsidR="00330CC4" w:rsidRPr="005802E9" w:rsidTr="004864C7">
        <w:tc>
          <w:tcPr>
            <w:tcW w:w="796" w:type="pct"/>
            <w:vAlign w:val="center"/>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Trials B305 and B307</w:t>
            </w:r>
          </w:p>
        </w:tc>
        <w:tc>
          <w:tcPr>
            <w:tcW w:w="3027" w:type="pct"/>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Eichenfield LF, Lucky AW, Boguniewicz M et al (2002). Safety and efficacy of pimecrolimus (ASM 981) cream 1% in the treatment of mild and moderate atopic dermatitis in children and adolescents</w:t>
            </w: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 xml:space="preserve">Langley, RG, Eichenfield LF, Lucky AW et al (2008). Sustained efficacy and safety of pimecrolimus cream 1% when used long-term (up to 26 weeks) to treat children with atopic dermatitis </w:t>
            </w: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Whalley D, Huels J, McKenna SP et al (2002). The benefit of pimecrolimus (Elidel, SDZ ASM 981) on parents’ quality of life in the treatment of pediatric atopic dermatitis</w:t>
            </w:r>
          </w:p>
        </w:tc>
        <w:tc>
          <w:tcPr>
            <w:tcW w:w="1177" w:type="pct"/>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Journal of the American Academy of Dermatology, 46(4):495-504</w:t>
            </w: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Pediatric dermatology, 25(3):301-307</w:t>
            </w:r>
          </w:p>
          <w:p w:rsidR="00330CC4" w:rsidRPr="005802E9" w:rsidRDefault="00330CC4" w:rsidP="004864C7">
            <w:pPr>
              <w:jc w:val="left"/>
              <w:rPr>
                <w:rFonts w:ascii="Arial Narrow" w:hAnsi="Arial Narrow" w:cs="Times New Roman"/>
                <w:sz w:val="20"/>
                <w:szCs w:val="20"/>
                <w:lang w:eastAsia="en-US"/>
              </w:rPr>
            </w:pPr>
          </w:p>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Pediatrics, 110(6):1133-1136</w:t>
            </w:r>
          </w:p>
        </w:tc>
      </w:tr>
      <w:tr w:rsidR="00330CC4" w:rsidRPr="005802E9" w:rsidTr="00330CC4">
        <w:tc>
          <w:tcPr>
            <w:tcW w:w="796" w:type="pct"/>
            <w:tcBorders>
              <w:top w:val="single" w:sz="4" w:space="0" w:color="auto"/>
              <w:left w:val="single" w:sz="4" w:space="0" w:color="auto"/>
              <w:bottom w:val="single" w:sz="4" w:space="0" w:color="auto"/>
              <w:right w:val="single" w:sz="4" w:space="0" w:color="auto"/>
            </w:tcBorders>
            <w:vAlign w:val="center"/>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Leung 2009</w:t>
            </w:r>
          </w:p>
        </w:tc>
        <w:tc>
          <w:tcPr>
            <w:tcW w:w="3027" w:type="pct"/>
            <w:tcBorders>
              <w:top w:val="single" w:sz="4" w:space="0" w:color="auto"/>
              <w:left w:val="single" w:sz="4" w:space="0" w:color="auto"/>
              <w:bottom w:val="single" w:sz="4" w:space="0" w:color="auto"/>
              <w:right w:val="single" w:sz="4" w:space="0" w:color="auto"/>
            </w:tcBorders>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t xml:space="preserve">Leung DY, Hanifin JM, Pariser DM et al (2009). Effects of pimecrolimus cream 1% in the treatment of patients with atopic dermatitis who </w:t>
            </w:r>
            <w:r w:rsidRPr="005802E9">
              <w:rPr>
                <w:rFonts w:ascii="Arial Narrow" w:hAnsi="Arial Narrow" w:cs="Times New Roman"/>
                <w:sz w:val="20"/>
                <w:szCs w:val="20"/>
                <w:lang w:eastAsia="en-US"/>
              </w:rPr>
              <w:lastRenderedPageBreak/>
              <w:t>demonstrate a clinical insensitivity to topical corticosteroids: a randomized, multicentre vehicle-controlled trial</w:t>
            </w:r>
          </w:p>
        </w:tc>
        <w:tc>
          <w:tcPr>
            <w:tcW w:w="1177" w:type="pct"/>
            <w:tcBorders>
              <w:top w:val="single" w:sz="4" w:space="0" w:color="auto"/>
              <w:left w:val="single" w:sz="4" w:space="0" w:color="auto"/>
              <w:bottom w:val="single" w:sz="4" w:space="0" w:color="auto"/>
              <w:right w:val="single" w:sz="4" w:space="0" w:color="auto"/>
            </w:tcBorders>
          </w:tcPr>
          <w:p w:rsidR="00330CC4" w:rsidRPr="005802E9" w:rsidRDefault="00330CC4" w:rsidP="004864C7">
            <w:pPr>
              <w:jc w:val="left"/>
              <w:rPr>
                <w:rFonts w:ascii="Arial Narrow" w:hAnsi="Arial Narrow" w:cs="Times New Roman"/>
                <w:sz w:val="20"/>
                <w:szCs w:val="20"/>
                <w:lang w:eastAsia="en-US"/>
              </w:rPr>
            </w:pPr>
            <w:r w:rsidRPr="005802E9">
              <w:rPr>
                <w:rFonts w:ascii="Arial Narrow" w:hAnsi="Arial Narrow" w:cs="Times New Roman"/>
                <w:sz w:val="20"/>
                <w:szCs w:val="20"/>
                <w:lang w:eastAsia="en-US"/>
              </w:rPr>
              <w:lastRenderedPageBreak/>
              <w:t>British Journal of Dermatology, 161(2):435-443</w:t>
            </w:r>
          </w:p>
        </w:tc>
      </w:tr>
    </w:tbl>
    <w:p w:rsidR="008E0D3C" w:rsidRPr="005802E9" w:rsidRDefault="008E0D3C" w:rsidP="00EC5836">
      <w:pPr>
        <w:pStyle w:val="TableFigureFooter"/>
        <w:rPr>
          <w:sz w:val="20"/>
        </w:rPr>
      </w:pPr>
      <w:r w:rsidRPr="005802E9">
        <w:t xml:space="preserve">Source: </w:t>
      </w:r>
      <w:r w:rsidR="00330CC4" w:rsidRPr="005802E9">
        <w:t>Table 2.2-1, pp38-42 and Table 2.2-1, pp86-87 of the resubmission</w:t>
      </w:r>
    </w:p>
    <w:p w:rsidR="007F1017" w:rsidRPr="005802E9" w:rsidRDefault="008F120A" w:rsidP="00EC5836">
      <w:pPr>
        <w:pStyle w:val="ExecSumBodyText"/>
        <w:rPr>
          <w:color w:val="0066FF"/>
        </w:rPr>
      </w:pPr>
      <w:r w:rsidRPr="005802E9">
        <w:t xml:space="preserve">The key features of the </w:t>
      </w:r>
      <w:r w:rsidR="00621ADA" w:rsidRPr="005802E9">
        <w:t xml:space="preserve">included </w:t>
      </w:r>
      <w:r w:rsidR="00330CC4" w:rsidRPr="005802E9">
        <w:t>trials</w:t>
      </w:r>
      <w:r w:rsidRPr="005802E9">
        <w:t xml:space="preserve"> are summarised in the table below.</w:t>
      </w:r>
    </w:p>
    <w:p w:rsidR="007F1017" w:rsidRPr="005802E9" w:rsidRDefault="00187263" w:rsidP="001D59EF">
      <w:pPr>
        <w:pStyle w:val="TableFigureCaption"/>
      </w:pPr>
      <w:r w:rsidRPr="005802E9">
        <w:t>Table 4</w:t>
      </w:r>
      <w:r w:rsidR="007F1017" w:rsidRPr="005802E9">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3"/>
        <w:gridCol w:w="840"/>
        <w:gridCol w:w="1410"/>
        <w:gridCol w:w="914"/>
        <w:gridCol w:w="1751"/>
        <w:gridCol w:w="1122"/>
        <w:gridCol w:w="1697"/>
      </w:tblGrid>
      <w:tr w:rsidR="0079535A" w:rsidRPr="005802E9" w:rsidTr="004864C7">
        <w:tc>
          <w:tcPr>
            <w:tcW w:w="711" w:type="pct"/>
            <w:shd w:val="clear" w:color="auto" w:fill="auto"/>
            <w:vAlign w:val="center"/>
          </w:tcPr>
          <w:p w:rsidR="0079535A" w:rsidRPr="005802E9" w:rsidRDefault="0079535A" w:rsidP="001D59EF">
            <w:pPr>
              <w:pStyle w:val="Tabletext0"/>
              <w:keepNext/>
              <w:rPr>
                <w:b/>
              </w:rPr>
            </w:pPr>
            <w:r w:rsidRPr="005802E9">
              <w:rPr>
                <w:b/>
              </w:rPr>
              <w:t>Trial</w:t>
            </w:r>
          </w:p>
        </w:tc>
        <w:tc>
          <w:tcPr>
            <w:tcW w:w="466" w:type="pct"/>
            <w:shd w:val="clear" w:color="auto" w:fill="auto"/>
            <w:vAlign w:val="center"/>
          </w:tcPr>
          <w:p w:rsidR="0079535A" w:rsidRPr="005802E9" w:rsidRDefault="0079535A" w:rsidP="001D59EF">
            <w:pPr>
              <w:keepNext/>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N</w:t>
            </w:r>
          </w:p>
        </w:tc>
        <w:tc>
          <w:tcPr>
            <w:tcW w:w="782" w:type="pct"/>
            <w:shd w:val="clear" w:color="auto" w:fill="auto"/>
            <w:vAlign w:val="center"/>
          </w:tcPr>
          <w:p w:rsidR="0079535A" w:rsidRPr="005802E9" w:rsidRDefault="0079535A" w:rsidP="001D59EF">
            <w:pPr>
              <w:keepNext/>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Design/ duration</w:t>
            </w:r>
          </w:p>
        </w:tc>
        <w:tc>
          <w:tcPr>
            <w:tcW w:w="507" w:type="pct"/>
            <w:shd w:val="clear" w:color="auto" w:fill="auto"/>
            <w:vAlign w:val="center"/>
          </w:tcPr>
          <w:p w:rsidR="0079535A" w:rsidRPr="005802E9" w:rsidRDefault="0079535A" w:rsidP="001D59EF">
            <w:pPr>
              <w:keepNext/>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Risk of bias</w:t>
            </w:r>
          </w:p>
        </w:tc>
        <w:tc>
          <w:tcPr>
            <w:tcW w:w="971" w:type="pct"/>
            <w:shd w:val="clear" w:color="auto" w:fill="auto"/>
            <w:vAlign w:val="center"/>
          </w:tcPr>
          <w:p w:rsidR="0079535A" w:rsidRPr="005802E9" w:rsidRDefault="0079535A" w:rsidP="001D59EF">
            <w:pPr>
              <w:keepNext/>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Patient population</w:t>
            </w:r>
          </w:p>
        </w:tc>
        <w:tc>
          <w:tcPr>
            <w:tcW w:w="622" w:type="pct"/>
            <w:shd w:val="clear" w:color="auto" w:fill="auto"/>
            <w:vAlign w:val="center"/>
          </w:tcPr>
          <w:p w:rsidR="0079535A" w:rsidRPr="005802E9" w:rsidRDefault="0079535A" w:rsidP="001D59EF">
            <w:pPr>
              <w:keepNext/>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Outcomes</w:t>
            </w:r>
          </w:p>
        </w:tc>
        <w:tc>
          <w:tcPr>
            <w:tcW w:w="941" w:type="pct"/>
            <w:shd w:val="clear" w:color="auto" w:fill="auto"/>
            <w:vAlign w:val="center"/>
          </w:tcPr>
          <w:p w:rsidR="0079535A" w:rsidRPr="005802E9" w:rsidRDefault="0079535A" w:rsidP="001D59EF">
            <w:pPr>
              <w:keepNext/>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Use in modelled evaluation</w:t>
            </w:r>
          </w:p>
        </w:tc>
      </w:tr>
      <w:tr w:rsidR="0079535A" w:rsidRPr="005802E9" w:rsidTr="004864C7">
        <w:tc>
          <w:tcPr>
            <w:tcW w:w="5000" w:type="pct"/>
            <w:gridSpan w:val="7"/>
            <w:shd w:val="clear" w:color="auto" w:fill="auto"/>
            <w:vAlign w:val="center"/>
          </w:tcPr>
          <w:p w:rsidR="0079535A" w:rsidRPr="005802E9" w:rsidRDefault="0079535A" w:rsidP="001D59EF">
            <w:pPr>
              <w:keepNext/>
              <w:jc w:val="left"/>
              <w:rPr>
                <w:rFonts w:ascii="Arial Narrow" w:hAnsi="Arial Narrow" w:cs="Times New Roman"/>
                <w:b/>
                <w:sz w:val="20"/>
                <w:szCs w:val="22"/>
                <w:lang w:eastAsia="en-US"/>
              </w:rPr>
            </w:pPr>
            <w:r w:rsidRPr="005802E9">
              <w:rPr>
                <w:rFonts w:ascii="Arial Narrow" w:hAnsi="Arial Narrow" w:cs="Times New Roman"/>
                <w:b/>
                <w:sz w:val="20"/>
                <w:szCs w:val="22"/>
                <w:lang w:eastAsia="en-US"/>
              </w:rPr>
              <w:t>Crisaborole vs. ointment vehicle</w:t>
            </w:r>
          </w:p>
        </w:tc>
      </w:tr>
      <w:tr w:rsidR="004864C7" w:rsidRPr="005802E9" w:rsidTr="004864C7">
        <w:tc>
          <w:tcPr>
            <w:tcW w:w="711" w:type="pct"/>
            <w:shd w:val="clear" w:color="auto" w:fill="auto"/>
            <w:vAlign w:val="center"/>
          </w:tcPr>
          <w:p w:rsidR="004864C7" w:rsidRPr="005802E9" w:rsidRDefault="004864C7" w:rsidP="001D59EF">
            <w:pPr>
              <w:keepNext/>
              <w:jc w:val="left"/>
              <w:rPr>
                <w:rFonts w:ascii="Arial Narrow" w:hAnsi="Arial Narrow" w:cs="Times New Roman"/>
                <w:sz w:val="20"/>
                <w:szCs w:val="22"/>
                <w:vertAlign w:val="superscript"/>
                <w:lang w:eastAsia="en-US"/>
              </w:rPr>
            </w:pPr>
            <w:r w:rsidRPr="005802E9">
              <w:rPr>
                <w:rFonts w:ascii="Arial Narrow" w:hAnsi="Arial Narrow" w:cs="Times New Roman"/>
                <w:sz w:val="20"/>
                <w:szCs w:val="22"/>
                <w:lang w:eastAsia="en-US"/>
              </w:rPr>
              <w:t>AD-301</w:t>
            </w:r>
            <w:r w:rsidRPr="005802E9">
              <w:rPr>
                <w:rFonts w:ascii="Arial Narrow" w:hAnsi="Arial Narrow" w:cs="Times New Roman"/>
                <w:sz w:val="20"/>
                <w:szCs w:val="22"/>
                <w:vertAlign w:val="superscript"/>
                <w:lang w:eastAsia="en-US"/>
              </w:rPr>
              <w:t>a</w:t>
            </w:r>
          </w:p>
        </w:tc>
        <w:tc>
          <w:tcPr>
            <w:tcW w:w="466"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763</w:t>
            </w:r>
          </w:p>
        </w:tc>
        <w:tc>
          <w:tcPr>
            <w:tcW w:w="782"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MC, DB, R, VC</w:t>
            </w:r>
          </w:p>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29 days</w:t>
            </w:r>
          </w:p>
        </w:tc>
        <w:tc>
          <w:tcPr>
            <w:tcW w:w="507"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Low</w:t>
            </w:r>
          </w:p>
        </w:tc>
        <w:tc>
          <w:tcPr>
            <w:tcW w:w="971"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≥2 years old with mild to moderate AD</w:t>
            </w:r>
          </w:p>
        </w:tc>
        <w:tc>
          <w:tcPr>
            <w:tcW w:w="622" w:type="pct"/>
            <w:vMerge w:val="restar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ISGA 0 or 1 with ≥2-grade improvement; ISGA 0 or 1</w:t>
            </w:r>
          </w:p>
        </w:tc>
        <w:tc>
          <w:tcPr>
            <w:tcW w:w="941" w:type="pct"/>
            <w:vMerge w:val="restart"/>
            <w:shd w:val="clear" w:color="auto" w:fill="auto"/>
            <w:vAlign w:val="center"/>
          </w:tcPr>
          <w:p w:rsidR="004864C7" w:rsidRPr="00AA3915" w:rsidRDefault="004864C7" w:rsidP="001D59EF">
            <w:pPr>
              <w:keepNext/>
              <w:jc w:val="center"/>
              <w:rPr>
                <w:rFonts w:ascii="Arial Narrow" w:hAnsi="Arial Narrow" w:cs="Times New Roman"/>
                <w:sz w:val="20"/>
                <w:szCs w:val="22"/>
                <w:vertAlign w:val="superscript"/>
                <w:lang w:eastAsia="en-US"/>
              </w:rPr>
            </w:pPr>
            <w:r w:rsidRPr="005802E9">
              <w:rPr>
                <w:rFonts w:ascii="Arial Narrow" w:hAnsi="Arial Narrow" w:cs="Times New Roman"/>
                <w:sz w:val="20"/>
                <w:szCs w:val="22"/>
                <w:lang w:eastAsia="en-US"/>
              </w:rPr>
              <w:t>Post-hoc analyses of ISGA scores (descriptive results only) from the key trials AD-301, AD-302 and the AD-303 safety extension study, transformed to transition probabilities</w:t>
            </w:r>
            <w:r w:rsidR="00AA3915">
              <w:rPr>
                <w:rFonts w:ascii="Arial Narrow" w:hAnsi="Arial Narrow" w:cs="Times New Roman"/>
                <w:sz w:val="20"/>
                <w:szCs w:val="22"/>
                <w:vertAlign w:val="superscript"/>
                <w:lang w:eastAsia="en-US"/>
              </w:rPr>
              <w:t>c</w:t>
            </w:r>
          </w:p>
        </w:tc>
      </w:tr>
      <w:tr w:rsidR="004864C7" w:rsidRPr="005802E9" w:rsidTr="004864C7">
        <w:tc>
          <w:tcPr>
            <w:tcW w:w="711" w:type="pct"/>
            <w:shd w:val="clear" w:color="auto" w:fill="auto"/>
            <w:vAlign w:val="center"/>
          </w:tcPr>
          <w:p w:rsidR="004864C7" w:rsidRPr="005802E9" w:rsidRDefault="004864C7" w:rsidP="001D59EF">
            <w:pPr>
              <w:keepNext/>
              <w:jc w:val="left"/>
              <w:rPr>
                <w:rFonts w:ascii="Arial Narrow" w:hAnsi="Arial Narrow" w:cs="Times New Roman"/>
                <w:sz w:val="20"/>
                <w:szCs w:val="22"/>
                <w:vertAlign w:val="superscript"/>
                <w:lang w:eastAsia="en-US"/>
              </w:rPr>
            </w:pPr>
            <w:r w:rsidRPr="005802E9">
              <w:rPr>
                <w:rFonts w:ascii="Arial Narrow" w:hAnsi="Arial Narrow" w:cs="Times New Roman"/>
                <w:sz w:val="20"/>
                <w:szCs w:val="22"/>
                <w:lang w:eastAsia="en-US"/>
              </w:rPr>
              <w:t>AD-302</w:t>
            </w:r>
            <w:r w:rsidRPr="005802E9">
              <w:rPr>
                <w:rFonts w:ascii="Arial Narrow" w:hAnsi="Arial Narrow" w:cs="Times New Roman"/>
                <w:sz w:val="20"/>
                <w:szCs w:val="22"/>
                <w:vertAlign w:val="superscript"/>
                <w:lang w:eastAsia="en-US"/>
              </w:rPr>
              <w:t>a</w:t>
            </w:r>
          </w:p>
        </w:tc>
        <w:tc>
          <w:tcPr>
            <w:tcW w:w="466"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764</w:t>
            </w:r>
          </w:p>
        </w:tc>
        <w:tc>
          <w:tcPr>
            <w:tcW w:w="782"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MC, DB, R, VC</w:t>
            </w:r>
          </w:p>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29 days</w:t>
            </w:r>
          </w:p>
        </w:tc>
        <w:tc>
          <w:tcPr>
            <w:tcW w:w="507"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Low</w:t>
            </w:r>
          </w:p>
        </w:tc>
        <w:tc>
          <w:tcPr>
            <w:tcW w:w="971"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≥2 years old with mild to moderate AD</w:t>
            </w:r>
          </w:p>
        </w:tc>
        <w:tc>
          <w:tcPr>
            <w:tcW w:w="622" w:type="pct"/>
            <w:vMerge/>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p>
        </w:tc>
        <w:tc>
          <w:tcPr>
            <w:tcW w:w="941" w:type="pct"/>
            <w:vMerge/>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p>
        </w:tc>
      </w:tr>
      <w:tr w:rsidR="004864C7" w:rsidRPr="005802E9" w:rsidTr="004864C7">
        <w:tc>
          <w:tcPr>
            <w:tcW w:w="711" w:type="pct"/>
            <w:shd w:val="clear" w:color="auto" w:fill="auto"/>
            <w:vAlign w:val="center"/>
          </w:tcPr>
          <w:p w:rsidR="004864C7" w:rsidRPr="005802E9" w:rsidRDefault="004864C7" w:rsidP="001D59EF">
            <w:pPr>
              <w:keepNext/>
              <w:jc w:val="left"/>
              <w:rPr>
                <w:rFonts w:ascii="Arial Narrow" w:hAnsi="Arial Narrow" w:cs="Times New Roman"/>
                <w:sz w:val="20"/>
                <w:szCs w:val="22"/>
                <w:lang w:eastAsia="en-US"/>
              </w:rPr>
            </w:pPr>
            <w:r w:rsidRPr="005802E9">
              <w:rPr>
                <w:rFonts w:ascii="Arial Narrow" w:hAnsi="Arial Narrow" w:cs="Times New Roman"/>
                <w:sz w:val="20"/>
                <w:szCs w:val="22"/>
                <w:lang w:eastAsia="en-US"/>
              </w:rPr>
              <w:t>AD-303 extension study</w:t>
            </w:r>
          </w:p>
        </w:tc>
        <w:tc>
          <w:tcPr>
            <w:tcW w:w="466"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517</w:t>
            </w:r>
          </w:p>
        </w:tc>
        <w:tc>
          <w:tcPr>
            <w:tcW w:w="782"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MC, OL, SA</w:t>
            </w:r>
          </w:p>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 xml:space="preserve">Up to 48 weeks </w:t>
            </w:r>
          </w:p>
        </w:tc>
        <w:tc>
          <w:tcPr>
            <w:tcW w:w="507"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High</w:t>
            </w:r>
          </w:p>
        </w:tc>
        <w:tc>
          <w:tcPr>
            <w:tcW w:w="971"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snapToGrid w:val="0"/>
                <w:sz w:val="20"/>
                <w:szCs w:val="20"/>
                <w:lang w:eastAsia="en-US"/>
              </w:rPr>
              <w:t>Patients who completed the AD-301 or AD-302 study</w:t>
            </w:r>
          </w:p>
        </w:tc>
        <w:tc>
          <w:tcPr>
            <w:tcW w:w="622"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Safety only</w:t>
            </w:r>
          </w:p>
        </w:tc>
        <w:tc>
          <w:tcPr>
            <w:tcW w:w="941" w:type="pct"/>
            <w:vMerge/>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p>
        </w:tc>
      </w:tr>
      <w:tr w:rsidR="004864C7" w:rsidRPr="005802E9" w:rsidTr="004864C7">
        <w:tc>
          <w:tcPr>
            <w:tcW w:w="711" w:type="pct"/>
            <w:shd w:val="clear" w:color="auto" w:fill="auto"/>
            <w:vAlign w:val="center"/>
          </w:tcPr>
          <w:p w:rsidR="004864C7" w:rsidRPr="005802E9" w:rsidRDefault="004864C7" w:rsidP="001D59EF">
            <w:pPr>
              <w:keepNext/>
              <w:jc w:val="left"/>
              <w:rPr>
                <w:rFonts w:ascii="Arial Narrow" w:hAnsi="Arial Narrow" w:cs="Times New Roman"/>
                <w:sz w:val="20"/>
                <w:szCs w:val="22"/>
                <w:lang w:eastAsia="en-US"/>
              </w:rPr>
            </w:pPr>
            <w:r w:rsidRPr="005802E9">
              <w:rPr>
                <w:rFonts w:ascii="Arial Narrow" w:hAnsi="Arial Narrow" w:cs="Times New Roman"/>
                <w:sz w:val="20"/>
                <w:szCs w:val="22"/>
                <w:lang w:eastAsia="en-US"/>
              </w:rPr>
              <w:t>Meta-analysis</w:t>
            </w:r>
          </w:p>
        </w:tc>
        <w:tc>
          <w:tcPr>
            <w:tcW w:w="466" w:type="pct"/>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1527</w:t>
            </w:r>
          </w:p>
        </w:tc>
        <w:tc>
          <w:tcPr>
            <w:tcW w:w="2882" w:type="pct"/>
            <w:gridSpan w:val="4"/>
            <w:shd w:val="clear" w:color="auto" w:fill="auto"/>
            <w:vAlign w:val="center"/>
          </w:tcPr>
          <w:p w:rsidR="004864C7" w:rsidRPr="005802E9" w:rsidRDefault="004864C7" w:rsidP="001D59EF">
            <w:pPr>
              <w:keepNext/>
              <w:jc w:val="left"/>
              <w:rPr>
                <w:rFonts w:ascii="Arial Narrow" w:hAnsi="Arial Narrow" w:cs="Times New Roman"/>
                <w:sz w:val="20"/>
                <w:szCs w:val="22"/>
                <w:lang w:eastAsia="en-US"/>
              </w:rPr>
            </w:pPr>
            <w:r w:rsidRPr="005802E9">
              <w:rPr>
                <w:rFonts w:ascii="Arial Narrow" w:hAnsi="Arial Narrow" w:cs="Times New Roman"/>
                <w:sz w:val="20"/>
                <w:szCs w:val="22"/>
                <w:lang w:eastAsia="en-US"/>
              </w:rPr>
              <w:t>Included ISGA outcomes from the crisaborole and ointment vehicle arms in Trials AD-301 and AD-302</w:t>
            </w:r>
          </w:p>
        </w:tc>
        <w:tc>
          <w:tcPr>
            <w:tcW w:w="941" w:type="pct"/>
            <w:vMerge/>
            <w:shd w:val="clear" w:color="auto" w:fill="auto"/>
            <w:vAlign w:val="center"/>
          </w:tcPr>
          <w:p w:rsidR="004864C7" w:rsidRPr="005802E9" w:rsidRDefault="004864C7" w:rsidP="001D59EF">
            <w:pPr>
              <w:keepNext/>
              <w:jc w:val="center"/>
              <w:rPr>
                <w:rFonts w:ascii="Arial Narrow" w:hAnsi="Arial Narrow" w:cs="Times New Roman"/>
                <w:sz w:val="20"/>
                <w:szCs w:val="22"/>
                <w:lang w:eastAsia="en-US"/>
              </w:rPr>
            </w:pPr>
          </w:p>
        </w:tc>
      </w:tr>
      <w:tr w:rsidR="0079535A" w:rsidRPr="005802E9" w:rsidTr="004864C7">
        <w:tc>
          <w:tcPr>
            <w:tcW w:w="5000" w:type="pct"/>
            <w:gridSpan w:val="7"/>
            <w:shd w:val="clear" w:color="auto" w:fill="auto"/>
            <w:vAlign w:val="center"/>
          </w:tcPr>
          <w:p w:rsidR="0079535A" w:rsidRPr="005802E9" w:rsidRDefault="0079535A" w:rsidP="001D59EF">
            <w:pPr>
              <w:keepNext/>
              <w:jc w:val="left"/>
              <w:rPr>
                <w:rFonts w:ascii="Arial Narrow" w:hAnsi="Arial Narrow" w:cs="Times New Roman"/>
                <w:b/>
                <w:sz w:val="20"/>
                <w:szCs w:val="22"/>
                <w:lang w:eastAsia="en-US"/>
              </w:rPr>
            </w:pPr>
            <w:r w:rsidRPr="005802E9">
              <w:rPr>
                <w:rFonts w:ascii="Arial Narrow" w:hAnsi="Arial Narrow" w:cs="Times New Roman"/>
                <w:b/>
                <w:sz w:val="20"/>
                <w:szCs w:val="22"/>
                <w:lang w:eastAsia="en-US"/>
              </w:rPr>
              <w:t>Pimecrolimus vs. cream vehicle</w:t>
            </w:r>
          </w:p>
        </w:tc>
      </w:tr>
      <w:tr w:rsidR="0079535A" w:rsidRPr="005802E9" w:rsidTr="004864C7">
        <w:tc>
          <w:tcPr>
            <w:tcW w:w="711" w:type="pct"/>
            <w:shd w:val="clear" w:color="auto" w:fill="auto"/>
            <w:vAlign w:val="center"/>
          </w:tcPr>
          <w:p w:rsidR="0079535A" w:rsidRPr="005802E9" w:rsidRDefault="0079535A" w:rsidP="001D59EF">
            <w:pPr>
              <w:keepNext/>
              <w:jc w:val="left"/>
              <w:rPr>
                <w:rFonts w:ascii="Arial Narrow" w:hAnsi="Arial Narrow" w:cs="Times New Roman"/>
                <w:sz w:val="20"/>
                <w:szCs w:val="22"/>
                <w:lang w:eastAsia="en-US"/>
              </w:rPr>
            </w:pPr>
            <w:r w:rsidRPr="005802E9">
              <w:rPr>
                <w:rFonts w:ascii="Arial Narrow" w:hAnsi="Arial Narrow" w:cs="Times New Roman"/>
                <w:sz w:val="20"/>
                <w:szCs w:val="20"/>
                <w:lang w:eastAsia="en-US"/>
              </w:rPr>
              <w:t>Barba 2003</w:t>
            </w:r>
          </w:p>
        </w:tc>
        <w:tc>
          <w:tcPr>
            <w:tcW w:w="466"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106</w:t>
            </w:r>
          </w:p>
        </w:tc>
        <w:tc>
          <w:tcPr>
            <w:tcW w:w="782"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MC, DB, R, VC</w:t>
            </w:r>
          </w:p>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3 weeks</w:t>
            </w:r>
          </w:p>
        </w:tc>
        <w:tc>
          <w:tcPr>
            <w:tcW w:w="507"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Unclear</w:t>
            </w:r>
          </w:p>
        </w:tc>
        <w:tc>
          <w:tcPr>
            <w:tcW w:w="971"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3 months to 18 years old with mild to moderate facial AD</w:t>
            </w:r>
          </w:p>
        </w:tc>
        <w:tc>
          <w:tcPr>
            <w:tcW w:w="622"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 xml:space="preserve">Facial-IGA of 0 or 1, IGA of 0 or 1, EASI score </w:t>
            </w:r>
          </w:p>
        </w:tc>
        <w:tc>
          <w:tcPr>
            <w:tcW w:w="941"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Not used</w:t>
            </w:r>
          </w:p>
        </w:tc>
      </w:tr>
      <w:tr w:rsidR="0079535A" w:rsidRPr="005802E9" w:rsidTr="004864C7">
        <w:tc>
          <w:tcPr>
            <w:tcW w:w="711" w:type="pct"/>
            <w:shd w:val="clear" w:color="auto" w:fill="auto"/>
            <w:vAlign w:val="center"/>
          </w:tcPr>
          <w:p w:rsidR="0079535A" w:rsidRPr="005802E9" w:rsidRDefault="0079535A" w:rsidP="001D59EF">
            <w:pPr>
              <w:keepNext/>
              <w:jc w:val="left"/>
              <w:rPr>
                <w:rFonts w:ascii="Arial Narrow" w:hAnsi="Arial Narrow" w:cs="Times New Roman"/>
                <w:sz w:val="20"/>
                <w:szCs w:val="22"/>
                <w:lang w:eastAsia="en-US"/>
              </w:rPr>
            </w:pPr>
            <w:r w:rsidRPr="005802E9">
              <w:rPr>
                <w:rFonts w:ascii="Arial Narrow" w:hAnsi="Arial Narrow" w:cs="Times New Roman"/>
                <w:sz w:val="20"/>
                <w:szCs w:val="20"/>
                <w:lang w:eastAsia="en-US"/>
              </w:rPr>
              <w:t>Trial B305</w:t>
            </w:r>
            <w:r w:rsidRPr="005802E9">
              <w:rPr>
                <w:rFonts w:ascii="Arial Narrow" w:hAnsi="Arial Narrow" w:cs="Times New Roman"/>
                <w:sz w:val="20"/>
                <w:szCs w:val="20"/>
                <w:vertAlign w:val="superscript"/>
                <w:lang w:eastAsia="en-US"/>
              </w:rPr>
              <w:t>b</w:t>
            </w:r>
            <w:r w:rsidRPr="005802E9">
              <w:rPr>
                <w:rFonts w:ascii="Arial Narrow" w:hAnsi="Arial Narrow" w:cs="Times New Roman"/>
                <w:sz w:val="20"/>
                <w:szCs w:val="20"/>
                <w:lang w:eastAsia="en-US"/>
              </w:rPr>
              <w:t xml:space="preserve"> </w:t>
            </w:r>
          </w:p>
        </w:tc>
        <w:tc>
          <w:tcPr>
            <w:tcW w:w="466"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198</w:t>
            </w:r>
          </w:p>
        </w:tc>
        <w:tc>
          <w:tcPr>
            <w:tcW w:w="782"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MC, DB, R, VC</w:t>
            </w:r>
          </w:p>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6 weeks</w:t>
            </w:r>
          </w:p>
        </w:tc>
        <w:tc>
          <w:tcPr>
            <w:tcW w:w="507"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Unclear</w:t>
            </w:r>
          </w:p>
        </w:tc>
        <w:tc>
          <w:tcPr>
            <w:tcW w:w="971"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1-17 years old with mild to moderate AD</w:t>
            </w:r>
          </w:p>
        </w:tc>
        <w:tc>
          <w:tcPr>
            <w:tcW w:w="622"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IGA 0 or 1, EASI score</w:t>
            </w:r>
          </w:p>
        </w:tc>
        <w:tc>
          <w:tcPr>
            <w:tcW w:w="941"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Not used</w:t>
            </w:r>
          </w:p>
        </w:tc>
      </w:tr>
      <w:tr w:rsidR="0079535A" w:rsidRPr="005802E9" w:rsidTr="004864C7">
        <w:tc>
          <w:tcPr>
            <w:tcW w:w="711" w:type="pct"/>
            <w:shd w:val="clear" w:color="auto" w:fill="auto"/>
            <w:vAlign w:val="center"/>
          </w:tcPr>
          <w:p w:rsidR="0079535A" w:rsidRPr="005802E9" w:rsidRDefault="0079535A" w:rsidP="001D59EF">
            <w:pPr>
              <w:keepNext/>
              <w:jc w:val="left"/>
              <w:rPr>
                <w:rFonts w:ascii="Arial Narrow" w:hAnsi="Arial Narrow" w:cs="Times New Roman"/>
                <w:sz w:val="20"/>
                <w:szCs w:val="22"/>
                <w:vertAlign w:val="superscript"/>
                <w:lang w:eastAsia="en-US"/>
              </w:rPr>
            </w:pPr>
            <w:r w:rsidRPr="005802E9">
              <w:rPr>
                <w:rFonts w:ascii="Arial Narrow" w:hAnsi="Arial Narrow" w:cs="Times New Roman"/>
                <w:sz w:val="20"/>
                <w:szCs w:val="20"/>
                <w:lang w:eastAsia="en-US"/>
              </w:rPr>
              <w:t>Trial B307</w:t>
            </w:r>
            <w:r w:rsidRPr="005802E9">
              <w:rPr>
                <w:rFonts w:ascii="Arial Narrow" w:hAnsi="Arial Narrow" w:cs="Times New Roman"/>
                <w:sz w:val="20"/>
                <w:szCs w:val="20"/>
                <w:vertAlign w:val="superscript"/>
                <w:lang w:eastAsia="en-US"/>
              </w:rPr>
              <w:t>b</w:t>
            </w:r>
          </w:p>
        </w:tc>
        <w:tc>
          <w:tcPr>
            <w:tcW w:w="466"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205</w:t>
            </w:r>
          </w:p>
        </w:tc>
        <w:tc>
          <w:tcPr>
            <w:tcW w:w="782"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MC, DB, R, VC</w:t>
            </w:r>
          </w:p>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6 weeks</w:t>
            </w:r>
          </w:p>
        </w:tc>
        <w:tc>
          <w:tcPr>
            <w:tcW w:w="507"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Unclear</w:t>
            </w:r>
          </w:p>
        </w:tc>
        <w:tc>
          <w:tcPr>
            <w:tcW w:w="971"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1-17 years old with mild to moderate AD</w:t>
            </w:r>
          </w:p>
        </w:tc>
        <w:tc>
          <w:tcPr>
            <w:tcW w:w="622"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IGA 0 or 1, EASI score</w:t>
            </w:r>
          </w:p>
        </w:tc>
        <w:tc>
          <w:tcPr>
            <w:tcW w:w="941"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Not used</w:t>
            </w:r>
          </w:p>
        </w:tc>
      </w:tr>
      <w:tr w:rsidR="0079535A" w:rsidRPr="005802E9" w:rsidTr="004864C7">
        <w:tc>
          <w:tcPr>
            <w:tcW w:w="711" w:type="pct"/>
            <w:shd w:val="clear" w:color="auto" w:fill="auto"/>
            <w:vAlign w:val="center"/>
          </w:tcPr>
          <w:p w:rsidR="0079535A" w:rsidRPr="005802E9" w:rsidRDefault="0079535A" w:rsidP="001D59EF">
            <w:pPr>
              <w:keepNext/>
              <w:jc w:val="left"/>
              <w:rPr>
                <w:rFonts w:ascii="Arial Narrow" w:hAnsi="Arial Narrow" w:cs="Times New Roman"/>
                <w:sz w:val="20"/>
                <w:szCs w:val="22"/>
                <w:lang w:eastAsia="en-US"/>
              </w:rPr>
            </w:pPr>
            <w:r w:rsidRPr="005802E9">
              <w:rPr>
                <w:rFonts w:ascii="Arial Narrow" w:hAnsi="Arial Narrow" w:cs="Times New Roman"/>
                <w:sz w:val="20"/>
                <w:szCs w:val="20"/>
                <w:lang w:eastAsia="en-US"/>
              </w:rPr>
              <w:t>Leung 2009</w:t>
            </w:r>
          </w:p>
        </w:tc>
        <w:tc>
          <w:tcPr>
            <w:tcW w:w="466"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73</w:t>
            </w:r>
          </w:p>
        </w:tc>
        <w:tc>
          <w:tcPr>
            <w:tcW w:w="782"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MC, DB, R, VC</w:t>
            </w:r>
          </w:p>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6 weeks</w:t>
            </w:r>
          </w:p>
        </w:tc>
        <w:tc>
          <w:tcPr>
            <w:tcW w:w="507"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Low</w:t>
            </w:r>
          </w:p>
        </w:tc>
        <w:tc>
          <w:tcPr>
            <w:tcW w:w="971"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 xml:space="preserve">2-50 years old with mild to moderate AD who have failed topical corticosteroids </w:t>
            </w:r>
          </w:p>
        </w:tc>
        <w:tc>
          <w:tcPr>
            <w:tcW w:w="622"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Relationship between laboratory and clinical assessments, IGA 0 or 1</w:t>
            </w:r>
          </w:p>
        </w:tc>
        <w:tc>
          <w:tcPr>
            <w:tcW w:w="941" w:type="pct"/>
            <w:shd w:val="clear" w:color="auto" w:fill="auto"/>
            <w:vAlign w:val="center"/>
          </w:tcPr>
          <w:p w:rsidR="0079535A" w:rsidRPr="005802E9" w:rsidRDefault="0079535A" w:rsidP="001D59EF">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Not used</w:t>
            </w:r>
          </w:p>
        </w:tc>
      </w:tr>
    </w:tbl>
    <w:p w:rsidR="0079535A" w:rsidRPr="005802E9" w:rsidRDefault="0079535A" w:rsidP="001D59EF">
      <w:pPr>
        <w:pStyle w:val="TableFigureFooter"/>
        <w:keepNext/>
      </w:pPr>
      <w:r w:rsidRPr="005802E9">
        <w:t xml:space="preserve">Source: compiled during the evaluation based on Table 2.2-1, pp38-42 and Table 2.2-1, pp86-87 of the resubmission </w:t>
      </w:r>
    </w:p>
    <w:p w:rsidR="0079535A" w:rsidRPr="005802E9" w:rsidRDefault="0079535A" w:rsidP="001D59EF">
      <w:pPr>
        <w:pStyle w:val="TableFigureFooter"/>
        <w:keepNext/>
      </w:pPr>
      <w:r w:rsidRPr="005802E9">
        <w:t>Abbreviations: AD, atopic dermatitis; DB, double blind; EASI, Eczema Area &amp; Severity Index; IGA, Investigator’s Global Assessment; ISGA, Investigator’s Static Global Assessment; MC, multi-centre;</w:t>
      </w:r>
      <w:r w:rsidR="004864C7" w:rsidRPr="005802E9">
        <w:t xml:space="preserve"> OL, open label;</w:t>
      </w:r>
      <w:r w:rsidRPr="005802E9">
        <w:t xml:space="preserve"> R, randomised; </w:t>
      </w:r>
      <w:r w:rsidR="004864C7" w:rsidRPr="005802E9">
        <w:t xml:space="preserve">SA, single arm; </w:t>
      </w:r>
      <w:r w:rsidRPr="005802E9">
        <w:t>VC, vehicle-controlled</w:t>
      </w:r>
    </w:p>
    <w:p w:rsidR="0079535A" w:rsidRPr="005802E9" w:rsidRDefault="0079535A" w:rsidP="001D59EF">
      <w:pPr>
        <w:pStyle w:val="TableFigureFooter"/>
        <w:keepNext/>
      </w:pPr>
      <w:r w:rsidRPr="005802E9">
        <w:rPr>
          <w:vertAlign w:val="superscript"/>
        </w:rPr>
        <w:t>a</w:t>
      </w:r>
      <w:r w:rsidRPr="005802E9">
        <w:t xml:space="preserve"> Identical study designs</w:t>
      </w:r>
    </w:p>
    <w:p w:rsidR="00AA3915" w:rsidRDefault="0079535A" w:rsidP="00AA3915">
      <w:pPr>
        <w:pStyle w:val="TableFigureFooter"/>
        <w:keepNext/>
      </w:pPr>
      <w:r w:rsidRPr="005802E9">
        <w:rPr>
          <w:vertAlign w:val="superscript"/>
        </w:rPr>
        <w:t>b</w:t>
      </w:r>
      <w:r w:rsidRPr="005802E9">
        <w:t xml:space="preserve"> Identical study designs</w:t>
      </w:r>
    </w:p>
    <w:p w:rsidR="00AA3915" w:rsidRPr="00E51C31" w:rsidRDefault="00AA3915" w:rsidP="00AA3915">
      <w:pPr>
        <w:pStyle w:val="TableFigureFooter"/>
        <w:keepNext/>
        <w:rPr>
          <w:b/>
        </w:rPr>
      </w:pPr>
      <w:r w:rsidRPr="00E51C31">
        <w:rPr>
          <w:vertAlign w:val="superscript"/>
        </w:rPr>
        <w:t>c</w:t>
      </w:r>
      <w:r w:rsidRPr="00E51C31">
        <w:t xml:space="preserve"> Note that the analyses described here are derived from post-hoc analyses conducted by the applicant specifically for the purposes of informing the PBAC consideration. These analyses were not part of the pre-specified statistical plan for Studies AD-301, AD-302 or AD-303.  Interpretation of the results and their application should therefore be limited to seeking to understand the basis for the PBAC outcome and should not be used for any other purpose.</w:t>
      </w:r>
    </w:p>
    <w:p w:rsidR="00AA3915" w:rsidRPr="005802E9" w:rsidRDefault="00AA3915" w:rsidP="001D59EF">
      <w:pPr>
        <w:pStyle w:val="TableFigureFooter"/>
        <w:keepNext/>
        <w:rPr>
          <w:sz w:val="20"/>
        </w:rPr>
      </w:pPr>
    </w:p>
    <w:p w:rsidR="00045017" w:rsidRPr="005802E9" w:rsidRDefault="004864C7" w:rsidP="0079535A">
      <w:pPr>
        <w:pStyle w:val="ExecSumBodyText"/>
      </w:pPr>
      <w:r w:rsidRPr="005802E9">
        <w:t xml:space="preserve">The AD-303 study was not designed to evaluate efficacy, however, disease severity based on ISGA score was assessed at 28-day intervals. The resubmission conducted post-hoc efficacy analyses using individual patient data. </w:t>
      </w:r>
      <w:r w:rsidR="005C74AD" w:rsidRPr="005802E9">
        <w:t>The ESC agreed with the commentary that</w:t>
      </w:r>
      <w:r w:rsidR="005C74AD" w:rsidRPr="005802E9">
        <w:rPr>
          <w:i/>
        </w:rPr>
        <w:t xml:space="preserve"> </w:t>
      </w:r>
      <w:r w:rsidR="005C74AD" w:rsidRPr="005802E9">
        <w:t>r</w:t>
      </w:r>
      <w:r w:rsidRPr="005802E9">
        <w:t>esults from the analyses are subject to a high risk of bias</w:t>
      </w:r>
      <w:r w:rsidR="00E70AFC" w:rsidRPr="005802E9">
        <w:t>.</w:t>
      </w:r>
      <w:r w:rsidRPr="005802E9">
        <w:t xml:space="preserve"> </w:t>
      </w:r>
    </w:p>
    <w:p w:rsidR="004864C7" w:rsidRPr="005802E9" w:rsidRDefault="004864C7" w:rsidP="004864C7">
      <w:pPr>
        <w:pStyle w:val="ExecSumBodyText"/>
      </w:pPr>
      <w:r w:rsidRPr="005802E9">
        <w:t>There was limited information reported for the Barba 2003 trial</w:t>
      </w:r>
      <w:r w:rsidR="004057DC" w:rsidRPr="005802E9">
        <w:t>,</w:t>
      </w:r>
      <w:r w:rsidRPr="005802E9">
        <w:t xml:space="preserve"> which was only available in an abstract. The overall risk of bias was unclear.</w:t>
      </w:r>
    </w:p>
    <w:p w:rsidR="004864C7" w:rsidRPr="005802E9" w:rsidRDefault="004864C7" w:rsidP="004864C7">
      <w:pPr>
        <w:pStyle w:val="ExecSumBodyText"/>
      </w:pPr>
      <w:r w:rsidRPr="005802E9">
        <w:t xml:space="preserve">The overall risk of bias for Trials B305 and B307 was unclear as data were only reported as a pooled analysis in the publication. During the evaluation, additional data from the </w:t>
      </w:r>
      <w:r w:rsidRPr="005802E9">
        <w:lastRenderedPageBreak/>
        <w:t>individual studies were extracted from the FDA statistical review for pimecrolimus 1% cream (2001)</w:t>
      </w:r>
      <w:r w:rsidR="005802E9">
        <w:t xml:space="preserve">. </w:t>
      </w:r>
    </w:p>
    <w:p w:rsidR="00B60939" w:rsidRPr="005802E9" w:rsidRDefault="00B60939" w:rsidP="00EC5836">
      <w:pPr>
        <w:pStyle w:val="3-SubsectionHeading"/>
      </w:pPr>
      <w:bookmarkStart w:id="12" w:name="_Toc22897641"/>
      <w:bookmarkStart w:id="13" w:name="_Toc50995092"/>
      <w:r w:rsidRPr="005802E9">
        <w:t>Comparative effectiveness</w:t>
      </w:r>
      <w:bookmarkEnd w:id="12"/>
      <w:bookmarkEnd w:id="13"/>
    </w:p>
    <w:p w:rsidR="004B1276" w:rsidRPr="005802E9" w:rsidRDefault="004B1276" w:rsidP="004B1276">
      <w:pPr>
        <w:pStyle w:val="ExecSumBodyText"/>
        <w:numPr>
          <w:ilvl w:val="0"/>
          <w:numId w:val="0"/>
        </w:numPr>
        <w:ind w:left="720" w:hanging="720"/>
      </w:pPr>
      <w:r w:rsidRPr="005802E9">
        <w:rPr>
          <w:b/>
        </w:rPr>
        <w:t>Crisaborole trials</w:t>
      </w:r>
    </w:p>
    <w:p w:rsidR="004864C7" w:rsidRPr="005802E9" w:rsidRDefault="004864C7" w:rsidP="004864C7">
      <w:pPr>
        <w:pStyle w:val="ExecSumBodyText"/>
      </w:pPr>
      <w:r w:rsidRPr="005802E9">
        <w:rPr>
          <w:snapToGrid/>
        </w:rPr>
        <w:t xml:space="preserve">The results from the key crisaborole trials, AD-301 and AD-302 were previously considered by the PBAC in November 2018. </w:t>
      </w:r>
    </w:p>
    <w:p w:rsidR="002C2775" w:rsidRPr="005802E9" w:rsidRDefault="004864C7" w:rsidP="004864C7">
      <w:pPr>
        <w:pStyle w:val="ExecSumBodyText"/>
      </w:pPr>
      <w:r w:rsidRPr="005802E9">
        <w:rPr>
          <w:snapToGrid/>
        </w:rPr>
        <w:t xml:space="preserve">The primary </w:t>
      </w:r>
      <w:r w:rsidR="00C628D8" w:rsidRPr="005802E9">
        <w:rPr>
          <w:snapToGrid/>
        </w:rPr>
        <w:t xml:space="preserve">and secondary </w:t>
      </w:r>
      <w:r w:rsidRPr="005802E9">
        <w:rPr>
          <w:snapToGrid/>
        </w:rPr>
        <w:t>endpoint</w:t>
      </w:r>
      <w:r w:rsidR="00C628D8" w:rsidRPr="005802E9">
        <w:rPr>
          <w:snapToGrid/>
        </w:rPr>
        <w:t>s</w:t>
      </w:r>
      <w:r w:rsidRPr="005802E9">
        <w:rPr>
          <w:snapToGrid/>
        </w:rPr>
        <w:t xml:space="preserve"> of the crisaborole trials </w:t>
      </w:r>
      <w:r w:rsidR="006C2F44" w:rsidRPr="005802E9">
        <w:rPr>
          <w:snapToGrid/>
        </w:rPr>
        <w:t xml:space="preserve">were </w:t>
      </w:r>
      <w:r w:rsidRPr="005802E9">
        <w:rPr>
          <w:snapToGrid/>
        </w:rPr>
        <w:t xml:space="preserve">based on Investigator’s Static Global Assessment (ISGA) scored on a 5-point severity scale ranging from clear (0), almost clear (1), mild (2), moderate (3) and severe (4). The PBAC </w:t>
      </w:r>
      <w:r w:rsidR="00FE2F1C" w:rsidRPr="005802E9">
        <w:rPr>
          <w:snapToGrid/>
        </w:rPr>
        <w:t xml:space="preserve">recalled it had </w:t>
      </w:r>
      <w:r w:rsidRPr="005802E9">
        <w:rPr>
          <w:snapToGrid/>
        </w:rPr>
        <w:t>previously noted the clinical importance of the ISGA endpoint was uncertain (</w:t>
      </w:r>
      <w:r w:rsidRPr="005802E9">
        <w:rPr>
          <w:szCs w:val="20"/>
        </w:rPr>
        <w:t>paragraph 7.6, crisaborole, PSD, November 2018 PBAC meeting)</w:t>
      </w:r>
      <w:r w:rsidR="009704E0" w:rsidRPr="005802E9">
        <w:rPr>
          <w:szCs w:val="20"/>
        </w:rPr>
        <w:t xml:space="preserve"> and outcomes based on ISGA appeared more subjective than commonly used clinical tools such as </w:t>
      </w:r>
      <w:r w:rsidR="009704E0" w:rsidRPr="005802E9">
        <w:t xml:space="preserve">Eczema Area and Severity Index (EASI) or SCORing Atopic Dermatitis (SCORAD) </w:t>
      </w:r>
      <w:r w:rsidR="009704E0" w:rsidRPr="005802E9">
        <w:rPr>
          <w:snapToGrid/>
        </w:rPr>
        <w:t>(</w:t>
      </w:r>
      <w:r w:rsidR="009704E0" w:rsidRPr="005802E9">
        <w:rPr>
          <w:szCs w:val="20"/>
        </w:rPr>
        <w:t>paragraph 6.15, crisaborole, PSD, November 2018 PBAC meeting)</w:t>
      </w:r>
      <w:r w:rsidRPr="005802E9">
        <w:rPr>
          <w:szCs w:val="20"/>
        </w:rPr>
        <w:t>.</w:t>
      </w:r>
      <w:r w:rsidR="009704E0" w:rsidRPr="005802E9">
        <w:rPr>
          <w:szCs w:val="20"/>
        </w:rPr>
        <w:t xml:space="preserve"> The PBAC noted that outcomes based on EASI and SCORAD, were not captured in the crisaborole studies.</w:t>
      </w:r>
    </w:p>
    <w:p w:rsidR="00314C99" w:rsidRPr="005802E9" w:rsidRDefault="00314C99" w:rsidP="00314C99">
      <w:pPr>
        <w:keepNext/>
        <w:rPr>
          <w:rFonts w:ascii="Arial Narrow" w:hAnsi="Arial Narrow"/>
          <w:b/>
          <w:snapToGrid w:val="0"/>
          <w:sz w:val="20"/>
          <w:szCs w:val="16"/>
          <w:lang w:eastAsia="en-US"/>
        </w:rPr>
      </w:pPr>
      <w:r w:rsidRPr="005802E9">
        <w:rPr>
          <w:rFonts w:ascii="Arial Narrow" w:hAnsi="Arial Narrow"/>
          <w:b/>
          <w:snapToGrid w:val="0"/>
          <w:sz w:val="20"/>
          <w:szCs w:val="16"/>
          <w:lang w:eastAsia="en-US"/>
        </w:rPr>
        <w:t xml:space="preserve">Table </w:t>
      </w:r>
      <w:r w:rsidR="004736E5" w:rsidRPr="005802E9">
        <w:rPr>
          <w:rFonts w:ascii="Arial Narrow" w:hAnsi="Arial Narrow"/>
          <w:b/>
          <w:snapToGrid w:val="0"/>
          <w:sz w:val="20"/>
          <w:szCs w:val="16"/>
          <w:lang w:eastAsia="en-US"/>
        </w:rPr>
        <w:t>5</w:t>
      </w:r>
      <w:r w:rsidRPr="005802E9">
        <w:rPr>
          <w:rFonts w:ascii="Arial Narrow" w:hAnsi="Arial Narrow"/>
          <w:b/>
          <w:snapToGrid w:val="0"/>
          <w:sz w:val="20"/>
          <w:szCs w:val="16"/>
          <w:lang w:eastAsia="en-US"/>
        </w:rPr>
        <w:t xml:space="preserve">: Results for ISGA score of clear or almost clear (0 or 1) at Day 29 with at least 2-grade improvement from baseline (ITT population) </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1747"/>
        <w:gridCol w:w="1747"/>
        <w:gridCol w:w="1745"/>
      </w:tblGrid>
      <w:tr w:rsidR="00314C99" w:rsidRPr="005802E9" w:rsidTr="008F2988">
        <w:trPr>
          <w:cantSplit/>
          <w:tblHeader/>
        </w:trPr>
        <w:tc>
          <w:tcPr>
            <w:tcW w:w="2070" w:type="pct"/>
            <w:tcBorders>
              <w:bottom w:val="single" w:sz="4" w:space="0" w:color="auto"/>
            </w:tcBorders>
            <w:vAlign w:val="center"/>
          </w:tcPr>
          <w:p w:rsidR="00314C99" w:rsidRPr="005802E9" w:rsidRDefault="00314C99" w:rsidP="008F2988">
            <w:pPr>
              <w:keepNext/>
              <w:jc w:val="left"/>
              <w:rPr>
                <w:rFonts w:ascii="Arial Narrow" w:hAnsi="Arial Narrow" w:cs="Times New Roman"/>
                <w:b/>
                <w:sz w:val="20"/>
                <w:szCs w:val="22"/>
                <w:lang w:eastAsia="en-US"/>
              </w:rPr>
            </w:pPr>
            <w:r w:rsidRPr="005802E9">
              <w:rPr>
                <w:rFonts w:ascii="Arial Narrow" w:hAnsi="Arial Narrow" w:cs="Times New Roman"/>
                <w:b/>
                <w:sz w:val="20"/>
                <w:szCs w:val="22"/>
                <w:lang w:eastAsia="en-US"/>
              </w:rPr>
              <w:t>Trial AD-301</w:t>
            </w:r>
          </w:p>
        </w:tc>
        <w:tc>
          <w:tcPr>
            <w:tcW w:w="977" w:type="pct"/>
            <w:tcBorders>
              <w:bottom w:val="single" w:sz="4" w:space="0" w:color="auto"/>
            </w:tcBorders>
            <w:vAlign w:val="center"/>
          </w:tcPr>
          <w:p w:rsidR="00314C99" w:rsidRPr="005802E9" w:rsidRDefault="00314C99" w:rsidP="008F2988">
            <w:pPr>
              <w:keepNext/>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Crisaborole</w:t>
            </w:r>
          </w:p>
          <w:p w:rsidR="00314C99" w:rsidRPr="005802E9" w:rsidRDefault="00314C99" w:rsidP="008F2988">
            <w:pPr>
              <w:keepNext/>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N=503</w:t>
            </w:r>
          </w:p>
        </w:tc>
        <w:tc>
          <w:tcPr>
            <w:tcW w:w="977" w:type="pct"/>
            <w:tcBorders>
              <w:bottom w:val="single" w:sz="4" w:space="0" w:color="auto"/>
            </w:tcBorders>
            <w:vAlign w:val="center"/>
          </w:tcPr>
          <w:p w:rsidR="00314C99" w:rsidRPr="005802E9" w:rsidRDefault="00314C99" w:rsidP="008F2988">
            <w:pPr>
              <w:keepNext/>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Ointment vehicle</w:t>
            </w:r>
          </w:p>
          <w:p w:rsidR="00314C99" w:rsidRPr="005802E9" w:rsidRDefault="00314C99" w:rsidP="008F2988">
            <w:pPr>
              <w:keepNext/>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N=256</w:t>
            </w:r>
          </w:p>
        </w:tc>
        <w:tc>
          <w:tcPr>
            <w:tcW w:w="976" w:type="pct"/>
            <w:tcBorders>
              <w:bottom w:val="single" w:sz="4" w:space="0" w:color="auto"/>
            </w:tcBorders>
            <w:vAlign w:val="center"/>
          </w:tcPr>
          <w:p w:rsidR="00314C99" w:rsidRPr="005802E9" w:rsidRDefault="00314C99" w:rsidP="008F2988">
            <w:pPr>
              <w:keepNext/>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p-value</w:t>
            </w:r>
          </w:p>
        </w:tc>
      </w:tr>
      <w:tr w:rsidR="00314C99" w:rsidRPr="005802E9" w:rsidTr="008F2988">
        <w:trPr>
          <w:cantSplit/>
        </w:trPr>
        <w:tc>
          <w:tcPr>
            <w:tcW w:w="2070" w:type="pct"/>
            <w:shd w:val="clear" w:color="auto" w:fill="D9D9D9" w:themeFill="background1" w:themeFillShade="D9"/>
            <w:vAlign w:val="center"/>
          </w:tcPr>
          <w:p w:rsidR="00314C99" w:rsidRPr="005802E9" w:rsidRDefault="00314C99" w:rsidP="008F2988">
            <w:pPr>
              <w:keepNext/>
              <w:jc w:val="left"/>
              <w:rPr>
                <w:rFonts w:ascii="Arial Narrow" w:hAnsi="Arial Narrow" w:cs="Times New Roman"/>
                <w:sz w:val="20"/>
                <w:szCs w:val="22"/>
                <w:lang w:eastAsia="en-US"/>
              </w:rPr>
            </w:pPr>
            <w:r w:rsidRPr="005802E9">
              <w:rPr>
                <w:rFonts w:ascii="Arial Narrow" w:hAnsi="Arial Narrow" w:cs="Times New Roman"/>
                <w:sz w:val="20"/>
                <w:szCs w:val="22"/>
                <w:lang w:eastAsia="en-US"/>
              </w:rPr>
              <w:t>MCMC multiple imputation</w:t>
            </w:r>
          </w:p>
        </w:tc>
        <w:tc>
          <w:tcPr>
            <w:tcW w:w="977" w:type="pct"/>
            <w:shd w:val="clear" w:color="auto" w:fill="D9D9D9" w:themeFill="background1" w:themeFillShade="D9"/>
            <w:vAlign w:val="center"/>
          </w:tcPr>
          <w:p w:rsidR="00314C99" w:rsidRPr="005802E9" w:rsidRDefault="00314C99" w:rsidP="008F2988">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32.8%</w:t>
            </w:r>
          </w:p>
        </w:tc>
        <w:tc>
          <w:tcPr>
            <w:tcW w:w="977" w:type="pct"/>
            <w:shd w:val="clear" w:color="auto" w:fill="D9D9D9" w:themeFill="background1" w:themeFillShade="D9"/>
            <w:vAlign w:val="center"/>
          </w:tcPr>
          <w:p w:rsidR="00314C99" w:rsidRPr="005802E9" w:rsidRDefault="00314C99" w:rsidP="008F2988">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25.4%</w:t>
            </w:r>
          </w:p>
        </w:tc>
        <w:tc>
          <w:tcPr>
            <w:tcW w:w="976" w:type="pct"/>
            <w:shd w:val="clear" w:color="auto" w:fill="D9D9D9" w:themeFill="background1" w:themeFillShade="D9"/>
            <w:vAlign w:val="center"/>
          </w:tcPr>
          <w:p w:rsidR="00314C99" w:rsidRPr="005802E9" w:rsidRDefault="00314C99" w:rsidP="008F2988">
            <w:pPr>
              <w:keepNext/>
              <w:jc w:val="center"/>
              <w:rPr>
                <w:rFonts w:ascii="Arial Narrow" w:hAnsi="Arial Narrow" w:cs="Times New Roman"/>
                <w:sz w:val="20"/>
                <w:szCs w:val="22"/>
                <w:vertAlign w:val="superscript"/>
                <w:lang w:eastAsia="en-US"/>
              </w:rPr>
            </w:pPr>
            <w:r w:rsidRPr="005802E9">
              <w:rPr>
                <w:rFonts w:ascii="Arial Narrow" w:hAnsi="Arial Narrow" w:cs="Times New Roman"/>
                <w:sz w:val="20"/>
                <w:szCs w:val="22"/>
                <w:lang w:eastAsia="en-US"/>
              </w:rPr>
              <w:t>0.033</w:t>
            </w:r>
            <w:r w:rsidRPr="005802E9">
              <w:rPr>
                <w:rFonts w:ascii="Arial Narrow" w:hAnsi="Arial Narrow" w:cs="Times New Roman"/>
                <w:sz w:val="20"/>
                <w:szCs w:val="22"/>
                <w:vertAlign w:val="superscript"/>
                <w:lang w:eastAsia="en-US"/>
              </w:rPr>
              <w:t>a</w:t>
            </w:r>
          </w:p>
        </w:tc>
      </w:tr>
      <w:tr w:rsidR="00314C99" w:rsidRPr="005802E9" w:rsidTr="008F2988">
        <w:trPr>
          <w:cantSplit/>
        </w:trPr>
        <w:tc>
          <w:tcPr>
            <w:tcW w:w="2070" w:type="pct"/>
            <w:vAlign w:val="center"/>
          </w:tcPr>
          <w:p w:rsidR="00314C99" w:rsidRPr="005802E9" w:rsidRDefault="00314C99" w:rsidP="008F2988">
            <w:pPr>
              <w:keepNext/>
              <w:jc w:val="left"/>
              <w:rPr>
                <w:rFonts w:ascii="Arial Narrow" w:hAnsi="Arial Narrow" w:cs="Times New Roman"/>
                <w:sz w:val="20"/>
                <w:szCs w:val="22"/>
                <w:lang w:eastAsia="en-US"/>
              </w:rPr>
            </w:pPr>
            <w:r w:rsidRPr="005802E9">
              <w:rPr>
                <w:rFonts w:ascii="Arial Narrow" w:hAnsi="Arial Narrow" w:cs="Times New Roman"/>
                <w:sz w:val="20"/>
                <w:szCs w:val="22"/>
                <w:lang w:eastAsia="en-US"/>
              </w:rPr>
              <w:t>Logistic regression multiple imputation</w:t>
            </w:r>
          </w:p>
        </w:tc>
        <w:tc>
          <w:tcPr>
            <w:tcW w:w="977" w:type="pct"/>
            <w:vAlign w:val="center"/>
          </w:tcPr>
          <w:p w:rsidR="00314C99" w:rsidRPr="005802E9" w:rsidRDefault="00314C99" w:rsidP="008F2988">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29.1%</w:t>
            </w:r>
          </w:p>
        </w:tc>
        <w:tc>
          <w:tcPr>
            <w:tcW w:w="977" w:type="pct"/>
            <w:vAlign w:val="center"/>
          </w:tcPr>
          <w:p w:rsidR="00314C99" w:rsidRPr="005802E9" w:rsidRDefault="00314C99" w:rsidP="008F2988">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22.0%</w:t>
            </w:r>
          </w:p>
        </w:tc>
        <w:tc>
          <w:tcPr>
            <w:tcW w:w="976" w:type="pct"/>
            <w:vAlign w:val="center"/>
          </w:tcPr>
          <w:p w:rsidR="00314C99" w:rsidRPr="005802E9" w:rsidRDefault="00314C99" w:rsidP="008F2988">
            <w:pPr>
              <w:keepNext/>
              <w:jc w:val="center"/>
              <w:rPr>
                <w:rFonts w:ascii="Arial Narrow" w:hAnsi="Arial Narrow" w:cs="Times New Roman"/>
                <w:sz w:val="20"/>
                <w:szCs w:val="22"/>
                <w:vertAlign w:val="superscript"/>
                <w:lang w:eastAsia="en-US"/>
              </w:rPr>
            </w:pPr>
            <w:r w:rsidRPr="005802E9">
              <w:rPr>
                <w:rFonts w:ascii="Arial Narrow" w:hAnsi="Arial Narrow" w:cs="Times New Roman"/>
                <w:sz w:val="20"/>
                <w:szCs w:val="22"/>
                <w:lang w:eastAsia="en-US"/>
              </w:rPr>
              <w:t>0.038</w:t>
            </w:r>
            <w:r w:rsidRPr="005802E9">
              <w:rPr>
                <w:rFonts w:ascii="Arial Narrow" w:hAnsi="Arial Narrow" w:cs="Times New Roman"/>
                <w:sz w:val="20"/>
                <w:szCs w:val="22"/>
                <w:vertAlign w:val="superscript"/>
                <w:lang w:eastAsia="en-US"/>
              </w:rPr>
              <w:t>b</w:t>
            </w:r>
          </w:p>
        </w:tc>
      </w:tr>
      <w:tr w:rsidR="00314C99" w:rsidRPr="005802E9" w:rsidTr="008F2988">
        <w:trPr>
          <w:cantSplit/>
        </w:trPr>
        <w:tc>
          <w:tcPr>
            <w:tcW w:w="2070" w:type="pct"/>
            <w:vAlign w:val="center"/>
          </w:tcPr>
          <w:p w:rsidR="00314C99" w:rsidRPr="005802E9" w:rsidRDefault="00314C99" w:rsidP="008F2988">
            <w:pPr>
              <w:keepNext/>
              <w:jc w:val="left"/>
              <w:rPr>
                <w:rFonts w:ascii="Arial Narrow" w:hAnsi="Arial Narrow" w:cs="Times New Roman"/>
                <w:b/>
                <w:sz w:val="20"/>
                <w:szCs w:val="22"/>
                <w:lang w:eastAsia="en-US"/>
              </w:rPr>
            </w:pPr>
            <w:r w:rsidRPr="005802E9">
              <w:rPr>
                <w:rFonts w:ascii="Arial Narrow" w:hAnsi="Arial Narrow" w:cs="Times New Roman"/>
                <w:b/>
                <w:sz w:val="20"/>
                <w:szCs w:val="22"/>
                <w:lang w:eastAsia="en-US"/>
              </w:rPr>
              <w:t>Trial AD-302</w:t>
            </w:r>
          </w:p>
        </w:tc>
        <w:tc>
          <w:tcPr>
            <w:tcW w:w="977" w:type="pct"/>
            <w:vAlign w:val="center"/>
          </w:tcPr>
          <w:p w:rsidR="00314C99" w:rsidRPr="005802E9" w:rsidRDefault="00314C99" w:rsidP="008F2988">
            <w:pPr>
              <w:keepNext/>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Crisaborole</w:t>
            </w:r>
          </w:p>
          <w:p w:rsidR="00314C99" w:rsidRPr="005802E9" w:rsidRDefault="00314C99" w:rsidP="008F2988">
            <w:pPr>
              <w:keepNext/>
              <w:jc w:val="center"/>
              <w:rPr>
                <w:rFonts w:ascii="Arial Narrow" w:hAnsi="Arial Narrow" w:cs="Times New Roman"/>
                <w:sz w:val="20"/>
                <w:szCs w:val="22"/>
                <w:lang w:eastAsia="en-US"/>
              </w:rPr>
            </w:pPr>
            <w:r w:rsidRPr="005802E9">
              <w:rPr>
                <w:rFonts w:ascii="Arial Narrow" w:hAnsi="Arial Narrow" w:cs="Times New Roman"/>
                <w:b/>
                <w:sz w:val="20"/>
                <w:szCs w:val="22"/>
                <w:lang w:eastAsia="en-US"/>
              </w:rPr>
              <w:t>N=513</w:t>
            </w:r>
          </w:p>
        </w:tc>
        <w:tc>
          <w:tcPr>
            <w:tcW w:w="977" w:type="pct"/>
            <w:vAlign w:val="center"/>
          </w:tcPr>
          <w:p w:rsidR="00314C99" w:rsidRPr="005802E9" w:rsidRDefault="00314C99" w:rsidP="008F2988">
            <w:pPr>
              <w:keepNext/>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Ointment vehicle</w:t>
            </w:r>
          </w:p>
          <w:p w:rsidR="00314C99" w:rsidRPr="005802E9" w:rsidRDefault="00314C99" w:rsidP="008F2988">
            <w:pPr>
              <w:keepNext/>
              <w:jc w:val="center"/>
              <w:rPr>
                <w:rFonts w:ascii="Arial Narrow" w:hAnsi="Arial Narrow" w:cs="Times New Roman"/>
                <w:sz w:val="20"/>
                <w:szCs w:val="22"/>
                <w:lang w:eastAsia="en-US"/>
              </w:rPr>
            </w:pPr>
            <w:r w:rsidRPr="005802E9">
              <w:rPr>
                <w:rFonts w:ascii="Arial Narrow" w:hAnsi="Arial Narrow" w:cs="Times New Roman"/>
                <w:b/>
                <w:sz w:val="20"/>
                <w:szCs w:val="22"/>
                <w:lang w:eastAsia="en-US"/>
              </w:rPr>
              <w:t>N=250</w:t>
            </w:r>
          </w:p>
        </w:tc>
        <w:tc>
          <w:tcPr>
            <w:tcW w:w="976" w:type="pct"/>
            <w:vAlign w:val="center"/>
          </w:tcPr>
          <w:p w:rsidR="00314C99" w:rsidRPr="005802E9" w:rsidRDefault="00314C99" w:rsidP="008F2988">
            <w:pPr>
              <w:keepNext/>
              <w:jc w:val="center"/>
              <w:rPr>
                <w:rFonts w:ascii="Arial Narrow" w:hAnsi="Arial Narrow" w:cs="Times New Roman"/>
                <w:sz w:val="20"/>
                <w:szCs w:val="22"/>
                <w:lang w:eastAsia="en-US"/>
              </w:rPr>
            </w:pPr>
            <w:r w:rsidRPr="005802E9">
              <w:rPr>
                <w:rFonts w:ascii="Arial Narrow" w:hAnsi="Arial Narrow" w:cs="Times New Roman"/>
                <w:b/>
                <w:sz w:val="20"/>
                <w:szCs w:val="22"/>
                <w:lang w:eastAsia="en-US"/>
              </w:rPr>
              <w:t>p-value</w:t>
            </w:r>
          </w:p>
        </w:tc>
      </w:tr>
      <w:tr w:rsidR="00314C99" w:rsidRPr="005802E9" w:rsidTr="008F2988">
        <w:trPr>
          <w:cantSplit/>
        </w:trPr>
        <w:tc>
          <w:tcPr>
            <w:tcW w:w="2070" w:type="pct"/>
            <w:shd w:val="clear" w:color="auto" w:fill="D9D9D9" w:themeFill="background1" w:themeFillShade="D9"/>
            <w:vAlign w:val="center"/>
          </w:tcPr>
          <w:p w:rsidR="00314C99" w:rsidRPr="005802E9" w:rsidRDefault="00314C99" w:rsidP="008F2988">
            <w:pPr>
              <w:keepNext/>
              <w:jc w:val="left"/>
              <w:rPr>
                <w:rFonts w:ascii="Arial Narrow" w:hAnsi="Arial Narrow" w:cs="Times New Roman"/>
                <w:sz w:val="20"/>
                <w:szCs w:val="22"/>
                <w:lang w:eastAsia="en-US"/>
              </w:rPr>
            </w:pPr>
            <w:r w:rsidRPr="005802E9">
              <w:rPr>
                <w:rFonts w:ascii="Arial Narrow" w:hAnsi="Arial Narrow" w:cs="Times New Roman"/>
                <w:sz w:val="20"/>
                <w:szCs w:val="22"/>
                <w:lang w:eastAsia="en-US"/>
              </w:rPr>
              <w:t>MCMC multiple imputation</w:t>
            </w:r>
          </w:p>
        </w:tc>
        <w:tc>
          <w:tcPr>
            <w:tcW w:w="977" w:type="pct"/>
            <w:shd w:val="clear" w:color="auto" w:fill="D9D9D9" w:themeFill="background1" w:themeFillShade="D9"/>
            <w:vAlign w:val="center"/>
          </w:tcPr>
          <w:p w:rsidR="00314C99" w:rsidRPr="005802E9" w:rsidRDefault="00314C99" w:rsidP="008F2988">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31.4%</w:t>
            </w:r>
          </w:p>
        </w:tc>
        <w:tc>
          <w:tcPr>
            <w:tcW w:w="977" w:type="pct"/>
            <w:shd w:val="clear" w:color="auto" w:fill="D9D9D9" w:themeFill="background1" w:themeFillShade="D9"/>
            <w:vAlign w:val="center"/>
          </w:tcPr>
          <w:p w:rsidR="00314C99" w:rsidRPr="005802E9" w:rsidRDefault="00314C99" w:rsidP="008F2988">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18.0%</w:t>
            </w:r>
          </w:p>
        </w:tc>
        <w:tc>
          <w:tcPr>
            <w:tcW w:w="976" w:type="pct"/>
            <w:shd w:val="clear" w:color="auto" w:fill="D9D9D9" w:themeFill="background1" w:themeFillShade="D9"/>
            <w:vAlign w:val="center"/>
          </w:tcPr>
          <w:p w:rsidR="00314C99" w:rsidRPr="005802E9" w:rsidRDefault="00314C99" w:rsidP="008F2988">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&lt;0.001</w:t>
            </w:r>
            <w:r w:rsidRPr="005802E9">
              <w:rPr>
                <w:rFonts w:ascii="Arial Narrow" w:hAnsi="Arial Narrow" w:cs="Times New Roman"/>
                <w:sz w:val="20"/>
                <w:szCs w:val="22"/>
                <w:vertAlign w:val="superscript"/>
                <w:lang w:eastAsia="en-US"/>
              </w:rPr>
              <w:t>a</w:t>
            </w:r>
          </w:p>
        </w:tc>
      </w:tr>
      <w:tr w:rsidR="00314C99" w:rsidRPr="005802E9" w:rsidTr="008F2988">
        <w:trPr>
          <w:cantSplit/>
        </w:trPr>
        <w:tc>
          <w:tcPr>
            <w:tcW w:w="2070" w:type="pct"/>
            <w:vAlign w:val="center"/>
          </w:tcPr>
          <w:p w:rsidR="00314C99" w:rsidRPr="005802E9" w:rsidRDefault="00314C99" w:rsidP="008F2988">
            <w:pPr>
              <w:keepNext/>
              <w:jc w:val="left"/>
              <w:rPr>
                <w:rFonts w:ascii="Arial Narrow" w:hAnsi="Arial Narrow" w:cs="Times New Roman"/>
                <w:sz w:val="20"/>
                <w:szCs w:val="22"/>
                <w:lang w:eastAsia="en-US"/>
              </w:rPr>
            </w:pPr>
            <w:r w:rsidRPr="005802E9">
              <w:rPr>
                <w:rFonts w:ascii="Arial Narrow" w:hAnsi="Arial Narrow" w:cs="Times New Roman"/>
                <w:sz w:val="20"/>
                <w:szCs w:val="22"/>
                <w:lang w:eastAsia="en-US"/>
              </w:rPr>
              <w:t>Logistic regression multiple imputation</w:t>
            </w:r>
          </w:p>
        </w:tc>
        <w:tc>
          <w:tcPr>
            <w:tcW w:w="977" w:type="pct"/>
            <w:vAlign w:val="center"/>
          </w:tcPr>
          <w:p w:rsidR="00314C99" w:rsidRPr="005802E9" w:rsidRDefault="00314C99" w:rsidP="008F2988">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26.5%</w:t>
            </w:r>
          </w:p>
        </w:tc>
        <w:tc>
          <w:tcPr>
            <w:tcW w:w="977" w:type="pct"/>
            <w:vAlign w:val="center"/>
          </w:tcPr>
          <w:p w:rsidR="00314C99" w:rsidRPr="005802E9" w:rsidRDefault="00314C99" w:rsidP="008F2988">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14.2%</w:t>
            </w:r>
          </w:p>
        </w:tc>
        <w:tc>
          <w:tcPr>
            <w:tcW w:w="976" w:type="pct"/>
            <w:vAlign w:val="center"/>
          </w:tcPr>
          <w:p w:rsidR="00314C99" w:rsidRPr="005802E9" w:rsidRDefault="00314C99" w:rsidP="008F2988">
            <w:pPr>
              <w:keepNext/>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&lt;0.001</w:t>
            </w:r>
            <w:r w:rsidRPr="005802E9">
              <w:rPr>
                <w:rFonts w:ascii="Arial Narrow" w:hAnsi="Arial Narrow" w:cs="Times New Roman"/>
                <w:sz w:val="20"/>
                <w:szCs w:val="22"/>
                <w:vertAlign w:val="superscript"/>
                <w:lang w:eastAsia="en-US"/>
              </w:rPr>
              <w:t>b</w:t>
            </w:r>
          </w:p>
        </w:tc>
      </w:tr>
    </w:tbl>
    <w:p w:rsidR="00314C99" w:rsidRPr="005802E9" w:rsidRDefault="00314C99" w:rsidP="00314C99">
      <w:pPr>
        <w:keepNext/>
        <w:rPr>
          <w:rFonts w:ascii="Arial Narrow" w:hAnsi="Arial Narrow"/>
          <w:snapToGrid w:val="0"/>
          <w:sz w:val="18"/>
          <w:szCs w:val="22"/>
          <w:lang w:eastAsia="en-US"/>
        </w:rPr>
      </w:pPr>
      <w:r w:rsidRPr="005802E9">
        <w:rPr>
          <w:rFonts w:ascii="Arial Narrow" w:hAnsi="Arial Narrow"/>
          <w:snapToGrid w:val="0"/>
          <w:sz w:val="18"/>
          <w:szCs w:val="22"/>
          <w:lang w:eastAsia="en-US"/>
        </w:rPr>
        <w:t>Source: Table 17, p80, and Table 14.2.6, p228 of the AD-301 trial report; Table 17, p80 and Table 14.2.6, p224 of the AD-302 trial report</w:t>
      </w:r>
    </w:p>
    <w:p w:rsidR="00314C99" w:rsidRPr="005802E9" w:rsidRDefault="00314C99" w:rsidP="00314C99">
      <w:pPr>
        <w:keepNext/>
        <w:rPr>
          <w:rFonts w:ascii="Arial Narrow" w:hAnsi="Arial Narrow"/>
          <w:snapToGrid w:val="0"/>
          <w:sz w:val="20"/>
          <w:szCs w:val="22"/>
          <w:lang w:eastAsia="en-US"/>
        </w:rPr>
      </w:pPr>
      <w:r w:rsidRPr="005802E9">
        <w:rPr>
          <w:rFonts w:ascii="Arial Narrow" w:hAnsi="Arial Narrow"/>
          <w:snapToGrid w:val="0"/>
          <w:sz w:val="18"/>
          <w:szCs w:val="22"/>
          <w:lang w:eastAsia="en-US"/>
        </w:rPr>
        <w:t>Abbreviation: ISGA, Investigator’s Static Global Assessment (5-point scale); MCMC, Markov Chain Monte Carlo; NR, not reported</w:t>
      </w:r>
    </w:p>
    <w:p w:rsidR="00314C99" w:rsidRPr="005802E9" w:rsidRDefault="00314C99" w:rsidP="00314C99">
      <w:pPr>
        <w:keepNext/>
        <w:rPr>
          <w:rFonts w:ascii="Arial Narrow" w:eastAsia="Calibri" w:hAnsi="Arial Narrow"/>
          <w:snapToGrid w:val="0"/>
          <w:sz w:val="18"/>
          <w:szCs w:val="22"/>
          <w:lang w:eastAsia="en-US"/>
        </w:rPr>
      </w:pPr>
      <w:r w:rsidRPr="005802E9">
        <w:rPr>
          <w:rFonts w:ascii="Arial Narrow" w:eastAsia="Calibri" w:hAnsi="Arial Narrow"/>
          <w:snapToGrid w:val="0"/>
          <w:sz w:val="18"/>
          <w:szCs w:val="22"/>
          <w:vertAlign w:val="superscript"/>
          <w:lang w:eastAsia="en-US"/>
        </w:rPr>
        <w:t xml:space="preserve">a </w:t>
      </w:r>
      <w:r w:rsidRPr="005802E9">
        <w:rPr>
          <w:rFonts w:ascii="Arial Narrow" w:eastAsia="Calibri" w:hAnsi="Arial Narrow"/>
          <w:snapToGrid w:val="0"/>
          <w:sz w:val="18"/>
          <w:szCs w:val="22"/>
          <w:lang w:eastAsia="en-US"/>
        </w:rPr>
        <w:t>The p-value from a Cochran-Mantel-Haenszel test, stratified by analysis centre. Values adjusted for multiple imputation.</w:t>
      </w:r>
    </w:p>
    <w:p w:rsidR="00314C99" w:rsidRPr="005802E9" w:rsidRDefault="00314C99" w:rsidP="00314C99">
      <w:pPr>
        <w:keepNext/>
        <w:rPr>
          <w:rFonts w:ascii="Arial Narrow" w:eastAsia="Calibri" w:hAnsi="Arial Narrow"/>
          <w:snapToGrid w:val="0"/>
          <w:sz w:val="18"/>
          <w:szCs w:val="22"/>
          <w:lang w:eastAsia="en-US"/>
        </w:rPr>
      </w:pPr>
      <w:r w:rsidRPr="005802E9">
        <w:rPr>
          <w:rFonts w:ascii="Arial Narrow" w:eastAsia="Calibri" w:hAnsi="Arial Narrow"/>
          <w:snapToGrid w:val="0"/>
          <w:sz w:val="18"/>
          <w:szCs w:val="22"/>
          <w:vertAlign w:val="superscript"/>
          <w:lang w:eastAsia="en-US"/>
        </w:rPr>
        <w:t xml:space="preserve">b </w:t>
      </w:r>
      <w:r w:rsidRPr="005802E9">
        <w:rPr>
          <w:rFonts w:ascii="Arial Narrow" w:eastAsia="Calibri" w:hAnsi="Arial Narrow"/>
          <w:snapToGrid w:val="0"/>
          <w:sz w:val="18"/>
          <w:szCs w:val="22"/>
          <w:lang w:eastAsia="en-US"/>
        </w:rPr>
        <w:t>The p-value from a logistic regression (with Firth option) test with factors of treatment group and analysis centre. Values were adjusted for multiple imputation.</w:t>
      </w:r>
    </w:p>
    <w:p w:rsidR="00314C99" w:rsidRPr="005802E9" w:rsidRDefault="00314C99" w:rsidP="00314C99">
      <w:pPr>
        <w:keepNext/>
        <w:rPr>
          <w:rFonts w:ascii="Arial Narrow" w:hAnsi="Arial Narrow"/>
          <w:snapToGrid w:val="0"/>
          <w:sz w:val="18"/>
          <w:szCs w:val="22"/>
          <w:lang w:eastAsia="en-US"/>
        </w:rPr>
      </w:pPr>
      <w:r w:rsidRPr="005802E9">
        <w:rPr>
          <w:rFonts w:ascii="Arial Narrow" w:hAnsi="Arial Narrow"/>
          <w:snapToGrid w:val="0"/>
          <w:sz w:val="18"/>
          <w:szCs w:val="22"/>
          <w:lang w:eastAsia="en-US"/>
        </w:rPr>
        <w:t xml:space="preserve">Note 1: Crude number of events for each arm in the ITT population for the primary endpoint was not reported. The odds ratio was a planned outcome, however, results were not reported. </w:t>
      </w:r>
    </w:p>
    <w:p w:rsidR="00DA5BED" w:rsidRDefault="00314C99" w:rsidP="00314C99">
      <w:pPr>
        <w:keepNext/>
        <w:spacing w:after="120"/>
        <w:rPr>
          <w:rFonts w:ascii="Arial Narrow" w:hAnsi="Arial Narrow"/>
          <w:snapToGrid w:val="0"/>
          <w:sz w:val="18"/>
          <w:szCs w:val="22"/>
          <w:lang w:eastAsia="en-US"/>
        </w:rPr>
      </w:pPr>
      <w:r w:rsidRPr="005802E9">
        <w:rPr>
          <w:rFonts w:ascii="Arial Narrow" w:hAnsi="Arial Narrow"/>
          <w:snapToGrid w:val="0"/>
          <w:sz w:val="18"/>
          <w:szCs w:val="22"/>
          <w:lang w:eastAsia="en-US"/>
        </w:rPr>
        <w:t>Note 2: Estimates in grey were used in the meta-analysis of the primary outcome of both trials</w:t>
      </w:r>
    </w:p>
    <w:p w:rsidR="00DA5BED" w:rsidRDefault="00DA5BED">
      <w:pPr>
        <w:jc w:val="left"/>
        <w:rPr>
          <w:rFonts w:ascii="Arial Narrow" w:hAnsi="Arial Narrow"/>
          <w:snapToGrid w:val="0"/>
          <w:sz w:val="18"/>
          <w:szCs w:val="22"/>
          <w:lang w:eastAsia="en-US"/>
        </w:rPr>
      </w:pPr>
      <w:r>
        <w:rPr>
          <w:rFonts w:ascii="Arial Narrow" w:hAnsi="Arial Narrow"/>
          <w:snapToGrid w:val="0"/>
          <w:sz w:val="18"/>
          <w:szCs w:val="22"/>
          <w:lang w:eastAsia="en-US"/>
        </w:rPr>
        <w:br w:type="page"/>
      </w:r>
    </w:p>
    <w:p w:rsidR="00314C99" w:rsidRPr="005802E9" w:rsidRDefault="00314C99" w:rsidP="00314C99">
      <w:pPr>
        <w:keepNext/>
        <w:rPr>
          <w:rFonts w:ascii="Arial Narrow" w:eastAsiaTheme="minorHAnsi" w:hAnsi="Arial Narrow" w:cstheme="minorBidi"/>
          <w:b/>
          <w:sz w:val="20"/>
          <w:szCs w:val="20"/>
          <w:lang w:eastAsia="en-US"/>
        </w:rPr>
      </w:pPr>
      <w:r w:rsidRPr="005802E9">
        <w:rPr>
          <w:rFonts w:ascii="Arial Narrow" w:eastAsiaTheme="minorHAnsi" w:hAnsi="Arial Narrow" w:cstheme="minorBidi"/>
          <w:b/>
          <w:sz w:val="20"/>
          <w:szCs w:val="22"/>
          <w:lang w:eastAsia="en-US"/>
        </w:rPr>
        <w:lastRenderedPageBreak/>
        <w:t xml:space="preserve">Table </w:t>
      </w:r>
      <w:r w:rsidR="004736E5" w:rsidRPr="005802E9">
        <w:rPr>
          <w:rFonts w:ascii="Arial Narrow" w:eastAsiaTheme="minorHAnsi" w:hAnsi="Arial Narrow" w:cstheme="minorBidi"/>
          <w:b/>
          <w:sz w:val="20"/>
          <w:szCs w:val="22"/>
          <w:lang w:eastAsia="en-US"/>
        </w:rPr>
        <w:t>6</w:t>
      </w:r>
      <w:r w:rsidRPr="005802E9">
        <w:rPr>
          <w:rFonts w:ascii="Arial Narrow" w:eastAsiaTheme="minorHAnsi" w:hAnsi="Arial Narrow" w:cstheme="minorBidi"/>
          <w:b/>
          <w:sz w:val="20"/>
          <w:szCs w:val="22"/>
          <w:lang w:eastAsia="en-US"/>
        </w:rPr>
        <w:t>: Results for ISGA score of clear or almost clear (0 or 1) at Day 29 with no requirement for ≥2-grade improvement (ITT population)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1747"/>
        <w:gridCol w:w="1747"/>
        <w:gridCol w:w="1745"/>
      </w:tblGrid>
      <w:tr w:rsidR="00314C99" w:rsidRPr="005802E9" w:rsidTr="008F2988">
        <w:trPr>
          <w:cantSplit/>
        </w:trPr>
        <w:tc>
          <w:tcPr>
            <w:tcW w:w="2070" w:type="pct"/>
            <w:tcBorders>
              <w:bottom w:val="single" w:sz="4" w:space="0" w:color="auto"/>
            </w:tcBorders>
            <w:vAlign w:val="center"/>
          </w:tcPr>
          <w:p w:rsidR="00314C99" w:rsidRPr="005802E9" w:rsidRDefault="00314C99" w:rsidP="008F2988">
            <w:pPr>
              <w:jc w:val="left"/>
              <w:rPr>
                <w:rFonts w:ascii="Arial Narrow" w:hAnsi="Arial Narrow" w:cs="Times New Roman"/>
                <w:b/>
                <w:sz w:val="20"/>
                <w:szCs w:val="22"/>
                <w:lang w:eastAsia="en-US"/>
              </w:rPr>
            </w:pPr>
            <w:r w:rsidRPr="005802E9">
              <w:rPr>
                <w:rFonts w:ascii="Arial Narrow" w:hAnsi="Arial Narrow" w:cs="Times New Roman"/>
                <w:b/>
                <w:sz w:val="20"/>
                <w:szCs w:val="22"/>
                <w:lang w:eastAsia="en-US"/>
              </w:rPr>
              <w:t>Trial AD-301</w:t>
            </w:r>
          </w:p>
        </w:tc>
        <w:tc>
          <w:tcPr>
            <w:tcW w:w="977" w:type="pct"/>
            <w:tcBorders>
              <w:bottom w:val="single" w:sz="4" w:space="0" w:color="auto"/>
            </w:tcBorders>
            <w:vAlign w:val="center"/>
          </w:tcPr>
          <w:p w:rsidR="00314C99" w:rsidRPr="005802E9" w:rsidRDefault="00314C99" w:rsidP="008F2988">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Crisaborole</w:t>
            </w:r>
          </w:p>
          <w:p w:rsidR="00314C99" w:rsidRPr="005802E9" w:rsidRDefault="00314C99" w:rsidP="008F2988">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N=503</w:t>
            </w:r>
          </w:p>
        </w:tc>
        <w:tc>
          <w:tcPr>
            <w:tcW w:w="977" w:type="pct"/>
            <w:tcBorders>
              <w:bottom w:val="single" w:sz="4" w:space="0" w:color="auto"/>
            </w:tcBorders>
            <w:vAlign w:val="center"/>
          </w:tcPr>
          <w:p w:rsidR="00314C99" w:rsidRPr="005802E9" w:rsidRDefault="00314C99" w:rsidP="008F2988">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Ointment vehicle</w:t>
            </w:r>
          </w:p>
          <w:p w:rsidR="00314C99" w:rsidRPr="005802E9" w:rsidRDefault="00314C99" w:rsidP="008F2988">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N=256</w:t>
            </w:r>
          </w:p>
        </w:tc>
        <w:tc>
          <w:tcPr>
            <w:tcW w:w="976" w:type="pct"/>
            <w:tcBorders>
              <w:bottom w:val="single" w:sz="4" w:space="0" w:color="auto"/>
            </w:tcBorders>
            <w:vAlign w:val="center"/>
          </w:tcPr>
          <w:p w:rsidR="00314C99" w:rsidRPr="005802E9" w:rsidRDefault="00314C99" w:rsidP="008F2988">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p-value</w:t>
            </w:r>
          </w:p>
        </w:tc>
      </w:tr>
      <w:tr w:rsidR="00314C99" w:rsidRPr="005802E9" w:rsidTr="008F2988">
        <w:trPr>
          <w:cantSplit/>
        </w:trPr>
        <w:tc>
          <w:tcPr>
            <w:tcW w:w="2070" w:type="pct"/>
            <w:shd w:val="clear" w:color="auto" w:fill="D9D9D9" w:themeFill="background1" w:themeFillShade="D9"/>
            <w:vAlign w:val="center"/>
          </w:tcPr>
          <w:p w:rsidR="00314C99" w:rsidRPr="005802E9" w:rsidRDefault="00314C99" w:rsidP="008F2988">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MCMC multiple imputation</w:t>
            </w:r>
          </w:p>
        </w:tc>
        <w:tc>
          <w:tcPr>
            <w:tcW w:w="977" w:type="pct"/>
            <w:shd w:val="clear" w:color="auto" w:fill="D9D9D9" w:themeFill="background1" w:themeFillShade="D9"/>
            <w:vAlign w:val="center"/>
          </w:tcPr>
          <w:p w:rsidR="00314C99" w:rsidRPr="005802E9" w:rsidRDefault="00314C99" w:rsidP="008F2988">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260 (51.7%)</w:t>
            </w:r>
          </w:p>
        </w:tc>
        <w:tc>
          <w:tcPr>
            <w:tcW w:w="977" w:type="pct"/>
            <w:shd w:val="clear" w:color="auto" w:fill="D9D9D9" w:themeFill="background1" w:themeFillShade="D9"/>
            <w:vAlign w:val="center"/>
          </w:tcPr>
          <w:p w:rsidR="00314C99" w:rsidRPr="005802E9" w:rsidRDefault="00314C99" w:rsidP="008F2988">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104 (40.6%)</w:t>
            </w:r>
          </w:p>
        </w:tc>
        <w:tc>
          <w:tcPr>
            <w:tcW w:w="976" w:type="pct"/>
            <w:shd w:val="clear" w:color="auto" w:fill="D9D9D9" w:themeFill="background1" w:themeFillShade="D9"/>
            <w:vAlign w:val="center"/>
          </w:tcPr>
          <w:p w:rsidR="00314C99" w:rsidRPr="005802E9" w:rsidRDefault="00314C99" w:rsidP="008F2988">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NR</w:t>
            </w:r>
          </w:p>
        </w:tc>
      </w:tr>
      <w:tr w:rsidR="00314C99" w:rsidRPr="005802E9" w:rsidTr="008F2988">
        <w:trPr>
          <w:cantSplit/>
        </w:trPr>
        <w:tc>
          <w:tcPr>
            <w:tcW w:w="2070" w:type="pct"/>
            <w:vAlign w:val="center"/>
          </w:tcPr>
          <w:p w:rsidR="00314C99" w:rsidRPr="005802E9" w:rsidRDefault="00314C99" w:rsidP="008F2988">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Logistic regression multiple imputation</w:t>
            </w:r>
          </w:p>
        </w:tc>
        <w:tc>
          <w:tcPr>
            <w:tcW w:w="977" w:type="pct"/>
            <w:vAlign w:val="center"/>
          </w:tcPr>
          <w:p w:rsidR="00314C99" w:rsidRPr="005802E9" w:rsidRDefault="00314C99" w:rsidP="008F2988">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49.0%</w:t>
            </w:r>
          </w:p>
        </w:tc>
        <w:tc>
          <w:tcPr>
            <w:tcW w:w="977" w:type="pct"/>
            <w:vAlign w:val="center"/>
          </w:tcPr>
          <w:p w:rsidR="00314C99" w:rsidRPr="005802E9" w:rsidRDefault="00314C99" w:rsidP="008F2988">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37.7%</w:t>
            </w:r>
          </w:p>
        </w:tc>
        <w:tc>
          <w:tcPr>
            <w:tcW w:w="976" w:type="pct"/>
            <w:vAlign w:val="center"/>
          </w:tcPr>
          <w:p w:rsidR="00314C99" w:rsidRPr="005802E9" w:rsidRDefault="00314C99" w:rsidP="008F2988">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0.005</w:t>
            </w:r>
            <w:r w:rsidRPr="005802E9">
              <w:rPr>
                <w:rFonts w:ascii="Arial Narrow" w:hAnsi="Arial Narrow" w:cs="Times New Roman"/>
                <w:sz w:val="20"/>
                <w:szCs w:val="22"/>
                <w:vertAlign w:val="superscript"/>
                <w:lang w:eastAsia="en-US"/>
              </w:rPr>
              <w:t>a</w:t>
            </w:r>
          </w:p>
        </w:tc>
      </w:tr>
      <w:tr w:rsidR="00314C99" w:rsidRPr="005802E9" w:rsidTr="008F2988">
        <w:trPr>
          <w:cantSplit/>
        </w:trPr>
        <w:tc>
          <w:tcPr>
            <w:tcW w:w="2070" w:type="pct"/>
            <w:tcBorders>
              <w:bottom w:val="single" w:sz="4" w:space="0" w:color="auto"/>
            </w:tcBorders>
            <w:vAlign w:val="center"/>
          </w:tcPr>
          <w:p w:rsidR="00314C99" w:rsidRPr="005802E9" w:rsidRDefault="00314C99" w:rsidP="008F2988">
            <w:pPr>
              <w:jc w:val="left"/>
              <w:rPr>
                <w:rFonts w:ascii="Arial Narrow" w:hAnsi="Arial Narrow" w:cs="Times New Roman"/>
                <w:b/>
                <w:sz w:val="20"/>
                <w:szCs w:val="22"/>
                <w:lang w:eastAsia="en-US"/>
              </w:rPr>
            </w:pPr>
            <w:r w:rsidRPr="005802E9">
              <w:rPr>
                <w:rFonts w:ascii="Arial Narrow" w:hAnsi="Arial Narrow" w:cs="Times New Roman"/>
                <w:b/>
                <w:sz w:val="20"/>
                <w:szCs w:val="22"/>
                <w:lang w:eastAsia="en-US"/>
              </w:rPr>
              <w:t>Trial AD-302</w:t>
            </w:r>
          </w:p>
        </w:tc>
        <w:tc>
          <w:tcPr>
            <w:tcW w:w="977" w:type="pct"/>
            <w:tcBorders>
              <w:bottom w:val="single" w:sz="4" w:space="0" w:color="auto"/>
            </w:tcBorders>
            <w:vAlign w:val="center"/>
          </w:tcPr>
          <w:p w:rsidR="00314C99" w:rsidRPr="005802E9" w:rsidRDefault="00314C99" w:rsidP="008F2988">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Crisaborole</w:t>
            </w:r>
          </w:p>
          <w:p w:rsidR="00314C99" w:rsidRPr="005802E9" w:rsidRDefault="00314C99" w:rsidP="008F2988">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N=513</w:t>
            </w:r>
          </w:p>
        </w:tc>
        <w:tc>
          <w:tcPr>
            <w:tcW w:w="977" w:type="pct"/>
            <w:tcBorders>
              <w:bottom w:val="single" w:sz="4" w:space="0" w:color="auto"/>
            </w:tcBorders>
            <w:vAlign w:val="center"/>
          </w:tcPr>
          <w:p w:rsidR="00314C99" w:rsidRPr="005802E9" w:rsidRDefault="00314C99" w:rsidP="008F2988">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Ointment vehicle</w:t>
            </w:r>
          </w:p>
          <w:p w:rsidR="00314C99" w:rsidRPr="005802E9" w:rsidRDefault="00314C99" w:rsidP="008F2988">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N=250</w:t>
            </w:r>
          </w:p>
        </w:tc>
        <w:tc>
          <w:tcPr>
            <w:tcW w:w="976" w:type="pct"/>
            <w:tcBorders>
              <w:bottom w:val="single" w:sz="4" w:space="0" w:color="auto"/>
            </w:tcBorders>
            <w:vAlign w:val="center"/>
          </w:tcPr>
          <w:p w:rsidR="00314C99" w:rsidRPr="005802E9" w:rsidRDefault="00314C99" w:rsidP="008F2988">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p-value</w:t>
            </w:r>
          </w:p>
        </w:tc>
      </w:tr>
      <w:tr w:rsidR="00314C99" w:rsidRPr="005802E9" w:rsidTr="008F2988">
        <w:trPr>
          <w:cantSplit/>
        </w:trPr>
        <w:tc>
          <w:tcPr>
            <w:tcW w:w="2070" w:type="pct"/>
            <w:tcBorders>
              <w:bottom w:val="single" w:sz="4" w:space="0" w:color="auto"/>
            </w:tcBorders>
            <w:shd w:val="clear" w:color="auto" w:fill="D9D9D9" w:themeFill="background1" w:themeFillShade="D9"/>
            <w:vAlign w:val="center"/>
          </w:tcPr>
          <w:p w:rsidR="00314C99" w:rsidRPr="005802E9" w:rsidRDefault="00314C99" w:rsidP="008F2988">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MCMC multiple imputation</w:t>
            </w:r>
          </w:p>
        </w:tc>
        <w:tc>
          <w:tcPr>
            <w:tcW w:w="977" w:type="pct"/>
            <w:tcBorders>
              <w:bottom w:val="single" w:sz="4" w:space="0" w:color="auto"/>
            </w:tcBorders>
            <w:shd w:val="clear" w:color="auto" w:fill="D9D9D9" w:themeFill="background1" w:themeFillShade="D9"/>
            <w:vAlign w:val="center"/>
          </w:tcPr>
          <w:p w:rsidR="00314C99" w:rsidRPr="005802E9" w:rsidRDefault="00314C99" w:rsidP="008F2988">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249 (48.5%)</w:t>
            </w:r>
          </w:p>
        </w:tc>
        <w:tc>
          <w:tcPr>
            <w:tcW w:w="977" w:type="pct"/>
            <w:tcBorders>
              <w:bottom w:val="single" w:sz="4" w:space="0" w:color="auto"/>
            </w:tcBorders>
            <w:shd w:val="clear" w:color="auto" w:fill="D9D9D9" w:themeFill="background1" w:themeFillShade="D9"/>
            <w:vAlign w:val="center"/>
          </w:tcPr>
          <w:p w:rsidR="00314C99" w:rsidRPr="005802E9" w:rsidRDefault="00314C99" w:rsidP="008F2988">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74 (29.7%)</w:t>
            </w:r>
          </w:p>
        </w:tc>
        <w:tc>
          <w:tcPr>
            <w:tcW w:w="976" w:type="pct"/>
            <w:tcBorders>
              <w:bottom w:val="single" w:sz="4" w:space="0" w:color="auto"/>
            </w:tcBorders>
            <w:shd w:val="clear" w:color="auto" w:fill="D9D9D9" w:themeFill="background1" w:themeFillShade="D9"/>
            <w:vAlign w:val="center"/>
          </w:tcPr>
          <w:p w:rsidR="00314C99" w:rsidRPr="005802E9" w:rsidRDefault="00314C99" w:rsidP="008F2988">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NR</w:t>
            </w:r>
          </w:p>
        </w:tc>
      </w:tr>
      <w:tr w:rsidR="00314C99" w:rsidRPr="005802E9" w:rsidTr="00FE2F1C">
        <w:trPr>
          <w:cantSplit/>
        </w:trPr>
        <w:tc>
          <w:tcPr>
            <w:tcW w:w="2070" w:type="pct"/>
            <w:tcBorders>
              <w:bottom w:val="single" w:sz="4" w:space="0" w:color="auto"/>
            </w:tcBorders>
            <w:vAlign w:val="center"/>
          </w:tcPr>
          <w:p w:rsidR="00314C99" w:rsidRPr="005802E9" w:rsidRDefault="00314C99" w:rsidP="008F2988">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Logistic regression multiple imputation</w:t>
            </w:r>
          </w:p>
        </w:tc>
        <w:tc>
          <w:tcPr>
            <w:tcW w:w="977" w:type="pct"/>
            <w:tcBorders>
              <w:bottom w:val="single" w:sz="4" w:space="0" w:color="auto"/>
            </w:tcBorders>
            <w:vAlign w:val="center"/>
          </w:tcPr>
          <w:p w:rsidR="00314C99" w:rsidRPr="005802E9" w:rsidRDefault="00314C99" w:rsidP="008F2988">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45.2%</w:t>
            </w:r>
          </w:p>
        </w:tc>
        <w:tc>
          <w:tcPr>
            <w:tcW w:w="977" w:type="pct"/>
            <w:tcBorders>
              <w:bottom w:val="single" w:sz="4" w:space="0" w:color="auto"/>
            </w:tcBorders>
            <w:vAlign w:val="center"/>
          </w:tcPr>
          <w:p w:rsidR="00314C99" w:rsidRPr="005802E9" w:rsidRDefault="00314C99" w:rsidP="008F2988">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25.5%</w:t>
            </w:r>
          </w:p>
        </w:tc>
        <w:tc>
          <w:tcPr>
            <w:tcW w:w="976" w:type="pct"/>
            <w:tcBorders>
              <w:bottom w:val="single" w:sz="4" w:space="0" w:color="auto"/>
            </w:tcBorders>
            <w:vAlign w:val="center"/>
          </w:tcPr>
          <w:p w:rsidR="00314C99" w:rsidRPr="005802E9" w:rsidRDefault="00314C99" w:rsidP="008F2988">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&lt;0.001</w:t>
            </w:r>
            <w:r w:rsidRPr="005802E9">
              <w:rPr>
                <w:rFonts w:ascii="Arial Narrow" w:hAnsi="Arial Narrow" w:cs="Times New Roman"/>
                <w:sz w:val="20"/>
                <w:szCs w:val="22"/>
                <w:vertAlign w:val="superscript"/>
                <w:lang w:eastAsia="en-US"/>
              </w:rPr>
              <w:t>a</w:t>
            </w:r>
          </w:p>
        </w:tc>
      </w:tr>
    </w:tbl>
    <w:p w:rsidR="00314C99" w:rsidRPr="005802E9" w:rsidRDefault="00314C99" w:rsidP="00314C99">
      <w:pPr>
        <w:widowControl w:val="0"/>
        <w:rPr>
          <w:rFonts w:ascii="Arial Narrow" w:hAnsi="Arial Narrow"/>
          <w:snapToGrid w:val="0"/>
          <w:sz w:val="18"/>
          <w:szCs w:val="22"/>
          <w:lang w:eastAsia="en-US"/>
        </w:rPr>
      </w:pPr>
      <w:r w:rsidRPr="005802E9">
        <w:rPr>
          <w:rFonts w:ascii="Arial Narrow" w:hAnsi="Arial Narrow"/>
          <w:snapToGrid w:val="0"/>
          <w:sz w:val="18"/>
          <w:szCs w:val="22"/>
          <w:lang w:eastAsia="en-US"/>
        </w:rPr>
        <w:t>Source: Table 18, p83, Table 14.2.5.3.1, p202 of the AD-301 trial report; Table 18, p83 and Table 14.2.5.3.1, p198 of the AD-302 trial report</w:t>
      </w:r>
    </w:p>
    <w:p w:rsidR="00314C99" w:rsidRPr="005802E9" w:rsidRDefault="00314C99" w:rsidP="00314C99">
      <w:pPr>
        <w:widowControl w:val="0"/>
        <w:rPr>
          <w:rFonts w:ascii="Arial Narrow" w:hAnsi="Arial Narrow"/>
          <w:snapToGrid w:val="0"/>
          <w:sz w:val="20"/>
          <w:szCs w:val="22"/>
          <w:lang w:eastAsia="en-US"/>
        </w:rPr>
      </w:pPr>
      <w:r w:rsidRPr="005802E9">
        <w:rPr>
          <w:rFonts w:ascii="Arial Narrow" w:hAnsi="Arial Narrow"/>
          <w:snapToGrid w:val="0"/>
          <w:sz w:val="18"/>
          <w:szCs w:val="22"/>
          <w:lang w:eastAsia="en-US"/>
        </w:rPr>
        <w:t>Abbreviations: ISGA, Investigator’s Static Global Assessment (5-point scale); MCMC, Markov Chain Monte Carlo; NR, not reported</w:t>
      </w:r>
    </w:p>
    <w:p w:rsidR="00314C99" w:rsidRPr="005802E9" w:rsidRDefault="00314C99" w:rsidP="00314C99">
      <w:pPr>
        <w:widowControl w:val="0"/>
        <w:rPr>
          <w:rFonts w:ascii="Arial Narrow" w:eastAsia="Calibri" w:hAnsi="Arial Narrow"/>
          <w:snapToGrid w:val="0"/>
          <w:sz w:val="18"/>
          <w:szCs w:val="22"/>
          <w:lang w:eastAsia="en-US"/>
        </w:rPr>
      </w:pPr>
      <w:r w:rsidRPr="005802E9">
        <w:rPr>
          <w:rFonts w:ascii="Arial Narrow" w:eastAsia="Calibri" w:hAnsi="Arial Narrow"/>
          <w:snapToGrid w:val="0"/>
          <w:sz w:val="18"/>
          <w:szCs w:val="22"/>
          <w:vertAlign w:val="superscript"/>
          <w:lang w:eastAsia="en-US"/>
        </w:rPr>
        <w:t xml:space="preserve">a </w:t>
      </w:r>
      <w:r w:rsidRPr="005802E9">
        <w:rPr>
          <w:rFonts w:ascii="Arial Narrow" w:eastAsia="Calibri" w:hAnsi="Arial Narrow"/>
          <w:snapToGrid w:val="0"/>
          <w:sz w:val="18"/>
          <w:szCs w:val="22"/>
          <w:lang w:eastAsia="en-US"/>
        </w:rPr>
        <w:t>The p-value from a logistic regression (with Firth option) test with factors of treatment group and analysis centre. Values were adjusted for multiple imputation.</w:t>
      </w:r>
    </w:p>
    <w:p w:rsidR="00314C99" w:rsidRPr="005802E9" w:rsidRDefault="00314C99" w:rsidP="00314C99">
      <w:pPr>
        <w:widowControl w:val="0"/>
        <w:spacing w:after="120"/>
        <w:rPr>
          <w:rFonts w:ascii="Arial Narrow" w:eastAsia="Calibri" w:hAnsi="Arial Narrow"/>
          <w:snapToGrid w:val="0"/>
          <w:sz w:val="18"/>
          <w:szCs w:val="22"/>
          <w:lang w:eastAsia="en-US"/>
        </w:rPr>
      </w:pPr>
      <w:r w:rsidRPr="005802E9">
        <w:rPr>
          <w:rFonts w:ascii="Arial Narrow" w:eastAsia="Calibri" w:hAnsi="Arial Narrow"/>
          <w:snapToGrid w:val="0"/>
          <w:sz w:val="18"/>
          <w:szCs w:val="22"/>
          <w:lang w:eastAsia="en-US"/>
        </w:rPr>
        <w:t>Note: Estimates highlighted in grey were used in the indirect comparison of crisaborole versus pimecrolimus</w:t>
      </w:r>
    </w:p>
    <w:p w:rsidR="004864C7" w:rsidRPr="005802E9" w:rsidRDefault="004864C7" w:rsidP="00EC5836">
      <w:pPr>
        <w:pStyle w:val="ExecSumBodyText"/>
      </w:pPr>
      <w:r w:rsidRPr="005802E9">
        <w:t>A statistically significantly higher proportion of patients treated with crisaborole achieved an ISGA score of 0 or 1 and ≥ 2-grade improvement at 4 weeks from baseline than patients receiving the ointment vehicle. The statistical significance of results from Trial AD-301 and absolute proportion of patients achieving the endpoint in both trials appeared sensitive to the method of imputation used. Unadjusted estimates were not provided in the resubmission. The differences between the methods of imputation were unclear due to limited documentation.</w:t>
      </w:r>
    </w:p>
    <w:p w:rsidR="004864C7" w:rsidRPr="005802E9" w:rsidRDefault="00314C99" w:rsidP="004864C7">
      <w:pPr>
        <w:pStyle w:val="ExecSumBodyText"/>
        <w:rPr>
          <w:i/>
        </w:rPr>
      </w:pPr>
      <w:r w:rsidRPr="005802E9">
        <w:t>R</w:t>
      </w:r>
      <w:r w:rsidR="004864C7" w:rsidRPr="005802E9">
        <w:t>esults for the secondary endpoint of the crisaborole trials suggest that treatment with crisaborole was associated with statistically significantly more patients achieving clear or almost clear disease (with no minimum requirement in score improvement) compared with vehicle-treated patients. The statistical significance of results based on the Markov Chain Monte Carlo imputation method was unclear due to limited documentation. The absolute proportions achieving the endpoint also varied depending on method of imputation used.</w:t>
      </w:r>
      <w:r w:rsidR="004864C7" w:rsidRPr="005802E9">
        <w:rPr>
          <w:i/>
        </w:rPr>
        <w:t xml:space="preserve"> </w:t>
      </w:r>
    </w:p>
    <w:p w:rsidR="00DA5BED" w:rsidRDefault="004864C7" w:rsidP="004864C7">
      <w:pPr>
        <w:pStyle w:val="ExecSumBodyText"/>
      </w:pPr>
      <w:r w:rsidRPr="005802E9">
        <w:t xml:space="preserve">The key trials included scores from age-dependent dermatology-related quality of life questionnaires. The data were descriptively summarised by treatment group at each time point, as well as change from baseline (Children’s Dermatology Life Quality Index, CDLQI for subjects aged 2–15 years; Dermatology Life Quality Index, DLQI for subjects aged 16 years and older; and Dermatitis Family Impact, DFI for parents/guardians of subjects aged 2–17 years). The assessment scales included sets of 10 questions that generate a cumulative score out of 30; higher scores indicate larger (worse) impacts on quality of life. </w:t>
      </w:r>
    </w:p>
    <w:p w:rsidR="00DA5BED" w:rsidRDefault="00DA5BED">
      <w:pPr>
        <w:jc w:val="left"/>
        <w:rPr>
          <w:rFonts w:asciiTheme="minorHAnsi" w:hAnsiTheme="minorHAnsi"/>
          <w:snapToGrid w:val="0"/>
        </w:rPr>
      </w:pPr>
      <w:r>
        <w:br w:type="page"/>
      </w:r>
    </w:p>
    <w:p w:rsidR="001D59EF" w:rsidRPr="005802E9" w:rsidRDefault="001D59EF" w:rsidP="001D59EF">
      <w:pPr>
        <w:pStyle w:val="TableHeading"/>
        <w:jc w:val="both"/>
        <w:rPr>
          <w:snapToGrid w:val="0"/>
        </w:rPr>
      </w:pPr>
      <w:r w:rsidRPr="005802E9">
        <w:rPr>
          <w:snapToGrid w:val="0"/>
        </w:rPr>
        <w:lastRenderedPageBreak/>
        <w:t xml:space="preserve">Table </w:t>
      </w:r>
      <w:r w:rsidR="004736E5" w:rsidRPr="005802E9">
        <w:rPr>
          <w:snapToGrid w:val="0"/>
        </w:rPr>
        <w:t>7</w:t>
      </w:r>
      <w:r w:rsidRPr="005802E9">
        <w:rPr>
          <w:snapToGrid w:val="0"/>
        </w:rPr>
        <w:t>: Results from descriptive analyses of dermatology-specific quality of life questionnaires (AD-301, AD-302 and pooled trial analyses)</w:t>
      </w:r>
    </w:p>
    <w:tbl>
      <w:tblPr>
        <w:tblStyle w:val="TableGrid"/>
        <w:tblW w:w="0" w:type="auto"/>
        <w:tblLook w:val="04A0" w:firstRow="1" w:lastRow="0" w:firstColumn="1" w:lastColumn="0" w:noHBand="0" w:noVBand="1"/>
        <w:tblCaption w:val="Table 7: Results from descriptive analyses of dermatology-specific quality of life questionnaires (AD-301, AD-302 and pooled trial analyses)"/>
      </w:tblPr>
      <w:tblGrid>
        <w:gridCol w:w="1413"/>
        <w:gridCol w:w="1802"/>
        <w:gridCol w:w="1292"/>
        <w:gridCol w:w="1447"/>
        <w:gridCol w:w="1522"/>
        <w:gridCol w:w="1541"/>
      </w:tblGrid>
      <w:tr w:rsidR="001D59EF" w:rsidRPr="005802E9" w:rsidTr="008F2988">
        <w:trPr>
          <w:cantSplit/>
          <w:tblHeader/>
        </w:trPr>
        <w:tc>
          <w:tcPr>
            <w:tcW w:w="1413" w:type="dxa"/>
            <w:vAlign w:val="center"/>
          </w:tcPr>
          <w:p w:rsidR="001D59EF" w:rsidRPr="005802E9" w:rsidRDefault="001D59EF" w:rsidP="008F2988">
            <w:pPr>
              <w:pStyle w:val="TableText"/>
              <w:keepNext w:val="0"/>
              <w:rPr>
                <w:b/>
                <w:snapToGrid w:val="0"/>
                <w:lang w:eastAsia="en-US"/>
              </w:rPr>
            </w:pPr>
            <w:r w:rsidRPr="005802E9">
              <w:rPr>
                <w:b/>
                <w:snapToGrid w:val="0"/>
                <w:lang w:eastAsia="en-US"/>
              </w:rPr>
              <w:t>Trial</w:t>
            </w:r>
          </w:p>
        </w:tc>
        <w:tc>
          <w:tcPr>
            <w:tcW w:w="1802" w:type="dxa"/>
            <w:vAlign w:val="center"/>
          </w:tcPr>
          <w:p w:rsidR="001D59EF" w:rsidRPr="005802E9" w:rsidRDefault="001D59EF" w:rsidP="008F2988">
            <w:pPr>
              <w:pStyle w:val="TableText"/>
              <w:keepNext w:val="0"/>
              <w:rPr>
                <w:b/>
                <w:snapToGrid w:val="0"/>
                <w:lang w:eastAsia="en-US"/>
              </w:rPr>
            </w:pPr>
            <w:r w:rsidRPr="005802E9">
              <w:rPr>
                <w:b/>
                <w:snapToGrid w:val="0"/>
                <w:lang w:eastAsia="en-US"/>
              </w:rPr>
              <w:t>Treatment arms</w:t>
            </w:r>
          </w:p>
        </w:tc>
        <w:tc>
          <w:tcPr>
            <w:tcW w:w="1292" w:type="dxa"/>
            <w:vAlign w:val="center"/>
          </w:tcPr>
          <w:p w:rsidR="001D59EF" w:rsidRPr="005802E9" w:rsidRDefault="001D59EF" w:rsidP="008F2988">
            <w:pPr>
              <w:pStyle w:val="TableText"/>
              <w:keepNext w:val="0"/>
              <w:jc w:val="center"/>
              <w:rPr>
                <w:b/>
                <w:snapToGrid w:val="0"/>
                <w:lang w:eastAsia="en-US"/>
              </w:rPr>
            </w:pPr>
            <w:r w:rsidRPr="005802E9">
              <w:rPr>
                <w:b/>
                <w:snapToGrid w:val="0"/>
                <w:lang w:eastAsia="en-US"/>
              </w:rPr>
              <w:t>Baseline, mean (SD)</w:t>
            </w:r>
          </w:p>
        </w:tc>
        <w:tc>
          <w:tcPr>
            <w:tcW w:w="1447" w:type="dxa"/>
            <w:vAlign w:val="center"/>
          </w:tcPr>
          <w:p w:rsidR="001D59EF" w:rsidRPr="005802E9" w:rsidRDefault="001D59EF" w:rsidP="008F2988">
            <w:pPr>
              <w:pStyle w:val="TableText"/>
              <w:keepNext w:val="0"/>
              <w:jc w:val="center"/>
              <w:rPr>
                <w:b/>
                <w:snapToGrid w:val="0"/>
                <w:lang w:eastAsia="en-US"/>
              </w:rPr>
            </w:pPr>
            <w:r w:rsidRPr="005802E9">
              <w:rPr>
                <w:b/>
                <w:snapToGrid w:val="0"/>
                <w:lang w:eastAsia="en-US"/>
              </w:rPr>
              <w:t xml:space="preserve">Day 29, </w:t>
            </w:r>
          </w:p>
          <w:p w:rsidR="001D59EF" w:rsidRPr="005802E9" w:rsidRDefault="001D59EF" w:rsidP="008F2988">
            <w:pPr>
              <w:pStyle w:val="TableText"/>
              <w:keepNext w:val="0"/>
              <w:jc w:val="center"/>
              <w:rPr>
                <w:b/>
                <w:snapToGrid w:val="0"/>
                <w:lang w:eastAsia="en-US"/>
              </w:rPr>
            </w:pPr>
            <w:r w:rsidRPr="005802E9">
              <w:rPr>
                <w:b/>
                <w:snapToGrid w:val="0"/>
                <w:lang w:eastAsia="en-US"/>
              </w:rPr>
              <w:t>mean (SD)</w:t>
            </w:r>
          </w:p>
        </w:tc>
        <w:tc>
          <w:tcPr>
            <w:tcW w:w="1522" w:type="dxa"/>
            <w:vAlign w:val="center"/>
          </w:tcPr>
          <w:p w:rsidR="001D59EF" w:rsidRPr="005802E9" w:rsidRDefault="001D59EF" w:rsidP="008F2988">
            <w:pPr>
              <w:pStyle w:val="TableText"/>
              <w:keepNext w:val="0"/>
              <w:jc w:val="center"/>
              <w:rPr>
                <w:b/>
                <w:snapToGrid w:val="0"/>
                <w:lang w:eastAsia="en-US"/>
              </w:rPr>
            </w:pPr>
            <w:r w:rsidRPr="005802E9">
              <w:rPr>
                <w:b/>
                <w:snapToGrid w:val="0"/>
                <w:lang w:eastAsia="en-US"/>
              </w:rPr>
              <w:t xml:space="preserve">Change from baseline, </w:t>
            </w:r>
          </w:p>
          <w:p w:rsidR="001D59EF" w:rsidRPr="005802E9" w:rsidRDefault="001D59EF" w:rsidP="008F2988">
            <w:pPr>
              <w:pStyle w:val="TableText"/>
              <w:keepNext w:val="0"/>
              <w:jc w:val="center"/>
              <w:rPr>
                <w:b/>
                <w:snapToGrid w:val="0"/>
                <w:lang w:eastAsia="en-US"/>
              </w:rPr>
            </w:pPr>
            <w:r w:rsidRPr="005802E9">
              <w:rPr>
                <w:b/>
                <w:snapToGrid w:val="0"/>
                <w:lang w:eastAsia="en-US"/>
              </w:rPr>
              <w:t>mean (SD)</w:t>
            </w:r>
          </w:p>
        </w:tc>
        <w:tc>
          <w:tcPr>
            <w:tcW w:w="1541" w:type="dxa"/>
            <w:vAlign w:val="center"/>
          </w:tcPr>
          <w:p w:rsidR="001D59EF" w:rsidRPr="005802E9" w:rsidRDefault="001D59EF" w:rsidP="008F2988">
            <w:pPr>
              <w:pStyle w:val="TableText"/>
              <w:keepNext w:val="0"/>
              <w:jc w:val="center"/>
              <w:rPr>
                <w:b/>
                <w:snapToGrid w:val="0"/>
                <w:lang w:eastAsia="en-US"/>
              </w:rPr>
            </w:pPr>
            <w:r w:rsidRPr="005802E9">
              <w:rPr>
                <w:b/>
                <w:snapToGrid w:val="0"/>
                <w:lang w:eastAsia="en-US"/>
              </w:rPr>
              <w:t>Crude difference</w:t>
            </w:r>
          </w:p>
        </w:tc>
      </w:tr>
      <w:tr w:rsidR="001D59EF" w:rsidRPr="005802E9" w:rsidTr="008F2988">
        <w:trPr>
          <w:cantSplit/>
        </w:trPr>
        <w:tc>
          <w:tcPr>
            <w:tcW w:w="9017" w:type="dxa"/>
            <w:gridSpan w:val="6"/>
            <w:vAlign w:val="center"/>
          </w:tcPr>
          <w:p w:rsidR="001D59EF" w:rsidRPr="005802E9" w:rsidRDefault="001D59EF" w:rsidP="008F2988">
            <w:pPr>
              <w:pStyle w:val="TableText"/>
              <w:keepNext w:val="0"/>
              <w:rPr>
                <w:b/>
                <w:snapToGrid w:val="0"/>
                <w:lang w:eastAsia="en-US"/>
              </w:rPr>
            </w:pPr>
            <w:r w:rsidRPr="005802E9">
              <w:rPr>
                <w:b/>
                <w:snapToGrid w:val="0"/>
                <w:lang w:eastAsia="en-US"/>
              </w:rPr>
              <w:t>Children’s Dermatology Life Quality Index (CDLQI), patients aged 2-15 years</w:t>
            </w:r>
          </w:p>
        </w:tc>
      </w:tr>
      <w:tr w:rsidR="001D59EF" w:rsidRPr="005802E9" w:rsidTr="008F2988">
        <w:trPr>
          <w:cantSplit/>
        </w:trPr>
        <w:tc>
          <w:tcPr>
            <w:tcW w:w="1413" w:type="dxa"/>
            <w:vMerge w:val="restart"/>
            <w:vAlign w:val="center"/>
          </w:tcPr>
          <w:p w:rsidR="001D59EF" w:rsidRPr="005802E9" w:rsidRDefault="001D59EF" w:rsidP="008F2988">
            <w:pPr>
              <w:pStyle w:val="TableText"/>
              <w:keepNext w:val="0"/>
              <w:rPr>
                <w:snapToGrid w:val="0"/>
                <w:lang w:eastAsia="en-US"/>
              </w:rPr>
            </w:pPr>
            <w:r w:rsidRPr="005802E9">
              <w:rPr>
                <w:snapToGrid w:val="0"/>
                <w:lang w:eastAsia="en-US"/>
              </w:rPr>
              <w:t>AD-301</w:t>
            </w: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Crisaborole (n=393)</w:t>
            </w:r>
          </w:p>
        </w:tc>
        <w:tc>
          <w:tcPr>
            <w:tcW w:w="129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9.7 (6.2)</w:t>
            </w:r>
          </w:p>
        </w:tc>
        <w:tc>
          <w:tcPr>
            <w:tcW w:w="1447"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4.5 (4.8)</w:t>
            </w:r>
          </w:p>
        </w:tc>
        <w:tc>
          <w:tcPr>
            <w:tcW w:w="152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-5.2 (5.6)</w:t>
            </w:r>
          </w:p>
        </w:tc>
        <w:tc>
          <w:tcPr>
            <w:tcW w:w="1541" w:type="dxa"/>
            <w:vMerge w:val="restart"/>
            <w:vAlign w:val="center"/>
          </w:tcPr>
          <w:p w:rsidR="001D59EF" w:rsidRPr="005802E9" w:rsidRDefault="001D59EF" w:rsidP="008F2988">
            <w:pPr>
              <w:pStyle w:val="TableText"/>
              <w:jc w:val="center"/>
              <w:rPr>
                <w:snapToGrid w:val="0"/>
                <w:lang w:eastAsia="en-US"/>
              </w:rPr>
            </w:pPr>
            <w:r w:rsidRPr="005802E9">
              <w:rPr>
                <w:snapToGrid w:val="0"/>
                <w:lang w:eastAsia="en-US"/>
              </w:rPr>
              <w:t>-2.1</w:t>
            </w:r>
          </w:p>
        </w:tc>
      </w:tr>
      <w:tr w:rsidR="001D59EF" w:rsidRPr="005802E9" w:rsidTr="008F2988">
        <w:trPr>
          <w:cantSplit/>
        </w:trPr>
        <w:tc>
          <w:tcPr>
            <w:tcW w:w="1413" w:type="dxa"/>
            <w:vMerge/>
            <w:vAlign w:val="center"/>
          </w:tcPr>
          <w:p w:rsidR="001D59EF" w:rsidRPr="005802E9" w:rsidRDefault="001D59EF" w:rsidP="008F2988">
            <w:pPr>
              <w:pStyle w:val="TableText"/>
              <w:keepNext w:val="0"/>
              <w:rPr>
                <w:snapToGrid w:val="0"/>
                <w:lang w:eastAsia="en-US"/>
              </w:rPr>
            </w:pP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Vehicle (n=199)</w:t>
            </w:r>
          </w:p>
        </w:tc>
        <w:tc>
          <w:tcPr>
            <w:tcW w:w="1292" w:type="dxa"/>
            <w:vAlign w:val="center"/>
          </w:tcPr>
          <w:p w:rsidR="001D59EF" w:rsidRPr="005802E9" w:rsidRDefault="001D59EF" w:rsidP="008F2988">
            <w:pPr>
              <w:pStyle w:val="TableText"/>
              <w:jc w:val="center"/>
              <w:rPr>
                <w:snapToGrid w:val="0"/>
                <w:lang w:eastAsia="en-US"/>
              </w:rPr>
            </w:pPr>
            <w:r w:rsidRPr="005802E9">
              <w:rPr>
                <w:snapToGrid w:val="0"/>
                <w:lang w:eastAsia="en-US"/>
              </w:rPr>
              <w:t>9.1 (6.5)</w:t>
            </w:r>
          </w:p>
        </w:tc>
        <w:tc>
          <w:tcPr>
            <w:tcW w:w="1447"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5.9 (6.0)</w:t>
            </w:r>
          </w:p>
        </w:tc>
        <w:tc>
          <w:tcPr>
            <w:tcW w:w="1522" w:type="dxa"/>
            <w:vAlign w:val="center"/>
          </w:tcPr>
          <w:p w:rsidR="001D59EF" w:rsidRPr="005802E9" w:rsidRDefault="001D59EF" w:rsidP="008F2988">
            <w:pPr>
              <w:pStyle w:val="TableText"/>
              <w:jc w:val="center"/>
              <w:rPr>
                <w:snapToGrid w:val="0"/>
                <w:lang w:eastAsia="en-US"/>
              </w:rPr>
            </w:pPr>
            <w:r w:rsidRPr="005802E9">
              <w:rPr>
                <w:snapToGrid w:val="0"/>
                <w:lang w:eastAsia="en-US"/>
              </w:rPr>
              <w:t>-3.1 (5.9)</w:t>
            </w:r>
          </w:p>
        </w:tc>
        <w:tc>
          <w:tcPr>
            <w:tcW w:w="1541" w:type="dxa"/>
            <w:vMerge/>
            <w:vAlign w:val="center"/>
          </w:tcPr>
          <w:p w:rsidR="001D59EF" w:rsidRPr="005802E9" w:rsidRDefault="001D59EF" w:rsidP="008F2988">
            <w:pPr>
              <w:pStyle w:val="TableText"/>
              <w:keepNext w:val="0"/>
              <w:jc w:val="center"/>
              <w:rPr>
                <w:snapToGrid w:val="0"/>
                <w:lang w:eastAsia="en-US"/>
              </w:rPr>
            </w:pPr>
          </w:p>
        </w:tc>
      </w:tr>
      <w:tr w:rsidR="001D59EF" w:rsidRPr="005802E9" w:rsidTr="008F2988">
        <w:trPr>
          <w:cantSplit/>
        </w:trPr>
        <w:tc>
          <w:tcPr>
            <w:tcW w:w="1413" w:type="dxa"/>
            <w:vMerge w:val="restart"/>
            <w:vAlign w:val="center"/>
          </w:tcPr>
          <w:p w:rsidR="001D59EF" w:rsidRPr="005802E9" w:rsidRDefault="001D59EF" w:rsidP="008F2988">
            <w:pPr>
              <w:pStyle w:val="TableText"/>
              <w:keepNext w:val="0"/>
              <w:rPr>
                <w:snapToGrid w:val="0"/>
                <w:lang w:eastAsia="en-US"/>
              </w:rPr>
            </w:pPr>
            <w:r w:rsidRPr="005802E9">
              <w:rPr>
                <w:snapToGrid w:val="0"/>
                <w:lang w:eastAsia="en-US"/>
              </w:rPr>
              <w:t>AD-302</w:t>
            </w: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Crisaborole (n=404)</w:t>
            </w:r>
          </w:p>
        </w:tc>
        <w:tc>
          <w:tcPr>
            <w:tcW w:w="1292" w:type="dxa"/>
            <w:vAlign w:val="center"/>
          </w:tcPr>
          <w:p w:rsidR="001D59EF" w:rsidRPr="005802E9" w:rsidRDefault="001D59EF" w:rsidP="008F2988">
            <w:pPr>
              <w:pStyle w:val="TableText"/>
              <w:jc w:val="center"/>
              <w:rPr>
                <w:snapToGrid w:val="0"/>
                <w:lang w:eastAsia="en-US"/>
              </w:rPr>
            </w:pPr>
            <w:r w:rsidRPr="005802E9">
              <w:rPr>
                <w:snapToGrid w:val="0"/>
                <w:lang w:eastAsia="en-US"/>
              </w:rPr>
              <w:t>9.0 (5.8)</w:t>
            </w:r>
          </w:p>
        </w:tc>
        <w:tc>
          <w:tcPr>
            <w:tcW w:w="1447" w:type="dxa"/>
            <w:vAlign w:val="center"/>
          </w:tcPr>
          <w:p w:rsidR="001D59EF" w:rsidRPr="005802E9" w:rsidRDefault="001D59EF" w:rsidP="008F2988">
            <w:pPr>
              <w:pStyle w:val="TableText"/>
              <w:jc w:val="center"/>
              <w:rPr>
                <w:snapToGrid w:val="0"/>
                <w:lang w:eastAsia="en-US"/>
              </w:rPr>
            </w:pPr>
            <w:r w:rsidRPr="005802E9">
              <w:rPr>
                <w:snapToGrid w:val="0"/>
                <w:lang w:eastAsia="en-US"/>
              </w:rPr>
              <w:t>4.8 (4.6)</w:t>
            </w:r>
          </w:p>
        </w:tc>
        <w:tc>
          <w:tcPr>
            <w:tcW w:w="1522" w:type="dxa"/>
            <w:vAlign w:val="center"/>
          </w:tcPr>
          <w:p w:rsidR="001D59EF" w:rsidRPr="005802E9" w:rsidRDefault="001D59EF" w:rsidP="008F2988">
            <w:pPr>
              <w:pStyle w:val="TableText"/>
              <w:jc w:val="center"/>
              <w:rPr>
                <w:snapToGrid w:val="0"/>
                <w:lang w:eastAsia="en-US"/>
              </w:rPr>
            </w:pPr>
            <w:r w:rsidRPr="005802E9">
              <w:rPr>
                <w:snapToGrid w:val="0"/>
                <w:lang w:eastAsia="en-US"/>
              </w:rPr>
              <w:t>-4.0 (4.9)</w:t>
            </w:r>
          </w:p>
        </w:tc>
        <w:tc>
          <w:tcPr>
            <w:tcW w:w="1541" w:type="dxa"/>
            <w:vMerge w:val="restart"/>
            <w:vAlign w:val="center"/>
          </w:tcPr>
          <w:p w:rsidR="001D59EF" w:rsidRPr="005802E9" w:rsidRDefault="001D59EF" w:rsidP="008F2988">
            <w:pPr>
              <w:pStyle w:val="TableText"/>
              <w:keepNext w:val="0"/>
              <w:jc w:val="center"/>
              <w:rPr>
                <w:snapToGrid w:val="0"/>
                <w:lang w:eastAsia="en-US"/>
              </w:rPr>
            </w:pPr>
            <w:r w:rsidRPr="005802E9">
              <w:rPr>
                <w:snapToGrid w:val="0"/>
                <w:lang w:eastAsia="en-US"/>
              </w:rPr>
              <w:t>-1.1</w:t>
            </w:r>
          </w:p>
        </w:tc>
      </w:tr>
      <w:tr w:rsidR="001D59EF" w:rsidRPr="005802E9" w:rsidTr="008F2988">
        <w:trPr>
          <w:cantSplit/>
        </w:trPr>
        <w:tc>
          <w:tcPr>
            <w:tcW w:w="1413" w:type="dxa"/>
            <w:vMerge/>
            <w:vAlign w:val="center"/>
          </w:tcPr>
          <w:p w:rsidR="001D59EF" w:rsidRPr="005802E9" w:rsidRDefault="001D59EF" w:rsidP="008F2988">
            <w:pPr>
              <w:pStyle w:val="TableText"/>
              <w:keepNext w:val="0"/>
              <w:rPr>
                <w:snapToGrid w:val="0"/>
                <w:lang w:eastAsia="en-US"/>
              </w:rPr>
            </w:pP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Vehicle (n=204)</w:t>
            </w:r>
          </w:p>
        </w:tc>
        <w:tc>
          <w:tcPr>
            <w:tcW w:w="1292" w:type="dxa"/>
            <w:vAlign w:val="center"/>
          </w:tcPr>
          <w:p w:rsidR="001D59EF" w:rsidRPr="005802E9" w:rsidRDefault="001D59EF" w:rsidP="008F2988">
            <w:pPr>
              <w:pStyle w:val="TableText"/>
              <w:jc w:val="center"/>
              <w:rPr>
                <w:snapToGrid w:val="0"/>
                <w:lang w:eastAsia="en-US"/>
              </w:rPr>
            </w:pPr>
            <w:r w:rsidRPr="005802E9">
              <w:rPr>
                <w:snapToGrid w:val="0"/>
                <w:lang w:eastAsia="en-US"/>
              </w:rPr>
              <w:t>8.9 (5.5)</w:t>
            </w:r>
          </w:p>
        </w:tc>
        <w:tc>
          <w:tcPr>
            <w:tcW w:w="1447" w:type="dxa"/>
            <w:vAlign w:val="center"/>
          </w:tcPr>
          <w:p w:rsidR="001D59EF" w:rsidRPr="005802E9" w:rsidRDefault="001D59EF" w:rsidP="008F2988">
            <w:pPr>
              <w:pStyle w:val="TableText"/>
              <w:jc w:val="center"/>
              <w:rPr>
                <w:snapToGrid w:val="0"/>
                <w:lang w:eastAsia="en-US"/>
              </w:rPr>
            </w:pPr>
            <w:r w:rsidRPr="005802E9">
              <w:rPr>
                <w:snapToGrid w:val="0"/>
                <w:lang w:eastAsia="en-US"/>
              </w:rPr>
              <w:t>6.0 (5.1)</w:t>
            </w:r>
          </w:p>
        </w:tc>
        <w:tc>
          <w:tcPr>
            <w:tcW w:w="1522" w:type="dxa"/>
            <w:vAlign w:val="center"/>
          </w:tcPr>
          <w:p w:rsidR="001D59EF" w:rsidRPr="005802E9" w:rsidRDefault="001D59EF" w:rsidP="008F2988">
            <w:pPr>
              <w:pStyle w:val="TableText"/>
              <w:jc w:val="center"/>
              <w:rPr>
                <w:snapToGrid w:val="0"/>
                <w:lang w:eastAsia="en-US"/>
              </w:rPr>
            </w:pPr>
            <w:r w:rsidRPr="005802E9">
              <w:rPr>
                <w:snapToGrid w:val="0"/>
                <w:lang w:eastAsia="en-US"/>
              </w:rPr>
              <w:t>-2.9 (5.0)</w:t>
            </w:r>
          </w:p>
        </w:tc>
        <w:tc>
          <w:tcPr>
            <w:tcW w:w="1541" w:type="dxa"/>
            <w:vMerge/>
            <w:vAlign w:val="center"/>
          </w:tcPr>
          <w:p w:rsidR="001D59EF" w:rsidRPr="005802E9" w:rsidRDefault="001D59EF" w:rsidP="008F2988">
            <w:pPr>
              <w:pStyle w:val="TableText"/>
              <w:keepNext w:val="0"/>
              <w:jc w:val="center"/>
              <w:rPr>
                <w:snapToGrid w:val="0"/>
                <w:lang w:eastAsia="en-US"/>
              </w:rPr>
            </w:pPr>
          </w:p>
        </w:tc>
      </w:tr>
      <w:tr w:rsidR="001D59EF" w:rsidRPr="005802E9" w:rsidTr="008F2988">
        <w:trPr>
          <w:cantSplit/>
        </w:trPr>
        <w:tc>
          <w:tcPr>
            <w:tcW w:w="1413" w:type="dxa"/>
            <w:vMerge w:val="restart"/>
            <w:vAlign w:val="center"/>
          </w:tcPr>
          <w:p w:rsidR="001D59EF" w:rsidRPr="005802E9" w:rsidRDefault="001D59EF" w:rsidP="008F2988">
            <w:pPr>
              <w:pStyle w:val="TableText"/>
              <w:keepNext w:val="0"/>
              <w:rPr>
                <w:snapToGrid w:val="0"/>
                <w:lang w:eastAsia="en-US"/>
              </w:rPr>
            </w:pPr>
            <w:r w:rsidRPr="005802E9">
              <w:rPr>
                <w:snapToGrid w:val="0"/>
                <w:lang w:eastAsia="en-US"/>
              </w:rPr>
              <w:t>Pooled trial analysis</w:t>
            </w: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Crisaborole (n=750)</w:t>
            </w:r>
          </w:p>
        </w:tc>
        <w:tc>
          <w:tcPr>
            <w:tcW w:w="129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9.3 (NR)</w:t>
            </w:r>
          </w:p>
        </w:tc>
        <w:tc>
          <w:tcPr>
            <w:tcW w:w="1447"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NR</w:t>
            </w:r>
          </w:p>
        </w:tc>
        <w:tc>
          <w:tcPr>
            <w:tcW w:w="152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-4.6 (NR)</w:t>
            </w:r>
          </w:p>
        </w:tc>
        <w:tc>
          <w:tcPr>
            <w:tcW w:w="1541" w:type="dxa"/>
            <w:vMerge w:val="restart"/>
            <w:vAlign w:val="center"/>
          </w:tcPr>
          <w:p w:rsidR="001D59EF" w:rsidRPr="005802E9" w:rsidRDefault="001D59EF" w:rsidP="008F2988">
            <w:pPr>
              <w:pStyle w:val="TableText"/>
              <w:jc w:val="center"/>
              <w:rPr>
                <w:snapToGrid w:val="0"/>
                <w:lang w:eastAsia="en-US"/>
              </w:rPr>
            </w:pPr>
            <w:r w:rsidRPr="005802E9">
              <w:rPr>
                <w:snapToGrid w:val="0"/>
                <w:lang w:eastAsia="en-US"/>
              </w:rPr>
              <w:t>-1.6</w:t>
            </w:r>
          </w:p>
          <w:p w:rsidR="001D59EF" w:rsidRPr="005802E9" w:rsidRDefault="001D59EF" w:rsidP="008F2988">
            <w:pPr>
              <w:pStyle w:val="TableText"/>
              <w:jc w:val="center"/>
              <w:rPr>
                <w:snapToGrid w:val="0"/>
                <w:lang w:eastAsia="en-US"/>
              </w:rPr>
            </w:pPr>
            <w:r w:rsidRPr="005802E9">
              <w:rPr>
                <w:snapToGrid w:val="0"/>
                <w:lang w:eastAsia="en-US"/>
              </w:rPr>
              <w:t>p &lt;0.001</w:t>
            </w:r>
          </w:p>
        </w:tc>
      </w:tr>
      <w:tr w:rsidR="001D59EF" w:rsidRPr="005802E9" w:rsidTr="008F2988">
        <w:trPr>
          <w:cantSplit/>
        </w:trPr>
        <w:tc>
          <w:tcPr>
            <w:tcW w:w="1413" w:type="dxa"/>
            <w:vMerge/>
            <w:vAlign w:val="center"/>
          </w:tcPr>
          <w:p w:rsidR="001D59EF" w:rsidRPr="005802E9" w:rsidRDefault="001D59EF" w:rsidP="008F2988">
            <w:pPr>
              <w:pStyle w:val="TableText"/>
              <w:keepNext w:val="0"/>
              <w:rPr>
                <w:snapToGrid w:val="0"/>
                <w:lang w:eastAsia="en-US"/>
              </w:rPr>
            </w:pP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Vehicle (n=355)</w:t>
            </w:r>
          </w:p>
        </w:tc>
        <w:tc>
          <w:tcPr>
            <w:tcW w:w="129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9.0 (NR)</w:t>
            </w:r>
          </w:p>
        </w:tc>
        <w:tc>
          <w:tcPr>
            <w:tcW w:w="1447"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NR</w:t>
            </w:r>
          </w:p>
        </w:tc>
        <w:tc>
          <w:tcPr>
            <w:tcW w:w="152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-3.0 (NR)</w:t>
            </w:r>
          </w:p>
        </w:tc>
        <w:tc>
          <w:tcPr>
            <w:tcW w:w="1541" w:type="dxa"/>
            <w:vMerge/>
            <w:vAlign w:val="center"/>
          </w:tcPr>
          <w:p w:rsidR="001D59EF" w:rsidRPr="005802E9" w:rsidRDefault="001D59EF" w:rsidP="008F2988">
            <w:pPr>
              <w:pStyle w:val="TableText"/>
              <w:keepNext w:val="0"/>
              <w:jc w:val="center"/>
              <w:rPr>
                <w:snapToGrid w:val="0"/>
                <w:lang w:eastAsia="en-US"/>
              </w:rPr>
            </w:pPr>
          </w:p>
        </w:tc>
      </w:tr>
      <w:tr w:rsidR="001D59EF" w:rsidRPr="005802E9" w:rsidTr="008F2988">
        <w:trPr>
          <w:cantSplit/>
        </w:trPr>
        <w:tc>
          <w:tcPr>
            <w:tcW w:w="9017" w:type="dxa"/>
            <w:gridSpan w:val="6"/>
            <w:vAlign w:val="center"/>
          </w:tcPr>
          <w:p w:rsidR="001D59EF" w:rsidRPr="005802E9" w:rsidRDefault="001D59EF" w:rsidP="008F2988">
            <w:pPr>
              <w:pStyle w:val="TableText"/>
              <w:keepNext w:val="0"/>
              <w:rPr>
                <w:b/>
                <w:snapToGrid w:val="0"/>
                <w:lang w:eastAsia="en-US"/>
              </w:rPr>
            </w:pPr>
            <w:r w:rsidRPr="005802E9">
              <w:rPr>
                <w:b/>
                <w:snapToGrid w:val="0"/>
                <w:lang w:eastAsia="en-US"/>
              </w:rPr>
              <w:t>Dermatology Life Quality Index (DLQI), patients aged ≥16 years</w:t>
            </w:r>
          </w:p>
        </w:tc>
      </w:tr>
      <w:tr w:rsidR="001D59EF" w:rsidRPr="005802E9" w:rsidTr="008F2988">
        <w:trPr>
          <w:cantSplit/>
        </w:trPr>
        <w:tc>
          <w:tcPr>
            <w:tcW w:w="1413" w:type="dxa"/>
            <w:vMerge w:val="restart"/>
            <w:vAlign w:val="center"/>
          </w:tcPr>
          <w:p w:rsidR="001D59EF" w:rsidRPr="005802E9" w:rsidRDefault="001D59EF" w:rsidP="008F2988">
            <w:pPr>
              <w:pStyle w:val="TableText"/>
              <w:keepNext w:val="0"/>
              <w:rPr>
                <w:snapToGrid w:val="0"/>
                <w:lang w:eastAsia="en-US"/>
              </w:rPr>
            </w:pPr>
            <w:r w:rsidRPr="005802E9">
              <w:rPr>
                <w:snapToGrid w:val="0"/>
                <w:lang w:eastAsia="en-US"/>
              </w:rPr>
              <w:t>AD-301</w:t>
            </w: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Crisaborole (n=95)</w:t>
            </w:r>
          </w:p>
        </w:tc>
        <w:tc>
          <w:tcPr>
            <w:tcW w:w="1292" w:type="dxa"/>
            <w:vAlign w:val="center"/>
          </w:tcPr>
          <w:p w:rsidR="001D59EF" w:rsidRPr="005802E9" w:rsidRDefault="001D59EF" w:rsidP="008F2988">
            <w:pPr>
              <w:pStyle w:val="TableText"/>
              <w:jc w:val="center"/>
              <w:rPr>
                <w:snapToGrid w:val="0"/>
                <w:lang w:eastAsia="en-US"/>
              </w:rPr>
            </w:pPr>
            <w:r w:rsidRPr="005802E9">
              <w:rPr>
                <w:snapToGrid w:val="0"/>
                <w:lang w:eastAsia="en-US"/>
              </w:rPr>
              <w:t>9.6 (6.4)</w:t>
            </w:r>
          </w:p>
        </w:tc>
        <w:tc>
          <w:tcPr>
            <w:tcW w:w="1447" w:type="dxa"/>
            <w:vAlign w:val="center"/>
          </w:tcPr>
          <w:p w:rsidR="001D59EF" w:rsidRPr="005802E9" w:rsidRDefault="001D59EF" w:rsidP="008F2988">
            <w:pPr>
              <w:pStyle w:val="TableText"/>
              <w:jc w:val="center"/>
              <w:rPr>
                <w:snapToGrid w:val="0"/>
                <w:lang w:eastAsia="en-US"/>
              </w:rPr>
            </w:pPr>
            <w:r w:rsidRPr="005802E9">
              <w:rPr>
                <w:snapToGrid w:val="0"/>
                <w:lang w:eastAsia="en-US"/>
              </w:rPr>
              <w:t>3.8 (4.2)</w:t>
            </w:r>
          </w:p>
        </w:tc>
        <w:tc>
          <w:tcPr>
            <w:tcW w:w="1522" w:type="dxa"/>
            <w:vAlign w:val="center"/>
          </w:tcPr>
          <w:p w:rsidR="001D59EF" w:rsidRPr="005802E9" w:rsidRDefault="001D59EF" w:rsidP="008F2988">
            <w:pPr>
              <w:pStyle w:val="TableText"/>
              <w:jc w:val="center"/>
              <w:rPr>
                <w:snapToGrid w:val="0"/>
                <w:lang w:eastAsia="en-US"/>
              </w:rPr>
            </w:pPr>
            <w:r w:rsidRPr="005802E9">
              <w:rPr>
                <w:snapToGrid w:val="0"/>
                <w:lang w:eastAsia="en-US"/>
              </w:rPr>
              <w:t>-5.5 (5.5)</w:t>
            </w:r>
          </w:p>
        </w:tc>
        <w:tc>
          <w:tcPr>
            <w:tcW w:w="1541" w:type="dxa"/>
            <w:vMerge w:val="restart"/>
            <w:vAlign w:val="center"/>
          </w:tcPr>
          <w:p w:rsidR="001D59EF" w:rsidRPr="005802E9" w:rsidRDefault="001D59EF" w:rsidP="008F2988">
            <w:pPr>
              <w:pStyle w:val="TableText"/>
              <w:jc w:val="center"/>
              <w:rPr>
                <w:snapToGrid w:val="0"/>
                <w:lang w:eastAsia="en-US"/>
              </w:rPr>
            </w:pPr>
            <w:r w:rsidRPr="005802E9">
              <w:rPr>
                <w:snapToGrid w:val="0"/>
                <w:lang w:eastAsia="en-US"/>
              </w:rPr>
              <w:t>-1.9</w:t>
            </w:r>
          </w:p>
        </w:tc>
      </w:tr>
      <w:tr w:rsidR="001D59EF" w:rsidRPr="005802E9" w:rsidTr="008F2988">
        <w:trPr>
          <w:cantSplit/>
        </w:trPr>
        <w:tc>
          <w:tcPr>
            <w:tcW w:w="1413" w:type="dxa"/>
            <w:vMerge/>
            <w:vAlign w:val="center"/>
          </w:tcPr>
          <w:p w:rsidR="001D59EF" w:rsidRPr="005802E9" w:rsidRDefault="001D59EF" w:rsidP="008F2988">
            <w:pPr>
              <w:pStyle w:val="TableText"/>
              <w:keepNext w:val="0"/>
              <w:rPr>
                <w:snapToGrid w:val="0"/>
                <w:lang w:eastAsia="en-US"/>
              </w:rPr>
            </w:pP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Vehicle (n=52)</w:t>
            </w:r>
          </w:p>
        </w:tc>
        <w:tc>
          <w:tcPr>
            <w:tcW w:w="1292" w:type="dxa"/>
            <w:vAlign w:val="center"/>
          </w:tcPr>
          <w:p w:rsidR="001D59EF" w:rsidRPr="005802E9" w:rsidRDefault="001D59EF" w:rsidP="008F2988">
            <w:pPr>
              <w:pStyle w:val="TableText"/>
              <w:jc w:val="center"/>
              <w:rPr>
                <w:snapToGrid w:val="0"/>
                <w:lang w:eastAsia="en-US"/>
              </w:rPr>
            </w:pPr>
            <w:r w:rsidRPr="005802E9">
              <w:rPr>
                <w:snapToGrid w:val="0"/>
                <w:lang w:eastAsia="en-US"/>
              </w:rPr>
              <w:t>9.5 (6.5)</w:t>
            </w:r>
          </w:p>
        </w:tc>
        <w:tc>
          <w:tcPr>
            <w:tcW w:w="1447" w:type="dxa"/>
            <w:vAlign w:val="center"/>
          </w:tcPr>
          <w:p w:rsidR="001D59EF" w:rsidRPr="005802E9" w:rsidRDefault="001D59EF" w:rsidP="008F2988">
            <w:pPr>
              <w:pStyle w:val="TableText"/>
              <w:jc w:val="center"/>
              <w:rPr>
                <w:snapToGrid w:val="0"/>
                <w:lang w:eastAsia="en-US"/>
              </w:rPr>
            </w:pPr>
            <w:r w:rsidRPr="005802E9">
              <w:rPr>
                <w:snapToGrid w:val="0"/>
                <w:lang w:eastAsia="en-US"/>
              </w:rPr>
              <w:t>5.6 (5.9)</w:t>
            </w:r>
          </w:p>
        </w:tc>
        <w:tc>
          <w:tcPr>
            <w:tcW w:w="1522" w:type="dxa"/>
            <w:vAlign w:val="center"/>
          </w:tcPr>
          <w:p w:rsidR="001D59EF" w:rsidRPr="005802E9" w:rsidRDefault="001D59EF" w:rsidP="008F2988">
            <w:pPr>
              <w:pStyle w:val="TableText"/>
              <w:jc w:val="center"/>
              <w:rPr>
                <w:snapToGrid w:val="0"/>
                <w:lang w:eastAsia="en-US"/>
              </w:rPr>
            </w:pPr>
            <w:r w:rsidRPr="005802E9">
              <w:rPr>
                <w:snapToGrid w:val="0"/>
                <w:lang w:eastAsia="en-US"/>
              </w:rPr>
              <w:t>-3.6 (4.6)</w:t>
            </w:r>
          </w:p>
        </w:tc>
        <w:tc>
          <w:tcPr>
            <w:tcW w:w="1541" w:type="dxa"/>
            <w:vMerge/>
            <w:vAlign w:val="center"/>
          </w:tcPr>
          <w:p w:rsidR="001D59EF" w:rsidRPr="005802E9" w:rsidRDefault="001D59EF" w:rsidP="008F2988">
            <w:pPr>
              <w:pStyle w:val="TableText"/>
              <w:keepNext w:val="0"/>
              <w:jc w:val="center"/>
              <w:rPr>
                <w:snapToGrid w:val="0"/>
                <w:lang w:eastAsia="en-US"/>
              </w:rPr>
            </w:pPr>
          </w:p>
        </w:tc>
      </w:tr>
      <w:tr w:rsidR="001D59EF" w:rsidRPr="005802E9" w:rsidTr="008F2988">
        <w:trPr>
          <w:cantSplit/>
        </w:trPr>
        <w:tc>
          <w:tcPr>
            <w:tcW w:w="1413" w:type="dxa"/>
            <w:vMerge w:val="restart"/>
            <w:vAlign w:val="center"/>
          </w:tcPr>
          <w:p w:rsidR="001D59EF" w:rsidRPr="005802E9" w:rsidRDefault="001D59EF" w:rsidP="008F2988">
            <w:pPr>
              <w:pStyle w:val="TableText"/>
              <w:keepNext w:val="0"/>
              <w:rPr>
                <w:snapToGrid w:val="0"/>
                <w:lang w:eastAsia="en-US"/>
              </w:rPr>
            </w:pPr>
            <w:r w:rsidRPr="005802E9">
              <w:rPr>
                <w:snapToGrid w:val="0"/>
                <w:lang w:eastAsia="en-US"/>
              </w:rPr>
              <w:t>AD-302</w:t>
            </w: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Crisaborole (n=97)</w:t>
            </w:r>
          </w:p>
        </w:tc>
        <w:tc>
          <w:tcPr>
            <w:tcW w:w="1292" w:type="dxa"/>
            <w:vAlign w:val="center"/>
          </w:tcPr>
          <w:p w:rsidR="001D59EF" w:rsidRPr="005802E9" w:rsidRDefault="001D59EF" w:rsidP="008F2988">
            <w:pPr>
              <w:pStyle w:val="TableText"/>
              <w:jc w:val="center"/>
              <w:rPr>
                <w:snapToGrid w:val="0"/>
                <w:lang w:eastAsia="en-US"/>
              </w:rPr>
            </w:pPr>
            <w:r w:rsidRPr="005802E9">
              <w:rPr>
                <w:snapToGrid w:val="0"/>
                <w:lang w:eastAsia="en-US"/>
              </w:rPr>
              <w:t>9.7 (6.2)</w:t>
            </w:r>
          </w:p>
        </w:tc>
        <w:tc>
          <w:tcPr>
            <w:tcW w:w="1447" w:type="dxa"/>
            <w:vAlign w:val="center"/>
          </w:tcPr>
          <w:p w:rsidR="001D59EF" w:rsidRPr="005802E9" w:rsidRDefault="001D59EF" w:rsidP="008F2988">
            <w:pPr>
              <w:pStyle w:val="TableText"/>
              <w:jc w:val="center"/>
              <w:rPr>
                <w:snapToGrid w:val="0"/>
                <w:lang w:eastAsia="en-US"/>
              </w:rPr>
            </w:pPr>
            <w:r w:rsidRPr="005802E9">
              <w:rPr>
                <w:snapToGrid w:val="0"/>
                <w:lang w:eastAsia="en-US"/>
              </w:rPr>
              <w:t>4.6 (5.0)</w:t>
            </w:r>
          </w:p>
        </w:tc>
        <w:tc>
          <w:tcPr>
            <w:tcW w:w="1522" w:type="dxa"/>
            <w:vAlign w:val="center"/>
          </w:tcPr>
          <w:p w:rsidR="001D59EF" w:rsidRPr="005802E9" w:rsidRDefault="001D59EF" w:rsidP="008F2988">
            <w:pPr>
              <w:pStyle w:val="TableText"/>
              <w:jc w:val="center"/>
              <w:rPr>
                <w:snapToGrid w:val="0"/>
                <w:lang w:eastAsia="en-US"/>
              </w:rPr>
            </w:pPr>
            <w:r w:rsidRPr="005802E9">
              <w:rPr>
                <w:snapToGrid w:val="0"/>
                <w:lang w:eastAsia="en-US"/>
              </w:rPr>
              <w:t>-5.0 (5.5)</w:t>
            </w:r>
          </w:p>
        </w:tc>
        <w:tc>
          <w:tcPr>
            <w:tcW w:w="1541" w:type="dxa"/>
            <w:vMerge w:val="restart"/>
            <w:vAlign w:val="center"/>
          </w:tcPr>
          <w:p w:rsidR="001D59EF" w:rsidRPr="005802E9" w:rsidRDefault="001D59EF" w:rsidP="008F2988">
            <w:pPr>
              <w:pStyle w:val="TableText"/>
              <w:keepNext w:val="0"/>
              <w:jc w:val="center"/>
              <w:rPr>
                <w:snapToGrid w:val="0"/>
                <w:lang w:eastAsia="en-US"/>
              </w:rPr>
            </w:pPr>
            <w:r w:rsidRPr="005802E9">
              <w:rPr>
                <w:snapToGrid w:val="0"/>
                <w:lang w:eastAsia="en-US"/>
              </w:rPr>
              <w:t>-1.6</w:t>
            </w:r>
          </w:p>
        </w:tc>
      </w:tr>
      <w:tr w:rsidR="001D59EF" w:rsidRPr="005802E9" w:rsidTr="008F2988">
        <w:trPr>
          <w:cantSplit/>
        </w:trPr>
        <w:tc>
          <w:tcPr>
            <w:tcW w:w="1413" w:type="dxa"/>
            <w:vMerge/>
            <w:vAlign w:val="center"/>
          </w:tcPr>
          <w:p w:rsidR="001D59EF" w:rsidRPr="005802E9" w:rsidRDefault="001D59EF" w:rsidP="008F2988">
            <w:pPr>
              <w:pStyle w:val="TableText"/>
              <w:keepNext w:val="0"/>
              <w:rPr>
                <w:snapToGrid w:val="0"/>
                <w:lang w:eastAsia="en-US"/>
              </w:rPr>
            </w:pP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Vehicle (n=40)</w:t>
            </w:r>
          </w:p>
        </w:tc>
        <w:tc>
          <w:tcPr>
            <w:tcW w:w="1292" w:type="dxa"/>
            <w:vAlign w:val="center"/>
          </w:tcPr>
          <w:p w:rsidR="001D59EF" w:rsidRPr="005802E9" w:rsidRDefault="001D59EF" w:rsidP="008F2988">
            <w:pPr>
              <w:pStyle w:val="TableText"/>
              <w:jc w:val="center"/>
              <w:rPr>
                <w:snapToGrid w:val="0"/>
                <w:lang w:eastAsia="en-US"/>
              </w:rPr>
            </w:pPr>
            <w:r w:rsidRPr="005802E9">
              <w:rPr>
                <w:snapToGrid w:val="0"/>
                <w:lang w:eastAsia="en-US"/>
              </w:rPr>
              <w:t>9.1 (6.7)</w:t>
            </w:r>
          </w:p>
        </w:tc>
        <w:tc>
          <w:tcPr>
            <w:tcW w:w="1447" w:type="dxa"/>
            <w:vAlign w:val="center"/>
          </w:tcPr>
          <w:p w:rsidR="001D59EF" w:rsidRPr="005802E9" w:rsidRDefault="001D59EF" w:rsidP="008F2988">
            <w:pPr>
              <w:pStyle w:val="TableText"/>
              <w:jc w:val="center"/>
              <w:rPr>
                <w:snapToGrid w:val="0"/>
                <w:lang w:eastAsia="en-US"/>
              </w:rPr>
            </w:pPr>
            <w:r w:rsidRPr="005802E9">
              <w:rPr>
                <w:snapToGrid w:val="0"/>
                <w:lang w:eastAsia="en-US"/>
              </w:rPr>
              <w:t>5.4 (4.8)</w:t>
            </w:r>
          </w:p>
        </w:tc>
        <w:tc>
          <w:tcPr>
            <w:tcW w:w="1522" w:type="dxa"/>
            <w:vAlign w:val="center"/>
          </w:tcPr>
          <w:p w:rsidR="001D59EF" w:rsidRPr="005802E9" w:rsidRDefault="001D59EF" w:rsidP="008F2988">
            <w:pPr>
              <w:pStyle w:val="TableText"/>
              <w:jc w:val="center"/>
              <w:rPr>
                <w:snapToGrid w:val="0"/>
                <w:lang w:eastAsia="en-US"/>
              </w:rPr>
            </w:pPr>
            <w:r w:rsidRPr="005802E9">
              <w:rPr>
                <w:snapToGrid w:val="0"/>
                <w:lang w:eastAsia="en-US"/>
              </w:rPr>
              <w:t>-3.4 (4.8)</w:t>
            </w:r>
          </w:p>
        </w:tc>
        <w:tc>
          <w:tcPr>
            <w:tcW w:w="1541" w:type="dxa"/>
            <w:vMerge/>
            <w:vAlign w:val="center"/>
          </w:tcPr>
          <w:p w:rsidR="001D59EF" w:rsidRPr="005802E9" w:rsidRDefault="001D59EF" w:rsidP="008F2988">
            <w:pPr>
              <w:pStyle w:val="TableText"/>
              <w:keepNext w:val="0"/>
              <w:jc w:val="center"/>
              <w:rPr>
                <w:snapToGrid w:val="0"/>
                <w:lang w:eastAsia="en-US"/>
              </w:rPr>
            </w:pPr>
          </w:p>
        </w:tc>
      </w:tr>
      <w:tr w:rsidR="001D59EF" w:rsidRPr="005802E9" w:rsidTr="008F2988">
        <w:trPr>
          <w:cantSplit/>
        </w:trPr>
        <w:tc>
          <w:tcPr>
            <w:tcW w:w="1413" w:type="dxa"/>
            <w:vMerge w:val="restart"/>
            <w:vAlign w:val="center"/>
          </w:tcPr>
          <w:p w:rsidR="001D59EF" w:rsidRPr="005802E9" w:rsidRDefault="001D59EF" w:rsidP="008F2988">
            <w:pPr>
              <w:pStyle w:val="TableText"/>
              <w:keepNext w:val="0"/>
              <w:rPr>
                <w:snapToGrid w:val="0"/>
                <w:lang w:eastAsia="en-US"/>
              </w:rPr>
            </w:pPr>
            <w:r w:rsidRPr="005802E9">
              <w:rPr>
                <w:snapToGrid w:val="0"/>
                <w:lang w:eastAsia="en-US"/>
              </w:rPr>
              <w:t>Pooled trial analysis</w:t>
            </w: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Crisaborole (n=180)</w:t>
            </w:r>
          </w:p>
        </w:tc>
        <w:tc>
          <w:tcPr>
            <w:tcW w:w="129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9.7 (NR)</w:t>
            </w:r>
          </w:p>
        </w:tc>
        <w:tc>
          <w:tcPr>
            <w:tcW w:w="1447"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NR</w:t>
            </w:r>
          </w:p>
        </w:tc>
        <w:tc>
          <w:tcPr>
            <w:tcW w:w="152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-5.2 (NR)</w:t>
            </w:r>
          </w:p>
        </w:tc>
        <w:tc>
          <w:tcPr>
            <w:tcW w:w="1541" w:type="dxa"/>
            <w:vMerge w:val="restart"/>
            <w:vAlign w:val="center"/>
          </w:tcPr>
          <w:p w:rsidR="001D59EF" w:rsidRPr="005802E9" w:rsidRDefault="001D59EF" w:rsidP="008F2988">
            <w:pPr>
              <w:pStyle w:val="TableText"/>
              <w:jc w:val="center"/>
              <w:rPr>
                <w:snapToGrid w:val="0"/>
                <w:lang w:eastAsia="en-US"/>
              </w:rPr>
            </w:pPr>
            <w:r w:rsidRPr="005802E9">
              <w:rPr>
                <w:snapToGrid w:val="0"/>
                <w:lang w:eastAsia="en-US"/>
              </w:rPr>
              <w:t>-1.7</w:t>
            </w:r>
          </w:p>
          <w:p w:rsidR="001D59EF" w:rsidRPr="005802E9" w:rsidRDefault="001D59EF" w:rsidP="008F2988">
            <w:pPr>
              <w:pStyle w:val="TableText"/>
              <w:jc w:val="center"/>
              <w:rPr>
                <w:snapToGrid w:val="0"/>
                <w:lang w:eastAsia="en-US"/>
              </w:rPr>
            </w:pPr>
            <w:r w:rsidRPr="005802E9">
              <w:rPr>
                <w:snapToGrid w:val="0"/>
                <w:lang w:eastAsia="en-US"/>
              </w:rPr>
              <w:t>p=0.015</w:t>
            </w:r>
          </w:p>
        </w:tc>
      </w:tr>
      <w:tr w:rsidR="001D59EF" w:rsidRPr="005802E9" w:rsidTr="008F2988">
        <w:trPr>
          <w:cantSplit/>
        </w:trPr>
        <w:tc>
          <w:tcPr>
            <w:tcW w:w="1413" w:type="dxa"/>
            <w:vMerge/>
            <w:vAlign w:val="center"/>
          </w:tcPr>
          <w:p w:rsidR="001D59EF" w:rsidRPr="005802E9" w:rsidRDefault="001D59EF" w:rsidP="008F2988">
            <w:pPr>
              <w:pStyle w:val="TableText"/>
              <w:keepNext w:val="0"/>
              <w:rPr>
                <w:snapToGrid w:val="0"/>
                <w:lang w:eastAsia="en-US"/>
              </w:rPr>
            </w:pP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Vehicle (n=82)</w:t>
            </w:r>
          </w:p>
        </w:tc>
        <w:tc>
          <w:tcPr>
            <w:tcW w:w="129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9.3 (NR)</w:t>
            </w:r>
          </w:p>
        </w:tc>
        <w:tc>
          <w:tcPr>
            <w:tcW w:w="1447"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NR</w:t>
            </w:r>
          </w:p>
        </w:tc>
        <w:tc>
          <w:tcPr>
            <w:tcW w:w="152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-3.5 (NR)</w:t>
            </w:r>
          </w:p>
        </w:tc>
        <w:tc>
          <w:tcPr>
            <w:tcW w:w="1541" w:type="dxa"/>
            <w:vMerge/>
            <w:vAlign w:val="center"/>
          </w:tcPr>
          <w:p w:rsidR="001D59EF" w:rsidRPr="005802E9" w:rsidRDefault="001D59EF" w:rsidP="008F2988">
            <w:pPr>
              <w:pStyle w:val="TableText"/>
              <w:keepNext w:val="0"/>
              <w:jc w:val="center"/>
              <w:rPr>
                <w:snapToGrid w:val="0"/>
                <w:lang w:eastAsia="en-US"/>
              </w:rPr>
            </w:pPr>
          </w:p>
        </w:tc>
      </w:tr>
      <w:tr w:rsidR="001D59EF" w:rsidRPr="005802E9" w:rsidTr="008F2988">
        <w:trPr>
          <w:cantSplit/>
        </w:trPr>
        <w:tc>
          <w:tcPr>
            <w:tcW w:w="9017" w:type="dxa"/>
            <w:gridSpan w:val="6"/>
            <w:vAlign w:val="center"/>
          </w:tcPr>
          <w:p w:rsidR="001D59EF" w:rsidRPr="005802E9" w:rsidRDefault="001D59EF" w:rsidP="008F2988">
            <w:pPr>
              <w:pStyle w:val="TableText"/>
              <w:keepNext w:val="0"/>
              <w:rPr>
                <w:b/>
                <w:snapToGrid w:val="0"/>
                <w:lang w:eastAsia="en-US"/>
              </w:rPr>
            </w:pPr>
            <w:r w:rsidRPr="005802E9">
              <w:rPr>
                <w:b/>
                <w:snapToGrid w:val="0"/>
                <w:lang w:eastAsia="en-US"/>
              </w:rPr>
              <w:t>Dermatitis Family Impact Questionnaire (DFI), parents/guardians/families of patients 2-17 years</w:t>
            </w:r>
          </w:p>
        </w:tc>
      </w:tr>
      <w:tr w:rsidR="001D59EF" w:rsidRPr="005802E9" w:rsidTr="008F2988">
        <w:trPr>
          <w:cantSplit/>
        </w:trPr>
        <w:tc>
          <w:tcPr>
            <w:tcW w:w="1413" w:type="dxa"/>
            <w:vMerge w:val="restart"/>
            <w:vAlign w:val="center"/>
          </w:tcPr>
          <w:p w:rsidR="001D59EF" w:rsidRPr="005802E9" w:rsidRDefault="001D59EF" w:rsidP="008F2988">
            <w:pPr>
              <w:pStyle w:val="TableText"/>
              <w:keepNext w:val="0"/>
              <w:rPr>
                <w:snapToGrid w:val="0"/>
                <w:lang w:eastAsia="en-US"/>
              </w:rPr>
            </w:pPr>
            <w:r w:rsidRPr="005802E9">
              <w:rPr>
                <w:snapToGrid w:val="0"/>
                <w:lang w:eastAsia="en-US"/>
              </w:rPr>
              <w:t>AD-301</w:t>
            </w: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Crisaborole (n=431)</w:t>
            </w:r>
          </w:p>
        </w:tc>
        <w:tc>
          <w:tcPr>
            <w:tcW w:w="1292" w:type="dxa"/>
            <w:vAlign w:val="center"/>
          </w:tcPr>
          <w:p w:rsidR="001D59EF" w:rsidRPr="005802E9" w:rsidRDefault="001D59EF" w:rsidP="008F2988">
            <w:pPr>
              <w:pStyle w:val="TableText"/>
              <w:jc w:val="center"/>
              <w:rPr>
                <w:snapToGrid w:val="0"/>
                <w:lang w:eastAsia="en-US"/>
              </w:rPr>
            </w:pPr>
            <w:r w:rsidRPr="005802E9">
              <w:rPr>
                <w:snapToGrid w:val="0"/>
                <w:lang w:eastAsia="en-US"/>
              </w:rPr>
              <w:t>8.5 (6.6)</w:t>
            </w:r>
          </w:p>
        </w:tc>
        <w:tc>
          <w:tcPr>
            <w:tcW w:w="1447" w:type="dxa"/>
            <w:vAlign w:val="center"/>
          </w:tcPr>
          <w:p w:rsidR="001D59EF" w:rsidRPr="005802E9" w:rsidRDefault="001D59EF" w:rsidP="008F2988">
            <w:pPr>
              <w:pStyle w:val="TableText"/>
              <w:jc w:val="center"/>
              <w:rPr>
                <w:snapToGrid w:val="0"/>
                <w:lang w:eastAsia="en-US"/>
              </w:rPr>
            </w:pPr>
            <w:r w:rsidRPr="005802E9">
              <w:rPr>
                <w:snapToGrid w:val="0"/>
                <w:lang w:eastAsia="en-US"/>
              </w:rPr>
              <w:t>4.5 (5.6)</w:t>
            </w:r>
          </w:p>
        </w:tc>
        <w:tc>
          <w:tcPr>
            <w:tcW w:w="1522" w:type="dxa"/>
            <w:vAlign w:val="center"/>
          </w:tcPr>
          <w:p w:rsidR="001D59EF" w:rsidRPr="005802E9" w:rsidRDefault="001D59EF" w:rsidP="008F2988">
            <w:pPr>
              <w:pStyle w:val="TableText"/>
              <w:jc w:val="center"/>
              <w:rPr>
                <w:snapToGrid w:val="0"/>
                <w:lang w:eastAsia="en-US"/>
              </w:rPr>
            </w:pPr>
            <w:r w:rsidRPr="005802E9">
              <w:rPr>
                <w:snapToGrid w:val="0"/>
                <w:lang w:eastAsia="en-US"/>
              </w:rPr>
              <w:t>-3.9 (5.7)</w:t>
            </w:r>
          </w:p>
        </w:tc>
        <w:tc>
          <w:tcPr>
            <w:tcW w:w="1541" w:type="dxa"/>
            <w:vMerge w:val="restart"/>
            <w:vAlign w:val="center"/>
          </w:tcPr>
          <w:p w:rsidR="001D59EF" w:rsidRPr="005802E9" w:rsidRDefault="001D59EF" w:rsidP="008F2988">
            <w:pPr>
              <w:pStyle w:val="TableText"/>
              <w:jc w:val="center"/>
              <w:rPr>
                <w:snapToGrid w:val="0"/>
                <w:lang w:eastAsia="en-US"/>
              </w:rPr>
            </w:pPr>
            <w:r w:rsidRPr="005802E9">
              <w:rPr>
                <w:snapToGrid w:val="0"/>
                <w:lang w:eastAsia="en-US"/>
              </w:rPr>
              <w:t>-1.2</w:t>
            </w:r>
          </w:p>
        </w:tc>
      </w:tr>
      <w:tr w:rsidR="001D59EF" w:rsidRPr="005802E9" w:rsidTr="008F2988">
        <w:trPr>
          <w:cantSplit/>
        </w:trPr>
        <w:tc>
          <w:tcPr>
            <w:tcW w:w="1413" w:type="dxa"/>
            <w:vMerge/>
            <w:vAlign w:val="center"/>
          </w:tcPr>
          <w:p w:rsidR="001D59EF" w:rsidRPr="005802E9" w:rsidRDefault="001D59EF" w:rsidP="008F2988">
            <w:pPr>
              <w:pStyle w:val="TableText"/>
              <w:keepNext w:val="0"/>
              <w:rPr>
                <w:snapToGrid w:val="0"/>
                <w:lang w:eastAsia="en-US"/>
              </w:rPr>
            </w:pP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Vehicle (n=214)</w:t>
            </w:r>
          </w:p>
        </w:tc>
        <w:tc>
          <w:tcPr>
            <w:tcW w:w="1292" w:type="dxa"/>
            <w:vAlign w:val="center"/>
          </w:tcPr>
          <w:p w:rsidR="001D59EF" w:rsidRPr="005802E9" w:rsidRDefault="001D59EF" w:rsidP="008F2988">
            <w:pPr>
              <w:pStyle w:val="TableText"/>
              <w:jc w:val="center"/>
              <w:rPr>
                <w:snapToGrid w:val="0"/>
                <w:lang w:eastAsia="en-US"/>
              </w:rPr>
            </w:pPr>
            <w:r w:rsidRPr="005802E9">
              <w:rPr>
                <w:snapToGrid w:val="0"/>
                <w:lang w:eastAsia="en-US"/>
              </w:rPr>
              <w:t>7.5 (6.7)</w:t>
            </w:r>
          </w:p>
        </w:tc>
        <w:tc>
          <w:tcPr>
            <w:tcW w:w="1447" w:type="dxa"/>
            <w:vAlign w:val="center"/>
          </w:tcPr>
          <w:p w:rsidR="001D59EF" w:rsidRPr="005802E9" w:rsidRDefault="001D59EF" w:rsidP="008F2988">
            <w:pPr>
              <w:pStyle w:val="TableText"/>
              <w:jc w:val="center"/>
              <w:rPr>
                <w:snapToGrid w:val="0"/>
                <w:lang w:eastAsia="en-US"/>
              </w:rPr>
            </w:pPr>
            <w:r w:rsidRPr="005802E9">
              <w:rPr>
                <w:snapToGrid w:val="0"/>
                <w:lang w:eastAsia="en-US"/>
              </w:rPr>
              <w:t>4.7 (5.9)</w:t>
            </w:r>
          </w:p>
        </w:tc>
        <w:tc>
          <w:tcPr>
            <w:tcW w:w="1522" w:type="dxa"/>
            <w:vAlign w:val="center"/>
          </w:tcPr>
          <w:p w:rsidR="001D59EF" w:rsidRPr="005802E9" w:rsidRDefault="001D59EF" w:rsidP="008F2988">
            <w:pPr>
              <w:pStyle w:val="TableText"/>
              <w:jc w:val="center"/>
              <w:rPr>
                <w:snapToGrid w:val="0"/>
                <w:lang w:eastAsia="en-US"/>
              </w:rPr>
            </w:pPr>
            <w:r w:rsidRPr="005802E9">
              <w:rPr>
                <w:snapToGrid w:val="0"/>
                <w:lang w:eastAsia="en-US"/>
              </w:rPr>
              <w:t>-2.7 (5.6)</w:t>
            </w:r>
          </w:p>
        </w:tc>
        <w:tc>
          <w:tcPr>
            <w:tcW w:w="1541" w:type="dxa"/>
            <w:vMerge/>
            <w:vAlign w:val="center"/>
          </w:tcPr>
          <w:p w:rsidR="001D59EF" w:rsidRPr="005802E9" w:rsidRDefault="001D59EF" w:rsidP="008F2988">
            <w:pPr>
              <w:pStyle w:val="TableText"/>
              <w:keepNext w:val="0"/>
              <w:jc w:val="center"/>
              <w:rPr>
                <w:snapToGrid w:val="0"/>
                <w:lang w:eastAsia="en-US"/>
              </w:rPr>
            </w:pPr>
          </w:p>
        </w:tc>
      </w:tr>
      <w:tr w:rsidR="001D59EF" w:rsidRPr="005802E9" w:rsidTr="008F2988">
        <w:trPr>
          <w:cantSplit/>
        </w:trPr>
        <w:tc>
          <w:tcPr>
            <w:tcW w:w="1413" w:type="dxa"/>
            <w:vMerge w:val="restart"/>
            <w:vAlign w:val="center"/>
          </w:tcPr>
          <w:p w:rsidR="001D59EF" w:rsidRPr="005802E9" w:rsidRDefault="001D59EF" w:rsidP="008F2988">
            <w:pPr>
              <w:pStyle w:val="TableText"/>
              <w:keepNext w:val="0"/>
              <w:rPr>
                <w:snapToGrid w:val="0"/>
                <w:lang w:eastAsia="en-US"/>
              </w:rPr>
            </w:pPr>
            <w:r w:rsidRPr="005802E9">
              <w:rPr>
                <w:snapToGrid w:val="0"/>
                <w:lang w:eastAsia="en-US"/>
              </w:rPr>
              <w:t>AD-302</w:t>
            </w: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Crisaborole (n=431)</w:t>
            </w:r>
          </w:p>
        </w:tc>
        <w:tc>
          <w:tcPr>
            <w:tcW w:w="1292" w:type="dxa"/>
            <w:vAlign w:val="center"/>
          </w:tcPr>
          <w:p w:rsidR="001D59EF" w:rsidRPr="005802E9" w:rsidRDefault="001D59EF" w:rsidP="008F2988">
            <w:pPr>
              <w:pStyle w:val="TableText"/>
              <w:jc w:val="center"/>
              <w:rPr>
                <w:snapToGrid w:val="0"/>
                <w:lang w:eastAsia="en-US"/>
              </w:rPr>
            </w:pPr>
            <w:r w:rsidRPr="005802E9">
              <w:rPr>
                <w:snapToGrid w:val="0"/>
                <w:lang w:eastAsia="en-US"/>
              </w:rPr>
              <w:t>7.7 (6.6)</w:t>
            </w:r>
          </w:p>
        </w:tc>
        <w:tc>
          <w:tcPr>
            <w:tcW w:w="1447" w:type="dxa"/>
            <w:vAlign w:val="center"/>
          </w:tcPr>
          <w:p w:rsidR="001D59EF" w:rsidRPr="005802E9" w:rsidRDefault="001D59EF" w:rsidP="008F2988">
            <w:pPr>
              <w:pStyle w:val="TableText"/>
              <w:jc w:val="center"/>
              <w:rPr>
                <w:snapToGrid w:val="0"/>
                <w:lang w:eastAsia="en-US"/>
              </w:rPr>
            </w:pPr>
            <w:r w:rsidRPr="005802E9">
              <w:rPr>
                <w:snapToGrid w:val="0"/>
                <w:lang w:eastAsia="en-US"/>
              </w:rPr>
              <w:t>4.0 (4.8)</w:t>
            </w:r>
          </w:p>
        </w:tc>
        <w:tc>
          <w:tcPr>
            <w:tcW w:w="1522" w:type="dxa"/>
            <w:vAlign w:val="center"/>
          </w:tcPr>
          <w:p w:rsidR="001D59EF" w:rsidRPr="005802E9" w:rsidRDefault="001D59EF" w:rsidP="008F2988">
            <w:pPr>
              <w:pStyle w:val="TableText"/>
              <w:jc w:val="center"/>
              <w:rPr>
                <w:snapToGrid w:val="0"/>
                <w:lang w:eastAsia="en-US"/>
              </w:rPr>
            </w:pPr>
            <w:r w:rsidRPr="005802E9">
              <w:rPr>
                <w:snapToGrid w:val="0"/>
                <w:lang w:eastAsia="en-US"/>
              </w:rPr>
              <w:t>-3.6 (5.2)</w:t>
            </w:r>
          </w:p>
        </w:tc>
        <w:tc>
          <w:tcPr>
            <w:tcW w:w="1541" w:type="dxa"/>
            <w:vMerge w:val="restart"/>
            <w:vAlign w:val="center"/>
          </w:tcPr>
          <w:p w:rsidR="001D59EF" w:rsidRPr="005802E9" w:rsidRDefault="001D59EF" w:rsidP="008F2988">
            <w:pPr>
              <w:pStyle w:val="TableText"/>
              <w:keepNext w:val="0"/>
              <w:jc w:val="center"/>
              <w:rPr>
                <w:snapToGrid w:val="0"/>
                <w:lang w:eastAsia="en-US"/>
              </w:rPr>
            </w:pPr>
            <w:r w:rsidRPr="005802E9">
              <w:rPr>
                <w:snapToGrid w:val="0"/>
                <w:lang w:eastAsia="en-US"/>
              </w:rPr>
              <w:softHyphen/>
              <w:t>-0.8</w:t>
            </w:r>
          </w:p>
        </w:tc>
      </w:tr>
      <w:tr w:rsidR="001D59EF" w:rsidRPr="005802E9" w:rsidTr="008F2988">
        <w:trPr>
          <w:cantSplit/>
        </w:trPr>
        <w:tc>
          <w:tcPr>
            <w:tcW w:w="1413" w:type="dxa"/>
            <w:vMerge/>
            <w:vAlign w:val="center"/>
          </w:tcPr>
          <w:p w:rsidR="001D59EF" w:rsidRPr="005802E9" w:rsidRDefault="001D59EF" w:rsidP="008F2988">
            <w:pPr>
              <w:pStyle w:val="TableText"/>
              <w:keepNext w:val="0"/>
              <w:rPr>
                <w:snapToGrid w:val="0"/>
                <w:lang w:eastAsia="en-US"/>
              </w:rPr>
            </w:pP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Vehicle (n=217)</w:t>
            </w:r>
          </w:p>
        </w:tc>
        <w:tc>
          <w:tcPr>
            <w:tcW w:w="1292" w:type="dxa"/>
            <w:vAlign w:val="center"/>
          </w:tcPr>
          <w:p w:rsidR="001D59EF" w:rsidRPr="005802E9" w:rsidRDefault="001D59EF" w:rsidP="008F2988">
            <w:pPr>
              <w:pStyle w:val="TableText"/>
              <w:jc w:val="center"/>
              <w:rPr>
                <w:snapToGrid w:val="0"/>
                <w:lang w:eastAsia="en-US"/>
              </w:rPr>
            </w:pPr>
            <w:r w:rsidRPr="005802E9">
              <w:rPr>
                <w:snapToGrid w:val="0"/>
                <w:lang w:eastAsia="en-US"/>
              </w:rPr>
              <w:t>8.0 (5.7)</w:t>
            </w:r>
          </w:p>
        </w:tc>
        <w:tc>
          <w:tcPr>
            <w:tcW w:w="1447" w:type="dxa"/>
            <w:vAlign w:val="center"/>
          </w:tcPr>
          <w:p w:rsidR="001D59EF" w:rsidRPr="005802E9" w:rsidRDefault="001D59EF" w:rsidP="008F2988">
            <w:pPr>
              <w:pStyle w:val="TableText"/>
              <w:jc w:val="center"/>
              <w:rPr>
                <w:snapToGrid w:val="0"/>
                <w:lang w:eastAsia="en-US"/>
              </w:rPr>
            </w:pPr>
            <w:r w:rsidRPr="005802E9">
              <w:rPr>
                <w:snapToGrid w:val="0"/>
                <w:lang w:eastAsia="en-US"/>
              </w:rPr>
              <w:t>5.0 (4.5)</w:t>
            </w:r>
          </w:p>
        </w:tc>
        <w:tc>
          <w:tcPr>
            <w:tcW w:w="1522" w:type="dxa"/>
            <w:vAlign w:val="center"/>
          </w:tcPr>
          <w:p w:rsidR="001D59EF" w:rsidRPr="005802E9" w:rsidRDefault="001D59EF" w:rsidP="008F2988">
            <w:pPr>
              <w:pStyle w:val="TableText"/>
              <w:jc w:val="center"/>
              <w:rPr>
                <w:snapToGrid w:val="0"/>
                <w:lang w:eastAsia="en-US"/>
              </w:rPr>
            </w:pPr>
            <w:r w:rsidRPr="005802E9">
              <w:rPr>
                <w:snapToGrid w:val="0"/>
                <w:lang w:eastAsia="en-US"/>
              </w:rPr>
              <w:t>-2.8 (4.8)</w:t>
            </w:r>
          </w:p>
        </w:tc>
        <w:tc>
          <w:tcPr>
            <w:tcW w:w="1541" w:type="dxa"/>
            <w:vMerge/>
            <w:vAlign w:val="center"/>
          </w:tcPr>
          <w:p w:rsidR="001D59EF" w:rsidRPr="005802E9" w:rsidRDefault="001D59EF" w:rsidP="008F2988">
            <w:pPr>
              <w:pStyle w:val="TableText"/>
              <w:keepNext w:val="0"/>
              <w:jc w:val="center"/>
              <w:rPr>
                <w:snapToGrid w:val="0"/>
                <w:lang w:eastAsia="en-US"/>
              </w:rPr>
            </w:pPr>
          </w:p>
        </w:tc>
      </w:tr>
      <w:tr w:rsidR="001D59EF" w:rsidRPr="005802E9" w:rsidTr="008F2988">
        <w:trPr>
          <w:cantSplit/>
        </w:trPr>
        <w:tc>
          <w:tcPr>
            <w:tcW w:w="1413" w:type="dxa"/>
            <w:vMerge w:val="restart"/>
            <w:vAlign w:val="center"/>
          </w:tcPr>
          <w:p w:rsidR="001D59EF" w:rsidRPr="005802E9" w:rsidRDefault="001D59EF" w:rsidP="008F2988">
            <w:pPr>
              <w:pStyle w:val="TableText"/>
              <w:keepNext w:val="0"/>
              <w:rPr>
                <w:snapToGrid w:val="0"/>
                <w:lang w:eastAsia="en-US"/>
              </w:rPr>
            </w:pPr>
            <w:r w:rsidRPr="005802E9">
              <w:rPr>
                <w:snapToGrid w:val="0"/>
                <w:lang w:eastAsia="en-US"/>
              </w:rPr>
              <w:t>Pooled trial analysis</w:t>
            </w: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Crisaborole (n=811)</w:t>
            </w:r>
          </w:p>
        </w:tc>
        <w:tc>
          <w:tcPr>
            <w:tcW w:w="129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8.1 (NR)</w:t>
            </w:r>
          </w:p>
        </w:tc>
        <w:tc>
          <w:tcPr>
            <w:tcW w:w="1447"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NR</w:t>
            </w:r>
          </w:p>
        </w:tc>
        <w:tc>
          <w:tcPr>
            <w:tcW w:w="152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-3.7 (NR)</w:t>
            </w:r>
          </w:p>
        </w:tc>
        <w:tc>
          <w:tcPr>
            <w:tcW w:w="1541" w:type="dxa"/>
            <w:vMerge w:val="restart"/>
            <w:vAlign w:val="center"/>
          </w:tcPr>
          <w:p w:rsidR="001D59EF" w:rsidRPr="005802E9" w:rsidRDefault="001D59EF" w:rsidP="008F2988">
            <w:pPr>
              <w:pStyle w:val="TableText"/>
              <w:jc w:val="center"/>
              <w:rPr>
                <w:snapToGrid w:val="0"/>
                <w:lang w:eastAsia="en-US"/>
              </w:rPr>
            </w:pPr>
            <w:r w:rsidRPr="005802E9">
              <w:rPr>
                <w:snapToGrid w:val="0"/>
                <w:lang w:eastAsia="en-US"/>
              </w:rPr>
              <w:t>-1.0</w:t>
            </w:r>
          </w:p>
          <w:p w:rsidR="001D59EF" w:rsidRPr="005802E9" w:rsidRDefault="001D59EF" w:rsidP="008F2988">
            <w:pPr>
              <w:pStyle w:val="TableText"/>
              <w:jc w:val="center"/>
              <w:rPr>
                <w:snapToGrid w:val="0"/>
                <w:lang w:eastAsia="en-US"/>
              </w:rPr>
            </w:pPr>
            <w:r w:rsidRPr="005802E9">
              <w:rPr>
                <w:snapToGrid w:val="0"/>
                <w:lang w:eastAsia="en-US"/>
              </w:rPr>
              <w:t>p=0.003</w:t>
            </w:r>
          </w:p>
        </w:tc>
      </w:tr>
      <w:tr w:rsidR="001D59EF" w:rsidRPr="005802E9" w:rsidTr="008F2988">
        <w:trPr>
          <w:cantSplit/>
        </w:trPr>
        <w:tc>
          <w:tcPr>
            <w:tcW w:w="1413" w:type="dxa"/>
            <w:vMerge/>
            <w:vAlign w:val="center"/>
          </w:tcPr>
          <w:p w:rsidR="001D59EF" w:rsidRPr="005802E9" w:rsidRDefault="001D59EF" w:rsidP="008F2988">
            <w:pPr>
              <w:pStyle w:val="TableText"/>
              <w:keepNext w:val="0"/>
              <w:rPr>
                <w:snapToGrid w:val="0"/>
                <w:lang w:eastAsia="en-US"/>
              </w:rPr>
            </w:pPr>
          </w:p>
        </w:tc>
        <w:tc>
          <w:tcPr>
            <w:tcW w:w="1802" w:type="dxa"/>
            <w:vAlign w:val="center"/>
          </w:tcPr>
          <w:p w:rsidR="001D59EF" w:rsidRPr="005802E9" w:rsidRDefault="001D59EF" w:rsidP="008F2988">
            <w:pPr>
              <w:pStyle w:val="TableText"/>
              <w:keepNext w:val="0"/>
              <w:rPr>
                <w:snapToGrid w:val="0"/>
                <w:lang w:eastAsia="en-US"/>
              </w:rPr>
            </w:pPr>
            <w:r w:rsidRPr="005802E9">
              <w:rPr>
                <w:snapToGrid w:val="0"/>
                <w:lang w:eastAsia="en-US"/>
              </w:rPr>
              <w:t>Vehicle (n=377)</w:t>
            </w:r>
          </w:p>
        </w:tc>
        <w:tc>
          <w:tcPr>
            <w:tcW w:w="129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7.8 (NR)</w:t>
            </w:r>
          </w:p>
        </w:tc>
        <w:tc>
          <w:tcPr>
            <w:tcW w:w="1447"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NR</w:t>
            </w:r>
          </w:p>
        </w:tc>
        <w:tc>
          <w:tcPr>
            <w:tcW w:w="1522" w:type="dxa"/>
            <w:vAlign w:val="center"/>
          </w:tcPr>
          <w:p w:rsidR="001D59EF" w:rsidRPr="005802E9" w:rsidRDefault="001D59EF" w:rsidP="008F2988">
            <w:pPr>
              <w:pStyle w:val="TableText"/>
              <w:keepNext w:val="0"/>
              <w:jc w:val="center"/>
              <w:rPr>
                <w:snapToGrid w:val="0"/>
                <w:lang w:eastAsia="en-US"/>
              </w:rPr>
            </w:pPr>
            <w:r w:rsidRPr="005802E9">
              <w:rPr>
                <w:snapToGrid w:val="0"/>
                <w:lang w:eastAsia="en-US"/>
              </w:rPr>
              <w:t>-2.7 (NR)</w:t>
            </w:r>
          </w:p>
        </w:tc>
        <w:tc>
          <w:tcPr>
            <w:tcW w:w="1541" w:type="dxa"/>
            <w:vMerge/>
            <w:vAlign w:val="center"/>
          </w:tcPr>
          <w:p w:rsidR="001D59EF" w:rsidRPr="005802E9" w:rsidRDefault="001D59EF" w:rsidP="008F2988">
            <w:pPr>
              <w:pStyle w:val="TableText"/>
              <w:keepNext w:val="0"/>
              <w:jc w:val="center"/>
              <w:rPr>
                <w:snapToGrid w:val="0"/>
                <w:lang w:eastAsia="en-US"/>
              </w:rPr>
            </w:pPr>
          </w:p>
        </w:tc>
      </w:tr>
    </w:tbl>
    <w:p w:rsidR="001D59EF" w:rsidRPr="005802E9" w:rsidRDefault="001D59EF" w:rsidP="001D59EF">
      <w:pPr>
        <w:pStyle w:val="TableFooter"/>
      </w:pPr>
      <w:r w:rsidRPr="005802E9">
        <w:t xml:space="preserve">Source: Table 14.2.4.1, p191 of the AD-301 trial report; Table 14.2.4.1, p188 of the AD-302 trial report; Simpson et al (2018) publication </w:t>
      </w:r>
    </w:p>
    <w:p w:rsidR="001D59EF" w:rsidRDefault="001D59EF" w:rsidP="001D59EF">
      <w:pPr>
        <w:pStyle w:val="TableFooter"/>
      </w:pPr>
      <w:r w:rsidRPr="005802E9">
        <w:t xml:space="preserve">Abbreviation: SD, standard deviation </w:t>
      </w:r>
    </w:p>
    <w:p w:rsidR="00AA3915" w:rsidRPr="005802E9" w:rsidRDefault="00AA3915" w:rsidP="00AA3915">
      <w:pPr>
        <w:pStyle w:val="TableFooter"/>
      </w:pPr>
      <w:r>
        <w:t>*</w:t>
      </w:r>
      <w:r w:rsidRPr="006B4114">
        <w:t xml:space="preserve"> Note that the results presented in Table 7 are derived from post-hoc analyses conducted by the applicant specifically for the purposes of informing the PBAC consideration. These analyses were not part of the pre-specified statistical plans for Studies AD-301 and AD-302.  Interpretation of the results and their application should therefore be limited to seeking to understand the basis for the PBAC outcome and should not be used for any other purpose.</w:t>
      </w:r>
    </w:p>
    <w:p w:rsidR="00AA3915" w:rsidRPr="005802E9" w:rsidRDefault="00AA3915" w:rsidP="001D59EF">
      <w:pPr>
        <w:pStyle w:val="TableFooter"/>
      </w:pPr>
    </w:p>
    <w:p w:rsidR="004864C7" w:rsidRPr="005802E9" w:rsidRDefault="004864C7" w:rsidP="004864C7">
      <w:pPr>
        <w:pStyle w:val="ExecSumBodyText"/>
      </w:pPr>
      <w:r w:rsidRPr="005802E9">
        <w:t>The results suggest improvement in dermatology-related quality of life scores in both treatment arms of the key trials and post-hoc analyses using pooled trial data. The publication for the pooled trial analysis nominated MCIDs for change from baseline of ≥2.5-point change for the Children’s Dermatology Life Quality Index and ≥3.3-point change for the Dermatology Life Quality Index (Simpson et al 2018). The results from both treatment arms met the nominated MCIDs.</w:t>
      </w:r>
    </w:p>
    <w:p w:rsidR="004864C7" w:rsidRPr="005802E9" w:rsidRDefault="004864C7" w:rsidP="004864C7">
      <w:pPr>
        <w:pStyle w:val="ExecSumBodyText"/>
      </w:pPr>
      <w:r w:rsidRPr="005802E9">
        <w:t>There was a numerically greater change in the scores from baseline in patients treated with crisaborole compared to its vehicle. The magnitude of difference between treatment arms was smaller than the change from baseline in the individual arms. It was unclear if this was clinically important.</w:t>
      </w:r>
    </w:p>
    <w:p w:rsidR="004864C7" w:rsidRPr="005802E9" w:rsidRDefault="004864C7" w:rsidP="004864C7">
      <w:pPr>
        <w:pStyle w:val="ExecSumBodyText"/>
        <w:rPr>
          <w:i/>
        </w:rPr>
      </w:pPr>
      <w:r w:rsidRPr="005802E9">
        <w:t>The resubmission claimed that the vehicle itself has a therapeutic benefit, therefore the difference in treatment effect due to crisaborole is likely to be higher when compared to placebo. No data were provided on the magnitude of treatment effect associated with the vehicle versus placebo.</w:t>
      </w:r>
    </w:p>
    <w:p w:rsidR="004B1276" w:rsidRPr="005802E9" w:rsidRDefault="004B1276" w:rsidP="004B1276">
      <w:pPr>
        <w:pStyle w:val="ExecSumBodyText"/>
        <w:rPr>
          <w:snapToGrid/>
        </w:rPr>
      </w:pPr>
      <w:r w:rsidRPr="005802E9">
        <w:rPr>
          <w:snapToGrid/>
        </w:rPr>
        <w:t xml:space="preserve">AD-303 was a 48-week safety extension study following on from parent trials AD-301 and AD-302. An exploratory analysis was conducted on topical rescue medication use </w:t>
      </w:r>
      <w:r w:rsidRPr="005802E9">
        <w:rPr>
          <w:snapToGrid/>
        </w:rPr>
        <w:lastRenderedPageBreak/>
        <w:t>(topical corticosteroids or calcineurin inhibitors) that was permitted during the study. Overall 22% of patients used rescue medication and the majority resumed treatment with crisaborole at a later date. Although efficacy was not formally assessed in this study, an additional exploratory analysis suggested that approximately 30% of patients who received crisaborole continuously for at least 12 weeks had no improvement in ISGA.</w:t>
      </w:r>
    </w:p>
    <w:p w:rsidR="001D59EF" w:rsidRPr="005802E9" w:rsidRDefault="00B2002E" w:rsidP="001D59EF">
      <w:pPr>
        <w:pStyle w:val="ExecSumBodyText"/>
        <w:numPr>
          <w:ilvl w:val="0"/>
          <w:numId w:val="0"/>
        </w:numPr>
        <w:rPr>
          <w:b/>
        </w:rPr>
      </w:pPr>
      <w:r w:rsidRPr="005802E9">
        <w:rPr>
          <w:b/>
        </w:rPr>
        <w:t xml:space="preserve">Additional </w:t>
      </w:r>
      <w:r w:rsidR="001D59EF" w:rsidRPr="005802E9">
        <w:rPr>
          <w:b/>
        </w:rPr>
        <w:t>analyses</w:t>
      </w:r>
      <w:r w:rsidR="00FE2F1C" w:rsidRPr="005802E9">
        <w:rPr>
          <w:b/>
        </w:rPr>
        <w:t xml:space="preserve"> (not previously considered by the PBAC)</w:t>
      </w:r>
      <w:r w:rsidR="00AA3915">
        <w:rPr>
          <w:rStyle w:val="FootnoteReference"/>
          <w:b/>
        </w:rPr>
        <w:footnoteReference w:id="6"/>
      </w:r>
    </w:p>
    <w:p w:rsidR="001D59EF" w:rsidRPr="005802E9" w:rsidRDefault="001D59EF" w:rsidP="001D59EF">
      <w:pPr>
        <w:pStyle w:val="ExecSumBodyText"/>
      </w:pPr>
      <w:r w:rsidRPr="005802E9">
        <w:t>To address concerns regarding the lack of subgroup data for the requested restriction, the resubmission presented post-hoc subgroup analyses by prior TCS use for the primary and secondary endpoints of the key trials AD-301 and AD-</w:t>
      </w:r>
      <w:r w:rsidR="00C47557" w:rsidRPr="005802E9">
        <w:t>302</w:t>
      </w:r>
      <w:r w:rsidRPr="005802E9">
        <w:t>. The resubmission claimed that prior TCS use was not a treatment effect modifier, therefore the clinical evidence based on the broader atopic dermatitis population was applicable to the requested subgroup. The analyses were based on patients with a history of TCS use, which may not be representative of the requested subgroup who are failing, are intolerant or contraindicated to TCS.</w:t>
      </w:r>
    </w:p>
    <w:p w:rsidR="001D59EF" w:rsidRPr="005802E9" w:rsidRDefault="001D59EF" w:rsidP="00AF5747">
      <w:pPr>
        <w:pStyle w:val="ExecSumBodyText"/>
      </w:pPr>
      <w:r w:rsidRPr="005802E9">
        <w:t xml:space="preserve">The usefulness of the analyses was limited by poor documentation, lack of patient characteristics for the subgroups and lack of interaction testing. Overall, there remains insufficient data to determine if there are differences in terms of baseline severity or treatment benefit in the proposed PBS population compared with the broader population not limited by response, contraindication or intolerance to TCS. </w:t>
      </w:r>
      <w:r w:rsidR="00AF5747" w:rsidRPr="005802E9">
        <w:t xml:space="preserve">The PSCR suggested that the study population would be motivated to participate in the study due to efficacy or safety issues with TCS. </w:t>
      </w:r>
      <w:r w:rsidR="00803C3D" w:rsidRPr="005802E9">
        <w:t>The ESC considered the population in this analysis is not the same as the proposed PBS population and suggested it is likely that the motivation to participate in the clinical studies would be</w:t>
      </w:r>
      <w:r w:rsidR="00354C63" w:rsidRPr="005802E9">
        <w:t xml:space="preserve"> broader</w:t>
      </w:r>
      <w:r w:rsidR="00803C3D" w:rsidRPr="005802E9">
        <w:t xml:space="preserve"> than as specified in the restriction. </w:t>
      </w:r>
      <w:r w:rsidR="00AF5747" w:rsidRPr="005802E9">
        <w:t>The ESC considered that it was unclear how the sub-group with previous steroid use relates to the requested population (those with inadequate response to TCS, intolerant to TCS or contraindicated to TCS)</w:t>
      </w:r>
      <w:r w:rsidR="00354C63" w:rsidRPr="005802E9">
        <w:t>, and</w:t>
      </w:r>
      <w:r w:rsidR="00FB46B5" w:rsidRPr="005802E9">
        <w:t xml:space="preserve"> </w:t>
      </w:r>
      <w:r w:rsidR="00354C63" w:rsidRPr="005802E9">
        <w:t>it was unclear what proportion of the sub-group</w:t>
      </w:r>
      <w:r w:rsidR="00E70AFC" w:rsidRPr="005802E9">
        <w:t xml:space="preserve"> could have been managed with TCS without the need for other agents.</w:t>
      </w:r>
    </w:p>
    <w:p w:rsidR="00B2002E" w:rsidRPr="005802E9" w:rsidRDefault="001D59EF" w:rsidP="001D59EF">
      <w:pPr>
        <w:pStyle w:val="ExecSumBodyText"/>
      </w:pPr>
      <w:r w:rsidRPr="005802E9">
        <w:t xml:space="preserve">To address concerns regarding the lack of long-term efficacy data for crisaborole, the resubmission presented analyses of ISGA scores over time using data from the AD-301, AD-302 trials and the AD-303 open-label safety extension study. </w:t>
      </w:r>
    </w:p>
    <w:p w:rsidR="00C628D8" w:rsidRPr="005802E9" w:rsidRDefault="001D59EF" w:rsidP="003D0AC2">
      <w:pPr>
        <w:pStyle w:val="ExecSumBodyText"/>
      </w:pPr>
      <w:r w:rsidRPr="005802E9">
        <w:t>During the evaluation the presentation of these results was simplified for ease of interpretation</w:t>
      </w:r>
      <w:r w:rsidR="00FB46B5" w:rsidRPr="005802E9">
        <w:t xml:space="preserve">. </w:t>
      </w:r>
      <w:r w:rsidR="00812D64" w:rsidRPr="005802E9">
        <w:t xml:space="preserve">See also Table 2.5.7 of the submission for full results of the proportion </w:t>
      </w:r>
      <w:r w:rsidR="00812D64" w:rsidRPr="005802E9">
        <w:lastRenderedPageBreak/>
        <w:t>of patients with ISGA scores on the day after four weeks of treatment in AD-301 and AD-302. F</w:t>
      </w:r>
      <w:r w:rsidR="00FB46B5" w:rsidRPr="005802E9">
        <w:t>ull results for ISGA scores at Day 29 of each 28-day treatment period in the subgroup of patients from the parent trials, AD-301 and AD-302, who subsequently enrol in the AD-303 safety extension study are shown in Table 9.</w:t>
      </w:r>
      <w:r w:rsidR="00960201" w:rsidRPr="005802E9">
        <w:t xml:space="preserve"> </w:t>
      </w:r>
      <w:r w:rsidR="00C628D8" w:rsidRPr="005802E9">
        <w:t>The table below presents the proportion of patients with ISGA scores on the day after four weeks of treatment in the key trials.</w:t>
      </w:r>
      <w:r w:rsidR="00AA3915">
        <w:rPr>
          <w:rStyle w:val="FootnoteReference"/>
        </w:rPr>
        <w:footnoteReference w:id="7"/>
      </w:r>
      <w:r w:rsidR="003D0AC2" w:rsidRPr="005802E9">
        <w:t xml:space="preserve"> </w:t>
      </w:r>
    </w:p>
    <w:p w:rsidR="00C628D8" w:rsidRPr="005802E9" w:rsidRDefault="00C628D8" w:rsidP="00C628D8">
      <w:pPr>
        <w:pStyle w:val="Tableheadingrow"/>
        <w:rPr>
          <w:lang w:val="en-AU"/>
        </w:rPr>
      </w:pPr>
      <w:r w:rsidRPr="005802E9">
        <w:rPr>
          <w:lang w:val="en-AU"/>
        </w:rPr>
        <w:t xml:space="preserve">Table </w:t>
      </w:r>
      <w:r w:rsidR="004736E5" w:rsidRPr="005802E9">
        <w:rPr>
          <w:lang w:val="en-AU"/>
        </w:rPr>
        <w:t>8</w:t>
      </w:r>
      <w:r w:rsidRPr="005802E9">
        <w:rPr>
          <w:lang w:val="en-AU"/>
        </w:rPr>
        <w:t>: Proportion of patients with ISGA scores at Day 29 after 4 weeks of treatment in trials AD-301 and AD-302 (ITT population)</w:t>
      </w:r>
    </w:p>
    <w:tbl>
      <w:tblPr>
        <w:tblStyle w:val="TableGrid"/>
        <w:tblW w:w="9024" w:type="dxa"/>
        <w:tblLayout w:type="fixed"/>
        <w:tblLook w:val="0620" w:firstRow="1" w:lastRow="0" w:firstColumn="0" w:lastColumn="0" w:noHBand="1" w:noVBand="1"/>
        <w:tblCaption w:val="Table 8: Proportion of patients with ISGA scores at Day 29 after 4 weeks of treatment in trials AD-301 and AD-302 (ITT population)"/>
      </w:tblPr>
      <w:tblGrid>
        <w:gridCol w:w="583"/>
        <w:gridCol w:w="655"/>
        <w:gridCol w:w="656"/>
        <w:gridCol w:w="656"/>
        <w:gridCol w:w="655"/>
        <w:gridCol w:w="656"/>
        <w:gridCol w:w="656"/>
        <w:gridCol w:w="574"/>
        <w:gridCol w:w="655"/>
        <w:gridCol w:w="656"/>
        <w:gridCol w:w="655"/>
        <w:gridCol w:w="656"/>
        <w:gridCol w:w="655"/>
        <w:gridCol w:w="656"/>
      </w:tblGrid>
      <w:tr w:rsidR="00C628D8" w:rsidRPr="005802E9" w:rsidTr="00F27BD7">
        <w:trPr>
          <w:tblHeader/>
        </w:trPr>
        <w:tc>
          <w:tcPr>
            <w:tcW w:w="9024" w:type="dxa"/>
            <w:gridSpan w:val="14"/>
            <w:vAlign w:val="center"/>
          </w:tcPr>
          <w:p w:rsidR="00C628D8" w:rsidRPr="005802E9" w:rsidRDefault="00C628D8" w:rsidP="008F2988">
            <w:pPr>
              <w:pStyle w:val="TableText"/>
              <w:jc w:val="center"/>
              <w:rPr>
                <w:b/>
              </w:rPr>
            </w:pPr>
            <w:r w:rsidRPr="005802E9">
              <w:rPr>
                <w:b/>
              </w:rPr>
              <w:t>Day 29 ISGA score, n (%)</w:t>
            </w:r>
          </w:p>
        </w:tc>
      </w:tr>
      <w:tr w:rsidR="00C628D8" w:rsidRPr="005802E9" w:rsidTr="00F27BD7">
        <w:tc>
          <w:tcPr>
            <w:tcW w:w="4517" w:type="dxa"/>
            <w:gridSpan w:val="7"/>
            <w:tcBorders>
              <w:right w:val="single" w:sz="8" w:space="0" w:color="auto"/>
            </w:tcBorders>
            <w:vAlign w:val="center"/>
          </w:tcPr>
          <w:p w:rsidR="00C628D8" w:rsidRPr="005802E9" w:rsidRDefault="00C628D8" w:rsidP="008F2988">
            <w:pPr>
              <w:pStyle w:val="TableText"/>
              <w:jc w:val="center"/>
              <w:rPr>
                <w:b/>
              </w:rPr>
            </w:pPr>
            <w:r w:rsidRPr="005802E9">
              <w:rPr>
                <w:b/>
              </w:rPr>
              <w:t>Crisaborole</w:t>
            </w:r>
          </w:p>
        </w:tc>
        <w:tc>
          <w:tcPr>
            <w:tcW w:w="4507" w:type="dxa"/>
            <w:gridSpan w:val="7"/>
            <w:tcBorders>
              <w:left w:val="single" w:sz="8" w:space="0" w:color="auto"/>
            </w:tcBorders>
            <w:vAlign w:val="center"/>
          </w:tcPr>
          <w:p w:rsidR="00C628D8" w:rsidRPr="005802E9" w:rsidRDefault="00C628D8" w:rsidP="008F2988">
            <w:pPr>
              <w:pStyle w:val="TableText"/>
              <w:jc w:val="center"/>
              <w:rPr>
                <w:b/>
              </w:rPr>
            </w:pPr>
            <w:r w:rsidRPr="005802E9">
              <w:rPr>
                <w:b/>
              </w:rPr>
              <w:t>Vehicle</w:t>
            </w:r>
          </w:p>
        </w:tc>
      </w:tr>
      <w:tr w:rsidR="00C628D8" w:rsidRPr="005802E9" w:rsidTr="00F27BD7">
        <w:tc>
          <w:tcPr>
            <w:tcW w:w="583" w:type="dxa"/>
            <w:vAlign w:val="center"/>
          </w:tcPr>
          <w:p w:rsidR="00C628D8" w:rsidRPr="005802E9" w:rsidRDefault="00C628D8" w:rsidP="008F2988">
            <w:pPr>
              <w:pStyle w:val="TableText"/>
              <w:jc w:val="center"/>
              <w:rPr>
                <w:b/>
              </w:rPr>
            </w:pPr>
            <w:r w:rsidRPr="005802E9">
              <w:rPr>
                <w:b/>
              </w:rPr>
              <w:t>N</w:t>
            </w:r>
          </w:p>
        </w:tc>
        <w:tc>
          <w:tcPr>
            <w:tcW w:w="655" w:type="dxa"/>
            <w:vAlign w:val="center"/>
          </w:tcPr>
          <w:p w:rsidR="00C628D8" w:rsidRPr="005802E9" w:rsidRDefault="00C628D8" w:rsidP="008F2988">
            <w:pPr>
              <w:pStyle w:val="TableText"/>
              <w:jc w:val="center"/>
              <w:rPr>
                <w:b/>
              </w:rPr>
            </w:pPr>
            <w:r w:rsidRPr="005802E9">
              <w:rPr>
                <w:b/>
              </w:rPr>
              <w:t>0</w:t>
            </w:r>
          </w:p>
        </w:tc>
        <w:tc>
          <w:tcPr>
            <w:tcW w:w="656" w:type="dxa"/>
            <w:vAlign w:val="center"/>
          </w:tcPr>
          <w:p w:rsidR="00C628D8" w:rsidRPr="005802E9" w:rsidRDefault="00C628D8" w:rsidP="008F2988">
            <w:pPr>
              <w:pStyle w:val="TableText"/>
              <w:jc w:val="center"/>
              <w:rPr>
                <w:b/>
              </w:rPr>
            </w:pPr>
            <w:r w:rsidRPr="005802E9">
              <w:rPr>
                <w:b/>
              </w:rPr>
              <w:t>1</w:t>
            </w:r>
          </w:p>
        </w:tc>
        <w:tc>
          <w:tcPr>
            <w:tcW w:w="656" w:type="dxa"/>
            <w:vAlign w:val="center"/>
          </w:tcPr>
          <w:p w:rsidR="00C628D8" w:rsidRPr="005802E9" w:rsidRDefault="00C628D8" w:rsidP="008F2988">
            <w:pPr>
              <w:pStyle w:val="TableText"/>
              <w:jc w:val="center"/>
              <w:rPr>
                <w:b/>
              </w:rPr>
            </w:pPr>
            <w:r w:rsidRPr="005802E9">
              <w:rPr>
                <w:b/>
              </w:rPr>
              <w:t>2</w:t>
            </w:r>
          </w:p>
        </w:tc>
        <w:tc>
          <w:tcPr>
            <w:tcW w:w="655" w:type="dxa"/>
            <w:vAlign w:val="center"/>
          </w:tcPr>
          <w:p w:rsidR="00C628D8" w:rsidRPr="005802E9" w:rsidRDefault="00C628D8" w:rsidP="008F2988">
            <w:pPr>
              <w:pStyle w:val="TableText"/>
              <w:jc w:val="center"/>
              <w:rPr>
                <w:b/>
              </w:rPr>
            </w:pPr>
            <w:r w:rsidRPr="005802E9">
              <w:rPr>
                <w:b/>
              </w:rPr>
              <w:t>3</w:t>
            </w:r>
          </w:p>
        </w:tc>
        <w:tc>
          <w:tcPr>
            <w:tcW w:w="656" w:type="dxa"/>
            <w:vAlign w:val="center"/>
          </w:tcPr>
          <w:p w:rsidR="00C628D8" w:rsidRPr="005802E9" w:rsidRDefault="00C628D8" w:rsidP="008F2988">
            <w:pPr>
              <w:pStyle w:val="TableText"/>
              <w:jc w:val="center"/>
              <w:rPr>
                <w:b/>
              </w:rPr>
            </w:pPr>
            <w:r w:rsidRPr="005802E9">
              <w:rPr>
                <w:b/>
              </w:rPr>
              <w:t>4</w:t>
            </w:r>
          </w:p>
        </w:tc>
        <w:tc>
          <w:tcPr>
            <w:tcW w:w="656" w:type="dxa"/>
            <w:tcBorders>
              <w:right w:val="single" w:sz="8" w:space="0" w:color="auto"/>
            </w:tcBorders>
            <w:vAlign w:val="center"/>
          </w:tcPr>
          <w:p w:rsidR="00C628D8" w:rsidRPr="005802E9" w:rsidRDefault="00C628D8" w:rsidP="008F2988">
            <w:pPr>
              <w:pStyle w:val="TableText"/>
              <w:jc w:val="center"/>
              <w:rPr>
                <w:b/>
              </w:rPr>
            </w:pPr>
            <w:r w:rsidRPr="005802E9">
              <w:rPr>
                <w:b/>
              </w:rPr>
              <w:t>Miss.</w:t>
            </w:r>
          </w:p>
        </w:tc>
        <w:tc>
          <w:tcPr>
            <w:tcW w:w="574" w:type="dxa"/>
            <w:tcBorders>
              <w:left w:val="single" w:sz="8" w:space="0" w:color="auto"/>
            </w:tcBorders>
            <w:vAlign w:val="center"/>
          </w:tcPr>
          <w:p w:rsidR="00C628D8" w:rsidRPr="005802E9" w:rsidRDefault="00C628D8" w:rsidP="008F2988">
            <w:pPr>
              <w:pStyle w:val="TableText"/>
              <w:jc w:val="center"/>
              <w:rPr>
                <w:b/>
              </w:rPr>
            </w:pPr>
            <w:r w:rsidRPr="005802E9">
              <w:rPr>
                <w:b/>
              </w:rPr>
              <w:t>N</w:t>
            </w:r>
          </w:p>
        </w:tc>
        <w:tc>
          <w:tcPr>
            <w:tcW w:w="655" w:type="dxa"/>
            <w:vAlign w:val="center"/>
          </w:tcPr>
          <w:p w:rsidR="00C628D8" w:rsidRPr="005802E9" w:rsidRDefault="00C628D8" w:rsidP="008F2988">
            <w:pPr>
              <w:pStyle w:val="TableText"/>
              <w:jc w:val="center"/>
              <w:rPr>
                <w:b/>
              </w:rPr>
            </w:pPr>
            <w:r w:rsidRPr="005802E9">
              <w:rPr>
                <w:b/>
              </w:rPr>
              <w:t>0</w:t>
            </w:r>
          </w:p>
        </w:tc>
        <w:tc>
          <w:tcPr>
            <w:tcW w:w="656" w:type="dxa"/>
            <w:vAlign w:val="center"/>
          </w:tcPr>
          <w:p w:rsidR="00C628D8" w:rsidRPr="005802E9" w:rsidRDefault="00C628D8" w:rsidP="008F2988">
            <w:pPr>
              <w:pStyle w:val="TableText"/>
              <w:jc w:val="center"/>
              <w:rPr>
                <w:b/>
              </w:rPr>
            </w:pPr>
            <w:r w:rsidRPr="005802E9">
              <w:rPr>
                <w:b/>
              </w:rPr>
              <w:t>1</w:t>
            </w:r>
          </w:p>
        </w:tc>
        <w:tc>
          <w:tcPr>
            <w:tcW w:w="655" w:type="dxa"/>
            <w:vAlign w:val="center"/>
          </w:tcPr>
          <w:p w:rsidR="00C628D8" w:rsidRPr="005802E9" w:rsidRDefault="00C628D8" w:rsidP="008F2988">
            <w:pPr>
              <w:pStyle w:val="TableText"/>
              <w:jc w:val="center"/>
              <w:rPr>
                <w:b/>
              </w:rPr>
            </w:pPr>
            <w:r w:rsidRPr="005802E9">
              <w:rPr>
                <w:b/>
              </w:rPr>
              <w:t>2</w:t>
            </w:r>
          </w:p>
        </w:tc>
        <w:tc>
          <w:tcPr>
            <w:tcW w:w="656" w:type="dxa"/>
            <w:vAlign w:val="center"/>
          </w:tcPr>
          <w:p w:rsidR="00C628D8" w:rsidRPr="005802E9" w:rsidRDefault="00C628D8" w:rsidP="008F2988">
            <w:pPr>
              <w:pStyle w:val="TableText"/>
              <w:jc w:val="center"/>
              <w:rPr>
                <w:b/>
              </w:rPr>
            </w:pPr>
            <w:r w:rsidRPr="005802E9">
              <w:rPr>
                <w:b/>
              </w:rPr>
              <w:t>3</w:t>
            </w:r>
          </w:p>
        </w:tc>
        <w:tc>
          <w:tcPr>
            <w:tcW w:w="655" w:type="dxa"/>
            <w:vAlign w:val="center"/>
          </w:tcPr>
          <w:p w:rsidR="00C628D8" w:rsidRPr="005802E9" w:rsidRDefault="00C628D8" w:rsidP="008F2988">
            <w:pPr>
              <w:pStyle w:val="TableText"/>
              <w:jc w:val="center"/>
              <w:rPr>
                <w:b/>
              </w:rPr>
            </w:pPr>
            <w:r w:rsidRPr="005802E9">
              <w:rPr>
                <w:b/>
              </w:rPr>
              <w:t>4</w:t>
            </w:r>
          </w:p>
        </w:tc>
        <w:tc>
          <w:tcPr>
            <w:tcW w:w="656" w:type="dxa"/>
            <w:vAlign w:val="center"/>
          </w:tcPr>
          <w:p w:rsidR="00C628D8" w:rsidRPr="005802E9" w:rsidRDefault="00C628D8" w:rsidP="008F2988">
            <w:pPr>
              <w:pStyle w:val="TableText"/>
              <w:jc w:val="center"/>
              <w:rPr>
                <w:b/>
              </w:rPr>
            </w:pPr>
            <w:r w:rsidRPr="005802E9">
              <w:rPr>
                <w:b/>
              </w:rPr>
              <w:t>Miss.</w:t>
            </w:r>
          </w:p>
        </w:tc>
      </w:tr>
      <w:tr w:rsidR="00C628D8" w:rsidRPr="005802E9" w:rsidTr="00F27BD7">
        <w:tc>
          <w:tcPr>
            <w:tcW w:w="9024" w:type="dxa"/>
            <w:gridSpan w:val="14"/>
            <w:vAlign w:val="center"/>
          </w:tcPr>
          <w:p w:rsidR="00C628D8" w:rsidRPr="005802E9" w:rsidRDefault="00C628D8" w:rsidP="008F2988">
            <w:pPr>
              <w:pStyle w:val="TableText"/>
              <w:rPr>
                <w:b/>
              </w:rPr>
            </w:pPr>
            <w:r w:rsidRPr="005802E9">
              <w:rPr>
                <w:b/>
              </w:rPr>
              <w:t>AD-301</w:t>
            </w:r>
          </w:p>
        </w:tc>
      </w:tr>
      <w:tr w:rsidR="00C628D8" w:rsidRPr="005802E9" w:rsidTr="00F27BD7">
        <w:tc>
          <w:tcPr>
            <w:tcW w:w="583" w:type="dxa"/>
            <w:vAlign w:val="center"/>
          </w:tcPr>
          <w:p w:rsidR="00C628D8" w:rsidRPr="005802E9" w:rsidRDefault="00C628D8" w:rsidP="008F2988">
            <w:pPr>
              <w:pStyle w:val="TableText"/>
              <w:jc w:val="center"/>
            </w:pPr>
            <w:r w:rsidRPr="005802E9">
              <w:t>503</w:t>
            </w:r>
          </w:p>
        </w:tc>
        <w:tc>
          <w:tcPr>
            <w:tcW w:w="655" w:type="dxa"/>
            <w:vAlign w:val="center"/>
          </w:tcPr>
          <w:p w:rsidR="00C628D8" w:rsidRPr="005802E9" w:rsidRDefault="00C628D8" w:rsidP="008F2988">
            <w:pPr>
              <w:pStyle w:val="TableText"/>
              <w:jc w:val="center"/>
            </w:pPr>
            <w:r w:rsidRPr="005802E9">
              <w:t>85 (16.9)</w:t>
            </w:r>
          </w:p>
        </w:tc>
        <w:tc>
          <w:tcPr>
            <w:tcW w:w="656" w:type="dxa"/>
            <w:vAlign w:val="center"/>
          </w:tcPr>
          <w:p w:rsidR="00C628D8" w:rsidRPr="005802E9" w:rsidRDefault="00C628D8" w:rsidP="008F2988">
            <w:pPr>
              <w:pStyle w:val="TableText"/>
              <w:jc w:val="center"/>
            </w:pPr>
            <w:r w:rsidRPr="005802E9">
              <w:t>167</w:t>
            </w:r>
          </w:p>
          <w:p w:rsidR="00C628D8" w:rsidRPr="005802E9" w:rsidRDefault="00C628D8" w:rsidP="008F2988">
            <w:pPr>
              <w:pStyle w:val="TableText"/>
              <w:jc w:val="center"/>
            </w:pPr>
            <w:r w:rsidRPr="005802E9">
              <w:t>(33.2)</w:t>
            </w:r>
          </w:p>
        </w:tc>
        <w:tc>
          <w:tcPr>
            <w:tcW w:w="656" w:type="dxa"/>
            <w:vAlign w:val="center"/>
          </w:tcPr>
          <w:p w:rsidR="00C628D8" w:rsidRPr="005802E9" w:rsidRDefault="00C628D8" w:rsidP="008F2988">
            <w:pPr>
              <w:pStyle w:val="TableText"/>
              <w:jc w:val="center"/>
            </w:pPr>
            <w:r w:rsidRPr="005802E9">
              <w:t>138</w:t>
            </w:r>
          </w:p>
          <w:p w:rsidR="00C628D8" w:rsidRPr="005802E9" w:rsidRDefault="00C628D8" w:rsidP="008F2988">
            <w:pPr>
              <w:pStyle w:val="TableText"/>
              <w:jc w:val="center"/>
            </w:pPr>
            <w:r w:rsidRPr="005802E9">
              <w:t>(27.4)</w:t>
            </w:r>
          </w:p>
        </w:tc>
        <w:tc>
          <w:tcPr>
            <w:tcW w:w="655" w:type="dxa"/>
            <w:vAlign w:val="center"/>
          </w:tcPr>
          <w:p w:rsidR="00C628D8" w:rsidRPr="005802E9" w:rsidRDefault="00C628D8" w:rsidP="008F2988">
            <w:pPr>
              <w:pStyle w:val="TableText"/>
              <w:jc w:val="center"/>
            </w:pPr>
            <w:r w:rsidRPr="005802E9">
              <w:t>80</w:t>
            </w:r>
          </w:p>
          <w:p w:rsidR="00C628D8" w:rsidRPr="005802E9" w:rsidRDefault="00C628D8" w:rsidP="008F2988">
            <w:pPr>
              <w:pStyle w:val="TableText"/>
              <w:jc w:val="center"/>
            </w:pPr>
            <w:r w:rsidRPr="005802E9">
              <w:t>(15.9)</w:t>
            </w:r>
          </w:p>
        </w:tc>
        <w:tc>
          <w:tcPr>
            <w:tcW w:w="656" w:type="dxa"/>
            <w:vAlign w:val="center"/>
          </w:tcPr>
          <w:p w:rsidR="00C628D8" w:rsidRPr="005802E9" w:rsidRDefault="00C628D8" w:rsidP="008F2988">
            <w:pPr>
              <w:pStyle w:val="TableText"/>
              <w:jc w:val="center"/>
            </w:pPr>
            <w:r w:rsidRPr="005802E9">
              <w:t>8</w:t>
            </w:r>
          </w:p>
          <w:p w:rsidR="00C628D8" w:rsidRPr="005802E9" w:rsidRDefault="00C628D8" w:rsidP="008F2988">
            <w:pPr>
              <w:pStyle w:val="TableText"/>
              <w:jc w:val="center"/>
            </w:pPr>
            <w:r w:rsidRPr="005802E9">
              <w:t>(1.6)</w:t>
            </w:r>
          </w:p>
        </w:tc>
        <w:tc>
          <w:tcPr>
            <w:tcW w:w="656" w:type="dxa"/>
            <w:tcBorders>
              <w:right w:val="single" w:sz="8" w:space="0" w:color="auto"/>
            </w:tcBorders>
            <w:vAlign w:val="center"/>
          </w:tcPr>
          <w:p w:rsidR="00C628D8" w:rsidRPr="005802E9" w:rsidRDefault="00C628D8" w:rsidP="008F2988">
            <w:pPr>
              <w:pStyle w:val="TableText"/>
              <w:jc w:val="center"/>
            </w:pPr>
            <w:r w:rsidRPr="005802E9">
              <w:t>25</w:t>
            </w:r>
          </w:p>
          <w:p w:rsidR="00C628D8" w:rsidRPr="005802E9" w:rsidRDefault="00C628D8" w:rsidP="008F2988">
            <w:pPr>
              <w:pStyle w:val="TableText"/>
              <w:jc w:val="center"/>
            </w:pPr>
            <w:r w:rsidRPr="005802E9">
              <w:t>(5.0)</w:t>
            </w:r>
          </w:p>
        </w:tc>
        <w:tc>
          <w:tcPr>
            <w:tcW w:w="574" w:type="dxa"/>
            <w:tcBorders>
              <w:left w:val="single" w:sz="8" w:space="0" w:color="auto"/>
            </w:tcBorders>
            <w:vAlign w:val="center"/>
          </w:tcPr>
          <w:p w:rsidR="00C628D8" w:rsidRPr="005802E9" w:rsidRDefault="00C628D8" w:rsidP="008F2988">
            <w:pPr>
              <w:pStyle w:val="TableText"/>
              <w:jc w:val="center"/>
            </w:pPr>
            <w:r w:rsidRPr="005802E9">
              <w:t>256</w:t>
            </w:r>
          </w:p>
        </w:tc>
        <w:tc>
          <w:tcPr>
            <w:tcW w:w="655" w:type="dxa"/>
            <w:vAlign w:val="center"/>
          </w:tcPr>
          <w:p w:rsidR="00C628D8" w:rsidRPr="005802E9" w:rsidRDefault="00C628D8" w:rsidP="008F2988">
            <w:pPr>
              <w:pStyle w:val="TableText"/>
              <w:jc w:val="center"/>
            </w:pPr>
            <w:r w:rsidRPr="005802E9">
              <w:t>31</w:t>
            </w:r>
          </w:p>
          <w:p w:rsidR="00C628D8" w:rsidRPr="005802E9" w:rsidRDefault="00C628D8" w:rsidP="008F2988">
            <w:pPr>
              <w:pStyle w:val="TableText"/>
              <w:jc w:val="center"/>
            </w:pPr>
            <w:r w:rsidRPr="005802E9">
              <w:t>(12.1)</w:t>
            </w:r>
          </w:p>
        </w:tc>
        <w:tc>
          <w:tcPr>
            <w:tcW w:w="656" w:type="dxa"/>
            <w:vAlign w:val="center"/>
          </w:tcPr>
          <w:p w:rsidR="00C628D8" w:rsidRPr="005802E9" w:rsidRDefault="00C628D8" w:rsidP="008F2988">
            <w:pPr>
              <w:pStyle w:val="TableText"/>
              <w:jc w:val="center"/>
            </w:pPr>
            <w:r w:rsidRPr="005802E9">
              <w:t>67</w:t>
            </w:r>
          </w:p>
          <w:p w:rsidR="00C628D8" w:rsidRPr="005802E9" w:rsidRDefault="00C628D8" w:rsidP="008F2988">
            <w:pPr>
              <w:pStyle w:val="TableText"/>
              <w:jc w:val="center"/>
            </w:pPr>
            <w:r w:rsidRPr="005802E9">
              <w:t>(26.2)</w:t>
            </w:r>
          </w:p>
        </w:tc>
        <w:tc>
          <w:tcPr>
            <w:tcW w:w="655" w:type="dxa"/>
            <w:vAlign w:val="center"/>
          </w:tcPr>
          <w:p w:rsidR="00C628D8" w:rsidRPr="005802E9" w:rsidRDefault="00C628D8" w:rsidP="008F2988">
            <w:pPr>
              <w:pStyle w:val="TableText"/>
              <w:jc w:val="center"/>
            </w:pPr>
            <w:r w:rsidRPr="005802E9">
              <w:t>64</w:t>
            </w:r>
          </w:p>
          <w:p w:rsidR="00C628D8" w:rsidRPr="005802E9" w:rsidRDefault="00C628D8" w:rsidP="008F2988">
            <w:pPr>
              <w:pStyle w:val="TableText"/>
              <w:jc w:val="center"/>
            </w:pPr>
            <w:r w:rsidRPr="005802E9">
              <w:t>(25.0)</w:t>
            </w:r>
          </w:p>
        </w:tc>
        <w:tc>
          <w:tcPr>
            <w:tcW w:w="656" w:type="dxa"/>
            <w:vAlign w:val="center"/>
          </w:tcPr>
          <w:p w:rsidR="00C628D8" w:rsidRPr="005802E9" w:rsidRDefault="00C628D8" w:rsidP="008F2988">
            <w:pPr>
              <w:pStyle w:val="TableText"/>
              <w:jc w:val="center"/>
            </w:pPr>
            <w:r w:rsidRPr="005802E9">
              <w:t>62</w:t>
            </w:r>
          </w:p>
          <w:p w:rsidR="00C628D8" w:rsidRPr="005802E9" w:rsidRDefault="00C628D8" w:rsidP="008F2988">
            <w:pPr>
              <w:pStyle w:val="TableText"/>
              <w:jc w:val="center"/>
            </w:pPr>
            <w:r w:rsidRPr="005802E9">
              <w:t>(24.2)</w:t>
            </w:r>
          </w:p>
        </w:tc>
        <w:tc>
          <w:tcPr>
            <w:tcW w:w="655" w:type="dxa"/>
            <w:vAlign w:val="center"/>
          </w:tcPr>
          <w:p w:rsidR="00C628D8" w:rsidRPr="005802E9" w:rsidRDefault="00C628D8" w:rsidP="008F2988">
            <w:pPr>
              <w:pStyle w:val="TableText"/>
              <w:jc w:val="center"/>
            </w:pPr>
            <w:r w:rsidRPr="005802E9">
              <w:t>4</w:t>
            </w:r>
          </w:p>
          <w:p w:rsidR="00C628D8" w:rsidRPr="005802E9" w:rsidRDefault="00C628D8" w:rsidP="008F2988">
            <w:pPr>
              <w:pStyle w:val="TableText"/>
              <w:jc w:val="center"/>
            </w:pPr>
            <w:r w:rsidRPr="005802E9">
              <w:t>(1.6)</w:t>
            </w:r>
          </w:p>
        </w:tc>
        <w:tc>
          <w:tcPr>
            <w:tcW w:w="656" w:type="dxa"/>
            <w:vAlign w:val="center"/>
          </w:tcPr>
          <w:p w:rsidR="00C628D8" w:rsidRPr="005802E9" w:rsidRDefault="00C628D8" w:rsidP="008F2988">
            <w:pPr>
              <w:pStyle w:val="TableText"/>
              <w:jc w:val="center"/>
            </w:pPr>
            <w:r w:rsidRPr="005802E9">
              <w:t>28</w:t>
            </w:r>
          </w:p>
          <w:p w:rsidR="00C628D8" w:rsidRPr="005802E9" w:rsidRDefault="00C628D8" w:rsidP="008F2988">
            <w:pPr>
              <w:pStyle w:val="TableText"/>
              <w:jc w:val="center"/>
            </w:pPr>
            <w:r w:rsidRPr="005802E9">
              <w:t>(10.9)</w:t>
            </w:r>
          </w:p>
        </w:tc>
      </w:tr>
      <w:tr w:rsidR="00C628D8" w:rsidRPr="005802E9" w:rsidTr="00F27BD7">
        <w:tc>
          <w:tcPr>
            <w:tcW w:w="9024" w:type="dxa"/>
            <w:gridSpan w:val="14"/>
            <w:vAlign w:val="center"/>
          </w:tcPr>
          <w:p w:rsidR="00C628D8" w:rsidRPr="005802E9" w:rsidRDefault="00C628D8" w:rsidP="008F2988">
            <w:pPr>
              <w:pStyle w:val="TableText"/>
              <w:rPr>
                <w:b/>
              </w:rPr>
            </w:pPr>
            <w:r w:rsidRPr="005802E9">
              <w:rPr>
                <w:b/>
              </w:rPr>
              <w:t>AD-302</w:t>
            </w:r>
          </w:p>
        </w:tc>
      </w:tr>
      <w:tr w:rsidR="00C628D8" w:rsidRPr="005802E9" w:rsidTr="00F27BD7">
        <w:tc>
          <w:tcPr>
            <w:tcW w:w="583" w:type="dxa"/>
            <w:vAlign w:val="center"/>
          </w:tcPr>
          <w:p w:rsidR="00C628D8" w:rsidRPr="005802E9" w:rsidRDefault="00C628D8" w:rsidP="008F2988">
            <w:pPr>
              <w:pStyle w:val="TableText"/>
              <w:jc w:val="center"/>
            </w:pPr>
            <w:r w:rsidRPr="005802E9">
              <w:t>513</w:t>
            </w:r>
          </w:p>
        </w:tc>
        <w:tc>
          <w:tcPr>
            <w:tcW w:w="655" w:type="dxa"/>
            <w:vAlign w:val="center"/>
          </w:tcPr>
          <w:p w:rsidR="00C628D8" w:rsidRPr="005802E9" w:rsidRDefault="00C628D8" w:rsidP="008F2988">
            <w:pPr>
              <w:pStyle w:val="TableText"/>
              <w:jc w:val="center"/>
            </w:pPr>
            <w:r w:rsidRPr="005802E9">
              <w:t>81</w:t>
            </w:r>
          </w:p>
          <w:p w:rsidR="00C628D8" w:rsidRPr="005802E9" w:rsidRDefault="00C628D8" w:rsidP="008F2988">
            <w:pPr>
              <w:pStyle w:val="TableText"/>
              <w:jc w:val="center"/>
            </w:pPr>
            <w:r w:rsidRPr="005802E9">
              <w:t>(15.8)</w:t>
            </w:r>
          </w:p>
        </w:tc>
        <w:tc>
          <w:tcPr>
            <w:tcW w:w="656" w:type="dxa"/>
            <w:vAlign w:val="center"/>
          </w:tcPr>
          <w:p w:rsidR="00C628D8" w:rsidRPr="005802E9" w:rsidRDefault="00C628D8" w:rsidP="008F2988">
            <w:pPr>
              <w:pStyle w:val="TableText"/>
              <w:jc w:val="center"/>
            </w:pPr>
            <w:r w:rsidRPr="005802E9">
              <w:t>159</w:t>
            </w:r>
          </w:p>
          <w:p w:rsidR="00C628D8" w:rsidRPr="005802E9" w:rsidRDefault="00C628D8" w:rsidP="008F2988">
            <w:pPr>
              <w:pStyle w:val="TableText"/>
              <w:jc w:val="center"/>
            </w:pPr>
            <w:r w:rsidRPr="005802E9">
              <w:t>(31.0)</w:t>
            </w:r>
          </w:p>
        </w:tc>
        <w:tc>
          <w:tcPr>
            <w:tcW w:w="656" w:type="dxa"/>
            <w:vAlign w:val="center"/>
          </w:tcPr>
          <w:p w:rsidR="00C628D8" w:rsidRPr="005802E9" w:rsidRDefault="00C628D8" w:rsidP="008F2988">
            <w:pPr>
              <w:pStyle w:val="TableText"/>
              <w:jc w:val="center"/>
            </w:pPr>
            <w:r w:rsidRPr="005802E9">
              <w:t>133</w:t>
            </w:r>
          </w:p>
          <w:p w:rsidR="00C628D8" w:rsidRPr="005802E9" w:rsidRDefault="00C628D8" w:rsidP="008F2988">
            <w:pPr>
              <w:pStyle w:val="TableText"/>
              <w:jc w:val="center"/>
            </w:pPr>
            <w:r w:rsidRPr="005802E9">
              <w:t>(25.9)</w:t>
            </w:r>
          </w:p>
        </w:tc>
        <w:tc>
          <w:tcPr>
            <w:tcW w:w="655" w:type="dxa"/>
            <w:vAlign w:val="center"/>
          </w:tcPr>
          <w:p w:rsidR="00C628D8" w:rsidRPr="005802E9" w:rsidRDefault="00C628D8" w:rsidP="008F2988">
            <w:pPr>
              <w:pStyle w:val="TableText"/>
              <w:jc w:val="center"/>
            </w:pPr>
            <w:r w:rsidRPr="005802E9">
              <w:t>106</w:t>
            </w:r>
          </w:p>
          <w:p w:rsidR="00C628D8" w:rsidRPr="005802E9" w:rsidRDefault="00C628D8" w:rsidP="008F2988">
            <w:pPr>
              <w:pStyle w:val="TableText"/>
              <w:jc w:val="center"/>
            </w:pPr>
            <w:r w:rsidRPr="005802E9">
              <w:t>(20.7)</w:t>
            </w:r>
          </w:p>
        </w:tc>
        <w:tc>
          <w:tcPr>
            <w:tcW w:w="656" w:type="dxa"/>
            <w:vAlign w:val="center"/>
          </w:tcPr>
          <w:p w:rsidR="00C628D8" w:rsidRPr="005802E9" w:rsidRDefault="00C628D8" w:rsidP="008F2988">
            <w:pPr>
              <w:pStyle w:val="TableText"/>
              <w:jc w:val="center"/>
            </w:pPr>
            <w:r w:rsidRPr="005802E9">
              <w:t>7</w:t>
            </w:r>
          </w:p>
          <w:p w:rsidR="00C628D8" w:rsidRPr="005802E9" w:rsidRDefault="00C628D8" w:rsidP="008F2988">
            <w:pPr>
              <w:pStyle w:val="TableText"/>
              <w:jc w:val="center"/>
            </w:pPr>
            <w:r w:rsidRPr="005802E9">
              <w:t>(1.4)</w:t>
            </w:r>
          </w:p>
        </w:tc>
        <w:tc>
          <w:tcPr>
            <w:tcW w:w="656" w:type="dxa"/>
            <w:tcBorders>
              <w:right w:val="single" w:sz="8" w:space="0" w:color="auto"/>
            </w:tcBorders>
            <w:vAlign w:val="center"/>
          </w:tcPr>
          <w:p w:rsidR="00C628D8" w:rsidRPr="005802E9" w:rsidRDefault="00C628D8" w:rsidP="008F2988">
            <w:pPr>
              <w:pStyle w:val="TableText"/>
              <w:jc w:val="center"/>
            </w:pPr>
            <w:r w:rsidRPr="005802E9">
              <w:t>27</w:t>
            </w:r>
          </w:p>
          <w:p w:rsidR="00C628D8" w:rsidRPr="005802E9" w:rsidRDefault="00C628D8" w:rsidP="008F2988">
            <w:pPr>
              <w:pStyle w:val="TableText"/>
              <w:jc w:val="center"/>
            </w:pPr>
            <w:r w:rsidRPr="005802E9">
              <w:t>(5.3)</w:t>
            </w:r>
          </w:p>
        </w:tc>
        <w:tc>
          <w:tcPr>
            <w:tcW w:w="574" w:type="dxa"/>
            <w:tcBorders>
              <w:left w:val="single" w:sz="8" w:space="0" w:color="auto"/>
            </w:tcBorders>
            <w:vAlign w:val="center"/>
          </w:tcPr>
          <w:p w:rsidR="00C628D8" w:rsidRPr="005802E9" w:rsidRDefault="00C628D8" w:rsidP="008F2988">
            <w:pPr>
              <w:pStyle w:val="TableText"/>
              <w:jc w:val="center"/>
            </w:pPr>
            <w:r w:rsidRPr="005802E9">
              <w:t>250</w:t>
            </w:r>
          </w:p>
        </w:tc>
        <w:tc>
          <w:tcPr>
            <w:tcW w:w="655" w:type="dxa"/>
            <w:vAlign w:val="center"/>
          </w:tcPr>
          <w:p w:rsidR="00C628D8" w:rsidRPr="005802E9" w:rsidRDefault="00C628D8" w:rsidP="008F2988">
            <w:pPr>
              <w:pStyle w:val="TableText"/>
              <w:jc w:val="center"/>
            </w:pPr>
            <w:r w:rsidRPr="005802E9">
              <w:t>17</w:t>
            </w:r>
          </w:p>
          <w:p w:rsidR="00C628D8" w:rsidRPr="005802E9" w:rsidRDefault="00C628D8" w:rsidP="008F2988">
            <w:pPr>
              <w:pStyle w:val="TableText"/>
              <w:jc w:val="center"/>
            </w:pPr>
            <w:r w:rsidRPr="005802E9">
              <w:t>(6.8)</w:t>
            </w:r>
          </w:p>
        </w:tc>
        <w:tc>
          <w:tcPr>
            <w:tcW w:w="656" w:type="dxa"/>
            <w:vAlign w:val="center"/>
          </w:tcPr>
          <w:p w:rsidR="00C628D8" w:rsidRPr="005802E9" w:rsidRDefault="00C628D8" w:rsidP="008F2988">
            <w:pPr>
              <w:pStyle w:val="TableText"/>
              <w:jc w:val="center"/>
            </w:pPr>
            <w:r w:rsidRPr="005802E9">
              <w:t>53</w:t>
            </w:r>
          </w:p>
          <w:p w:rsidR="00C628D8" w:rsidRPr="005802E9" w:rsidRDefault="00C628D8" w:rsidP="008F2988">
            <w:pPr>
              <w:pStyle w:val="TableText"/>
              <w:jc w:val="center"/>
            </w:pPr>
            <w:r w:rsidRPr="005802E9">
              <w:t>(21.2)</w:t>
            </w:r>
          </w:p>
        </w:tc>
        <w:tc>
          <w:tcPr>
            <w:tcW w:w="655" w:type="dxa"/>
            <w:vAlign w:val="center"/>
          </w:tcPr>
          <w:p w:rsidR="00C628D8" w:rsidRPr="005802E9" w:rsidRDefault="00C628D8" w:rsidP="008F2988">
            <w:pPr>
              <w:pStyle w:val="TableText"/>
              <w:jc w:val="center"/>
            </w:pPr>
            <w:r w:rsidRPr="005802E9">
              <w:t>64</w:t>
            </w:r>
          </w:p>
          <w:p w:rsidR="00C628D8" w:rsidRPr="005802E9" w:rsidRDefault="00C628D8" w:rsidP="008F2988">
            <w:pPr>
              <w:pStyle w:val="TableText"/>
              <w:jc w:val="center"/>
            </w:pPr>
            <w:r w:rsidRPr="005802E9">
              <w:t>(25.6)</w:t>
            </w:r>
          </w:p>
        </w:tc>
        <w:tc>
          <w:tcPr>
            <w:tcW w:w="656" w:type="dxa"/>
            <w:vAlign w:val="center"/>
          </w:tcPr>
          <w:p w:rsidR="00C628D8" w:rsidRPr="005802E9" w:rsidRDefault="00C628D8" w:rsidP="008F2988">
            <w:pPr>
              <w:pStyle w:val="TableText"/>
              <w:jc w:val="center"/>
            </w:pPr>
            <w:r w:rsidRPr="005802E9">
              <w:t>85</w:t>
            </w:r>
          </w:p>
          <w:p w:rsidR="00C628D8" w:rsidRPr="005802E9" w:rsidRDefault="00C628D8" w:rsidP="008F2988">
            <w:pPr>
              <w:pStyle w:val="TableText"/>
              <w:jc w:val="center"/>
            </w:pPr>
            <w:r w:rsidRPr="005802E9">
              <w:t>(34.0)</w:t>
            </w:r>
          </w:p>
        </w:tc>
        <w:tc>
          <w:tcPr>
            <w:tcW w:w="655" w:type="dxa"/>
            <w:vAlign w:val="center"/>
          </w:tcPr>
          <w:p w:rsidR="00C628D8" w:rsidRPr="005802E9" w:rsidRDefault="00C628D8" w:rsidP="008F2988">
            <w:pPr>
              <w:pStyle w:val="TableText"/>
              <w:jc w:val="center"/>
            </w:pPr>
            <w:r w:rsidRPr="005802E9">
              <w:t>5</w:t>
            </w:r>
          </w:p>
          <w:p w:rsidR="00C628D8" w:rsidRPr="005802E9" w:rsidRDefault="00C628D8" w:rsidP="008F2988">
            <w:pPr>
              <w:pStyle w:val="TableText"/>
              <w:jc w:val="center"/>
            </w:pPr>
            <w:r w:rsidRPr="005802E9">
              <w:t>(2.0)</w:t>
            </w:r>
          </w:p>
        </w:tc>
        <w:tc>
          <w:tcPr>
            <w:tcW w:w="656" w:type="dxa"/>
            <w:vAlign w:val="center"/>
          </w:tcPr>
          <w:p w:rsidR="00C628D8" w:rsidRPr="005802E9" w:rsidRDefault="00C628D8" w:rsidP="008F2988">
            <w:pPr>
              <w:pStyle w:val="TableText"/>
              <w:jc w:val="center"/>
            </w:pPr>
            <w:r w:rsidRPr="005802E9">
              <w:t>26</w:t>
            </w:r>
          </w:p>
          <w:p w:rsidR="00C628D8" w:rsidRPr="005802E9" w:rsidRDefault="00C628D8" w:rsidP="008F2988">
            <w:pPr>
              <w:pStyle w:val="TableText"/>
              <w:jc w:val="center"/>
            </w:pPr>
            <w:r w:rsidRPr="005802E9">
              <w:t>(10.4)</w:t>
            </w:r>
          </w:p>
        </w:tc>
      </w:tr>
      <w:tr w:rsidR="00C628D8" w:rsidRPr="005802E9" w:rsidTr="00F27BD7">
        <w:tc>
          <w:tcPr>
            <w:tcW w:w="9024" w:type="dxa"/>
            <w:gridSpan w:val="14"/>
            <w:vAlign w:val="center"/>
          </w:tcPr>
          <w:p w:rsidR="00C628D8" w:rsidRPr="005802E9" w:rsidRDefault="00C628D8" w:rsidP="008F2988">
            <w:pPr>
              <w:pStyle w:val="TableText"/>
              <w:rPr>
                <w:b/>
              </w:rPr>
            </w:pPr>
            <w:r w:rsidRPr="005802E9">
              <w:rPr>
                <w:b/>
              </w:rPr>
              <w:t xml:space="preserve">Pooled </w:t>
            </w:r>
          </w:p>
        </w:tc>
      </w:tr>
      <w:tr w:rsidR="00C628D8" w:rsidRPr="005802E9" w:rsidTr="00F27BD7">
        <w:tc>
          <w:tcPr>
            <w:tcW w:w="583" w:type="dxa"/>
            <w:vAlign w:val="center"/>
          </w:tcPr>
          <w:p w:rsidR="00C628D8" w:rsidRPr="005802E9" w:rsidRDefault="00C628D8" w:rsidP="008F2988">
            <w:pPr>
              <w:pStyle w:val="TableText"/>
              <w:jc w:val="center"/>
            </w:pPr>
            <w:r w:rsidRPr="005802E9">
              <w:t>1016</w:t>
            </w:r>
          </w:p>
        </w:tc>
        <w:tc>
          <w:tcPr>
            <w:tcW w:w="655" w:type="dxa"/>
            <w:vAlign w:val="center"/>
          </w:tcPr>
          <w:p w:rsidR="00C628D8" w:rsidRPr="005802E9" w:rsidRDefault="00C628D8" w:rsidP="008F2988">
            <w:pPr>
              <w:pStyle w:val="TableText"/>
              <w:jc w:val="center"/>
            </w:pPr>
            <w:r w:rsidRPr="005802E9">
              <w:t>166</w:t>
            </w:r>
          </w:p>
          <w:p w:rsidR="00C628D8" w:rsidRPr="005802E9" w:rsidRDefault="00C628D8" w:rsidP="008F2988">
            <w:pPr>
              <w:pStyle w:val="TableText"/>
              <w:jc w:val="center"/>
            </w:pPr>
            <w:r w:rsidRPr="005802E9">
              <w:t>(16.3)</w:t>
            </w:r>
          </w:p>
        </w:tc>
        <w:tc>
          <w:tcPr>
            <w:tcW w:w="656" w:type="dxa"/>
            <w:vAlign w:val="center"/>
          </w:tcPr>
          <w:p w:rsidR="00C628D8" w:rsidRPr="005802E9" w:rsidRDefault="00C628D8" w:rsidP="008F2988">
            <w:pPr>
              <w:pStyle w:val="TableText"/>
              <w:jc w:val="center"/>
            </w:pPr>
            <w:r w:rsidRPr="005802E9">
              <w:t>326</w:t>
            </w:r>
          </w:p>
          <w:p w:rsidR="00C628D8" w:rsidRPr="005802E9" w:rsidRDefault="00C628D8" w:rsidP="008F2988">
            <w:pPr>
              <w:pStyle w:val="TableText"/>
              <w:jc w:val="center"/>
            </w:pPr>
            <w:r w:rsidRPr="005802E9">
              <w:t>(32.1)</w:t>
            </w:r>
          </w:p>
        </w:tc>
        <w:tc>
          <w:tcPr>
            <w:tcW w:w="656" w:type="dxa"/>
            <w:vAlign w:val="center"/>
          </w:tcPr>
          <w:p w:rsidR="00C628D8" w:rsidRPr="005802E9" w:rsidRDefault="00C628D8" w:rsidP="008F2988">
            <w:pPr>
              <w:pStyle w:val="TableText"/>
              <w:jc w:val="center"/>
            </w:pPr>
            <w:r w:rsidRPr="005802E9">
              <w:t>271</w:t>
            </w:r>
          </w:p>
          <w:p w:rsidR="00C628D8" w:rsidRPr="005802E9" w:rsidRDefault="00C628D8" w:rsidP="008F2988">
            <w:pPr>
              <w:pStyle w:val="TableText"/>
              <w:jc w:val="center"/>
            </w:pPr>
            <w:r w:rsidRPr="005802E9">
              <w:t>(26.7)</w:t>
            </w:r>
          </w:p>
        </w:tc>
        <w:tc>
          <w:tcPr>
            <w:tcW w:w="655" w:type="dxa"/>
            <w:vAlign w:val="center"/>
          </w:tcPr>
          <w:p w:rsidR="00C628D8" w:rsidRPr="005802E9" w:rsidRDefault="00C628D8" w:rsidP="008F2988">
            <w:pPr>
              <w:pStyle w:val="TableText"/>
              <w:jc w:val="center"/>
            </w:pPr>
            <w:r w:rsidRPr="005802E9">
              <w:t>186</w:t>
            </w:r>
          </w:p>
          <w:p w:rsidR="00C628D8" w:rsidRPr="005802E9" w:rsidRDefault="00C628D8" w:rsidP="008F2988">
            <w:pPr>
              <w:pStyle w:val="TableText"/>
              <w:jc w:val="center"/>
            </w:pPr>
            <w:r w:rsidRPr="005802E9">
              <w:t>(18.3)</w:t>
            </w:r>
          </w:p>
        </w:tc>
        <w:tc>
          <w:tcPr>
            <w:tcW w:w="656" w:type="dxa"/>
            <w:vAlign w:val="center"/>
          </w:tcPr>
          <w:p w:rsidR="00C628D8" w:rsidRPr="005802E9" w:rsidRDefault="00C628D8" w:rsidP="008F2988">
            <w:pPr>
              <w:pStyle w:val="TableText"/>
              <w:jc w:val="center"/>
            </w:pPr>
            <w:r w:rsidRPr="005802E9">
              <w:t>15</w:t>
            </w:r>
          </w:p>
          <w:p w:rsidR="00C628D8" w:rsidRPr="005802E9" w:rsidRDefault="00C628D8" w:rsidP="008F2988">
            <w:pPr>
              <w:pStyle w:val="TableText"/>
              <w:jc w:val="center"/>
            </w:pPr>
            <w:r w:rsidRPr="005802E9">
              <w:t>(1.5)</w:t>
            </w:r>
          </w:p>
        </w:tc>
        <w:tc>
          <w:tcPr>
            <w:tcW w:w="656" w:type="dxa"/>
            <w:tcBorders>
              <w:right w:val="single" w:sz="8" w:space="0" w:color="auto"/>
            </w:tcBorders>
            <w:vAlign w:val="center"/>
          </w:tcPr>
          <w:p w:rsidR="00C628D8" w:rsidRPr="005802E9" w:rsidRDefault="00C628D8" w:rsidP="008F2988">
            <w:pPr>
              <w:pStyle w:val="TableText"/>
              <w:jc w:val="center"/>
            </w:pPr>
            <w:r w:rsidRPr="005802E9">
              <w:t>52</w:t>
            </w:r>
          </w:p>
          <w:p w:rsidR="00C628D8" w:rsidRPr="005802E9" w:rsidRDefault="00C628D8" w:rsidP="008F2988">
            <w:pPr>
              <w:pStyle w:val="TableText"/>
              <w:jc w:val="center"/>
            </w:pPr>
            <w:r w:rsidRPr="005802E9">
              <w:t>(5.1)</w:t>
            </w:r>
          </w:p>
        </w:tc>
        <w:tc>
          <w:tcPr>
            <w:tcW w:w="574" w:type="dxa"/>
            <w:tcBorders>
              <w:left w:val="single" w:sz="8" w:space="0" w:color="auto"/>
            </w:tcBorders>
            <w:vAlign w:val="center"/>
          </w:tcPr>
          <w:p w:rsidR="00C628D8" w:rsidRPr="005802E9" w:rsidRDefault="00C628D8" w:rsidP="008F2988">
            <w:pPr>
              <w:pStyle w:val="TableText"/>
              <w:jc w:val="center"/>
            </w:pPr>
            <w:r w:rsidRPr="005802E9">
              <w:t>506</w:t>
            </w:r>
          </w:p>
        </w:tc>
        <w:tc>
          <w:tcPr>
            <w:tcW w:w="655" w:type="dxa"/>
            <w:vAlign w:val="center"/>
          </w:tcPr>
          <w:p w:rsidR="00C628D8" w:rsidRPr="005802E9" w:rsidRDefault="00C628D8" w:rsidP="008F2988">
            <w:pPr>
              <w:pStyle w:val="TableText"/>
              <w:jc w:val="center"/>
            </w:pPr>
            <w:r w:rsidRPr="005802E9">
              <w:t>48</w:t>
            </w:r>
          </w:p>
          <w:p w:rsidR="00C628D8" w:rsidRPr="005802E9" w:rsidRDefault="00C628D8" w:rsidP="008F2988">
            <w:pPr>
              <w:pStyle w:val="TableText"/>
              <w:jc w:val="center"/>
            </w:pPr>
            <w:r w:rsidRPr="005802E9">
              <w:t>(9.5)</w:t>
            </w:r>
          </w:p>
        </w:tc>
        <w:tc>
          <w:tcPr>
            <w:tcW w:w="656" w:type="dxa"/>
            <w:vAlign w:val="center"/>
          </w:tcPr>
          <w:p w:rsidR="00C628D8" w:rsidRPr="005802E9" w:rsidRDefault="00C628D8" w:rsidP="008F2988">
            <w:pPr>
              <w:pStyle w:val="TableText"/>
              <w:jc w:val="center"/>
            </w:pPr>
            <w:r w:rsidRPr="005802E9">
              <w:t>120</w:t>
            </w:r>
          </w:p>
          <w:p w:rsidR="00C628D8" w:rsidRPr="005802E9" w:rsidRDefault="00C628D8" w:rsidP="008F2988">
            <w:pPr>
              <w:pStyle w:val="TableText"/>
              <w:jc w:val="center"/>
            </w:pPr>
            <w:r w:rsidRPr="005802E9">
              <w:t>(23.7)</w:t>
            </w:r>
          </w:p>
        </w:tc>
        <w:tc>
          <w:tcPr>
            <w:tcW w:w="655" w:type="dxa"/>
            <w:vAlign w:val="center"/>
          </w:tcPr>
          <w:p w:rsidR="00C628D8" w:rsidRPr="005802E9" w:rsidRDefault="00C628D8" w:rsidP="008F2988">
            <w:pPr>
              <w:pStyle w:val="TableText"/>
              <w:jc w:val="center"/>
            </w:pPr>
            <w:r w:rsidRPr="005802E9">
              <w:t>128</w:t>
            </w:r>
          </w:p>
          <w:p w:rsidR="00C628D8" w:rsidRPr="005802E9" w:rsidRDefault="00C628D8" w:rsidP="008F2988">
            <w:pPr>
              <w:pStyle w:val="TableText"/>
              <w:jc w:val="center"/>
            </w:pPr>
            <w:r w:rsidRPr="005802E9">
              <w:t>(29.1)</w:t>
            </w:r>
          </w:p>
        </w:tc>
        <w:tc>
          <w:tcPr>
            <w:tcW w:w="656" w:type="dxa"/>
            <w:vAlign w:val="center"/>
          </w:tcPr>
          <w:p w:rsidR="00C628D8" w:rsidRPr="005802E9" w:rsidRDefault="00C628D8" w:rsidP="008F2988">
            <w:pPr>
              <w:pStyle w:val="TableText"/>
              <w:jc w:val="center"/>
            </w:pPr>
            <w:r w:rsidRPr="005802E9">
              <w:t>147</w:t>
            </w:r>
          </w:p>
          <w:p w:rsidR="00C628D8" w:rsidRPr="005802E9" w:rsidRDefault="00C628D8" w:rsidP="008F2988">
            <w:pPr>
              <w:pStyle w:val="TableText"/>
              <w:jc w:val="center"/>
            </w:pPr>
            <w:r w:rsidRPr="005802E9">
              <w:t>(29.1)</w:t>
            </w:r>
          </w:p>
        </w:tc>
        <w:tc>
          <w:tcPr>
            <w:tcW w:w="655" w:type="dxa"/>
            <w:vAlign w:val="center"/>
          </w:tcPr>
          <w:p w:rsidR="00C628D8" w:rsidRPr="005802E9" w:rsidRDefault="00C628D8" w:rsidP="008F2988">
            <w:pPr>
              <w:pStyle w:val="TableText"/>
              <w:jc w:val="center"/>
            </w:pPr>
            <w:r w:rsidRPr="005802E9">
              <w:t>9</w:t>
            </w:r>
          </w:p>
          <w:p w:rsidR="00C628D8" w:rsidRPr="005802E9" w:rsidRDefault="00C628D8" w:rsidP="008F2988">
            <w:pPr>
              <w:pStyle w:val="TableText"/>
              <w:jc w:val="center"/>
            </w:pPr>
            <w:r w:rsidRPr="005802E9">
              <w:t>(1.8)</w:t>
            </w:r>
          </w:p>
        </w:tc>
        <w:tc>
          <w:tcPr>
            <w:tcW w:w="656" w:type="dxa"/>
            <w:vAlign w:val="center"/>
          </w:tcPr>
          <w:p w:rsidR="00C628D8" w:rsidRPr="005802E9" w:rsidRDefault="00C628D8" w:rsidP="008F2988">
            <w:pPr>
              <w:pStyle w:val="TableText"/>
              <w:jc w:val="center"/>
            </w:pPr>
            <w:r w:rsidRPr="005802E9">
              <w:t>54</w:t>
            </w:r>
          </w:p>
          <w:p w:rsidR="00C628D8" w:rsidRPr="005802E9" w:rsidRDefault="00C628D8" w:rsidP="008F2988">
            <w:pPr>
              <w:pStyle w:val="TableText"/>
              <w:jc w:val="center"/>
            </w:pPr>
            <w:r w:rsidRPr="005802E9">
              <w:t>(10.7)</w:t>
            </w:r>
          </w:p>
        </w:tc>
      </w:tr>
    </w:tbl>
    <w:p w:rsidR="00C628D8" w:rsidRPr="005802E9" w:rsidRDefault="00C628D8" w:rsidP="00C628D8">
      <w:pPr>
        <w:pStyle w:val="TableFooter"/>
      </w:pPr>
      <w:r w:rsidRPr="005802E9">
        <w:t>Source: Table 2.5.7, p68 of the resubmission</w:t>
      </w:r>
    </w:p>
    <w:p w:rsidR="00C628D8" w:rsidRPr="005802E9" w:rsidRDefault="00C628D8" w:rsidP="00C628D8">
      <w:pPr>
        <w:pStyle w:val="TableFooter"/>
        <w:spacing w:after="120"/>
      </w:pPr>
      <w:r w:rsidRPr="005802E9">
        <w:t>Abbreviation: ISGA, Investigator’s Static Global Assessment; Miss, missing</w:t>
      </w:r>
    </w:p>
    <w:p w:rsidR="00C628D8" w:rsidRPr="005802E9" w:rsidRDefault="00C628D8" w:rsidP="00C628D8">
      <w:pPr>
        <w:pStyle w:val="ExecSumBodyText"/>
      </w:pPr>
      <w:r w:rsidRPr="005802E9">
        <w:t>The results for the crisaborole arms in both trials appeared similar whereas more patients in the AD-301 vehicle arm achieved a clear/almost clear score compared to the vehicle arm of AD-302</w:t>
      </w:r>
      <w:r w:rsidR="005802E9">
        <w:t xml:space="preserve">. </w:t>
      </w:r>
      <w:r w:rsidRPr="005802E9">
        <w:t>This numerical trend was consistent with outcomes based on results from the pre-specified outcomes. Based on these results, more patients in the vehicle arm of AD-301 achieved an ISGA of 0 or 1 (38.3%) compared with the vehicle arm of AD-302 (28%). This was consistent with moderate statistical heterogeneity in the meta-analysed results of these trials, reasons for which were not explored in the resubmission.</w:t>
      </w:r>
    </w:p>
    <w:p w:rsidR="001D59EF" w:rsidRPr="005802E9" w:rsidRDefault="001D59EF" w:rsidP="001D59EF">
      <w:pPr>
        <w:pStyle w:val="ExecSumBodyText"/>
      </w:pPr>
      <w:r w:rsidRPr="005802E9">
        <w:t>There were more patients with missing data in the vehicle arms compared with the crisaborole arms, which was consistent with higher discontinuation rates for the vehicle versus crisaborole (AD-301, 12.1% vs 5.9%; AD-302, 14.8% vs 6.0%). The difference was primarily driven by subject/patient/guardian withdrawal. Specific reasons for these withdrawals were not reported.</w:t>
      </w:r>
    </w:p>
    <w:p w:rsidR="001D59EF" w:rsidRPr="005802E9" w:rsidRDefault="001D59EF" w:rsidP="001D59EF">
      <w:pPr>
        <w:pStyle w:val="ExecSumBodyText"/>
      </w:pPr>
      <w:r w:rsidRPr="005802E9">
        <w:t xml:space="preserve">The resubmission also presented the ISGA scores at Day 29 of each 28-day treatment period in the subgroup of patients from the parent trials, AD-301 and AD-302, who </w:t>
      </w:r>
      <w:r w:rsidRPr="005802E9">
        <w:lastRenderedPageBreak/>
        <w:t>subsequently enrol in the AD-303 safety extension study, representing the movement of patients across the symptom severity scale over time</w:t>
      </w:r>
      <w:r w:rsidR="00703BF2" w:rsidRPr="005802E9">
        <w:t xml:space="preserve">. </w:t>
      </w:r>
    </w:p>
    <w:p w:rsidR="003D0AC2" w:rsidRPr="005802E9" w:rsidRDefault="003D0AC2" w:rsidP="00314C99">
      <w:pPr>
        <w:pStyle w:val="TableFigureFooter"/>
      </w:pPr>
    </w:p>
    <w:p w:rsidR="003D0AC2" w:rsidRPr="00AA3915" w:rsidRDefault="003D0AC2" w:rsidP="003D0AC2">
      <w:pPr>
        <w:pStyle w:val="Tableheadingrow"/>
        <w:rPr>
          <w:lang w:val="en-AU"/>
        </w:rPr>
      </w:pPr>
      <w:r w:rsidRPr="005802E9">
        <w:rPr>
          <w:lang w:val="en-AU"/>
        </w:rPr>
        <w:t>Table 9: Proportion of patients with ISGA scores for each cycle</w:t>
      </w:r>
      <w:r w:rsidR="00703BF2" w:rsidRPr="005802E9">
        <w:rPr>
          <w:lang w:val="en-AU"/>
        </w:rPr>
        <w:t xml:space="preserve"> and ISGA scores at the end of cycle </w:t>
      </w:r>
      <w:r w:rsidRPr="005802E9">
        <w:rPr>
          <w:lang w:val="en-AU"/>
        </w:rPr>
        <w:t>at Day 29 after each 28-day treatment cycle based on data from AD-301, AD-302 and AD-303 extension study</w:t>
      </w:r>
      <w:r w:rsidR="00AA3915">
        <w:rPr>
          <w:lang w:val="en-AU"/>
        </w:rPr>
        <w:t>*</w:t>
      </w:r>
    </w:p>
    <w:tbl>
      <w:tblPr>
        <w:tblStyle w:val="TableGrid"/>
        <w:tblW w:w="5000" w:type="pct"/>
        <w:tblLook w:val="04A0" w:firstRow="1" w:lastRow="0" w:firstColumn="1" w:lastColumn="0" w:noHBand="0" w:noVBand="1"/>
        <w:tblCaption w:val="Table 9: Proportion of patients with ISGA scores for each cycle and ISGA scores at the end of cycle at Day 29 after each 28-day treatment cycle based on data from AD-301, AD-302 and AD-303 extension study*"/>
      </w:tblPr>
      <w:tblGrid>
        <w:gridCol w:w="1272"/>
        <w:gridCol w:w="1106"/>
        <w:gridCol w:w="1106"/>
        <w:gridCol w:w="1107"/>
        <w:gridCol w:w="1105"/>
        <w:gridCol w:w="1107"/>
        <w:gridCol w:w="1105"/>
        <w:gridCol w:w="1109"/>
      </w:tblGrid>
      <w:tr w:rsidR="00703BF2" w:rsidRPr="005802E9" w:rsidTr="006622FA">
        <w:trPr>
          <w:cantSplit/>
          <w:tblHeader/>
        </w:trPr>
        <w:tc>
          <w:tcPr>
            <w:tcW w:w="705" w:type="pct"/>
            <w:vMerge w:val="restart"/>
            <w:shd w:val="clear" w:color="auto" w:fill="auto"/>
          </w:tcPr>
          <w:p w:rsidR="00703BF2" w:rsidRPr="005802E9" w:rsidRDefault="00703BF2" w:rsidP="00703BF2">
            <w:pPr>
              <w:pStyle w:val="TableHeading0"/>
              <w:widowControl w:val="0"/>
              <w:rPr>
                <w:rFonts w:ascii="Arial Narrow" w:hAnsi="Arial Narrow"/>
                <w:sz w:val="20"/>
                <w:szCs w:val="20"/>
              </w:rPr>
            </w:pPr>
            <w:r w:rsidRPr="005802E9">
              <w:rPr>
                <w:rFonts w:ascii="Arial Narrow" w:hAnsi="Arial Narrow"/>
                <w:sz w:val="20"/>
                <w:szCs w:val="20"/>
              </w:rPr>
              <w:t>ISGA at start of cycle</w:t>
            </w:r>
          </w:p>
        </w:tc>
        <w:tc>
          <w:tcPr>
            <w:tcW w:w="4295" w:type="pct"/>
            <w:gridSpan w:val="7"/>
            <w:shd w:val="clear" w:color="auto" w:fill="auto"/>
          </w:tcPr>
          <w:p w:rsidR="00703BF2" w:rsidRPr="005802E9" w:rsidRDefault="00703BF2" w:rsidP="00703BF2">
            <w:pPr>
              <w:pStyle w:val="TableHeading0"/>
              <w:widowControl w:val="0"/>
              <w:rPr>
                <w:rFonts w:ascii="Arial Narrow" w:hAnsi="Arial Narrow"/>
                <w:sz w:val="20"/>
                <w:szCs w:val="20"/>
              </w:rPr>
            </w:pPr>
            <w:r w:rsidRPr="005802E9">
              <w:rPr>
                <w:rFonts w:ascii="Arial Narrow" w:hAnsi="Arial Narrow"/>
                <w:sz w:val="20"/>
                <w:szCs w:val="20"/>
              </w:rPr>
              <w:t>Patients ISGA Score at end of cycle n(%)</w:t>
            </w:r>
          </w:p>
        </w:tc>
      </w:tr>
      <w:tr w:rsidR="00703BF2" w:rsidRPr="005802E9" w:rsidTr="006622FA">
        <w:trPr>
          <w:cantSplit/>
          <w:tblHeader/>
        </w:trPr>
        <w:tc>
          <w:tcPr>
            <w:tcW w:w="705" w:type="pct"/>
            <w:vMerge/>
            <w:shd w:val="clear" w:color="auto" w:fill="auto"/>
          </w:tcPr>
          <w:p w:rsidR="00703BF2" w:rsidRPr="005802E9" w:rsidRDefault="00703BF2" w:rsidP="00703BF2">
            <w:pPr>
              <w:pStyle w:val="TableHeading0"/>
              <w:widowControl w:val="0"/>
              <w:rPr>
                <w:rFonts w:ascii="Arial Narrow" w:hAnsi="Arial Narrow"/>
                <w:sz w:val="20"/>
                <w:szCs w:val="20"/>
              </w:rPr>
            </w:pPr>
          </w:p>
        </w:tc>
        <w:tc>
          <w:tcPr>
            <w:tcW w:w="613" w:type="pct"/>
            <w:shd w:val="clear" w:color="auto" w:fill="auto"/>
          </w:tcPr>
          <w:p w:rsidR="00703BF2" w:rsidRPr="005802E9" w:rsidRDefault="00703BF2" w:rsidP="00703BF2">
            <w:pPr>
              <w:pStyle w:val="TableHeading0"/>
              <w:widowControl w:val="0"/>
              <w:rPr>
                <w:rFonts w:ascii="Arial Narrow" w:hAnsi="Arial Narrow"/>
                <w:sz w:val="20"/>
                <w:szCs w:val="20"/>
              </w:rPr>
            </w:pPr>
            <w:r w:rsidRPr="005802E9">
              <w:rPr>
                <w:rFonts w:ascii="Arial Narrow" w:hAnsi="Arial Narrow"/>
                <w:sz w:val="20"/>
                <w:szCs w:val="20"/>
              </w:rPr>
              <w:t>0</w:t>
            </w:r>
          </w:p>
        </w:tc>
        <w:tc>
          <w:tcPr>
            <w:tcW w:w="613" w:type="pct"/>
            <w:shd w:val="clear" w:color="auto" w:fill="auto"/>
          </w:tcPr>
          <w:p w:rsidR="00703BF2" w:rsidRPr="005802E9" w:rsidRDefault="00703BF2" w:rsidP="00703BF2">
            <w:pPr>
              <w:pStyle w:val="TableHeading0"/>
              <w:widowControl w:val="0"/>
              <w:rPr>
                <w:rFonts w:ascii="Arial Narrow" w:hAnsi="Arial Narrow"/>
                <w:sz w:val="20"/>
                <w:szCs w:val="20"/>
              </w:rPr>
            </w:pPr>
            <w:r w:rsidRPr="005802E9">
              <w:rPr>
                <w:rFonts w:ascii="Arial Narrow" w:hAnsi="Arial Narrow"/>
                <w:sz w:val="20"/>
                <w:szCs w:val="20"/>
              </w:rPr>
              <w:t>1</w:t>
            </w:r>
          </w:p>
        </w:tc>
        <w:tc>
          <w:tcPr>
            <w:tcW w:w="614" w:type="pct"/>
            <w:shd w:val="clear" w:color="auto" w:fill="auto"/>
          </w:tcPr>
          <w:p w:rsidR="00703BF2" w:rsidRPr="005802E9" w:rsidRDefault="00703BF2" w:rsidP="00703BF2">
            <w:pPr>
              <w:pStyle w:val="TableHeading0"/>
              <w:widowControl w:val="0"/>
              <w:rPr>
                <w:rFonts w:ascii="Arial Narrow" w:hAnsi="Arial Narrow"/>
                <w:sz w:val="20"/>
                <w:szCs w:val="20"/>
              </w:rPr>
            </w:pPr>
            <w:r w:rsidRPr="005802E9">
              <w:rPr>
                <w:rFonts w:ascii="Arial Narrow" w:hAnsi="Arial Narrow"/>
                <w:sz w:val="20"/>
                <w:szCs w:val="20"/>
              </w:rPr>
              <w:t>2</w:t>
            </w:r>
          </w:p>
        </w:tc>
        <w:tc>
          <w:tcPr>
            <w:tcW w:w="613" w:type="pct"/>
            <w:shd w:val="clear" w:color="auto" w:fill="auto"/>
          </w:tcPr>
          <w:p w:rsidR="00703BF2" w:rsidRPr="005802E9" w:rsidRDefault="00703BF2" w:rsidP="00703BF2">
            <w:pPr>
              <w:pStyle w:val="TableHeading0"/>
              <w:widowControl w:val="0"/>
              <w:rPr>
                <w:rFonts w:ascii="Arial Narrow" w:hAnsi="Arial Narrow"/>
                <w:sz w:val="20"/>
                <w:szCs w:val="20"/>
              </w:rPr>
            </w:pPr>
            <w:r w:rsidRPr="005802E9">
              <w:rPr>
                <w:rFonts w:ascii="Arial Narrow" w:hAnsi="Arial Narrow"/>
                <w:sz w:val="20"/>
                <w:szCs w:val="20"/>
              </w:rPr>
              <w:t>3</w:t>
            </w:r>
          </w:p>
        </w:tc>
        <w:tc>
          <w:tcPr>
            <w:tcW w:w="614" w:type="pct"/>
            <w:shd w:val="clear" w:color="auto" w:fill="auto"/>
          </w:tcPr>
          <w:p w:rsidR="00703BF2" w:rsidRPr="005802E9" w:rsidRDefault="00703BF2" w:rsidP="00703BF2">
            <w:pPr>
              <w:pStyle w:val="TableHeading0"/>
              <w:widowControl w:val="0"/>
              <w:rPr>
                <w:rFonts w:ascii="Arial Narrow" w:hAnsi="Arial Narrow"/>
                <w:sz w:val="20"/>
                <w:szCs w:val="20"/>
              </w:rPr>
            </w:pPr>
            <w:r w:rsidRPr="005802E9">
              <w:rPr>
                <w:rFonts w:ascii="Arial Narrow" w:hAnsi="Arial Narrow"/>
                <w:sz w:val="20"/>
                <w:szCs w:val="20"/>
              </w:rPr>
              <w:t>4</w:t>
            </w:r>
          </w:p>
        </w:tc>
        <w:tc>
          <w:tcPr>
            <w:tcW w:w="613" w:type="pct"/>
            <w:shd w:val="clear" w:color="auto" w:fill="auto"/>
          </w:tcPr>
          <w:p w:rsidR="00703BF2" w:rsidRPr="005802E9" w:rsidRDefault="00703BF2" w:rsidP="00703BF2">
            <w:pPr>
              <w:pStyle w:val="TableHeading0"/>
              <w:widowControl w:val="0"/>
              <w:rPr>
                <w:rFonts w:ascii="Arial Narrow" w:hAnsi="Arial Narrow"/>
                <w:sz w:val="20"/>
                <w:szCs w:val="20"/>
              </w:rPr>
            </w:pPr>
            <w:r w:rsidRPr="005802E9">
              <w:rPr>
                <w:rFonts w:ascii="Arial Narrow" w:hAnsi="Arial Narrow"/>
                <w:sz w:val="20"/>
                <w:szCs w:val="20"/>
              </w:rPr>
              <w:t>DC/EOS</w:t>
            </w:r>
          </w:p>
        </w:tc>
        <w:tc>
          <w:tcPr>
            <w:tcW w:w="614" w:type="pct"/>
            <w:shd w:val="clear" w:color="auto" w:fill="auto"/>
          </w:tcPr>
          <w:p w:rsidR="00703BF2" w:rsidRPr="005802E9" w:rsidRDefault="00703BF2" w:rsidP="00703BF2">
            <w:pPr>
              <w:pStyle w:val="TableHeading0"/>
              <w:widowControl w:val="0"/>
              <w:rPr>
                <w:rFonts w:ascii="Arial Narrow" w:hAnsi="Arial Narrow"/>
                <w:sz w:val="20"/>
                <w:szCs w:val="20"/>
              </w:rPr>
            </w:pPr>
            <w:r w:rsidRPr="005802E9">
              <w:rPr>
                <w:rFonts w:ascii="Arial Narrow" w:hAnsi="Arial Narrow"/>
                <w:sz w:val="20"/>
                <w:szCs w:val="20"/>
              </w:rPr>
              <w:t>Total</w:t>
            </w:r>
          </w:p>
        </w:tc>
      </w:tr>
      <w:tr w:rsidR="00703BF2" w:rsidRPr="005802E9" w:rsidTr="00703BF2">
        <w:trPr>
          <w:cantSplit/>
          <w:trHeight w:val="288"/>
        </w:trPr>
        <w:tc>
          <w:tcPr>
            <w:tcW w:w="5000" w:type="pct"/>
            <w:gridSpan w:val="8"/>
            <w:noWrap/>
            <w:hideMark/>
          </w:tcPr>
          <w:p w:rsidR="00703BF2" w:rsidRPr="005802E9" w:rsidRDefault="00703BF2" w:rsidP="00703BF2">
            <w:pPr>
              <w:pStyle w:val="TableText"/>
              <w:keepNext w:val="0"/>
              <w:widowControl w:val="0"/>
              <w:rPr>
                <w:szCs w:val="20"/>
              </w:rPr>
            </w:pPr>
            <w:r w:rsidRPr="005802E9">
              <w:rPr>
                <w:szCs w:val="20"/>
              </w:rPr>
              <w:t>Cycle 2</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0</w:t>
            </w:r>
          </w:p>
        </w:tc>
        <w:tc>
          <w:tcPr>
            <w:tcW w:w="613" w:type="pct"/>
            <w:noWrap/>
            <w:hideMark/>
          </w:tcPr>
          <w:p w:rsidR="00703BF2" w:rsidRPr="005802E9" w:rsidRDefault="00703BF2" w:rsidP="00703BF2">
            <w:pPr>
              <w:pStyle w:val="TableText"/>
              <w:keepNext w:val="0"/>
              <w:widowControl w:val="0"/>
              <w:rPr>
                <w:szCs w:val="20"/>
              </w:rPr>
            </w:pPr>
            <w:r w:rsidRPr="005802E9">
              <w:rPr>
                <w:szCs w:val="20"/>
              </w:rPr>
              <w:t>12 (38)</w:t>
            </w:r>
          </w:p>
        </w:tc>
        <w:tc>
          <w:tcPr>
            <w:tcW w:w="613" w:type="pct"/>
            <w:noWrap/>
            <w:hideMark/>
          </w:tcPr>
          <w:p w:rsidR="00703BF2" w:rsidRPr="005802E9" w:rsidRDefault="00703BF2" w:rsidP="00703BF2">
            <w:pPr>
              <w:pStyle w:val="TableText"/>
              <w:keepNext w:val="0"/>
              <w:widowControl w:val="0"/>
              <w:rPr>
                <w:szCs w:val="20"/>
              </w:rPr>
            </w:pPr>
            <w:r w:rsidRPr="005802E9">
              <w:rPr>
                <w:szCs w:val="20"/>
              </w:rPr>
              <w:t>12 (38)</w:t>
            </w:r>
          </w:p>
        </w:tc>
        <w:tc>
          <w:tcPr>
            <w:tcW w:w="614" w:type="pct"/>
            <w:noWrap/>
            <w:hideMark/>
          </w:tcPr>
          <w:p w:rsidR="00703BF2" w:rsidRPr="005802E9" w:rsidRDefault="00703BF2" w:rsidP="00703BF2">
            <w:pPr>
              <w:pStyle w:val="TableText"/>
              <w:keepNext w:val="0"/>
              <w:widowControl w:val="0"/>
              <w:rPr>
                <w:szCs w:val="20"/>
              </w:rPr>
            </w:pPr>
            <w:r w:rsidRPr="005802E9">
              <w:rPr>
                <w:szCs w:val="20"/>
              </w:rPr>
              <w:t>6 (19)</w:t>
            </w:r>
          </w:p>
        </w:tc>
        <w:tc>
          <w:tcPr>
            <w:tcW w:w="613" w:type="pct"/>
            <w:noWrap/>
            <w:hideMark/>
          </w:tcPr>
          <w:p w:rsidR="00703BF2" w:rsidRPr="005802E9" w:rsidRDefault="00703BF2" w:rsidP="00703BF2">
            <w:pPr>
              <w:pStyle w:val="TableText"/>
              <w:keepNext w:val="0"/>
              <w:widowControl w:val="0"/>
              <w:rPr>
                <w:szCs w:val="20"/>
              </w:rPr>
            </w:pPr>
            <w:r w:rsidRPr="005802E9">
              <w:rPr>
                <w:szCs w:val="20"/>
              </w:rPr>
              <w:t>1 (3)</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1 (3)</w:t>
            </w:r>
          </w:p>
        </w:tc>
        <w:tc>
          <w:tcPr>
            <w:tcW w:w="614" w:type="pct"/>
            <w:noWrap/>
            <w:hideMark/>
          </w:tcPr>
          <w:p w:rsidR="00703BF2" w:rsidRPr="005802E9" w:rsidRDefault="00703BF2" w:rsidP="00703BF2">
            <w:pPr>
              <w:pStyle w:val="TableText"/>
              <w:keepNext w:val="0"/>
              <w:widowControl w:val="0"/>
              <w:rPr>
                <w:szCs w:val="20"/>
              </w:rPr>
            </w:pPr>
            <w:r w:rsidRPr="005802E9">
              <w:rPr>
                <w:szCs w:val="20"/>
              </w:rPr>
              <w:t>32</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1</w:t>
            </w:r>
          </w:p>
        </w:tc>
        <w:tc>
          <w:tcPr>
            <w:tcW w:w="613" w:type="pct"/>
            <w:noWrap/>
            <w:hideMark/>
          </w:tcPr>
          <w:p w:rsidR="00703BF2" w:rsidRPr="005802E9" w:rsidRDefault="00703BF2" w:rsidP="00703BF2">
            <w:pPr>
              <w:pStyle w:val="TableText"/>
              <w:keepNext w:val="0"/>
              <w:widowControl w:val="0"/>
              <w:rPr>
                <w:szCs w:val="20"/>
              </w:rPr>
            </w:pPr>
            <w:r w:rsidRPr="005802E9">
              <w:rPr>
                <w:szCs w:val="20"/>
              </w:rPr>
              <w:t>7 (14)</w:t>
            </w:r>
          </w:p>
        </w:tc>
        <w:tc>
          <w:tcPr>
            <w:tcW w:w="613" w:type="pct"/>
            <w:noWrap/>
            <w:hideMark/>
          </w:tcPr>
          <w:p w:rsidR="00703BF2" w:rsidRPr="005802E9" w:rsidRDefault="00703BF2" w:rsidP="00703BF2">
            <w:pPr>
              <w:pStyle w:val="TableText"/>
              <w:keepNext w:val="0"/>
              <w:widowControl w:val="0"/>
              <w:rPr>
                <w:szCs w:val="20"/>
              </w:rPr>
            </w:pPr>
            <w:r w:rsidRPr="005802E9">
              <w:rPr>
                <w:szCs w:val="20"/>
              </w:rPr>
              <w:t>20 (41)</w:t>
            </w:r>
          </w:p>
        </w:tc>
        <w:tc>
          <w:tcPr>
            <w:tcW w:w="614" w:type="pct"/>
            <w:noWrap/>
            <w:hideMark/>
          </w:tcPr>
          <w:p w:rsidR="00703BF2" w:rsidRPr="005802E9" w:rsidRDefault="00703BF2" w:rsidP="00703BF2">
            <w:pPr>
              <w:pStyle w:val="TableText"/>
              <w:keepNext w:val="0"/>
              <w:widowControl w:val="0"/>
              <w:rPr>
                <w:szCs w:val="20"/>
              </w:rPr>
            </w:pPr>
            <w:r w:rsidRPr="005802E9">
              <w:rPr>
                <w:szCs w:val="20"/>
              </w:rPr>
              <w:t>19 (39)</w:t>
            </w:r>
          </w:p>
        </w:tc>
        <w:tc>
          <w:tcPr>
            <w:tcW w:w="613" w:type="pct"/>
            <w:noWrap/>
            <w:hideMark/>
          </w:tcPr>
          <w:p w:rsidR="00703BF2" w:rsidRPr="005802E9" w:rsidRDefault="00703BF2" w:rsidP="00703BF2">
            <w:pPr>
              <w:pStyle w:val="TableText"/>
              <w:keepNext w:val="0"/>
              <w:widowControl w:val="0"/>
              <w:rPr>
                <w:szCs w:val="20"/>
              </w:rPr>
            </w:pPr>
            <w:r w:rsidRPr="005802E9">
              <w:rPr>
                <w:szCs w:val="20"/>
              </w:rPr>
              <w:t>3 (6)</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49</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2</w:t>
            </w:r>
          </w:p>
        </w:tc>
        <w:tc>
          <w:tcPr>
            <w:tcW w:w="613" w:type="pct"/>
            <w:noWrap/>
            <w:hideMark/>
          </w:tcPr>
          <w:p w:rsidR="00703BF2" w:rsidRPr="005802E9" w:rsidRDefault="00703BF2" w:rsidP="00703BF2">
            <w:pPr>
              <w:pStyle w:val="TableText"/>
              <w:keepNext w:val="0"/>
              <w:widowControl w:val="0"/>
              <w:rPr>
                <w:szCs w:val="20"/>
              </w:rPr>
            </w:pPr>
            <w:r w:rsidRPr="005802E9">
              <w:rPr>
                <w:szCs w:val="20"/>
              </w:rPr>
              <w:t>29 (13)</w:t>
            </w:r>
          </w:p>
        </w:tc>
        <w:tc>
          <w:tcPr>
            <w:tcW w:w="613" w:type="pct"/>
            <w:noWrap/>
            <w:hideMark/>
          </w:tcPr>
          <w:p w:rsidR="00703BF2" w:rsidRPr="005802E9" w:rsidRDefault="00703BF2" w:rsidP="00703BF2">
            <w:pPr>
              <w:pStyle w:val="TableText"/>
              <w:keepNext w:val="0"/>
              <w:widowControl w:val="0"/>
              <w:rPr>
                <w:szCs w:val="20"/>
              </w:rPr>
            </w:pPr>
            <w:r w:rsidRPr="005802E9">
              <w:rPr>
                <w:szCs w:val="20"/>
              </w:rPr>
              <w:t>36 (17)</w:t>
            </w:r>
          </w:p>
        </w:tc>
        <w:tc>
          <w:tcPr>
            <w:tcW w:w="614" w:type="pct"/>
            <w:noWrap/>
            <w:hideMark/>
          </w:tcPr>
          <w:p w:rsidR="00703BF2" w:rsidRPr="005802E9" w:rsidRDefault="00703BF2" w:rsidP="00703BF2">
            <w:pPr>
              <w:pStyle w:val="TableText"/>
              <w:keepNext w:val="0"/>
              <w:widowControl w:val="0"/>
              <w:rPr>
                <w:szCs w:val="20"/>
              </w:rPr>
            </w:pPr>
            <w:r w:rsidRPr="005802E9">
              <w:rPr>
                <w:szCs w:val="20"/>
              </w:rPr>
              <w:t>115 (53)</w:t>
            </w:r>
          </w:p>
        </w:tc>
        <w:tc>
          <w:tcPr>
            <w:tcW w:w="613" w:type="pct"/>
            <w:noWrap/>
            <w:hideMark/>
          </w:tcPr>
          <w:p w:rsidR="00703BF2" w:rsidRPr="005802E9" w:rsidRDefault="00703BF2" w:rsidP="00703BF2">
            <w:pPr>
              <w:pStyle w:val="TableText"/>
              <w:keepNext w:val="0"/>
              <w:widowControl w:val="0"/>
              <w:rPr>
                <w:szCs w:val="20"/>
              </w:rPr>
            </w:pPr>
            <w:r w:rsidRPr="005802E9">
              <w:rPr>
                <w:szCs w:val="20"/>
              </w:rPr>
              <w:t>28 (13)</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10 (5)</w:t>
            </w:r>
          </w:p>
        </w:tc>
        <w:tc>
          <w:tcPr>
            <w:tcW w:w="614" w:type="pct"/>
            <w:noWrap/>
            <w:hideMark/>
          </w:tcPr>
          <w:p w:rsidR="00703BF2" w:rsidRPr="005802E9" w:rsidRDefault="00703BF2" w:rsidP="00703BF2">
            <w:pPr>
              <w:pStyle w:val="TableText"/>
              <w:keepNext w:val="0"/>
              <w:widowControl w:val="0"/>
              <w:rPr>
                <w:szCs w:val="20"/>
              </w:rPr>
            </w:pPr>
            <w:r w:rsidRPr="005802E9">
              <w:rPr>
                <w:szCs w:val="20"/>
              </w:rPr>
              <w:t>218</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3</w:t>
            </w:r>
          </w:p>
        </w:tc>
        <w:tc>
          <w:tcPr>
            <w:tcW w:w="613" w:type="pct"/>
            <w:noWrap/>
            <w:hideMark/>
          </w:tcPr>
          <w:p w:rsidR="00703BF2" w:rsidRPr="005802E9" w:rsidRDefault="00703BF2" w:rsidP="00703BF2">
            <w:pPr>
              <w:pStyle w:val="TableText"/>
              <w:keepNext w:val="0"/>
              <w:widowControl w:val="0"/>
              <w:rPr>
                <w:szCs w:val="20"/>
              </w:rPr>
            </w:pPr>
            <w:r w:rsidRPr="005802E9">
              <w:rPr>
                <w:szCs w:val="20"/>
              </w:rPr>
              <w:t>7 (4)</w:t>
            </w:r>
          </w:p>
        </w:tc>
        <w:tc>
          <w:tcPr>
            <w:tcW w:w="613" w:type="pct"/>
            <w:noWrap/>
            <w:hideMark/>
          </w:tcPr>
          <w:p w:rsidR="00703BF2" w:rsidRPr="005802E9" w:rsidRDefault="00703BF2" w:rsidP="00703BF2">
            <w:pPr>
              <w:pStyle w:val="TableText"/>
              <w:keepNext w:val="0"/>
              <w:widowControl w:val="0"/>
              <w:rPr>
                <w:szCs w:val="20"/>
              </w:rPr>
            </w:pPr>
            <w:r w:rsidRPr="005802E9">
              <w:rPr>
                <w:szCs w:val="20"/>
              </w:rPr>
              <w:t>17 (9)</w:t>
            </w:r>
          </w:p>
        </w:tc>
        <w:tc>
          <w:tcPr>
            <w:tcW w:w="614" w:type="pct"/>
            <w:noWrap/>
            <w:hideMark/>
          </w:tcPr>
          <w:p w:rsidR="00703BF2" w:rsidRPr="005802E9" w:rsidRDefault="00703BF2" w:rsidP="00703BF2">
            <w:pPr>
              <w:pStyle w:val="TableText"/>
              <w:keepNext w:val="0"/>
              <w:widowControl w:val="0"/>
              <w:rPr>
                <w:szCs w:val="20"/>
              </w:rPr>
            </w:pPr>
            <w:r w:rsidRPr="005802E9">
              <w:rPr>
                <w:szCs w:val="20"/>
              </w:rPr>
              <w:t>84 (44)</w:t>
            </w:r>
          </w:p>
        </w:tc>
        <w:tc>
          <w:tcPr>
            <w:tcW w:w="613" w:type="pct"/>
            <w:noWrap/>
            <w:hideMark/>
          </w:tcPr>
          <w:p w:rsidR="00703BF2" w:rsidRPr="005802E9" w:rsidRDefault="00703BF2" w:rsidP="00703BF2">
            <w:pPr>
              <w:pStyle w:val="TableText"/>
              <w:keepNext w:val="0"/>
              <w:widowControl w:val="0"/>
              <w:rPr>
                <w:szCs w:val="20"/>
              </w:rPr>
            </w:pPr>
            <w:r w:rsidRPr="005802E9">
              <w:rPr>
                <w:szCs w:val="20"/>
              </w:rPr>
              <w:t>66 (34)</w:t>
            </w:r>
          </w:p>
        </w:tc>
        <w:tc>
          <w:tcPr>
            <w:tcW w:w="614" w:type="pct"/>
            <w:noWrap/>
            <w:hideMark/>
          </w:tcPr>
          <w:p w:rsidR="00703BF2" w:rsidRPr="005802E9" w:rsidRDefault="00703BF2" w:rsidP="00703BF2">
            <w:pPr>
              <w:pStyle w:val="TableText"/>
              <w:keepNext w:val="0"/>
              <w:widowControl w:val="0"/>
              <w:rPr>
                <w:szCs w:val="20"/>
              </w:rPr>
            </w:pPr>
            <w:r w:rsidRPr="005802E9">
              <w:rPr>
                <w:szCs w:val="20"/>
              </w:rPr>
              <w:t>4 (2)</w:t>
            </w:r>
          </w:p>
        </w:tc>
        <w:tc>
          <w:tcPr>
            <w:tcW w:w="613" w:type="pct"/>
            <w:noWrap/>
            <w:hideMark/>
          </w:tcPr>
          <w:p w:rsidR="00703BF2" w:rsidRPr="005802E9" w:rsidRDefault="00703BF2" w:rsidP="00703BF2">
            <w:pPr>
              <w:pStyle w:val="TableText"/>
              <w:keepNext w:val="0"/>
              <w:widowControl w:val="0"/>
              <w:rPr>
                <w:szCs w:val="20"/>
              </w:rPr>
            </w:pPr>
            <w:r w:rsidRPr="005802E9">
              <w:rPr>
                <w:szCs w:val="20"/>
              </w:rPr>
              <w:t>15 (8)</w:t>
            </w:r>
          </w:p>
        </w:tc>
        <w:tc>
          <w:tcPr>
            <w:tcW w:w="614" w:type="pct"/>
            <w:noWrap/>
            <w:hideMark/>
          </w:tcPr>
          <w:p w:rsidR="00703BF2" w:rsidRPr="005802E9" w:rsidRDefault="00703BF2" w:rsidP="00703BF2">
            <w:pPr>
              <w:pStyle w:val="TableText"/>
              <w:keepNext w:val="0"/>
              <w:widowControl w:val="0"/>
              <w:rPr>
                <w:szCs w:val="20"/>
              </w:rPr>
            </w:pPr>
            <w:r w:rsidRPr="005802E9">
              <w:rPr>
                <w:szCs w:val="20"/>
              </w:rPr>
              <w:t>193</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4</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1 (8)</w:t>
            </w:r>
          </w:p>
        </w:tc>
        <w:tc>
          <w:tcPr>
            <w:tcW w:w="613" w:type="pct"/>
            <w:noWrap/>
            <w:hideMark/>
          </w:tcPr>
          <w:p w:rsidR="00703BF2" w:rsidRPr="005802E9" w:rsidRDefault="00703BF2" w:rsidP="00703BF2">
            <w:pPr>
              <w:pStyle w:val="TableText"/>
              <w:keepNext w:val="0"/>
              <w:widowControl w:val="0"/>
              <w:rPr>
                <w:szCs w:val="20"/>
              </w:rPr>
            </w:pPr>
            <w:r w:rsidRPr="005802E9">
              <w:rPr>
                <w:szCs w:val="20"/>
              </w:rPr>
              <w:t>7 (58)</w:t>
            </w:r>
          </w:p>
        </w:tc>
        <w:tc>
          <w:tcPr>
            <w:tcW w:w="614" w:type="pct"/>
            <w:noWrap/>
            <w:hideMark/>
          </w:tcPr>
          <w:p w:rsidR="00703BF2" w:rsidRPr="005802E9" w:rsidRDefault="00703BF2" w:rsidP="00703BF2">
            <w:pPr>
              <w:pStyle w:val="TableText"/>
              <w:keepNext w:val="0"/>
              <w:widowControl w:val="0"/>
              <w:rPr>
                <w:szCs w:val="20"/>
              </w:rPr>
            </w:pPr>
            <w:r w:rsidRPr="005802E9">
              <w:rPr>
                <w:szCs w:val="20"/>
              </w:rPr>
              <w:t>2 (17)</w:t>
            </w:r>
          </w:p>
        </w:tc>
        <w:tc>
          <w:tcPr>
            <w:tcW w:w="613" w:type="pct"/>
            <w:noWrap/>
            <w:hideMark/>
          </w:tcPr>
          <w:p w:rsidR="00703BF2" w:rsidRPr="005802E9" w:rsidRDefault="00703BF2" w:rsidP="00703BF2">
            <w:pPr>
              <w:pStyle w:val="TableText"/>
              <w:keepNext w:val="0"/>
              <w:widowControl w:val="0"/>
              <w:rPr>
                <w:szCs w:val="20"/>
              </w:rPr>
            </w:pPr>
            <w:r w:rsidRPr="005802E9">
              <w:rPr>
                <w:szCs w:val="20"/>
              </w:rPr>
              <w:t>2 (17)</w:t>
            </w:r>
          </w:p>
        </w:tc>
        <w:tc>
          <w:tcPr>
            <w:tcW w:w="614" w:type="pct"/>
            <w:noWrap/>
            <w:hideMark/>
          </w:tcPr>
          <w:p w:rsidR="00703BF2" w:rsidRPr="005802E9" w:rsidRDefault="00703BF2" w:rsidP="00703BF2">
            <w:pPr>
              <w:pStyle w:val="TableText"/>
              <w:keepNext w:val="0"/>
              <w:widowControl w:val="0"/>
              <w:rPr>
                <w:szCs w:val="20"/>
              </w:rPr>
            </w:pPr>
            <w:r w:rsidRPr="005802E9">
              <w:rPr>
                <w:szCs w:val="20"/>
              </w:rPr>
              <w:t>12</w:t>
            </w:r>
          </w:p>
        </w:tc>
      </w:tr>
      <w:tr w:rsidR="00703BF2" w:rsidRPr="005802E9" w:rsidTr="00703BF2">
        <w:trPr>
          <w:cantSplit/>
          <w:trHeight w:val="288"/>
        </w:trPr>
        <w:tc>
          <w:tcPr>
            <w:tcW w:w="5000" w:type="pct"/>
            <w:gridSpan w:val="8"/>
            <w:noWrap/>
            <w:hideMark/>
          </w:tcPr>
          <w:p w:rsidR="00703BF2" w:rsidRPr="005802E9" w:rsidRDefault="00703BF2" w:rsidP="00703BF2">
            <w:pPr>
              <w:pStyle w:val="TableText"/>
              <w:keepNext w:val="0"/>
              <w:widowControl w:val="0"/>
              <w:rPr>
                <w:szCs w:val="20"/>
              </w:rPr>
            </w:pPr>
            <w:r w:rsidRPr="005802E9">
              <w:rPr>
                <w:szCs w:val="20"/>
              </w:rPr>
              <w:t>Cycle 3</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0</w:t>
            </w:r>
          </w:p>
        </w:tc>
        <w:tc>
          <w:tcPr>
            <w:tcW w:w="613" w:type="pct"/>
            <w:noWrap/>
            <w:hideMark/>
          </w:tcPr>
          <w:p w:rsidR="00703BF2" w:rsidRPr="005802E9" w:rsidRDefault="00703BF2" w:rsidP="00703BF2">
            <w:pPr>
              <w:pStyle w:val="TableText"/>
              <w:keepNext w:val="0"/>
              <w:widowControl w:val="0"/>
              <w:rPr>
                <w:szCs w:val="20"/>
              </w:rPr>
            </w:pPr>
            <w:r w:rsidRPr="005802E9">
              <w:rPr>
                <w:szCs w:val="20"/>
              </w:rPr>
              <w:t>20 (36)</w:t>
            </w:r>
          </w:p>
        </w:tc>
        <w:tc>
          <w:tcPr>
            <w:tcW w:w="613" w:type="pct"/>
            <w:noWrap/>
            <w:hideMark/>
          </w:tcPr>
          <w:p w:rsidR="00703BF2" w:rsidRPr="005802E9" w:rsidRDefault="00703BF2" w:rsidP="00703BF2">
            <w:pPr>
              <w:pStyle w:val="TableText"/>
              <w:keepNext w:val="0"/>
              <w:widowControl w:val="0"/>
              <w:rPr>
                <w:szCs w:val="20"/>
              </w:rPr>
            </w:pPr>
            <w:r w:rsidRPr="005802E9">
              <w:rPr>
                <w:szCs w:val="20"/>
              </w:rPr>
              <w:t>13 (24)</w:t>
            </w:r>
          </w:p>
        </w:tc>
        <w:tc>
          <w:tcPr>
            <w:tcW w:w="614" w:type="pct"/>
            <w:noWrap/>
            <w:hideMark/>
          </w:tcPr>
          <w:p w:rsidR="00703BF2" w:rsidRPr="005802E9" w:rsidRDefault="00703BF2" w:rsidP="00703BF2">
            <w:pPr>
              <w:pStyle w:val="TableText"/>
              <w:keepNext w:val="0"/>
              <w:widowControl w:val="0"/>
              <w:rPr>
                <w:szCs w:val="20"/>
              </w:rPr>
            </w:pPr>
            <w:r w:rsidRPr="005802E9">
              <w:rPr>
                <w:szCs w:val="20"/>
              </w:rPr>
              <w:t>20 (36)</w:t>
            </w:r>
          </w:p>
        </w:tc>
        <w:tc>
          <w:tcPr>
            <w:tcW w:w="613" w:type="pct"/>
            <w:noWrap/>
            <w:hideMark/>
          </w:tcPr>
          <w:p w:rsidR="00703BF2" w:rsidRPr="005802E9" w:rsidRDefault="00703BF2" w:rsidP="00703BF2">
            <w:pPr>
              <w:pStyle w:val="TableText"/>
              <w:keepNext w:val="0"/>
              <w:widowControl w:val="0"/>
              <w:rPr>
                <w:szCs w:val="20"/>
              </w:rPr>
            </w:pPr>
            <w:r w:rsidRPr="005802E9">
              <w:rPr>
                <w:szCs w:val="20"/>
              </w:rPr>
              <w:t>1 (2)</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1 (2)</w:t>
            </w:r>
          </w:p>
        </w:tc>
        <w:tc>
          <w:tcPr>
            <w:tcW w:w="614" w:type="pct"/>
            <w:noWrap/>
            <w:hideMark/>
          </w:tcPr>
          <w:p w:rsidR="00703BF2" w:rsidRPr="005802E9" w:rsidRDefault="00703BF2" w:rsidP="00703BF2">
            <w:pPr>
              <w:pStyle w:val="TableText"/>
              <w:keepNext w:val="0"/>
              <w:widowControl w:val="0"/>
              <w:rPr>
                <w:szCs w:val="20"/>
              </w:rPr>
            </w:pPr>
            <w:r w:rsidRPr="005802E9">
              <w:rPr>
                <w:szCs w:val="20"/>
              </w:rPr>
              <w:t>55</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1</w:t>
            </w:r>
          </w:p>
        </w:tc>
        <w:tc>
          <w:tcPr>
            <w:tcW w:w="613" w:type="pct"/>
            <w:noWrap/>
            <w:hideMark/>
          </w:tcPr>
          <w:p w:rsidR="00703BF2" w:rsidRPr="005802E9" w:rsidRDefault="00703BF2" w:rsidP="00703BF2">
            <w:pPr>
              <w:pStyle w:val="TableText"/>
              <w:keepNext w:val="0"/>
              <w:widowControl w:val="0"/>
              <w:rPr>
                <w:szCs w:val="20"/>
              </w:rPr>
            </w:pPr>
            <w:r w:rsidRPr="005802E9">
              <w:rPr>
                <w:szCs w:val="20"/>
              </w:rPr>
              <w:t>4 (5)</w:t>
            </w:r>
          </w:p>
        </w:tc>
        <w:tc>
          <w:tcPr>
            <w:tcW w:w="613" w:type="pct"/>
            <w:noWrap/>
            <w:hideMark/>
          </w:tcPr>
          <w:p w:rsidR="00703BF2" w:rsidRPr="005802E9" w:rsidRDefault="00703BF2" w:rsidP="00703BF2">
            <w:pPr>
              <w:pStyle w:val="TableText"/>
              <w:keepNext w:val="0"/>
              <w:widowControl w:val="0"/>
              <w:rPr>
                <w:szCs w:val="20"/>
              </w:rPr>
            </w:pPr>
            <w:r w:rsidRPr="005802E9">
              <w:rPr>
                <w:szCs w:val="20"/>
              </w:rPr>
              <w:t>40 (47)</w:t>
            </w:r>
          </w:p>
        </w:tc>
        <w:tc>
          <w:tcPr>
            <w:tcW w:w="614" w:type="pct"/>
            <w:noWrap/>
            <w:hideMark/>
          </w:tcPr>
          <w:p w:rsidR="00703BF2" w:rsidRPr="005802E9" w:rsidRDefault="00703BF2" w:rsidP="00703BF2">
            <w:pPr>
              <w:pStyle w:val="TableText"/>
              <w:keepNext w:val="0"/>
              <w:widowControl w:val="0"/>
              <w:rPr>
                <w:szCs w:val="20"/>
              </w:rPr>
            </w:pPr>
            <w:r w:rsidRPr="005802E9">
              <w:rPr>
                <w:szCs w:val="20"/>
              </w:rPr>
              <w:t>33 (39)</w:t>
            </w:r>
          </w:p>
        </w:tc>
        <w:tc>
          <w:tcPr>
            <w:tcW w:w="613" w:type="pct"/>
            <w:noWrap/>
            <w:hideMark/>
          </w:tcPr>
          <w:p w:rsidR="00703BF2" w:rsidRPr="005802E9" w:rsidRDefault="00703BF2" w:rsidP="00703BF2">
            <w:pPr>
              <w:pStyle w:val="TableText"/>
              <w:keepNext w:val="0"/>
              <w:widowControl w:val="0"/>
              <w:rPr>
                <w:szCs w:val="20"/>
              </w:rPr>
            </w:pPr>
            <w:r w:rsidRPr="005802E9">
              <w:rPr>
                <w:szCs w:val="20"/>
              </w:rPr>
              <w:t>5 (6)</w:t>
            </w:r>
          </w:p>
        </w:tc>
        <w:tc>
          <w:tcPr>
            <w:tcW w:w="614" w:type="pct"/>
            <w:noWrap/>
            <w:hideMark/>
          </w:tcPr>
          <w:p w:rsidR="00703BF2" w:rsidRPr="005802E9" w:rsidRDefault="00703BF2" w:rsidP="00703BF2">
            <w:pPr>
              <w:pStyle w:val="TableText"/>
              <w:keepNext w:val="0"/>
              <w:widowControl w:val="0"/>
              <w:rPr>
                <w:szCs w:val="20"/>
              </w:rPr>
            </w:pPr>
            <w:r w:rsidRPr="005802E9">
              <w:rPr>
                <w:szCs w:val="20"/>
              </w:rPr>
              <w:t>1 (1)</w:t>
            </w:r>
          </w:p>
        </w:tc>
        <w:tc>
          <w:tcPr>
            <w:tcW w:w="613" w:type="pct"/>
            <w:noWrap/>
            <w:hideMark/>
          </w:tcPr>
          <w:p w:rsidR="00703BF2" w:rsidRPr="005802E9" w:rsidRDefault="00703BF2" w:rsidP="00703BF2">
            <w:pPr>
              <w:pStyle w:val="TableText"/>
              <w:keepNext w:val="0"/>
              <w:widowControl w:val="0"/>
              <w:rPr>
                <w:szCs w:val="20"/>
              </w:rPr>
            </w:pPr>
            <w:r w:rsidRPr="005802E9">
              <w:rPr>
                <w:szCs w:val="20"/>
              </w:rPr>
              <w:t>2 (2)</w:t>
            </w:r>
          </w:p>
        </w:tc>
        <w:tc>
          <w:tcPr>
            <w:tcW w:w="614" w:type="pct"/>
            <w:noWrap/>
            <w:hideMark/>
          </w:tcPr>
          <w:p w:rsidR="00703BF2" w:rsidRPr="005802E9" w:rsidRDefault="00703BF2" w:rsidP="00703BF2">
            <w:pPr>
              <w:pStyle w:val="TableText"/>
              <w:keepNext w:val="0"/>
              <w:widowControl w:val="0"/>
              <w:rPr>
                <w:szCs w:val="20"/>
              </w:rPr>
            </w:pPr>
            <w:r w:rsidRPr="005802E9">
              <w:rPr>
                <w:szCs w:val="20"/>
              </w:rPr>
              <w:t>85</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2</w:t>
            </w:r>
          </w:p>
        </w:tc>
        <w:tc>
          <w:tcPr>
            <w:tcW w:w="613" w:type="pct"/>
            <w:noWrap/>
            <w:hideMark/>
          </w:tcPr>
          <w:p w:rsidR="00703BF2" w:rsidRPr="005802E9" w:rsidRDefault="00703BF2" w:rsidP="00703BF2">
            <w:pPr>
              <w:pStyle w:val="TableText"/>
              <w:keepNext w:val="0"/>
              <w:widowControl w:val="0"/>
              <w:rPr>
                <w:szCs w:val="20"/>
              </w:rPr>
            </w:pPr>
            <w:r w:rsidRPr="005802E9">
              <w:rPr>
                <w:szCs w:val="20"/>
              </w:rPr>
              <w:t>14 (6)</w:t>
            </w:r>
          </w:p>
        </w:tc>
        <w:tc>
          <w:tcPr>
            <w:tcW w:w="613" w:type="pct"/>
            <w:noWrap/>
            <w:hideMark/>
          </w:tcPr>
          <w:p w:rsidR="00703BF2" w:rsidRPr="005802E9" w:rsidRDefault="00703BF2" w:rsidP="00703BF2">
            <w:pPr>
              <w:pStyle w:val="TableText"/>
              <w:keepNext w:val="0"/>
              <w:widowControl w:val="0"/>
              <w:rPr>
                <w:szCs w:val="20"/>
              </w:rPr>
            </w:pPr>
            <w:r w:rsidRPr="005802E9">
              <w:rPr>
                <w:szCs w:val="20"/>
              </w:rPr>
              <w:t>45 (20)</w:t>
            </w:r>
          </w:p>
        </w:tc>
        <w:tc>
          <w:tcPr>
            <w:tcW w:w="614" w:type="pct"/>
            <w:noWrap/>
            <w:hideMark/>
          </w:tcPr>
          <w:p w:rsidR="00703BF2" w:rsidRPr="005802E9" w:rsidRDefault="00703BF2" w:rsidP="00703BF2">
            <w:pPr>
              <w:pStyle w:val="TableText"/>
              <w:keepNext w:val="0"/>
              <w:widowControl w:val="0"/>
              <w:rPr>
                <w:szCs w:val="20"/>
              </w:rPr>
            </w:pPr>
            <w:r w:rsidRPr="005802E9">
              <w:rPr>
                <w:szCs w:val="20"/>
              </w:rPr>
              <w:t>119 (53)</w:t>
            </w:r>
          </w:p>
        </w:tc>
        <w:tc>
          <w:tcPr>
            <w:tcW w:w="613" w:type="pct"/>
            <w:noWrap/>
            <w:hideMark/>
          </w:tcPr>
          <w:p w:rsidR="00703BF2" w:rsidRPr="005802E9" w:rsidRDefault="00703BF2" w:rsidP="00703BF2">
            <w:pPr>
              <w:pStyle w:val="TableText"/>
              <w:keepNext w:val="0"/>
              <w:widowControl w:val="0"/>
              <w:rPr>
                <w:szCs w:val="20"/>
              </w:rPr>
            </w:pPr>
            <w:r w:rsidRPr="005802E9">
              <w:rPr>
                <w:szCs w:val="20"/>
              </w:rPr>
              <w:t>39 (17)</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8 (4)</w:t>
            </w:r>
          </w:p>
        </w:tc>
        <w:tc>
          <w:tcPr>
            <w:tcW w:w="614" w:type="pct"/>
            <w:noWrap/>
            <w:hideMark/>
          </w:tcPr>
          <w:p w:rsidR="00703BF2" w:rsidRPr="005802E9" w:rsidRDefault="00703BF2" w:rsidP="00703BF2">
            <w:pPr>
              <w:pStyle w:val="TableText"/>
              <w:keepNext w:val="0"/>
              <w:widowControl w:val="0"/>
              <w:rPr>
                <w:szCs w:val="20"/>
              </w:rPr>
            </w:pPr>
            <w:r w:rsidRPr="005802E9">
              <w:rPr>
                <w:szCs w:val="20"/>
              </w:rPr>
              <w:t>225</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3</w:t>
            </w:r>
          </w:p>
        </w:tc>
        <w:tc>
          <w:tcPr>
            <w:tcW w:w="613" w:type="pct"/>
            <w:noWrap/>
            <w:hideMark/>
          </w:tcPr>
          <w:p w:rsidR="00703BF2" w:rsidRPr="005802E9" w:rsidRDefault="00703BF2" w:rsidP="00703BF2">
            <w:pPr>
              <w:pStyle w:val="TableText"/>
              <w:keepNext w:val="0"/>
              <w:widowControl w:val="0"/>
              <w:rPr>
                <w:szCs w:val="20"/>
              </w:rPr>
            </w:pPr>
            <w:r w:rsidRPr="005802E9">
              <w:rPr>
                <w:szCs w:val="20"/>
              </w:rPr>
              <w:t>2 (2)</w:t>
            </w:r>
          </w:p>
        </w:tc>
        <w:tc>
          <w:tcPr>
            <w:tcW w:w="613" w:type="pct"/>
            <w:noWrap/>
            <w:hideMark/>
          </w:tcPr>
          <w:p w:rsidR="00703BF2" w:rsidRPr="005802E9" w:rsidRDefault="00703BF2" w:rsidP="00703BF2">
            <w:pPr>
              <w:pStyle w:val="TableText"/>
              <w:keepNext w:val="0"/>
              <w:widowControl w:val="0"/>
              <w:rPr>
                <w:szCs w:val="20"/>
              </w:rPr>
            </w:pPr>
            <w:r w:rsidRPr="005802E9">
              <w:rPr>
                <w:szCs w:val="20"/>
              </w:rPr>
              <w:t>10 (10)</w:t>
            </w:r>
          </w:p>
        </w:tc>
        <w:tc>
          <w:tcPr>
            <w:tcW w:w="614" w:type="pct"/>
            <w:noWrap/>
            <w:hideMark/>
          </w:tcPr>
          <w:p w:rsidR="00703BF2" w:rsidRPr="005802E9" w:rsidRDefault="00703BF2" w:rsidP="00703BF2">
            <w:pPr>
              <w:pStyle w:val="TableText"/>
              <w:keepNext w:val="0"/>
              <w:widowControl w:val="0"/>
              <w:rPr>
                <w:szCs w:val="20"/>
              </w:rPr>
            </w:pPr>
            <w:r w:rsidRPr="005802E9">
              <w:rPr>
                <w:szCs w:val="20"/>
              </w:rPr>
              <w:t>41 (39)</w:t>
            </w:r>
          </w:p>
        </w:tc>
        <w:tc>
          <w:tcPr>
            <w:tcW w:w="613" w:type="pct"/>
            <w:noWrap/>
            <w:hideMark/>
          </w:tcPr>
          <w:p w:rsidR="00703BF2" w:rsidRPr="005802E9" w:rsidRDefault="00703BF2" w:rsidP="00703BF2">
            <w:pPr>
              <w:pStyle w:val="TableText"/>
              <w:keepNext w:val="0"/>
              <w:widowControl w:val="0"/>
              <w:rPr>
                <w:szCs w:val="20"/>
              </w:rPr>
            </w:pPr>
            <w:r w:rsidRPr="005802E9">
              <w:rPr>
                <w:szCs w:val="20"/>
              </w:rPr>
              <w:t>43 (41)</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9 (9)</w:t>
            </w:r>
          </w:p>
        </w:tc>
        <w:tc>
          <w:tcPr>
            <w:tcW w:w="614" w:type="pct"/>
            <w:noWrap/>
            <w:hideMark/>
          </w:tcPr>
          <w:p w:rsidR="00703BF2" w:rsidRPr="005802E9" w:rsidRDefault="00703BF2" w:rsidP="00703BF2">
            <w:pPr>
              <w:pStyle w:val="TableText"/>
              <w:keepNext w:val="0"/>
              <w:widowControl w:val="0"/>
              <w:rPr>
                <w:szCs w:val="20"/>
              </w:rPr>
            </w:pPr>
            <w:r w:rsidRPr="005802E9">
              <w:rPr>
                <w:szCs w:val="20"/>
              </w:rPr>
              <w:t>105</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4</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1 (17)</w:t>
            </w:r>
          </w:p>
        </w:tc>
        <w:tc>
          <w:tcPr>
            <w:tcW w:w="613" w:type="pct"/>
            <w:noWrap/>
            <w:hideMark/>
          </w:tcPr>
          <w:p w:rsidR="00703BF2" w:rsidRPr="005802E9" w:rsidRDefault="00703BF2" w:rsidP="00703BF2">
            <w:pPr>
              <w:pStyle w:val="TableText"/>
              <w:keepNext w:val="0"/>
              <w:widowControl w:val="0"/>
              <w:rPr>
                <w:szCs w:val="20"/>
              </w:rPr>
            </w:pPr>
            <w:r w:rsidRPr="005802E9">
              <w:rPr>
                <w:szCs w:val="20"/>
              </w:rPr>
              <w:t>3 (50)</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2 (33)</w:t>
            </w:r>
          </w:p>
        </w:tc>
        <w:tc>
          <w:tcPr>
            <w:tcW w:w="614" w:type="pct"/>
            <w:noWrap/>
            <w:hideMark/>
          </w:tcPr>
          <w:p w:rsidR="00703BF2" w:rsidRPr="005802E9" w:rsidRDefault="00703BF2" w:rsidP="00703BF2">
            <w:pPr>
              <w:pStyle w:val="TableText"/>
              <w:keepNext w:val="0"/>
              <w:widowControl w:val="0"/>
              <w:rPr>
                <w:szCs w:val="20"/>
              </w:rPr>
            </w:pPr>
            <w:r w:rsidRPr="005802E9">
              <w:rPr>
                <w:szCs w:val="20"/>
              </w:rPr>
              <w:t>6</w:t>
            </w:r>
          </w:p>
        </w:tc>
      </w:tr>
      <w:tr w:rsidR="00703BF2" w:rsidRPr="005802E9" w:rsidTr="00703BF2">
        <w:trPr>
          <w:cantSplit/>
          <w:trHeight w:val="288"/>
        </w:trPr>
        <w:tc>
          <w:tcPr>
            <w:tcW w:w="5000" w:type="pct"/>
            <w:gridSpan w:val="8"/>
            <w:noWrap/>
            <w:hideMark/>
          </w:tcPr>
          <w:p w:rsidR="00703BF2" w:rsidRPr="005802E9" w:rsidRDefault="00703BF2" w:rsidP="00703BF2">
            <w:pPr>
              <w:pStyle w:val="TableText"/>
              <w:keepNext w:val="0"/>
              <w:widowControl w:val="0"/>
              <w:rPr>
                <w:szCs w:val="20"/>
              </w:rPr>
            </w:pPr>
            <w:r w:rsidRPr="005802E9">
              <w:rPr>
                <w:szCs w:val="20"/>
              </w:rPr>
              <w:t>Cycle 4</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0</w:t>
            </w:r>
          </w:p>
        </w:tc>
        <w:tc>
          <w:tcPr>
            <w:tcW w:w="613" w:type="pct"/>
            <w:noWrap/>
            <w:hideMark/>
          </w:tcPr>
          <w:p w:rsidR="00703BF2" w:rsidRPr="005802E9" w:rsidRDefault="00703BF2" w:rsidP="00703BF2">
            <w:pPr>
              <w:pStyle w:val="TableText"/>
              <w:keepNext w:val="0"/>
              <w:widowControl w:val="0"/>
              <w:rPr>
                <w:szCs w:val="20"/>
              </w:rPr>
            </w:pPr>
            <w:r w:rsidRPr="005802E9">
              <w:rPr>
                <w:szCs w:val="20"/>
              </w:rPr>
              <w:t>18 (45)</w:t>
            </w:r>
          </w:p>
        </w:tc>
        <w:tc>
          <w:tcPr>
            <w:tcW w:w="613" w:type="pct"/>
            <w:noWrap/>
            <w:hideMark/>
          </w:tcPr>
          <w:p w:rsidR="00703BF2" w:rsidRPr="005802E9" w:rsidRDefault="00703BF2" w:rsidP="00703BF2">
            <w:pPr>
              <w:pStyle w:val="TableText"/>
              <w:keepNext w:val="0"/>
              <w:widowControl w:val="0"/>
              <w:rPr>
                <w:szCs w:val="20"/>
              </w:rPr>
            </w:pPr>
            <w:r w:rsidRPr="005802E9">
              <w:rPr>
                <w:szCs w:val="20"/>
              </w:rPr>
              <w:t>7 (18)</w:t>
            </w:r>
          </w:p>
        </w:tc>
        <w:tc>
          <w:tcPr>
            <w:tcW w:w="614" w:type="pct"/>
            <w:noWrap/>
            <w:hideMark/>
          </w:tcPr>
          <w:p w:rsidR="00703BF2" w:rsidRPr="005802E9" w:rsidRDefault="00703BF2" w:rsidP="00703BF2">
            <w:pPr>
              <w:pStyle w:val="TableText"/>
              <w:keepNext w:val="0"/>
              <w:widowControl w:val="0"/>
              <w:rPr>
                <w:szCs w:val="20"/>
              </w:rPr>
            </w:pPr>
            <w:r w:rsidRPr="005802E9">
              <w:rPr>
                <w:szCs w:val="20"/>
              </w:rPr>
              <w:t>14 (35)</w:t>
            </w:r>
          </w:p>
        </w:tc>
        <w:tc>
          <w:tcPr>
            <w:tcW w:w="613" w:type="pct"/>
            <w:noWrap/>
            <w:hideMark/>
          </w:tcPr>
          <w:p w:rsidR="00703BF2" w:rsidRPr="005802E9" w:rsidRDefault="00703BF2" w:rsidP="00703BF2">
            <w:pPr>
              <w:pStyle w:val="TableText"/>
              <w:keepNext w:val="0"/>
              <w:widowControl w:val="0"/>
              <w:rPr>
                <w:szCs w:val="20"/>
              </w:rPr>
            </w:pPr>
            <w:r w:rsidRPr="005802E9">
              <w:rPr>
                <w:szCs w:val="20"/>
              </w:rPr>
              <w:t>1 (3)</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40</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1</w:t>
            </w:r>
          </w:p>
        </w:tc>
        <w:tc>
          <w:tcPr>
            <w:tcW w:w="613" w:type="pct"/>
            <w:noWrap/>
            <w:hideMark/>
          </w:tcPr>
          <w:p w:rsidR="00703BF2" w:rsidRPr="005802E9" w:rsidRDefault="00703BF2" w:rsidP="00703BF2">
            <w:pPr>
              <w:pStyle w:val="TableText"/>
              <w:keepNext w:val="0"/>
              <w:widowControl w:val="0"/>
              <w:rPr>
                <w:szCs w:val="20"/>
              </w:rPr>
            </w:pPr>
            <w:r w:rsidRPr="005802E9">
              <w:rPr>
                <w:szCs w:val="20"/>
              </w:rPr>
              <w:t>16 (15)</w:t>
            </w:r>
          </w:p>
        </w:tc>
        <w:tc>
          <w:tcPr>
            <w:tcW w:w="613" w:type="pct"/>
            <w:noWrap/>
            <w:hideMark/>
          </w:tcPr>
          <w:p w:rsidR="00703BF2" w:rsidRPr="005802E9" w:rsidRDefault="00703BF2" w:rsidP="00703BF2">
            <w:pPr>
              <w:pStyle w:val="TableText"/>
              <w:keepNext w:val="0"/>
              <w:widowControl w:val="0"/>
              <w:rPr>
                <w:szCs w:val="20"/>
              </w:rPr>
            </w:pPr>
            <w:r w:rsidRPr="005802E9">
              <w:rPr>
                <w:szCs w:val="20"/>
              </w:rPr>
              <w:t>39 (36)</w:t>
            </w:r>
          </w:p>
        </w:tc>
        <w:tc>
          <w:tcPr>
            <w:tcW w:w="614" w:type="pct"/>
            <w:noWrap/>
            <w:hideMark/>
          </w:tcPr>
          <w:p w:rsidR="00703BF2" w:rsidRPr="005802E9" w:rsidRDefault="00703BF2" w:rsidP="00703BF2">
            <w:pPr>
              <w:pStyle w:val="TableText"/>
              <w:keepNext w:val="0"/>
              <w:widowControl w:val="0"/>
              <w:rPr>
                <w:szCs w:val="20"/>
              </w:rPr>
            </w:pPr>
            <w:r w:rsidRPr="005802E9">
              <w:rPr>
                <w:szCs w:val="20"/>
              </w:rPr>
              <w:t>38 (35)</w:t>
            </w:r>
          </w:p>
        </w:tc>
        <w:tc>
          <w:tcPr>
            <w:tcW w:w="613" w:type="pct"/>
            <w:noWrap/>
            <w:hideMark/>
          </w:tcPr>
          <w:p w:rsidR="00703BF2" w:rsidRPr="005802E9" w:rsidRDefault="00703BF2" w:rsidP="00703BF2">
            <w:pPr>
              <w:pStyle w:val="TableText"/>
              <w:keepNext w:val="0"/>
              <w:widowControl w:val="0"/>
              <w:rPr>
                <w:szCs w:val="20"/>
              </w:rPr>
            </w:pPr>
            <w:r w:rsidRPr="005802E9">
              <w:rPr>
                <w:szCs w:val="20"/>
              </w:rPr>
              <w:t>11 (10)</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4 (4)</w:t>
            </w:r>
          </w:p>
        </w:tc>
        <w:tc>
          <w:tcPr>
            <w:tcW w:w="614" w:type="pct"/>
            <w:noWrap/>
            <w:hideMark/>
          </w:tcPr>
          <w:p w:rsidR="00703BF2" w:rsidRPr="005802E9" w:rsidRDefault="00703BF2" w:rsidP="00703BF2">
            <w:pPr>
              <w:pStyle w:val="TableText"/>
              <w:keepNext w:val="0"/>
              <w:widowControl w:val="0"/>
              <w:rPr>
                <w:szCs w:val="20"/>
              </w:rPr>
            </w:pPr>
            <w:r w:rsidRPr="005802E9">
              <w:rPr>
                <w:szCs w:val="20"/>
              </w:rPr>
              <w:t>108</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2</w:t>
            </w:r>
          </w:p>
        </w:tc>
        <w:tc>
          <w:tcPr>
            <w:tcW w:w="613" w:type="pct"/>
            <w:noWrap/>
            <w:hideMark/>
          </w:tcPr>
          <w:p w:rsidR="00703BF2" w:rsidRPr="005802E9" w:rsidRDefault="00703BF2" w:rsidP="00703BF2">
            <w:pPr>
              <w:pStyle w:val="TableText"/>
              <w:keepNext w:val="0"/>
              <w:widowControl w:val="0"/>
              <w:rPr>
                <w:szCs w:val="20"/>
              </w:rPr>
            </w:pPr>
            <w:r w:rsidRPr="005802E9">
              <w:rPr>
                <w:szCs w:val="20"/>
              </w:rPr>
              <w:t>17 (8)</w:t>
            </w:r>
          </w:p>
        </w:tc>
        <w:tc>
          <w:tcPr>
            <w:tcW w:w="613" w:type="pct"/>
            <w:noWrap/>
            <w:hideMark/>
          </w:tcPr>
          <w:p w:rsidR="00703BF2" w:rsidRPr="005802E9" w:rsidRDefault="00703BF2" w:rsidP="00703BF2">
            <w:pPr>
              <w:pStyle w:val="TableText"/>
              <w:keepNext w:val="0"/>
              <w:widowControl w:val="0"/>
              <w:rPr>
                <w:szCs w:val="20"/>
              </w:rPr>
            </w:pPr>
            <w:r w:rsidRPr="005802E9">
              <w:rPr>
                <w:szCs w:val="20"/>
              </w:rPr>
              <w:t>58 (27)</w:t>
            </w:r>
          </w:p>
        </w:tc>
        <w:tc>
          <w:tcPr>
            <w:tcW w:w="614" w:type="pct"/>
            <w:noWrap/>
            <w:hideMark/>
          </w:tcPr>
          <w:p w:rsidR="00703BF2" w:rsidRPr="005802E9" w:rsidRDefault="00703BF2" w:rsidP="00703BF2">
            <w:pPr>
              <w:pStyle w:val="TableText"/>
              <w:keepNext w:val="0"/>
              <w:widowControl w:val="0"/>
              <w:rPr>
                <w:szCs w:val="20"/>
              </w:rPr>
            </w:pPr>
            <w:r w:rsidRPr="005802E9">
              <w:rPr>
                <w:szCs w:val="20"/>
              </w:rPr>
              <w:t>111 (52)</w:t>
            </w:r>
          </w:p>
        </w:tc>
        <w:tc>
          <w:tcPr>
            <w:tcW w:w="613" w:type="pct"/>
            <w:noWrap/>
            <w:hideMark/>
          </w:tcPr>
          <w:p w:rsidR="00703BF2" w:rsidRPr="005802E9" w:rsidRDefault="00703BF2" w:rsidP="00703BF2">
            <w:pPr>
              <w:pStyle w:val="TableText"/>
              <w:keepNext w:val="0"/>
              <w:widowControl w:val="0"/>
              <w:rPr>
                <w:szCs w:val="20"/>
              </w:rPr>
            </w:pPr>
            <w:r w:rsidRPr="005802E9">
              <w:rPr>
                <w:szCs w:val="20"/>
              </w:rPr>
              <w:t>20 (9)</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8 (4)</w:t>
            </w:r>
          </w:p>
        </w:tc>
        <w:tc>
          <w:tcPr>
            <w:tcW w:w="614" w:type="pct"/>
            <w:noWrap/>
            <w:hideMark/>
          </w:tcPr>
          <w:p w:rsidR="00703BF2" w:rsidRPr="005802E9" w:rsidRDefault="00703BF2" w:rsidP="00703BF2">
            <w:pPr>
              <w:pStyle w:val="TableText"/>
              <w:keepNext w:val="0"/>
              <w:widowControl w:val="0"/>
              <w:rPr>
                <w:szCs w:val="20"/>
              </w:rPr>
            </w:pPr>
            <w:r w:rsidRPr="005802E9">
              <w:rPr>
                <w:szCs w:val="20"/>
              </w:rPr>
              <w:t>214</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3</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14 (15)</w:t>
            </w:r>
          </w:p>
        </w:tc>
        <w:tc>
          <w:tcPr>
            <w:tcW w:w="614" w:type="pct"/>
            <w:noWrap/>
            <w:hideMark/>
          </w:tcPr>
          <w:p w:rsidR="00703BF2" w:rsidRPr="005802E9" w:rsidRDefault="00703BF2" w:rsidP="00703BF2">
            <w:pPr>
              <w:pStyle w:val="TableText"/>
              <w:keepNext w:val="0"/>
              <w:widowControl w:val="0"/>
              <w:rPr>
                <w:szCs w:val="20"/>
              </w:rPr>
            </w:pPr>
            <w:r w:rsidRPr="005802E9">
              <w:rPr>
                <w:szCs w:val="20"/>
              </w:rPr>
              <w:t>29 (32)</w:t>
            </w:r>
          </w:p>
        </w:tc>
        <w:tc>
          <w:tcPr>
            <w:tcW w:w="613" w:type="pct"/>
            <w:noWrap/>
            <w:hideMark/>
          </w:tcPr>
          <w:p w:rsidR="00703BF2" w:rsidRPr="005802E9" w:rsidRDefault="00703BF2" w:rsidP="00703BF2">
            <w:pPr>
              <w:pStyle w:val="TableText"/>
              <w:keepNext w:val="0"/>
              <w:widowControl w:val="0"/>
              <w:rPr>
                <w:szCs w:val="20"/>
              </w:rPr>
            </w:pPr>
            <w:r w:rsidRPr="005802E9">
              <w:rPr>
                <w:szCs w:val="20"/>
              </w:rPr>
              <w:t>35 (38)</w:t>
            </w:r>
          </w:p>
        </w:tc>
        <w:tc>
          <w:tcPr>
            <w:tcW w:w="614" w:type="pct"/>
            <w:noWrap/>
            <w:hideMark/>
          </w:tcPr>
          <w:p w:rsidR="00703BF2" w:rsidRPr="005802E9" w:rsidRDefault="00703BF2" w:rsidP="00703BF2">
            <w:pPr>
              <w:pStyle w:val="TableText"/>
              <w:keepNext w:val="0"/>
              <w:widowControl w:val="0"/>
              <w:rPr>
                <w:szCs w:val="20"/>
              </w:rPr>
            </w:pPr>
            <w:r w:rsidRPr="005802E9">
              <w:rPr>
                <w:szCs w:val="20"/>
              </w:rPr>
              <w:t>2 (2)</w:t>
            </w:r>
          </w:p>
        </w:tc>
        <w:tc>
          <w:tcPr>
            <w:tcW w:w="613" w:type="pct"/>
            <w:noWrap/>
            <w:hideMark/>
          </w:tcPr>
          <w:p w:rsidR="00703BF2" w:rsidRPr="005802E9" w:rsidRDefault="00703BF2" w:rsidP="00703BF2">
            <w:pPr>
              <w:pStyle w:val="TableText"/>
              <w:keepNext w:val="0"/>
              <w:widowControl w:val="0"/>
              <w:rPr>
                <w:szCs w:val="20"/>
              </w:rPr>
            </w:pPr>
            <w:r w:rsidRPr="005802E9">
              <w:rPr>
                <w:szCs w:val="20"/>
              </w:rPr>
              <w:t>11 (12)</w:t>
            </w:r>
          </w:p>
        </w:tc>
        <w:tc>
          <w:tcPr>
            <w:tcW w:w="614" w:type="pct"/>
            <w:noWrap/>
            <w:hideMark/>
          </w:tcPr>
          <w:p w:rsidR="00703BF2" w:rsidRPr="005802E9" w:rsidRDefault="00703BF2" w:rsidP="00703BF2">
            <w:pPr>
              <w:pStyle w:val="TableText"/>
              <w:keepNext w:val="0"/>
              <w:widowControl w:val="0"/>
              <w:rPr>
                <w:szCs w:val="20"/>
              </w:rPr>
            </w:pPr>
            <w:r w:rsidRPr="005802E9">
              <w:rPr>
                <w:szCs w:val="20"/>
              </w:rPr>
              <w:t>91</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4</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1 (100)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1</w:t>
            </w:r>
          </w:p>
        </w:tc>
      </w:tr>
      <w:tr w:rsidR="00703BF2" w:rsidRPr="005802E9" w:rsidTr="00703BF2">
        <w:trPr>
          <w:cantSplit/>
          <w:trHeight w:val="288"/>
        </w:trPr>
        <w:tc>
          <w:tcPr>
            <w:tcW w:w="5000" w:type="pct"/>
            <w:gridSpan w:val="8"/>
            <w:noWrap/>
            <w:hideMark/>
          </w:tcPr>
          <w:p w:rsidR="00703BF2" w:rsidRPr="005802E9" w:rsidRDefault="00703BF2" w:rsidP="00703BF2">
            <w:pPr>
              <w:pStyle w:val="TableText"/>
              <w:keepNext w:val="0"/>
              <w:widowControl w:val="0"/>
              <w:rPr>
                <w:szCs w:val="20"/>
              </w:rPr>
            </w:pPr>
            <w:r w:rsidRPr="005802E9">
              <w:rPr>
                <w:szCs w:val="20"/>
              </w:rPr>
              <w:t>Cycle 5</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0</w:t>
            </w:r>
          </w:p>
        </w:tc>
        <w:tc>
          <w:tcPr>
            <w:tcW w:w="613" w:type="pct"/>
            <w:noWrap/>
            <w:hideMark/>
          </w:tcPr>
          <w:p w:rsidR="00703BF2" w:rsidRPr="005802E9" w:rsidRDefault="00703BF2" w:rsidP="00703BF2">
            <w:pPr>
              <w:pStyle w:val="TableText"/>
              <w:keepNext w:val="0"/>
              <w:widowControl w:val="0"/>
              <w:rPr>
                <w:szCs w:val="20"/>
              </w:rPr>
            </w:pPr>
            <w:r w:rsidRPr="005802E9">
              <w:rPr>
                <w:szCs w:val="20"/>
              </w:rPr>
              <w:t>23 (45)</w:t>
            </w:r>
          </w:p>
        </w:tc>
        <w:tc>
          <w:tcPr>
            <w:tcW w:w="613" w:type="pct"/>
            <w:noWrap/>
            <w:hideMark/>
          </w:tcPr>
          <w:p w:rsidR="00703BF2" w:rsidRPr="005802E9" w:rsidRDefault="00703BF2" w:rsidP="00703BF2">
            <w:pPr>
              <w:pStyle w:val="TableText"/>
              <w:keepNext w:val="0"/>
              <w:widowControl w:val="0"/>
              <w:rPr>
                <w:szCs w:val="20"/>
              </w:rPr>
            </w:pPr>
            <w:r w:rsidRPr="005802E9">
              <w:rPr>
                <w:szCs w:val="20"/>
              </w:rPr>
              <w:t>12 (24)</w:t>
            </w:r>
          </w:p>
        </w:tc>
        <w:tc>
          <w:tcPr>
            <w:tcW w:w="614" w:type="pct"/>
            <w:noWrap/>
            <w:hideMark/>
          </w:tcPr>
          <w:p w:rsidR="00703BF2" w:rsidRPr="005802E9" w:rsidRDefault="00703BF2" w:rsidP="00703BF2">
            <w:pPr>
              <w:pStyle w:val="TableText"/>
              <w:keepNext w:val="0"/>
              <w:widowControl w:val="0"/>
              <w:rPr>
                <w:szCs w:val="20"/>
              </w:rPr>
            </w:pPr>
            <w:r w:rsidRPr="005802E9">
              <w:rPr>
                <w:szCs w:val="20"/>
              </w:rPr>
              <w:t>14 (27)</w:t>
            </w:r>
          </w:p>
        </w:tc>
        <w:tc>
          <w:tcPr>
            <w:tcW w:w="613" w:type="pct"/>
            <w:noWrap/>
            <w:hideMark/>
          </w:tcPr>
          <w:p w:rsidR="00703BF2" w:rsidRPr="005802E9" w:rsidRDefault="00703BF2" w:rsidP="00703BF2">
            <w:pPr>
              <w:pStyle w:val="TableText"/>
              <w:keepNext w:val="0"/>
              <w:widowControl w:val="0"/>
              <w:rPr>
                <w:szCs w:val="20"/>
              </w:rPr>
            </w:pPr>
            <w:r w:rsidRPr="005802E9">
              <w:rPr>
                <w:szCs w:val="20"/>
              </w:rPr>
              <w:t>2 (4)</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51</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1</w:t>
            </w:r>
          </w:p>
        </w:tc>
        <w:tc>
          <w:tcPr>
            <w:tcW w:w="613" w:type="pct"/>
            <w:noWrap/>
            <w:hideMark/>
          </w:tcPr>
          <w:p w:rsidR="00703BF2" w:rsidRPr="005802E9" w:rsidRDefault="00703BF2" w:rsidP="00703BF2">
            <w:pPr>
              <w:pStyle w:val="TableText"/>
              <w:keepNext w:val="0"/>
              <w:widowControl w:val="0"/>
              <w:rPr>
                <w:szCs w:val="20"/>
              </w:rPr>
            </w:pPr>
            <w:r w:rsidRPr="005802E9">
              <w:rPr>
                <w:szCs w:val="20"/>
              </w:rPr>
              <w:t>14 (12)</w:t>
            </w:r>
          </w:p>
        </w:tc>
        <w:tc>
          <w:tcPr>
            <w:tcW w:w="613" w:type="pct"/>
            <w:noWrap/>
            <w:hideMark/>
          </w:tcPr>
          <w:p w:rsidR="00703BF2" w:rsidRPr="005802E9" w:rsidRDefault="00703BF2" w:rsidP="00703BF2">
            <w:pPr>
              <w:pStyle w:val="TableText"/>
              <w:keepNext w:val="0"/>
              <w:widowControl w:val="0"/>
              <w:rPr>
                <w:szCs w:val="20"/>
              </w:rPr>
            </w:pPr>
            <w:r w:rsidRPr="005802E9">
              <w:rPr>
                <w:szCs w:val="20"/>
              </w:rPr>
              <w:t>42 (36)</w:t>
            </w:r>
          </w:p>
        </w:tc>
        <w:tc>
          <w:tcPr>
            <w:tcW w:w="614" w:type="pct"/>
            <w:noWrap/>
            <w:hideMark/>
          </w:tcPr>
          <w:p w:rsidR="00703BF2" w:rsidRPr="005802E9" w:rsidRDefault="00703BF2" w:rsidP="00703BF2">
            <w:pPr>
              <w:pStyle w:val="TableText"/>
              <w:keepNext w:val="0"/>
              <w:widowControl w:val="0"/>
              <w:rPr>
                <w:szCs w:val="20"/>
              </w:rPr>
            </w:pPr>
            <w:r w:rsidRPr="005802E9">
              <w:rPr>
                <w:szCs w:val="20"/>
              </w:rPr>
              <w:t>44 (37)</w:t>
            </w:r>
          </w:p>
        </w:tc>
        <w:tc>
          <w:tcPr>
            <w:tcW w:w="613" w:type="pct"/>
            <w:noWrap/>
            <w:hideMark/>
          </w:tcPr>
          <w:p w:rsidR="00703BF2" w:rsidRPr="005802E9" w:rsidRDefault="00703BF2" w:rsidP="00703BF2">
            <w:pPr>
              <w:pStyle w:val="TableText"/>
              <w:keepNext w:val="0"/>
              <w:widowControl w:val="0"/>
              <w:rPr>
                <w:szCs w:val="20"/>
              </w:rPr>
            </w:pPr>
            <w:r w:rsidRPr="005802E9">
              <w:rPr>
                <w:szCs w:val="20"/>
              </w:rPr>
              <w:t>17 (14)</w:t>
            </w:r>
          </w:p>
        </w:tc>
        <w:tc>
          <w:tcPr>
            <w:tcW w:w="614" w:type="pct"/>
            <w:noWrap/>
            <w:hideMark/>
          </w:tcPr>
          <w:p w:rsidR="00703BF2" w:rsidRPr="005802E9" w:rsidRDefault="00703BF2" w:rsidP="00703BF2">
            <w:pPr>
              <w:pStyle w:val="TableText"/>
              <w:keepNext w:val="0"/>
              <w:widowControl w:val="0"/>
              <w:rPr>
                <w:szCs w:val="20"/>
              </w:rPr>
            </w:pPr>
            <w:r w:rsidRPr="005802E9">
              <w:rPr>
                <w:szCs w:val="20"/>
              </w:rPr>
              <w:t>1 (1)</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118</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2</w:t>
            </w:r>
          </w:p>
        </w:tc>
        <w:tc>
          <w:tcPr>
            <w:tcW w:w="613" w:type="pct"/>
            <w:noWrap/>
            <w:hideMark/>
          </w:tcPr>
          <w:p w:rsidR="00703BF2" w:rsidRPr="005802E9" w:rsidRDefault="00703BF2" w:rsidP="00703BF2">
            <w:pPr>
              <w:pStyle w:val="TableText"/>
              <w:keepNext w:val="0"/>
              <w:widowControl w:val="0"/>
              <w:rPr>
                <w:szCs w:val="20"/>
              </w:rPr>
            </w:pPr>
            <w:r w:rsidRPr="005802E9">
              <w:rPr>
                <w:szCs w:val="20"/>
              </w:rPr>
              <w:t>15 (8)</w:t>
            </w:r>
          </w:p>
        </w:tc>
        <w:tc>
          <w:tcPr>
            <w:tcW w:w="613" w:type="pct"/>
            <w:noWrap/>
            <w:hideMark/>
          </w:tcPr>
          <w:p w:rsidR="00703BF2" w:rsidRPr="005802E9" w:rsidRDefault="00703BF2" w:rsidP="00703BF2">
            <w:pPr>
              <w:pStyle w:val="TableText"/>
              <w:keepNext w:val="0"/>
              <w:widowControl w:val="0"/>
              <w:rPr>
                <w:szCs w:val="20"/>
              </w:rPr>
            </w:pPr>
            <w:r w:rsidRPr="005802E9">
              <w:rPr>
                <w:szCs w:val="20"/>
              </w:rPr>
              <w:t>36 (19)</w:t>
            </w:r>
          </w:p>
        </w:tc>
        <w:tc>
          <w:tcPr>
            <w:tcW w:w="614" w:type="pct"/>
            <w:noWrap/>
            <w:hideMark/>
          </w:tcPr>
          <w:p w:rsidR="00703BF2" w:rsidRPr="005802E9" w:rsidRDefault="00703BF2" w:rsidP="00703BF2">
            <w:pPr>
              <w:pStyle w:val="TableText"/>
              <w:keepNext w:val="0"/>
              <w:widowControl w:val="0"/>
              <w:rPr>
                <w:szCs w:val="20"/>
              </w:rPr>
            </w:pPr>
            <w:r w:rsidRPr="005802E9">
              <w:rPr>
                <w:szCs w:val="20"/>
              </w:rPr>
              <w:t>109 (56)</w:t>
            </w:r>
          </w:p>
        </w:tc>
        <w:tc>
          <w:tcPr>
            <w:tcW w:w="613" w:type="pct"/>
            <w:noWrap/>
            <w:hideMark/>
          </w:tcPr>
          <w:p w:rsidR="00703BF2" w:rsidRPr="005802E9" w:rsidRDefault="00703BF2" w:rsidP="00703BF2">
            <w:pPr>
              <w:pStyle w:val="TableText"/>
              <w:keepNext w:val="0"/>
              <w:widowControl w:val="0"/>
              <w:rPr>
                <w:szCs w:val="20"/>
              </w:rPr>
            </w:pPr>
            <w:r w:rsidRPr="005802E9">
              <w:rPr>
                <w:szCs w:val="20"/>
              </w:rPr>
              <w:t>28 (15)</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5 (3)</w:t>
            </w:r>
          </w:p>
        </w:tc>
        <w:tc>
          <w:tcPr>
            <w:tcW w:w="614" w:type="pct"/>
            <w:noWrap/>
            <w:hideMark/>
          </w:tcPr>
          <w:p w:rsidR="00703BF2" w:rsidRPr="005802E9" w:rsidRDefault="00703BF2" w:rsidP="00703BF2">
            <w:pPr>
              <w:pStyle w:val="TableText"/>
              <w:keepNext w:val="0"/>
              <w:widowControl w:val="0"/>
              <w:rPr>
                <w:szCs w:val="20"/>
              </w:rPr>
            </w:pPr>
            <w:r w:rsidRPr="005802E9">
              <w:rPr>
                <w:szCs w:val="20"/>
              </w:rPr>
              <w:t>193</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3</w:t>
            </w:r>
          </w:p>
        </w:tc>
        <w:tc>
          <w:tcPr>
            <w:tcW w:w="613" w:type="pct"/>
            <w:noWrap/>
            <w:hideMark/>
          </w:tcPr>
          <w:p w:rsidR="00703BF2" w:rsidRPr="005802E9" w:rsidRDefault="00703BF2" w:rsidP="00703BF2">
            <w:pPr>
              <w:pStyle w:val="TableText"/>
              <w:keepNext w:val="0"/>
              <w:widowControl w:val="0"/>
              <w:rPr>
                <w:szCs w:val="20"/>
              </w:rPr>
            </w:pPr>
            <w:r w:rsidRPr="005802E9">
              <w:rPr>
                <w:szCs w:val="20"/>
              </w:rPr>
              <w:t>2 (3)</w:t>
            </w:r>
          </w:p>
        </w:tc>
        <w:tc>
          <w:tcPr>
            <w:tcW w:w="613" w:type="pct"/>
            <w:noWrap/>
            <w:hideMark/>
          </w:tcPr>
          <w:p w:rsidR="00703BF2" w:rsidRPr="005802E9" w:rsidRDefault="00703BF2" w:rsidP="00703BF2">
            <w:pPr>
              <w:pStyle w:val="TableText"/>
              <w:keepNext w:val="0"/>
              <w:widowControl w:val="0"/>
              <w:rPr>
                <w:szCs w:val="20"/>
              </w:rPr>
            </w:pPr>
            <w:r w:rsidRPr="005802E9">
              <w:rPr>
                <w:szCs w:val="20"/>
              </w:rPr>
              <w:t>7 (10)</w:t>
            </w:r>
          </w:p>
        </w:tc>
        <w:tc>
          <w:tcPr>
            <w:tcW w:w="614" w:type="pct"/>
            <w:noWrap/>
            <w:hideMark/>
          </w:tcPr>
          <w:p w:rsidR="00703BF2" w:rsidRPr="005802E9" w:rsidRDefault="00703BF2" w:rsidP="00703BF2">
            <w:pPr>
              <w:pStyle w:val="TableText"/>
              <w:keepNext w:val="0"/>
              <w:widowControl w:val="0"/>
              <w:rPr>
                <w:szCs w:val="20"/>
              </w:rPr>
            </w:pPr>
            <w:r w:rsidRPr="005802E9">
              <w:rPr>
                <w:szCs w:val="20"/>
              </w:rPr>
              <w:t>31 (46)</w:t>
            </w:r>
          </w:p>
        </w:tc>
        <w:tc>
          <w:tcPr>
            <w:tcW w:w="613" w:type="pct"/>
            <w:noWrap/>
            <w:hideMark/>
          </w:tcPr>
          <w:p w:rsidR="00703BF2" w:rsidRPr="005802E9" w:rsidRDefault="00703BF2" w:rsidP="00703BF2">
            <w:pPr>
              <w:pStyle w:val="TableText"/>
              <w:keepNext w:val="0"/>
              <w:widowControl w:val="0"/>
              <w:rPr>
                <w:szCs w:val="20"/>
              </w:rPr>
            </w:pPr>
            <w:r w:rsidRPr="005802E9">
              <w:rPr>
                <w:szCs w:val="20"/>
              </w:rPr>
              <w:t>24 (36)</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3 (4)</w:t>
            </w:r>
          </w:p>
        </w:tc>
        <w:tc>
          <w:tcPr>
            <w:tcW w:w="614" w:type="pct"/>
            <w:noWrap/>
            <w:hideMark/>
          </w:tcPr>
          <w:p w:rsidR="00703BF2" w:rsidRPr="005802E9" w:rsidRDefault="00703BF2" w:rsidP="00703BF2">
            <w:pPr>
              <w:pStyle w:val="TableText"/>
              <w:keepNext w:val="0"/>
              <w:widowControl w:val="0"/>
              <w:rPr>
                <w:szCs w:val="20"/>
              </w:rPr>
            </w:pPr>
            <w:r w:rsidRPr="005802E9">
              <w:rPr>
                <w:szCs w:val="20"/>
              </w:rPr>
              <w:t>67</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4</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1 (50)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1 (50)</w:t>
            </w:r>
          </w:p>
        </w:tc>
        <w:tc>
          <w:tcPr>
            <w:tcW w:w="614" w:type="pct"/>
            <w:noWrap/>
            <w:hideMark/>
          </w:tcPr>
          <w:p w:rsidR="00703BF2" w:rsidRPr="005802E9" w:rsidRDefault="00703BF2" w:rsidP="00703BF2">
            <w:pPr>
              <w:pStyle w:val="TableText"/>
              <w:keepNext w:val="0"/>
              <w:widowControl w:val="0"/>
              <w:rPr>
                <w:szCs w:val="20"/>
              </w:rPr>
            </w:pPr>
            <w:r w:rsidRPr="005802E9">
              <w:rPr>
                <w:szCs w:val="20"/>
              </w:rPr>
              <w:t>2</w:t>
            </w:r>
          </w:p>
        </w:tc>
      </w:tr>
      <w:tr w:rsidR="00703BF2" w:rsidRPr="005802E9" w:rsidTr="00703BF2">
        <w:trPr>
          <w:cantSplit/>
          <w:trHeight w:val="288"/>
        </w:trPr>
        <w:tc>
          <w:tcPr>
            <w:tcW w:w="5000" w:type="pct"/>
            <w:gridSpan w:val="8"/>
            <w:noWrap/>
            <w:hideMark/>
          </w:tcPr>
          <w:p w:rsidR="00703BF2" w:rsidRPr="005802E9" w:rsidRDefault="00703BF2" w:rsidP="00703BF2">
            <w:pPr>
              <w:pStyle w:val="TableText"/>
              <w:keepNext w:val="0"/>
              <w:widowControl w:val="0"/>
              <w:rPr>
                <w:szCs w:val="20"/>
              </w:rPr>
            </w:pPr>
            <w:r w:rsidRPr="005802E9">
              <w:rPr>
                <w:szCs w:val="20"/>
              </w:rPr>
              <w:t>Cycle 6</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0</w:t>
            </w:r>
          </w:p>
        </w:tc>
        <w:tc>
          <w:tcPr>
            <w:tcW w:w="613" w:type="pct"/>
            <w:noWrap/>
            <w:hideMark/>
          </w:tcPr>
          <w:p w:rsidR="00703BF2" w:rsidRPr="005802E9" w:rsidRDefault="00703BF2" w:rsidP="00703BF2">
            <w:pPr>
              <w:pStyle w:val="TableText"/>
              <w:keepNext w:val="0"/>
              <w:widowControl w:val="0"/>
              <w:rPr>
                <w:szCs w:val="20"/>
              </w:rPr>
            </w:pPr>
            <w:r w:rsidRPr="005802E9">
              <w:rPr>
                <w:szCs w:val="20"/>
              </w:rPr>
              <w:t>29 (54)</w:t>
            </w:r>
          </w:p>
        </w:tc>
        <w:tc>
          <w:tcPr>
            <w:tcW w:w="613" w:type="pct"/>
            <w:noWrap/>
            <w:hideMark/>
          </w:tcPr>
          <w:p w:rsidR="00703BF2" w:rsidRPr="005802E9" w:rsidRDefault="00703BF2" w:rsidP="00703BF2">
            <w:pPr>
              <w:pStyle w:val="TableText"/>
              <w:keepNext w:val="0"/>
              <w:widowControl w:val="0"/>
              <w:rPr>
                <w:szCs w:val="20"/>
              </w:rPr>
            </w:pPr>
            <w:r w:rsidRPr="005802E9">
              <w:rPr>
                <w:szCs w:val="20"/>
              </w:rPr>
              <w:t>9 (17)</w:t>
            </w:r>
          </w:p>
        </w:tc>
        <w:tc>
          <w:tcPr>
            <w:tcW w:w="614" w:type="pct"/>
            <w:noWrap/>
            <w:hideMark/>
          </w:tcPr>
          <w:p w:rsidR="00703BF2" w:rsidRPr="005802E9" w:rsidRDefault="00703BF2" w:rsidP="00703BF2">
            <w:pPr>
              <w:pStyle w:val="TableText"/>
              <w:keepNext w:val="0"/>
              <w:widowControl w:val="0"/>
              <w:rPr>
                <w:szCs w:val="20"/>
              </w:rPr>
            </w:pPr>
            <w:r w:rsidRPr="005802E9">
              <w:rPr>
                <w:szCs w:val="20"/>
              </w:rPr>
              <w:t>13 (24)</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3 (6)</w:t>
            </w:r>
          </w:p>
        </w:tc>
        <w:tc>
          <w:tcPr>
            <w:tcW w:w="614" w:type="pct"/>
            <w:noWrap/>
            <w:hideMark/>
          </w:tcPr>
          <w:p w:rsidR="00703BF2" w:rsidRPr="005802E9" w:rsidRDefault="00703BF2" w:rsidP="00703BF2">
            <w:pPr>
              <w:pStyle w:val="TableText"/>
              <w:keepNext w:val="0"/>
              <w:widowControl w:val="0"/>
              <w:rPr>
                <w:szCs w:val="20"/>
              </w:rPr>
            </w:pPr>
            <w:r w:rsidRPr="005802E9">
              <w:rPr>
                <w:szCs w:val="20"/>
              </w:rPr>
              <w:t>54</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1</w:t>
            </w:r>
          </w:p>
        </w:tc>
        <w:tc>
          <w:tcPr>
            <w:tcW w:w="613" w:type="pct"/>
            <w:noWrap/>
            <w:hideMark/>
          </w:tcPr>
          <w:p w:rsidR="00703BF2" w:rsidRPr="005802E9" w:rsidRDefault="00703BF2" w:rsidP="00703BF2">
            <w:pPr>
              <w:pStyle w:val="TableText"/>
              <w:keepNext w:val="0"/>
              <w:widowControl w:val="0"/>
              <w:rPr>
                <w:szCs w:val="20"/>
              </w:rPr>
            </w:pPr>
            <w:r w:rsidRPr="005802E9">
              <w:rPr>
                <w:szCs w:val="20"/>
              </w:rPr>
              <w:t>16 (16)</w:t>
            </w:r>
          </w:p>
        </w:tc>
        <w:tc>
          <w:tcPr>
            <w:tcW w:w="613" w:type="pct"/>
            <w:noWrap/>
            <w:hideMark/>
          </w:tcPr>
          <w:p w:rsidR="00703BF2" w:rsidRPr="005802E9" w:rsidRDefault="00703BF2" w:rsidP="00703BF2">
            <w:pPr>
              <w:pStyle w:val="TableText"/>
              <w:keepNext w:val="0"/>
              <w:widowControl w:val="0"/>
              <w:rPr>
                <w:szCs w:val="20"/>
              </w:rPr>
            </w:pPr>
            <w:r w:rsidRPr="005802E9">
              <w:rPr>
                <w:szCs w:val="20"/>
              </w:rPr>
              <w:t>45 (46)</w:t>
            </w:r>
          </w:p>
        </w:tc>
        <w:tc>
          <w:tcPr>
            <w:tcW w:w="614" w:type="pct"/>
            <w:noWrap/>
            <w:hideMark/>
          </w:tcPr>
          <w:p w:rsidR="00703BF2" w:rsidRPr="005802E9" w:rsidRDefault="00703BF2" w:rsidP="00703BF2">
            <w:pPr>
              <w:pStyle w:val="TableText"/>
              <w:keepNext w:val="0"/>
              <w:widowControl w:val="0"/>
              <w:rPr>
                <w:szCs w:val="20"/>
              </w:rPr>
            </w:pPr>
            <w:r w:rsidRPr="005802E9">
              <w:rPr>
                <w:szCs w:val="20"/>
              </w:rPr>
              <w:t>29 (30)</w:t>
            </w:r>
          </w:p>
        </w:tc>
        <w:tc>
          <w:tcPr>
            <w:tcW w:w="613" w:type="pct"/>
            <w:noWrap/>
            <w:hideMark/>
          </w:tcPr>
          <w:p w:rsidR="00703BF2" w:rsidRPr="005802E9" w:rsidRDefault="00703BF2" w:rsidP="00703BF2">
            <w:pPr>
              <w:pStyle w:val="TableText"/>
              <w:keepNext w:val="0"/>
              <w:widowControl w:val="0"/>
              <w:rPr>
                <w:szCs w:val="20"/>
              </w:rPr>
            </w:pPr>
            <w:r w:rsidRPr="005802E9">
              <w:rPr>
                <w:szCs w:val="20"/>
              </w:rPr>
              <w:t>5 (5)</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2 (2)</w:t>
            </w:r>
          </w:p>
        </w:tc>
        <w:tc>
          <w:tcPr>
            <w:tcW w:w="614" w:type="pct"/>
            <w:noWrap/>
            <w:hideMark/>
          </w:tcPr>
          <w:p w:rsidR="00703BF2" w:rsidRPr="005802E9" w:rsidRDefault="00703BF2" w:rsidP="00703BF2">
            <w:pPr>
              <w:pStyle w:val="TableText"/>
              <w:keepNext w:val="0"/>
              <w:widowControl w:val="0"/>
              <w:rPr>
                <w:szCs w:val="20"/>
              </w:rPr>
            </w:pPr>
            <w:r w:rsidRPr="005802E9">
              <w:rPr>
                <w:szCs w:val="20"/>
              </w:rPr>
              <w:t>97</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2</w:t>
            </w:r>
          </w:p>
        </w:tc>
        <w:tc>
          <w:tcPr>
            <w:tcW w:w="613" w:type="pct"/>
            <w:noWrap/>
            <w:hideMark/>
          </w:tcPr>
          <w:p w:rsidR="00703BF2" w:rsidRPr="005802E9" w:rsidRDefault="00703BF2" w:rsidP="00703BF2">
            <w:pPr>
              <w:pStyle w:val="TableText"/>
              <w:keepNext w:val="0"/>
              <w:widowControl w:val="0"/>
              <w:rPr>
                <w:szCs w:val="20"/>
              </w:rPr>
            </w:pPr>
            <w:r w:rsidRPr="005802E9">
              <w:rPr>
                <w:szCs w:val="20"/>
              </w:rPr>
              <w:t>16 (8)</w:t>
            </w:r>
          </w:p>
        </w:tc>
        <w:tc>
          <w:tcPr>
            <w:tcW w:w="613" w:type="pct"/>
            <w:noWrap/>
            <w:hideMark/>
          </w:tcPr>
          <w:p w:rsidR="00703BF2" w:rsidRPr="005802E9" w:rsidRDefault="00703BF2" w:rsidP="00703BF2">
            <w:pPr>
              <w:pStyle w:val="TableText"/>
              <w:keepNext w:val="0"/>
              <w:widowControl w:val="0"/>
              <w:rPr>
                <w:szCs w:val="20"/>
              </w:rPr>
            </w:pPr>
            <w:r w:rsidRPr="005802E9">
              <w:rPr>
                <w:szCs w:val="20"/>
              </w:rPr>
              <w:t>54 (27)</w:t>
            </w:r>
          </w:p>
        </w:tc>
        <w:tc>
          <w:tcPr>
            <w:tcW w:w="614" w:type="pct"/>
            <w:noWrap/>
            <w:hideMark/>
          </w:tcPr>
          <w:p w:rsidR="00703BF2" w:rsidRPr="005802E9" w:rsidRDefault="00703BF2" w:rsidP="00703BF2">
            <w:pPr>
              <w:pStyle w:val="TableText"/>
              <w:keepNext w:val="0"/>
              <w:widowControl w:val="0"/>
              <w:rPr>
                <w:szCs w:val="20"/>
              </w:rPr>
            </w:pPr>
            <w:r w:rsidRPr="005802E9">
              <w:rPr>
                <w:szCs w:val="20"/>
              </w:rPr>
              <w:t>102 (51)</w:t>
            </w:r>
          </w:p>
        </w:tc>
        <w:tc>
          <w:tcPr>
            <w:tcW w:w="613" w:type="pct"/>
            <w:noWrap/>
            <w:hideMark/>
          </w:tcPr>
          <w:p w:rsidR="00703BF2" w:rsidRPr="005802E9" w:rsidRDefault="00703BF2" w:rsidP="00703BF2">
            <w:pPr>
              <w:pStyle w:val="TableText"/>
              <w:keepNext w:val="0"/>
              <w:widowControl w:val="0"/>
              <w:rPr>
                <w:szCs w:val="20"/>
              </w:rPr>
            </w:pPr>
            <w:r w:rsidRPr="005802E9">
              <w:rPr>
                <w:szCs w:val="20"/>
              </w:rPr>
              <w:t>22 (11)</w:t>
            </w:r>
          </w:p>
        </w:tc>
        <w:tc>
          <w:tcPr>
            <w:tcW w:w="614" w:type="pct"/>
            <w:noWrap/>
            <w:hideMark/>
          </w:tcPr>
          <w:p w:rsidR="00703BF2" w:rsidRPr="005802E9" w:rsidRDefault="00703BF2" w:rsidP="00703BF2">
            <w:pPr>
              <w:pStyle w:val="TableText"/>
              <w:keepNext w:val="0"/>
              <w:widowControl w:val="0"/>
              <w:rPr>
                <w:szCs w:val="20"/>
              </w:rPr>
            </w:pPr>
            <w:r w:rsidRPr="005802E9">
              <w:rPr>
                <w:szCs w:val="20"/>
              </w:rPr>
              <w:t>2 (1)</w:t>
            </w:r>
          </w:p>
        </w:tc>
        <w:tc>
          <w:tcPr>
            <w:tcW w:w="613" w:type="pct"/>
            <w:noWrap/>
            <w:hideMark/>
          </w:tcPr>
          <w:p w:rsidR="00703BF2" w:rsidRPr="005802E9" w:rsidRDefault="00703BF2" w:rsidP="00703BF2">
            <w:pPr>
              <w:pStyle w:val="TableText"/>
              <w:keepNext w:val="0"/>
              <w:widowControl w:val="0"/>
              <w:rPr>
                <w:szCs w:val="20"/>
              </w:rPr>
            </w:pPr>
            <w:r w:rsidRPr="005802E9">
              <w:rPr>
                <w:szCs w:val="20"/>
              </w:rPr>
              <w:t>3 (2)</w:t>
            </w:r>
          </w:p>
        </w:tc>
        <w:tc>
          <w:tcPr>
            <w:tcW w:w="614" w:type="pct"/>
            <w:noWrap/>
            <w:hideMark/>
          </w:tcPr>
          <w:p w:rsidR="00703BF2" w:rsidRPr="005802E9" w:rsidRDefault="00703BF2" w:rsidP="00703BF2">
            <w:pPr>
              <w:pStyle w:val="TableText"/>
              <w:keepNext w:val="0"/>
              <w:widowControl w:val="0"/>
              <w:rPr>
                <w:szCs w:val="20"/>
              </w:rPr>
            </w:pPr>
            <w:r w:rsidRPr="005802E9">
              <w:rPr>
                <w:szCs w:val="20"/>
              </w:rPr>
              <w:t>199</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3</w:t>
            </w:r>
          </w:p>
        </w:tc>
        <w:tc>
          <w:tcPr>
            <w:tcW w:w="613" w:type="pct"/>
            <w:noWrap/>
            <w:hideMark/>
          </w:tcPr>
          <w:p w:rsidR="00703BF2" w:rsidRPr="005802E9" w:rsidRDefault="00703BF2" w:rsidP="00703BF2">
            <w:pPr>
              <w:pStyle w:val="TableText"/>
              <w:keepNext w:val="0"/>
              <w:widowControl w:val="0"/>
              <w:rPr>
                <w:szCs w:val="20"/>
              </w:rPr>
            </w:pPr>
            <w:r w:rsidRPr="005802E9">
              <w:rPr>
                <w:szCs w:val="20"/>
              </w:rPr>
              <w:t>3 (4)</w:t>
            </w:r>
          </w:p>
        </w:tc>
        <w:tc>
          <w:tcPr>
            <w:tcW w:w="613" w:type="pct"/>
            <w:noWrap/>
            <w:hideMark/>
          </w:tcPr>
          <w:p w:rsidR="00703BF2" w:rsidRPr="005802E9" w:rsidRDefault="00703BF2" w:rsidP="00703BF2">
            <w:pPr>
              <w:pStyle w:val="TableText"/>
              <w:keepNext w:val="0"/>
              <w:widowControl w:val="0"/>
              <w:rPr>
                <w:szCs w:val="20"/>
              </w:rPr>
            </w:pPr>
            <w:r w:rsidRPr="005802E9">
              <w:rPr>
                <w:szCs w:val="20"/>
              </w:rPr>
              <w:t>8 (11)</w:t>
            </w:r>
          </w:p>
        </w:tc>
        <w:tc>
          <w:tcPr>
            <w:tcW w:w="614" w:type="pct"/>
            <w:noWrap/>
            <w:hideMark/>
          </w:tcPr>
          <w:p w:rsidR="00703BF2" w:rsidRPr="005802E9" w:rsidRDefault="00703BF2" w:rsidP="00703BF2">
            <w:pPr>
              <w:pStyle w:val="TableText"/>
              <w:keepNext w:val="0"/>
              <w:widowControl w:val="0"/>
              <w:rPr>
                <w:szCs w:val="20"/>
              </w:rPr>
            </w:pPr>
            <w:r w:rsidRPr="005802E9">
              <w:rPr>
                <w:szCs w:val="20"/>
              </w:rPr>
              <w:t>33 (46)</w:t>
            </w:r>
          </w:p>
        </w:tc>
        <w:tc>
          <w:tcPr>
            <w:tcW w:w="613" w:type="pct"/>
            <w:noWrap/>
            <w:hideMark/>
          </w:tcPr>
          <w:p w:rsidR="00703BF2" w:rsidRPr="005802E9" w:rsidRDefault="00703BF2" w:rsidP="00703BF2">
            <w:pPr>
              <w:pStyle w:val="TableText"/>
              <w:keepNext w:val="0"/>
              <w:widowControl w:val="0"/>
              <w:rPr>
                <w:szCs w:val="20"/>
              </w:rPr>
            </w:pPr>
            <w:r w:rsidRPr="005802E9">
              <w:rPr>
                <w:szCs w:val="20"/>
              </w:rPr>
              <w:t>25 (35)</w:t>
            </w:r>
          </w:p>
        </w:tc>
        <w:tc>
          <w:tcPr>
            <w:tcW w:w="614" w:type="pct"/>
            <w:noWrap/>
            <w:hideMark/>
          </w:tcPr>
          <w:p w:rsidR="00703BF2" w:rsidRPr="005802E9" w:rsidRDefault="00703BF2" w:rsidP="00703BF2">
            <w:pPr>
              <w:pStyle w:val="TableText"/>
              <w:keepNext w:val="0"/>
              <w:widowControl w:val="0"/>
              <w:rPr>
                <w:szCs w:val="20"/>
              </w:rPr>
            </w:pPr>
            <w:r w:rsidRPr="005802E9">
              <w:rPr>
                <w:szCs w:val="20"/>
              </w:rPr>
              <w:t>1 (1)</w:t>
            </w:r>
          </w:p>
        </w:tc>
        <w:tc>
          <w:tcPr>
            <w:tcW w:w="613" w:type="pct"/>
            <w:noWrap/>
            <w:hideMark/>
          </w:tcPr>
          <w:p w:rsidR="00703BF2" w:rsidRPr="005802E9" w:rsidRDefault="00703BF2" w:rsidP="00703BF2">
            <w:pPr>
              <w:pStyle w:val="TableText"/>
              <w:keepNext w:val="0"/>
              <w:widowControl w:val="0"/>
              <w:rPr>
                <w:szCs w:val="20"/>
              </w:rPr>
            </w:pPr>
            <w:r w:rsidRPr="005802E9">
              <w:rPr>
                <w:szCs w:val="20"/>
              </w:rPr>
              <w:t>1 (1)</w:t>
            </w:r>
          </w:p>
        </w:tc>
        <w:tc>
          <w:tcPr>
            <w:tcW w:w="614" w:type="pct"/>
            <w:noWrap/>
            <w:hideMark/>
          </w:tcPr>
          <w:p w:rsidR="00703BF2" w:rsidRPr="005802E9" w:rsidRDefault="00703BF2" w:rsidP="00703BF2">
            <w:pPr>
              <w:pStyle w:val="TableText"/>
              <w:keepNext w:val="0"/>
              <w:widowControl w:val="0"/>
              <w:rPr>
                <w:szCs w:val="20"/>
              </w:rPr>
            </w:pPr>
            <w:r w:rsidRPr="005802E9">
              <w:rPr>
                <w:szCs w:val="20"/>
              </w:rPr>
              <w:t>71</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4</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1 (100)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1</w:t>
            </w:r>
          </w:p>
        </w:tc>
      </w:tr>
      <w:tr w:rsidR="00703BF2" w:rsidRPr="005802E9" w:rsidTr="00703BF2">
        <w:trPr>
          <w:cantSplit/>
          <w:trHeight w:val="288"/>
        </w:trPr>
        <w:tc>
          <w:tcPr>
            <w:tcW w:w="5000" w:type="pct"/>
            <w:gridSpan w:val="8"/>
            <w:noWrap/>
            <w:hideMark/>
          </w:tcPr>
          <w:p w:rsidR="00703BF2" w:rsidRPr="005802E9" w:rsidRDefault="00703BF2" w:rsidP="00703BF2">
            <w:pPr>
              <w:pStyle w:val="TableText"/>
              <w:keepNext w:val="0"/>
              <w:widowControl w:val="0"/>
              <w:rPr>
                <w:szCs w:val="20"/>
              </w:rPr>
            </w:pPr>
            <w:r w:rsidRPr="005802E9">
              <w:rPr>
                <w:szCs w:val="20"/>
              </w:rPr>
              <w:t>Cycle 7</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0</w:t>
            </w:r>
          </w:p>
        </w:tc>
        <w:tc>
          <w:tcPr>
            <w:tcW w:w="613" w:type="pct"/>
            <w:noWrap/>
            <w:hideMark/>
          </w:tcPr>
          <w:p w:rsidR="00703BF2" w:rsidRPr="005802E9" w:rsidRDefault="00703BF2" w:rsidP="00703BF2">
            <w:pPr>
              <w:pStyle w:val="TableText"/>
              <w:keepNext w:val="0"/>
              <w:widowControl w:val="0"/>
              <w:rPr>
                <w:szCs w:val="20"/>
              </w:rPr>
            </w:pPr>
            <w:r w:rsidRPr="005802E9">
              <w:rPr>
                <w:szCs w:val="20"/>
              </w:rPr>
              <w:t>31 (48)</w:t>
            </w:r>
          </w:p>
        </w:tc>
        <w:tc>
          <w:tcPr>
            <w:tcW w:w="613" w:type="pct"/>
            <w:noWrap/>
            <w:hideMark/>
          </w:tcPr>
          <w:p w:rsidR="00703BF2" w:rsidRPr="005802E9" w:rsidRDefault="00703BF2" w:rsidP="00703BF2">
            <w:pPr>
              <w:pStyle w:val="TableText"/>
              <w:keepNext w:val="0"/>
              <w:widowControl w:val="0"/>
              <w:rPr>
                <w:szCs w:val="20"/>
              </w:rPr>
            </w:pPr>
            <w:r w:rsidRPr="005802E9">
              <w:rPr>
                <w:szCs w:val="20"/>
              </w:rPr>
              <w:t>9 (14)</w:t>
            </w:r>
          </w:p>
        </w:tc>
        <w:tc>
          <w:tcPr>
            <w:tcW w:w="614" w:type="pct"/>
            <w:noWrap/>
            <w:hideMark/>
          </w:tcPr>
          <w:p w:rsidR="00703BF2" w:rsidRPr="005802E9" w:rsidRDefault="00703BF2" w:rsidP="00703BF2">
            <w:pPr>
              <w:pStyle w:val="TableText"/>
              <w:keepNext w:val="0"/>
              <w:widowControl w:val="0"/>
              <w:rPr>
                <w:szCs w:val="20"/>
              </w:rPr>
            </w:pPr>
            <w:r w:rsidRPr="005802E9">
              <w:rPr>
                <w:szCs w:val="20"/>
              </w:rPr>
              <w:t>19 (30)</w:t>
            </w:r>
          </w:p>
        </w:tc>
        <w:tc>
          <w:tcPr>
            <w:tcW w:w="613" w:type="pct"/>
            <w:noWrap/>
            <w:hideMark/>
          </w:tcPr>
          <w:p w:rsidR="00703BF2" w:rsidRPr="005802E9" w:rsidRDefault="00703BF2" w:rsidP="00703BF2">
            <w:pPr>
              <w:pStyle w:val="TableText"/>
              <w:keepNext w:val="0"/>
              <w:widowControl w:val="0"/>
              <w:rPr>
                <w:szCs w:val="20"/>
              </w:rPr>
            </w:pPr>
            <w:r w:rsidRPr="005802E9">
              <w:rPr>
                <w:szCs w:val="20"/>
              </w:rPr>
              <w:t>3 (5)</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2 (3)</w:t>
            </w:r>
          </w:p>
        </w:tc>
        <w:tc>
          <w:tcPr>
            <w:tcW w:w="614" w:type="pct"/>
            <w:noWrap/>
            <w:hideMark/>
          </w:tcPr>
          <w:p w:rsidR="00703BF2" w:rsidRPr="005802E9" w:rsidRDefault="00703BF2" w:rsidP="00703BF2">
            <w:pPr>
              <w:pStyle w:val="TableText"/>
              <w:keepNext w:val="0"/>
              <w:widowControl w:val="0"/>
              <w:rPr>
                <w:szCs w:val="20"/>
              </w:rPr>
            </w:pPr>
            <w:r w:rsidRPr="005802E9">
              <w:rPr>
                <w:szCs w:val="20"/>
              </w:rPr>
              <w:t>64</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1</w:t>
            </w:r>
          </w:p>
        </w:tc>
        <w:tc>
          <w:tcPr>
            <w:tcW w:w="613" w:type="pct"/>
            <w:noWrap/>
            <w:hideMark/>
          </w:tcPr>
          <w:p w:rsidR="00703BF2" w:rsidRPr="005802E9" w:rsidRDefault="00703BF2" w:rsidP="00703BF2">
            <w:pPr>
              <w:pStyle w:val="TableText"/>
              <w:keepNext w:val="0"/>
              <w:widowControl w:val="0"/>
              <w:rPr>
                <w:szCs w:val="20"/>
              </w:rPr>
            </w:pPr>
            <w:r w:rsidRPr="005802E9">
              <w:rPr>
                <w:szCs w:val="20"/>
              </w:rPr>
              <w:t>20 (17)</w:t>
            </w:r>
          </w:p>
        </w:tc>
        <w:tc>
          <w:tcPr>
            <w:tcW w:w="613" w:type="pct"/>
            <w:noWrap/>
            <w:hideMark/>
          </w:tcPr>
          <w:p w:rsidR="00703BF2" w:rsidRPr="005802E9" w:rsidRDefault="00703BF2" w:rsidP="00703BF2">
            <w:pPr>
              <w:pStyle w:val="TableText"/>
              <w:keepNext w:val="0"/>
              <w:widowControl w:val="0"/>
              <w:rPr>
                <w:szCs w:val="20"/>
              </w:rPr>
            </w:pPr>
            <w:r w:rsidRPr="005802E9">
              <w:rPr>
                <w:szCs w:val="20"/>
              </w:rPr>
              <w:t>54 (47)</w:t>
            </w:r>
          </w:p>
        </w:tc>
        <w:tc>
          <w:tcPr>
            <w:tcW w:w="614" w:type="pct"/>
            <w:noWrap/>
            <w:hideMark/>
          </w:tcPr>
          <w:p w:rsidR="00703BF2" w:rsidRPr="005802E9" w:rsidRDefault="00703BF2" w:rsidP="00703BF2">
            <w:pPr>
              <w:pStyle w:val="TableText"/>
              <w:keepNext w:val="0"/>
              <w:widowControl w:val="0"/>
              <w:rPr>
                <w:szCs w:val="20"/>
              </w:rPr>
            </w:pPr>
            <w:r w:rsidRPr="005802E9">
              <w:rPr>
                <w:szCs w:val="20"/>
              </w:rPr>
              <w:t>34 (29)</w:t>
            </w:r>
          </w:p>
        </w:tc>
        <w:tc>
          <w:tcPr>
            <w:tcW w:w="613" w:type="pct"/>
            <w:noWrap/>
            <w:hideMark/>
          </w:tcPr>
          <w:p w:rsidR="00703BF2" w:rsidRPr="005802E9" w:rsidRDefault="00703BF2" w:rsidP="00703BF2">
            <w:pPr>
              <w:pStyle w:val="TableText"/>
              <w:keepNext w:val="0"/>
              <w:widowControl w:val="0"/>
              <w:rPr>
                <w:szCs w:val="20"/>
              </w:rPr>
            </w:pPr>
            <w:r w:rsidRPr="005802E9">
              <w:rPr>
                <w:szCs w:val="20"/>
              </w:rPr>
              <w:t>6 (5)</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2 (2)</w:t>
            </w:r>
          </w:p>
        </w:tc>
        <w:tc>
          <w:tcPr>
            <w:tcW w:w="614" w:type="pct"/>
            <w:noWrap/>
            <w:hideMark/>
          </w:tcPr>
          <w:p w:rsidR="00703BF2" w:rsidRPr="005802E9" w:rsidRDefault="00703BF2" w:rsidP="00703BF2">
            <w:pPr>
              <w:pStyle w:val="TableText"/>
              <w:keepNext w:val="0"/>
              <w:widowControl w:val="0"/>
              <w:rPr>
                <w:szCs w:val="20"/>
              </w:rPr>
            </w:pPr>
            <w:r w:rsidRPr="005802E9">
              <w:rPr>
                <w:szCs w:val="20"/>
              </w:rPr>
              <w:t>116</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2</w:t>
            </w:r>
          </w:p>
        </w:tc>
        <w:tc>
          <w:tcPr>
            <w:tcW w:w="613" w:type="pct"/>
            <w:noWrap/>
            <w:hideMark/>
          </w:tcPr>
          <w:p w:rsidR="00703BF2" w:rsidRPr="005802E9" w:rsidRDefault="00703BF2" w:rsidP="00703BF2">
            <w:pPr>
              <w:pStyle w:val="TableText"/>
              <w:keepNext w:val="0"/>
              <w:widowControl w:val="0"/>
              <w:rPr>
                <w:szCs w:val="20"/>
              </w:rPr>
            </w:pPr>
            <w:r w:rsidRPr="005802E9">
              <w:rPr>
                <w:szCs w:val="20"/>
              </w:rPr>
              <w:t>13 (7)</w:t>
            </w:r>
          </w:p>
        </w:tc>
        <w:tc>
          <w:tcPr>
            <w:tcW w:w="613" w:type="pct"/>
            <w:noWrap/>
            <w:hideMark/>
          </w:tcPr>
          <w:p w:rsidR="00703BF2" w:rsidRPr="005802E9" w:rsidRDefault="00703BF2" w:rsidP="00703BF2">
            <w:pPr>
              <w:pStyle w:val="TableText"/>
              <w:keepNext w:val="0"/>
              <w:widowControl w:val="0"/>
              <w:rPr>
                <w:szCs w:val="20"/>
              </w:rPr>
            </w:pPr>
            <w:r w:rsidRPr="005802E9">
              <w:rPr>
                <w:szCs w:val="20"/>
              </w:rPr>
              <w:t>43 (24)</w:t>
            </w:r>
          </w:p>
        </w:tc>
        <w:tc>
          <w:tcPr>
            <w:tcW w:w="614" w:type="pct"/>
            <w:noWrap/>
            <w:hideMark/>
          </w:tcPr>
          <w:p w:rsidR="00703BF2" w:rsidRPr="005802E9" w:rsidRDefault="00703BF2" w:rsidP="00703BF2">
            <w:pPr>
              <w:pStyle w:val="TableText"/>
              <w:keepNext w:val="0"/>
              <w:widowControl w:val="0"/>
              <w:rPr>
                <w:szCs w:val="20"/>
              </w:rPr>
            </w:pPr>
            <w:r w:rsidRPr="005802E9">
              <w:rPr>
                <w:szCs w:val="20"/>
              </w:rPr>
              <w:t>83 (47)</w:t>
            </w:r>
          </w:p>
        </w:tc>
        <w:tc>
          <w:tcPr>
            <w:tcW w:w="613" w:type="pct"/>
            <w:noWrap/>
            <w:hideMark/>
          </w:tcPr>
          <w:p w:rsidR="00703BF2" w:rsidRPr="005802E9" w:rsidRDefault="00703BF2" w:rsidP="00703BF2">
            <w:pPr>
              <w:pStyle w:val="TableText"/>
              <w:keepNext w:val="0"/>
              <w:widowControl w:val="0"/>
              <w:rPr>
                <w:szCs w:val="20"/>
              </w:rPr>
            </w:pPr>
            <w:r w:rsidRPr="005802E9">
              <w:rPr>
                <w:szCs w:val="20"/>
              </w:rPr>
              <w:t>30 (17)</w:t>
            </w:r>
          </w:p>
        </w:tc>
        <w:tc>
          <w:tcPr>
            <w:tcW w:w="614" w:type="pct"/>
            <w:noWrap/>
            <w:hideMark/>
          </w:tcPr>
          <w:p w:rsidR="00703BF2" w:rsidRPr="005802E9" w:rsidRDefault="00703BF2" w:rsidP="00703BF2">
            <w:pPr>
              <w:pStyle w:val="TableText"/>
              <w:keepNext w:val="0"/>
              <w:widowControl w:val="0"/>
              <w:rPr>
                <w:szCs w:val="20"/>
              </w:rPr>
            </w:pPr>
            <w:r w:rsidRPr="005802E9">
              <w:rPr>
                <w:szCs w:val="20"/>
              </w:rPr>
              <w:t>1 (1)</w:t>
            </w:r>
          </w:p>
        </w:tc>
        <w:tc>
          <w:tcPr>
            <w:tcW w:w="613" w:type="pct"/>
            <w:noWrap/>
            <w:hideMark/>
          </w:tcPr>
          <w:p w:rsidR="00703BF2" w:rsidRPr="005802E9" w:rsidRDefault="00703BF2" w:rsidP="00703BF2">
            <w:pPr>
              <w:pStyle w:val="TableText"/>
              <w:keepNext w:val="0"/>
              <w:widowControl w:val="0"/>
              <w:rPr>
                <w:szCs w:val="20"/>
              </w:rPr>
            </w:pPr>
            <w:r w:rsidRPr="005802E9">
              <w:rPr>
                <w:szCs w:val="20"/>
              </w:rPr>
              <w:t>7 (4)</w:t>
            </w:r>
          </w:p>
        </w:tc>
        <w:tc>
          <w:tcPr>
            <w:tcW w:w="614" w:type="pct"/>
            <w:noWrap/>
            <w:hideMark/>
          </w:tcPr>
          <w:p w:rsidR="00703BF2" w:rsidRPr="005802E9" w:rsidRDefault="00703BF2" w:rsidP="00703BF2">
            <w:pPr>
              <w:pStyle w:val="TableText"/>
              <w:keepNext w:val="0"/>
              <w:widowControl w:val="0"/>
              <w:rPr>
                <w:szCs w:val="20"/>
              </w:rPr>
            </w:pPr>
            <w:r w:rsidRPr="005802E9">
              <w:rPr>
                <w:szCs w:val="20"/>
              </w:rPr>
              <w:t>177</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3</w:t>
            </w:r>
          </w:p>
        </w:tc>
        <w:tc>
          <w:tcPr>
            <w:tcW w:w="613" w:type="pct"/>
            <w:noWrap/>
            <w:hideMark/>
          </w:tcPr>
          <w:p w:rsidR="00703BF2" w:rsidRPr="005802E9" w:rsidRDefault="00703BF2" w:rsidP="00703BF2">
            <w:pPr>
              <w:pStyle w:val="TableText"/>
              <w:keepNext w:val="0"/>
              <w:widowControl w:val="0"/>
              <w:rPr>
                <w:szCs w:val="20"/>
              </w:rPr>
            </w:pPr>
            <w:r w:rsidRPr="005802E9">
              <w:rPr>
                <w:szCs w:val="20"/>
              </w:rPr>
              <w:t>2 (4)</w:t>
            </w:r>
          </w:p>
        </w:tc>
        <w:tc>
          <w:tcPr>
            <w:tcW w:w="613" w:type="pct"/>
            <w:noWrap/>
            <w:hideMark/>
          </w:tcPr>
          <w:p w:rsidR="00703BF2" w:rsidRPr="005802E9" w:rsidRDefault="00703BF2" w:rsidP="00703BF2">
            <w:pPr>
              <w:pStyle w:val="TableText"/>
              <w:keepNext w:val="0"/>
              <w:widowControl w:val="0"/>
              <w:rPr>
                <w:szCs w:val="20"/>
              </w:rPr>
            </w:pPr>
            <w:r w:rsidRPr="005802E9">
              <w:rPr>
                <w:szCs w:val="20"/>
              </w:rPr>
              <w:t>7 (13)</w:t>
            </w:r>
          </w:p>
        </w:tc>
        <w:tc>
          <w:tcPr>
            <w:tcW w:w="614" w:type="pct"/>
            <w:noWrap/>
            <w:hideMark/>
          </w:tcPr>
          <w:p w:rsidR="00703BF2" w:rsidRPr="005802E9" w:rsidRDefault="00703BF2" w:rsidP="00703BF2">
            <w:pPr>
              <w:pStyle w:val="TableText"/>
              <w:keepNext w:val="0"/>
              <w:widowControl w:val="0"/>
              <w:rPr>
                <w:szCs w:val="20"/>
              </w:rPr>
            </w:pPr>
            <w:r w:rsidRPr="005802E9">
              <w:rPr>
                <w:szCs w:val="20"/>
              </w:rPr>
              <w:t>15 (29)</w:t>
            </w:r>
          </w:p>
        </w:tc>
        <w:tc>
          <w:tcPr>
            <w:tcW w:w="613" w:type="pct"/>
            <w:noWrap/>
            <w:hideMark/>
          </w:tcPr>
          <w:p w:rsidR="00703BF2" w:rsidRPr="005802E9" w:rsidRDefault="00703BF2" w:rsidP="00703BF2">
            <w:pPr>
              <w:pStyle w:val="TableText"/>
              <w:keepNext w:val="0"/>
              <w:widowControl w:val="0"/>
              <w:rPr>
                <w:szCs w:val="20"/>
              </w:rPr>
            </w:pPr>
            <w:r w:rsidRPr="005802E9">
              <w:rPr>
                <w:szCs w:val="20"/>
              </w:rPr>
              <w:t>24 (46)</w:t>
            </w:r>
          </w:p>
        </w:tc>
        <w:tc>
          <w:tcPr>
            <w:tcW w:w="614" w:type="pct"/>
            <w:noWrap/>
            <w:hideMark/>
          </w:tcPr>
          <w:p w:rsidR="00703BF2" w:rsidRPr="005802E9" w:rsidRDefault="00703BF2" w:rsidP="00703BF2">
            <w:pPr>
              <w:pStyle w:val="TableText"/>
              <w:keepNext w:val="0"/>
              <w:widowControl w:val="0"/>
              <w:rPr>
                <w:szCs w:val="20"/>
              </w:rPr>
            </w:pPr>
            <w:r w:rsidRPr="005802E9">
              <w:rPr>
                <w:szCs w:val="20"/>
              </w:rPr>
              <w:t>3 (6)</w:t>
            </w:r>
          </w:p>
        </w:tc>
        <w:tc>
          <w:tcPr>
            <w:tcW w:w="613" w:type="pct"/>
            <w:noWrap/>
            <w:hideMark/>
          </w:tcPr>
          <w:p w:rsidR="00703BF2" w:rsidRPr="005802E9" w:rsidRDefault="00703BF2" w:rsidP="00703BF2">
            <w:pPr>
              <w:pStyle w:val="TableText"/>
              <w:keepNext w:val="0"/>
              <w:widowControl w:val="0"/>
              <w:rPr>
                <w:szCs w:val="20"/>
              </w:rPr>
            </w:pPr>
            <w:r w:rsidRPr="005802E9">
              <w:rPr>
                <w:szCs w:val="20"/>
              </w:rPr>
              <w:t>1 (2)</w:t>
            </w:r>
          </w:p>
        </w:tc>
        <w:tc>
          <w:tcPr>
            <w:tcW w:w="614" w:type="pct"/>
            <w:noWrap/>
            <w:hideMark/>
          </w:tcPr>
          <w:p w:rsidR="00703BF2" w:rsidRPr="005802E9" w:rsidRDefault="00703BF2" w:rsidP="00703BF2">
            <w:pPr>
              <w:pStyle w:val="TableText"/>
              <w:keepNext w:val="0"/>
              <w:widowControl w:val="0"/>
              <w:rPr>
                <w:szCs w:val="20"/>
              </w:rPr>
            </w:pPr>
            <w:r w:rsidRPr="005802E9">
              <w:rPr>
                <w:szCs w:val="20"/>
              </w:rPr>
              <w:t>52</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lastRenderedPageBreak/>
              <w:t>4</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1 (25)</w:t>
            </w:r>
          </w:p>
        </w:tc>
        <w:tc>
          <w:tcPr>
            <w:tcW w:w="613" w:type="pct"/>
            <w:noWrap/>
            <w:hideMark/>
          </w:tcPr>
          <w:p w:rsidR="00703BF2" w:rsidRPr="005802E9" w:rsidRDefault="00703BF2" w:rsidP="00703BF2">
            <w:pPr>
              <w:pStyle w:val="TableText"/>
              <w:keepNext w:val="0"/>
              <w:widowControl w:val="0"/>
              <w:rPr>
                <w:szCs w:val="20"/>
              </w:rPr>
            </w:pPr>
            <w:r w:rsidRPr="005802E9">
              <w:rPr>
                <w:szCs w:val="20"/>
              </w:rPr>
              <w:t>2 (50)</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1 (25)</w:t>
            </w:r>
          </w:p>
        </w:tc>
        <w:tc>
          <w:tcPr>
            <w:tcW w:w="614" w:type="pct"/>
            <w:noWrap/>
            <w:hideMark/>
          </w:tcPr>
          <w:p w:rsidR="00703BF2" w:rsidRPr="005802E9" w:rsidRDefault="00703BF2" w:rsidP="00703BF2">
            <w:pPr>
              <w:pStyle w:val="TableText"/>
              <w:keepNext w:val="0"/>
              <w:widowControl w:val="0"/>
              <w:rPr>
                <w:szCs w:val="20"/>
              </w:rPr>
            </w:pPr>
            <w:r w:rsidRPr="005802E9">
              <w:rPr>
                <w:szCs w:val="20"/>
              </w:rPr>
              <w:t>4</w:t>
            </w:r>
          </w:p>
        </w:tc>
      </w:tr>
      <w:tr w:rsidR="00703BF2" w:rsidRPr="005802E9" w:rsidTr="00703BF2">
        <w:trPr>
          <w:cantSplit/>
          <w:trHeight w:val="288"/>
        </w:trPr>
        <w:tc>
          <w:tcPr>
            <w:tcW w:w="5000" w:type="pct"/>
            <w:gridSpan w:val="8"/>
            <w:noWrap/>
            <w:hideMark/>
          </w:tcPr>
          <w:p w:rsidR="00703BF2" w:rsidRPr="005802E9" w:rsidRDefault="00703BF2" w:rsidP="00703BF2">
            <w:pPr>
              <w:pStyle w:val="TableText"/>
              <w:keepNext w:val="0"/>
              <w:widowControl w:val="0"/>
              <w:rPr>
                <w:szCs w:val="20"/>
              </w:rPr>
            </w:pPr>
            <w:r w:rsidRPr="005802E9">
              <w:rPr>
                <w:szCs w:val="20"/>
              </w:rPr>
              <w:t>Cycle 8</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0</w:t>
            </w:r>
          </w:p>
        </w:tc>
        <w:tc>
          <w:tcPr>
            <w:tcW w:w="613" w:type="pct"/>
            <w:noWrap/>
            <w:hideMark/>
          </w:tcPr>
          <w:p w:rsidR="00703BF2" w:rsidRPr="005802E9" w:rsidRDefault="00703BF2" w:rsidP="00703BF2">
            <w:pPr>
              <w:pStyle w:val="TableText"/>
              <w:keepNext w:val="0"/>
              <w:widowControl w:val="0"/>
              <w:rPr>
                <w:szCs w:val="20"/>
              </w:rPr>
            </w:pPr>
            <w:r w:rsidRPr="005802E9">
              <w:rPr>
                <w:szCs w:val="20"/>
              </w:rPr>
              <w:t>41 (62)</w:t>
            </w:r>
          </w:p>
        </w:tc>
        <w:tc>
          <w:tcPr>
            <w:tcW w:w="613" w:type="pct"/>
            <w:noWrap/>
            <w:hideMark/>
          </w:tcPr>
          <w:p w:rsidR="00703BF2" w:rsidRPr="005802E9" w:rsidRDefault="00703BF2" w:rsidP="00703BF2">
            <w:pPr>
              <w:pStyle w:val="TableText"/>
              <w:keepNext w:val="0"/>
              <w:widowControl w:val="0"/>
              <w:rPr>
                <w:szCs w:val="20"/>
              </w:rPr>
            </w:pPr>
            <w:r w:rsidRPr="005802E9">
              <w:rPr>
                <w:szCs w:val="20"/>
              </w:rPr>
              <w:t>8 (12)</w:t>
            </w:r>
          </w:p>
        </w:tc>
        <w:tc>
          <w:tcPr>
            <w:tcW w:w="614" w:type="pct"/>
            <w:noWrap/>
            <w:hideMark/>
          </w:tcPr>
          <w:p w:rsidR="00703BF2" w:rsidRPr="005802E9" w:rsidRDefault="00703BF2" w:rsidP="00703BF2">
            <w:pPr>
              <w:pStyle w:val="TableText"/>
              <w:keepNext w:val="0"/>
              <w:widowControl w:val="0"/>
              <w:rPr>
                <w:szCs w:val="20"/>
              </w:rPr>
            </w:pPr>
            <w:r w:rsidRPr="005802E9">
              <w:rPr>
                <w:szCs w:val="20"/>
              </w:rPr>
              <w:t>12 (18)</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5 (8)</w:t>
            </w:r>
          </w:p>
        </w:tc>
        <w:tc>
          <w:tcPr>
            <w:tcW w:w="614" w:type="pct"/>
            <w:noWrap/>
            <w:hideMark/>
          </w:tcPr>
          <w:p w:rsidR="00703BF2" w:rsidRPr="005802E9" w:rsidRDefault="00703BF2" w:rsidP="00703BF2">
            <w:pPr>
              <w:pStyle w:val="TableText"/>
              <w:keepNext w:val="0"/>
              <w:widowControl w:val="0"/>
              <w:rPr>
                <w:szCs w:val="20"/>
              </w:rPr>
            </w:pPr>
            <w:r w:rsidRPr="005802E9">
              <w:rPr>
                <w:szCs w:val="20"/>
              </w:rPr>
              <w:t>66</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1</w:t>
            </w:r>
          </w:p>
        </w:tc>
        <w:tc>
          <w:tcPr>
            <w:tcW w:w="613" w:type="pct"/>
            <w:noWrap/>
            <w:hideMark/>
          </w:tcPr>
          <w:p w:rsidR="00703BF2" w:rsidRPr="005802E9" w:rsidRDefault="00703BF2" w:rsidP="00703BF2">
            <w:pPr>
              <w:pStyle w:val="TableText"/>
              <w:keepNext w:val="0"/>
              <w:widowControl w:val="0"/>
              <w:rPr>
                <w:szCs w:val="20"/>
              </w:rPr>
            </w:pPr>
            <w:r w:rsidRPr="005802E9">
              <w:rPr>
                <w:szCs w:val="20"/>
              </w:rPr>
              <w:t>17 (15)</w:t>
            </w:r>
          </w:p>
        </w:tc>
        <w:tc>
          <w:tcPr>
            <w:tcW w:w="613" w:type="pct"/>
            <w:noWrap/>
            <w:hideMark/>
          </w:tcPr>
          <w:p w:rsidR="00703BF2" w:rsidRPr="005802E9" w:rsidRDefault="00703BF2" w:rsidP="00703BF2">
            <w:pPr>
              <w:pStyle w:val="TableText"/>
              <w:keepNext w:val="0"/>
              <w:widowControl w:val="0"/>
              <w:rPr>
                <w:szCs w:val="20"/>
              </w:rPr>
            </w:pPr>
            <w:r w:rsidRPr="005802E9">
              <w:rPr>
                <w:szCs w:val="20"/>
              </w:rPr>
              <w:t>45 (40)</w:t>
            </w:r>
          </w:p>
        </w:tc>
        <w:tc>
          <w:tcPr>
            <w:tcW w:w="614" w:type="pct"/>
            <w:noWrap/>
            <w:hideMark/>
          </w:tcPr>
          <w:p w:rsidR="00703BF2" w:rsidRPr="005802E9" w:rsidRDefault="00703BF2" w:rsidP="00703BF2">
            <w:pPr>
              <w:pStyle w:val="TableText"/>
              <w:keepNext w:val="0"/>
              <w:widowControl w:val="0"/>
              <w:rPr>
                <w:szCs w:val="20"/>
              </w:rPr>
            </w:pPr>
            <w:r w:rsidRPr="005802E9">
              <w:rPr>
                <w:szCs w:val="20"/>
              </w:rPr>
              <w:t>37 (33)</w:t>
            </w:r>
          </w:p>
        </w:tc>
        <w:tc>
          <w:tcPr>
            <w:tcW w:w="613" w:type="pct"/>
            <w:noWrap/>
            <w:hideMark/>
          </w:tcPr>
          <w:p w:rsidR="00703BF2" w:rsidRPr="005802E9" w:rsidRDefault="00703BF2" w:rsidP="00703BF2">
            <w:pPr>
              <w:pStyle w:val="TableText"/>
              <w:keepNext w:val="0"/>
              <w:widowControl w:val="0"/>
              <w:rPr>
                <w:szCs w:val="20"/>
              </w:rPr>
            </w:pPr>
            <w:r w:rsidRPr="005802E9">
              <w:rPr>
                <w:szCs w:val="20"/>
              </w:rPr>
              <w:t>8 (7)</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6 (5)</w:t>
            </w:r>
          </w:p>
        </w:tc>
        <w:tc>
          <w:tcPr>
            <w:tcW w:w="614" w:type="pct"/>
            <w:noWrap/>
            <w:hideMark/>
          </w:tcPr>
          <w:p w:rsidR="00703BF2" w:rsidRPr="005802E9" w:rsidRDefault="00703BF2" w:rsidP="00703BF2">
            <w:pPr>
              <w:pStyle w:val="TableText"/>
              <w:keepNext w:val="0"/>
              <w:widowControl w:val="0"/>
              <w:rPr>
                <w:szCs w:val="20"/>
              </w:rPr>
            </w:pPr>
            <w:r w:rsidRPr="005802E9">
              <w:rPr>
                <w:szCs w:val="20"/>
              </w:rPr>
              <w:t>113</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2</w:t>
            </w:r>
          </w:p>
        </w:tc>
        <w:tc>
          <w:tcPr>
            <w:tcW w:w="613" w:type="pct"/>
            <w:noWrap/>
            <w:hideMark/>
          </w:tcPr>
          <w:p w:rsidR="00703BF2" w:rsidRPr="005802E9" w:rsidRDefault="00703BF2" w:rsidP="00703BF2">
            <w:pPr>
              <w:pStyle w:val="TableText"/>
              <w:keepNext w:val="0"/>
              <w:widowControl w:val="0"/>
              <w:rPr>
                <w:szCs w:val="20"/>
              </w:rPr>
            </w:pPr>
            <w:r w:rsidRPr="005802E9">
              <w:rPr>
                <w:szCs w:val="20"/>
              </w:rPr>
              <w:t>20 (13)</w:t>
            </w:r>
          </w:p>
        </w:tc>
        <w:tc>
          <w:tcPr>
            <w:tcW w:w="613" w:type="pct"/>
            <w:noWrap/>
            <w:hideMark/>
          </w:tcPr>
          <w:p w:rsidR="00703BF2" w:rsidRPr="005802E9" w:rsidRDefault="00703BF2" w:rsidP="00703BF2">
            <w:pPr>
              <w:pStyle w:val="TableText"/>
              <w:keepNext w:val="0"/>
              <w:widowControl w:val="0"/>
              <w:rPr>
                <w:szCs w:val="20"/>
              </w:rPr>
            </w:pPr>
            <w:r w:rsidRPr="005802E9">
              <w:rPr>
                <w:szCs w:val="20"/>
              </w:rPr>
              <w:t>46 (30)</w:t>
            </w:r>
          </w:p>
        </w:tc>
        <w:tc>
          <w:tcPr>
            <w:tcW w:w="614" w:type="pct"/>
            <w:noWrap/>
            <w:hideMark/>
          </w:tcPr>
          <w:p w:rsidR="00703BF2" w:rsidRPr="005802E9" w:rsidRDefault="00703BF2" w:rsidP="00703BF2">
            <w:pPr>
              <w:pStyle w:val="TableText"/>
              <w:keepNext w:val="0"/>
              <w:widowControl w:val="0"/>
              <w:rPr>
                <w:szCs w:val="20"/>
              </w:rPr>
            </w:pPr>
            <w:r w:rsidRPr="005802E9">
              <w:rPr>
                <w:szCs w:val="20"/>
              </w:rPr>
              <w:t>58 (38)</w:t>
            </w:r>
          </w:p>
        </w:tc>
        <w:tc>
          <w:tcPr>
            <w:tcW w:w="613" w:type="pct"/>
            <w:noWrap/>
            <w:hideMark/>
          </w:tcPr>
          <w:p w:rsidR="00703BF2" w:rsidRPr="005802E9" w:rsidRDefault="00703BF2" w:rsidP="00703BF2">
            <w:pPr>
              <w:pStyle w:val="TableText"/>
              <w:keepNext w:val="0"/>
              <w:widowControl w:val="0"/>
              <w:rPr>
                <w:szCs w:val="20"/>
              </w:rPr>
            </w:pPr>
            <w:r w:rsidRPr="005802E9">
              <w:rPr>
                <w:szCs w:val="20"/>
              </w:rPr>
              <w:t>20 (13)</w:t>
            </w:r>
          </w:p>
        </w:tc>
        <w:tc>
          <w:tcPr>
            <w:tcW w:w="614" w:type="pct"/>
            <w:noWrap/>
            <w:hideMark/>
          </w:tcPr>
          <w:p w:rsidR="00703BF2" w:rsidRPr="005802E9" w:rsidRDefault="00703BF2" w:rsidP="00703BF2">
            <w:pPr>
              <w:pStyle w:val="TableText"/>
              <w:keepNext w:val="0"/>
              <w:widowControl w:val="0"/>
              <w:rPr>
                <w:szCs w:val="20"/>
              </w:rPr>
            </w:pPr>
            <w:r w:rsidRPr="005802E9">
              <w:rPr>
                <w:szCs w:val="20"/>
              </w:rPr>
              <w:t>1 (1)</w:t>
            </w:r>
          </w:p>
        </w:tc>
        <w:tc>
          <w:tcPr>
            <w:tcW w:w="613" w:type="pct"/>
            <w:noWrap/>
            <w:hideMark/>
          </w:tcPr>
          <w:p w:rsidR="00703BF2" w:rsidRPr="005802E9" w:rsidRDefault="00703BF2" w:rsidP="00703BF2">
            <w:pPr>
              <w:pStyle w:val="TableText"/>
              <w:keepNext w:val="0"/>
              <w:widowControl w:val="0"/>
              <w:rPr>
                <w:szCs w:val="20"/>
              </w:rPr>
            </w:pPr>
            <w:r w:rsidRPr="005802E9">
              <w:rPr>
                <w:szCs w:val="20"/>
              </w:rPr>
              <w:t>7 (5)</w:t>
            </w:r>
          </w:p>
        </w:tc>
        <w:tc>
          <w:tcPr>
            <w:tcW w:w="614" w:type="pct"/>
            <w:noWrap/>
            <w:hideMark/>
          </w:tcPr>
          <w:p w:rsidR="00703BF2" w:rsidRPr="005802E9" w:rsidRDefault="00703BF2" w:rsidP="00703BF2">
            <w:pPr>
              <w:pStyle w:val="TableText"/>
              <w:keepNext w:val="0"/>
              <w:widowControl w:val="0"/>
              <w:rPr>
                <w:szCs w:val="20"/>
              </w:rPr>
            </w:pPr>
            <w:r w:rsidRPr="005802E9">
              <w:rPr>
                <w:szCs w:val="20"/>
              </w:rPr>
              <w:t>152</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3</w:t>
            </w:r>
          </w:p>
        </w:tc>
        <w:tc>
          <w:tcPr>
            <w:tcW w:w="613" w:type="pct"/>
            <w:noWrap/>
            <w:hideMark/>
          </w:tcPr>
          <w:p w:rsidR="00703BF2" w:rsidRPr="005802E9" w:rsidRDefault="00703BF2" w:rsidP="00703BF2">
            <w:pPr>
              <w:pStyle w:val="TableText"/>
              <w:keepNext w:val="0"/>
              <w:widowControl w:val="0"/>
              <w:rPr>
                <w:szCs w:val="20"/>
              </w:rPr>
            </w:pPr>
            <w:r w:rsidRPr="005802E9">
              <w:rPr>
                <w:szCs w:val="20"/>
              </w:rPr>
              <w:t>2 (3)</w:t>
            </w:r>
          </w:p>
        </w:tc>
        <w:tc>
          <w:tcPr>
            <w:tcW w:w="613" w:type="pct"/>
            <w:noWrap/>
            <w:hideMark/>
          </w:tcPr>
          <w:p w:rsidR="00703BF2" w:rsidRPr="005802E9" w:rsidRDefault="00703BF2" w:rsidP="00703BF2">
            <w:pPr>
              <w:pStyle w:val="TableText"/>
              <w:keepNext w:val="0"/>
              <w:widowControl w:val="0"/>
              <w:rPr>
                <w:szCs w:val="20"/>
              </w:rPr>
            </w:pPr>
            <w:r w:rsidRPr="005802E9">
              <w:rPr>
                <w:szCs w:val="20"/>
              </w:rPr>
              <w:t>2 (3)</w:t>
            </w:r>
          </w:p>
        </w:tc>
        <w:tc>
          <w:tcPr>
            <w:tcW w:w="614" w:type="pct"/>
            <w:noWrap/>
            <w:hideMark/>
          </w:tcPr>
          <w:p w:rsidR="00703BF2" w:rsidRPr="005802E9" w:rsidRDefault="00703BF2" w:rsidP="00703BF2">
            <w:pPr>
              <w:pStyle w:val="TableText"/>
              <w:keepNext w:val="0"/>
              <w:widowControl w:val="0"/>
              <w:rPr>
                <w:szCs w:val="20"/>
              </w:rPr>
            </w:pPr>
            <w:r w:rsidRPr="005802E9">
              <w:rPr>
                <w:szCs w:val="20"/>
              </w:rPr>
              <w:t>22 (34)</w:t>
            </w:r>
          </w:p>
        </w:tc>
        <w:tc>
          <w:tcPr>
            <w:tcW w:w="613" w:type="pct"/>
            <w:noWrap/>
            <w:hideMark/>
          </w:tcPr>
          <w:p w:rsidR="00703BF2" w:rsidRPr="005802E9" w:rsidRDefault="00703BF2" w:rsidP="00703BF2">
            <w:pPr>
              <w:pStyle w:val="TableText"/>
              <w:keepNext w:val="0"/>
              <w:widowControl w:val="0"/>
              <w:rPr>
                <w:szCs w:val="20"/>
              </w:rPr>
            </w:pPr>
            <w:r w:rsidRPr="005802E9">
              <w:rPr>
                <w:szCs w:val="20"/>
              </w:rPr>
              <w:t>33 (51)</w:t>
            </w:r>
          </w:p>
        </w:tc>
        <w:tc>
          <w:tcPr>
            <w:tcW w:w="614" w:type="pct"/>
            <w:noWrap/>
            <w:hideMark/>
          </w:tcPr>
          <w:p w:rsidR="00703BF2" w:rsidRPr="005802E9" w:rsidRDefault="00703BF2" w:rsidP="00703BF2">
            <w:pPr>
              <w:pStyle w:val="TableText"/>
              <w:keepNext w:val="0"/>
              <w:widowControl w:val="0"/>
              <w:rPr>
                <w:szCs w:val="20"/>
              </w:rPr>
            </w:pPr>
            <w:r w:rsidRPr="005802E9">
              <w:rPr>
                <w:szCs w:val="20"/>
              </w:rPr>
              <w:t>2 (3)</w:t>
            </w:r>
          </w:p>
        </w:tc>
        <w:tc>
          <w:tcPr>
            <w:tcW w:w="613" w:type="pct"/>
            <w:noWrap/>
            <w:hideMark/>
          </w:tcPr>
          <w:p w:rsidR="00703BF2" w:rsidRPr="005802E9" w:rsidRDefault="00703BF2" w:rsidP="00703BF2">
            <w:pPr>
              <w:pStyle w:val="TableText"/>
              <w:keepNext w:val="0"/>
              <w:widowControl w:val="0"/>
              <w:rPr>
                <w:szCs w:val="20"/>
              </w:rPr>
            </w:pPr>
            <w:r w:rsidRPr="005802E9">
              <w:rPr>
                <w:szCs w:val="20"/>
              </w:rPr>
              <w:t>4 (6)</w:t>
            </w:r>
          </w:p>
        </w:tc>
        <w:tc>
          <w:tcPr>
            <w:tcW w:w="614" w:type="pct"/>
            <w:noWrap/>
            <w:hideMark/>
          </w:tcPr>
          <w:p w:rsidR="00703BF2" w:rsidRPr="005802E9" w:rsidRDefault="00703BF2" w:rsidP="00703BF2">
            <w:pPr>
              <w:pStyle w:val="TableText"/>
              <w:keepNext w:val="0"/>
              <w:widowControl w:val="0"/>
              <w:rPr>
                <w:szCs w:val="20"/>
              </w:rPr>
            </w:pPr>
            <w:r w:rsidRPr="005802E9">
              <w:rPr>
                <w:szCs w:val="20"/>
              </w:rPr>
              <w:t>65</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4</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3 (75)</w:t>
            </w:r>
          </w:p>
        </w:tc>
        <w:tc>
          <w:tcPr>
            <w:tcW w:w="614" w:type="pct"/>
            <w:noWrap/>
            <w:hideMark/>
          </w:tcPr>
          <w:p w:rsidR="00703BF2" w:rsidRPr="005802E9" w:rsidRDefault="00703BF2" w:rsidP="00703BF2">
            <w:pPr>
              <w:pStyle w:val="TableText"/>
              <w:keepNext w:val="0"/>
              <w:widowControl w:val="0"/>
              <w:rPr>
                <w:szCs w:val="20"/>
              </w:rPr>
            </w:pPr>
            <w:r w:rsidRPr="005802E9">
              <w:rPr>
                <w:szCs w:val="20"/>
              </w:rPr>
              <w:t>1 (25)</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4</w:t>
            </w:r>
          </w:p>
        </w:tc>
      </w:tr>
      <w:tr w:rsidR="00703BF2" w:rsidRPr="005802E9" w:rsidTr="00703BF2">
        <w:trPr>
          <w:cantSplit/>
          <w:trHeight w:val="288"/>
        </w:trPr>
        <w:tc>
          <w:tcPr>
            <w:tcW w:w="5000" w:type="pct"/>
            <w:gridSpan w:val="8"/>
            <w:noWrap/>
            <w:hideMark/>
          </w:tcPr>
          <w:p w:rsidR="00703BF2" w:rsidRPr="005802E9" w:rsidRDefault="00703BF2" w:rsidP="00703BF2">
            <w:pPr>
              <w:pStyle w:val="TableText"/>
              <w:keepNext w:val="0"/>
              <w:widowControl w:val="0"/>
              <w:rPr>
                <w:szCs w:val="20"/>
              </w:rPr>
            </w:pPr>
            <w:r w:rsidRPr="005802E9">
              <w:rPr>
                <w:szCs w:val="20"/>
              </w:rPr>
              <w:t>Cycle 9</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0</w:t>
            </w:r>
          </w:p>
        </w:tc>
        <w:tc>
          <w:tcPr>
            <w:tcW w:w="613" w:type="pct"/>
            <w:noWrap/>
            <w:hideMark/>
          </w:tcPr>
          <w:p w:rsidR="00703BF2" w:rsidRPr="005802E9" w:rsidRDefault="00703BF2" w:rsidP="00703BF2">
            <w:pPr>
              <w:pStyle w:val="TableText"/>
              <w:keepNext w:val="0"/>
              <w:widowControl w:val="0"/>
              <w:rPr>
                <w:szCs w:val="20"/>
              </w:rPr>
            </w:pPr>
            <w:r w:rsidRPr="005802E9">
              <w:rPr>
                <w:szCs w:val="20"/>
              </w:rPr>
              <w:t>42 (53)</w:t>
            </w:r>
          </w:p>
        </w:tc>
        <w:tc>
          <w:tcPr>
            <w:tcW w:w="613" w:type="pct"/>
            <w:noWrap/>
            <w:hideMark/>
          </w:tcPr>
          <w:p w:rsidR="00703BF2" w:rsidRPr="005802E9" w:rsidRDefault="00703BF2" w:rsidP="00703BF2">
            <w:pPr>
              <w:pStyle w:val="TableText"/>
              <w:keepNext w:val="0"/>
              <w:widowControl w:val="0"/>
              <w:rPr>
                <w:szCs w:val="20"/>
              </w:rPr>
            </w:pPr>
            <w:r w:rsidRPr="005802E9">
              <w:rPr>
                <w:szCs w:val="20"/>
              </w:rPr>
              <w:t>17 (21)</w:t>
            </w:r>
          </w:p>
        </w:tc>
        <w:tc>
          <w:tcPr>
            <w:tcW w:w="614" w:type="pct"/>
            <w:noWrap/>
            <w:hideMark/>
          </w:tcPr>
          <w:p w:rsidR="00703BF2" w:rsidRPr="005802E9" w:rsidRDefault="00703BF2" w:rsidP="00703BF2">
            <w:pPr>
              <w:pStyle w:val="TableText"/>
              <w:keepNext w:val="0"/>
              <w:widowControl w:val="0"/>
              <w:rPr>
                <w:szCs w:val="20"/>
              </w:rPr>
            </w:pPr>
            <w:r w:rsidRPr="005802E9">
              <w:rPr>
                <w:szCs w:val="20"/>
              </w:rPr>
              <w:t>16 (20)</w:t>
            </w:r>
          </w:p>
        </w:tc>
        <w:tc>
          <w:tcPr>
            <w:tcW w:w="613" w:type="pct"/>
            <w:noWrap/>
            <w:hideMark/>
          </w:tcPr>
          <w:p w:rsidR="00703BF2" w:rsidRPr="005802E9" w:rsidRDefault="00703BF2" w:rsidP="00703BF2">
            <w:pPr>
              <w:pStyle w:val="TableText"/>
              <w:keepNext w:val="0"/>
              <w:widowControl w:val="0"/>
              <w:rPr>
                <w:szCs w:val="20"/>
              </w:rPr>
            </w:pPr>
            <w:r w:rsidRPr="005802E9">
              <w:rPr>
                <w:szCs w:val="20"/>
              </w:rPr>
              <w:t>1 (1)</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4 (5)</w:t>
            </w:r>
          </w:p>
        </w:tc>
        <w:tc>
          <w:tcPr>
            <w:tcW w:w="614" w:type="pct"/>
            <w:noWrap/>
            <w:hideMark/>
          </w:tcPr>
          <w:p w:rsidR="00703BF2" w:rsidRPr="005802E9" w:rsidRDefault="00703BF2" w:rsidP="00703BF2">
            <w:pPr>
              <w:pStyle w:val="TableText"/>
              <w:keepNext w:val="0"/>
              <w:widowControl w:val="0"/>
              <w:rPr>
                <w:szCs w:val="20"/>
              </w:rPr>
            </w:pPr>
            <w:r w:rsidRPr="005802E9">
              <w:rPr>
                <w:szCs w:val="20"/>
              </w:rPr>
              <w:t>80</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1</w:t>
            </w:r>
          </w:p>
        </w:tc>
        <w:tc>
          <w:tcPr>
            <w:tcW w:w="613" w:type="pct"/>
            <w:noWrap/>
            <w:hideMark/>
          </w:tcPr>
          <w:p w:rsidR="00703BF2" w:rsidRPr="005802E9" w:rsidRDefault="00703BF2" w:rsidP="00703BF2">
            <w:pPr>
              <w:pStyle w:val="TableText"/>
              <w:keepNext w:val="0"/>
              <w:widowControl w:val="0"/>
              <w:rPr>
                <w:szCs w:val="20"/>
              </w:rPr>
            </w:pPr>
            <w:r w:rsidRPr="005802E9">
              <w:rPr>
                <w:szCs w:val="20"/>
              </w:rPr>
              <w:t>16 (16)</w:t>
            </w:r>
          </w:p>
        </w:tc>
        <w:tc>
          <w:tcPr>
            <w:tcW w:w="613" w:type="pct"/>
            <w:noWrap/>
            <w:hideMark/>
          </w:tcPr>
          <w:p w:rsidR="00703BF2" w:rsidRPr="005802E9" w:rsidRDefault="00703BF2" w:rsidP="00703BF2">
            <w:pPr>
              <w:pStyle w:val="TableText"/>
              <w:keepNext w:val="0"/>
              <w:widowControl w:val="0"/>
              <w:rPr>
                <w:szCs w:val="20"/>
              </w:rPr>
            </w:pPr>
            <w:r w:rsidRPr="005802E9">
              <w:rPr>
                <w:szCs w:val="20"/>
              </w:rPr>
              <w:t>45 (45)</w:t>
            </w:r>
          </w:p>
        </w:tc>
        <w:tc>
          <w:tcPr>
            <w:tcW w:w="614" w:type="pct"/>
            <w:noWrap/>
            <w:hideMark/>
          </w:tcPr>
          <w:p w:rsidR="00703BF2" w:rsidRPr="005802E9" w:rsidRDefault="00703BF2" w:rsidP="00703BF2">
            <w:pPr>
              <w:pStyle w:val="TableText"/>
              <w:keepNext w:val="0"/>
              <w:widowControl w:val="0"/>
              <w:rPr>
                <w:szCs w:val="20"/>
              </w:rPr>
            </w:pPr>
            <w:r w:rsidRPr="005802E9">
              <w:rPr>
                <w:szCs w:val="20"/>
              </w:rPr>
              <w:t>34 (34)</w:t>
            </w:r>
          </w:p>
        </w:tc>
        <w:tc>
          <w:tcPr>
            <w:tcW w:w="613" w:type="pct"/>
            <w:noWrap/>
            <w:hideMark/>
          </w:tcPr>
          <w:p w:rsidR="00703BF2" w:rsidRPr="005802E9" w:rsidRDefault="00703BF2" w:rsidP="00703BF2">
            <w:pPr>
              <w:pStyle w:val="TableText"/>
              <w:keepNext w:val="0"/>
              <w:widowControl w:val="0"/>
              <w:rPr>
                <w:szCs w:val="20"/>
              </w:rPr>
            </w:pPr>
            <w:r w:rsidRPr="005802E9">
              <w:rPr>
                <w:szCs w:val="20"/>
              </w:rPr>
              <w:t>2 (2)</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4 (4)</w:t>
            </w:r>
          </w:p>
        </w:tc>
        <w:tc>
          <w:tcPr>
            <w:tcW w:w="614" w:type="pct"/>
            <w:noWrap/>
            <w:hideMark/>
          </w:tcPr>
          <w:p w:rsidR="00703BF2" w:rsidRPr="005802E9" w:rsidRDefault="00703BF2" w:rsidP="00703BF2">
            <w:pPr>
              <w:pStyle w:val="TableText"/>
              <w:keepNext w:val="0"/>
              <w:widowControl w:val="0"/>
              <w:rPr>
                <w:szCs w:val="20"/>
              </w:rPr>
            </w:pPr>
            <w:r w:rsidRPr="005802E9">
              <w:rPr>
                <w:szCs w:val="20"/>
              </w:rPr>
              <w:t>101</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2</w:t>
            </w:r>
          </w:p>
        </w:tc>
        <w:tc>
          <w:tcPr>
            <w:tcW w:w="613" w:type="pct"/>
            <w:noWrap/>
            <w:hideMark/>
          </w:tcPr>
          <w:p w:rsidR="00703BF2" w:rsidRPr="005802E9" w:rsidRDefault="00703BF2" w:rsidP="00703BF2">
            <w:pPr>
              <w:pStyle w:val="TableText"/>
              <w:keepNext w:val="0"/>
              <w:widowControl w:val="0"/>
              <w:rPr>
                <w:szCs w:val="20"/>
              </w:rPr>
            </w:pPr>
            <w:r w:rsidRPr="005802E9">
              <w:rPr>
                <w:szCs w:val="20"/>
              </w:rPr>
              <w:t>4 (3)</w:t>
            </w:r>
          </w:p>
        </w:tc>
        <w:tc>
          <w:tcPr>
            <w:tcW w:w="613" w:type="pct"/>
            <w:noWrap/>
            <w:hideMark/>
          </w:tcPr>
          <w:p w:rsidR="00703BF2" w:rsidRPr="005802E9" w:rsidRDefault="00703BF2" w:rsidP="00703BF2">
            <w:pPr>
              <w:pStyle w:val="TableText"/>
              <w:keepNext w:val="0"/>
              <w:widowControl w:val="0"/>
              <w:rPr>
                <w:szCs w:val="20"/>
              </w:rPr>
            </w:pPr>
            <w:r w:rsidRPr="005802E9">
              <w:rPr>
                <w:szCs w:val="20"/>
              </w:rPr>
              <w:t>25 (19)</w:t>
            </w:r>
          </w:p>
        </w:tc>
        <w:tc>
          <w:tcPr>
            <w:tcW w:w="614" w:type="pct"/>
            <w:noWrap/>
            <w:hideMark/>
          </w:tcPr>
          <w:p w:rsidR="00703BF2" w:rsidRPr="005802E9" w:rsidRDefault="00703BF2" w:rsidP="00703BF2">
            <w:pPr>
              <w:pStyle w:val="TableText"/>
              <w:keepNext w:val="0"/>
              <w:widowControl w:val="0"/>
              <w:rPr>
                <w:szCs w:val="20"/>
              </w:rPr>
            </w:pPr>
            <w:r w:rsidRPr="005802E9">
              <w:rPr>
                <w:szCs w:val="20"/>
              </w:rPr>
              <w:t>68 (53)</w:t>
            </w:r>
          </w:p>
        </w:tc>
        <w:tc>
          <w:tcPr>
            <w:tcW w:w="613" w:type="pct"/>
            <w:noWrap/>
            <w:hideMark/>
          </w:tcPr>
          <w:p w:rsidR="00703BF2" w:rsidRPr="005802E9" w:rsidRDefault="00703BF2" w:rsidP="00703BF2">
            <w:pPr>
              <w:pStyle w:val="TableText"/>
              <w:keepNext w:val="0"/>
              <w:widowControl w:val="0"/>
              <w:rPr>
                <w:szCs w:val="20"/>
              </w:rPr>
            </w:pPr>
            <w:r w:rsidRPr="005802E9">
              <w:rPr>
                <w:szCs w:val="20"/>
              </w:rPr>
              <w:t>22 (17)</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10 (8)</w:t>
            </w:r>
          </w:p>
        </w:tc>
        <w:tc>
          <w:tcPr>
            <w:tcW w:w="614" w:type="pct"/>
            <w:noWrap/>
            <w:hideMark/>
          </w:tcPr>
          <w:p w:rsidR="00703BF2" w:rsidRPr="005802E9" w:rsidRDefault="00703BF2" w:rsidP="00703BF2">
            <w:pPr>
              <w:pStyle w:val="TableText"/>
              <w:keepNext w:val="0"/>
              <w:widowControl w:val="0"/>
              <w:rPr>
                <w:szCs w:val="20"/>
              </w:rPr>
            </w:pPr>
            <w:r w:rsidRPr="005802E9">
              <w:rPr>
                <w:szCs w:val="20"/>
              </w:rPr>
              <w:t>129</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3</w:t>
            </w:r>
          </w:p>
        </w:tc>
        <w:tc>
          <w:tcPr>
            <w:tcW w:w="613" w:type="pct"/>
            <w:noWrap/>
            <w:hideMark/>
          </w:tcPr>
          <w:p w:rsidR="00703BF2" w:rsidRPr="005802E9" w:rsidRDefault="00703BF2" w:rsidP="00703BF2">
            <w:pPr>
              <w:pStyle w:val="TableText"/>
              <w:keepNext w:val="0"/>
              <w:widowControl w:val="0"/>
              <w:rPr>
                <w:szCs w:val="20"/>
              </w:rPr>
            </w:pPr>
            <w:r w:rsidRPr="005802E9">
              <w:rPr>
                <w:szCs w:val="20"/>
              </w:rPr>
              <w:t>1 (2)</w:t>
            </w:r>
          </w:p>
        </w:tc>
        <w:tc>
          <w:tcPr>
            <w:tcW w:w="613" w:type="pct"/>
            <w:noWrap/>
            <w:hideMark/>
          </w:tcPr>
          <w:p w:rsidR="00703BF2" w:rsidRPr="005802E9" w:rsidRDefault="00703BF2" w:rsidP="00703BF2">
            <w:pPr>
              <w:pStyle w:val="TableText"/>
              <w:keepNext w:val="0"/>
              <w:widowControl w:val="0"/>
              <w:rPr>
                <w:szCs w:val="20"/>
              </w:rPr>
            </w:pPr>
            <w:r w:rsidRPr="005802E9">
              <w:rPr>
                <w:szCs w:val="20"/>
              </w:rPr>
              <w:t>3 (5)</w:t>
            </w:r>
          </w:p>
        </w:tc>
        <w:tc>
          <w:tcPr>
            <w:tcW w:w="614" w:type="pct"/>
            <w:noWrap/>
            <w:hideMark/>
          </w:tcPr>
          <w:p w:rsidR="00703BF2" w:rsidRPr="005802E9" w:rsidRDefault="00703BF2" w:rsidP="00703BF2">
            <w:pPr>
              <w:pStyle w:val="TableText"/>
              <w:keepNext w:val="0"/>
              <w:widowControl w:val="0"/>
              <w:rPr>
                <w:szCs w:val="20"/>
              </w:rPr>
            </w:pPr>
            <w:r w:rsidRPr="005802E9">
              <w:rPr>
                <w:szCs w:val="20"/>
              </w:rPr>
              <w:t>28 (44)</w:t>
            </w:r>
          </w:p>
        </w:tc>
        <w:tc>
          <w:tcPr>
            <w:tcW w:w="613" w:type="pct"/>
            <w:noWrap/>
            <w:hideMark/>
          </w:tcPr>
          <w:p w:rsidR="00703BF2" w:rsidRPr="005802E9" w:rsidRDefault="00703BF2" w:rsidP="00703BF2">
            <w:pPr>
              <w:pStyle w:val="TableText"/>
              <w:keepNext w:val="0"/>
              <w:widowControl w:val="0"/>
              <w:rPr>
                <w:szCs w:val="20"/>
              </w:rPr>
            </w:pPr>
            <w:r w:rsidRPr="005802E9">
              <w:rPr>
                <w:szCs w:val="20"/>
              </w:rPr>
              <w:t>22 (34)</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10 (16)</w:t>
            </w:r>
          </w:p>
        </w:tc>
        <w:tc>
          <w:tcPr>
            <w:tcW w:w="614" w:type="pct"/>
            <w:noWrap/>
            <w:hideMark/>
          </w:tcPr>
          <w:p w:rsidR="00703BF2" w:rsidRPr="005802E9" w:rsidRDefault="00703BF2" w:rsidP="00703BF2">
            <w:pPr>
              <w:pStyle w:val="TableText"/>
              <w:keepNext w:val="0"/>
              <w:widowControl w:val="0"/>
              <w:rPr>
                <w:szCs w:val="20"/>
              </w:rPr>
            </w:pPr>
            <w:r w:rsidRPr="005802E9">
              <w:rPr>
                <w:szCs w:val="20"/>
              </w:rPr>
              <w:t>64</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4</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2 (50)</w:t>
            </w:r>
          </w:p>
        </w:tc>
        <w:tc>
          <w:tcPr>
            <w:tcW w:w="613" w:type="pct"/>
            <w:noWrap/>
            <w:hideMark/>
          </w:tcPr>
          <w:p w:rsidR="00703BF2" w:rsidRPr="005802E9" w:rsidRDefault="00703BF2" w:rsidP="00703BF2">
            <w:pPr>
              <w:pStyle w:val="TableText"/>
              <w:keepNext w:val="0"/>
              <w:widowControl w:val="0"/>
              <w:rPr>
                <w:szCs w:val="20"/>
              </w:rPr>
            </w:pPr>
            <w:r w:rsidRPr="005802E9">
              <w:rPr>
                <w:szCs w:val="20"/>
              </w:rPr>
              <w:t>1 (25)</w:t>
            </w:r>
          </w:p>
        </w:tc>
        <w:tc>
          <w:tcPr>
            <w:tcW w:w="614" w:type="pct"/>
            <w:noWrap/>
            <w:hideMark/>
          </w:tcPr>
          <w:p w:rsidR="00703BF2" w:rsidRPr="005802E9" w:rsidRDefault="00703BF2" w:rsidP="00703BF2">
            <w:pPr>
              <w:pStyle w:val="TableText"/>
              <w:keepNext w:val="0"/>
              <w:widowControl w:val="0"/>
              <w:rPr>
                <w:szCs w:val="20"/>
              </w:rPr>
            </w:pPr>
            <w:r w:rsidRPr="005802E9">
              <w:rPr>
                <w:szCs w:val="20"/>
              </w:rPr>
              <w:t>1 (25)</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4</w:t>
            </w:r>
          </w:p>
        </w:tc>
      </w:tr>
      <w:tr w:rsidR="00703BF2" w:rsidRPr="005802E9" w:rsidTr="00703BF2">
        <w:trPr>
          <w:cantSplit/>
          <w:trHeight w:val="288"/>
        </w:trPr>
        <w:tc>
          <w:tcPr>
            <w:tcW w:w="5000" w:type="pct"/>
            <w:gridSpan w:val="8"/>
            <w:noWrap/>
            <w:hideMark/>
          </w:tcPr>
          <w:p w:rsidR="00703BF2" w:rsidRPr="005802E9" w:rsidRDefault="00703BF2" w:rsidP="00703BF2">
            <w:pPr>
              <w:pStyle w:val="TableText"/>
              <w:keepNext w:val="0"/>
              <w:widowControl w:val="0"/>
              <w:rPr>
                <w:szCs w:val="20"/>
              </w:rPr>
            </w:pPr>
            <w:r w:rsidRPr="005802E9">
              <w:rPr>
                <w:szCs w:val="20"/>
              </w:rPr>
              <w:t>Cycle 10</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0</w:t>
            </w:r>
          </w:p>
        </w:tc>
        <w:tc>
          <w:tcPr>
            <w:tcW w:w="613" w:type="pct"/>
            <w:noWrap/>
            <w:hideMark/>
          </w:tcPr>
          <w:p w:rsidR="00703BF2" w:rsidRPr="005802E9" w:rsidRDefault="00703BF2" w:rsidP="00703BF2">
            <w:pPr>
              <w:pStyle w:val="TableText"/>
              <w:keepNext w:val="0"/>
              <w:widowControl w:val="0"/>
              <w:rPr>
                <w:szCs w:val="20"/>
              </w:rPr>
            </w:pPr>
            <w:r w:rsidRPr="005802E9">
              <w:rPr>
                <w:szCs w:val="20"/>
              </w:rPr>
              <w:t>31 (49)</w:t>
            </w:r>
          </w:p>
        </w:tc>
        <w:tc>
          <w:tcPr>
            <w:tcW w:w="613" w:type="pct"/>
            <w:noWrap/>
            <w:hideMark/>
          </w:tcPr>
          <w:p w:rsidR="00703BF2" w:rsidRPr="005802E9" w:rsidRDefault="00703BF2" w:rsidP="00703BF2">
            <w:pPr>
              <w:pStyle w:val="TableText"/>
              <w:keepNext w:val="0"/>
              <w:widowControl w:val="0"/>
              <w:rPr>
                <w:szCs w:val="20"/>
              </w:rPr>
            </w:pPr>
            <w:r w:rsidRPr="005802E9">
              <w:rPr>
                <w:szCs w:val="20"/>
              </w:rPr>
              <w:t>15 (24)</w:t>
            </w:r>
          </w:p>
        </w:tc>
        <w:tc>
          <w:tcPr>
            <w:tcW w:w="614" w:type="pct"/>
            <w:noWrap/>
            <w:hideMark/>
          </w:tcPr>
          <w:p w:rsidR="00703BF2" w:rsidRPr="005802E9" w:rsidRDefault="00703BF2" w:rsidP="00703BF2">
            <w:pPr>
              <w:pStyle w:val="TableText"/>
              <w:keepNext w:val="0"/>
              <w:widowControl w:val="0"/>
              <w:rPr>
                <w:szCs w:val="20"/>
              </w:rPr>
            </w:pPr>
            <w:r w:rsidRPr="005802E9">
              <w:rPr>
                <w:szCs w:val="20"/>
              </w:rPr>
              <w:t>9 (14)</w:t>
            </w:r>
          </w:p>
        </w:tc>
        <w:tc>
          <w:tcPr>
            <w:tcW w:w="613" w:type="pct"/>
            <w:noWrap/>
            <w:hideMark/>
          </w:tcPr>
          <w:p w:rsidR="00703BF2" w:rsidRPr="005802E9" w:rsidRDefault="00703BF2" w:rsidP="00703BF2">
            <w:pPr>
              <w:pStyle w:val="TableText"/>
              <w:keepNext w:val="0"/>
              <w:widowControl w:val="0"/>
              <w:rPr>
                <w:szCs w:val="20"/>
              </w:rPr>
            </w:pPr>
            <w:r w:rsidRPr="005802E9">
              <w:rPr>
                <w:szCs w:val="20"/>
              </w:rPr>
              <w:t>4 (6)</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4 (6)</w:t>
            </w:r>
          </w:p>
        </w:tc>
        <w:tc>
          <w:tcPr>
            <w:tcW w:w="614" w:type="pct"/>
            <w:noWrap/>
            <w:hideMark/>
          </w:tcPr>
          <w:p w:rsidR="00703BF2" w:rsidRPr="005802E9" w:rsidRDefault="00703BF2" w:rsidP="00703BF2">
            <w:pPr>
              <w:pStyle w:val="TableText"/>
              <w:keepNext w:val="0"/>
              <w:widowControl w:val="0"/>
              <w:rPr>
                <w:szCs w:val="20"/>
              </w:rPr>
            </w:pPr>
            <w:r w:rsidRPr="005802E9">
              <w:rPr>
                <w:szCs w:val="20"/>
              </w:rPr>
              <w:t>63</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1</w:t>
            </w:r>
          </w:p>
        </w:tc>
        <w:tc>
          <w:tcPr>
            <w:tcW w:w="613" w:type="pct"/>
            <w:noWrap/>
            <w:hideMark/>
          </w:tcPr>
          <w:p w:rsidR="00703BF2" w:rsidRPr="005802E9" w:rsidRDefault="00703BF2" w:rsidP="00703BF2">
            <w:pPr>
              <w:pStyle w:val="TableText"/>
              <w:keepNext w:val="0"/>
              <w:widowControl w:val="0"/>
              <w:rPr>
                <w:szCs w:val="20"/>
              </w:rPr>
            </w:pPr>
            <w:r w:rsidRPr="005802E9">
              <w:rPr>
                <w:szCs w:val="20"/>
              </w:rPr>
              <w:t>17 (19)</w:t>
            </w:r>
          </w:p>
        </w:tc>
        <w:tc>
          <w:tcPr>
            <w:tcW w:w="613" w:type="pct"/>
            <w:noWrap/>
            <w:hideMark/>
          </w:tcPr>
          <w:p w:rsidR="00703BF2" w:rsidRPr="005802E9" w:rsidRDefault="00703BF2" w:rsidP="00703BF2">
            <w:pPr>
              <w:pStyle w:val="TableText"/>
              <w:keepNext w:val="0"/>
              <w:widowControl w:val="0"/>
              <w:rPr>
                <w:szCs w:val="20"/>
              </w:rPr>
            </w:pPr>
            <w:r w:rsidRPr="005802E9">
              <w:rPr>
                <w:szCs w:val="20"/>
              </w:rPr>
              <w:t>37 (41)</w:t>
            </w:r>
          </w:p>
        </w:tc>
        <w:tc>
          <w:tcPr>
            <w:tcW w:w="614" w:type="pct"/>
            <w:noWrap/>
            <w:hideMark/>
          </w:tcPr>
          <w:p w:rsidR="00703BF2" w:rsidRPr="005802E9" w:rsidRDefault="00703BF2" w:rsidP="00703BF2">
            <w:pPr>
              <w:pStyle w:val="TableText"/>
              <w:keepNext w:val="0"/>
              <w:widowControl w:val="0"/>
              <w:rPr>
                <w:szCs w:val="20"/>
              </w:rPr>
            </w:pPr>
            <w:r w:rsidRPr="005802E9">
              <w:rPr>
                <w:szCs w:val="20"/>
              </w:rPr>
              <w:t>27 (30)</w:t>
            </w:r>
          </w:p>
        </w:tc>
        <w:tc>
          <w:tcPr>
            <w:tcW w:w="613" w:type="pct"/>
            <w:noWrap/>
            <w:hideMark/>
          </w:tcPr>
          <w:p w:rsidR="00703BF2" w:rsidRPr="005802E9" w:rsidRDefault="00703BF2" w:rsidP="00703BF2">
            <w:pPr>
              <w:pStyle w:val="TableText"/>
              <w:keepNext w:val="0"/>
              <w:widowControl w:val="0"/>
              <w:rPr>
                <w:szCs w:val="20"/>
              </w:rPr>
            </w:pPr>
            <w:r w:rsidRPr="005802E9">
              <w:rPr>
                <w:szCs w:val="20"/>
              </w:rPr>
              <w:t>3 (3)</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6 (7)</w:t>
            </w:r>
          </w:p>
        </w:tc>
        <w:tc>
          <w:tcPr>
            <w:tcW w:w="614" w:type="pct"/>
            <w:noWrap/>
            <w:hideMark/>
          </w:tcPr>
          <w:p w:rsidR="00703BF2" w:rsidRPr="005802E9" w:rsidRDefault="00703BF2" w:rsidP="00703BF2">
            <w:pPr>
              <w:pStyle w:val="TableText"/>
              <w:keepNext w:val="0"/>
              <w:widowControl w:val="0"/>
              <w:rPr>
                <w:szCs w:val="20"/>
              </w:rPr>
            </w:pPr>
            <w:r w:rsidRPr="005802E9">
              <w:rPr>
                <w:szCs w:val="20"/>
              </w:rPr>
              <w:t>90</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2</w:t>
            </w:r>
          </w:p>
        </w:tc>
        <w:tc>
          <w:tcPr>
            <w:tcW w:w="613" w:type="pct"/>
            <w:noWrap/>
            <w:hideMark/>
          </w:tcPr>
          <w:p w:rsidR="00703BF2" w:rsidRPr="005802E9" w:rsidRDefault="00703BF2" w:rsidP="00703BF2">
            <w:pPr>
              <w:pStyle w:val="TableText"/>
              <w:keepNext w:val="0"/>
              <w:widowControl w:val="0"/>
              <w:rPr>
                <w:szCs w:val="20"/>
              </w:rPr>
            </w:pPr>
            <w:r w:rsidRPr="005802E9">
              <w:rPr>
                <w:szCs w:val="20"/>
              </w:rPr>
              <w:t>17 (11)</w:t>
            </w:r>
          </w:p>
        </w:tc>
        <w:tc>
          <w:tcPr>
            <w:tcW w:w="613" w:type="pct"/>
            <w:noWrap/>
            <w:hideMark/>
          </w:tcPr>
          <w:p w:rsidR="00703BF2" w:rsidRPr="005802E9" w:rsidRDefault="00703BF2" w:rsidP="00703BF2">
            <w:pPr>
              <w:pStyle w:val="TableText"/>
              <w:keepNext w:val="0"/>
              <w:widowControl w:val="0"/>
              <w:rPr>
                <w:szCs w:val="20"/>
              </w:rPr>
            </w:pPr>
            <w:r w:rsidRPr="005802E9">
              <w:rPr>
                <w:szCs w:val="20"/>
              </w:rPr>
              <w:t>31 (21)</w:t>
            </w:r>
          </w:p>
        </w:tc>
        <w:tc>
          <w:tcPr>
            <w:tcW w:w="614" w:type="pct"/>
            <w:noWrap/>
            <w:hideMark/>
          </w:tcPr>
          <w:p w:rsidR="00703BF2" w:rsidRPr="005802E9" w:rsidRDefault="00703BF2" w:rsidP="00703BF2">
            <w:pPr>
              <w:pStyle w:val="TableText"/>
              <w:keepNext w:val="0"/>
              <w:widowControl w:val="0"/>
              <w:rPr>
                <w:szCs w:val="20"/>
              </w:rPr>
            </w:pPr>
            <w:r w:rsidRPr="005802E9">
              <w:rPr>
                <w:szCs w:val="20"/>
              </w:rPr>
              <w:t>67 (45)</w:t>
            </w:r>
          </w:p>
        </w:tc>
        <w:tc>
          <w:tcPr>
            <w:tcW w:w="613" w:type="pct"/>
            <w:noWrap/>
            <w:hideMark/>
          </w:tcPr>
          <w:p w:rsidR="00703BF2" w:rsidRPr="005802E9" w:rsidRDefault="00703BF2" w:rsidP="00703BF2">
            <w:pPr>
              <w:pStyle w:val="TableText"/>
              <w:keepNext w:val="0"/>
              <w:widowControl w:val="0"/>
              <w:rPr>
                <w:szCs w:val="20"/>
              </w:rPr>
            </w:pPr>
            <w:r w:rsidRPr="005802E9">
              <w:rPr>
                <w:szCs w:val="20"/>
              </w:rPr>
              <w:t>22 (15)</w:t>
            </w:r>
          </w:p>
        </w:tc>
        <w:tc>
          <w:tcPr>
            <w:tcW w:w="614" w:type="pct"/>
            <w:noWrap/>
            <w:hideMark/>
          </w:tcPr>
          <w:p w:rsidR="00703BF2" w:rsidRPr="005802E9" w:rsidRDefault="00703BF2" w:rsidP="00703BF2">
            <w:pPr>
              <w:pStyle w:val="TableText"/>
              <w:keepNext w:val="0"/>
              <w:widowControl w:val="0"/>
              <w:rPr>
                <w:szCs w:val="20"/>
              </w:rPr>
            </w:pPr>
            <w:r w:rsidRPr="005802E9">
              <w:rPr>
                <w:szCs w:val="20"/>
              </w:rPr>
              <w:t>2 (1)</w:t>
            </w:r>
          </w:p>
        </w:tc>
        <w:tc>
          <w:tcPr>
            <w:tcW w:w="613" w:type="pct"/>
            <w:noWrap/>
            <w:hideMark/>
          </w:tcPr>
          <w:p w:rsidR="00703BF2" w:rsidRPr="005802E9" w:rsidRDefault="00703BF2" w:rsidP="00703BF2">
            <w:pPr>
              <w:pStyle w:val="TableText"/>
              <w:keepNext w:val="0"/>
              <w:widowControl w:val="0"/>
              <w:rPr>
                <w:szCs w:val="20"/>
              </w:rPr>
            </w:pPr>
            <w:r w:rsidRPr="005802E9">
              <w:rPr>
                <w:szCs w:val="20"/>
              </w:rPr>
              <w:t>9 (6)</w:t>
            </w:r>
          </w:p>
        </w:tc>
        <w:tc>
          <w:tcPr>
            <w:tcW w:w="614" w:type="pct"/>
            <w:noWrap/>
            <w:hideMark/>
          </w:tcPr>
          <w:p w:rsidR="00703BF2" w:rsidRPr="005802E9" w:rsidRDefault="00703BF2" w:rsidP="00703BF2">
            <w:pPr>
              <w:pStyle w:val="TableText"/>
              <w:keepNext w:val="0"/>
              <w:widowControl w:val="0"/>
              <w:rPr>
                <w:szCs w:val="20"/>
              </w:rPr>
            </w:pPr>
            <w:r w:rsidRPr="005802E9">
              <w:rPr>
                <w:szCs w:val="20"/>
              </w:rPr>
              <w:t>148</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3</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3 (6)</w:t>
            </w:r>
          </w:p>
        </w:tc>
        <w:tc>
          <w:tcPr>
            <w:tcW w:w="614" w:type="pct"/>
            <w:noWrap/>
            <w:hideMark/>
          </w:tcPr>
          <w:p w:rsidR="00703BF2" w:rsidRPr="005802E9" w:rsidRDefault="00703BF2" w:rsidP="00703BF2">
            <w:pPr>
              <w:pStyle w:val="TableText"/>
              <w:keepNext w:val="0"/>
              <w:widowControl w:val="0"/>
              <w:rPr>
                <w:szCs w:val="20"/>
              </w:rPr>
            </w:pPr>
            <w:r w:rsidRPr="005802E9">
              <w:rPr>
                <w:szCs w:val="20"/>
              </w:rPr>
              <w:t>23 (48)</w:t>
            </w:r>
          </w:p>
        </w:tc>
        <w:tc>
          <w:tcPr>
            <w:tcW w:w="613" w:type="pct"/>
            <w:noWrap/>
            <w:hideMark/>
          </w:tcPr>
          <w:p w:rsidR="00703BF2" w:rsidRPr="005802E9" w:rsidRDefault="00703BF2" w:rsidP="00703BF2">
            <w:pPr>
              <w:pStyle w:val="TableText"/>
              <w:keepNext w:val="0"/>
              <w:widowControl w:val="0"/>
              <w:rPr>
                <w:szCs w:val="20"/>
              </w:rPr>
            </w:pPr>
            <w:r w:rsidRPr="005802E9">
              <w:rPr>
                <w:szCs w:val="20"/>
              </w:rPr>
              <w:t>13 (27)</w:t>
            </w:r>
          </w:p>
        </w:tc>
        <w:tc>
          <w:tcPr>
            <w:tcW w:w="614" w:type="pct"/>
            <w:noWrap/>
            <w:hideMark/>
          </w:tcPr>
          <w:p w:rsidR="00703BF2" w:rsidRPr="005802E9" w:rsidRDefault="00703BF2" w:rsidP="00703BF2">
            <w:pPr>
              <w:pStyle w:val="TableText"/>
              <w:keepNext w:val="0"/>
              <w:widowControl w:val="0"/>
              <w:rPr>
                <w:szCs w:val="20"/>
              </w:rPr>
            </w:pPr>
            <w:r w:rsidRPr="005802E9">
              <w:rPr>
                <w:szCs w:val="20"/>
              </w:rPr>
              <w:t>1 (2)</w:t>
            </w:r>
          </w:p>
        </w:tc>
        <w:tc>
          <w:tcPr>
            <w:tcW w:w="613" w:type="pct"/>
            <w:noWrap/>
            <w:hideMark/>
          </w:tcPr>
          <w:p w:rsidR="00703BF2" w:rsidRPr="005802E9" w:rsidRDefault="00703BF2" w:rsidP="00703BF2">
            <w:pPr>
              <w:pStyle w:val="TableText"/>
              <w:keepNext w:val="0"/>
              <w:widowControl w:val="0"/>
              <w:rPr>
                <w:szCs w:val="20"/>
              </w:rPr>
            </w:pPr>
            <w:r w:rsidRPr="005802E9">
              <w:rPr>
                <w:szCs w:val="20"/>
              </w:rPr>
              <w:t>8 (17)</w:t>
            </w:r>
          </w:p>
        </w:tc>
        <w:tc>
          <w:tcPr>
            <w:tcW w:w="614" w:type="pct"/>
            <w:noWrap/>
            <w:hideMark/>
          </w:tcPr>
          <w:p w:rsidR="00703BF2" w:rsidRPr="005802E9" w:rsidRDefault="00703BF2" w:rsidP="00703BF2">
            <w:pPr>
              <w:pStyle w:val="TableText"/>
              <w:keepNext w:val="0"/>
              <w:widowControl w:val="0"/>
              <w:rPr>
                <w:szCs w:val="20"/>
              </w:rPr>
            </w:pPr>
            <w:r w:rsidRPr="005802E9">
              <w:rPr>
                <w:szCs w:val="20"/>
              </w:rPr>
              <w:t>48</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4</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1 (100)</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1</w:t>
            </w:r>
          </w:p>
        </w:tc>
      </w:tr>
      <w:tr w:rsidR="00703BF2" w:rsidRPr="005802E9" w:rsidTr="00703BF2">
        <w:trPr>
          <w:cantSplit/>
          <w:trHeight w:val="288"/>
        </w:trPr>
        <w:tc>
          <w:tcPr>
            <w:tcW w:w="5000" w:type="pct"/>
            <w:gridSpan w:val="8"/>
            <w:noWrap/>
            <w:hideMark/>
          </w:tcPr>
          <w:p w:rsidR="00703BF2" w:rsidRPr="005802E9" w:rsidRDefault="00703BF2" w:rsidP="00703BF2">
            <w:pPr>
              <w:pStyle w:val="TableText"/>
              <w:keepNext w:val="0"/>
              <w:widowControl w:val="0"/>
              <w:rPr>
                <w:szCs w:val="20"/>
              </w:rPr>
            </w:pPr>
            <w:r w:rsidRPr="005802E9">
              <w:rPr>
                <w:szCs w:val="20"/>
              </w:rPr>
              <w:t>Cycle 11</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0</w:t>
            </w:r>
          </w:p>
        </w:tc>
        <w:tc>
          <w:tcPr>
            <w:tcW w:w="613" w:type="pct"/>
            <w:noWrap/>
            <w:hideMark/>
          </w:tcPr>
          <w:p w:rsidR="00703BF2" w:rsidRPr="005802E9" w:rsidRDefault="00703BF2" w:rsidP="00703BF2">
            <w:pPr>
              <w:pStyle w:val="TableText"/>
              <w:keepNext w:val="0"/>
              <w:widowControl w:val="0"/>
              <w:rPr>
                <w:szCs w:val="20"/>
              </w:rPr>
            </w:pPr>
            <w:r w:rsidRPr="005802E9">
              <w:rPr>
                <w:szCs w:val="20"/>
              </w:rPr>
              <w:t>41 (63)</w:t>
            </w:r>
          </w:p>
        </w:tc>
        <w:tc>
          <w:tcPr>
            <w:tcW w:w="613" w:type="pct"/>
            <w:noWrap/>
            <w:hideMark/>
          </w:tcPr>
          <w:p w:rsidR="00703BF2" w:rsidRPr="005802E9" w:rsidRDefault="00703BF2" w:rsidP="00703BF2">
            <w:pPr>
              <w:pStyle w:val="TableText"/>
              <w:keepNext w:val="0"/>
              <w:widowControl w:val="0"/>
              <w:rPr>
                <w:szCs w:val="20"/>
              </w:rPr>
            </w:pPr>
            <w:r w:rsidRPr="005802E9">
              <w:rPr>
                <w:szCs w:val="20"/>
              </w:rPr>
              <w:t>8 (12)</w:t>
            </w:r>
          </w:p>
        </w:tc>
        <w:tc>
          <w:tcPr>
            <w:tcW w:w="614" w:type="pct"/>
            <w:noWrap/>
            <w:hideMark/>
          </w:tcPr>
          <w:p w:rsidR="00703BF2" w:rsidRPr="005802E9" w:rsidRDefault="00703BF2" w:rsidP="00703BF2">
            <w:pPr>
              <w:pStyle w:val="TableText"/>
              <w:keepNext w:val="0"/>
              <w:widowControl w:val="0"/>
              <w:rPr>
                <w:szCs w:val="20"/>
              </w:rPr>
            </w:pPr>
            <w:r w:rsidRPr="005802E9">
              <w:rPr>
                <w:szCs w:val="20"/>
              </w:rPr>
              <w:t>9 (14)</w:t>
            </w:r>
          </w:p>
        </w:tc>
        <w:tc>
          <w:tcPr>
            <w:tcW w:w="613" w:type="pct"/>
            <w:noWrap/>
            <w:hideMark/>
          </w:tcPr>
          <w:p w:rsidR="00703BF2" w:rsidRPr="005802E9" w:rsidRDefault="00703BF2" w:rsidP="00703BF2">
            <w:pPr>
              <w:pStyle w:val="TableText"/>
              <w:keepNext w:val="0"/>
              <w:widowControl w:val="0"/>
              <w:rPr>
                <w:szCs w:val="20"/>
              </w:rPr>
            </w:pPr>
            <w:r w:rsidRPr="005802E9">
              <w:rPr>
                <w:szCs w:val="20"/>
              </w:rPr>
              <w:t>3 (5)</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4 (6)</w:t>
            </w:r>
          </w:p>
        </w:tc>
        <w:tc>
          <w:tcPr>
            <w:tcW w:w="614" w:type="pct"/>
            <w:noWrap/>
            <w:hideMark/>
          </w:tcPr>
          <w:p w:rsidR="00703BF2" w:rsidRPr="005802E9" w:rsidRDefault="00703BF2" w:rsidP="00703BF2">
            <w:pPr>
              <w:pStyle w:val="TableText"/>
              <w:keepNext w:val="0"/>
              <w:widowControl w:val="0"/>
              <w:rPr>
                <w:szCs w:val="20"/>
              </w:rPr>
            </w:pPr>
            <w:r w:rsidRPr="005802E9">
              <w:rPr>
                <w:szCs w:val="20"/>
              </w:rPr>
              <w:t>65</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1</w:t>
            </w:r>
          </w:p>
        </w:tc>
        <w:tc>
          <w:tcPr>
            <w:tcW w:w="613" w:type="pct"/>
            <w:noWrap/>
            <w:hideMark/>
          </w:tcPr>
          <w:p w:rsidR="00703BF2" w:rsidRPr="005802E9" w:rsidRDefault="00703BF2" w:rsidP="00703BF2">
            <w:pPr>
              <w:pStyle w:val="TableText"/>
              <w:keepNext w:val="0"/>
              <w:widowControl w:val="0"/>
              <w:rPr>
                <w:szCs w:val="20"/>
              </w:rPr>
            </w:pPr>
            <w:r w:rsidRPr="005802E9">
              <w:rPr>
                <w:szCs w:val="20"/>
              </w:rPr>
              <w:t>9 (10)</w:t>
            </w:r>
          </w:p>
        </w:tc>
        <w:tc>
          <w:tcPr>
            <w:tcW w:w="613" w:type="pct"/>
            <w:noWrap/>
            <w:hideMark/>
          </w:tcPr>
          <w:p w:rsidR="00703BF2" w:rsidRPr="005802E9" w:rsidRDefault="00703BF2" w:rsidP="00703BF2">
            <w:pPr>
              <w:pStyle w:val="TableText"/>
              <w:keepNext w:val="0"/>
              <w:widowControl w:val="0"/>
              <w:rPr>
                <w:szCs w:val="20"/>
              </w:rPr>
            </w:pPr>
            <w:r w:rsidRPr="005802E9">
              <w:rPr>
                <w:szCs w:val="20"/>
              </w:rPr>
              <w:t>39 (45)</w:t>
            </w:r>
          </w:p>
        </w:tc>
        <w:tc>
          <w:tcPr>
            <w:tcW w:w="614" w:type="pct"/>
            <w:noWrap/>
            <w:hideMark/>
          </w:tcPr>
          <w:p w:rsidR="00703BF2" w:rsidRPr="005802E9" w:rsidRDefault="00703BF2" w:rsidP="00703BF2">
            <w:pPr>
              <w:pStyle w:val="TableText"/>
              <w:keepNext w:val="0"/>
              <w:widowControl w:val="0"/>
              <w:rPr>
                <w:szCs w:val="20"/>
              </w:rPr>
            </w:pPr>
            <w:r w:rsidRPr="005802E9">
              <w:rPr>
                <w:szCs w:val="20"/>
              </w:rPr>
              <w:t>30 (35)</w:t>
            </w:r>
          </w:p>
        </w:tc>
        <w:tc>
          <w:tcPr>
            <w:tcW w:w="613" w:type="pct"/>
            <w:noWrap/>
            <w:hideMark/>
          </w:tcPr>
          <w:p w:rsidR="00703BF2" w:rsidRPr="005802E9" w:rsidRDefault="00703BF2" w:rsidP="00703BF2">
            <w:pPr>
              <w:pStyle w:val="TableText"/>
              <w:keepNext w:val="0"/>
              <w:widowControl w:val="0"/>
              <w:rPr>
                <w:szCs w:val="20"/>
              </w:rPr>
            </w:pPr>
            <w:r w:rsidRPr="005802E9">
              <w:rPr>
                <w:szCs w:val="20"/>
              </w:rPr>
              <w:t>3 (3)</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5 (6)</w:t>
            </w:r>
          </w:p>
        </w:tc>
        <w:tc>
          <w:tcPr>
            <w:tcW w:w="614" w:type="pct"/>
            <w:noWrap/>
            <w:hideMark/>
          </w:tcPr>
          <w:p w:rsidR="00703BF2" w:rsidRPr="005802E9" w:rsidRDefault="00703BF2" w:rsidP="00703BF2">
            <w:pPr>
              <w:pStyle w:val="TableText"/>
              <w:keepNext w:val="0"/>
              <w:widowControl w:val="0"/>
              <w:rPr>
                <w:szCs w:val="20"/>
              </w:rPr>
            </w:pPr>
            <w:r w:rsidRPr="005802E9">
              <w:rPr>
                <w:szCs w:val="20"/>
              </w:rPr>
              <w:t>86</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2</w:t>
            </w:r>
          </w:p>
        </w:tc>
        <w:tc>
          <w:tcPr>
            <w:tcW w:w="613" w:type="pct"/>
            <w:noWrap/>
            <w:hideMark/>
          </w:tcPr>
          <w:p w:rsidR="00703BF2" w:rsidRPr="005802E9" w:rsidRDefault="00703BF2" w:rsidP="00703BF2">
            <w:pPr>
              <w:pStyle w:val="TableText"/>
              <w:keepNext w:val="0"/>
              <w:widowControl w:val="0"/>
              <w:rPr>
                <w:szCs w:val="20"/>
              </w:rPr>
            </w:pPr>
            <w:r w:rsidRPr="005802E9">
              <w:rPr>
                <w:szCs w:val="20"/>
              </w:rPr>
              <w:t>10 (8)</w:t>
            </w:r>
          </w:p>
        </w:tc>
        <w:tc>
          <w:tcPr>
            <w:tcW w:w="613" w:type="pct"/>
            <w:noWrap/>
            <w:hideMark/>
          </w:tcPr>
          <w:p w:rsidR="00703BF2" w:rsidRPr="005802E9" w:rsidRDefault="00703BF2" w:rsidP="00703BF2">
            <w:pPr>
              <w:pStyle w:val="TableText"/>
              <w:keepNext w:val="0"/>
              <w:widowControl w:val="0"/>
              <w:rPr>
                <w:szCs w:val="20"/>
              </w:rPr>
            </w:pPr>
            <w:r w:rsidRPr="005802E9">
              <w:rPr>
                <w:szCs w:val="20"/>
              </w:rPr>
              <w:t>20 (16)</w:t>
            </w:r>
          </w:p>
        </w:tc>
        <w:tc>
          <w:tcPr>
            <w:tcW w:w="614" w:type="pct"/>
            <w:noWrap/>
            <w:hideMark/>
          </w:tcPr>
          <w:p w:rsidR="00703BF2" w:rsidRPr="005802E9" w:rsidRDefault="00703BF2" w:rsidP="00703BF2">
            <w:pPr>
              <w:pStyle w:val="TableText"/>
              <w:keepNext w:val="0"/>
              <w:widowControl w:val="0"/>
              <w:rPr>
                <w:szCs w:val="20"/>
              </w:rPr>
            </w:pPr>
            <w:r w:rsidRPr="005802E9">
              <w:rPr>
                <w:szCs w:val="20"/>
              </w:rPr>
              <w:t>66 (52)</w:t>
            </w:r>
          </w:p>
        </w:tc>
        <w:tc>
          <w:tcPr>
            <w:tcW w:w="613" w:type="pct"/>
            <w:noWrap/>
            <w:hideMark/>
          </w:tcPr>
          <w:p w:rsidR="00703BF2" w:rsidRPr="005802E9" w:rsidRDefault="00703BF2" w:rsidP="00703BF2">
            <w:pPr>
              <w:pStyle w:val="TableText"/>
              <w:keepNext w:val="0"/>
              <w:widowControl w:val="0"/>
              <w:rPr>
                <w:szCs w:val="20"/>
              </w:rPr>
            </w:pPr>
            <w:r w:rsidRPr="005802E9">
              <w:rPr>
                <w:szCs w:val="20"/>
              </w:rPr>
              <w:t>17 (13)</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13 (10)</w:t>
            </w:r>
          </w:p>
        </w:tc>
        <w:tc>
          <w:tcPr>
            <w:tcW w:w="614" w:type="pct"/>
            <w:noWrap/>
            <w:hideMark/>
          </w:tcPr>
          <w:p w:rsidR="00703BF2" w:rsidRPr="005802E9" w:rsidRDefault="00703BF2" w:rsidP="00703BF2">
            <w:pPr>
              <w:pStyle w:val="TableText"/>
              <w:keepNext w:val="0"/>
              <w:widowControl w:val="0"/>
              <w:rPr>
                <w:szCs w:val="20"/>
              </w:rPr>
            </w:pPr>
            <w:r w:rsidRPr="005802E9">
              <w:rPr>
                <w:szCs w:val="20"/>
              </w:rPr>
              <w:t>126</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3</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4 (9)</w:t>
            </w:r>
          </w:p>
        </w:tc>
        <w:tc>
          <w:tcPr>
            <w:tcW w:w="614" w:type="pct"/>
            <w:noWrap/>
            <w:hideMark/>
          </w:tcPr>
          <w:p w:rsidR="00703BF2" w:rsidRPr="005802E9" w:rsidRDefault="00703BF2" w:rsidP="00703BF2">
            <w:pPr>
              <w:pStyle w:val="TableText"/>
              <w:keepNext w:val="0"/>
              <w:widowControl w:val="0"/>
              <w:rPr>
                <w:szCs w:val="20"/>
              </w:rPr>
            </w:pPr>
            <w:r w:rsidRPr="005802E9">
              <w:rPr>
                <w:szCs w:val="20"/>
              </w:rPr>
              <w:t>16 (37)</w:t>
            </w:r>
          </w:p>
        </w:tc>
        <w:tc>
          <w:tcPr>
            <w:tcW w:w="613" w:type="pct"/>
            <w:noWrap/>
            <w:hideMark/>
          </w:tcPr>
          <w:p w:rsidR="00703BF2" w:rsidRPr="005802E9" w:rsidRDefault="00703BF2" w:rsidP="00703BF2">
            <w:pPr>
              <w:pStyle w:val="TableText"/>
              <w:keepNext w:val="0"/>
              <w:widowControl w:val="0"/>
              <w:rPr>
                <w:szCs w:val="20"/>
              </w:rPr>
            </w:pPr>
            <w:r w:rsidRPr="005802E9">
              <w:rPr>
                <w:szCs w:val="20"/>
              </w:rPr>
              <w:t>17 (40)</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6 (14)</w:t>
            </w:r>
          </w:p>
        </w:tc>
        <w:tc>
          <w:tcPr>
            <w:tcW w:w="614" w:type="pct"/>
            <w:noWrap/>
            <w:hideMark/>
          </w:tcPr>
          <w:p w:rsidR="00703BF2" w:rsidRPr="005802E9" w:rsidRDefault="00703BF2" w:rsidP="00703BF2">
            <w:pPr>
              <w:pStyle w:val="TableText"/>
              <w:keepNext w:val="0"/>
              <w:widowControl w:val="0"/>
              <w:rPr>
                <w:szCs w:val="20"/>
              </w:rPr>
            </w:pPr>
            <w:r w:rsidRPr="005802E9">
              <w:rPr>
                <w:szCs w:val="20"/>
              </w:rPr>
              <w:t>43</w:t>
            </w:r>
          </w:p>
        </w:tc>
      </w:tr>
      <w:tr w:rsidR="00703BF2" w:rsidRPr="005802E9" w:rsidTr="006622FA">
        <w:trPr>
          <w:cantSplit/>
          <w:trHeight w:val="288"/>
        </w:trPr>
        <w:tc>
          <w:tcPr>
            <w:tcW w:w="705" w:type="pct"/>
            <w:noWrap/>
            <w:hideMark/>
          </w:tcPr>
          <w:p w:rsidR="00703BF2" w:rsidRPr="005802E9" w:rsidRDefault="00703BF2" w:rsidP="00703BF2">
            <w:pPr>
              <w:pStyle w:val="TableText"/>
              <w:keepNext w:val="0"/>
              <w:widowControl w:val="0"/>
              <w:rPr>
                <w:szCs w:val="20"/>
              </w:rPr>
            </w:pPr>
            <w:r w:rsidRPr="005802E9">
              <w:rPr>
                <w:szCs w:val="20"/>
              </w:rPr>
              <w:t>4</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1 (33)</w:t>
            </w:r>
          </w:p>
        </w:tc>
        <w:tc>
          <w:tcPr>
            <w:tcW w:w="614" w:type="pct"/>
            <w:noWrap/>
            <w:hideMark/>
          </w:tcPr>
          <w:p w:rsidR="00703BF2" w:rsidRPr="005802E9" w:rsidRDefault="00703BF2" w:rsidP="00703BF2">
            <w:pPr>
              <w:pStyle w:val="TableText"/>
              <w:keepNext w:val="0"/>
              <w:widowControl w:val="0"/>
              <w:rPr>
                <w:szCs w:val="20"/>
              </w:rPr>
            </w:pPr>
            <w:r w:rsidRPr="005802E9">
              <w:rPr>
                <w:szCs w:val="20"/>
              </w:rPr>
              <w:t>1 (33)</w:t>
            </w:r>
          </w:p>
        </w:tc>
        <w:tc>
          <w:tcPr>
            <w:tcW w:w="613" w:type="pct"/>
            <w:noWrap/>
            <w:hideMark/>
          </w:tcPr>
          <w:p w:rsidR="00703BF2" w:rsidRPr="005802E9" w:rsidRDefault="00703BF2" w:rsidP="00703BF2">
            <w:pPr>
              <w:pStyle w:val="TableText"/>
              <w:keepNext w:val="0"/>
              <w:widowControl w:val="0"/>
              <w:rPr>
                <w:szCs w:val="20"/>
              </w:rPr>
            </w:pPr>
            <w:r w:rsidRPr="005802E9">
              <w:rPr>
                <w:szCs w:val="20"/>
              </w:rPr>
              <w:t>1 (33)</w:t>
            </w:r>
          </w:p>
        </w:tc>
        <w:tc>
          <w:tcPr>
            <w:tcW w:w="614" w:type="pct"/>
            <w:noWrap/>
            <w:hideMark/>
          </w:tcPr>
          <w:p w:rsidR="00703BF2" w:rsidRPr="005802E9" w:rsidRDefault="00703BF2" w:rsidP="00703BF2">
            <w:pPr>
              <w:pStyle w:val="TableText"/>
              <w:keepNext w:val="0"/>
              <w:widowControl w:val="0"/>
              <w:rPr>
                <w:szCs w:val="20"/>
              </w:rPr>
            </w:pPr>
            <w:r w:rsidRPr="005802E9">
              <w:rPr>
                <w:szCs w:val="20"/>
              </w:rPr>
              <w:t>0 (0)</w:t>
            </w:r>
          </w:p>
        </w:tc>
        <w:tc>
          <w:tcPr>
            <w:tcW w:w="613" w:type="pct"/>
            <w:noWrap/>
            <w:hideMark/>
          </w:tcPr>
          <w:p w:rsidR="00703BF2" w:rsidRPr="005802E9" w:rsidRDefault="00703BF2" w:rsidP="00703BF2">
            <w:pPr>
              <w:pStyle w:val="TableText"/>
              <w:keepNext w:val="0"/>
              <w:widowControl w:val="0"/>
              <w:rPr>
                <w:szCs w:val="20"/>
              </w:rPr>
            </w:pPr>
            <w:r w:rsidRPr="005802E9">
              <w:rPr>
                <w:szCs w:val="20"/>
              </w:rPr>
              <w:t>0 (0)</w:t>
            </w:r>
          </w:p>
        </w:tc>
        <w:tc>
          <w:tcPr>
            <w:tcW w:w="614" w:type="pct"/>
            <w:noWrap/>
            <w:hideMark/>
          </w:tcPr>
          <w:p w:rsidR="00703BF2" w:rsidRPr="005802E9" w:rsidRDefault="00703BF2" w:rsidP="00703BF2">
            <w:pPr>
              <w:pStyle w:val="TableText"/>
              <w:keepNext w:val="0"/>
              <w:widowControl w:val="0"/>
              <w:rPr>
                <w:szCs w:val="20"/>
              </w:rPr>
            </w:pPr>
            <w:r w:rsidRPr="005802E9">
              <w:rPr>
                <w:szCs w:val="20"/>
              </w:rPr>
              <w:t>3</w:t>
            </w:r>
          </w:p>
        </w:tc>
      </w:tr>
    </w:tbl>
    <w:p w:rsidR="00703BF2" w:rsidRPr="005802E9" w:rsidRDefault="00703BF2" w:rsidP="00703BF2">
      <w:pPr>
        <w:pStyle w:val="TableFigureFooter"/>
      </w:pPr>
      <w:r w:rsidRPr="005802E9">
        <w:t>Source: Table 2.5.9, p 69 of the submission</w:t>
      </w:r>
    </w:p>
    <w:p w:rsidR="00703BF2" w:rsidRPr="005802E9" w:rsidRDefault="00703BF2" w:rsidP="00703BF2">
      <w:pPr>
        <w:pStyle w:val="TableFigureFooter"/>
      </w:pPr>
      <w:r w:rsidRPr="005802E9">
        <w:t>Abbreviations: ISGA, Investigator’s Static Global Assessment.</w:t>
      </w:r>
    </w:p>
    <w:p w:rsidR="00703BF2" w:rsidRPr="005802E9" w:rsidRDefault="00703BF2" w:rsidP="00703BF2">
      <w:pPr>
        <w:pStyle w:val="TableFigureFooter"/>
      </w:pPr>
      <w:r w:rsidRPr="005802E9">
        <w:t xml:space="preserve">Note: The study drug was administered in 4-week on-treatment periods. The investigator initiated an on-treatment period if the ISGA score was ≥2. Subjects with an ISGA score of ≤1 entered and off-treatment period. Study drug was discontinued if there was not improvement in a subject’s ISGA after 3 consecutive cycles of study drug. </w:t>
      </w:r>
    </w:p>
    <w:p w:rsidR="00AA3915" w:rsidRDefault="00703BF2" w:rsidP="00AA3915">
      <w:pPr>
        <w:pStyle w:val="TableFigureFooter"/>
      </w:pPr>
      <w:r w:rsidRPr="005802E9">
        <w:t>A large proportion of patients discontinued at cycles 12 and 13 as this was the end of the study. The study was terminated after 271 patients completed 1 year and 396 patients completed 6 months of safety follow-up</w:t>
      </w:r>
      <w:r w:rsidR="005802E9">
        <w:t xml:space="preserve">. </w:t>
      </w:r>
    </w:p>
    <w:p w:rsidR="00AA3915" w:rsidRDefault="00AA3915" w:rsidP="00AA3915">
      <w:pPr>
        <w:pStyle w:val="TableFigureFooter"/>
      </w:pPr>
      <w:r>
        <w:rPr>
          <w:shd w:val="clear" w:color="auto" w:fill="FFFFFF"/>
        </w:rPr>
        <w:t>*Note that the results presented in Paragraphs 6.20 to 6.31 are derived from post-hoc analyses conducted by the applicant specifically for the purposes of informing the PBAC consideration. These analyses were not part of the pre-specified statistical plans for AD-301, AD-302 or AD-303.  Interpretation of the results and their application should therefore be limited to seeking to understand the basis for the PBAC outcome and should not be used for any other purpose.</w:t>
      </w:r>
    </w:p>
    <w:p w:rsidR="00AA3915" w:rsidRPr="005802E9" w:rsidRDefault="00AA3915" w:rsidP="00703BF2">
      <w:pPr>
        <w:pStyle w:val="TableFigureFooter"/>
      </w:pPr>
    </w:p>
    <w:p w:rsidR="003D0AC2" w:rsidRPr="005802E9" w:rsidRDefault="003D0AC2" w:rsidP="00314C99">
      <w:pPr>
        <w:pStyle w:val="TableFigureFooter"/>
      </w:pPr>
    </w:p>
    <w:p w:rsidR="001D59EF" w:rsidRPr="005802E9" w:rsidRDefault="001D59EF" w:rsidP="001D59EF">
      <w:pPr>
        <w:pStyle w:val="ExecSumBodyText"/>
      </w:pPr>
      <w:r w:rsidRPr="005802E9">
        <w:t xml:space="preserve">The resubmission acknowledged that interpretation of the data was difficult due to treatment protocols that determined on- or off-treatment periods depending on ISGA scores in the previous cycle. Overall, the data (not including end-of-study cycles 12 and 13) suggest fluctuations in cycle-to-cycle disease severity amongst those who </w:t>
      </w:r>
      <w:r w:rsidRPr="005802E9">
        <w:lastRenderedPageBreak/>
        <w:t>achieve clearance (8.4% to 20.0%), almost clear (16.9% to 27.5%), mild (32.3% to 46.2%), moderate (12.3% to 20.8%) and severe (0% to 1.2%) disease.</w:t>
      </w:r>
      <w:r w:rsidR="00AA3915">
        <w:rPr>
          <w:rStyle w:val="FootnoteReference"/>
        </w:rPr>
        <w:footnoteReference w:id="8"/>
      </w:r>
    </w:p>
    <w:p w:rsidR="00800505" w:rsidRPr="005802E9" w:rsidRDefault="001D59EF" w:rsidP="00314C99">
      <w:pPr>
        <w:pStyle w:val="ExecSumBodyText"/>
      </w:pPr>
      <w:r w:rsidRPr="005802E9">
        <w:t xml:space="preserve">The resubmission claimed the results are representative of the long-term movement of patients in terms of disease severity and can be used to inform the transition probabilities in the economic model. </w:t>
      </w:r>
      <w:r w:rsidR="00800505" w:rsidRPr="005802E9">
        <w:t xml:space="preserve">The PSCR also noted the following observations from this data: over 60% of patients who achieve ISGA </w:t>
      </w:r>
      <w:r w:rsidR="00800505" w:rsidRPr="005802E9">
        <w:rPr>
          <w:rFonts w:cstheme="minorHAnsi"/>
        </w:rPr>
        <w:t>≤</w:t>
      </w:r>
      <w:r w:rsidR="00800505" w:rsidRPr="005802E9">
        <w:t xml:space="preserve">1 maintained response through to the next cycle; approximately 35% of patients with ISGA </w:t>
      </w:r>
      <w:r w:rsidR="00800505" w:rsidRPr="005802E9">
        <w:rPr>
          <w:rFonts w:cstheme="minorHAnsi"/>
        </w:rPr>
        <w:t>≤</w:t>
      </w:r>
      <w:r w:rsidR="00800505" w:rsidRPr="005802E9">
        <w:t xml:space="preserve">1 (who were not on treatment) at the start of a cycle experienced a flare and developed ISGA </w:t>
      </w:r>
      <w:r w:rsidR="00800505" w:rsidRPr="005802E9">
        <w:rPr>
          <w:rFonts w:cstheme="minorHAnsi"/>
        </w:rPr>
        <w:t xml:space="preserve">≥2 in a cycle; approximately 25% of patients with ISGA ≥2 at the start of a cycle </w:t>
      </w:r>
      <w:r w:rsidR="00800505" w:rsidRPr="005802E9">
        <w:t xml:space="preserve">achieved or regained response to crisaborole within one cycle. The PSCR argued that </w:t>
      </w:r>
      <w:r w:rsidR="00FA2EB2" w:rsidRPr="005802E9">
        <w:t xml:space="preserve">patients with ISGA </w:t>
      </w:r>
      <w:r w:rsidR="00FA2EB2" w:rsidRPr="005802E9">
        <w:rPr>
          <w:rFonts w:cstheme="minorHAnsi"/>
        </w:rPr>
        <w:t>≤</w:t>
      </w:r>
      <w:r w:rsidR="00FA2EB2" w:rsidRPr="005802E9">
        <w:t>1</w:t>
      </w:r>
      <w:r w:rsidR="00800505" w:rsidRPr="005802E9">
        <w:t xml:space="preserve"> were likely to have discontinued because they had achieved long term symptom control, whereas </w:t>
      </w:r>
      <w:r w:rsidR="00FA2EB2" w:rsidRPr="005802E9">
        <w:t xml:space="preserve">patients with ISGA </w:t>
      </w:r>
      <w:r w:rsidR="00FA2EB2" w:rsidRPr="005802E9">
        <w:rPr>
          <w:rFonts w:cstheme="minorHAnsi"/>
        </w:rPr>
        <w:t>≥</w:t>
      </w:r>
      <w:r w:rsidR="00FA2EB2" w:rsidRPr="005802E9">
        <w:t>2</w:t>
      </w:r>
      <w:r w:rsidR="00800505" w:rsidRPr="005802E9">
        <w:t xml:space="preserve"> more likely discontinued due to treatment failure and these outcomes were incorporated into the resubmission model.</w:t>
      </w:r>
    </w:p>
    <w:p w:rsidR="00800505" w:rsidRPr="005802E9" w:rsidRDefault="00800505" w:rsidP="00800505">
      <w:pPr>
        <w:pStyle w:val="ExecSumBodyText"/>
      </w:pPr>
      <w:r w:rsidRPr="005802E9">
        <w:t>There was potential for survivor bias over time as more patients with mild or worse disease discontinued at each cycle compared to those with clear/almost clear disease.</w:t>
      </w:r>
    </w:p>
    <w:p w:rsidR="00314C99" w:rsidRPr="005802E9" w:rsidRDefault="001D59EF" w:rsidP="00314C99">
      <w:pPr>
        <w:pStyle w:val="ExecSumBodyText"/>
      </w:pPr>
      <w:r w:rsidRPr="005802E9">
        <w:t>The usefulness of the post-hoc analyses was limited due to concerns with potentially high risk of bias, lack of comparative data and issues with applicability to the PBS population (circumstances of use and eligibility criteria). Treatment efficacy with crisaborole was potentially confounded due to the use of rescue medications during the study (approximately 22% of patients)</w:t>
      </w:r>
      <w:r w:rsidR="005802E9">
        <w:t xml:space="preserve">. </w:t>
      </w:r>
      <w:r w:rsidRPr="005802E9">
        <w:t xml:space="preserve"> </w:t>
      </w:r>
    </w:p>
    <w:p w:rsidR="00E70AFC" w:rsidRPr="005802E9" w:rsidRDefault="00E70AFC" w:rsidP="00314C99">
      <w:pPr>
        <w:pStyle w:val="ExecSumBodyText"/>
      </w:pPr>
      <w:r w:rsidRPr="005802E9">
        <w:t xml:space="preserve">The </w:t>
      </w:r>
      <w:r w:rsidR="00835D70" w:rsidRPr="005802E9">
        <w:t>PBAC agreed with the ESC</w:t>
      </w:r>
      <w:r w:rsidRPr="005802E9">
        <w:t xml:space="preserve"> that the long-term data provides some reassurance that there may be sustained effect with real-world intermittent use of crisaborole, </w:t>
      </w:r>
      <w:r w:rsidR="00835D70" w:rsidRPr="005802E9">
        <w:t>but noted</w:t>
      </w:r>
      <w:r w:rsidRPr="005802E9">
        <w:t xml:space="preserve"> that that the analyses were limited by potential co</w:t>
      </w:r>
      <w:r w:rsidR="00803C3D" w:rsidRPr="005802E9">
        <w:t xml:space="preserve">nfounding and </w:t>
      </w:r>
      <w:r w:rsidR="00EA5E8A" w:rsidRPr="005802E9">
        <w:t>due to</w:t>
      </w:r>
      <w:r w:rsidR="00803C3D" w:rsidRPr="005802E9">
        <w:t xml:space="preserve"> questionable applicability to the requested PBS population.</w:t>
      </w:r>
    </w:p>
    <w:p w:rsidR="004B1276" w:rsidRPr="005802E9" w:rsidRDefault="004B1276" w:rsidP="004B1276">
      <w:pPr>
        <w:pStyle w:val="ExecSumBodyText"/>
        <w:numPr>
          <w:ilvl w:val="0"/>
          <w:numId w:val="0"/>
        </w:numPr>
        <w:rPr>
          <w:b/>
        </w:rPr>
      </w:pPr>
      <w:r w:rsidRPr="005802E9">
        <w:rPr>
          <w:b/>
        </w:rPr>
        <w:t>Indirect comparison of crisaborole and pimecrolimus</w:t>
      </w:r>
    </w:p>
    <w:p w:rsidR="00314C99" w:rsidRPr="005802E9" w:rsidRDefault="00314C99" w:rsidP="007B2608">
      <w:pPr>
        <w:pStyle w:val="ExecSumBodyText"/>
        <w:rPr>
          <w:snapToGrid/>
        </w:rPr>
      </w:pPr>
      <w:r w:rsidRPr="005802E9">
        <w:t xml:space="preserve">The pimecrolimus trials were </w:t>
      </w:r>
      <w:r w:rsidRPr="005802E9">
        <w:rPr>
          <w:snapToGrid/>
        </w:rPr>
        <w:t xml:space="preserve">considered by the PBAC in November 2018, however, two studies of infants (Breuer 2004 and Trial 0316) that were previously included in the submission’s indirect analysis have been excluded from the comparison in the resubmission. </w:t>
      </w:r>
    </w:p>
    <w:p w:rsidR="007840EF" w:rsidRPr="005802E9" w:rsidRDefault="007840EF" w:rsidP="007840EF">
      <w:pPr>
        <w:pStyle w:val="ExecSumBodyText"/>
        <w:rPr>
          <w:i/>
        </w:rPr>
      </w:pPr>
      <w:r w:rsidRPr="005802E9">
        <w:t xml:space="preserve">The results of the indirect comparison of crisaborole and pimecrolimus suggest no statistically significant difference between treatments in terms of the proportion of patients achieving an ISGA/IGA score of 0 or 1. The resubmission noted that numerical </w:t>
      </w:r>
      <w:r w:rsidRPr="005802E9">
        <w:lastRenderedPageBreak/>
        <w:t xml:space="preserve">differences in the results appeared to favour pimecrolimus. However, the resubmission acknowledged substantial issues with the exchangeability of these trials, highlighted by the variance in response observed in the common reference arm of vehicle ointment/cream (0% to 40.6%) alongside other differences including the scale and definitions for the outcome of interest, age groups, baseline disease severity and treatment durations. The resubmission noted additional concerns with the wide confidence intervals that were driven by small sample sizes and high variability of results in the pimecrolimus studies. The </w:t>
      </w:r>
      <w:r w:rsidR="00812D64" w:rsidRPr="005802E9">
        <w:t xml:space="preserve">commentary considered the </w:t>
      </w:r>
      <w:r w:rsidRPr="005802E9">
        <w:t>indirect comparison was non-informative.</w:t>
      </w:r>
      <w:r w:rsidRPr="005802E9">
        <w:rPr>
          <w:i/>
        </w:rPr>
        <w:t xml:space="preserve"> </w:t>
      </w:r>
    </w:p>
    <w:p w:rsidR="007840EF" w:rsidRPr="005802E9" w:rsidRDefault="00410AA1" w:rsidP="00410AA1">
      <w:pPr>
        <w:pStyle w:val="ExecSumBodyText"/>
      </w:pPr>
      <w:r w:rsidRPr="005802E9">
        <w:t>In November 2018, the PBAC noted major transitivity issues with the indirect comparison including: substantial clinical and statistical heterogeneity within the pimecrolimus trials and between the crisaborole and pimecrolimus trials; differences in vehicle response (35% versus 17% for crisaborole and pimecrolimus respectively), and uncertain comparability of the ISGA scale used in the crisaborole trials with the IGA scale used in the pimecrolimus. The PBAC</w:t>
      </w:r>
      <w:r w:rsidR="00D12713" w:rsidRPr="005802E9">
        <w:t xml:space="preserve"> previously</w:t>
      </w:r>
      <w:r w:rsidRPr="005802E9">
        <w:t xml:space="preserve"> </w:t>
      </w:r>
      <w:r w:rsidR="00D12713" w:rsidRPr="005802E9">
        <w:t>considered</w:t>
      </w:r>
      <w:r w:rsidRPr="005802E9">
        <w:t xml:space="preserve"> that the nominated non-inferiority margin did not appear reasonable and the results of the indirect comparison did not exclude the possibility that pimecrolimus was superior to crisaborole in terms of efficacy</w:t>
      </w:r>
      <w:r w:rsidR="00812D64" w:rsidRPr="005802E9">
        <w:t xml:space="preserve"> (paragrap</w:t>
      </w:r>
      <w:r w:rsidR="00F54BA0" w:rsidRPr="005802E9">
        <w:t>h 7.7 c</w:t>
      </w:r>
      <w:r w:rsidR="00812D64" w:rsidRPr="005802E9">
        <w:t>risaborole PSD, November 2019 PBAC meeting)</w:t>
      </w:r>
      <w:r w:rsidRPr="005802E9">
        <w:t>.</w:t>
      </w:r>
    </w:p>
    <w:p w:rsidR="007840EF" w:rsidRPr="005802E9" w:rsidRDefault="00410AA1" w:rsidP="00410AA1">
      <w:pPr>
        <w:pStyle w:val="ExecSumBodyText"/>
      </w:pPr>
      <w:r w:rsidRPr="005802E9">
        <w:t>The resubmission did not nominate a non-inferiority margin but claimed no statistically significant difference between crisaborole and pimecrolimus. The resubmission argued that there is no evidence to support a claim of superiority of pimecrolimus versus crisaborole</w:t>
      </w:r>
      <w:r w:rsidRPr="005802E9">
        <w:rPr>
          <w:i/>
        </w:rPr>
        <w:t xml:space="preserve">. </w:t>
      </w:r>
      <w:r w:rsidRPr="005802E9">
        <w:t>Overall, the</w:t>
      </w:r>
      <w:r w:rsidR="00A74A96" w:rsidRPr="005802E9">
        <w:t xml:space="preserve"> commentary considered the</w:t>
      </w:r>
      <w:r w:rsidRPr="005802E9">
        <w:t xml:space="preserve"> comparative efficacy between crisaborole and pimecrolimus remains unclear due to the lack of robustness in the analyses presented.</w:t>
      </w:r>
      <w:r w:rsidR="00EA5E8A" w:rsidRPr="005802E9">
        <w:rPr>
          <w:snapToGrid/>
        </w:rPr>
        <w:t xml:space="preserve"> The ESC considered that the exclusion of the two trials did not </w:t>
      </w:r>
      <w:r w:rsidR="00D12713" w:rsidRPr="005802E9">
        <w:rPr>
          <w:snapToGrid/>
        </w:rPr>
        <w:t>substantially impact</w:t>
      </w:r>
      <w:r w:rsidR="00EA5E8A" w:rsidRPr="005802E9">
        <w:rPr>
          <w:snapToGrid/>
        </w:rPr>
        <w:t xml:space="preserve"> the overall assessment of the comparison.</w:t>
      </w:r>
    </w:p>
    <w:p w:rsidR="00B60939" w:rsidRPr="005802E9" w:rsidRDefault="00B60939" w:rsidP="00D86231">
      <w:pPr>
        <w:pStyle w:val="3-SubsectionHeading"/>
      </w:pPr>
      <w:bookmarkStart w:id="14" w:name="_Toc22897642"/>
      <w:bookmarkStart w:id="15" w:name="_Toc50995093"/>
      <w:r w:rsidRPr="005802E9">
        <w:t>Comparative harms</w:t>
      </w:r>
      <w:bookmarkEnd w:id="14"/>
      <w:bookmarkEnd w:id="15"/>
    </w:p>
    <w:p w:rsidR="00B60939" w:rsidRPr="005802E9" w:rsidRDefault="00410AA1" w:rsidP="00D86231">
      <w:pPr>
        <w:pStyle w:val="ExecSumBodyText"/>
      </w:pPr>
      <w:r w:rsidRPr="005802E9">
        <w:t xml:space="preserve">The safety data in the resubmission were previously considered by the PBAC in November 2018. There were no new safety signals identified from the Periodic Safety Update Report (PSUR) covering the reporting interval 14 December 2019 through 13 June 2020. </w:t>
      </w:r>
    </w:p>
    <w:p w:rsidR="00410AA1" w:rsidRPr="005802E9" w:rsidRDefault="00410AA1" w:rsidP="002B66D6">
      <w:pPr>
        <w:pStyle w:val="ExecSumBodyText"/>
      </w:pPr>
      <w:r w:rsidRPr="005802E9">
        <w:t>The most frequently reported adverse events with crisaborole treatment were infections and infestations (nasopharyngitis, upper respiratory tract infection), general disorder and administration site conditions (application site pain, pruritus, pyrexia), respiratory, thoracic and mediastinal disorders (nasal congestion) and gastrointestinal disorders (diarrhoea, vomiting). Gastrointestinal adverse events, which have been observed with oral PDE-4 inhibitors, were reported at relatively low frequencies and were similar to vehicle-treated patients. The majority of treatment-related adverse events reported with crisaborole were associated with application site pain (burning, stinging) compared to its vehicle.</w:t>
      </w:r>
    </w:p>
    <w:p w:rsidR="00410AA1" w:rsidRPr="005802E9" w:rsidRDefault="00410AA1" w:rsidP="002B66D6">
      <w:pPr>
        <w:pStyle w:val="ExecSumBodyText"/>
        <w:spacing w:after="160"/>
      </w:pPr>
      <w:r w:rsidRPr="005802E9">
        <w:lastRenderedPageBreak/>
        <w:t>No safety data comparing crisaborole with standard management</w:t>
      </w:r>
      <w:r w:rsidR="004B36E3" w:rsidRPr="005802E9">
        <w:t xml:space="preserve"> were provided</w:t>
      </w:r>
      <w:r w:rsidRPr="005802E9">
        <w:t>. The PBAC previously considered that the vehicle ointment of crisaborole may be a reasonable proxy for standard management (</w:t>
      </w:r>
      <w:r w:rsidRPr="005802E9">
        <w:rPr>
          <w:szCs w:val="20"/>
        </w:rPr>
        <w:t>paragraph 7.8, crisaborole PSD, November 2018 PBAC meeting)</w:t>
      </w:r>
      <w:r w:rsidRPr="005802E9">
        <w:t xml:space="preserve">. </w:t>
      </w:r>
      <w:r w:rsidRPr="005802E9">
        <w:rPr>
          <w:szCs w:val="20"/>
        </w:rPr>
        <w:t xml:space="preserve">The PBAC noted that crisaborole was associated with more frequent application site disorders than its vehicle </w:t>
      </w:r>
      <w:r w:rsidRPr="005802E9">
        <w:t>(</w:t>
      </w:r>
      <w:r w:rsidRPr="005802E9">
        <w:rPr>
          <w:szCs w:val="20"/>
        </w:rPr>
        <w:t>paragraph 7.8, crisaborole PSD, November 2018 PBAC meeting)</w:t>
      </w:r>
      <w:r w:rsidRPr="005802E9">
        <w:t>.</w:t>
      </w:r>
    </w:p>
    <w:p w:rsidR="00410AA1" w:rsidRPr="005802E9" w:rsidRDefault="00410AA1" w:rsidP="00410AA1">
      <w:pPr>
        <w:pStyle w:val="ListParagraph"/>
        <w:numPr>
          <w:ilvl w:val="1"/>
          <w:numId w:val="1"/>
        </w:numPr>
        <w:contextualSpacing w:val="0"/>
      </w:pPr>
      <w:r w:rsidRPr="005802E9">
        <w:t>No formal indirect comparison of safety between crisaborole and pimecrolimus was presented in the submission owing to the lack of detail in safety data reported in the pimecrolimus trials and differences in reporting with the crisaborole trials</w:t>
      </w:r>
      <w:r w:rsidR="005802E9">
        <w:t xml:space="preserve">. </w:t>
      </w:r>
      <w:r w:rsidRPr="005802E9">
        <w:t>Instead, the resubmission presented a brief description of safety profiles for each treatment based on a selection of studies from the included trials. Both treatments were more frequently associated with application-site disorders (e.g. burning, stinging, redness) compared with their respective vehicles.</w:t>
      </w:r>
    </w:p>
    <w:p w:rsidR="007F1017" w:rsidRPr="005802E9" w:rsidRDefault="007F1017" w:rsidP="00D86231">
      <w:pPr>
        <w:pStyle w:val="3-SubsectionHeading"/>
      </w:pPr>
      <w:bookmarkStart w:id="16" w:name="_Toc22897643"/>
      <w:bookmarkStart w:id="17" w:name="_Toc50995094"/>
      <w:r w:rsidRPr="005802E9">
        <w:t>Benefits/harms</w:t>
      </w:r>
      <w:bookmarkEnd w:id="16"/>
      <w:bookmarkEnd w:id="17"/>
    </w:p>
    <w:p w:rsidR="00410AA1" w:rsidRPr="005802E9" w:rsidRDefault="00410AA1" w:rsidP="00410AA1">
      <w:pPr>
        <w:pStyle w:val="ExecSumBodyText"/>
        <w:spacing w:after="0"/>
      </w:pPr>
      <w:r w:rsidRPr="005802E9">
        <w:t>On the basis of direct evidence from Trial AD-301, for every 100 patients treated with crisaborole in comparison to its ointment vehicle over 4 weeks:</w:t>
      </w:r>
    </w:p>
    <w:p w:rsidR="00410AA1" w:rsidRPr="005802E9" w:rsidRDefault="00410AA1" w:rsidP="00C80D49">
      <w:pPr>
        <w:pStyle w:val="ExecSumBodyText"/>
        <w:numPr>
          <w:ilvl w:val="0"/>
          <w:numId w:val="10"/>
        </w:numPr>
        <w:spacing w:after="0"/>
      </w:pPr>
      <w:r w:rsidRPr="005802E9">
        <w:t>Approximately 11 additional patients with mild to moderate atopic dermatitis will achieve clear or almost clear disease.</w:t>
      </w:r>
    </w:p>
    <w:p w:rsidR="00410AA1" w:rsidRPr="005802E9" w:rsidRDefault="00410AA1" w:rsidP="00C80D49">
      <w:pPr>
        <w:pStyle w:val="ExecSumBodyText"/>
        <w:numPr>
          <w:ilvl w:val="0"/>
          <w:numId w:val="10"/>
        </w:numPr>
      </w:pPr>
      <w:r w:rsidRPr="005802E9">
        <w:t>Approximately 5 additional patients will experience application site burning or stinging.</w:t>
      </w:r>
    </w:p>
    <w:p w:rsidR="00410AA1" w:rsidRPr="005802E9" w:rsidRDefault="00410AA1" w:rsidP="00410AA1">
      <w:pPr>
        <w:pStyle w:val="ExecSumBodyText"/>
        <w:spacing w:after="0"/>
      </w:pPr>
      <w:r w:rsidRPr="005802E9">
        <w:t>On the basis of direct evidence from Trial AD-302, for every 100 patients treated with crisaborole in comparison to its ointment vehicle over 4 weeks:</w:t>
      </w:r>
    </w:p>
    <w:p w:rsidR="00410AA1" w:rsidRPr="005802E9" w:rsidRDefault="00410AA1" w:rsidP="00C80D49">
      <w:pPr>
        <w:pStyle w:val="ExecSumBodyText"/>
        <w:numPr>
          <w:ilvl w:val="0"/>
          <w:numId w:val="11"/>
        </w:numPr>
        <w:spacing w:after="0"/>
      </w:pPr>
      <w:r w:rsidRPr="005802E9">
        <w:t>Approximately 19 additional patients with mild to moderate atopic dermatitis will achieve clear or almost clear disease.</w:t>
      </w:r>
    </w:p>
    <w:p w:rsidR="00410AA1" w:rsidRPr="005802E9" w:rsidRDefault="00410AA1" w:rsidP="00C80D49">
      <w:pPr>
        <w:pStyle w:val="ExecSumBodyText"/>
        <w:numPr>
          <w:ilvl w:val="0"/>
          <w:numId w:val="11"/>
        </w:numPr>
      </w:pPr>
      <w:r w:rsidRPr="005802E9">
        <w:t>Approximately 2 additional patients will experience application site burning or stinging.</w:t>
      </w:r>
    </w:p>
    <w:p w:rsidR="00B60939" w:rsidRPr="005802E9" w:rsidRDefault="00B60939" w:rsidP="00E9094A">
      <w:pPr>
        <w:pStyle w:val="3-SubsectionHeading"/>
      </w:pPr>
      <w:bookmarkStart w:id="18" w:name="_Toc22897644"/>
      <w:bookmarkStart w:id="19" w:name="_Toc50995095"/>
      <w:r w:rsidRPr="005802E9">
        <w:t>Clinical claim</w:t>
      </w:r>
      <w:bookmarkEnd w:id="18"/>
      <w:bookmarkEnd w:id="19"/>
    </w:p>
    <w:p w:rsidR="007C70FF" w:rsidRPr="005802E9" w:rsidRDefault="004B6A8A" w:rsidP="00E9094A">
      <w:pPr>
        <w:pStyle w:val="ExecSumBodyText"/>
        <w:rPr>
          <w:color w:val="0066FF"/>
        </w:rPr>
      </w:pPr>
      <w:r w:rsidRPr="005802E9">
        <w:rPr>
          <w:szCs w:val="20"/>
        </w:rPr>
        <w:t xml:space="preserve">The PBAC </w:t>
      </w:r>
      <w:r w:rsidR="00D44A40" w:rsidRPr="005802E9">
        <w:rPr>
          <w:szCs w:val="20"/>
        </w:rPr>
        <w:t xml:space="preserve">previously </w:t>
      </w:r>
      <w:r w:rsidRPr="005802E9">
        <w:rPr>
          <w:szCs w:val="20"/>
        </w:rPr>
        <w:t>considered that overall the claim of superior effectiveness compared with standard management was not adequately supported by the data</w:t>
      </w:r>
      <w:r w:rsidR="00D44A40" w:rsidRPr="005802E9">
        <w:rPr>
          <w:szCs w:val="20"/>
        </w:rPr>
        <w:t xml:space="preserve"> and</w:t>
      </w:r>
      <w:r w:rsidRPr="005802E9">
        <w:rPr>
          <w:szCs w:val="20"/>
        </w:rPr>
        <w:t xml:space="preserve"> noted that no safety data were provided comparing crisaborole with standard management but that the vehicle ointment may be a reasonable proxy (paragraph 7.6, crisaborole, PSD, November 2018 PBAC meeting). </w:t>
      </w:r>
    </w:p>
    <w:p w:rsidR="005F7588" w:rsidRPr="005802E9" w:rsidRDefault="004B6A8A" w:rsidP="00343527">
      <w:pPr>
        <w:pStyle w:val="ExecSumBodyText"/>
        <w:rPr>
          <w:rFonts w:eastAsia="Calibri"/>
        </w:rPr>
      </w:pPr>
      <w:r w:rsidRPr="005802E9">
        <w:rPr>
          <w:rFonts w:eastAsia="Calibri"/>
        </w:rPr>
        <w:t xml:space="preserve">The resubmission described crisaborole as superior in terms of efficacy and inferior in terms of safety to standard management. </w:t>
      </w:r>
      <w:r w:rsidR="008F7762" w:rsidRPr="005802E9">
        <w:rPr>
          <w:rFonts w:eastAsia="Calibri"/>
        </w:rPr>
        <w:t xml:space="preserve">The ESC considered that the additional data presented in the resubmission did not </w:t>
      </w:r>
      <w:r w:rsidR="00812D64" w:rsidRPr="005802E9">
        <w:rPr>
          <w:rFonts w:eastAsia="Calibri"/>
        </w:rPr>
        <w:t>substantially change the evidence base due to potential differences between the study population and the PBS population.</w:t>
      </w:r>
    </w:p>
    <w:p w:rsidR="003B20AB" w:rsidRPr="005802E9" w:rsidRDefault="003B20AB" w:rsidP="003B20AB">
      <w:pPr>
        <w:pStyle w:val="ExecSumBodyText"/>
        <w:rPr>
          <w:lang w:eastAsia="en-US"/>
        </w:rPr>
      </w:pPr>
      <w:r w:rsidRPr="005802E9">
        <w:rPr>
          <w:lang w:eastAsia="en-US"/>
        </w:rPr>
        <w:t>The PBAC considered that the claim of superior comparative effectiveness compared with standard management was not adequately supported by the data. The PBAC considered that the claim of inferior comparative safety was reasonable.</w:t>
      </w:r>
    </w:p>
    <w:p w:rsidR="004B6A8A" w:rsidRPr="005802E9" w:rsidRDefault="004B6A8A" w:rsidP="004B6A8A">
      <w:pPr>
        <w:pStyle w:val="ExecSumBodyText"/>
        <w:rPr>
          <w:rFonts w:eastAsia="Calibri"/>
        </w:rPr>
      </w:pPr>
      <w:r w:rsidRPr="005802E9">
        <w:rPr>
          <w:rFonts w:eastAsia="Calibri"/>
        </w:rPr>
        <w:lastRenderedPageBreak/>
        <w:t xml:space="preserve">The PBAC </w:t>
      </w:r>
      <w:r w:rsidR="000C28F2" w:rsidRPr="005802E9">
        <w:rPr>
          <w:rFonts w:eastAsia="Calibri"/>
        </w:rPr>
        <w:t xml:space="preserve">previously considered </w:t>
      </w:r>
      <w:r w:rsidRPr="005802E9">
        <w:rPr>
          <w:rFonts w:eastAsia="Calibri"/>
        </w:rPr>
        <w:t>that results of the indirect comparison did not exclude the possibility that pimecrolimus was superior to crisaborole in terms of efficacy (paragraph 7.7, crisaborole PSD, November 2018 PBAC meeting). The PBAC previously noted that no formal comparison of safety between crisaborole and pimecrolimus was possible and considered that the claim of non-inferior safety compared with pimecrolimus was likely to be reasonable but was supported by limited data (paragraph 7.8, crisaborole PSD, November 2018 PBAC meeting).</w:t>
      </w:r>
    </w:p>
    <w:p w:rsidR="004B6A8A" w:rsidRPr="005802E9" w:rsidRDefault="004B6A8A" w:rsidP="004B6A8A">
      <w:pPr>
        <w:pStyle w:val="ExecSumBodyText"/>
        <w:rPr>
          <w:rFonts w:eastAsia="Calibri"/>
        </w:rPr>
      </w:pPr>
      <w:r w:rsidRPr="005802E9">
        <w:rPr>
          <w:rFonts w:eastAsia="Calibri"/>
        </w:rPr>
        <w:t xml:space="preserve">The resubmission described crisaborole as non-inferior in terms of efficacy and safety compared with pimecrolimus. </w:t>
      </w:r>
      <w:r w:rsidR="00343527" w:rsidRPr="005802E9">
        <w:rPr>
          <w:rFonts w:eastAsia="Calibri"/>
        </w:rPr>
        <w:t xml:space="preserve">The ESC considered </w:t>
      </w:r>
      <w:r w:rsidR="0040594A" w:rsidRPr="005802E9">
        <w:rPr>
          <w:rFonts w:eastAsia="Calibri"/>
        </w:rPr>
        <w:t xml:space="preserve">that </w:t>
      </w:r>
      <w:r w:rsidR="0040594A" w:rsidRPr="005802E9">
        <w:rPr>
          <w:snapToGrid/>
        </w:rPr>
        <w:t xml:space="preserve">the exclusion of the two trials in the resubmission did not </w:t>
      </w:r>
      <w:r w:rsidR="00A74A96" w:rsidRPr="005802E9">
        <w:rPr>
          <w:snapToGrid/>
        </w:rPr>
        <w:t>substantially impact</w:t>
      </w:r>
      <w:r w:rsidR="0040594A" w:rsidRPr="005802E9">
        <w:rPr>
          <w:snapToGrid/>
        </w:rPr>
        <w:t xml:space="preserve"> the overall assessment of the comparison</w:t>
      </w:r>
      <w:r w:rsidR="008738A3" w:rsidRPr="005802E9">
        <w:rPr>
          <w:snapToGrid/>
        </w:rPr>
        <w:t xml:space="preserve"> compared with the November 2018 submission</w:t>
      </w:r>
      <w:r w:rsidR="0040594A" w:rsidRPr="005802E9">
        <w:rPr>
          <w:snapToGrid/>
        </w:rPr>
        <w:t>.</w:t>
      </w:r>
    </w:p>
    <w:p w:rsidR="006B3FC1" w:rsidRPr="005802E9" w:rsidRDefault="006B3FC1" w:rsidP="006B3FC1">
      <w:pPr>
        <w:pStyle w:val="ExecSumBodyText"/>
        <w:rPr>
          <w:lang w:eastAsia="en-US"/>
        </w:rPr>
      </w:pPr>
      <w:r w:rsidRPr="005802E9">
        <w:rPr>
          <w:lang w:eastAsia="en-US"/>
        </w:rPr>
        <w:t>The PBAC considered that the claim of non-inferior comparative effectiveness compared with pimecrolimus was not adequately supported by the data. The PBAC considered that the claim of non-inferior comparative safety was reasonable.</w:t>
      </w:r>
    </w:p>
    <w:p w:rsidR="00B60939" w:rsidRPr="005802E9" w:rsidRDefault="00B60939" w:rsidP="00E9094A">
      <w:pPr>
        <w:pStyle w:val="3-SubsectionHeading"/>
      </w:pPr>
      <w:bookmarkStart w:id="20" w:name="_Toc22897645"/>
      <w:bookmarkStart w:id="21" w:name="_Toc50995096"/>
      <w:r w:rsidRPr="005802E9">
        <w:t>Economic analysis</w:t>
      </w:r>
      <w:bookmarkEnd w:id="20"/>
      <w:bookmarkEnd w:id="21"/>
      <w:r w:rsidR="00491B3A" w:rsidRPr="005802E9">
        <w:t xml:space="preserve"> </w:t>
      </w:r>
    </w:p>
    <w:p w:rsidR="00275C5A" w:rsidRPr="005802E9" w:rsidRDefault="00CD5A7D" w:rsidP="00641FB3">
      <w:pPr>
        <w:pStyle w:val="ExecSumBodyText"/>
        <w:rPr>
          <w:b/>
          <w:bCs/>
        </w:rPr>
      </w:pPr>
      <w:r w:rsidRPr="005802E9">
        <w:t xml:space="preserve">The resubmission presented a cost-minimisation analysis for the comparison versus pimecrolimus for the face and eyelids, and a cost-effectiveness analysis versus standard management for the rest of the body. A weighted price for crisaborole </w:t>
      </w:r>
      <w:r w:rsidR="005F705B" w:rsidRPr="005802E9">
        <w:t>wa</w:t>
      </w:r>
      <w:r w:rsidRPr="005802E9">
        <w:t>s calculated based on an estimated distribution of use between the two areas of the body.</w:t>
      </w:r>
    </w:p>
    <w:p w:rsidR="00CD5A7D" w:rsidRPr="005802E9" w:rsidRDefault="00CD5A7D" w:rsidP="00CD5A7D">
      <w:pPr>
        <w:pStyle w:val="ExecSumBodyText"/>
        <w:numPr>
          <w:ilvl w:val="0"/>
          <w:numId w:val="0"/>
        </w:numPr>
        <w:rPr>
          <w:b/>
          <w:bCs/>
        </w:rPr>
      </w:pPr>
      <w:r w:rsidRPr="005802E9">
        <w:rPr>
          <w:b/>
        </w:rPr>
        <w:t>Cost-minimisation analysis versus pimecrolimus</w:t>
      </w:r>
    </w:p>
    <w:p w:rsidR="00CD5A7D" w:rsidRPr="005802E9" w:rsidRDefault="00CD5A7D" w:rsidP="00CD5A7D">
      <w:pPr>
        <w:pStyle w:val="ExecSumBodyText"/>
      </w:pPr>
      <w:r w:rsidRPr="005802E9">
        <w:t xml:space="preserve">The table below presents the results of the cost-minimisation analysis. The approach used in the resubmission was unchanged from the November 2018 submission, with an additional analysis for the 30 g formulation of crisaborole. </w:t>
      </w:r>
    </w:p>
    <w:p w:rsidR="00CD5A7D" w:rsidRPr="005802E9" w:rsidRDefault="00CD5A7D" w:rsidP="00CD5A7D">
      <w:pPr>
        <w:pStyle w:val="ExecSumBodyText"/>
      </w:pPr>
      <w:r w:rsidRPr="005802E9">
        <w:t>The PBAC previously considered that the cost-minimisation analysis was not reasonable given that the clinical claim of non-inferiority to pimecrolimus was inadequately supported (paragraph 7.10, crisaborole PSD, November 2018 PBAC meeting).</w:t>
      </w:r>
    </w:p>
    <w:p w:rsidR="00CD5A7D" w:rsidRPr="005802E9" w:rsidRDefault="00CD5A7D" w:rsidP="00CD5A7D">
      <w:pPr>
        <w:pStyle w:val="TableFigureCaption"/>
      </w:pPr>
      <w:r w:rsidRPr="005802E9">
        <w:t xml:space="preserve">Table </w:t>
      </w:r>
      <w:r w:rsidR="004736E5" w:rsidRPr="005802E9">
        <w:t>10</w:t>
      </w:r>
      <w:r w:rsidRPr="005802E9">
        <w:t>: Results of the cost-minimisation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04"/>
        <w:gridCol w:w="3010"/>
      </w:tblGrid>
      <w:tr w:rsidR="00CD5A7D" w:rsidRPr="005802E9" w:rsidTr="00CD5A7D">
        <w:tc>
          <w:tcPr>
            <w:tcW w:w="3003" w:type="dxa"/>
          </w:tcPr>
          <w:p w:rsidR="00CD5A7D" w:rsidRPr="005802E9" w:rsidRDefault="00CD5A7D" w:rsidP="00CD5A7D">
            <w:pPr>
              <w:pStyle w:val="Tableheadingrow"/>
              <w:rPr>
                <w:lang w:val="en-AU"/>
              </w:rPr>
            </w:pPr>
            <w:r w:rsidRPr="005802E9">
              <w:rPr>
                <w:lang w:val="en-AU"/>
              </w:rPr>
              <w:t>Component</w:t>
            </w:r>
          </w:p>
        </w:tc>
        <w:tc>
          <w:tcPr>
            <w:tcW w:w="3004" w:type="dxa"/>
          </w:tcPr>
          <w:p w:rsidR="00CD5A7D" w:rsidRPr="005802E9" w:rsidRDefault="00CD5A7D" w:rsidP="00CD5A7D">
            <w:pPr>
              <w:pStyle w:val="Tableheadingrow"/>
              <w:jc w:val="center"/>
              <w:rPr>
                <w:lang w:val="en-AU"/>
              </w:rPr>
            </w:pPr>
            <w:r w:rsidRPr="005802E9">
              <w:rPr>
                <w:lang w:val="en-AU"/>
              </w:rPr>
              <w:t>Crisaborole</w:t>
            </w:r>
          </w:p>
        </w:tc>
        <w:tc>
          <w:tcPr>
            <w:tcW w:w="3010" w:type="dxa"/>
          </w:tcPr>
          <w:p w:rsidR="00CD5A7D" w:rsidRPr="005802E9" w:rsidRDefault="00CD5A7D" w:rsidP="00CD5A7D">
            <w:pPr>
              <w:pStyle w:val="Tableheadingrow"/>
              <w:jc w:val="center"/>
              <w:rPr>
                <w:lang w:val="en-AU"/>
              </w:rPr>
            </w:pPr>
            <w:r w:rsidRPr="005802E9">
              <w:rPr>
                <w:lang w:val="en-AU"/>
              </w:rPr>
              <w:t>Pimecrolimus</w:t>
            </w:r>
          </w:p>
        </w:tc>
      </w:tr>
      <w:tr w:rsidR="00CD5A7D" w:rsidRPr="005802E9" w:rsidTr="00CD5A7D">
        <w:tc>
          <w:tcPr>
            <w:tcW w:w="9017" w:type="dxa"/>
            <w:gridSpan w:val="3"/>
          </w:tcPr>
          <w:p w:rsidR="00CD5A7D" w:rsidRPr="005802E9" w:rsidRDefault="00CD5A7D" w:rsidP="00CD5A7D">
            <w:pPr>
              <w:pStyle w:val="TableText"/>
              <w:rPr>
                <w:b/>
              </w:rPr>
            </w:pPr>
            <w:r w:rsidRPr="005802E9">
              <w:rPr>
                <w:b/>
              </w:rPr>
              <w:t>Initial script</w:t>
            </w:r>
          </w:p>
        </w:tc>
      </w:tr>
      <w:tr w:rsidR="00CD5A7D" w:rsidRPr="005802E9" w:rsidTr="00CD5A7D">
        <w:tc>
          <w:tcPr>
            <w:tcW w:w="3003" w:type="dxa"/>
          </w:tcPr>
          <w:p w:rsidR="00CD5A7D" w:rsidRPr="005802E9" w:rsidRDefault="00CD5A7D" w:rsidP="00CD5A7D">
            <w:pPr>
              <w:pStyle w:val="TableText"/>
            </w:pPr>
            <w:r w:rsidRPr="005802E9">
              <w:t>AEMP</w:t>
            </w:r>
          </w:p>
        </w:tc>
        <w:tc>
          <w:tcPr>
            <w:tcW w:w="3004" w:type="dxa"/>
          </w:tcPr>
          <w:p w:rsidR="00CD5A7D" w:rsidRPr="005802E9" w:rsidRDefault="00CD5A7D" w:rsidP="00CD5A7D">
            <w:pPr>
              <w:pStyle w:val="TableText"/>
              <w:jc w:val="center"/>
            </w:pPr>
            <w:r w:rsidRPr="005802E9">
              <w:t>$</w:t>
            </w:r>
            <w:r w:rsidR="00EC0E44">
              <w:rPr>
                <w:noProof/>
                <w:color w:val="000000"/>
                <w:highlight w:val="black"/>
              </w:rPr>
              <w:t>''''''''''''</w:t>
            </w:r>
          </w:p>
        </w:tc>
        <w:tc>
          <w:tcPr>
            <w:tcW w:w="3010" w:type="dxa"/>
          </w:tcPr>
          <w:p w:rsidR="00CD5A7D" w:rsidRPr="005802E9" w:rsidRDefault="00CD5A7D" w:rsidP="00CD5A7D">
            <w:pPr>
              <w:pStyle w:val="TableText"/>
              <w:jc w:val="center"/>
            </w:pPr>
            <w:r w:rsidRPr="005802E9">
              <w:t>$17.98</w:t>
            </w:r>
          </w:p>
        </w:tc>
      </w:tr>
      <w:tr w:rsidR="00CD5A7D" w:rsidRPr="005802E9" w:rsidTr="00CD5A7D">
        <w:tc>
          <w:tcPr>
            <w:tcW w:w="3003" w:type="dxa"/>
          </w:tcPr>
          <w:p w:rsidR="00CD5A7D" w:rsidRPr="005802E9" w:rsidRDefault="00CD5A7D" w:rsidP="00CD5A7D">
            <w:pPr>
              <w:pStyle w:val="TableText"/>
            </w:pPr>
            <w:r w:rsidRPr="005802E9">
              <w:t xml:space="preserve">Amount of drug </w:t>
            </w:r>
          </w:p>
        </w:tc>
        <w:tc>
          <w:tcPr>
            <w:tcW w:w="3004" w:type="dxa"/>
          </w:tcPr>
          <w:p w:rsidR="00CD5A7D" w:rsidRPr="005802E9" w:rsidRDefault="00CD5A7D" w:rsidP="00CD5A7D">
            <w:pPr>
              <w:pStyle w:val="TableText"/>
              <w:jc w:val="center"/>
            </w:pPr>
            <w:r w:rsidRPr="005802E9">
              <w:t>30 g</w:t>
            </w:r>
          </w:p>
        </w:tc>
        <w:tc>
          <w:tcPr>
            <w:tcW w:w="3010" w:type="dxa"/>
          </w:tcPr>
          <w:p w:rsidR="00CD5A7D" w:rsidRPr="005802E9" w:rsidRDefault="00CD5A7D" w:rsidP="00CD5A7D">
            <w:pPr>
              <w:pStyle w:val="TableText"/>
              <w:jc w:val="center"/>
            </w:pPr>
            <w:r w:rsidRPr="005802E9">
              <w:t>15 g</w:t>
            </w:r>
          </w:p>
        </w:tc>
      </w:tr>
      <w:tr w:rsidR="00CD5A7D" w:rsidRPr="005802E9" w:rsidTr="00CD5A7D">
        <w:tc>
          <w:tcPr>
            <w:tcW w:w="3003" w:type="dxa"/>
          </w:tcPr>
          <w:p w:rsidR="00CD5A7D" w:rsidRPr="005802E9" w:rsidRDefault="00CD5A7D" w:rsidP="00CD5A7D">
            <w:pPr>
              <w:pStyle w:val="TableText"/>
            </w:pPr>
            <w:r w:rsidRPr="005802E9">
              <w:t>Cost per gram</w:t>
            </w:r>
          </w:p>
        </w:tc>
        <w:tc>
          <w:tcPr>
            <w:tcW w:w="6014" w:type="dxa"/>
            <w:gridSpan w:val="2"/>
          </w:tcPr>
          <w:p w:rsidR="00CD5A7D" w:rsidRPr="005802E9" w:rsidRDefault="00CD5A7D" w:rsidP="00CD5A7D">
            <w:pPr>
              <w:pStyle w:val="TableText"/>
              <w:jc w:val="center"/>
            </w:pPr>
            <w:r w:rsidRPr="005802E9">
              <w:t>$</w:t>
            </w:r>
            <w:r w:rsidR="00EC0E44">
              <w:rPr>
                <w:noProof/>
                <w:color w:val="000000"/>
                <w:highlight w:val="black"/>
              </w:rPr>
              <w:t>''''''''''''</w:t>
            </w:r>
          </w:p>
        </w:tc>
      </w:tr>
      <w:tr w:rsidR="00CD5A7D" w:rsidRPr="005802E9" w:rsidTr="00CD5A7D">
        <w:tc>
          <w:tcPr>
            <w:tcW w:w="3003" w:type="dxa"/>
          </w:tcPr>
          <w:p w:rsidR="00CD5A7D" w:rsidRPr="005802E9" w:rsidRDefault="00CD5A7D" w:rsidP="00CD5A7D">
            <w:pPr>
              <w:pStyle w:val="TableText"/>
              <w:rPr>
                <w:vertAlign w:val="superscript"/>
              </w:rPr>
            </w:pPr>
            <w:r w:rsidRPr="005802E9">
              <w:t>DPMQ</w:t>
            </w:r>
          </w:p>
        </w:tc>
        <w:tc>
          <w:tcPr>
            <w:tcW w:w="3004" w:type="dxa"/>
          </w:tcPr>
          <w:p w:rsidR="00CD5A7D" w:rsidRPr="005802E9" w:rsidRDefault="00CD5A7D" w:rsidP="00CD5A7D">
            <w:pPr>
              <w:pStyle w:val="TableText"/>
              <w:jc w:val="center"/>
              <w:rPr>
                <w:i/>
              </w:rPr>
            </w:pPr>
            <w:r w:rsidRPr="005802E9">
              <w:rPr>
                <w:i/>
              </w:rPr>
              <w:t>$</w:t>
            </w:r>
            <w:r w:rsidR="00EC0E44">
              <w:rPr>
                <w:i/>
                <w:noProof/>
                <w:color w:val="000000"/>
                <w:highlight w:val="black"/>
              </w:rPr>
              <w:t>'''''''''''''''</w:t>
            </w:r>
          </w:p>
        </w:tc>
        <w:tc>
          <w:tcPr>
            <w:tcW w:w="3010" w:type="dxa"/>
          </w:tcPr>
          <w:p w:rsidR="00CD5A7D" w:rsidRPr="005802E9" w:rsidRDefault="00CD5A7D" w:rsidP="00CD5A7D">
            <w:pPr>
              <w:pStyle w:val="TableText"/>
              <w:jc w:val="center"/>
            </w:pPr>
            <w:r w:rsidRPr="005802E9">
              <w:t>$31.35</w:t>
            </w:r>
          </w:p>
        </w:tc>
      </w:tr>
      <w:tr w:rsidR="00CD5A7D" w:rsidRPr="005802E9" w:rsidTr="00CD5A7D">
        <w:tc>
          <w:tcPr>
            <w:tcW w:w="9017" w:type="dxa"/>
            <w:gridSpan w:val="3"/>
          </w:tcPr>
          <w:p w:rsidR="00CD5A7D" w:rsidRPr="005802E9" w:rsidRDefault="00CD5A7D" w:rsidP="00CD5A7D">
            <w:pPr>
              <w:pStyle w:val="TableText"/>
              <w:rPr>
                <w:b/>
              </w:rPr>
            </w:pPr>
            <w:r w:rsidRPr="005802E9">
              <w:rPr>
                <w:b/>
              </w:rPr>
              <w:t>Continuing script</w:t>
            </w:r>
          </w:p>
        </w:tc>
      </w:tr>
      <w:tr w:rsidR="00CD5A7D" w:rsidRPr="005802E9" w:rsidTr="00CD5A7D">
        <w:tc>
          <w:tcPr>
            <w:tcW w:w="3003" w:type="dxa"/>
          </w:tcPr>
          <w:p w:rsidR="00CD5A7D" w:rsidRPr="005802E9" w:rsidRDefault="00CD5A7D" w:rsidP="00CD5A7D">
            <w:pPr>
              <w:pStyle w:val="TableText"/>
            </w:pPr>
            <w:r w:rsidRPr="005802E9">
              <w:t>AEMP</w:t>
            </w:r>
          </w:p>
        </w:tc>
        <w:tc>
          <w:tcPr>
            <w:tcW w:w="3004" w:type="dxa"/>
          </w:tcPr>
          <w:p w:rsidR="00CD5A7D" w:rsidRPr="005802E9" w:rsidRDefault="00CD5A7D" w:rsidP="00CD5A7D">
            <w:pPr>
              <w:pStyle w:val="TableText"/>
              <w:jc w:val="center"/>
            </w:pPr>
            <w:r w:rsidRPr="005802E9">
              <w:t>$</w:t>
            </w:r>
            <w:r w:rsidR="00EC0E44">
              <w:rPr>
                <w:noProof/>
                <w:color w:val="000000"/>
                <w:highlight w:val="black"/>
              </w:rPr>
              <w:t>''''''''''''''</w:t>
            </w:r>
          </w:p>
        </w:tc>
        <w:tc>
          <w:tcPr>
            <w:tcW w:w="3010" w:type="dxa"/>
          </w:tcPr>
          <w:p w:rsidR="00CD5A7D" w:rsidRPr="005802E9" w:rsidRDefault="00CD5A7D" w:rsidP="00CD5A7D">
            <w:pPr>
              <w:pStyle w:val="TableText"/>
              <w:jc w:val="center"/>
            </w:pPr>
            <w:r w:rsidRPr="005802E9">
              <w:t>$17.98</w:t>
            </w:r>
          </w:p>
        </w:tc>
      </w:tr>
      <w:tr w:rsidR="00CD5A7D" w:rsidRPr="005802E9" w:rsidTr="00CD5A7D">
        <w:tc>
          <w:tcPr>
            <w:tcW w:w="3003" w:type="dxa"/>
          </w:tcPr>
          <w:p w:rsidR="00CD5A7D" w:rsidRPr="005802E9" w:rsidRDefault="00CD5A7D" w:rsidP="00CD5A7D">
            <w:pPr>
              <w:pStyle w:val="TableText"/>
              <w:rPr>
                <w:b/>
              </w:rPr>
            </w:pPr>
            <w:r w:rsidRPr="005802E9">
              <w:t>Amount of drug</w:t>
            </w:r>
          </w:p>
        </w:tc>
        <w:tc>
          <w:tcPr>
            <w:tcW w:w="3004" w:type="dxa"/>
          </w:tcPr>
          <w:p w:rsidR="00CD5A7D" w:rsidRPr="005802E9" w:rsidRDefault="00CD5A7D" w:rsidP="00CD5A7D">
            <w:pPr>
              <w:pStyle w:val="TableText"/>
              <w:jc w:val="center"/>
            </w:pPr>
            <w:r w:rsidRPr="005802E9">
              <w:t>60 g</w:t>
            </w:r>
          </w:p>
        </w:tc>
        <w:tc>
          <w:tcPr>
            <w:tcW w:w="3010" w:type="dxa"/>
          </w:tcPr>
          <w:p w:rsidR="00CD5A7D" w:rsidRPr="005802E9" w:rsidRDefault="00CD5A7D" w:rsidP="00CD5A7D">
            <w:pPr>
              <w:pStyle w:val="TableText"/>
              <w:jc w:val="center"/>
            </w:pPr>
            <w:r w:rsidRPr="005802E9">
              <w:t>15 g</w:t>
            </w:r>
          </w:p>
        </w:tc>
      </w:tr>
      <w:tr w:rsidR="00CD5A7D" w:rsidRPr="005802E9" w:rsidTr="00CD5A7D">
        <w:tc>
          <w:tcPr>
            <w:tcW w:w="3003" w:type="dxa"/>
          </w:tcPr>
          <w:p w:rsidR="00CD5A7D" w:rsidRPr="005802E9" w:rsidRDefault="00CD5A7D" w:rsidP="00CD5A7D">
            <w:pPr>
              <w:pStyle w:val="TableText"/>
            </w:pPr>
            <w:r w:rsidRPr="005802E9">
              <w:t>DPMQ</w:t>
            </w:r>
            <w:r w:rsidR="00A715EC" w:rsidRPr="005802E9">
              <w:t xml:space="preserve"> </w:t>
            </w:r>
            <w:r w:rsidR="00A715EC" w:rsidRPr="005802E9">
              <w:rPr>
                <w:vertAlign w:val="superscript"/>
              </w:rPr>
              <w:t>a</w:t>
            </w:r>
          </w:p>
        </w:tc>
        <w:tc>
          <w:tcPr>
            <w:tcW w:w="3004" w:type="dxa"/>
          </w:tcPr>
          <w:p w:rsidR="00CD5A7D" w:rsidRPr="005802E9" w:rsidRDefault="00CD5A7D" w:rsidP="00CD5A7D">
            <w:pPr>
              <w:pStyle w:val="TableText"/>
              <w:jc w:val="center"/>
            </w:pPr>
            <w:r w:rsidRPr="005802E9">
              <w:t>$</w:t>
            </w:r>
            <w:r w:rsidR="00EC0E44">
              <w:rPr>
                <w:noProof/>
                <w:color w:val="000000"/>
                <w:highlight w:val="black"/>
              </w:rPr>
              <w:t>'''''''''''''</w:t>
            </w:r>
          </w:p>
        </w:tc>
        <w:tc>
          <w:tcPr>
            <w:tcW w:w="3010" w:type="dxa"/>
          </w:tcPr>
          <w:p w:rsidR="00CD5A7D" w:rsidRPr="005802E9" w:rsidRDefault="00CD5A7D" w:rsidP="00CD5A7D">
            <w:pPr>
              <w:pStyle w:val="TableText"/>
              <w:jc w:val="center"/>
            </w:pPr>
            <w:r w:rsidRPr="005802E9">
              <w:t>$31.35</w:t>
            </w:r>
          </w:p>
        </w:tc>
      </w:tr>
    </w:tbl>
    <w:p w:rsidR="00CD5A7D" w:rsidRPr="005802E9" w:rsidRDefault="00CD5A7D" w:rsidP="00CD5A7D">
      <w:pPr>
        <w:pStyle w:val="TableFigureFooter"/>
      </w:pPr>
      <w:r w:rsidRPr="005802E9">
        <w:t>Source: Table 3.4.1, p150 of the resubmission</w:t>
      </w:r>
    </w:p>
    <w:p w:rsidR="00CD5A7D" w:rsidRPr="005802E9" w:rsidRDefault="00CD5A7D" w:rsidP="00CD5A7D">
      <w:pPr>
        <w:pStyle w:val="TableFigureFooter"/>
      </w:pPr>
      <w:r w:rsidRPr="005802E9">
        <w:t>Note. Ex-manufacturer prices based on PBS 1 August 2020 price</w:t>
      </w:r>
    </w:p>
    <w:p w:rsidR="00CD5A7D" w:rsidRPr="005802E9" w:rsidRDefault="00A715EC" w:rsidP="00CD5A7D">
      <w:pPr>
        <w:pStyle w:val="TableFigureFooter"/>
      </w:pPr>
      <w:r w:rsidRPr="005802E9">
        <w:rPr>
          <w:vertAlign w:val="superscript"/>
        </w:rPr>
        <w:t xml:space="preserve">a </w:t>
      </w:r>
      <w:r w:rsidRPr="005802E9">
        <w:t xml:space="preserve"> re</w:t>
      </w:r>
      <w:r w:rsidR="00CD5A7D" w:rsidRPr="005802E9">
        <w:t xml:space="preserve">calculated during the evaluation using estimated ex-manufacturer prices plus fees and mark-ups as of 1 August 2020. </w:t>
      </w:r>
    </w:p>
    <w:p w:rsidR="00CD5A7D" w:rsidRPr="005802E9" w:rsidRDefault="00CD5A7D" w:rsidP="00CD5A7D">
      <w:pPr>
        <w:pStyle w:val="ExecSumBodyText"/>
      </w:pPr>
      <w:r w:rsidRPr="005802E9">
        <w:lastRenderedPageBreak/>
        <w:t>The resubmission assumed that crisaborole is equivalent to pimecrolimus on a per gram basis. The resubmission claimed that this approach was conservative as the administration of ointments is likely to spread further compared with cream-based preparations. The PBAC previously considered that the assumption of equivalence of crisaborole and pimecrolimus on a per gram basis was not appropriate and was unlikely to reflect actual use of the treatments (paragraph 7.10, crisaborole PSD, November 2018 PBAC meeting).</w:t>
      </w:r>
    </w:p>
    <w:p w:rsidR="00DA5BED" w:rsidRDefault="00CD5A7D" w:rsidP="00CD5A7D">
      <w:pPr>
        <w:pStyle w:val="ExecSumBodyText"/>
      </w:pPr>
      <w:r w:rsidRPr="005802E9">
        <w:t xml:space="preserve">The </w:t>
      </w:r>
      <w:r w:rsidR="00003E40" w:rsidRPr="005802E9">
        <w:t xml:space="preserve">calculated </w:t>
      </w:r>
      <w:r w:rsidRPr="005802E9">
        <w:t xml:space="preserve">ex-manufacturer price for crisaborole was </w:t>
      </w:r>
      <w:r w:rsidR="00003E40" w:rsidRPr="005802E9">
        <w:t>slightly lower than that</w:t>
      </w:r>
      <w:r w:rsidRPr="005802E9">
        <w:t xml:space="preserve"> in the November 2018 submission ($</w:t>
      </w:r>
      <w:r w:rsidR="00EC0E44">
        <w:rPr>
          <w:noProof/>
          <w:color w:val="000000"/>
          <w:highlight w:val="black"/>
        </w:rPr>
        <w:t>'''''''''''</w:t>
      </w:r>
      <w:r w:rsidRPr="005802E9">
        <w:t xml:space="preserve"> per 60 g) due to the reduction in the ex-manufacturer price for pimecrolimus.</w:t>
      </w:r>
    </w:p>
    <w:p w:rsidR="00DA5BED" w:rsidRDefault="00DA5BED">
      <w:pPr>
        <w:jc w:val="left"/>
        <w:rPr>
          <w:rFonts w:asciiTheme="minorHAnsi" w:hAnsiTheme="minorHAnsi"/>
          <w:snapToGrid w:val="0"/>
        </w:rPr>
      </w:pPr>
      <w:r>
        <w:br w:type="page"/>
      </w:r>
    </w:p>
    <w:p w:rsidR="00CD5A7D" w:rsidRPr="005802E9" w:rsidRDefault="00CD5A7D" w:rsidP="00CD5A7D">
      <w:pPr>
        <w:pStyle w:val="ExecSumBodyText"/>
        <w:numPr>
          <w:ilvl w:val="0"/>
          <w:numId w:val="0"/>
        </w:numPr>
        <w:rPr>
          <w:b/>
        </w:rPr>
      </w:pPr>
      <w:r w:rsidRPr="005802E9">
        <w:rPr>
          <w:b/>
        </w:rPr>
        <w:lastRenderedPageBreak/>
        <w:t>Cost-effectiveness analysis versus standard management</w:t>
      </w:r>
    </w:p>
    <w:p w:rsidR="00A666A2" w:rsidRPr="005802E9" w:rsidRDefault="00A666A2" w:rsidP="00A666A2">
      <w:pPr>
        <w:pStyle w:val="ExecSumBodyText"/>
        <w:spacing w:after="0"/>
      </w:pPr>
      <w:r w:rsidRPr="005802E9">
        <w:t>The PBAC previously considered that the cost-effectiveness of crisaborole compared with standard management was highly uncertain due to the following concerns (paragraph 7.9, crisaborole PSD, November 2018 PBAC meeting):</w:t>
      </w:r>
    </w:p>
    <w:p w:rsidR="00A666A2" w:rsidRPr="005802E9" w:rsidRDefault="00A666A2" w:rsidP="00C80D49">
      <w:pPr>
        <w:pStyle w:val="ExecSumBodyText"/>
        <w:numPr>
          <w:ilvl w:val="0"/>
          <w:numId w:val="12"/>
        </w:numPr>
        <w:spacing w:after="0"/>
      </w:pPr>
      <w:r w:rsidRPr="005802E9">
        <w:t xml:space="preserve">the lack of a relevant comparator; </w:t>
      </w:r>
    </w:p>
    <w:p w:rsidR="00A666A2" w:rsidRPr="005802E9" w:rsidRDefault="00A666A2" w:rsidP="00C80D49">
      <w:pPr>
        <w:pStyle w:val="ExecSumBodyText"/>
        <w:numPr>
          <w:ilvl w:val="0"/>
          <w:numId w:val="12"/>
        </w:numPr>
        <w:spacing w:after="0"/>
      </w:pPr>
      <w:r w:rsidRPr="005802E9">
        <w:t>the model did not reflect the likely use in practice, or capture all relevant health states;</w:t>
      </w:r>
    </w:p>
    <w:p w:rsidR="00A666A2" w:rsidRPr="005802E9" w:rsidRDefault="00A666A2" w:rsidP="00C80D49">
      <w:pPr>
        <w:pStyle w:val="ExecSumBodyText"/>
        <w:numPr>
          <w:ilvl w:val="0"/>
          <w:numId w:val="12"/>
        </w:numPr>
        <w:spacing w:after="0"/>
      </w:pPr>
      <w:r w:rsidRPr="005802E9">
        <w:t>the extrapolation of the treatment benefit was based on unsupported assumptions which appeared clinically implausible; and</w:t>
      </w:r>
    </w:p>
    <w:p w:rsidR="00A666A2" w:rsidRPr="005802E9" w:rsidRDefault="00A666A2" w:rsidP="00C80D49">
      <w:pPr>
        <w:pStyle w:val="ExecSumBodyText"/>
        <w:numPr>
          <w:ilvl w:val="0"/>
          <w:numId w:val="12"/>
        </w:numPr>
      </w:pPr>
      <w:r w:rsidRPr="005802E9">
        <w:t>usage costs in the model appeared substantially underestimated and did not reflect use in the trial on which the treatment benefit was based.</w:t>
      </w:r>
    </w:p>
    <w:p w:rsidR="00A666A2" w:rsidRPr="005802E9" w:rsidRDefault="00A666A2" w:rsidP="00A666A2">
      <w:pPr>
        <w:pStyle w:val="ExecSumBodyText"/>
      </w:pPr>
      <w:r w:rsidRPr="005802E9">
        <w:t xml:space="preserve">The resubmission did not present an economic evaluation comparing crisaborole with </w:t>
      </w:r>
      <w:r w:rsidR="0062579A" w:rsidRPr="005802E9">
        <w:t>TCS or</w:t>
      </w:r>
      <w:r w:rsidRPr="005802E9">
        <w:t xml:space="preserve"> topical calcineurin inhibitors</w:t>
      </w:r>
      <w:r w:rsidR="0062579A" w:rsidRPr="005802E9">
        <w:t xml:space="preserve"> which are potentially relevant comparators</w:t>
      </w:r>
      <w:r w:rsidRPr="005802E9">
        <w:t>.</w:t>
      </w:r>
    </w:p>
    <w:p w:rsidR="00607CC5" w:rsidRPr="005802E9" w:rsidRDefault="00A666A2" w:rsidP="00607CC5">
      <w:pPr>
        <w:pStyle w:val="ExecSumBodyText"/>
      </w:pPr>
      <w:r w:rsidRPr="005802E9">
        <w:t xml:space="preserve">Table </w:t>
      </w:r>
      <w:r w:rsidR="00F46616" w:rsidRPr="005802E9">
        <w:t>11</w:t>
      </w:r>
      <w:r w:rsidR="00CD5A7D" w:rsidRPr="005802E9">
        <w:t xml:space="preserve"> summarises the key components of the economic evaluation</w:t>
      </w:r>
      <w:r w:rsidR="00607CC5" w:rsidRPr="005802E9">
        <w:t>. There were</w:t>
      </w:r>
      <w:r w:rsidRPr="005802E9">
        <w:t xml:space="preserve"> major changes to the </w:t>
      </w:r>
      <w:r w:rsidRPr="005802E9">
        <w:rPr>
          <w:szCs w:val="20"/>
        </w:rPr>
        <w:t>time horizon, model structure, transition probabilities, drug costs, disease management costs and utilities</w:t>
      </w:r>
      <w:r w:rsidR="00F5026A" w:rsidRPr="005802E9">
        <w:rPr>
          <w:szCs w:val="20"/>
        </w:rPr>
        <w:t xml:space="preserve"> compared with the November 2018 submission</w:t>
      </w:r>
      <w:r w:rsidR="00CD5A7D" w:rsidRPr="005802E9">
        <w:t>.</w:t>
      </w:r>
      <w:r w:rsidR="00607CC5" w:rsidRPr="005802E9">
        <w:t xml:space="preserve"> </w:t>
      </w:r>
    </w:p>
    <w:p w:rsidR="00275C5A" w:rsidRPr="005802E9" w:rsidRDefault="004736E5" w:rsidP="00230DB1">
      <w:pPr>
        <w:pStyle w:val="TableFigureCaption"/>
      </w:pPr>
      <w:r w:rsidRPr="005802E9">
        <w:lastRenderedPageBreak/>
        <w:t>Table 11</w:t>
      </w:r>
      <w:r w:rsidR="00275C5A" w:rsidRPr="005802E9">
        <w:t xml:space="preserve">: Summary of </w:t>
      </w:r>
      <w:r w:rsidR="00607CC5" w:rsidRPr="005802E9">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1"/>
        <w:gridCol w:w="7356"/>
      </w:tblGrid>
      <w:tr w:rsidR="000C24ED" w:rsidRPr="005802E9" w:rsidTr="00E85FC7">
        <w:trPr>
          <w:tblHeader/>
        </w:trPr>
        <w:tc>
          <w:tcPr>
            <w:tcW w:w="921" w:type="pct"/>
            <w:vAlign w:val="center"/>
          </w:tcPr>
          <w:p w:rsidR="000C24ED" w:rsidRPr="005802E9" w:rsidRDefault="000C24ED" w:rsidP="00A721BF">
            <w:pPr>
              <w:jc w:val="left"/>
              <w:rPr>
                <w:rFonts w:ascii="Arial Narrow" w:hAnsi="Arial Narrow" w:cs="Times New Roman"/>
                <w:b/>
                <w:sz w:val="20"/>
                <w:szCs w:val="22"/>
                <w:lang w:eastAsia="en-US"/>
              </w:rPr>
            </w:pPr>
            <w:r w:rsidRPr="005802E9">
              <w:rPr>
                <w:rFonts w:ascii="Arial Narrow" w:hAnsi="Arial Narrow" w:cs="Times New Roman"/>
                <w:b/>
                <w:sz w:val="20"/>
                <w:szCs w:val="22"/>
                <w:lang w:eastAsia="en-US"/>
              </w:rPr>
              <w:t>Component</w:t>
            </w:r>
          </w:p>
        </w:tc>
        <w:tc>
          <w:tcPr>
            <w:tcW w:w="4079" w:type="pct"/>
          </w:tcPr>
          <w:p w:rsidR="000C24ED" w:rsidRPr="005802E9" w:rsidRDefault="000C24ED" w:rsidP="00A721BF">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Description</w:t>
            </w:r>
          </w:p>
        </w:tc>
      </w:tr>
      <w:tr w:rsidR="000C24ED" w:rsidRPr="005802E9" w:rsidTr="00E85FC7">
        <w:trPr>
          <w:tblHeader/>
        </w:trPr>
        <w:tc>
          <w:tcPr>
            <w:tcW w:w="921" w:type="pct"/>
            <w:vAlign w:val="center"/>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Type of analysis</w:t>
            </w:r>
          </w:p>
        </w:tc>
        <w:tc>
          <w:tcPr>
            <w:tcW w:w="4079" w:type="pct"/>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Cost-utility analysis</w:t>
            </w:r>
          </w:p>
        </w:tc>
      </w:tr>
      <w:tr w:rsidR="000C24ED" w:rsidRPr="005802E9" w:rsidTr="00E85FC7">
        <w:trPr>
          <w:tblHeader/>
        </w:trPr>
        <w:tc>
          <w:tcPr>
            <w:tcW w:w="921" w:type="pct"/>
            <w:vAlign w:val="center"/>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Outcomes</w:t>
            </w:r>
          </w:p>
        </w:tc>
        <w:tc>
          <w:tcPr>
            <w:tcW w:w="4079" w:type="pct"/>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Quality-adjusted life years</w:t>
            </w:r>
          </w:p>
        </w:tc>
      </w:tr>
      <w:tr w:rsidR="000C24ED" w:rsidRPr="005802E9" w:rsidTr="00E85FC7">
        <w:trPr>
          <w:tblHeader/>
        </w:trPr>
        <w:tc>
          <w:tcPr>
            <w:tcW w:w="921" w:type="pct"/>
            <w:vAlign w:val="center"/>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Methods used to generate results</w:t>
            </w:r>
          </w:p>
        </w:tc>
        <w:tc>
          <w:tcPr>
            <w:tcW w:w="4079" w:type="pct"/>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Markov cohort model (with half-cycle correction for consequences and disease management costs only)</w:t>
            </w:r>
          </w:p>
        </w:tc>
      </w:tr>
      <w:tr w:rsidR="000C24ED" w:rsidRPr="005802E9" w:rsidTr="00E85FC7">
        <w:trPr>
          <w:tblHeader/>
        </w:trPr>
        <w:tc>
          <w:tcPr>
            <w:tcW w:w="921" w:type="pct"/>
            <w:vAlign w:val="center"/>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w:t>
            </w:r>
          </w:p>
        </w:tc>
        <w:tc>
          <w:tcPr>
            <w:tcW w:w="4079" w:type="pct"/>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3 years</w:t>
            </w:r>
          </w:p>
        </w:tc>
      </w:tr>
      <w:tr w:rsidR="000C24ED" w:rsidRPr="005802E9" w:rsidTr="00E85FC7">
        <w:trPr>
          <w:tblHeader/>
        </w:trPr>
        <w:tc>
          <w:tcPr>
            <w:tcW w:w="921" w:type="pct"/>
            <w:vAlign w:val="center"/>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Cycle length</w:t>
            </w:r>
          </w:p>
        </w:tc>
        <w:tc>
          <w:tcPr>
            <w:tcW w:w="4079" w:type="pct"/>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28 days</w:t>
            </w:r>
          </w:p>
        </w:tc>
      </w:tr>
      <w:tr w:rsidR="000C24ED" w:rsidRPr="005802E9" w:rsidTr="00E85FC7">
        <w:trPr>
          <w:tblHeader/>
        </w:trPr>
        <w:tc>
          <w:tcPr>
            <w:tcW w:w="921" w:type="pct"/>
            <w:vAlign w:val="center"/>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Treatments</w:t>
            </w:r>
          </w:p>
        </w:tc>
        <w:tc>
          <w:tcPr>
            <w:tcW w:w="4079" w:type="pct"/>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Crisaborole versus standard management (using ointment vehicle as a proxy)</w:t>
            </w:r>
          </w:p>
        </w:tc>
      </w:tr>
      <w:tr w:rsidR="000C24ED" w:rsidRPr="005802E9" w:rsidTr="00E85FC7">
        <w:trPr>
          <w:tblHeader/>
        </w:trPr>
        <w:tc>
          <w:tcPr>
            <w:tcW w:w="921" w:type="pct"/>
            <w:vAlign w:val="center"/>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Health states</w:t>
            </w:r>
          </w:p>
        </w:tc>
        <w:tc>
          <w:tcPr>
            <w:tcW w:w="4079" w:type="pct"/>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6 health states: ISGA 2/3 on treatment (baseline), ISGA 0/1 pause treatment, ISGA 2+ on treatment, ISGA 0/1 cease treatment, ISGA 2+ cease treatment, and dead</w:t>
            </w:r>
          </w:p>
        </w:tc>
      </w:tr>
      <w:tr w:rsidR="000C24ED" w:rsidRPr="005802E9" w:rsidTr="00E85FC7">
        <w:trPr>
          <w:tblHeader/>
        </w:trPr>
        <w:tc>
          <w:tcPr>
            <w:tcW w:w="921" w:type="pct"/>
            <w:vAlign w:val="center"/>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Transition probabilities</w:t>
            </w:r>
            <w:r w:rsidR="003E7509">
              <w:rPr>
                <w:rFonts w:ascii="Arial Narrow" w:hAnsi="Arial Narrow" w:cs="Times New Roman"/>
                <w:sz w:val="20"/>
                <w:szCs w:val="22"/>
                <w:lang w:eastAsia="en-US"/>
              </w:rPr>
              <w:t>*</w:t>
            </w:r>
            <w:r w:rsidRPr="005802E9">
              <w:rPr>
                <w:rFonts w:ascii="Arial Narrow" w:hAnsi="Arial Narrow" w:cs="Times New Roman"/>
                <w:sz w:val="20"/>
                <w:szCs w:val="22"/>
                <w:lang w:eastAsia="en-US"/>
              </w:rPr>
              <w:t xml:space="preserve"> </w:t>
            </w:r>
          </w:p>
        </w:tc>
        <w:tc>
          <w:tcPr>
            <w:tcW w:w="4079" w:type="pct"/>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 xml:space="preserve">In Cycle 1, transition probabilities for both arms were derived from the post-hoc analyses of Day 29 ISGA scores (0 to 4 and missing) using pooled data from trials AD-301 and AD-302 (ITT population). The proportions of patients with missing data were used as the probabilities of entering the ISGA 2+ cease treatment state. </w:t>
            </w:r>
          </w:p>
          <w:p w:rsidR="000C24ED" w:rsidRPr="005802E9" w:rsidRDefault="000C24ED" w:rsidP="00A721BF">
            <w:pPr>
              <w:jc w:val="left"/>
              <w:rPr>
                <w:rFonts w:ascii="Arial Narrow" w:hAnsi="Arial Narrow" w:cs="Times New Roman"/>
                <w:sz w:val="20"/>
                <w:szCs w:val="22"/>
                <w:lang w:eastAsia="en-US"/>
              </w:rPr>
            </w:pPr>
          </w:p>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 xml:space="preserve">In subsequent cycles, transition probabilities for crisaborole were </w:t>
            </w:r>
            <w:r w:rsidRPr="005802E9">
              <w:rPr>
                <w:rStyle w:val="TableTextChar"/>
                <w:sz w:val="20"/>
              </w:rPr>
              <w:t>b</w:t>
            </w:r>
            <w:r w:rsidRPr="005802E9">
              <w:rPr>
                <w:rFonts w:ascii="Arial Narrow" w:hAnsi="Arial Narrow" w:cs="Times New Roman"/>
                <w:sz w:val="20"/>
                <w:szCs w:val="22"/>
                <w:lang w:eastAsia="en-US"/>
              </w:rPr>
              <w:t xml:space="preserve">ased on post-hoc analyses of Day 29 ISGA scores (0-4) and discontinuations in the AD-303 extension study over 40 weeks (10 treatment periods). Study discontinuation rates were used as the probabilities of entering the ISGA 0/1 and ISGA 2+ cease treatment states. </w:t>
            </w:r>
          </w:p>
          <w:p w:rsidR="00A666A2" w:rsidRPr="005802E9" w:rsidRDefault="00A666A2" w:rsidP="00A721BF">
            <w:pPr>
              <w:jc w:val="left"/>
              <w:rPr>
                <w:rFonts w:ascii="Arial Narrow" w:hAnsi="Arial Narrow" w:cs="Times New Roman"/>
                <w:sz w:val="20"/>
                <w:szCs w:val="22"/>
                <w:lang w:eastAsia="en-US"/>
              </w:rPr>
            </w:pPr>
          </w:p>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 xml:space="preserve">For subsequent cycles in standard management, transition probabilities for the ISGA 0/1 pause treatment state were assumed the same as for the crisaborole arm. Transition probabilities for the ISGA 2+ on treatment state were derived using the relative efficacy of crisaborole versus standard management in Cycle 1 applied to the transition probabilities for the crisaborole arm. </w:t>
            </w:r>
          </w:p>
          <w:p w:rsidR="000C24ED" w:rsidRPr="005802E9" w:rsidRDefault="000C24ED" w:rsidP="00A721BF">
            <w:pPr>
              <w:jc w:val="left"/>
              <w:rPr>
                <w:rFonts w:ascii="Arial Narrow" w:hAnsi="Arial Narrow" w:cs="Times New Roman"/>
                <w:sz w:val="20"/>
                <w:szCs w:val="22"/>
                <w:lang w:eastAsia="en-US"/>
              </w:rPr>
            </w:pPr>
          </w:p>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 xml:space="preserve">All patients entering the ISGA 0/1 and ISGA 2+ cease treatment states were assumed to remain in those states or die. </w:t>
            </w:r>
          </w:p>
          <w:p w:rsidR="000C24ED" w:rsidRPr="005802E9" w:rsidRDefault="000C24ED" w:rsidP="00A721BF">
            <w:pPr>
              <w:jc w:val="left"/>
              <w:rPr>
                <w:rFonts w:ascii="Arial Narrow" w:hAnsi="Arial Narrow" w:cs="Times New Roman"/>
                <w:sz w:val="20"/>
                <w:szCs w:val="22"/>
                <w:lang w:eastAsia="en-US"/>
              </w:rPr>
            </w:pPr>
          </w:p>
          <w:p w:rsidR="000C24ED" w:rsidRPr="005802E9" w:rsidRDefault="00A666A2"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Background mortality was</w:t>
            </w:r>
            <w:r w:rsidR="000C24ED" w:rsidRPr="005802E9">
              <w:rPr>
                <w:rFonts w:ascii="Arial Narrow" w:hAnsi="Arial Narrow" w:cs="Times New Roman"/>
                <w:sz w:val="20"/>
                <w:szCs w:val="22"/>
                <w:lang w:eastAsia="en-US"/>
              </w:rPr>
              <w:t xml:space="preserve"> based on </w:t>
            </w:r>
            <w:r w:rsidRPr="005802E9">
              <w:rPr>
                <w:rFonts w:ascii="Arial Narrow" w:hAnsi="Arial Narrow" w:cs="Times New Roman"/>
                <w:sz w:val="20"/>
                <w:szCs w:val="22"/>
                <w:lang w:eastAsia="en-US"/>
              </w:rPr>
              <w:t xml:space="preserve">2018 </w:t>
            </w:r>
            <w:r w:rsidR="000C24ED" w:rsidRPr="005802E9">
              <w:rPr>
                <w:rFonts w:ascii="Arial Narrow" w:hAnsi="Arial Narrow" w:cs="Times New Roman"/>
                <w:sz w:val="20"/>
                <w:szCs w:val="22"/>
                <w:lang w:eastAsia="en-US"/>
              </w:rPr>
              <w:t xml:space="preserve">Australian age-specific </w:t>
            </w:r>
            <w:r w:rsidRPr="005802E9">
              <w:rPr>
                <w:rFonts w:ascii="Arial Narrow" w:hAnsi="Arial Narrow" w:cs="Times New Roman"/>
                <w:sz w:val="20"/>
                <w:szCs w:val="22"/>
                <w:lang w:eastAsia="en-US"/>
              </w:rPr>
              <w:t>mortality</w:t>
            </w:r>
            <w:r w:rsidR="000C24ED" w:rsidRPr="005802E9">
              <w:rPr>
                <w:rFonts w:ascii="Arial Narrow" w:hAnsi="Arial Narrow" w:cs="Times New Roman"/>
                <w:sz w:val="20"/>
                <w:szCs w:val="22"/>
                <w:lang w:eastAsia="en-US"/>
              </w:rPr>
              <w:t xml:space="preserve"> in the general population. </w:t>
            </w:r>
          </w:p>
          <w:p w:rsidR="000C24ED" w:rsidRPr="005802E9" w:rsidRDefault="000C24ED" w:rsidP="00A721BF">
            <w:pPr>
              <w:jc w:val="left"/>
              <w:rPr>
                <w:rFonts w:ascii="Arial Narrow" w:hAnsi="Arial Narrow" w:cs="Times New Roman"/>
                <w:sz w:val="20"/>
                <w:szCs w:val="22"/>
                <w:lang w:eastAsia="en-US"/>
              </w:rPr>
            </w:pPr>
          </w:p>
          <w:p w:rsidR="00D73D1E" w:rsidRPr="005802E9" w:rsidRDefault="00D73D1E" w:rsidP="00696334">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 xml:space="preserve">98.7% of incremental QALYs and all incremental </w:t>
            </w:r>
            <w:r w:rsidR="00696334" w:rsidRPr="005802E9">
              <w:rPr>
                <w:rFonts w:ascii="Arial Narrow" w:hAnsi="Arial Narrow" w:cs="Times New Roman"/>
                <w:sz w:val="20"/>
                <w:szCs w:val="22"/>
                <w:lang w:eastAsia="en-US"/>
              </w:rPr>
              <w:t xml:space="preserve">cost </w:t>
            </w:r>
            <w:r w:rsidRPr="005802E9">
              <w:rPr>
                <w:rFonts w:ascii="Arial Narrow" w:hAnsi="Arial Narrow" w:cs="Times New Roman"/>
                <w:sz w:val="20"/>
                <w:szCs w:val="22"/>
                <w:lang w:eastAsia="en-US"/>
              </w:rPr>
              <w:t>savings occur in t</w:t>
            </w:r>
            <w:r w:rsidR="00696334" w:rsidRPr="005802E9">
              <w:rPr>
                <w:rFonts w:ascii="Arial Narrow" w:hAnsi="Arial Narrow" w:cs="Times New Roman"/>
                <w:sz w:val="20"/>
                <w:szCs w:val="22"/>
                <w:lang w:eastAsia="en-US"/>
              </w:rPr>
              <w:t>he extrapolated period (beyond 4 weeks).</w:t>
            </w:r>
          </w:p>
        </w:tc>
      </w:tr>
      <w:tr w:rsidR="00607CC5" w:rsidRPr="005802E9" w:rsidTr="00E85FC7">
        <w:trPr>
          <w:tblHeader/>
        </w:trPr>
        <w:tc>
          <w:tcPr>
            <w:tcW w:w="921" w:type="pct"/>
            <w:vAlign w:val="center"/>
          </w:tcPr>
          <w:p w:rsidR="00607CC5" w:rsidRPr="005802E9" w:rsidRDefault="00607CC5"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Drug costs</w:t>
            </w:r>
          </w:p>
        </w:tc>
        <w:tc>
          <w:tcPr>
            <w:tcW w:w="4079" w:type="pct"/>
          </w:tcPr>
          <w:p w:rsidR="00607CC5" w:rsidRPr="005802E9" w:rsidRDefault="00607CC5" w:rsidP="00607CC5">
            <w:pPr>
              <w:tabs>
                <w:tab w:val="left" w:pos="2420"/>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Based on DPMQ $</w:t>
            </w:r>
            <w:r w:rsidR="00EC0E44">
              <w:rPr>
                <w:rFonts w:ascii="Arial Narrow" w:hAnsi="Arial Narrow" w:cs="Times New Roman"/>
                <w:noProof/>
                <w:color w:val="000000"/>
                <w:sz w:val="20"/>
                <w:szCs w:val="22"/>
                <w:highlight w:val="black"/>
                <w:lang w:eastAsia="en-US"/>
              </w:rPr>
              <w:t>''''''''''''''''</w:t>
            </w:r>
            <w:r w:rsidRPr="005802E9">
              <w:rPr>
                <w:rFonts w:ascii="Arial Narrow" w:hAnsi="Arial Narrow" w:cs="Times New Roman"/>
                <w:sz w:val="20"/>
                <w:szCs w:val="22"/>
                <w:lang w:eastAsia="en-US"/>
              </w:rPr>
              <w:t xml:space="preserve"> (60 g) and $</w:t>
            </w:r>
            <w:r w:rsidR="00EC0E44">
              <w:rPr>
                <w:rFonts w:ascii="Arial Narrow" w:hAnsi="Arial Narrow" w:cs="Times New Roman"/>
                <w:noProof/>
                <w:color w:val="000000"/>
                <w:sz w:val="20"/>
                <w:szCs w:val="22"/>
                <w:highlight w:val="black"/>
                <w:lang w:eastAsia="en-US"/>
              </w:rPr>
              <w:t>'''''''''''''</w:t>
            </w:r>
            <w:r w:rsidRPr="005802E9">
              <w:rPr>
                <w:rFonts w:ascii="Arial Narrow" w:hAnsi="Arial Narrow" w:cs="Times New Roman"/>
                <w:sz w:val="20"/>
                <w:szCs w:val="22"/>
                <w:lang w:eastAsia="en-US"/>
              </w:rPr>
              <w:t xml:space="preserve"> (30 g). Assumed use of 30 g in the first 3 cycles, 60 g in Cycle 4 and 30 g in Cycle 5 onwards. Drug costs applied to baseline and ISGA 2+ on treatment health states.</w:t>
            </w:r>
          </w:p>
        </w:tc>
      </w:tr>
      <w:tr w:rsidR="00607CC5" w:rsidRPr="005802E9" w:rsidTr="00E85FC7">
        <w:trPr>
          <w:tblHeader/>
        </w:trPr>
        <w:tc>
          <w:tcPr>
            <w:tcW w:w="921" w:type="pct"/>
            <w:vAlign w:val="center"/>
          </w:tcPr>
          <w:p w:rsidR="00607CC5" w:rsidRPr="005802E9" w:rsidRDefault="00607CC5"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Disease management costs (annual)</w:t>
            </w:r>
          </w:p>
        </w:tc>
        <w:tc>
          <w:tcPr>
            <w:tcW w:w="4079" w:type="pct"/>
          </w:tcPr>
          <w:p w:rsidR="00607CC5" w:rsidRPr="005802E9" w:rsidRDefault="00607CC5" w:rsidP="00607CC5">
            <w:pPr>
              <w:tabs>
                <w:tab w:val="left" w:pos="2420"/>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Based on published costs from an outpatient survey (Su et al 1997) adjusted for inflation to 2020 estimates: ISGA 0/1 pause treatment ($0), ISGA 0/1 cease treatment ($0), ISGA 2+ on treatment ($3,162), ISGA 2+ cease treatment ($3,162)</w:t>
            </w:r>
          </w:p>
        </w:tc>
      </w:tr>
      <w:tr w:rsidR="00607CC5" w:rsidRPr="005802E9" w:rsidTr="00E85FC7">
        <w:trPr>
          <w:tblHeader/>
        </w:trPr>
        <w:tc>
          <w:tcPr>
            <w:tcW w:w="921" w:type="pct"/>
            <w:vAlign w:val="center"/>
          </w:tcPr>
          <w:p w:rsidR="00607CC5" w:rsidRPr="005802E9" w:rsidRDefault="00607CC5"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Utilities</w:t>
            </w:r>
          </w:p>
        </w:tc>
        <w:tc>
          <w:tcPr>
            <w:tcW w:w="4079" w:type="pct"/>
          </w:tcPr>
          <w:p w:rsidR="00607CC5" w:rsidRPr="005802E9" w:rsidRDefault="00607CC5" w:rsidP="00607CC5">
            <w:pPr>
              <w:tabs>
                <w:tab w:val="left" w:pos="2420"/>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 xml:space="preserve">Based on </w:t>
            </w:r>
            <w:r w:rsidR="00A721BF" w:rsidRPr="005802E9">
              <w:rPr>
                <w:rFonts w:ascii="Arial Narrow" w:hAnsi="Arial Narrow" w:cs="Times New Roman"/>
                <w:sz w:val="20"/>
                <w:szCs w:val="22"/>
                <w:lang w:eastAsia="en-US"/>
              </w:rPr>
              <w:t>multiple sources of</w:t>
            </w:r>
            <w:r w:rsidRPr="005802E9">
              <w:rPr>
                <w:rFonts w:ascii="Arial Narrow" w:hAnsi="Arial Narrow" w:cs="Times New Roman"/>
                <w:sz w:val="20"/>
                <w:szCs w:val="22"/>
                <w:lang w:eastAsia="en-US"/>
              </w:rPr>
              <w:t xml:space="preserve"> published utility estimates. Estimates for moderate disease (ISGA 3) were assumed to represent the utility values for the ISGA 2+ health states.</w:t>
            </w:r>
          </w:p>
          <w:p w:rsidR="00607CC5" w:rsidRPr="005802E9" w:rsidRDefault="00607CC5" w:rsidP="00607CC5">
            <w:pPr>
              <w:tabs>
                <w:tab w:val="left" w:pos="2420"/>
              </w:tabs>
              <w:jc w:val="left"/>
              <w:rPr>
                <w:rFonts w:ascii="Arial Narrow" w:hAnsi="Arial Narrow" w:cs="Times New Roman"/>
                <w:sz w:val="20"/>
                <w:szCs w:val="22"/>
                <w:lang w:eastAsia="en-US"/>
              </w:rPr>
            </w:pPr>
          </w:p>
          <w:p w:rsidR="00607CC5" w:rsidRPr="005802E9" w:rsidRDefault="00607CC5" w:rsidP="00607CC5">
            <w:pPr>
              <w:tabs>
                <w:tab w:val="left" w:pos="2420"/>
              </w:tabs>
              <w:jc w:val="left"/>
              <w:rPr>
                <w:rFonts w:ascii="Arial Narrow" w:hAnsi="Arial Narrow" w:cs="Times New Roman"/>
                <w:sz w:val="20"/>
                <w:szCs w:val="22"/>
                <w:u w:val="single"/>
                <w:lang w:eastAsia="en-US"/>
              </w:rPr>
            </w:pPr>
            <w:r w:rsidRPr="005802E9">
              <w:rPr>
                <w:rFonts w:ascii="Arial Narrow" w:hAnsi="Arial Narrow" w:cs="Times New Roman"/>
                <w:sz w:val="20"/>
                <w:szCs w:val="22"/>
                <w:u w:val="single"/>
                <w:lang w:eastAsia="en-US"/>
              </w:rPr>
              <w:t>Children (2-17 years)</w:t>
            </w:r>
          </w:p>
          <w:p w:rsidR="00607CC5" w:rsidRPr="005802E9" w:rsidRDefault="00607CC5" w:rsidP="00607CC5">
            <w:pPr>
              <w:pStyle w:val="TableText"/>
              <w:keepNext w:val="0"/>
              <w:widowControl w:val="0"/>
            </w:pPr>
            <w:r w:rsidRPr="005802E9">
              <w:t>ISGA 0/1 pause treatment: 0.980, ISGA 0/1 cease treatment: 0.980, ISGA 2+ on treatment: 0.736, ISGA 2+ cease treatment: 0.736</w:t>
            </w:r>
          </w:p>
          <w:p w:rsidR="00607CC5" w:rsidRPr="005802E9" w:rsidRDefault="00607CC5" w:rsidP="00607CC5">
            <w:pPr>
              <w:tabs>
                <w:tab w:val="left" w:pos="2420"/>
              </w:tabs>
              <w:jc w:val="left"/>
              <w:rPr>
                <w:rFonts w:ascii="Arial Narrow" w:hAnsi="Arial Narrow" w:cs="Times New Roman"/>
                <w:sz w:val="20"/>
                <w:szCs w:val="22"/>
                <w:u w:val="single"/>
                <w:lang w:eastAsia="en-US"/>
              </w:rPr>
            </w:pPr>
          </w:p>
          <w:p w:rsidR="00607CC5" w:rsidRPr="005802E9" w:rsidRDefault="00607CC5" w:rsidP="00607CC5">
            <w:pPr>
              <w:pStyle w:val="TableText"/>
              <w:keepNext w:val="0"/>
              <w:widowControl w:val="0"/>
              <w:rPr>
                <w:u w:val="single"/>
              </w:rPr>
            </w:pPr>
            <w:r w:rsidRPr="005802E9">
              <w:rPr>
                <w:u w:val="single"/>
              </w:rPr>
              <w:t>Adults (≥18 years)</w:t>
            </w:r>
          </w:p>
          <w:p w:rsidR="00607CC5" w:rsidRPr="005802E9" w:rsidRDefault="00607CC5" w:rsidP="00607CC5">
            <w:pPr>
              <w:tabs>
                <w:tab w:val="left" w:pos="2420"/>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ISGA 0/1 pause treatment: 0.929, ISGA 0/1 cease treatment: 0.929, ISGA 2+ on treatment: 0.838, ISGA 2+ cease treatment: 0.838</w:t>
            </w:r>
          </w:p>
        </w:tc>
      </w:tr>
      <w:tr w:rsidR="000C24ED" w:rsidRPr="005802E9" w:rsidTr="00E85FC7">
        <w:trPr>
          <w:tblHeader/>
        </w:trPr>
        <w:tc>
          <w:tcPr>
            <w:tcW w:w="921" w:type="pct"/>
            <w:vAlign w:val="center"/>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Discounting</w:t>
            </w:r>
          </w:p>
        </w:tc>
        <w:tc>
          <w:tcPr>
            <w:tcW w:w="4079" w:type="pct"/>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5% for costs and outcomes, applied annually</w:t>
            </w:r>
          </w:p>
        </w:tc>
      </w:tr>
      <w:tr w:rsidR="000C24ED" w:rsidRPr="005802E9" w:rsidTr="00E85FC7">
        <w:trPr>
          <w:tblHeader/>
        </w:trPr>
        <w:tc>
          <w:tcPr>
            <w:tcW w:w="921" w:type="pct"/>
            <w:vAlign w:val="center"/>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Software package</w:t>
            </w:r>
          </w:p>
        </w:tc>
        <w:tc>
          <w:tcPr>
            <w:tcW w:w="4079" w:type="pct"/>
          </w:tcPr>
          <w:p w:rsidR="000C24ED" w:rsidRPr="005802E9" w:rsidRDefault="000C24ED" w:rsidP="00A721BF">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 xml:space="preserve">Excel </w:t>
            </w:r>
          </w:p>
        </w:tc>
      </w:tr>
    </w:tbl>
    <w:p w:rsidR="000C24ED" w:rsidRPr="005802E9" w:rsidRDefault="000C24ED" w:rsidP="000C24ED">
      <w:pPr>
        <w:widowControl w:val="0"/>
        <w:rPr>
          <w:rFonts w:ascii="Arial Narrow" w:hAnsi="Arial Narrow"/>
          <w:snapToGrid w:val="0"/>
          <w:sz w:val="18"/>
          <w:szCs w:val="22"/>
          <w:lang w:eastAsia="en-US"/>
        </w:rPr>
      </w:pPr>
      <w:r w:rsidRPr="005802E9">
        <w:rPr>
          <w:rFonts w:ascii="Arial Narrow" w:hAnsi="Arial Narrow"/>
          <w:snapToGrid w:val="0"/>
          <w:sz w:val="18"/>
          <w:szCs w:val="22"/>
          <w:lang w:eastAsia="en-US"/>
        </w:rPr>
        <w:t>Source: Table 3.1.1, p116 of the resubmission</w:t>
      </w:r>
    </w:p>
    <w:p w:rsidR="000C24ED" w:rsidRPr="005802E9" w:rsidRDefault="000C24ED" w:rsidP="000C24ED">
      <w:pPr>
        <w:widowControl w:val="0"/>
        <w:rPr>
          <w:rFonts w:ascii="Arial Narrow" w:hAnsi="Arial Narrow"/>
          <w:snapToGrid w:val="0"/>
          <w:sz w:val="18"/>
          <w:szCs w:val="22"/>
          <w:lang w:eastAsia="en-US"/>
        </w:rPr>
      </w:pPr>
      <w:r w:rsidRPr="005802E9">
        <w:rPr>
          <w:rFonts w:ascii="Arial Narrow" w:hAnsi="Arial Narrow"/>
          <w:snapToGrid w:val="0"/>
          <w:sz w:val="18"/>
          <w:szCs w:val="22"/>
          <w:lang w:eastAsia="en-US"/>
        </w:rPr>
        <w:t>Abbreviation: ISGA, Investigator’s Static Global Assessment</w:t>
      </w:r>
    </w:p>
    <w:p w:rsidR="000C24ED" w:rsidRPr="005802E9" w:rsidRDefault="000C24ED" w:rsidP="000C24ED">
      <w:pPr>
        <w:pStyle w:val="TableFooter"/>
      </w:pPr>
      <w:r w:rsidRPr="005802E9">
        <w:t>Note: ISGA is a 5-point symptom severity scale from 0 (clear), 1 (almost clear), 2 (mild), 3 (moderate) to 4 (severe)</w:t>
      </w:r>
    </w:p>
    <w:p w:rsidR="00AA3915" w:rsidRDefault="00AA3915" w:rsidP="00AA3915">
      <w:pPr>
        <w:pStyle w:val="TableFooter"/>
      </w:pPr>
      <w:r>
        <w:rPr>
          <w:shd w:val="clear" w:color="auto" w:fill="FFFFFF"/>
        </w:rPr>
        <w:t xml:space="preserve">*Note that the transition probabilities described here were derived from post-hoc analyses conducted by the applicant specifically for the </w:t>
      </w:r>
      <w:r>
        <w:rPr>
          <w:shd w:val="clear" w:color="auto" w:fill="FFFFFF"/>
        </w:rPr>
        <w:lastRenderedPageBreak/>
        <w:t>purposes of informing the PBAC consideration. These analyses were not part of the pre-specified statistical plans for AD-301, AD-302 or AD-303.  Interpretation of the results and their application should therefore be limited to seeking to understand the basis for the PBAC outcome and should not be used for any other purpose.</w:t>
      </w:r>
    </w:p>
    <w:p w:rsidR="000C24ED" w:rsidRPr="005802E9" w:rsidRDefault="000C24ED" w:rsidP="000C24ED">
      <w:pPr>
        <w:pStyle w:val="Tableheadingrow"/>
        <w:rPr>
          <w:lang w:val="en-AU"/>
        </w:rPr>
      </w:pPr>
    </w:p>
    <w:p w:rsidR="002524D5" w:rsidRPr="005802E9" w:rsidRDefault="00A721BF" w:rsidP="00BB00B3">
      <w:pPr>
        <w:pStyle w:val="ExecSumBodyText"/>
      </w:pPr>
      <w:r w:rsidRPr="005802E9">
        <w:t>The structure of the economic model is presented in the figure below.</w:t>
      </w:r>
    </w:p>
    <w:p w:rsidR="00A721BF" w:rsidRPr="005802E9" w:rsidRDefault="00A721BF" w:rsidP="00A721BF">
      <w:pPr>
        <w:pStyle w:val="TableHeading"/>
        <w:spacing w:after="120"/>
      </w:pPr>
      <w:r w:rsidRPr="005802E9">
        <w:t xml:space="preserve">Figure </w:t>
      </w:r>
      <w:r w:rsidR="00187263" w:rsidRPr="005802E9">
        <w:t>1</w:t>
      </w:r>
      <w:r w:rsidRPr="005802E9">
        <w:t>: Model structure</w:t>
      </w:r>
    </w:p>
    <w:p w:rsidR="00A721BF" w:rsidRPr="005802E9" w:rsidRDefault="00A721BF" w:rsidP="00A721BF">
      <w:pPr>
        <w:rPr>
          <w:color w:val="3366FF"/>
        </w:rPr>
      </w:pPr>
      <w:r w:rsidRPr="005802E9">
        <w:rPr>
          <w:noProof/>
          <w:color w:val="3366FF"/>
        </w:rPr>
        <w:drawing>
          <wp:inline distT="0" distB="0" distL="0" distR="0" wp14:anchorId="340B6EC4" wp14:editId="35A525C1">
            <wp:extent cx="3877310" cy="2847340"/>
            <wp:effectExtent l="0" t="0" r="8890" b="0"/>
            <wp:docPr id="5" name="Picture 5" title="Figure 1: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7310" cy="2847340"/>
                    </a:xfrm>
                    <a:prstGeom prst="rect">
                      <a:avLst/>
                    </a:prstGeom>
                    <a:noFill/>
                  </pic:spPr>
                </pic:pic>
              </a:graphicData>
            </a:graphic>
          </wp:inline>
        </w:drawing>
      </w:r>
    </w:p>
    <w:p w:rsidR="00A721BF" w:rsidRPr="005802E9" w:rsidRDefault="00A721BF" w:rsidP="00A721BF">
      <w:pPr>
        <w:pStyle w:val="TableFooter"/>
        <w:spacing w:before="120"/>
      </w:pPr>
      <w:r w:rsidRPr="005802E9">
        <w:t xml:space="preserve">Source: constructed during the evaluation based on Section 3.2.2, p123 and Figure 3.1.1, p117 of the resubmission </w:t>
      </w:r>
    </w:p>
    <w:p w:rsidR="00A721BF" w:rsidRPr="005802E9" w:rsidRDefault="00A721BF" w:rsidP="00A721BF">
      <w:pPr>
        <w:widowControl w:val="0"/>
        <w:rPr>
          <w:rFonts w:ascii="Arial Narrow" w:hAnsi="Arial Narrow"/>
          <w:snapToGrid w:val="0"/>
          <w:sz w:val="18"/>
          <w:szCs w:val="22"/>
          <w:lang w:eastAsia="en-US"/>
        </w:rPr>
      </w:pPr>
      <w:r w:rsidRPr="005802E9">
        <w:rPr>
          <w:rFonts w:ascii="Arial Narrow" w:hAnsi="Arial Narrow"/>
          <w:snapToGrid w:val="0"/>
          <w:sz w:val="18"/>
          <w:szCs w:val="22"/>
          <w:lang w:eastAsia="en-US"/>
        </w:rPr>
        <w:t>Abbreviation: ISGA, Investigator’s Static Global Assessment</w:t>
      </w:r>
    </w:p>
    <w:p w:rsidR="00A721BF" w:rsidRPr="005802E9" w:rsidRDefault="00A721BF" w:rsidP="00A721BF">
      <w:pPr>
        <w:widowControl w:val="0"/>
        <w:spacing w:after="120"/>
        <w:rPr>
          <w:rFonts w:ascii="Arial Narrow" w:hAnsi="Arial Narrow"/>
          <w:snapToGrid w:val="0"/>
          <w:sz w:val="18"/>
          <w:szCs w:val="22"/>
          <w:lang w:eastAsia="en-US"/>
        </w:rPr>
      </w:pPr>
      <w:r w:rsidRPr="005802E9">
        <w:rPr>
          <w:rFonts w:ascii="Arial Narrow" w:hAnsi="Arial Narrow"/>
          <w:snapToGrid w:val="0"/>
          <w:sz w:val="18"/>
          <w:szCs w:val="22"/>
          <w:lang w:eastAsia="en-US"/>
        </w:rPr>
        <w:t xml:space="preserve">Note: Absorbing states are highlighted in grey </w:t>
      </w:r>
    </w:p>
    <w:p w:rsidR="00A721BF" w:rsidRPr="005802E9" w:rsidRDefault="00A721BF" w:rsidP="00A721BF">
      <w:pPr>
        <w:pStyle w:val="ExecSumBodyText"/>
      </w:pPr>
      <w:r w:rsidRPr="005802E9">
        <w:t>All patients start in the mild to moderate disease (ISGA 2/3 on treatment) health state. In the first cycle, patients can achieve clear/almost clear disease and pause treatment (enter ISGA 0/1 pause treatment), have at least mild disease and stay on treatment (enter ISGA 2+ on treatment), have at least mild disease and stop treatment permanently (enter ISGA 2+ cease treatment) or die.</w:t>
      </w:r>
    </w:p>
    <w:p w:rsidR="00A721BF" w:rsidRPr="005802E9" w:rsidRDefault="00A721BF" w:rsidP="00A721BF">
      <w:pPr>
        <w:pStyle w:val="ExecSumBodyText"/>
      </w:pPr>
      <w:r w:rsidRPr="005802E9">
        <w:t>From cycle 2 onwards, patients with clear/almost clear disease who paused treatment can remain clear/almost clear of symptoms and stay in the paused treatment state, sto</w:t>
      </w:r>
      <w:r w:rsidR="00314C99" w:rsidRPr="005802E9">
        <w:t xml:space="preserve">p treatment permanently (enter </w:t>
      </w:r>
      <w:r w:rsidRPr="005802E9">
        <w:t>ISGA 0/1 cease treatment), or have a mild to severe disease flare and reinitiate treatment (enter ISGA 2+ on treatment). Patients with at least mild disease who are on treatment (ISGA 2+ on treatment) can stay in that state, achieve clear/almost clear disease and pause treatment (enter ISGA 0/1 pause treatment) or have ongoing mild to severe disease and stop treatment permanently (enter ISGA 2+ cease treatment).</w:t>
      </w:r>
    </w:p>
    <w:p w:rsidR="00A721BF" w:rsidRPr="005802E9" w:rsidRDefault="00A721BF" w:rsidP="00A721BF">
      <w:pPr>
        <w:pStyle w:val="ExecSumBodyText"/>
      </w:pPr>
      <w:r w:rsidRPr="005802E9">
        <w:t>Patients who enter the ISGA 0/1 cease treatment or ISGA 2+ cease treatment health states state can only remain there or die. Th</w:t>
      </w:r>
      <w:r w:rsidR="002B208E" w:rsidRPr="005802E9">
        <w:t>e commentary noted that th</w:t>
      </w:r>
      <w:r w:rsidRPr="005802E9">
        <w:t>is approach appear</w:t>
      </w:r>
      <w:r w:rsidR="002B208E" w:rsidRPr="005802E9">
        <w:t>ed</w:t>
      </w:r>
      <w:r w:rsidRPr="005802E9">
        <w:t xml:space="preserve"> to be based on assumptions of cure and ongoing treatment failure, which are inconsistent with the relapsing-remitting nature of the disease and </w:t>
      </w:r>
      <w:r w:rsidR="00DB67CF" w:rsidRPr="005802E9">
        <w:t xml:space="preserve">the circumstances of </w:t>
      </w:r>
      <w:r w:rsidRPr="005802E9">
        <w:t>use of treatments in practice.</w:t>
      </w:r>
      <w:r w:rsidR="001415C4" w:rsidRPr="005802E9">
        <w:t xml:space="preserve"> The PSCR noted that the submission did not claim patients are cured</w:t>
      </w:r>
      <w:r w:rsidR="002B208E" w:rsidRPr="005802E9">
        <w:t>. The PSCR stated that patients can experience long-</w:t>
      </w:r>
      <w:r w:rsidR="002B208E" w:rsidRPr="005802E9">
        <w:lastRenderedPageBreak/>
        <w:t xml:space="preserve">term control of symptoms and may be able to discontinue treatment permanently and the model includes a long-term discontinued state to accommodate patients who do not reinitiate treatment because they are maintaining an ISGA score </w:t>
      </w:r>
      <w:r w:rsidR="002B208E" w:rsidRPr="005802E9">
        <w:rPr>
          <w:rFonts w:cstheme="minorHAnsi"/>
        </w:rPr>
        <w:t>≤</w:t>
      </w:r>
      <w:r w:rsidR="002B208E" w:rsidRPr="005802E9">
        <w:t xml:space="preserve">1. </w:t>
      </w:r>
    </w:p>
    <w:p w:rsidR="00275C5A" w:rsidRPr="005802E9" w:rsidRDefault="00D42491" w:rsidP="00BB00B3">
      <w:pPr>
        <w:pStyle w:val="ExecSumBodyText"/>
      </w:pPr>
      <w:r w:rsidRPr="005802E9">
        <w:t xml:space="preserve">The table below presents the key drivers of the model. </w:t>
      </w:r>
    </w:p>
    <w:p w:rsidR="00D110BD" w:rsidRPr="005802E9" w:rsidRDefault="004736E5" w:rsidP="004736E5">
      <w:pPr>
        <w:pStyle w:val="TableFigureCaption"/>
      </w:pPr>
      <w:r w:rsidRPr="005802E9">
        <w:t>Table 12</w:t>
      </w:r>
      <w:r w:rsidR="00D110BD" w:rsidRPr="005802E9">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496"/>
        <w:gridCol w:w="1392"/>
      </w:tblGrid>
      <w:tr w:rsidR="00537182" w:rsidRPr="005802E9" w:rsidTr="00076034">
        <w:trPr>
          <w:tblHeader/>
        </w:trPr>
        <w:tc>
          <w:tcPr>
            <w:tcW w:w="626" w:type="pct"/>
            <w:shd w:val="clear" w:color="auto" w:fill="auto"/>
            <w:vAlign w:val="center"/>
          </w:tcPr>
          <w:p w:rsidR="00D110BD" w:rsidRPr="005802E9" w:rsidRDefault="00D110BD" w:rsidP="008738A3">
            <w:pPr>
              <w:pStyle w:val="Tableheadingrow"/>
              <w:keepNext w:val="0"/>
              <w:widowControl w:val="0"/>
              <w:jc w:val="center"/>
              <w:rPr>
                <w:lang w:val="en-AU"/>
              </w:rPr>
            </w:pPr>
            <w:r w:rsidRPr="005802E9">
              <w:rPr>
                <w:lang w:val="en-AU"/>
              </w:rPr>
              <w:t>Description</w:t>
            </w:r>
          </w:p>
        </w:tc>
        <w:tc>
          <w:tcPr>
            <w:tcW w:w="3602" w:type="pct"/>
            <w:shd w:val="clear" w:color="auto" w:fill="auto"/>
            <w:vAlign w:val="center"/>
          </w:tcPr>
          <w:p w:rsidR="00D110BD" w:rsidRPr="005802E9" w:rsidRDefault="00D110BD" w:rsidP="008738A3">
            <w:pPr>
              <w:pStyle w:val="Tableheadingrow"/>
              <w:keepNext w:val="0"/>
              <w:widowControl w:val="0"/>
              <w:jc w:val="center"/>
              <w:rPr>
                <w:lang w:val="en-AU"/>
              </w:rPr>
            </w:pPr>
            <w:r w:rsidRPr="005802E9">
              <w:rPr>
                <w:lang w:val="en-AU"/>
              </w:rPr>
              <w:t>Method/Value</w:t>
            </w:r>
          </w:p>
        </w:tc>
        <w:tc>
          <w:tcPr>
            <w:tcW w:w="772" w:type="pct"/>
            <w:shd w:val="clear" w:color="auto" w:fill="auto"/>
            <w:vAlign w:val="center"/>
          </w:tcPr>
          <w:p w:rsidR="00490B17" w:rsidRPr="005802E9" w:rsidRDefault="00D110BD" w:rsidP="008738A3">
            <w:pPr>
              <w:pStyle w:val="Tableheadingrow"/>
              <w:keepNext w:val="0"/>
              <w:widowControl w:val="0"/>
              <w:jc w:val="center"/>
              <w:rPr>
                <w:lang w:val="en-AU"/>
              </w:rPr>
            </w:pPr>
            <w:r w:rsidRPr="005802E9">
              <w:rPr>
                <w:lang w:val="en-AU"/>
              </w:rPr>
              <w:t>Impact</w:t>
            </w:r>
          </w:p>
        </w:tc>
      </w:tr>
      <w:tr w:rsidR="00537182" w:rsidRPr="005802E9" w:rsidTr="00076034">
        <w:tc>
          <w:tcPr>
            <w:tcW w:w="626" w:type="pct"/>
            <w:shd w:val="clear" w:color="auto" w:fill="auto"/>
            <w:vAlign w:val="center"/>
          </w:tcPr>
          <w:p w:rsidR="00D110BD" w:rsidRPr="005802E9" w:rsidRDefault="00696334" w:rsidP="008738A3">
            <w:pPr>
              <w:pStyle w:val="TableText"/>
              <w:keepNext w:val="0"/>
              <w:widowControl w:val="0"/>
              <w:jc w:val="center"/>
            </w:pPr>
            <w:r w:rsidRPr="005802E9">
              <w:t>Extrapolation of treatment benefit</w:t>
            </w:r>
          </w:p>
        </w:tc>
        <w:tc>
          <w:tcPr>
            <w:tcW w:w="3602" w:type="pct"/>
            <w:shd w:val="clear" w:color="auto" w:fill="auto"/>
            <w:vAlign w:val="center"/>
          </w:tcPr>
          <w:p w:rsidR="00696334" w:rsidRPr="005802E9" w:rsidRDefault="00696334" w:rsidP="008738A3">
            <w:pPr>
              <w:pStyle w:val="TableText"/>
              <w:keepNext w:val="0"/>
              <w:widowControl w:val="0"/>
            </w:pPr>
            <w:r w:rsidRPr="005802E9">
              <w:t xml:space="preserve">Treatment benefits with crisaborole were extrapolated to 3 years based on 4-week trials of acute disease management and assumed maintenance of treatment benefit applied to changing disease status in the single-arm open-label extension study (AD-303). </w:t>
            </w:r>
          </w:p>
          <w:p w:rsidR="00696334" w:rsidRPr="005802E9" w:rsidRDefault="00696334" w:rsidP="008738A3">
            <w:pPr>
              <w:pStyle w:val="TableText"/>
              <w:keepNext w:val="0"/>
              <w:widowControl w:val="0"/>
            </w:pPr>
          </w:p>
          <w:p w:rsidR="00696334" w:rsidRPr="005802E9" w:rsidRDefault="00696334" w:rsidP="008738A3">
            <w:pPr>
              <w:pStyle w:val="TableText"/>
              <w:keepNext w:val="0"/>
              <w:widowControl w:val="0"/>
            </w:pPr>
            <w:r w:rsidRPr="005802E9">
              <w:t>The use of background therapies was inconsistent between the key trials, extension study and as described in the proposed PBS restriction. The use of these therapies is likely to affect the magnitude of treatment benefit with crisaborole and its applicability to practice.</w:t>
            </w:r>
          </w:p>
          <w:p w:rsidR="00696334" w:rsidRPr="005802E9" w:rsidRDefault="00696334" w:rsidP="008738A3">
            <w:pPr>
              <w:pStyle w:val="TableText"/>
              <w:keepNext w:val="0"/>
              <w:widowControl w:val="0"/>
            </w:pPr>
          </w:p>
          <w:p w:rsidR="00696334" w:rsidRPr="005802E9" w:rsidRDefault="00696334" w:rsidP="008738A3">
            <w:pPr>
              <w:pStyle w:val="TableText"/>
              <w:keepNext w:val="0"/>
              <w:widowControl w:val="0"/>
            </w:pPr>
            <w:r w:rsidRPr="005802E9">
              <w:t>It remains unclear if there are differences in terms of baseline severity or treatment response in the proposed PBS population compared with the broader population not limited by response, contraindication or intolerance to TCS.</w:t>
            </w:r>
          </w:p>
          <w:p w:rsidR="00696334" w:rsidRPr="005802E9" w:rsidRDefault="00696334" w:rsidP="008738A3">
            <w:pPr>
              <w:pStyle w:val="TableText"/>
              <w:keepNext w:val="0"/>
              <w:widowControl w:val="0"/>
            </w:pPr>
          </w:p>
          <w:p w:rsidR="00106B80" w:rsidRPr="005802E9" w:rsidRDefault="00696334" w:rsidP="003B36A9">
            <w:pPr>
              <w:pStyle w:val="TableText"/>
              <w:keepNext w:val="0"/>
              <w:widowControl w:val="0"/>
            </w:pPr>
            <w:r w:rsidRPr="005802E9">
              <w:t>It was unclear whether the magnitude of treatment benefit associated with crisaborole in the model would be applicable to clinical practice, given the circumstances of use in the key trials and extension study were driven by treatment protocols that are unlikely to be observed in practice (e.g. continuous treatment for 4 weeks regardless of symptom resolution, continuous use for up to 12 weeks without any improvement)</w:t>
            </w:r>
            <w:r w:rsidR="00655CAE" w:rsidRPr="005802E9">
              <w:t>.</w:t>
            </w:r>
          </w:p>
        </w:tc>
        <w:tc>
          <w:tcPr>
            <w:tcW w:w="772" w:type="pct"/>
            <w:shd w:val="clear" w:color="auto" w:fill="auto"/>
            <w:vAlign w:val="center"/>
          </w:tcPr>
          <w:p w:rsidR="00490B17" w:rsidRPr="005802E9" w:rsidRDefault="00D110BD" w:rsidP="008738A3">
            <w:pPr>
              <w:pStyle w:val="TableText"/>
              <w:keepNext w:val="0"/>
              <w:widowControl w:val="0"/>
              <w:jc w:val="center"/>
            </w:pPr>
            <w:r w:rsidRPr="005802E9">
              <w:t xml:space="preserve">High, favours </w:t>
            </w:r>
            <w:r w:rsidR="00D42491" w:rsidRPr="005802E9">
              <w:t>crisaborole</w:t>
            </w:r>
          </w:p>
        </w:tc>
      </w:tr>
      <w:tr w:rsidR="00696334" w:rsidRPr="005802E9" w:rsidTr="00076034">
        <w:tc>
          <w:tcPr>
            <w:tcW w:w="626" w:type="pct"/>
            <w:shd w:val="clear" w:color="auto" w:fill="auto"/>
            <w:vAlign w:val="center"/>
          </w:tcPr>
          <w:p w:rsidR="00696334" w:rsidRPr="005802E9" w:rsidRDefault="00696334" w:rsidP="008738A3">
            <w:pPr>
              <w:pStyle w:val="TableText"/>
              <w:keepNext w:val="0"/>
              <w:widowControl w:val="0"/>
              <w:jc w:val="center"/>
            </w:pPr>
            <w:r w:rsidRPr="005802E9">
              <w:t>Model structure</w:t>
            </w:r>
          </w:p>
        </w:tc>
        <w:tc>
          <w:tcPr>
            <w:tcW w:w="3602" w:type="pct"/>
            <w:shd w:val="clear" w:color="auto" w:fill="auto"/>
            <w:vAlign w:val="center"/>
          </w:tcPr>
          <w:p w:rsidR="00696334" w:rsidRPr="005802E9" w:rsidRDefault="00696334" w:rsidP="008738A3">
            <w:pPr>
              <w:pStyle w:val="TableText"/>
              <w:keepNext w:val="0"/>
              <w:widowControl w:val="0"/>
            </w:pPr>
            <w:r w:rsidRPr="005802E9">
              <w:t>The construct of the model assume</w:t>
            </w:r>
            <w:r w:rsidR="00314C99" w:rsidRPr="005802E9">
              <w:t>s</w:t>
            </w:r>
            <w:r w:rsidRPr="005802E9">
              <w:t xml:space="preserve"> that patients in the ISGA 0/1 cease treatment state </w:t>
            </w:r>
            <w:r w:rsidR="002B208E" w:rsidRPr="005802E9">
              <w:t>have long-term control of symptoms without the need for ongoing treatment</w:t>
            </w:r>
            <w:r w:rsidRPr="005802E9">
              <w:t xml:space="preserve"> and those entering the ISGA </w:t>
            </w:r>
            <w:r w:rsidR="008E5C41" w:rsidRPr="005802E9">
              <w:t>2</w:t>
            </w:r>
            <w:r w:rsidRPr="005802E9">
              <w:t xml:space="preserve">+ cease treatment state have permanent failure to treatment. </w:t>
            </w:r>
            <w:r w:rsidR="0083639C" w:rsidRPr="005802E9">
              <w:t>Patients in the ISGA 0/1 cease treatment state do not accrue further crisaborole treatment costs. The ESC noted that effects of other well-established treatments after failing crisaborole are not represented for patients in the ISGA 2+ cease treatment state</w:t>
            </w:r>
            <w:r w:rsidRPr="005802E9">
              <w:t>. There were no data provided in support of these assumptions, which are unlikely to reflect the nature of the disease. These assumptions result in a large, ongoing benefit in favour of crisaborole.</w:t>
            </w:r>
          </w:p>
        </w:tc>
        <w:tc>
          <w:tcPr>
            <w:tcW w:w="772" w:type="pct"/>
            <w:shd w:val="clear" w:color="auto" w:fill="auto"/>
            <w:vAlign w:val="center"/>
          </w:tcPr>
          <w:p w:rsidR="00696334" w:rsidRPr="005802E9" w:rsidRDefault="00696334" w:rsidP="008738A3">
            <w:pPr>
              <w:pStyle w:val="TableText"/>
              <w:keepNext w:val="0"/>
              <w:widowControl w:val="0"/>
              <w:jc w:val="center"/>
            </w:pPr>
            <w:r w:rsidRPr="005802E9">
              <w:t>High, favours crisaborole</w:t>
            </w:r>
          </w:p>
        </w:tc>
      </w:tr>
      <w:tr w:rsidR="00537182" w:rsidRPr="005802E9" w:rsidTr="00076034">
        <w:tc>
          <w:tcPr>
            <w:tcW w:w="626" w:type="pct"/>
            <w:shd w:val="clear" w:color="auto" w:fill="auto"/>
            <w:vAlign w:val="center"/>
          </w:tcPr>
          <w:p w:rsidR="00D110BD" w:rsidRPr="005802E9" w:rsidRDefault="00A666A2" w:rsidP="008738A3">
            <w:pPr>
              <w:pStyle w:val="TableText"/>
              <w:keepNext w:val="0"/>
              <w:widowControl w:val="0"/>
              <w:jc w:val="center"/>
            </w:pPr>
            <w:r w:rsidRPr="005802E9">
              <w:t>Time horizon</w:t>
            </w:r>
          </w:p>
        </w:tc>
        <w:tc>
          <w:tcPr>
            <w:tcW w:w="3602" w:type="pct"/>
            <w:shd w:val="clear" w:color="auto" w:fill="auto"/>
            <w:vAlign w:val="center"/>
          </w:tcPr>
          <w:p w:rsidR="00D110BD" w:rsidRPr="005802E9" w:rsidRDefault="00D42491" w:rsidP="008738A3">
            <w:pPr>
              <w:pStyle w:val="TableText"/>
              <w:keepNext w:val="0"/>
              <w:widowControl w:val="0"/>
            </w:pPr>
            <w:r w:rsidRPr="005802E9">
              <w:t>3 years. This was inconsistent with the majority of published economic models that used 1-year time horizons to evaluate interventions for atopic dermatitis. The ESC previously considered a time horizon of one year, consistent with published literature, would be more appropriate as the base case (paragraph 6.59, crisaborole PSD, November 2018 PBAC meeting).</w:t>
            </w:r>
          </w:p>
        </w:tc>
        <w:tc>
          <w:tcPr>
            <w:tcW w:w="772" w:type="pct"/>
            <w:shd w:val="clear" w:color="auto" w:fill="auto"/>
            <w:vAlign w:val="center"/>
          </w:tcPr>
          <w:p w:rsidR="00D110BD" w:rsidRPr="005802E9" w:rsidRDefault="00537182" w:rsidP="008738A3">
            <w:pPr>
              <w:pStyle w:val="TableText"/>
              <w:keepNext w:val="0"/>
              <w:widowControl w:val="0"/>
              <w:jc w:val="center"/>
            </w:pPr>
            <w:r w:rsidRPr="005802E9">
              <w:t xml:space="preserve">High, favours </w:t>
            </w:r>
            <w:r w:rsidR="00D42491" w:rsidRPr="005802E9">
              <w:t>crisaborole</w:t>
            </w:r>
          </w:p>
        </w:tc>
      </w:tr>
      <w:tr w:rsidR="00537182" w:rsidRPr="005802E9" w:rsidTr="00076034">
        <w:tc>
          <w:tcPr>
            <w:tcW w:w="626" w:type="pct"/>
            <w:shd w:val="clear" w:color="auto" w:fill="auto"/>
            <w:vAlign w:val="center"/>
          </w:tcPr>
          <w:p w:rsidR="00D110BD" w:rsidRPr="005802E9" w:rsidRDefault="00A666A2" w:rsidP="008738A3">
            <w:pPr>
              <w:pStyle w:val="TableText"/>
              <w:keepNext w:val="0"/>
              <w:widowControl w:val="0"/>
              <w:jc w:val="center"/>
            </w:pPr>
            <w:r w:rsidRPr="005802E9">
              <w:t>Treatment costs</w:t>
            </w:r>
          </w:p>
        </w:tc>
        <w:tc>
          <w:tcPr>
            <w:tcW w:w="3602" w:type="pct"/>
            <w:shd w:val="clear" w:color="auto" w:fill="auto"/>
            <w:vAlign w:val="center"/>
          </w:tcPr>
          <w:p w:rsidR="00FB0269" w:rsidRPr="005802E9" w:rsidRDefault="00FB0269" w:rsidP="008738A3">
            <w:pPr>
              <w:pStyle w:val="TableText"/>
              <w:keepNext w:val="0"/>
              <w:widowControl w:val="0"/>
            </w:pPr>
            <w:r w:rsidRPr="005802E9">
              <w:t xml:space="preserve">The application of drug costs in the model was complex and difficult to interpret due to inconsistencies in the assumed use between initiating, reinitiating and continuing patients that were dependent on the model cycle: </w:t>
            </w:r>
          </w:p>
          <w:p w:rsidR="00FB0269" w:rsidRPr="005802E9" w:rsidRDefault="00FB0269" w:rsidP="00C80D49">
            <w:pPr>
              <w:pStyle w:val="TableText"/>
              <w:keepNext w:val="0"/>
              <w:widowControl w:val="0"/>
              <w:numPr>
                <w:ilvl w:val="0"/>
                <w:numId w:val="13"/>
              </w:numPr>
            </w:pPr>
            <w:r w:rsidRPr="005802E9">
              <w:t>Initiating and reinitiating patients in Cycles 1 to 3 used 30 g whereas in Cycle 4 onwards, these patients were assumed to use 60 g</w:t>
            </w:r>
          </w:p>
          <w:p w:rsidR="00696334" w:rsidRPr="005802E9" w:rsidRDefault="00FB0269" w:rsidP="00C80D49">
            <w:pPr>
              <w:pStyle w:val="TableText"/>
              <w:keepNext w:val="0"/>
              <w:widowControl w:val="0"/>
              <w:numPr>
                <w:ilvl w:val="0"/>
                <w:numId w:val="13"/>
              </w:numPr>
            </w:pPr>
            <w:r w:rsidRPr="005802E9">
              <w:t>Continuing patients in Cycles 1 to 3 and Cycle 5 onwards used 30 g whereas in Cycle 4, these patients were assumed to use 60 g</w:t>
            </w:r>
          </w:p>
          <w:p w:rsidR="00D110BD" w:rsidRPr="005802E9" w:rsidRDefault="00696334" w:rsidP="008738A3">
            <w:pPr>
              <w:pStyle w:val="TableText"/>
              <w:keepNext w:val="0"/>
              <w:widowControl w:val="0"/>
            </w:pPr>
            <w:r w:rsidRPr="005802E9">
              <w:rPr>
                <w:snapToGrid w:val="0"/>
                <w:szCs w:val="22"/>
                <w:lang w:eastAsia="en-US"/>
              </w:rPr>
              <w:t>The modelled treatment benefit associated with crisaborole was based on 4-week average use of 170 g in the key trials and 120 g in the extension study. These amounts were higher than treatment costs in the model that were based on assumed use of 30 g per cycle (60 g was used in one model cycle)</w:t>
            </w:r>
            <w:r w:rsidR="005802E9">
              <w:rPr>
                <w:snapToGrid w:val="0"/>
                <w:szCs w:val="22"/>
                <w:lang w:eastAsia="en-US"/>
              </w:rPr>
              <w:t xml:space="preserve">. </w:t>
            </w:r>
          </w:p>
        </w:tc>
        <w:tc>
          <w:tcPr>
            <w:tcW w:w="772" w:type="pct"/>
            <w:shd w:val="clear" w:color="auto" w:fill="auto"/>
            <w:vAlign w:val="center"/>
          </w:tcPr>
          <w:p w:rsidR="00D110BD" w:rsidRPr="005802E9" w:rsidRDefault="00FB0269" w:rsidP="008738A3">
            <w:pPr>
              <w:pStyle w:val="TableText"/>
              <w:keepNext w:val="0"/>
              <w:widowControl w:val="0"/>
              <w:jc w:val="center"/>
            </w:pPr>
            <w:r w:rsidRPr="005802E9">
              <w:t>High, favours crisaborole</w:t>
            </w:r>
          </w:p>
        </w:tc>
      </w:tr>
    </w:tbl>
    <w:p w:rsidR="00D110BD" w:rsidRPr="005802E9" w:rsidRDefault="00696334" w:rsidP="004736E5">
      <w:pPr>
        <w:pStyle w:val="TableFigureFooter"/>
        <w:keepNext/>
      </w:pPr>
      <w:r w:rsidRPr="005802E9">
        <w:t>Source: compiled during the evaluation</w:t>
      </w:r>
    </w:p>
    <w:p w:rsidR="00EF40A9" w:rsidRPr="005802E9" w:rsidRDefault="00FA79EE" w:rsidP="00EF40A9">
      <w:pPr>
        <w:pStyle w:val="ExecSumBodyText"/>
        <w:rPr>
          <w:i/>
        </w:rPr>
      </w:pPr>
      <w:r w:rsidRPr="005802E9">
        <w:t>The transition probabilities in the model were derived from post-hoc analyses of Day 29 ISGA scores</w:t>
      </w:r>
      <w:r w:rsidR="00EF40A9" w:rsidRPr="005802E9">
        <w:t xml:space="preserve"> (0-4, missing data, study discontinuations)</w:t>
      </w:r>
      <w:r w:rsidRPr="005802E9">
        <w:t xml:space="preserve"> based</w:t>
      </w:r>
      <w:r w:rsidR="00314C99" w:rsidRPr="005802E9">
        <w:t xml:space="preserve"> on</w:t>
      </w:r>
      <w:r w:rsidRPr="005802E9">
        <w:t xml:space="preserve"> data from Trials </w:t>
      </w:r>
      <w:r w:rsidRPr="005802E9">
        <w:lastRenderedPageBreak/>
        <w:t>AD-</w:t>
      </w:r>
      <w:r w:rsidR="00EF40A9" w:rsidRPr="005802E9">
        <w:t xml:space="preserve">301, </w:t>
      </w:r>
      <w:r w:rsidRPr="005802E9">
        <w:t>AD-302</w:t>
      </w:r>
      <w:r w:rsidR="00EF40A9" w:rsidRPr="005802E9">
        <w:t xml:space="preserve"> and extension study AD-303</w:t>
      </w:r>
      <w:r w:rsidRPr="005802E9">
        <w:t>.</w:t>
      </w:r>
      <w:r w:rsidR="003E7509">
        <w:rPr>
          <w:rStyle w:val="FootnoteReference"/>
        </w:rPr>
        <w:footnoteReference w:id="9"/>
      </w:r>
      <w:r w:rsidRPr="005802E9">
        <w:t xml:space="preserve"> The resubmission transformed the results into transition probabilities by collapsing the ISGA scores into two categories: ISGA 0/1 or ISGA 2+. Treatment status was assumed based on the AD-303 treatment protocol (i.e. ISGA 0/1, pause treatment and ISGA 2+, initiate/reinitiate treatment). </w:t>
      </w:r>
      <w:r w:rsidR="00EF40A9" w:rsidRPr="005802E9">
        <w:t>There were concerns with the robustness of results from the post-hoc analyses, particularly with the AD-303 study, which may not be a reliable basis to derive transition probabilities</w:t>
      </w:r>
      <w:r w:rsidR="005802E9">
        <w:t xml:space="preserve">. </w:t>
      </w:r>
    </w:p>
    <w:p w:rsidR="001941E2" w:rsidRPr="005802E9" w:rsidRDefault="001941E2" w:rsidP="0061230C">
      <w:pPr>
        <w:pStyle w:val="TableHeading"/>
      </w:pPr>
      <w:r w:rsidRPr="005802E9">
        <w:t xml:space="preserve">Table </w:t>
      </w:r>
      <w:r w:rsidR="0061230C" w:rsidRPr="005802E9">
        <w:t>13</w:t>
      </w:r>
      <w:r w:rsidRPr="005802E9">
        <w:t>: Non-fatal transition probabilities for Cycle 1 in the economic model</w:t>
      </w:r>
      <w:r w:rsidR="003E7509">
        <w:t>*</w:t>
      </w:r>
    </w:p>
    <w:tbl>
      <w:tblPr>
        <w:tblStyle w:val="TableGrid"/>
        <w:tblW w:w="0" w:type="auto"/>
        <w:tblLook w:val="04A0" w:firstRow="1" w:lastRow="0" w:firstColumn="1" w:lastColumn="0" w:noHBand="0" w:noVBand="1"/>
        <w:tblCaption w:val="Table 13: Non-fatal transition probabilities for Cycle 1 in the economic model*"/>
      </w:tblPr>
      <w:tblGrid>
        <w:gridCol w:w="1199"/>
        <w:gridCol w:w="1050"/>
        <w:gridCol w:w="1064"/>
        <w:gridCol w:w="1077"/>
        <w:gridCol w:w="4627"/>
      </w:tblGrid>
      <w:tr w:rsidR="001941E2" w:rsidRPr="005802E9" w:rsidTr="00BF6713">
        <w:trPr>
          <w:tblHeader/>
        </w:trPr>
        <w:tc>
          <w:tcPr>
            <w:tcW w:w="1199" w:type="dxa"/>
            <w:vMerge w:val="restart"/>
            <w:vAlign w:val="center"/>
          </w:tcPr>
          <w:p w:rsidR="001941E2" w:rsidRPr="005802E9" w:rsidRDefault="001941E2" w:rsidP="00BF6713">
            <w:pPr>
              <w:pStyle w:val="TableText"/>
              <w:keepNext w:val="0"/>
              <w:rPr>
                <w:b/>
              </w:rPr>
            </w:pPr>
            <w:r w:rsidRPr="005802E9">
              <w:rPr>
                <w:b/>
              </w:rPr>
              <w:t>Treatment arm</w:t>
            </w:r>
          </w:p>
        </w:tc>
        <w:tc>
          <w:tcPr>
            <w:tcW w:w="3191" w:type="dxa"/>
            <w:gridSpan w:val="3"/>
            <w:vAlign w:val="center"/>
          </w:tcPr>
          <w:p w:rsidR="001941E2" w:rsidRPr="005802E9" w:rsidRDefault="001941E2" w:rsidP="00BF6713">
            <w:pPr>
              <w:pStyle w:val="TableText"/>
              <w:keepNext w:val="0"/>
              <w:jc w:val="center"/>
              <w:rPr>
                <w:b/>
              </w:rPr>
            </w:pPr>
            <w:r w:rsidRPr="005802E9">
              <w:rPr>
                <w:b/>
              </w:rPr>
              <w:t>ISGA 2/3 on treatment (baseline), to:</w:t>
            </w:r>
          </w:p>
        </w:tc>
        <w:tc>
          <w:tcPr>
            <w:tcW w:w="4627" w:type="dxa"/>
            <w:vMerge w:val="restart"/>
            <w:vAlign w:val="center"/>
          </w:tcPr>
          <w:p w:rsidR="001941E2" w:rsidRPr="005802E9" w:rsidRDefault="001941E2" w:rsidP="00BF6713">
            <w:pPr>
              <w:pStyle w:val="TableText"/>
              <w:keepNext w:val="0"/>
              <w:rPr>
                <w:b/>
              </w:rPr>
            </w:pPr>
            <w:r w:rsidRPr="005802E9">
              <w:rPr>
                <w:b/>
              </w:rPr>
              <w:t>Source</w:t>
            </w:r>
          </w:p>
        </w:tc>
      </w:tr>
      <w:tr w:rsidR="001941E2" w:rsidRPr="005802E9" w:rsidTr="00BF6713">
        <w:trPr>
          <w:tblHeader/>
        </w:trPr>
        <w:tc>
          <w:tcPr>
            <w:tcW w:w="1199" w:type="dxa"/>
            <w:vMerge/>
            <w:vAlign w:val="center"/>
          </w:tcPr>
          <w:p w:rsidR="001941E2" w:rsidRPr="005802E9" w:rsidRDefault="001941E2" w:rsidP="00BF6713">
            <w:pPr>
              <w:pStyle w:val="TableText"/>
              <w:keepNext w:val="0"/>
              <w:rPr>
                <w:b/>
              </w:rPr>
            </w:pPr>
          </w:p>
        </w:tc>
        <w:tc>
          <w:tcPr>
            <w:tcW w:w="1050" w:type="dxa"/>
            <w:vAlign w:val="center"/>
          </w:tcPr>
          <w:p w:rsidR="001941E2" w:rsidRPr="005802E9" w:rsidRDefault="001941E2" w:rsidP="00BF6713">
            <w:pPr>
              <w:pStyle w:val="TableText"/>
              <w:keepNext w:val="0"/>
              <w:jc w:val="center"/>
              <w:rPr>
                <w:b/>
              </w:rPr>
            </w:pPr>
            <w:r w:rsidRPr="005802E9">
              <w:rPr>
                <w:b/>
              </w:rPr>
              <w:t>ISGA 0/1 pause Tx</w:t>
            </w:r>
          </w:p>
        </w:tc>
        <w:tc>
          <w:tcPr>
            <w:tcW w:w="1064" w:type="dxa"/>
            <w:vAlign w:val="center"/>
          </w:tcPr>
          <w:p w:rsidR="001941E2" w:rsidRPr="005802E9" w:rsidRDefault="001941E2" w:rsidP="00BF6713">
            <w:pPr>
              <w:pStyle w:val="TableText"/>
              <w:keepNext w:val="0"/>
              <w:jc w:val="center"/>
              <w:rPr>
                <w:b/>
              </w:rPr>
            </w:pPr>
            <w:r w:rsidRPr="005802E9">
              <w:rPr>
                <w:b/>
              </w:rPr>
              <w:t xml:space="preserve">ISGA 2+ </w:t>
            </w:r>
          </w:p>
          <w:p w:rsidR="001941E2" w:rsidRPr="005802E9" w:rsidRDefault="001941E2" w:rsidP="00BF6713">
            <w:pPr>
              <w:pStyle w:val="TableText"/>
              <w:keepNext w:val="0"/>
              <w:jc w:val="center"/>
              <w:rPr>
                <w:b/>
              </w:rPr>
            </w:pPr>
            <w:r w:rsidRPr="005802E9">
              <w:rPr>
                <w:b/>
              </w:rPr>
              <w:t>on Tx</w:t>
            </w:r>
          </w:p>
        </w:tc>
        <w:tc>
          <w:tcPr>
            <w:tcW w:w="1077" w:type="dxa"/>
            <w:vAlign w:val="center"/>
          </w:tcPr>
          <w:p w:rsidR="001941E2" w:rsidRPr="005802E9" w:rsidRDefault="001941E2" w:rsidP="00BF6713">
            <w:pPr>
              <w:pStyle w:val="TableText"/>
              <w:keepNext w:val="0"/>
              <w:jc w:val="center"/>
              <w:rPr>
                <w:b/>
              </w:rPr>
            </w:pPr>
            <w:r w:rsidRPr="005802E9">
              <w:rPr>
                <w:b/>
              </w:rPr>
              <w:t>ISGA 2+ cease Tx</w:t>
            </w:r>
          </w:p>
        </w:tc>
        <w:tc>
          <w:tcPr>
            <w:tcW w:w="4627" w:type="dxa"/>
            <w:vMerge/>
            <w:vAlign w:val="center"/>
          </w:tcPr>
          <w:p w:rsidR="001941E2" w:rsidRPr="005802E9" w:rsidRDefault="001941E2" w:rsidP="00BF6713">
            <w:pPr>
              <w:pStyle w:val="TableText"/>
              <w:keepNext w:val="0"/>
            </w:pPr>
          </w:p>
        </w:tc>
      </w:tr>
      <w:tr w:rsidR="001941E2" w:rsidRPr="005802E9" w:rsidTr="00BF6713">
        <w:trPr>
          <w:trHeight w:val="845"/>
        </w:trPr>
        <w:tc>
          <w:tcPr>
            <w:tcW w:w="1199" w:type="dxa"/>
            <w:vAlign w:val="center"/>
          </w:tcPr>
          <w:p w:rsidR="001941E2" w:rsidRPr="005802E9" w:rsidRDefault="001941E2" w:rsidP="00BF6713">
            <w:pPr>
              <w:pStyle w:val="TableText"/>
              <w:keepNext w:val="0"/>
            </w:pPr>
            <w:r w:rsidRPr="005802E9">
              <w:t>Crisaborole</w:t>
            </w:r>
          </w:p>
        </w:tc>
        <w:tc>
          <w:tcPr>
            <w:tcW w:w="1050" w:type="dxa"/>
            <w:vAlign w:val="center"/>
          </w:tcPr>
          <w:p w:rsidR="001941E2" w:rsidRPr="005802E9" w:rsidRDefault="001941E2" w:rsidP="00BF6713">
            <w:pPr>
              <w:pStyle w:val="TableText"/>
              <w:keepNext w:val="0"/>
              <w:jc w:val="center"/>
            </w:pPr>
            <w:r w:rsidRPr="005802E9">
              <w:t>48.4%</w:t>
            </w:r>
          </w:p>
          <w:p w:rsidR="001941E2" w:rsidRPr="005802E9" w:rsidRDefault="001941E2" w:rsidP="00BF6713">
            <w:pPr>
              <w:pStyle w:val="TableText"/>
              <w:keepNext w:val="0"/>
              <w:jc w:val="center"/>
            </w:pPr>
            <w:r w:rsidRPr="005802E9">
              <w:t>[51%]</w:t>
            </w:r>
          </w:p>
        </w:tc>
        <w:tc>
          <w:tcPr>
            <w:tcW w:w="1064" w:type="dxa"/>
            <w:vAlign w:val="center"/>
          </w:tcPr>
          <w:p w:rsidR="001941E2" w:rsidRPr="005802E9" w:rsidRDefault="001941E2" w:rsidP="00BF6713">
            <w:pPr>
              <w:pStyle w:val="TableText"/>
              <w:keepNext w:val="0"/>
              <w:jc w:val="center"/>
            </w:pPr>
            <w:r w:rsidRPr="005802E9">
              <w:t>46.5%</w:t>
            </w:r>
          </w:p>
          <w:p w:rsidR="001941E2" w:rsidRPr="005802E9" w:rsidRDefault="001941E2" w:rsidP="00BF6713">
            <w:pPr>
              <w:pStyle w:val="TableText"/>
              <w:keepNext w:val="0"/>
              <w:jc w:val="center"/>
            </w:pPr>
            <w:r w:rsidRPr="005802E9">
              <w:t>[49%]</w:t>
            </w:r>
          </w:p>
        </w:tc>
        <w:tc>
          <w:tcPr>
            <w:tcW w:w="1077" w:type="dxa"/>
            <w:vAlign w:val="center"/>
          </w:tcPr>
          <w:p w:rsidR="001941E2" w:rsidRPr="005802E9" w:rsidRDefault="001941E2" w:rsidP="00BF6713">
            <w:pPr>
              <w:pStyle w:val="TableText"/>
              <w:keepNext w:val="0"/>
              <w:jc w:val="center"/>
            </w:pPr>
            <w:r w:rsidRPr="005802E9">
              <w:t>5.1%</w:t>
            </w:r>
          </w:p>
          <w:p w:rsidR="001941E2" w:rsidRPr="005802E9" w:rsidRDefault="001941E2" w:rsidP="00BF6713">
            <w:pPr>
              <w:pStyle w:val="TableText"/>
              <w:keepNext w:val="0"/>
              <w:jc w:val="center"/>
            </w:pPr>
            <w:r w:rsidRPr="005802E9">
              <w:t>0%]</w:t>
            </w:r>
          </w:p>
        </w:tc>
        <w:tc>
          <w:tcPr>
            <w:tcW w:w="4627" w:type="dxa"/>
            <w:vMerge w:val="restart"/>
            <w:vAlign w:val="center"/>
          </w:tcPr>
          <w:p w:rsidR="001941E2" w:rsidRPr="005802E9" w:rsidRDefault="001941E2" w:rsidP="00BF6713">
            <w:pPr>
              <w:pStyle w:val="TableText"/>
              <w:keepNext w:val="0"/>
            </w:pPr>
            <w:r w:rsidRPr="005802E9">
              <w:t xml:space="preserve">Probabilities based on post-hoc analyses of Day 29 ISGA scores (0 to 4 and missing) using pooled data from trials AD-301 and AD-302 (ITT population). Proportions of patients with missing data at Day 29 used as the probabilities of entering the ISGA 2+ cease treatment health state. </w:t>
            </w:r>
          </w:p>
          <w:p w:rsidR="001941E2" w:rsidRPr="005802E9" w:rsidRDefault="001941E2" w:rsidP="00BF6713">
            <w:pPr>
              <w:pStyle w:val="TableText"/>
              <w:keepNext w:val="0"/>
            </w:pPr>
            <w:r w:rsidRPr="005802E9">
              <w:t>Treatment status was assumed based on the AD-303 treatment protocol (i.e. ISGA 0/1, pause treatment and ISGA 2+, initiate/reinitiate treatment).</w:t>
            </w:r>
          </w:p>
        </w:tc>
      </w:tr>
      <w:tr w:rsidR="001941E2" w:rsidRPr="005802E9" w:rsidTr="00BF6713">
        <w:trPr>
          <w:trHeight w:val="890"/>
        </w:trPr>
        <w:tc>
          <w:tcPr>
            <w:tcW w:w="1199" w:type="dxa"/>
            <w:vAlign w:val="center"/>
          </w:tcPr>
          <w:p w:rsidR="001941E2" w:rsidRPr="005802E9" w:rsidRDefault="001941E2" w:rsidP="00BF6713">
            <w:pPr>
              <w:pStyle w:val="TableText"/>
              <w:keepNext w:val="0"/>
            </w:pPr>
            <w:r w:rsidRPr="005802E9">
              <w:t>Standard management</w:t>
            </w:r>
          </w:p>
        </w:tc>
        <w:tc>
          <w:tcPr>
            <w:tcW w:w="1050" w:type="dxa"/>
            <w:vAlign w:val="center"/>
          </w:tcPr>
          <w:p w:rsidR="001941E2" w:rsidRPr="005802E9" w:rsidRDefault="001941E2" w:rsidP="00BF6713">
            <w:pPr>
              <w:pStyle w:val="TableText"/>
              <w:keepNext w:val="0"/>
              <w:jc w:val="center"/>
            </w:pPr>
            <w:r w:rsidRPr="005802E9">
              <w:t>33.2%</w:t>
            </w:r>
          </w:p>
          <w:p w:rsidR="001941E2" w:rsidRPr="005802E9" w:rsidRDefault="001941E2" w:rsidP="00BF6713">
            <w:pPr>
              <w:pStyle w:val="TableText"/>
              <w:keepNext w:val="0"/>
              <w:jc w:val="center"/>
            </w:pPr>
            <w:r w:rsidRPr="005802E9">
              <w:t>[37%]</w:t>
            </w:r>
          </w:p>
        </w:tc>
        <w:tc>
          <w:tcPr>
            <w:tcW w:w="1064" w:type="dxa"/>
            <w:vAlign w:val="center"/>
          </w:tcPr>
          <w:p w:rsidR="001941E2" w:rsidRPr="005802E9" w:rsidRDefault="001941E2" w:rsidP="00BF6713">
            <w:pPr>
              <w:pStyle w:val="TableText"/>
              <w:keepNext w:val="0"/>
              <w:jc w:val="center"/>
            </w:pPr>
            <w:r w:rsidRPr="005802E9">
              <w:t>56.1%</w:t>
            </w:r>
          </w:p>
          <w:p w:rsidR="001941E2" w:rsidRPr="005802E9" w:rsidRDefault="001941E2" w:rsidP="00BF6713">
            <w:pPr>
              <w:pStyle w:val="TableText"/>
              <w:keepNext w:val="0"/>
              <w:jc w:val="center"/>
            </w:pPr>
            <w:r w:rsidRPr="005802E9">
              <w:t>[63%]</w:t>
            </w:r>
          </w:p>
        </w:tc>
        <w:tc>
          <w:tcPr>
            <w:tcW w:w="1077" w:type="dxa"/>
            <w:vAlign w:val="center"/>
          </w:tcPr>
          <w:p w:rsidR="001941E2" w:rsidRPr="005802E9" w:rsidRDefault="001941E2" w:rsidP="00BF6713">
            <w:pPr>
              <w:pStyle w:val="TableText"/>
              <w:keepNext w:val="0"/>
              <w:jc w:val="center"/>
            </w:pPr>
            <w:r w:rsidRPr="005802E9">
              <w:t>10.7%</w:t>
            </w:r>
          </w:p>
          <w:p w:rsidR="001941E2" w:rsidRPr="005802E9" w:rsidRDefault="001941E2" w:rsidP="00BF6713">
            <w:pPr>
              <w:pStyle w:val="TableText"/>
              <w:keepNext w:val="0"/>
              <w:jc w:val="center"/>
            </w:pPr>
            <w:r w:rsidRPr="005802E9">
              <w:t>[0%]</w:t>
            </w:r>
          </w:p>
        </w:tc>
        <w:tc>
          <w:tcPr>
            <w:tcW w:w="4627" w:type="dxa"/>
            <w:vMerge/>
            <w:vAlign w:val="center"/>
          </w:tcPr>
          <w:p w:rsidR="001941E2" w:rsidRPr="005802E9" w:rsidRDefault="001941E2" w:rsidP="00BF6713">
            <w:pPr>
              <w:pStyle w:val="TableText"/>
              <w:keepNext w:val="0"/>
            </w:pPr>
          </w:p>
        </w:tc>
      </w:tr>
    </w:tbl>
    <w:p w:rsidR="0061230C" w:rsidRPr="005802E9" w:rsidRDefault="003E7509" w:rsidP="003E7509">
      <w:pPr>
        <w:pStyle w:val="TableFooter"/>
      </w:pPr>
      <w:r w:rsidRPr="007137EC">
        <w:t>*</w:t>
      </w:r>
      <w:r w:rsidRPr="007137EC">
        <w:rPr>
          <w:shd w:val="clear" w:color="auto" w:fill="FFFFFF"/>
        </w:rPr>
        <w:t xml:space="preserve"> Note that the results presented in Table 13 are derived from post-hoc analyses conducted by the applicant specifically for the purposes of informing the PBAC consideration. These analyses were not part of the pre-specified statistical plan for Studies AD-301, AD-302 or AD-303.  Interpretation of the results and their application should therefore be limited to seeking to understand the basis for the PBAC outcome and should not be used for any other purpose.</w:t>
      </w:r>
    </w:p>
    <w:p w:rsidR="00DA5BED" w:rsidRDefault="00DA5BED">
      <w:pPr>
        <w:jc w:val="left"/>
      </w:pPr>
      <w:r>
        <w:br w:type="page"/>
      </w:r>
    </w:p>
    <w:p w:rsidR="001941E2" w:rsidRPr="005802E9" w:rsidRDefault="001941E2" w:rsidP="0061230C">
      <w:pPr>
        <w:pStyle w:val="TableHeading"/>
      </w:pPr>
      <w:r w:rsidRPr="005802E9">
        <w:lastRenderedPageBreak/>
        <w:t xml:space="preserve">Table </w:t>
      </w:r>
      <w:r w:rsidR="0061230C" w:rsidRPr="005802E9">
        <w:t>14</w:t>
      </w:r>
      <w:r w:rsidRPr="005802E9">
        <w:t>: Non-fatal transition probabilities from Cycle 2 in the economic model</w:t>
      </w:r>
      <w:r w:rsidR="003E7509">
        <w:t>*</w:t>
      </w:r>
    </w:p>
    <w:tbl>
      <w:tblPr>
        <w:tblStyle w:val="TableGrid"/>
        <w:tblW w:w="0" w:type="auto"/>
        <w:tblLook w:val="04A0" w:firstRow="1" w:lastRow="0" w:firstColumn="1" w:lastColumn="0" w:noHBand="0" w:noVBand="1"/>
        <w:tblCaption w:val="Table 14: Non-fatal transition probabilities from Cycle 2 in the economic model*"/>
      </w:tblPr>
      <w:tblGrid>
        <w:gridCol w:w="1633"/>
        <w:gridCol w:w="2954"/>
        <w:gridCol w:w="4430"/>
      </w:tblGrid>
      <w:tr w:rsidR="001941E2" w:rsidRPr="005802E9" w:rsidTr="00BF6713">
        <w:trPr>
          <w:tblHeader/>
        </w:trPr>
        <w:tc>
          <w:tcPr>
            <w:tcW w:w="1633" w:type="dxa"/>
            <w:vAlign w:val="center"/>
          </w:tcPr>
          <w:p w:rsidR="001941E2" w:rsidRPr="005802E9" w:rsidRDefault="001941E2" w:rsidP="00BF6713">
            <w:pPr>
              <w:pStyle w:val="TableText"/>
              <w:keepNext w:val="0"/>
              <w:rPr>
                <w:b/>
              </w:rPr>
            </w:pPr>
            <w:r w:rsidRPr="005802E9">
              <w:rPr>
                <w:b/>
              </w:rPr>
              <w:t>Health state</w:t>
            </w:r>
          </w:p>
        </w:tc>
        <w:tc>
          <w:tcPr>
            <w:tcW w:w="2954" w:type="dxa"/>
            <w:vAlign w:val="center"/>
          </w:tcPr>
          <w:p w:rsidR="001941E2" w:rsidRPr="005802E9" w:rsidRDefault="001941E2" w:rsidP="00BF6713">
            <w:pPr>
              <w:pStyle w:val="TableText"/>
              <w:keepNext w:val="0"/>
              <w:rPr>
                <w:b/>
              </w:rPr>
            </w:pPr>
            <w:r w:rsidRPr="005802E9">
              <w:rPr>
                <w:b/>
              </w:rPr>
              <w:t>Transition probability</w:t>
            </w:r>
          </w:p>
        </w:tc>
        <w:tc>
          <w:tcPr>
            <w:tcW w:w="4430" w:type="dxa"/>
            <w:vAlign w:val="center"/>
          </w:tcPr>
          <w:p w:rsidR="001941E2" w:rsidRPr="005802E9" w:rsidRDefault="001941E2" w:rsidP="00BF6713">
            <w:pPr>
              <w:pStyle w:val="TableText"/>
              <w:keepNext w:val="0"/>
              <w:rPr>
                <w:b/>
              </w:rPr>
            </w:pPr>
            <w:r w:rsidRPr="005802E9">
              <w:rPr>
                <w:b/>
              </w:rPr>
              <w:t>Source</w:t>
            </w:r>
          </w:p>
        </w:tc>
      </w:tr>
      <w:tr w:rsidR="001941E2" w:rsidRPr="005802E9" w:rsidTr="00BF6713">
        <w:tc>
          <w:tcPr>
            <w:tcW w:w="9017" w:type="dxa"/>
            <w:gridSpan w:val="3"/>
            <w:vAlign w:val="center"/>
          </w:tcPr>
          <w:p w:rsidR="001941E2" w:rsidRPr="005802E9" w:rsidRDefault="001941E2" w:rsidP="00BF6713">
            <w:pPr>
              <w:pStyle w:val="TableText"/>
              <w:keepNext w:val="0"/>
            </w:pPr>
            <w:r w:rsidRPr="005802E9">
              <w:rPr>
                <w:b/>
              </w:rPr>
              <w:t>Crisaborole</w:t>
            </w:r>
          </w:p>
        </w:tc>
      </w:tr>
      <w:tr w:rsidR="001941E2" w:rsidRPr="005802E9" w:rsidTr="00BF6713">
        <w:trPr>
          <w:trHeight w:val="297"/>
        </w:trPr>
        <w:tc>
          <w:tcPr>
            <w:tcW w:w="1633" w:type="dxa"/>
            <w:vMerge w:val="restart"/>
            <w:vAlign w:val="center"/>
          </w:tcPr>
          <w:p w:rsidR="001941E2" w:rsidRPr="005802E9" w:rsidRDefault="001941E2" w:rsidP="00BF6713">
            <w:pPr>
              <w:pStyle w:val="TableText"/>
              <w:keepNext w:val="0"/>
            </w:pPr>
            <w:r w:rsidRPr="005802E9">
              <w:t>ISGA 0/1 pause Tx</w:t>
            </w:r>
          </w:p>
        </w:tc>
        <w:tc>
          <w:tcPr>
            <w:tcW w:w="2954" w:type="dxa"/>
            <w:vAlign w:val="center"/>
          </w:tcPr>
          <w:p w:rsidR="001941E2" w:rsidRPr="005802E9" w:rsidRDefault="001941E2" w:rsidP="00BF6713">
            <w:pPr>
              <w:pStyle w:val="TableText"/>
              <w:keepNext w:val="0"/>
            </w:pPr>
            <w:r w:rsidRPr="005802E9">
              <w:t>Remain in ISGA 0/1 pause Tx: 61.3%</w:t>
            </w:r>
          </w:p>
        </w:tc>
        <w:tc>
          <w:tcPr>
            <w:tcW w:w="4430" w:type="dxa"/>
            <w:vMerge w:val="restart"/>
            <w:vAlign w:val="center"/>
          </w:tcPr>
          <w:p w:rsidR="001941E2" w:rsidRPr="005802E9" w:rsidRDefault="001941E2" w:rsidP="00BF6713">
            <w:pPr>
              <w:pStyle w:val="TableText"/>
            </w:pPr>
            <w:r w:rsidRPr="005802E9">
              <w:t xml:space="preserve">Based on post-hoc analyses of Day 29 ISGA scores (0-4) and discontinuations in the AD-303 extension study over 40 weeks (10 treatment periods). </w:t>
            </w:r>
          </w:p>
          <w:p w:rsidR="001941E2" w:rsidRPr="005802E9" w:rsidRDefault="001941E2" w:rsidP="00BF6713">
            <w:pPr>
              <w:pStyle w:val="TableText"/>
            </w:pPr>
            <w:r w:rsidRPr="005802E9">
              <w:t xml:space="preserve">Weighted transition probabilities based on the total number of observations over 10 treatment periods. </w:t>
            </w:r>
          </w:p>
          <w:p w:rsidR="001941E2" w:rsidRPr="005802E9" w:rsidRDefault="001941E2" w:rsidP="00BF6713">
            <w:pPr>
              <w:pStyle w:val="TableText"/>
            </w:pPr>
            <w:r w:rsidRPr="005802E9">
              <w:t xml:space="preserve">The weighted study discontinuation rate was used as the probabilities of entering the ISGA 0/1 and ISGA 2+ cease treatment states. </w:t>
            </w:r>
          </w:p>
        </w:tc>
      </w:tr>
      <w:tr w:rsidR="001941E2" w:rsidRPr="005802E9" w:rsidTr="00BF6713">
        <w:trPr>
          <w:trHeight w:val="298"/>
        </w:trPr>
        <w:tc>
          <w:tcPr>
            <w:tcW w:w="1633" w:type="dxa"/>
            <w:vMerge/>
            <w:vAlign w:val="center"/>
          </w:tcPr>
          <w:p w:rsidR="001941E2" w:rsidRPr="005802E9" w:rsidRDefault="001941E2" w:rsidP="00BF6713">
            <w:pPr>
              <w:pStyle w:val="TableText"/>
              <w:keepNext w:val="0"/>
            </w:pPr>
          </w:p>
        </w:tc>
        <w:tc>
          <w:tcPr>
            <w:tcW w:w="2954" w:type="dxa"/>
            <w:vAlign w:val="center"/>
          </w:tcPr>
          <w:p w:rsidR="001941E2" w:rsidRPr="005802E9" w:rsidRDefault="001941E2" w:rsidP="00BF6713">
            <w:pPr>
              <w:pStyle w:val="TableText"/>
              <w:keepNext w:val="0"/>
            </w:pPr>
            <w:r w:rsidRPr="005802E9">
              <w:t>To ISGA 0/1 cease Tx: 3.6%</w:t>
            </w:r>
          </w:p>
        </w:tc>
        <w:tc>
          <w:tcPr>
            <w:tcW w:w="4430" w:type="dxa"/>
            <w:vMerge/>
            <w:vAlign w:val="center"/>
          </w:tcPr>
          <w:p w:rsidR="001941E2" w:rsidRPr="005802E9" w:rsidRDefault="001941E2" w:rsidP="00BF6713">
            <w:pPr>
              <w:pStyle w:val="TableText"/>
              <w:keepNext w:val="0"/>
            </w:pPr>
          </w:p>
        </w:tc>
      </w:tr>
      <w:tr w:rsidR="001941E2" w:rsidRPr="005802E9" w:rsidTr="00BF6713">
        <w:trPr>
          <w:trHeight w:val="298"/>
        </w:trPr>
        <w:tc>
          <w:tcPr>
            <w:tcW w:w="1633" w:type="dxa"/>
            <w:vMerge/>
            <w:vAlign w:val="center"/>
          </w:tcPr>
          <w:p w:rsidR="001941E2" w:rsidRPr="005802E9" w:rsidRDefault="001941E2" w:rsidP="00BF6713">
            <w:pPr>
              <w:pStyle w:val="TableText"/>
              <w:keepNext w:val="0"/>
            </w:pPr>
          </w:p>
        </w:tc>
        <w:tc>
          <w:tcPr>
            <w:tcW w:w="2954" w:type="dxa"/>
            <w:vAlign w:val="center"/>
          </w:tcPr>
          <w:p w:rsidR="001941E2" w:rsidRPr="005802E9" w:rsidRDefault="001941E2" w:rsidP="00BF6713">
            <w:pPr>
              <w:pStyle w:val="TableText"/>
              <w:keepNext w:val="0"/>
            </w:pPr>
            <w:r w:rsidRPr="005802E9">
              <w:t>To ISGA 2+ on Tx: 35.1%</w:t>
            </w:r>
          </w:p>
        </w:tc>
        <w:tc>
          <w:tcPr>
            <w:tcW w:w="4430" w:type="dxa"/>
            <w:vMerge/>
            <w:vAlign w:val="center"/>
          </w:tcPr>
          <w:p w:rsidR="001941E2" w:rsidRPr="005802E9" w:rsidRDefault="001941E2" w:rsidP="00BF6713">
            <w:pPr>
              <w:pStyle w:val="TableText"/>
              <w:keepNext w:val="0"/>
            </w:pPr>
          </w:p>
        </w:tc>
      </w:tr>
      <w:tr w:rsidR="001941E2" w:rsidRPr="005802E9" w:rsidTr="00BF6713">
        <w:trPr>
          <w:trHeight w:val="297"/>
        </w:trPr>
        <w:tc>
          <w:tcPr>
            <w:tcW w:w="1633" w:type="dxa"/>
            <w:vMerge w:val="restart"/>
            <w:vAlign w:val="center"/>
          </w:tcPr>
          <w:p w:rsidR="001941E2" w:rsidRPr="005802E9" w:rsidRDefault="001941E2" w:rsidP="00BF6713">
            <w:pPr>
              <w:pStyle w:val="TableText"/>
              <w:keepNext w:val="0"/>
            </w:pPr>
            <w:r w:rsidRPr="005802E9">
              <w:t>ISGA 2+ on Tx</w:t>
            </w:r>
          </w:p>
        </w:tc>
        <w:tc>
          <w:tcPr>
            <w:tcW w:w="2954" w:type="dxa"/>
            <w:vAlign w:val="center"/>
          </w:tcPr>
          <w:p w:rsidR="001941E2" w:rsidRPr="005802E9" w:rsidRDefault="001941E2" w:rsidP="00BF6713">
            <w:pPr>
              <w:pStyle w:val="TableText"/>
              <w:keepNext w:val="0"/>
            </w:pPr>
            <w:r w:rsidRPr="005802E9">
              <w:t>Remain in ISGA 2+ on Tx: 69.5%</w:t>
            </w:r>
          </w:p>
        </w:tc>
        <w:tc>
          <w:tcPr>
            <w:tcW w:w="4430" w:type="dxa"/>
            <w:vMerge/>
            <w:vAlign w:val="center"/>
          </w:tcPr>
          <w:p w:rsidR="001941E2" w:rsidRPr="005802E9" w:rsidRDefault="001941E2" w:rsidP="00BF6713">
            <w:pPr>
              <w:pStyle w:val="TableText"/>
              <w:keepNext w:val="0"/>
              <w:rPr>
                <w:rFonts w:ascii="Calibri" w:eastAsia="Times New Roman" w:hAnsi="Calibri" w:cs="Arial"/>
                <w:bCs w:val="0"/>
                <w:sz w:val="24"/>
              </w:rPr>
            </w:pPr>
          </w:p>
        </w:tc>
      </w:tr>
      <w:tr w:rsidR="001941E2" w:rsidRPr="005802E9" w:rsidTr="00BF6713">
        <w:trPr>
          <w:trHeight w:val="298"/>
        </w:trPr>
        <w:tc>
          <w:tcPr>
            <w:tcW w:w="1633" w:type="dxa"/>
            <w:vMerge/>
            <w:vAlign w:val="center"/>
          </w:tcPr>
          <w:p w:rsidR="001941E2" w:rsidRPr="005802E9" w:rsidRDefault="001941E2" w:rsidP="00BF6713">
            <w:pPr>
              <w:pStyle w:val="TableText"/>
              <w:keepNext w:val="0"/>
            </w:pPr>
          </w:p>
        </w:tc>
        <w:tc>
          <w:tcPr>
            <w:tcW w:w="2954" w:type="dxa"/>
            <w:vAlign w:val="center"/>
          </w:tcPr>
          <w:p w:rsidR="001941E2" w:rsidRPr="005802E9" w:rsidRDefault="001941E2" w:rsidP="00BF6713">
            <w:pPr>
              <w:pStyle w:val="TableText"/>
              <w:keepNext w:val="0"/>
            </w:pPr>
            <w:r w:rsidRPr="005802E9">
              <w:t>To ISGA 0/1 pause Tx: 24.6%</w:t>
            </w:r>
          </w:p>
        </w:tc>
        <w:tc>
          <w:tcPr>
            <w:tcW w:w="4430" w:type="dxa"/>
            <w:vMerge/>
            <w:vAlign w:val="center"/>
          </w:tcPr>
          <w:p w:rsidR="001941E2" w:rsidRPr="005802E9" w:rsidRDefault="001941E2" w:rsidP="00BF6713">
            <w:pPr>
              <w:pStyle w:val="TableText"/>
              <w:keepNext w:val="0"/>
            </w:pPr>
          </w:p>
        </w:tc>
      </w:tr>
      <w:tr w:rsidR="001941E2" w:rsidRPr="005802E9" w:rsidTr="00BF6713">
        <w:trPr>
          <w:trHeight w:val="298"/>
        </w:trPr>
        <w:tc>
          <w:tcPr>
            <w:tcW w:w="1633" w:type="dxa"/>
            <w:vMerge/>
            <w:vAlign w:val="center"/>
          </w:tcPr>
          <w:p w:rsidR="001941E2" w:rsidRPr="005802E9" w:rsidRDefault="001941E2" w:rsidP="00BF6713">
            <w:pPr>
              <w:pStyle w:val="TableText"/>
              <w:keepNext w:val="0"/>
            </w:pPr>
          </w:p>
        </w:tc>
        <w:tc>
          <w:tcPr>
            <w:tcW w:w="2954" w:type="dxa"/>
            <w:vAlign w:val="center"/>
          </w:tcPr>
          <w:p w:rsidR="001941E2" w:rsidRPr="005802E9" w:rsidRDefault="001941E2" w:rsidP="00BF6713">
            <w:pPr>
              <w:pStyle w:val="TableText"/>
              <w:keepNext w:val="0"/>
            </w:pPr>
            <w:r w:rsidRPr="005802E9">
              <w:t>To ISGA 2+ cease Tx: 5.9%</w:t>
            </w:r>
          </w:p>
        </w:tc>
        <w:tc>
          <w:tcPr>
            <w:tcW w:w="4430" w:type="dxa"/>
            <w:vMerge/>
            <w:vAlign w:val="center"/>
          </w:tcPr>
          <w:p w:rsidR="001941E2" w:rsidRPr="005802E9" w:rsidRDefault="001941E2" w:rsidP="00BF6713">
            <w:pPr>
              <w:pStyle w:val="TableText"/>
              <w:keepNext w:val="0"/>
            </w:pPr>
          </w:p>
        </w:tc>
      </w:tr>
      <w:tr w:rsidR="001941E2" w:rsidRPr="005802E9" w:rsidTr="00BF6713">
        <w:tc>
          <w:tcPr>
            <w:tcW w:w="1633" w:type="dxa"/>
            <w:vAlign w:val="center"/>
          </w:tcPr>
          <w:p w:rsidR="001941E2" w:rsidRPr="005802E9" w:rsidRDefault="001941E2" w:rsidP="00BF6713">
            <w:pPr>
              <w:pStyle w:val="TableText"/>
              <w:keepNext w:val="0"/>
            </w:pPr>
            <w:r w:rsidRPr="005802E9">
              <w:t>ISGA 0/1 cease Tx</w:t>
            </w:r>
          </w:p>
        </w:tc>
        <w:tc>
          <w:tcPr>
            <w:tcW w:w="2954" w:type="dxa"/>
            <w:vAlign w:val="center"/>
          </w:tcPr>
          <w:p w:rsidR="001941E2" w:rsidRPr="005802E9" w:rsidRDefault="001941E2" w:rsidP="00BF6713">
            <w:pPr>
              <w:pStyle w:val="TableText"/>
              <w:keepNext w:val="0"/>
            </w:pPr>
            <w:r w:rsidRPr="005802E9">
              <w:t>Remain in ISGA 0/1 cease Tx: 100%</w:t>
            </w:r>
          </w:p>
        </w:tc>
        <w:tc>
          <w:tcPr>
            <w:tcW w:w="4430" w:type="dxa"/>
            <w:vAlign w:val="center"/>
          </w:tcPr>
          <w:p w:rsidR="001941E2" w:rsidRPr="005802E9" w:rsidRDefault="001941E2" w:rsidP="00BF6713">
            <w:pPr>
              <w:pStyle w:val="TableText"/>
              <w:keepNext w:val="0"/>
            </w:pPr>
            <w:r w:rsidRPr="005802E9">
              <w:t>Assumed</w:t>
            </w:r>
          </w:p>
        </w:tc>
      </w:tr>
      <w:tr w:rsidR="001941E2" w:rsidRPr="005802E9" w:rsidTr="00BF6713">
        <w:tc>
          <w:tcPr>
            <w:tcW w:w="1633" w:type="dxa"/>
            <w:vAlign w:val="center"/>
          </w:tcPr>
          <w:p w:rsidR="001941E2" w:rsidRPr="005802E9" w:rsidRDefault="001941E2" w:rsidP="00BF6713">
            <w:pPr>
              <w:pStyle w:val="TableText"/>
              <w:keepNext w:val="0"/>
            </w:pPr>
            <w:r w:rsidRPr="005802E9">
              <w:t>ISGA 2+ cease Tx</w:t>
            </w:r>
          </w:p>
        </w:tc>
        <w:tc>
          <w:tcPr>
            <w:tcW w:w="2954" w:type="dxa"/>
            <w:vAlign w:val="center"/>
          </w:tcPr>
          <w:p w:rsidR="001941E2" w:rsidRPr="005802E9" w:rsidRDefault="001941E2" w:rsidP="00BF6713">
            <w:pPr>
              <w:pStyle w:val="TableText"/>
              <w:keepNext w:val="0"/>
            </w:pPr>
            <w:r w:rsidRPr="005802E9">
              <w:t>Remain in ISGA 0/1 cease Tx: 100%</w:t>
            </w:r>
          </w:p>
        </w:tc>
        <w:tc>
          <w:tcPr>
            <w:tcW w:w="4430" w:type="dxa"/>
            <w:vAlign w:val="center"/>
          </w:tcPr>
          <w:p w:rsidR="001941E2" w:rsidRPr="005802E9" w:rsidRDefault="001941E2" w:rsidP="00BF6713">
            <w:pPr>
              <w:pStyle w:val="TableText"/>
              <w:keepNext w:val="0"/>
            </w:pPr>
            <w:r w:rsidRPr="005802E9">
              <w:t>Assumed</w:t>
            </w:r>
          </w:p>
        </w:tc>
      </w:tr>
      <w:tr w:rsidR="001941E2" w:rsidRPr="005802E9" w:rsidTr="00BF6713">
        <w:tc>
          <w:tcPr>
            <w:tcW w:w="9017" w:type="dxa"/>
            <w:gridSpan w:val="3"/>
            <w:vAlign w:val="center"/>
          </w:tcPr>
          <w:p w:rsidR="001941E2" w:rsidRPr="005802E9" w:rsidRDefault="001941E2" w:rsidP="00BF6713">
            <w:pPr>
              <w:pStyle w:val="TableText"/>
              <w:keepNext w:val="0"/>
              <w:rPr>
                <w:b/>
              </w:rPr>
            </w:pPr>
            <w:r w:rsidRPr="005802E9">
              <w:rPr>
                <w:b/>
              </w:rPr>
              <w:t>Standard management</w:t>
            </w:r>
          </w:p>
        </w:tc>
      </w:tr>
      <w:tr w:rsidR="001941E2" w:rsidRPr="005802E9" w:rsidTr="00BF6713">
        <w:trPr>
          <w:trHeight w:val="299"/>
        </w:trPr>
        <w:tc>
          <w:tcPr>
            <w:tcW w:w="1633" w:type="dxa"/>
            <w:vMerge w:val="restart"/>
            <w:vAlign w:val="center"/>
          </w:tcPr>
          <w:p w:rsidR="001941E2" w:rsidRPr="005802E9" w:rsidRDefault="001941E2" w:rsidP="00BF6713">
            <w:pPr>
              <w:pStyle w:val="TableText"/>
              <w:keepNext w:val="0"/>
            </w:pPr>
            <w:r w:rsidRPr="005802E9">
              <w:t>ISGA 0/1 pause Tx</w:t>
            </w:r>
          </w:p>
        </w:tc>
        <w:tc>
          <w:tcPr>
            <w:tcW w:w="2954" w:type="dxa"/>
            <w:vAlign w:val="center"/>
          </w:tcPr>
          <w:p w:rsidR="001941E2" w:rsidRPr="005802E9" w:rsidRDefault="001941E2" w:rsidP="00BF6713">
            <w:pPr>
              <w:pStyle w:val="TableText"/>
              <w:keepNext w:val="0"/>
            </w:pPr>
            <w:r w:rsidRPr="005802E9">
              <w:t>Remain in ISGA 0/1 pause Tx: 61.3%</w:t>
            </w:r>
          </w:p>
        </w:tc>
        <w:tc>
          <w:tcPr>
            <w:tcW w:w="4430" w:type="dxa"/>
            <w:vMerge w:val="restart"/>
            <w:vAlign w:val="center"/>
          </w:tcPr>
          <w:p w:rsidR="001941E2" w:rsidRPr="005802E9" w:rsidRDefault="001941E2" w:rsidP="00BF6713">
            <w:pPr>
              <w:pStyle w:val="TableText"/>
              <w:keepNext w:val="0"/>
            </w:pPr>
            <w:r w:rsidRPr="005802E9">
              <w:t>Based on post-hoc analyses of the AD-303 extension study and assumptions. Same as the crisaborole a</w:t>
            </w:r>
            <w:r w:rsidR="00672152" w:rsidRPr="005802E9">
              <w:t>rm.</w:t>
            </w:r>
          </w:p>
        </w:tc>
      </w:tr>
      <w:tr w:rsidR="001941E2" w:rsidRPr="005802E9" w:rsidTr="00BF6713">
        <w:trPr>
          <w:trHeight w:val="299"/>
        </w:trPr>
        <w:tc>
          <w:tcPr>
            <w:tcW w:w="1633" w:type="dxa"/>
            <w:vMerge/>
            <w:vAlign w:val="center"/>
          </w:tcPr>
          <w:p w:rsidR="001941E2" w:rsidRPr="005802E9" w:rsidRDefault="001941E2" w:rsidP="00BF6713">
            <w:pPr>
              <w:pStyle w:val="TableText"/>
            </w:pPr>
          </w:p>
        </w:tc>
        <w:tc>
          <w:tcPr>
            <w:tcW w:w="2954" w:type="dxa"/>
            <w:vAlign w:val="center"/>
          </w:tcPr>
          <w:p w:rsidR="001941E2" w:rsidRPr="005802E9" w:rsidRDefault="001941E2" w:rsidP="00BF6713">
            <w:pPr>
              <w:pStyle w:val="TableText"/>
              <w:keepNext w:val="0"/>
            </w:pPr>
            <w:r w:rsidRPr="005802E9">
              <w:t>To ISGA 0/1 cease Tx: 3.6%</w:t>
            </w:r>
          </w:p>
        </w:tc>
        <w:tc>
          <w:tcPr>
            <w:tcW w:w="4430" w:type="dxa"/>
            <w:vMerge/>
            <w:vAlign w:val="center"/>
          </w:tcPr>
          <w:p w:rsidR="001941E2" w:rsidRPr="005802E9" w:rsidRDefault="001941E2" w:rsidP="00BF6713">
            <w:pPr>
              <w:pStyle w:val="TableText"/>
            </w:pPr>
          </w:p>
        </w:tc>
      </w:tr>
      <w:tr w:rsidR="001941E2" w:rsidRPr="005802E9" w:rsidTr="00BF6713">
        <w:trPr>
          <w:trHeight w:val="300"/>
        </w:trPr>
        <w:tc>
          <w:tcPr>
            <w:tcW w:w="1633" w:type="dxa"/>
            <w:vMerge/>
            <w:vAlign w:val="center"/>
          </w:tcPr>
          <w:p w:rsidR="001941E2" w:rsidRPr="005802E9" w:rsidRDefault="001941E2" w:rsidP="00BF6713">
            <w:pPr>
              <w:pStyle w:val="TableText"/>
              <w:keepNext w:val="0"/>
            </w:pPr>
          </w:p>
        </w:tc>
        <w:tc>
          <w:tcPr>
            <w:tcW w:w="2954" w:type="dxa"/>
            <w:vAlign w:val="center"/>
          </w:tcPr>
          <w:p w:rsidR="001941E2" w:rsidRPr="005802E9" w:rsidRDefault="001941E2" w:rsidP="00BF6713">
            <w:pPr>
              <w:pStyle w:val="TableText"/>
              <w:keepNext w:val="0"/>
            </w:pPr>
            <w:r w:rsidRPr="005802E9">
              <w:t>To ISGA 2+ on Tx: 35.1%</w:t>
            </w:r>
          </w:p>
        </w:tc>
        <w:tc>
          <w:tcPr>
            <w:tcW w:w="4430" w:type="dxa"/>
            <w:vMerge/>
            <w:vAlign w:val="center"/>
          </w:tcPr>
          <w:p w:rsidR="001941E2" w:rsidRPr="005802E9" w:rsidRDefault="001941E2" w:rsidP="00BF6713">
            <w:pPr>
              <w:pStyle w:val="TableText"/>
              <w:keepNext w:val="0"/>
            </w:pPr>
          </w:p>
        </w:tc>
      </w:tr>
      <w:tr w:rsidR="001941E2" w:rsidRPr="005802E9" w:rsidTr="00BF6713">
        <w:tc>
          <w:tcPr>
            <w:tcW w:w="1633" w:type="dxa"/>
            <w:vAlign w:val="center"/>
          </w:tcPr>
          <w:p w:rsidR="001941E2" w:rsidRPr="005802E9" w:rsidRDefault="001941E2" w:rsidP="00BF6713">
            <w:pPr>
              <w:pStyle w:val="TableText"/>
              <w:keepNext w:val="0"/>
            </w:pPr>
            <w:r w:rsidRPr="005802E9">
              <w:t>ISGA 0/1 cease Tx</w:t>
            </w:r>
          </w:p>
        </w:tc>
        <w:tc>
          <w:tcPr>
            <w:tcW w:w="2954" w:type="dxa"/>
            <w:vAlign w:val="center"/>
          </w:tcPr>
          <w:p w:rsidR="001941E2" w:rsidRPr="005802E9" w:rsidRDefault="001941E2" w:rsidP="00BF6713">
            <w:pPr>
              <w:pStyle w:val="TableText"/>
              <w:keepNext w:val="0"/>
            </w:pPr>
            <w:r w:rsidRPr="005802E9">
              <w:t>Remain in ISGA 0/1 cease Tx: 100%</w:t>
            </w:r>
          </w:p>
        </w:tc>
        <w:tc>
          <w:tcPr>
            <w:tcW w:w="4430" w:type="dxa"/>
            <w:vAlign w:val="center"/>
          </w:tcPr>
          <w:p w:rsidR="001941E2" w:rsidRPr="005802E9" w:rsidRDefault="001941E2" w:rsidP="00BF6713">
            <w:pPr>
              <w:pStyle w:val="TableText"/>
              <w:keepNext w:val="0"/>
            </w:pPr>
            <w:r w:rsidRPr="005802E9">
              <w:t>Assumed</w:t>
            </w:r>
          </w:p>
        </w:tc>
      </w:tr>
      <w:tr w:rsidR="001941E2" w:rsidRPr="005802E9" w:rsidTr="00BF6713">
        <w:tc>
          <w:tcPr>
            <w:tcW w:w="1633" w:type="dxa"/>
            <w:vMerge w:val="restart"/>
            <w:vAlign w:val="center"/>
          </w:tcPr>
          <w:p w:rsidR="001941E2" w:rsidRPr="005802E9" w:rsidRDefault="001941E2" w:rsidP="00BF6713">
            <w:pPr>
              <w:pStyle w:val="TableText"/>
              <w:keepNext w:val="0"/>
            </w:pPr>
            <w:r w:rsidRPr="005802E9">
              <w:t>ISGA 2+ on Tx</w:t>
            </w:r>
          </w:p>
        </w:tc>
        <w:tc>
          <w:tcPr>
            <w:tcW w:w="2954" w:type="dxa"/>
            <w:vAlign w:val="center"/>
          </w:tcPr>
          <w:p w:rsidR="001941E2" w:rsidRPr="005802E9" w:rsidRDefault="001941E2" w:rsidP="00BF6713">
            <w:pPr>
              <w:pStyle w:val="TableText"/>
              <w:keepNext w:val="0"/>
            </w:pPr>
            <w:r w:rsidRPr="005802E9">
              <w:t>Remain in ISGA 2+ on Tx: 70.9%</w:t>
            </w:r>
          </w:p>
        </w:tc>
        <w:tc>
          <w:tcPr>
            <w:tcW w:w="4430" w:type="dxa"/>
            <w:vAlign w:val="center"/>
          </w:tcPr>
          <w:p w:rsidR="001941E2" w:rsidRPr="005802E9" w:rsidRDefault="001941E2" w:rsidP="00BF6713">
            <w:pPr>
              <w:pStyle w:val="TableText"/>
              <w:keepNext w:val="0"/>
            </w:pPr>
            <w:r w:rsidRPr="005802E9">
              <w:t>Calculated as the complement of other transitions (100% - 16.9% - 12.3% = 70.9%).</w:t>
            </w:r>
          </w:p>
        </w:tc>
      </w:tr>
      <w:tr w:rsidR="001941E2" w:rsidRPr="005802E9" w:rsidTr="00BF6713">
        <w:tc>
          <w:tcPr>
            <w:tcW w:w="1633" w:type="dxa"/>
            <w:vMerge/>
            <w:vAlign w:val="center"/>
          </w:tcPr>
          <w:p w:rsidR="001941E2" w:rsidRPr="005802E9" w:rsidRDefault="001941E2" w:rsidP="00BF6713">
            <w:pPr>
              <w:pStyle w:val="TableText"/>
            </w:pPr>
          </w:p>
        </w:tc>
        <w:tc>
          <w:tcPr>
            <w:tcW w:w="2954" w:type="dxa"/>
            <w:vAlign w:val="center"/>
          </w:tcPr>
          <w:p w:rsidR="001941E2" w:rsidRPr="005802E9" w:rsidRDefault="001941E2" w:rsidP="00BF6713">
            <w:pPr>
              <w:pStyle w:val="TableText"/>
              <w:keepNext w:val="0"/>
            </w:pPr>
            <w:r w:rsidRPr="005802E9">
              <w:t>To ISGA 0/1 pause Tx: 16.9%</w:t>
            </w:r>
          </w:p>
          <w:p w:rsidR="001941E2" w:rsidRPr="005802E9" w:rsidRDefault="001941E2" w:rsidP="00BF6713">
            <w:pPr>
              <w:pStyle w:val="TableText"/>
              <w:keepNext w:val="0"/>
            </w:pPr>
            <w:r w:rsidRPr="005802E9">
              <w:t>[20.7%]</w:t>
            </w:r>
          </w:p>
        </w:tc>
        <w:tc>
          <w:tcPr>
            <w:tcW w:w="4430" w:type="dxa"/>
            <w:vAlign w:val="center"/>
          </w:tcPr>
          <w:p w:rsidR="001941E2" w:rsidRPr="005802E9" w:rsidRDefault="001941E2" w:rsidP="00BF6713">
            <w:pPr>
              <w:pStyle w:val="TableText"/>
              <w:keepNext w:val="0"/>
            </w:pPr>
            <w:r w:rsidRPr="005802E9">
              <w:t xml:space="preserve">Based on relative difference in ISGA 0/1 pause Tx probability in Cycle 1: probability of ISGA 0/1 pause Tx in the crisaborole arm (24.6%) multiplied by the relative difference (0.686). </w:t>
            </w:r>
          </w:p>
        </w:tc>
      </w:tr>
      <w:tr w:rsidR="001941E2" w:rsidRPr="005802E9" w:rsidTr="00BF6713">
        <w:tc>
          <w:tcPr>
            <w:tcW w:w="1633" w:type="dxa"/>
            <w:vMerge/>
            <w:vAlign w:val="center"/>
          </w:tcPr>
          <w:p w:rsidR="001941E2" w:rsidRPr="005802E9" w:rsidRDefault="001941E2" w:rsidP="00BF6713">
            <w:pPr>
              <w:pStyle w:val="TableText"/>
              <w:keepNext w:val="0"/>
            </w:pPr>
          </w:p>
        </w:tc>
        <w:tc>
          <w:tcPr>
            <w:tcW w:w="2954" w:type="dxa"/>
            <w:vAlign w:val="center"/>
          </w:tcPr>
          <w:p w:rsidR="001941E2" w:rsidRPr="005802E9" w:rsidRDefault="001941E2" w:rsidP="00BF6713">
            <w:pPr>
              <w:pStyle w:val="TableText"/>
              <w:keepNext w:val="0"/>
            </w:pPr>
            <w:r w:rsidRPr="005802E9">
              <w:t>To ISGA 2+ cease Tx: 12.3%</w:t>
            </w:r>
          </w:p>
          <w:p w:rsidR="001941E2" w:rsidRPr="005802E9" w:rsidRDefault="001941E2" w:rsidP="00BF6713">
            <w:pPr>
              <w:pStyle w:val="TableText"/>
              <w:keepNext w:val="0"/>
            </w:pPr>
            <w:r w:rsidRPr="005802E9">
              <w:t>[6.15%]</w:t>
            </w:r>
          </w:p>
        </w:tc>
        <w:tc>
          <w:tcPr>
            <w:tcW w:w="4430" w:type="dxa"/>
            <w:vAlign w:val="center"/>
          </w:tcPr>
          <w:p w:rsidR="001941E2" w:rsidRPr="005802E9" w:rsidRDefault="001941E2" w:rsidP="00BF6713">
            <w:pPr>
              <w:pStyle w:val="TableText"/>
              <w:keepNext w:val="0"/>
            </w:pPr>
            <w:r w:rsidRPr="005802E9">
              <w:t xml:space="preserve">Based on relative difference in ISGA 2+ cease Tx probability in Cycle 1: probability of ISGA 2+ on Tx to ISGA 2+ cease Tx in the crisaborole arm (5.9%) multiplied by the relative difference (2.1). </w:t>
            </w:r>
          </w:p>
        </w:tc>
      </w:tr>
      <w:tr w:rsidR="001941E2" w:rsidRPr="005802E9" w:rsidTr="00BF6713">
        <w:tc>
          <w:tcPr>
            <w:tcW w:w="1633" w:type="dxa"/>
            <w:vAlign w:val="center"/>
          </w:tcPr>
          <w:p w:rsidR="001941E2" w:rsidRPr="005802E9" w:rsidRDefault="001941E2" w:rsidP="00BF6713">
            <w:pPr>
              <w:pStyle w:val="TableText"/>
              <w:keepNext w:val="0"/>
            </w:pPr>
            <w:r w:rsidRPr="005802E9">
              <w:t>ISGA 2+ cease Tx</w:t>
            </w:r>
          </w:p>
        </w:tc>
        <w:tc>
          <w:tcPr>
            <w:tcW w:w="2954" w:type="dxa"/>
            <w:vAlign w:val="center"/>
          </w:tcPr>
          <w:p w:rsidR="001941E2" w:rsidRPr="005802E9" w:rsidRDefault="001941E2" w:rsidP="00BF6713">
            <w:pPr>
              <w:pStyle w:val="TableText"/>
              <w:keepNext w:val="0"/>
            </w:pPr>
            <w:r w:rsidRPr="005802E9">
              <w:t>Remain in ISGA 0/1 cease Tx: 100%</w:t>
            </w:r>
          </w:p>
        </w:tc>
        <w:tc>
          <w:tcPr>
            <w:tcW w:w="4430" w:type="dxa"/>
            <w:vAlign w:val="center"/>
          </w:tcPr>
          <w:p w:rsidR="001941E2" w:rsidRPr="005802E9" w:rsidRDefault="001941E2" w:rsidP="00BF6713">
            <w:pPr>
              <w:pStyle w:val="TableText"/>
              <w:keepNext w:val="0"/>
            </w:pPr>
            <w:r w:rsidRPr="005802E9">
              <w:t>Assumed</w:t>
            </w:r>
          </w:p>
        </w:tc>
      </w:tr>
    </w:tbl>
    <w:p w:rsidR="003E7509" w:rsidRPr="007137EC" w:rsidRDefault="003E7509" w:rsidP="003E7509">
      <w:pPr>
        <w:pStyle w:val="TableFooter"/>
      </w:pPr>
      <w:r w:rsidRPr="007137EC">
        <w:t>*</w:t>
      </w:r>
      <w:r w:rsidRPr="007137EC">
        <w:rPr>
          <w:shd w:val="clear" w:color="auto" w:fill="FFFFFF"/>
        </w:rPr>
        <w:t xml:space="preserve"> Note that the results presented in Table 13 are derived from post-hoc analyses conducted by the applicant specifically for the purposes of informing the PBAC consideration. These analyses were not part of the pre-specified statistical plan for Studies AD-301, AD-302 or AD-303.  Interpretation of the results and their application should therefore be limited to seeking to understand the basis for the PBAC outcome and should not be used for any other purpose.</w:t>
      </w:r>
    </w:p>
    <w:p w:rsidR="001941E2" w:rsidRPr="005802E9" w:rsidRDefault="001941E2" w:rsidP="0061230C">
      <w:pPr>
        <w:pStyle w:val="BodyText"/>
      </w:pPr>
    </w:p>
    <w:p w:rsidR="003B20AB" w:rsidRDefault="00EF40A9" w:rsidP="003B20AB">
      <w:pPr>
        <w:pStyle w:val="ExecSumBodyText"/>
      </w:pPr>
      <w:r w:rsidRPr="005802E9">
        <w:t xml:space="preserve">The transition probabilities used in the model were highly uncertain due to </w:t>
      </w:r>
      <w:r w:rsidR="003B20AB">
        <w:t>assumptions made regarding missing data, discontinuation rates and efficacy in patients who cease treatment, and the relative efficacy for model cycle 2 onwards.</w:t>
      </w:r>
    </w:p>
    <w:p w:rsidR="00463175" w:rsidRPr="005802E9" w:rsidRDefault="00EF40A9" w:rsidP="003B20AB">
      <w:pPr>
        <w:pStyle w:val="ExecSumBodyText"/>
      </w:pPr>
      <w:r w:rsidRPr="005802E9">
        <w:t xml:space="preserve">The resubmission assumed that all patients entering the ISGA 0/1 or ISGA 2+ cease treatment states either remained in those states or died. This approach </w:t>
      </w:r>
      <w:r w:rsidR="00314C99" w:rsidRPr="005802E9">
        <w:t>assumes</w:t>
      </w:r>
      <w:r w:rsidRPr="005802E9">
        <w:t xml:space="preserve"> that patients in the ISGA 0/1 cease treatment state </w:t>
      </w:r>
      <w:r w:rsidR="002B208E" w:rsidRPr="005802E9">
        <w:t>have long-term control of symptoms without the need for ongoing treatment</w:t>
      </w:r>
      <w:r w:rsidRPr="005802E9">
        <w:t xml:space="preserve"> and those entering the ISGA </w:t>
      </w:r>
      <w:r w:rsidR="00F54BA0" w:rsidRPr="005802E9">
        <w:t>2</w:t>
      </w:r>
      <w:r w:rsidRPr="005802E9">
        <w:t xml:space="preserve">+ cease treatment state have permanent failure to treatment. There were no data provided in support of these assumptions. </w:t>
      </w:r>
      <w:r w:rsidR="00463175" w:rsidRPr="005802E9">
        <w:t>The ESC considered that the assumption that patients who discontinued from the AD-303 study ceased treatment for the remainder of the model’s time horizon AND remained in the same ISGA state did not appear to be consistent with the nature of AD and was not adequately supported by the available data.</w:t>
      </w:r>
    </w:p>
    <w:p w:rsidR="00083688" w:rsidRPr="005802E9" w:rsidRDefault="00FB0269" w:rsidP="001A1B85">
      <w:pPr>
        <w:pStyle w:val="ExecSumBodyText"/>
      </w:pPr>
      <w:r w:rsidRPr="005802E9">
        <w:t xml:space="preserve">The estimated disease management costs for the ISGA 2+ (mild to severe) health states were highly uncertain </w:t>
      </w:r>
      <w:r w:rsidR="001A1B85" w:rsidRPr="005802E9">
        <w:t xml:space="preserve">and appeared to be overestimated </w:t>
      </w:r>
      <w:r w:rsidRPr="005802E9">
        <w:t xml:space="preserve">due to </w:t>
      </w:r>
      <w:r w:rsidR="001A1B85" w:rsidRPr="005802E9">
        <w:t xml:space="preserve">use of data </w:t>
      </w:r>
      <w:r w:rsidR="001A1B85" w:rsidRPr="005802E9">
        <w:lastRenderedPageBreak/>
        <w:t>with questionable applicability and generalisability to the model health states and population</w:t>
      </w:r>
      <w:r w:rsidR="005802E9">
        <w:t xml:space="preserve">. </w:t>
      </w:r>
      <w:r w:rsidR="001A1B85" w:rsidRPr="005802E9">
        <w:t xml:space="preserve">The PBAC noted that estimated costs were primarily driven by an average of 3.4 days of hospitalisation per year, which was inconsistent with trial data suggesting a very low incidence of serious adverse events (less than 1% of patients in the key trials and 2% in the extension study). It was also unclear whether the average number of GP visits (13 per year) was representative of the population with ISGA 2+ who mostly had mild disease. </w:t>
      </w:r>
      <w:r w:rsidR="00083688" w:rsidRPr="005802E9">
        <w:t xml:space="preserve">The ESC considered that </w:t>
      </w:r>
      <w:r w:rsidR="0083639C" w:rsidRPr="005802E9">
        <w:t>the disease management costs for the ISGA 2+ health states did not appear</w:t>
      </w:r>
      <w:r w:rsidR="00083688" w:rsidRPr="005802E9">
        <w:t xml:space="preserve"> reasonable and that </w:t>
      </w:r>
      <w:r w:rsidR="0083639C" w:rsidRPr="005802E9">
        <w:t>if data from Su et al were used,</w:t>
      </w:r>
      <w:r w:rsidR="00083688" w:rsidRPr="005802E9">
        <w:t xml:space="preserve"> costs for patients w</w:t>
      </w:r>
      <w:r w:rsidR="0083639C" w:rsidRPr="005802E9">
        <w:t>ith mild AD appear to be more representative of</w:t>
      </w:r>
      <w:r w:rsidR="00083688" w:rsidRPr="005802E9">
        <w:t xml:space="preserve"> the population with ISGA 2+.</w:t>
      </w:r>
    </w:p>
    <w:p w:rsidR="00DB67CF" w:rsidRPr="005802E9" w:rsidRDefault="00FB0269" w:rsidP="001A1B85">
      <w:pPr>
        <w:pStyle w:val="ExecSumBodyText"/>
      </w:pPr>
      <w:r w:rsidRPr="005802E9">
        <w:t xml:space="preserve">The resubmission claimed there were no quality of life data reported in the trials and therefore identified studies reporting utilities based on </w:t>
      </w:r>
      <w:r w:rsidR="005E7A11" w:rsidRPr="005802E9">
        <w:t xml:space="preserve">a </w:t>
      </w:r>
      <w:r w:rsidRPr="005802E9">
        <w:t>literature search conducted to identify published economic evaluations for the treatment of atopic dermatitis.</w:t>
      </w:r>
      <w:r w:rsidR="00F74573" w:rsidRPr="005802E9">
        <w:t xml:space="preserve"> However, t</w:t>
      </w:r>
      <w:r w:rsidRPr="005802E9">
        <w:t xml:space="preserve">he trials reported results from age-dependent dermatology-related quality of life questionnaires suggesting improvements in quality of life scores from baseline in both arms. </w:t>
      </w:r>
      <w:r w:rsidR="00F74573" w:rsidRPr="005802E9">
        <w:t>T</w:t>
      </w:r>
      <w:r w:rsidRPr="005802E9">
        <w:t>he clinical importance of the difference between arms was unclear.</w:t>
      </w:r>
    </w:p>
    <w:p w:rsidR="00FB0269" w:rsidRPr="005802E9" w:rsidRDefault="00FB0269" w:rsidP="00FB0269">
      <w:pPr>
        <w:pStyle w:val="ExecSumBodyText"/>
      </w:pPr>
      <w:r w:rsidRPr="005802E9">
        <w:t>The sources used to derive the utility estimates were unchanged from the previous submission. The ESC previously noted that the utility values obtained from the literature may have limited applicability to health states based on ISGA score (paragraph 6.53, crisaborole PSD, November 2018 PBAC meeting).</w:t>
      </w:r>
      <w:r w:rsidR="00A2661C" w:rsidRPr="005802E9">
        <w:t xml:space="preserve"> </w:t>
      </w:r>
    </w:p>
    <w:p w:rsidR="00FB0269" w:rsidRPr="005802E9" w:rsidRDefault="00FB0269" w:rsidP="00FB0269">
      <w:pPr>
        <w:pStyle w:val="ExecSumBodyText"/>
      </w:pPr>
      <w:r w:rsidRPr="005802E9">
        <w:t>The resubmission used the calculated estimates for ISGA 3 (moderate disease) as the utility values for the ISGA 2+ health states (mild to severe disease) in the base case. This assumption was inconsistent with the trial data suggesting the majority of mild to severe patients had ISGA 2 (approximately 60-70%), a smaller proportion with ISGA 3 (approximately 25-30%) and a very small number of patients with ISGA 4 (approximately 1%).</w:t>
      </w:r>
      <w:r w:rsidR="00083688" w:rsidRPr="005802E9">
        <w:rPr>
          <w:i/>
        </w:rPr>
        <w:t xml:space="preserve"> </w:t>
      </w:r>
    </w:p>
    <w:p w:rsidR="00A2661C" w:rsidRPr="005802E9" w:rsidRDefault="00A2661C" w:rsidP="00FB0269">
      <w:pPr>
        <w:pStyle w:val="ExecSumBodyText"/>
      </w:pPr>
      <w:r w:rsidRPr="005802E9">
        <w:t>The ESC noted that the utility studies are variable in method and outputs and considered that the studies by Healy (2011) and Poo</w:t>
      </w:r>
      <w:r w:rsidR="005A61E4" w:rsidRPr="005802E9">
        <w:t xml:space="preserve">le (2009) appeared most robust. Utilities in Healy 2011 were 0.98, 0.69 and 0.59 in children and 0.867, 0.807 and 0.697 in adults for controlled, moderate and severe AD, respectively. Utilities reported in Poole (2009) were 0.848, 0.769 and 0.760 in mild, moderate and severe AD, respectively. </w:t>
      </w:r>
      <w:r w:rsidR="008738A3" w:rsidRPr="005802E9">
        <w:t xml:space="preserve">The ESC considered that the difference between the ISGA 0/1 health states and the ISGA 2+ health states </w:t>
      </w:r>
      <w:r w:rsidR="00CD6A65" w:rsidRPr="005802E9">
        <w:t xml:space="preserve">in the model </w:t>
      </w:r>
      <w:r w:rsidR="008738A3" w:rsidRPr="005802E9">
        <w:t>may be higher than was reasonable.</w:t>
      </w:r>
    </w:p>
    <w:p w:rsidR="00FB0269" w:rsidRPr="005802E9" w:rsidRDefault="00FB0269" w:rsidP="00FB0269">
      <w:pPr>
        <w:pStyle w:val="ExecSumBodyText"/>
      </w:pPr>
      <w:r w:rsidRPr="005802E9">
        <w:t>Markov traces showing the proportion of patients in the ISGA 0/1 (pause and ceased treatment combined), ISGA 2+ (on and ceased treatment combined) and dead health states over the 3-year time horizon are presented in the figure below.</w:t>
      </w:r>
    </w:p>
    <w:p w:rsidR="00FB0269" w:rsidRPr="005802E9" w:rsidRDefault="00FB0269" w:rsidP="00FB0269">
      <w:pPr>
        <w:pStyle w:val="TableHeading"/>
      </w:pPr>
      <w:r w:rsidRPr="005802E9">
        <w:lastRenderedPageBreak/>
        <w:t xml:space="preserve">Figure </w:t>
      </w:r>
      <w:r w:rsidR="00187263" w:rsidRPr="005802E9">
        <w:t>2</w:t>
      </w:r>
      <w:r w:rsidRPr="005802E9">
        <w:t>: Markov traces of patients in the combined ISGA 0/1 (pause and ceased treatment), combined ISGA 2+ (on and ceased treatment) and dead</w:t>
      </w:r>
      <w:r w:rsidRPr="005802E9">
        <w:rPr>
          <w:noProof/>
          <w:lang w:eastAsia="en-AU"/>
        </w:rPr>
        <w:drawing>
          <wp:inline distT="0" distB="0" distL="0" distR="0" wp14:anchorId="1BA61AB5" wp14:editId="4E5B5111">
            <wp:extent cx="5369596" cy="3026780"/>
            <wp:effectExtent l="0" t="0" r="2540" b="2540"/>
            <wp:docPr id="8" name="Picture 8" title="Figure 2: Markov traces of patients in the combined ISGA 0/1 (pause and ceased treatment), combined ISGA 2+ (on and ceased treatment) and d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6952" cy="3036563"/>
                    </a:xfrm>
                    <a:prstGeom prst="rect">
                      <a:avLst/>
                    </a:prstGeom>
                    <a:noFill/>
                  </pic:spPr>
                </pic:pic>
              </a:graphicData>
            </a:graphic>
          </wp:inline>
        </w:drawing>
      </w:r>
    </w:p>
    <w:p w:rsidR="00FB0269" w:rsidRPr="005802E9" w:rsidRDefault="00FB0269" w:rsidP="00FB0269">
      <w:pPr>
        <w:pStyle w:val="TableFooter"/>
      </w:pPr>
      <w:r w:rsidRPr="005802E9">
        <w:t>Source: Figure 3.8.2, p145 of the resubmission</w:t>
      </w:r>
    </w:p>
    <w:p w:rsidR="00FB0269" w:rsidRPr="005802E9" w:rsidRDefault="00FB0269" w:rsidP="00FB0269">
      <w:pPr>
        <w:pStyle w:val="TableFooter"/>
        <w:spacing w:after="120"/>
      </w:pPr>
      <w:r w:rsidRPr="005802E9">
        <w:t>Abbreviation: ISGA, Investigator’s Static Global Assessment</w:t>
      </w:r>
    </w:p>
    <w:p w:rsidR="005A373D" w:rsidRPr="005802E9" w:rsidRDefault="00FB0269" w:rsidP="00FB0269">
      <w:pPr>
        <w:pStyle w:val="ExecSumBodyText"/>
      </w:pPr>
      <w:r w:rsidRPr="005802E9">
        <w:t>The Markov trace shows the treatment effect of crisaborole peaked at 4 weeks, with ongoing benefits over the modelled duration. The treatment benefit appears to converge from 4 weeks to approximately 12 weeks and then increases over time. The ongoing benefits are primarily driven by the ongoing accumulation of patients in the ISGA 0/1 cease treatment and ISGA 2+ cease treatment health states.</w:t>
      </w:r>
    </w:p>
    <w:p w:rsidR="00696334" w:rsidRPr="005802E9" w:rsidRDefault="00696334" w:rsidP="00696334">
      <w:pPr>
        <w:pStyle w:val="ExecSumBodyText"/>
      </w:pPr>
      <w:r w:rsidRPr="005802E9">
        <w:t xml:space="preserve">The table below presents the results of the economic evaluation, recalculated during the evaluation </w:t>
      </w:r>
      <w:r w:rsidR="000401DB" w:rsidRPr="005802E9">
        <w:t>to correct</w:t>
      </w:r>
      <w:r w:rsidRPr="005802E9">
        <w:t xml:space="preserve"> an error in disease management cost estimates in the resubmission.</w:t>
      </w:r>
    </w:p>
    <w:p w:rsidR="00696334" w:rsidRPr="005802E9" w:rsidRDefault="00696334" w:rsidP="00696334">
      <w:pPr>
        <w:pStyle w:val="TableFigureCaption"/>
      </w:pPr>
      <w:r w:rsidRPr="005802E9">
        <w:t xml:space="preserve">Table </w:t>
      </w:r>
      <w:r w:rsidR="004736E5" w:rsidRPr="005802E9">
        <w:t>1</w:t>
      </w:r>
      <w:r w:rsidR="00A15EA2" w:rsidRPr="005802E9">
        <w:t>5</w:t>
      </w:r>
      <w:r w:rsidRPr="005802E9">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696334" w:rsidRPr="005802E9" w:rsidTr="00696334">
        <w:trPr>
          <w:tblHeader/>
        </w:trPr>
        <w:tc>
          <w:tcPr>
            <w:tcW w:w="1529" w:type="pct"/>
            <w:vAlign w:val="center"/>
          </w:tcPr>
          <w:p w:rsidR="00696334" w:rsidRPr="005802E9" w:rsidRDefault="00696334" w:rsidP="00696334">
            <w:pPr>
              <w:pStyle w:val="Tableheadingrow"/>
              <w:rPr>
                <w:lang w:val="en-AU"/>
              </w:rPr>
            </w:pPr>
            <w:r w:rsidRPr="005802E9">
              <w:rPr>
                <w:lang w:val="en-AU"/>
              </w:rPr>
              <w:t>Component</w:t>
            </w:r>
          </w:p>
        </w:tc>
        <w:tc>
          <w:tcPr>
            <w:tcW w:w="1359" w:type="pct"/>
            <w:vAlign w:val="center"/>
          </w:tcPr>
          <w:p w:rsidR="00696334" w:rsidRPr="005802E9" w:rsidRDefault="00696334" w:rsidP="00696334">
            <w:pPr>
              <w:pStyle w:val="Tableheadingrow"/>
              <w:jc w:val="center"/>
              <w:rPr>
                <w:lang w:val="en-AU"/>
              </w:rPr>
            </w:pPr>
            <w:r w:rsidRPr="005802E9">
              <w:rPr>
                <w:lang w:val="en-AU"/>
              </w:rPr>
              <w:t>Crisaborole</w:t>
            </w:r>
          </w:p>
        </w:tc>
        <w:tc>
          <w:tcPr>
            <w:tcW w:w="1274" w:type="pct"/>
            <w:vAlign w:val="center"/>
          </w:tcPr>
          <w:p w:rsidR="00696334" w:rsidRPr="005802E9" w:rsidRDefault="00696334" w:rsidP="00696334">
            <w:pPr>
              <w:pStyle w:val="Tableheadingrow"/>
              <w:jc w:val="center"/>
              <w:rPr>
                <w:lang w:val="en-AU"/>
              </w:rPr>
            </w:pPr>
            <w:r w:rsidRPr="005802E9">
              <w:rPr>
                <w:lang w:val="en-AU"/>
              </w:rPr>
              <w:t>Standard management</w:t>
            </w:r>
          </w:p>
        </w:tc>
        <w:tc>
          <w:tcPr>
            <w:tcW w:w="838" w:type="pct"/>
            <w:vAlign w:val="center"/>
          </w:tcPr>
          <w:p w:rsidR="00696334" w:rsidRPr="005802E9" w:rsidRDefault="00696334" w:rsidP="00696334">
            <w:pPr>
              <w:pStyle w:val="Tableheadingrow"/>
              <w:jc w:val="center"/>
              <w:rPr>
                <w:lang w:val="en-AU"/>
              </w:rPr>
            </w:pPr>
            <w:r w:rsidRPr="005802E9">
              <w:rPr>
                <w:lang w:val="en-AU"/>
              </w:rPr>
              <w:t>Increment</w:t>
            </w:r>
          </w:p>
        </w:tc>
      </w:tr>
      <w:tr w:rsidR="00696334" w:rsidRPr="005802E9" w:rsidTr="00696334">
        <w:tc>
          <w:tcPr>
            <w:tcW w:w="1529" w:type="pct"/>
            <w:vAlign w:val="center"/>
          </w:tcPr>
          <w:p w:rsidR="00696334" w:rsidRPr="005802E9" w:rsidRDefault="00696334" w:rsidP="00696334">
            <w:pPr>
              <w:pStyle w:val="TableText"/>
              <w:rPr>
                <w:rFonts w:ascii="Times" w:hAnsi="Times"/>
              </w:rPr>
            </w:pPr>
            <w:r w:rsidRPr="005802E9">
              <w:t>Costs</w:t>
            </w:r>
          </w:p>
        </w:tc>
        <w:tc>
          <w:tcPr>
            <w:tcW w:w="1359" w:type="pct"/>
            <w:vAlign w:val="center"/>
          </w:tcPr>
          <w:p w:rsidR="00696334" w:rsidRPr="005802E9" w:rsidRDefault="00696334" w:rsidP="00696334">
            <w:pPr>
              <w:pStyle w:val="TableText"/>
              <w:jc w:val="center"/>
              <w:rPr>
                <w:rFonts w:ascii="Times" w:hAnsi="Times"/>
              </w:rPr>
            </w:pPr>
            <w:r w:rsidRPr="005802E9">
              <w:rPr>
                <w:rFonts w:cs="Times New Roman"/>
                <w:szCs w:val="22"/>
                <w:lang w:eastAsia="en-US"/>
              </w:rPr>
              <w:t>$</w:t>
            </w:r>
            <w:r w:rsidR="00EC0E44">
              <w:rPr>
                <w:rFonts w:cs="Times New Roman"/>
                <w:noProof/>
                <w:color w:val="000000"/>
                <w:szCs w:val="22"/>
                <w:highlight w:val="black"/>
                <w:lang w:eastAsia="en-US"/>
              </w:rPr>
              <w:t>'''''''''''''</w:t>
            </w:r>
          </w:p>
        </w:tc>
        <w:tc>
          <w:tcPr>
            <w:tcW w:w="1274" w:type="pct"/>
            <w:vAlign w:val="center"/>
          </w:tcPr>
          <w:p w:rsidR="00696334" w:rsidRPr="005802E9" w:rsidRDefault="00696334" w:rsidP="00696334">
            <w:pPr>
              <w:pStyle w:val="TableText"/>
              <w:jc w:val="center"/>
              <w:rPr>
                <w:rFonts w:ascii="Times" w:hAnsi="Times"/>
              </w:rPr>
            </w:pPr>
            <w:r w:rsidRPr="005802E9">
              <w:rPr>
                <w:rFonts w:cs="Times New Roman"/>
                <w:szCs w:val="22"/>
                <w:lang w:eastAsia="en-US"/>
              </w:rPr>
              <w:t>$7,287</w:t>
            </w:r>
          </w:p>
        </w:tc>
        <w:tc>
          <w:tcPr>
            <w:tcW w:w="838" w:type="pct"/>
            <w:vAlign w:val="center"/>
          </w:tcPr>
          <w:p w:rsidR="00696334" w:rsidRPr="005802E9" w:rsidRDefault="00696334" w:rsidP="00696334">
            <w:pPr>
              <w:pStyle w:val="TableText"/>
              <w:jc w:val="center"/>
              <w:rPr>
                <w:rFonts w:ascii="Times" w:hAnsi="Times"/>
              </w:rPr>
            </w:pPr>
            <w:r w:rsidRPr="005802E9">
              <w:rPr>
                <w:rFonts w:cs="Times New Roman"/>
                <w:szCs w:val="22"/>
                <w:lang w:eastAsia="en-US"/>
              </w:rPr>
              <w:t>-$</w:t>
            </w:r>
            <w:r w:rsidR="00EC0E44">
              <w:rPr>
                <w:rFonts w:cs="Times New Roman"/>
                <w:noProof/>
                <w:color w:val="000000"/>
                <w:szCs w:val="22"/>
                <w:highlight w:val="black"/>
                <w:lang w:eastAsia="en-US"/>
              </w:rPr>
              <w:t>''''''''''</w:t>
            </w:r>
          </w:p>
        </w:tc>
      </w:tr>
      <w:tr w:rsidR="00696334" w:rsidRPr="005802E9" w:rsidTr="00696334">
        <w:tc>
          <w:tcPr>
            <w:tcW w:w="1529" w:type="pct"/>
            <w:vAlign w:val="center"/>
          </w:tcPr>
          <w:p w:rsidR="00696334" w:rsidRPr="005802E9" w:rsidRDefault="00696334" w:rsidP="00696334">
            <w:pPr>
              <w:pStyle w:val="TableText"/>
              <w:rPr>
                <w:rFonts w:ascii="Times" w:hAnsi="Times"/>
              </w:rPr>
            </w:pPr>
            <w:r w:rsidRPr="005802E9">
              <w:t>QALYs</w:t>
            </w:r>
          </w:p>
        </w:tc>
        <w:tc>
          <w:tcPr>
            <w:tcW w:w="1359" w:type="pct"/>
            <w:vAlign w:val="center"/>
          </w:tcPr>
          <w:p w:rsidR="00696334" w:rsidRPr="005802E9" w:rsidRDefault="00696334" w:rsidP="00696334">
            <w:pPr>
              <w:pStyle w:val="TableText"/>
              <w:jc w:val="center"/>
            </w:pPr>
            <w:r w:rsidRPr="005802E9">
              <w:t>2.4246</w:t>
            </w:r>
          </w:p>
        </w:tc>
        <w:tc>
          <w:tcPr>
            <w:tcW w:w="1274" w:type="pct"/>
            <w:vAlign w:val="center"/>
          </w:tcPr>
          <w:p w:rsidR="00696334" w:rsidRPr="005802E9" w:rsidRDefault="00696334" w:rsidP="00696334">
            <w:pPr>
              <w:pStyle w:val="TableText"/>
              <w:jc w:val="center"/>
            </w:pPr>
            <w:r w:rsidRPr="005802E9">
              <w:t>2.3694</w:t>
            </w:r>
          </w:p>
        </w:tc>
        <w:tc>
          <w:tcPr>
            <w:tcW w:w="838" w:type="pct"/>
            <w:vAlign w:val="center"/>
          </w:tcPr>
          <w:p w:rsidR="00696334" w:rsidRPr="005802E9" w:rsidRDefault="00696334" w:rsidP="00696334">
            <w:pPr>
              <w:pStyle w:val="TableText"/>
              <w:jc w:val="center"/>
            </w:pPr>
            <w:r w:rsidRPr="005802E9">
              <w:t>0.0551</w:t>
            </w:r>
          </w:p>
        </w:tc>
      </w:tr>
      <w:tr w:rsidR="00696334" w:rsidRPr="005802E9" w:rsidTr="00696334">
        <w:tc>
          <w:tcPr>
            <w:tcW w:w="4162" w:type="pct"/>
            <w:gridSpan w:val="3"/>
            <w:vAlign w:val="center"/>
          </w:tcPr>
          <w:p w:rsidR="00696334" w:rsidRPr="005802E9" w:rsidRDefault="00696334" w:rsidP="00696334">
            <w:pPr>
              <w:pStyle w:val="TableText"/>
              <w:rPr>
                <w:rFonts w:ascii="Times" w:hAnsi="Times"/>
                <w:b/>
              </w:rPr>
            </w:pPr>
            <w:r w:rsidRPr="005802E9">
              <w:rPr>
                <w:b/>
              </w:rPr>
              <w:t>Incremental cost per quality-adjusted life year</w:t>
            </w:r>
          </w:p>
        </w:tc>
        <w:tc>
          <w:tcPr>
            <w:tcW w:w="838" w:type="pct"/>
            <w:vAlign w:val="center"/>
          </w:tcPr>
          <w:p w:rsidR="00696334" w:rsidRPr="005802E9" w:rsidRDefault="00696334" w:rsidP="00696334">
            <w:pPr>
              <w:pStyle w:val="TableText"/>
              <w:jc w:val="center"/>
              <w:rPr>
                <w:rFonts w:ascii="Times" w:hAnsi="Times"/>
                <w:b/>
              </w:rPr>
            </w:pPr>
            <w:r w:rsidRPr="005802E9">
              <w:rPr>
                <w:b/>
              </w:rPr>
              <w:t>Dominant</w:t>
            </w:r>
          </w:p>
        </w:tc>
      </w:tr>
    </w:tbl>
    <w:p w:rsidR="00696334" w:rsidRPr="005802E9" w:rsidRDefault="00696334" w:rsidP="00696334">
      <w:pPr>
        <w:pStyle w:val="TableFigureFooter"/>
      </w:pPr>
      <w:r w:rsidRPr="005802E9">
        <w:t xml:space="preserve">Source: Section 3.8, p143 and </w:t>
      </w:r>
      <w:r w:rsidRPr="005802E9">
        <w:rPr>
          <w:lang w:eastAsia="en-US"/>
        </w:rPr>
        <w:t xml:space="preserve">the ‘Crisaborole economic model’ Excel workbook </w:t>
      </w:r>
      <w:r w:rsidRPr="005802E9">
        <w:t>of the resubmission</w:t>
      </w:r>
    </w:p>
    <w:p w:rsidR="00696334" w:rsidRPr="005802E9" w:rsidRDefault="00696334" w:rsidP="00696334">
      <w:pPr>
        <w:pStyle w:val="TableFigureFooter"/>
      </w:pPr>
      <w:r w:rsidRPr="005802E9">
        <w:t>Abbreviation: QALY, quality-adjusted life year</w:t>
      </w:r>
    </w:p>
    <w:p w:rsidR="00696334" w:rsidRPr="005802E9" w:rsidRDefault="00696334" w:rsidP="00FB0269">
      <w:pPr>
        <w:pStyle w:val="ExecSumBodyText"/>
      </w:pPr>
      <w:r w:rsidRPr="005802E9">
        <w:t>Based on the economic model, treatment with crisaborole was dominant compared to standard management (original estimates: incremental cost per QALY gained of $</w:t>
      </w:r>
      <w:r w:rsidR="007026C4">
        <w:t>5,000 to &lt;$15,000</w:t>
      </w:r>
      <w:r w:rsidRPr="005802E9">
        <w:t xml:space="preserve"> for crisaborole versus standard management). The</w:t>
      </w:r>
      <w:r w:rsidR="000401DB" w:rsidRPr="005802E9">
        <w:t xml:space="preserve"> commentary considered the</w:t>
      </w:r>
      <w:r w:rsidRPr="005802E9">
        <w:t xml:space="preserve"> cost-effectiveness estimate should not be considered reliable given structural limitations, population and setting issues</w:t>
      </w:r>
      <w:r w:rsidR="008851F9" w:rsidRPr="005802E9">
        <w:t xml:space="preserve"> (extrapolation of treatment benefit)</w:t>
      </w:r>
      <w:r w:rsidRPr="005802E9">
        <w:t xml:space="preserve"> and parameter uncertainty.</w:t>
      </w:r>
    </w:p>
    <w:p w:rsidR="00FB0269" w:rsidRPr="005802E9" w:rsidRDefault="00FB0269" w:rsidP="008851F9">
      <w:pPr>
        <w:pStyle w:val="ExecSumBodyText"/>
      </w:pPr>
      <w:r w:rsidRPr="005802E9">
        <w:t>The results of key sensitivity analyses are</w:t>
      </w:r>
      <w:r w:rsidR="008851F9" w:rsidRPr="005802E9">
        <w:t xml:space="preserve"> summarised in the table below.</w:t>
      </w:r>
    </w:p>
    <w:p w:rsidR="00D23D11" w:rsidRPr="005802E9" w:rsidRDefault="00D23D11" w:rsidP="00230DB1">
      <w:pPr>
        <w:pStyle w:val="TableFigureCaption"/>
      </w:pPr>
      <w:r w:rsidRPr="005802E9">
        <w:lastRenderedPageBreak/>
        <w:t xml:space="preserve">Table </w:t>
      </w:r>
      <w:r w:rsidR="004736E5" w:rsidRPr="005802E9">
        <w:t>1</w:t>
      </w:r>
      <w:r w:rsidR="00A15EA2" w:rsidRPr="005802E9">
        <w:t>6</w:t>
      </w:r>
      <w:r w:rsidRPr="005802E9">
        <w:t>:</w:t>
      </w:r>
      <w:r w:rsidR="00354F64" w:rsidRPr="005802E9">
        <w:t xml:space="preserve"> </w:t>
      </w:r>
      <w:r w:rsidR="00D15314" w:rsidRPr="005802E9">
        <w:t>Sensitivity analyses</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1623"/>
        <w:gridCol w:w="1652"/>
        <w:gridCol w:w="1192"/>
      </w:tblGrid>
      <w:tr w:rsidR="008851F9" w:rsidRPr="005802E9" w:rsidTr="00EF40A9">
        <w:trPr>
          <w:tblHeader/>
        </w:trPr>
        <w:tc>
          <w:tcPr>
            <w:tcW w:w="4615" w:type="dxa"/>
            <w:vAlign w:val="center"/>
          </w:tcPr>
          <w:p w:rsidR="008851F9" w:rsidRPr="005802E9" w:rsidRDefault="008851F9" w:rsidP="00EF40A9">
            <w:pPr>
              <w:tabs>
                <w:tab w:val="left" w:pos="142"/>
              </w:tabs>
              <w:jc w:val="left"/>
              <w:rPr>
                <w:rFonts w:ascii="Arial Narrow" w:hAnsi="Arial Narrow" w:cs="Times New Roman"/>
                <w:b/>
                <w:sz w:val="20"/>
                <w:szCs w:val="22"/>
                <w:lang w:eastAsia="en-US"/>
              </w:rPr>
            </w:pPr>
            <w:r w:rsidRPr="005802E9">
              <w:rPr>
                <w:rFonts w:ascii="Arial Narrow" w:hAnsi="Arial Narrow" w:cs="Times New Roman"/>
                <w:b/>
                <w:sz w:val="20"/>
                <w:szCs w:val="22"/>
                <w:lang w:eastAsia="en-US"/>
              </w:rPr>
              <w:t>Univariate Analyses</w:t>
            </w:r>
          </w:p>
        </w:tc>
        <w:tc>
          <w:tcPr>
            <w:tcW w:w="1623" w:type="dxa"/>
            <w:vAlign w:val="center"/>
          </w:tcPr>
          <w:p w:rsidR="008851F9" w:rsidRPr="005802E9" w:rsidRDefault="008851F9" w:rsidP="00EF40A9">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Incremental cost</w:t>
            </w:r>
          </w:p>
        </w:tc>
        <w:tc>
          <w:tcPr>
            <w:tcW w:w="1652" w:type="dxa"/>
            <w:vAlign w:val="center"/>
          </w:tcPr>
          <w:p w:rsidR="008851F9" w:rsidRPr="005802E9" w:rsidRDefault="008851F9" w:rsidP="00EF40A9">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Incremental QALY</w:t>
            </w:r>
          </w:p>
        </w:tc>
        <w:tc>
          <w:tcPr>
            <w:tcW w:w="1192" w:type="dxa"/>
            <w:vAlign w:val="center"/>
          </w:tcPr>
          <w:p w:rsidR="008851F9" w:rsidRPr="005802E9" w:rsidRDefault="008851F9" w:rsidP="00EF40A9">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ICER</w:t>
            </w:r>
          </w:p>
        </w:tc>
      </w:tr>
      <w:tr w:rsidR="008851F9" w:rsidRPr="005802E9" w:rsidTr="00EF40A9">
        <w:tc>
          <w:tcPr>
            <w:tcW w:w="4615" w:type="dxa"/>
            <w:vAlign w:val="center"/>
          </w:tcPr>
          <w:p w:rsidR="008851F9" w:rsidRPr="005802E9" w:rsidRDefault="00DD39DC" w:rsidP="00EF40A9">
            <w:pPr>
              <w:tabs>
                <w:tab w:val="left" w:pos="142"/>
              </w:tabs>
              <w:jc w:val="left"/>
              <w:rPr>
                <w:rFonts w:ascii="Arial Narrow" w:hAnsi="Arial Narrow" w:cs="Times New Roman"/>
                <w:b/>
                <w:sz w:val="20"/>
                <w:szCs w:val="22"/>
                <w:lang w:eastAsia="en-US"/>
              </w:rPr>
            </w:pPr>
            <w:r w:rsidRPr="005802E9">
              <w:rPr>
                <w:rFonts w:ascii="Arial Narrow" w:hAnsi="Arial Narrow" w:cs="Times New Roman"/>
                <w:b/>
                <w:sz w:val="20"/>
                <w:szCs w:val="22"/>
                <w:lang w:eastAsia="en-US"/>
              </w:rPr>
              <w:t xml:space="preserve">Corrected </w:t>
            </w:r>
            <w:r w:rsidR="008851F9" w:rsidRPr="005802E9">
              <w:rPr>
                <w:rFonts w:ascii="Arial Narrow" w:hAnsi="Arial Narrow" w:cs="Times New Roman"/>
                <w:b/>
                <w:sz w:val="20"/>
                <w:szCs w:val="22"/>
                <w:lang w:eastAsia="en-US"/>
              </w:rPr>
              <w:t>base case</w:t>
            </w:r>
          </w:p>
        </w:tc>
        <w:tc>
          <w:tcPr>
            <w:tcW w:w="1623" w:type="dxa"/>
            <w:vAlign w:val="center"/>
          </w:tcPr>
          <w:p w:rsidR="008851F9" w:rsidRPr="005802E9" w:rsidRDefault="008851F9" w:rsidP="00EF40A9">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w:t>
            </w:r>
            <w:r w:rsidR="00EC0E44">
              <w:rPr>
                <w:rFonts w:ascii="Arial Narrow" w:hAnsi="Arial Narrow" w:cs="Times New Roman"/>
                <w:b/>
                <w:noProof/>
                <w:color w:val="000000"/>
                <w:sz w:val="20"/>
                <w:szCs w:val="22"/>
                <w:highlight w:val="black"/>
                <w:lang w:eastAsia="en-US"/>
              </w:rPr>
              <w:t>'''''''</w:t>
            </w:r>
          </w:p>
        </w:tc>
        <w:tc>
          <w:tcPr>
            <w:tcW w:w="1652" w:type="dxa"/>
            <w:vAlign w:val="center"/>
          </w:tcPr>
          <w:p w:rsidR="008851F9" w:rsidRPr="005802E9" w:rsidRDefault="008851F9" w:rsidP="00EF40A9">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0.0551</w:t>
            </w:r>
          </w:p>
        </w:tc>
        <w:tc>
          <w:tcPr>
            <w:tcW w:w="1192" w:type="dxa"/>
            <w:vAlign w:val="center"/>
          </w:tcPr>
          <w:p w:rsidR="008851F9" w:rsidRPr="005802E9" w:rsidRDefault="008851F9" w:rsidP="00EF40A9">
            <w:pPr>
              <w:jc w:val="center"/>
              <w:rPr>
                <w:rFonts w:ascii="Arial Narrow" w:hAnsi="Arial Narrow" w:cs="Times New Roman"/>
                <w:b/>
                <w:sz w:val="20"/>
                <w:szCs w:val="22"/>
                <w:lang w:eastAsia="en-US"/>
              </w:rPr>
            </w:pPr>
            <w:r w:rsidRPr="005802E9">
              <w:rPr>
                <w:rFonts w:ascii="Arial Narrow" w:hAnsi="Arial Narrow" w:cs="Times New Roman"/>
                <w:b/>
                <w:sz w:val="20"/>
                <w:szCs w:val="22"/>
                <w:lang w:eastAsia="en-US"/>
              </w:rPr>
              <w:t>Dominant</w:t>
            </w:r>
          </w:p>
        </w:tc>
      </w:tr>
      <w:tr w:rsidR="008851F9" w:rsidRPr="005802E9" w:rsidTr="00EF40A9">
        <w:tc>
          <w:tcPr>
            <w:tcW w:w="9082" w:type="dxa"/>
            <w:gridSpan w:val="4"/>
            <w:vAlign w:val="center"/>
          </w:tcPr>
          <w:p w:rsidR="008851F9" w:rsidRPr="005802E9" w:rsidRDefault="008851F9" w:rsidP="00EF40A9">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Disease management costs (</w:t>
            </w:r>
            <w:r w:rsidR="00841F8A" w:rsidRPr="005802E9">
              <w:rPr>
                <w:rFonts w:ascii="Arial Narrow" w:hAnsi="Arial Narrow" w:cs="Times New Roman"/>
                <w:sz w:val="20"/>
                <w:szCs w:val="22"/>
                <w:lang w:eastAsia="en-US"/>
              </w:rPr>
              <w:t xml:space="preserve">corrected </w:t>
            </w:r>
            <w:r w:rsidRPr="005802E9">
              <w:rPr>
                <w:rFonts w:ascii="Arial Narrow" w:hAnsi="Arial Narrow" w:cs="Times New Roman"/>
                <w:sz w:val="20"/>
                <w:szCs w:val="22"/>
                <w:lang w:eastAsia="en-US"/>
              </w:rPr>
              <w:t>base case: $3,164 per year for ISGA 2+ health states based on moderate disease)</w:t>
            </w:r>
          </w:p>
        </w:tc>
      </w:tr>
      <w:tr w:rsidR="008851F9" w:rsidRPr="005802E9" w:rsidTr="00EF40A9">
        <w:tc>
          <w:tcPr>
            <w:tcW w:w="4615" w:type="dxa"/>
            <w:vAlign w:val="center"/>
          </w:tcPr>
          <w:p w:rsidR="008851F9" w:rsidRPr="005802E9" w:rsidRDefault="008851F9" w:rsidP="00EF40A9">
            <w:pPr>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$1,582 per year (base case in resubmission)</w:t>
            </w:r>
          </w:p>
        </w:tc>
        <w:tc>
          <w:tcPr>
            <w:tcW w:w="1623"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0.0551</w:t>
            </w:r>
          </w:p>
        </w:tc>
        <w:tc>
          <w:tcPr>
            <w:tcW w:w="119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8B6D86" w:rsidRPr="008B6D86">
              <w:rPr>
                <w:rFonts w:ascii="Arial Narrow" w:hAnsi="Arial Narrow" w:cs="Times New Roman"/>
                <w:sz w:val="20"/>
                <w:szCs w:val="22"/>
                <w:vertAlign w:val="superscript"/>
                <w:lang w:eastAsia="en-US"/>
              </w:rPr>
              <w:t>1</w:t>
            </w:r>
          </w:p>
        </w:tc>
      </w:tr>
      <w:tr w:rsidR="008851F9" w:rsidRPr="005802E9" w:rsidTr="00EF40A9">
        <w:tc>
          <w:tcPr>
            <w:tcW w:w="4615" w:type="dxa"/>
            <w:vAlign w:val="center"/>
          </w:tcPr>
          <w:p w:rsidR="008851F9" w:rsidRPr="005802E9" w:rsidRDefault="008851F9" w:rsidP="00EF40A9">
            <w:pPr>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$1,095 per year (based on mild disease only)</w:t>
            </w:r>
          </w:p>
        </w:tc>
        <w:tc>
          <w:tcPr>
            <w:tcW w:w="1623"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0.0551</w:t>
            </w:r>
          </w:p>
        </w:tc>
        <w:tc>
          <w:tcPr>
            <w:tcW w:w="119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8B6D86" w:rsidRPr="008B6D86">
              <w:rPr>
                <w:rFonts w:ascii="Arial Narrow" w:hAnsi="Arial Narrow" w:cs="Times New Roman"/>
                <w:sz w:val="20"/>
                <w:szCs w:val="22"/>
                <w:vertAlign w:val="superscript"/>
                <w:lang w:eastAsia="en-US"/>
              </w:rPr>
              <w:t>1</w:t>
            </w:r>
          </w:p>
        </w:tc>
      </w:tr>
      <w:tr w:rsidR="008851F9" w:rsidRPr="005802E9" w:rsidTr="00EF40A9">
        <w:tc>
          <w:tcPr>
            <w:tcW w:w="4615" w:type="dxa"/>
            <w:vAlign w:val="center"/>
          </w:tcPr>
          <w:p w:rsidR="008851F9" w:rsidRPr="005802E9" w:rsidRDefault="008851F9" w:rsidP="00EF40A9">
            <w:pPr>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$548 per year (50% of mild disease)</w:t>
            </w:r>
          </w:p>
        </w:tc>
        <w:tc>
          <w:tcPr>
            <w:tcW w:w="1623"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0.0551</w:t>
            </w:r>
          </w:p>
        </w:tc>
        <w:tc>
          <w:tcPr>
            <w:tcW w:w="119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8B6D86" w:rsidRPr="008B6D86">
              <w:rPr>
                <w:rFonts w:ascii="Arial Narrow" w:hAnsi="Arial Narrow" w:cs="Times New Roman"/>
                <w:sz w:val="20"/>
                <w:szCs w:val="22"/>
                <w:vertAlign w:val="superscript"/>
                <w:lang w:eastAsia="en-US"/>
              </w:rPr>
              <w:t>1</w:t>
            </w:r>
          </w:p>
        </w:tc>
      </w:tr>
      <w:tr w:rsidR="008851F9" w:rsidRPr="005802E9" w:rsidTr="00EF40A9">
        <w:tc>
          <w:tcPr>
            <w:tcW w:w="9082" w:type="dxa"/>
            <w:gridSpan w:val="4"/>
            <w:vAlign w:val="center"/>
          </w:tcPr>
          <w:p w:rsidR="008851F9" w:rsidRPr="005802E9" w:rsidRDefault="008851F9" w:rsidP="00EF40A9">
            <w:pPr>
              <w:jc w:val="left"/>
              <w:rPr>
                <w:rFonts w:ascii="Arial Narrow" w:hAnsi="Arial Narrow" w:cs="Times New Roman"/>
                <w:b/>
                <w:sz w:val="20"/>
                <w:szCs w:val="22"/>
                <w:lang w:eastAsia="en-US"/>
              </w:rPr>
            </w:pPr>
            <w:r w:rsidRPr="005802E9">
              <w:rPr>
                <w:rFonts w:ascii="Arial Narrow" w:hAnsi="Arial Narrow" w:cs="Times New Roman"/>
                <w:sz w:val="20"/>
                <w:szCs w:val="22"/>
                <w:lang w:eastAsia="en-US"/>
              </w:rPr>
              <w:t>Time horizon (base case: 3 years, 39 cycles)</w:t>
            </w:r>
          </w:p>
        </w:tc>
      </w:tr>
      <w:tr w:rsidR="008851F9" w:rsidRPr="005802E9" w:rsidTr="00EF40A9">
        <w:tc>
          <w:tcPr>
            <w:tcW w:w="4615" w:type="dxa"/>
            <w:vAlign w:val="center"/>
          </w:tcPr>
          <w:p w:rsidR="008851F9" w:rsidRPr="005802E9" w:rsidRDefault="008851F9" w:rsidP="00EF40A9">
            <w:pPr>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28 days (1 cycle)</w:t>
            </w:r>
          </w:p>
        </w:tc>
        <w:tc>
          <w:tcPr>
            <w:tcW w:w="1623"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0.0007</w:t>
            </w:r>
          </w:p>
        </w:tc>
        <w:tc>
          <w:tcPr>
            <w:tcW w:w="119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8B6D86" w:rsidRPr="008B6D86">
              <w:rPr>
                <w:rFonts w:ascii="Arial Narrow" w:hAnsi="Arial Narrow" w:cs="Times New Roman"/>
                <w:sz w:val="20"/>
                <w:szCs w:val="22"/>
                <w:vertAlign w:val="superscript"/>
                <w:lang w:eastAsia="en-US"/>
              </w:rPr>
              <w:t>2</w:t>
            </w:r>
          </w:p>
        </w:tc>
      </w:tr>
      <w:tr w:rsidR="008851F9" w:rsidRPr="005802E9" w:rsidTr="00EF40A9">
        <w:tc>
          <w:tcPr>
            <w:tcW w:w="4615" w:type="dxa"/>
            <w:vAlign w:val="center"/>
          </w:tcPr>
          <w:p w:rsidR="008851F9" w:rsidRPr="005802E9" w:rsidRDefault="008851F9" w:rsidP="00EF40A9">
            <w:pPr>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168 days (6 cycles)</w:t>
            </w:r>
          </w:p>
        </w:tc>
        <w:tc>
          <w:tcPr>
            <w:tcW w:w="1623"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0.0067</w:t>
            </w:r>
          </w:p>
        </w:tc>
        <w:tc>
          <w:tcPr>
            <w:tcW w:w="119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8B6D86" w:rsidRPr="008B6D86">
              <w:rPr>
                <w:rFonts w:ascii="Arial Narrow" w:hAnsi="Arial Narrow" w:cs="Times New Roman"/>
                <w:sz w:val="20"/>
                <w:szCs w:val="22"/>
                <w:vertAlign w:val="superscript"/>
                <w:lang w:eastAsia="en-US"/>
              </w:rPr>
              <w:t>3</w:t>
            </w:r>
          </w:p>
        </w:tc>
      </w:tr>
      <w:tr w:rsidR="008851F9" w:rsidRPr="005802E9" w:rsidTr="00EF40A9">
        <w:tc>
          <w:tcPr>
            <w:tcW w:w="4615" w:type="dxa"/>
            <w:vAlign w:val="center"/>
          </w:tcPr>
          <w:p w:rsidR="008851F9" w:rsidRPr="005802E9" w:rsidRDefault="008851F9" w:rsidP="00EF40A9">
            <w:pPr>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1 year (13 cycles)</w:t>
            </w:r>
          </w:p>
        </w:tc>
        <w:tc>
          <w:tcPr>
            <w:tcW w:w="1623"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0.0168</w:t>
            </w:r>
          </w:p>
        </w:tc>
        <w:tc>
          <w:tcPr>
            <w:tcW w:w="119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8B6D86" w:rsidRPr="008B6D86">
              <w:rPr>
                <w:rFonts w:ascii="Arial Narrow" w:hAnsi="Arial Narrow" w:cs="Times New Roman"/>
                <w:sz w:val="20"/>
                <w:szCs w:val="22"/>
                <w:vertAlign w:val="superscript"/>
                <w:lang w:eastAsia="en-US"/>
              </w:rPr>
              <w:t>1</w:t>
            </w:r>
          </w:p>
        </w:tc>
      </w:tr>
      <w:tr w:rsidR="008851F9" w:rsidRPr="005802E9" w:rsidTr="00EF40A9">
        <w:tc>
          <w:tcPr>
            <w:tcW w:w="4615" w:type="dxa"/>
            <w:vAlign w:val="center"/>
          </w:tcPr>
          <w:p w:rsidR="008851F9" w:rsidRPr="005802E9" w:rsidRDefault="008851F9" w:rsidP="00EF40A9">
            <w:pPr>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2 years (26 cycles)</w:t>
            </w:r>
          </w:p>
        </w:tc>
        <w:tc>
          <w:tcPr>
            <w:tcW w:w="1623"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0.0363</w:t>
            </w:r>
          </w:p>
        </w:tc>
        <w:tc>
          <w:tcPr>
            <w:tcW w:w="1192" w:type="dxa"/>
            <w:vAlign w:val="center"/>
          </w:tcPr>
          <w:p w:rsidR="008851F9" w:rsidRPr="005802E9" w:rsidRDefault="008851F9" w:rsidP="00EF40A9">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Dominant</w:t>
            </w:r>
          </w:p>
        </w:tc>
      </w:tr>
      <w:tr w:rsidR="00053CDD" w:rsidRPr="005802E9" w:rsidTr="009441FF">
        <w:tc>
          <w:tcPr>
            <w:tcW w:w="9082" w:type="dxa"/>
            <w:gridSpan w:val="4"/>
            <w:vAlign w:val="center"/>
          </w:tcPr>
          <w:p w:rsidR="00053CDD" w:rsidRPr="005802E9" w:rsidRDefault="00053CDD" w:rsidP="0061230C">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Transition probabilities</w:t>
            </w:r>
            <w:r w:rsidR="0061230C" w:rsidRPr="005802E9">
              <w:rPr>
                <w:rFonts w:ascii="Arial Narrow" w:hAnsi="Arial Narrow" w:cs="Times New Roman"/>
                <w:sz w:val="20"/>
                <w:szCs w:val="22"/>
                <w:lang w:eastAsia="en-US"/>
              </w:rPr>
              <w:t xml:space="preserve"> as per Table 13 and 14.</w:t>
            </w:r>
            <w:r w:rsidRPr="005802E9">
              <w:rPr>
                <w:rFonts w:ascii="Arial Narrow" w:hAnsi="Arial Narrow" w:cs="Times New Roman"/>
                <w:sz w:val="20"/>
                <w:szCs w:val="22"/>
                <w:lang w:eastAsia="en-US"/>
              </w:rPr>
              <w:t xml:space="preserve"> </w:t>
            </w:r>
          </w:p>
        </w:tc>
      </w:tr>
      <w:tr w:rsidR="00053CDD" w:rsidRPr="005802E9" w:rsidTr="009441FF">
        <w:tc>
          <w:tcPr>
            <w:tcW w:w="4615" w:type="dxa"/>
            <w:vAlign w:val="center"/>
          </w:tcPr>
          <w:p w:rsidR="00053CDD" w:rsidRPr="005802E9" w:rsidRDefault="0061230C" w:rsidP="0061230C">
            <w:pPr>
              <w:pStyle w:val="ExecSumBodyText"/>
              <w:numPr>
                <w:ilvl w:val="0"/>
                <w:numId w:val="0"/>
              </w:numPr>
              <w:spacing w:after="0"/>
              <w:jc w:val="left"/>
              <w:rPr>
                <w:b/>
              </w:rPr>
            </w:pPr>
            <w:r w:rsidRPr="005802E9">
              <w:rPr>
                <w:rFonts w:ascii="Arial Narrow" w:hAnsi="Arial Narrow" w:cs="Times New Roman"/>
                <w:snapToGrid/>
                <w:sz w:val="20"/>
                <w:szCs w:val="22"/>
                <w:lang w:eastAsia="en-US"/>
              </w:rPr>
              <w:t>Cycle 1 transition probabilities re-estimated excluding patients with missing data at day 29; Difference in intervention and comparator cycle 2+ transition probabilities from ISGA 2+ on treatment to ISGA 0/1 pause treatment and to ISGA 2+ cease treatment reduced by 50%</w:t>
            </w:r>
            <w:r w:rsidRPr="005802E9">
              <w:rPr>
                <w:rFonts w:ascii="Arial Narrow" w:hAnsi="Arial Narrow"/>
                <w:sz w:val="20"/>
                <w:szCs w:val="20"/>
              </w:rPr>
              <w:t xml:space="preserve"> </w:t>
            </w:r>
            <w:r w:rsidR="00A15EA2" w:rsidRPr="005802E9">
              <w:rPr>
                <w:rFonts w:ascii="Arial Narrow" w:hAnsi="Arial Narrow"/>
                <w:sz w:val="20"/>
                <w:szCs w:val="20"/>
                <w:vertAlign w:val="superscript"/>
              </w:rPr>
              <w:t>b</w:t>
            </w:r>
          </w:p>
        </w:tc>
        <w:tc>
          <w:tcPr>
            <w:tcW w:w="1623" w:type="dxa"/>
            <w:vAlign w:val="center"/>
          </w:tcPr>
          <w:p w:rsidR="00053CDD" w:rsidRPr="005802E9" w:rsidRDefault="00053CDD" w:rsidP="009441FF">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053CDD" w:rsidRPr="005802E9" w:rsidRDefault="00053CDD" w:rsidP="009441FF">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0.0150</w:t>
            </w:r>
          </w:p>
        </w:tc>
        <w:tc>
          <w:tcPr>
            <w:tcW w:w="1192" w:type="dxa"/>
            <w:vAlign w:val="center"/>
          </w:tcPr>
          <w:p w:rsidR="00053CDD" w:rsidRPr="005802E9" w:rsidRDefault="00053CDD" w:rsidP="009441FF">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8B6D86" w:rsidRPr="008B6D86">
              <w:rPr>
                <w:rFonts w:ascii="Arial Narrow" w:hAnsi="Arial Narrow" w:cs="Times New Roman"/>
                <w:sz w:val="20"/>
                <w:szCs w:val="22"/>
                <w:vertAlign w:val="superscript"/>
                <w:lang w:eastAsia="en-US"/>
              </w:rPr>
              <w:t>4</w:t>
            </w:r>
          </w:p>
        </w:tc>
      </w:tr>
      <w:tr w:rsidR="00CB4E8B" w:rsidRPr="005802E9" w:rsidTr="006451F8">
        <w:tc>
          <w:tcPr>
            <w:tcW w:w="9082" w:type="dxa"/>
            <w:gridSpan w:val="4"/>
            <w:vAlign w:val="center"/>
          </w:tcPr>
          <w:p w:rsidR="00CB4E8B" w:rsidRPr="005802E9" w:rsidRDefault="00CB4E8B" w:rsidP="00CB4E8B">
            <w:pPr>
              <w:jc w:val="left"/>
              <w:rPr>
                <w:rFonts w:ascii="Arial Narrow" w:hAnsi="Arial Narrow" w:cs="Times New Roman"/>
                <w:sz w:val="20"/>
                <w:szCs w:val="22"/>
                <w:lang w:eastAsia="en-US"/>
              </w:rPr>
            </w:pPr>
            <w:r w:rsidRPr="005802E9">
              <w:rPr>
                <w:rFonts w:ascii="Arial Narrow" w:hAnsi="Arial Narrow" w:cs="Times New Roman"/>
                <w:sz w:val="20"/>
                <w:szCs w:val="22"/>
                <w:lang w:eastAsia="en-US"/>
              </w:rPr>
              <w:t>Utilities (base case children 2-17 years: ISGA 0/1 health states, 0.980; ISGA 2+ health states, 0.736 ; adults ≥18 years: ISGA 0/1 health states, 0.929; ISGA 2+ health states, 0.838)</w:t>
            </w:r>
          </w:p>
        </w:tc>
      </w:tr>
      <w:tr w:rsidR="008C2651" w:rsidRPr="005802E9" w:rsidTr="00EF40A9">
        <w:tc>
          <w:tcPr>
            <w:tcW w:w="4615" w:type="dxa"/>
            <w:vAlign w:val="center"/>
          </w:tcPr>
          <w:p w:rsidR="008C2651" w:rsidRPr="005802E9" w:rsidRDefault="008C2651" w:rsidP="008C2651">
            <w:pPr>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50% difference between ISGA 0/1 and ISGA 2+ health states (children: ISGA 0/1, 0.980; ISGA 2+, 0.858; adults: ISGA 0/1, 0.929; ISGA 2+, 0.884)</w:t>
            </w:r>
          </w:p>
        </w:tc>
        <w:tc>
          <w:tcPr>
            <w:tcW w:w="1623" w:type="dxa"/>
            <w:vAlign w:val="center"/>
          </w:tcPr>
          <w:p w:rsidR="008C2651" w:rsidRPr="005802E9" w:rsidRDefault="008C2651" w:rsidP="008C2651">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8C2651" w:rsidRPr="005802E9" w:rsidRDefault="008C2651" w:rsidP="008C2651">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0.0275</w:t>
            </w:r>
          </w:p>
        </w:tc>
        <w:tc>
          <w:tcPr>
            <w:tcW w:w="1192" w:type="dxa"/>
            <w:vAlign w:val="center"/>
          </w:tcPr>
          <w:p w:rsidR="008C2651" w:rsidRPr="005802E9" w:rsidRDefault="008C2651" w:rsidP="008C2651">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Dominant</w:t>
            </w:r>
          </w:p>
        </w:tc>
      </w:tr>
      <w:tr w:rsidR="008C2651" w:rsidRPr="005802E9" w:rsidTr="00EF40A9">
        <w:tc>
          <w:tcPr>
            <w:tcW w:w="4615" w:type="dxa"/>
            <w:vAlign w:val="center"/>
          </w:tcPr>
          <w:p w:rsidR="008C2651" w:rsidRPr="005802E9" w:rsidRDefault="008C2651" w:rsidP="008C2651">
            <w:pPr>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75% difference between ISGA 0/1 and ISGA 2+ health states (children: ISGA 0/1, 0.980; ISGA 2+, 0.797; adults: ISGA 0/1, 0.929; ISGA 2+, 0.861)</w:t>
            </w:r>
          </w:p>
        </w:tc>
        <w:tc>
          <w:tcPr>
            <w:tcW w:w="1623" w:type="dxa"/>
            <w:vAlign w:val="center"/>
          </w:tcPr>
          <w:p w:rsidR="008C2651" w:rsidRPr="005802E9" w:rsidRDefault="008C2651" w:rsidP="008C2651">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8C2651" w:rsidRPr="005802E9" w:rsidRDefault="008C2651" w:rsidP="008C2651">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0.0415</w:t>
            </w:r>
          </w:p>
        </w:tc>
        <w:tc>
          <w:tcPr>
            <w:tcW w:w="1192" w:type="dxa"/>
            <w:vAlign w:val="center"/>
          </w:tcPr>
          <w:p w:rsidR="008C2651" w:rsidRPr="005802E9" w:rsidRDefault="008C2651" w:rsidP="008C2651">
            <w:pPr>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Dominant</w:t>
            </w:r>
          </w:p>
        </w:tc>
      </w:tr>
      <w:tr w:rsidR="008C2651" w:rsidRPr="005802E9" w:rsidTr="00EF40A9">
        <w:tc>
          <w:tcPr>
            <w:tcW w:w="9082" w:type="dxa"/>
            <w:gridSpan w:val="4"/>
            <w:vAlign w:val="center"/>
          </w:tcPr>
          <w:p w:rsidR="008C2651" w:rsidRPr="003B1BFA" w:rsidRDefault="008C2651" w:rsidP="008C2651">
            <w:pPr>
              <w:jc w:val="left"/>
              <w:rPr>
                <w:rFonts w:ascii="Arial Narrow" w:hAnsi="Arial Narrow" w:cs="Times New Roman"/>
                <w:sz w:val="20"/>
                <w:szCs w:val="22"/>
                <w:lang w:eastAsia="en-US"/>
              </w:rPr>
            </w:pPr>
            <w:r w:rsidRPr="003B1BFA">
              <w:rPr>
                <w:rFonts w:ascii="Arial Narrow" w:hAnsi="Arial Narrow" w:cs="Times New Roman"/>
                <w:sz w:val="20"/>
                <w:szCs w:val="22"/>
                <w:lang w:eastAsia="en-US"/>
              </w:rPr>
              <w:t>Crisaborole utilisation (base case: variable costs of $</w:t>
            </w:r>
            <w:r w:rsidR="00EC0E44">
              <w:rPr>
                <w:rFonts w:ascii="Arial Narrow" w:hAnsi="Arial Narrow" w:cs="Times New Roman"/>
                <w:noProof/>
                <w:color w:val="000000"/>
                <w:sz w:val="20"/>
                <w:szCs w:val="22"/>
                <w:highlight w:val="black"/>
                <w:lang w:eastAsia="en-US"/>
              </w:rPr>
              <w:t>''''''''''''''</w:t>
            </w:r>
            <w:r w:rsidRPr="003B1BFA">
              <w:rPr>
                <w:rFonts w:ascii="Arial Narrow" w:hAnsi="Arial Narrow" w:cs="Times New Roman"/>
                <w:sz w:val="20"/>
                <w:szCs w:val="22"/>
                <w:lang w:eastAsia="en-US"/>
              </w:rPr>
              <w:t>, $</w:t>
            </w:r>
            <w:r w:rsidR="00EC0E44">
              <w:rPr>
                <w:rFonts w:ascii="Arial Narrow" w:hAnsi="Arial Narrow" w:cs="Times New Roman"/>
                <w:noProof/>
                <w:color w:val="000000"/>
                <w:sz w:val="20"/>
                <w:szCs w:val="22"/>
                <w:highlight w:val="black"/>
                <w:lang w:eastAsia="en-US"/>
              </w:rPr>
              <w:t xml:space="preserve">'''''''''''''' </w:t>
            </w:r>
            <w:r w:rsidRPr="003B1BFA">
              <w:rPr>
                <w:rFonts w:ascii="Arial Narrow" w:hAnsi="Arial Narrow" w:cs="Times New Roman"/>
                <w:sz w:val="20"/>
                <w:szCs w:val="22"/>
                <w:lang w:eastAsia="en-US"/>
              </w:rPr>
              <w:t>or $</w:t>
            </w:r>
            <w:r w:rsidR="00EC0E44">
              <w:rPr>
                <w:rFonts w:ascii="Arial Narrow" w:hAnsi="Arial Narrow" w:cs="Times New Roman"/>
                <w:noProof/>
                <w:color w:val="000000"/>
                <w:sz w:val="20"/>
                <w:szCs w:val="22"/>
                <w:highlight w:val="black"/>
                <w:lang w:eastAsia="en-US"/>
              </w:rPr>
              <w:t xml:space="preserve">'''''''''''''''' </w:t>
            </w:r>
            <w:r w:rsidRPr="003B1BFA">
              <w:rPr>
                <w:rFonts w:ascii="Arial Narrow" w:hAnsi="Arial Narrow" w:cs="Times New Roman"/>
                <w:sz w:val="20"/>
                <w:szCs w:val="22"/>
                <w:lang w:eastAsia="en-US"/>
              </w:rPr>
              <w:t xml:space="preserve">per cycle based on use of </w:t>
            </w:r>
            <w:r w:rsidR="00EC0E44">
              <w:rPr>
                <w:rFonts w:ascii="Arial Narrow" w:hAnsi="Arial Narrow" w:cs="Times New Roman"/>
                <w:noProof/>
                <w:color w:val="000000"/>
                <w:sz w:val="20"/>
                <w:szCs w:val="22"/>
                <w:highlight w:val="black"/>
                <w:lang w:eastAsia="en-US"/>
              </w:rPr>
              <w:t>'''''''</w:t>
            </w:r>
            <w:r w:rsidRPr="003B1BFA">
              <w:rPr>
                <w:rFonts w:ascii="Arial Narrow" w:hAnsi="Arial Narrow" w:cs="Times New Roman"/>
                <w:sz w:val="20"/>
                <w:szCs w:val="22"/>
                <w:lang w:eastAsia="en-US"/>
              </w:rPr>
              <w:t xml:space="preserve"> g or </w:t>
            </w:r>
            <w:r w:rsidR="00EC0E44">
              <w:rPr>
                <w:rFonts w:ascii="Arial Narrow" w:hAnsi="Arial Narrow" w:cs="Times New Roman"/>
                <w:noProof/>
                <w:color w:val="000000"/>
                <w:sz w:val="20"/>
                <w:szCs w:val="22"/>
                <w:highlight w:val="black"/>
                <w:lang w:eastAsia="en-US"/>
              </w:rPr>
              <w:t>''''''</w:t>
            </w:r>
            <w:r w:rsidRPr="003B1BFA">
              <w:rPr>
                <w:rFonts w:ascii="Arial Narrow" w:hAnsi="Arial Narrow" w:cs="Times New Roman"/>
                <w:sz w:val="20"/>
                <w:szCs w:val="22"/>
                <w:lang w:eastAsia="en-US"/>
              </w:rPr>
              <w:t xml:space="preserve"> g)</w:t>
            </w:r>
          </w:p>
        </w:tc>
      </w:tr>
      <w:tr w:rsidR="008C2651" w:rsidRPr="005802E9" w:rsidTr="00EF40A9">
        <w:tc>
          <w:tcPr>
            <w:tcW w:w="4615" w:type="dxa"/>
            <w:vAlign w:val="center"/>
          </w:tcPr>
          <w:p w:rsidR="008C2651" w:rsidRPr="003B1BFA" w:rsidRDefault="00EC0E44" w:rsidP="008C2651">
            <w:pPr>
              <w:tabs>
                <w:tab w:val="left" w:pos="142"/>
              </w:tabs>
              <w:jc w:val="left"/>
              <w:rPr>
                <w:rFonts w:ascii="Arial Narrow" w:hAnsi="Arial Narrow" w:cs="Times New Roman"/>
                <w:sz w:val="20"/>
                <w:szCs w:val="22"/>
                <w:lang w:eastAsia="en-US"/>
              </w:rPr>
            </w:pPr>
            <w:r>
              <w:rPr>
                <w:rFonts w:ascii="Arial Narrow" w:hAnsi="Arial Narrow" w:cs="Times New Roman"/>
                <w:noProof/>
                <w:color w:val="000000"/>
                <w:sz w:val="20"/>
                <w:szCs w:val="22"/>
                <w:highlight w:val="black"/>
                <w:lang w:eastAsia="en-US"/>
              </w:rPr>
              <w:t>''''''</w:t>
            </w:r>
            <w:r w:rsidR="008C2651" w:rsidRPr="003B1BFA">
              <w:rPr>
                <w:rFonts w:ascii="Arial Narrow" w:hAnsi="Arial Narrow" w:cs="Times New Roman"/>
                <w:sz w:val="20"/>
                <w:szCs w:val="22"/>
                <w:lang w:eastAsia="en-US"/>
              </w:rPr>
              <w:t xml:space="preserve"> g in all cycles, $</w:t>
            </w:r>
            <w:r>
              <w:rPr>
                <w:rFonts w:ascii="Arial Narrow" w:hAnsi="Arial Narrow" w:cs="Times New Roman"/>
                <w:noProof/>
                <w:color w:val="000000"/>
                <w:sz w:val="20"/>
                <w:szCs w:val="22"/>
                <w:highlight w:val="black"/>
                <w:lang w:eastAsia="en-US"/>
              </w:rPr>
              <w:t>''''''''''''</w:t>
            </w:r>
            <w:r w:rsidR="008C2651" w:rsidRPr="003B1BFA">
              <w:rPr>
                <w:rFonts w:ascii="Arial Narrow" w:hAnsi="Arial Narrow" w:cs="Times New Roman"/>
                <w:sz w:val="20"/>
                <w:szCs w:val="22"/>
                <w:lang w:eastAsia="en-US"/>
              </w:rPr>
              <w:t xml:space="preserve"> per cycle</w:t>
            </w:r>
          </w:p>
        </w:tc>
        <w:tc>
          <w:tcPr>
            <w:tcW w:w="1623" w:type="dxa"/>
            <w:vAlign w:val="center"/>
          </w:tcPr>
          <w:p w:rsidR="008C2651" w:rsidRPr="003B1BFA" w:rsidRDefault="008C2651" w:rsidP="008C2651">
            <w:pPr>
              <w:jc w:val="center"/>
              <w:rPr>
                <w:rFonts w:ascii="Arial Narrow" w:hAnsi="Arial Narrow" w:cs="Times New Roman"/>
                <w:sz w:val="20"/>
                <w:szCs w:val="22"/>
                <w:lang w:eastAsia="en-US"/>
              </w:rPr>
            </w:pPr>
            <w:r w:rsidRPr="003B1BFA">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8C2651" w:rsidRPr="003B1BFA" w:rsidRDefault="008C2651" w:rsidP="008C2651">
            <w:pPr>
              <w:jc w:val="center"/>
              <w:rPr>
                <w:rFonts w:ascii="Arial Narrow" w:hAnsi="Arial Narrow" w:cs="Times New Roman"/>
                <w:sz w:val="20"/>
                <w:szCs w:val="22"/>
                <w:lang w:eastAsia="en-US"/>
              </w:rPr>
            </w:pPr>
            <w:r w:rsidRPr="003B1BFA">
              <w:rPr>
                <w:rFonts w:ascii="Arial Narrow" w:hAnsi="Arial Narrow" w:cs="Times New Roman"/>
                <w:sz w:val="20"/>
                <w:szCs w:val="22"/>
                <w:lang w:eastAsia="en-US"/>
              </w:rPr>
              <w:t>0.0551</w:t>
            </w:r>
          </w:p>
        </w:tc>
        <w:tc>
          <w:tcPr>
            <w:tcW w:w="1192" w:type="dxa"/>
            <w:vAlign w:val="center"/>
          </w:tcPr>
          <w:p w:rsidR="008C2651" w:rsidRPr="003B1BFA" w:rsidRDefault="008C2651" w:rsidP="008C2651">
            <w:pPr>
              <w:jc w:val="center"/>
              <w:rPr>
                <w:rFonts w:ascii="Arial Narrow" w:hAnsi="Arial Narrow" w:cs="Times New Roman"/>
                <w:b/>
                <w:sz w:val="20"/>
                <w:szCs w:val="22"/>
                <w:lang w:eastAsia="en-US"/>
              </w:rPr>
            </w:pPr>
            <w:r w:rsidRPr="003B1BFA">
              <w:rPr>
                <w:rFonts w:ascii="Arial Narrow" w:hAnsi="Arial Narrow" w:cs="Times New Roman"/>
                <w:sz w:val="20"/>
                <w:szCs w:val="22"/>
                <w:lang w:eastAsia="en-US"/>
              </w:rPr>
              <w:t>Dominant</w:t>
            </w:r>
          </w:p>
        </w:tc>
      </w:tr>
      <w:tr w:rsidR="008C2651" w:rsidRPr="005802E9" w:rsidTr="00EF40A9">
        <w:tc>
          <w:tcPr>
            <w:tcW w:w="4615" w:type="dxa"/>
            <w:vAlign w:val="center"/>
          </w:tcPr>
          <w:p w:rsidR="008C2651" w:rsidRPr="003B1BFA" w:rsidRDefault="00EC0E44" w:rsidP="008C2651">
            <w:pPr>
              <w:tabs>
                <w:tab w:val="left" w:pos="142"/>
              </w:tabs>
              <w:jc w:val="left"/>
              <w:rPr>
                <w:rFonts w:ascii="Arial Narrow" w:hAnsi="Arial Narrow" w:cs="Times New Roman"/>
                <w:sz w:val="20"/>
                <w:szCs w:val="22"/>
                <w:lang w:eastAsia="en-US"/>
              </w:rPr>
            </w:pPr>
            <w:r>
              <w:rPr>
                <w:rFonts w:ascii="Arial Narrow" w:hAnsi="Arial Narrow" w:cs="Times New Roman"/>
                <w:noProof/>
                <w:color w:val="000000"/>
                <w:sz w:val="20"/>
                <w:szCs w:val="22"/>
                <w:highlight w:val="black"/>
                <w:lang w:eastAsia="en-US"/>
              </w:rPr>
              <w:t>''''''</w:t>
            </w:r>
            <w:r w:rsidR="008C2651" w:rsidRPr="003B1BFA">
              <w:rPr>
                <w:rFonts w:ascii="Arial Narrow" w:hAnsi="Arial Narrow" w:cs="Times New Roman"/>
                <w:sz w:val="20"/>
                <w:szCs w:val="22"/>
                <w:lang w:eastAsia="en-US"/>
              </w:rPr>
              <w:t xml:space="preserve"> g in all cycles, $</w:t>
            </w:r>
            <w:r>
              <w:rPr>
                <w:rFonts w:ascii="Arial Narrow" w:hAnsi="Arial Narrow" w:cs="Times New Roman"/>
                <w:noProof/>
                <w:color w:val="000000"/>
                <w:sz w:val="20"/>
                <w:szCs w:val="22"/>
                <w:highlight w:val="black"/>
                <w:lang w:eastAsia="en-US"/>
              </w:rPr>
              <w:t>''''''''''''''''</w:t>
            </w:r>
            <w:r w:rsidR="008C2651" w:rsidRPr="003B1BFA">
              <w:rPr>
                <w:rFonts w:ascii="Arial Narrow" w:hAnsi="Arial Narrow" w:cs="Times New Roman"/>
                <w:sz w:val="20"/>
                <w:szCs w:val="22"/>
                <w:lang w:eastAsia="en-US"/>
              </w:rPr>
              <w:t xml:space="preserve"> per cycle</w:t>
            </w:r>
          </w:p>
        </w:tc>
        <w:tc>
          <w:tcPr>
            <w:tcW w:w="1623" w:type="dxa"/>
            <w:vAlign w:val="center"/>
          </w:tcPr>
          <w:p w:rsidR="008C2651" w:rsidRPr="003B1BFA" w:rsidRDefault="008C2651" w:rsidP="008C2651">
            <w:pPr>
              <w:jc w:val="center"/>
              <w:rPr>
                <w:rFonts w:ascii="Arial Narrow" w:hAnsi="Arial Narrow" w:cs="Times New Roman"/>
                <w:sz w:val="20"/>
                <w:szCs w:val="22"/>
                <w:lang w:eastAsia="en-US"/>
              </w:rPr>
            </w:pPr>
            <w:r w:rsidRPr="003B1BFA">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8C2651" w:rsidRPr="003B1BFA" w:rsidRDefault="008C2651" w:rsidP="008C2651">
            <w:pPr>
              <w:jc w:val="center"/>
              <w:rPr>
                <w:rFonts w:ascii="Arial Narrow" w:hAnsi="Arial Narrow" w:cs="Times New Roman"/>
                <w:sz w:val="20"/>
                <w:szCs w:val="22"/>
                <w:lang w:eastAsia="en-US"/>
              </w:rPr>
            </w:pPr>
            <w:r w:rsidRPr="003B1BFA">
              <w:rPr>
                <w:rFonts w:ascii="Arial Narrow" w:hAnsi="Arial Narrow" w:cs="Times New Roman"/>
                <w:sz w:val="20"/>
                <w:szCs w:val="22"/>
                <w:lang w:eastAsia="en-US"/>
              </w:rPr>
              <w:t>0.0551</w:t>
            </w:r>
          </w:p>
        </w:tc>
        <w:tc>
          <w:tcPr>
            <w:tcW w:w="1192" w:type="dxa"/>
            <w:vAlign w:val="center"/>
          </w:tcPr>
          <w:p w:rsidR="008C2651" w:rsidRPr="003B1BFA" w:rsidRDefault="008C2651" w:rsidP="008C2651">
            <w:pPr>
              <w:jc w:val="center"/>
              <w:rPr>
                <w:rFonts w:ascii="Arial Narrow" w:hAnsi="Arial Narrow" w:cs="Times New Roman"/>
                <w:sz w:val="20"/>
                <w:szCs w:val="22"/>
                <w:lang w:eastAsia="en-US"/>
              </w:rPr>
            </w:pPr>
            <w:r w:rsidRPr="003B1BFA">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8B6D86" w:rsidRPr="003B1BFA">
              <w:rPr>
                <w:rFonts w:ascii="Arial Narrow" w:hAnsi="Arial Narrow" w:cs="Times New Roman"/>
                <w:sz w:val="20"/>
                <w:szCs w:val="22"/>
                <w:vertAlign w:val="superscript"/>
                <w:lang w:eastAsia="en-US"/>
              </w:rPr>
              <w:t>1</w:t>
            </w:r>
          </w:p>
        </w:tc>
      </w:tr>
      <w:tr w:rsidR="008C2651" w:rsidRPr="005802E9" w:rsidTr="00EF40A9">
        <w:tc>
          <w:tcPr>
            <w:tcW w:w="4615" w:type="dxa"/>
            <w:vAlign w:val="center"/>
          </w:tcPr>
          <w:p w:rsidR="008C2651" w:rsidRPr="003B1BFA" w:rsidRDefault="00EC0E44" w:rsidP="008C2651">
            <w:pPr>
              <w:tabs>
                <w:tab w:val="left" w:pos="142"/>
              </w:tabs>
              <w:jc w:val="left"/>
              <w:rPr>
                <w:rFonts w:ascii="Arial Narrow" w:hAnsi="Arial Narrow" w:cs="Times New Roman"/>
                <w:sz w:val="20"/>
                <w:szCs w:val="22"/>
                <w:lang w:eastAsia="en-US"/>
              </w:rPr>
            </w:pPr>
            <w:r>
              <w:rPr>
                <w:rFonts w:ascii="Arial Narrow" w:hAnsi="Arial Narrow" w:cs="Times New Roman"/>
                <w:noProof/>
                <w:color w:val="000000"/>
                <w:sz w:val="20"/>
                <w:szCs w:val="22"/>
                <w:highlight w:val="black"/>
                <w:lang w:eastAsia="en-US"/>
              </w:rPr>
              <w:t>'''''''''</w:t>
            </w:r>
            <w:r w:rsidR="008C2651" w:rsidRPr="003B1BFA">
              <w:rPr>
                <w:rFonts w:ascii="Arial Narrow" w:hAnsi="Arial Narrow" w:cs="Times New Roman"/>
                <w:sz w:val="20"/>
                <w:szCs w:val="22"/>
                <w:lang w:eastAsia="en-US"/>
              </w:rPr>
              <w:t xml:space="preserve"> g in all cycles, $</w:t>
            </w:r>
            <w:r>
              <w:rPr>
                <w:rFonts w:ascii="Arial Narrow" w:hAnsi="Arial Narrow" w:cs="Times New Roman"/>
                <w:noProof/>
                <w:color w:val="000000"/>
                <w:sz w:val="20"/>
                <w:szCs w:val="22"/>
                <w:highlight w:val="black"/>
                <w:lang w:eastAsia="en-US"/>
              </w:rPr>
              <w:t>''''''''''''''''</w:t>
            </w:r>
            <w:r w:rsidR="008C2651" w:rsidRPr="003B1BFA">
              <w:rPr>
                <w:rFonts w:ascii="Arial Narrow" w:hAnsi="Arial Narrow" w:cs="Times New Roman"/>
                <w:sz w:val="20"/>
                <w:szCs w:val="22"/>
                <w:lang w:eastAsia="en-US"/>
              </w:rPr>
              <w:t xml:space="preserve"> per cycle</w:t>
            </w:r>
          </w:p>
        </w:tc>
        <w:tc>
          <w:tcPr>
            <w:tcW w:w="1623" w:type="dxa"/>
            <w:vAlign w:val="center"/>
          </w:tcPr>
          <w:p w:rsidR="008C2651" w:rsidRPr="003B1BFA" w:rsidRDefault="008C2651" w:rsidP="008C2651">
            <w:pPr>
              <w:jc w:val="center"/>
              <w:rPr>
                <w:rFonts w:ascii="Arial Narrow" w:hAnsi="Arial Narrow" w:cs="Times New Roman"/>
                <w:sz w:val="20"/>
                <w:szCs w:val="22"/>
                <w:lang w:eastAsia="en-US"/>
              </w:rPr>
            </w:pPr>
            <w:r w:rsidRPr="003B1BFA">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8C2651" w:rsidRPr="003B1BFA" w:rsidRDefault="008C2651" w:rsidP="008C2651">
            <w:pPr>
              <w:jc w:val="center"/>
              <w:rPr>
                <w:rFonts w:ascii="Arial Narrow" w:hAnsi="Arial Narrow" w:cs="Times New Roman"/>
                <w:sz w:val="20"/>
                <w:szCs w:val="22"/>
                <w:lang w:eastAsia="en-US"/>
              </w:rPr>
            </w:pPr>
            <w:r w:rsidRPr="003B1BFA">
              <w:rPr>
                <w:rFonts w:ascii="Arial Narrow" w:hAnsi="Arial Narrow" w:cs="Times New Roman"/>
                <w:sz w:val="20"/>
                <w:szCs w:val="22"/>
                <w:lang w:eastAsia="en-US"/>
              </w:rPr>
              <w:t>0.0551</w:t>
            </w:r>
          </w:p>
        </w:tc>
        <w:tc>
          <w:tcPr>
            <w:tcW w:w="1192" w:type="dxa"/>
            <w:vAlign w:val="center"/>
          </w:tcPr>
          <w:p w:rsidR="008C2651" w:rsidRPr="003B1BFA" w:rsidRDefault="008C2651" w:rsidP="008C2651">
            <w:pPr>
              <w:jc w:val="center"/>
              <w:rPr>
                <w:rFonts w:ascii="Arial Narrow" w:hAnsi="Arial Narrow" w:cs="Times New Roman"/>
                <w:sz w:val="20"/>
                <w:szCs w:val="22"/>
                <w:lang w:eastAsia="en-US"/>
              </w:rPr>
            </w:pPr>
            <w:r w:rsidRPr="003B1BFA">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8B6D86" w:rsidRPr="003B1BFA">
              <w:rPr>
                <w:rFonts w:ascii="Arial Narrow" w:hAnsi="Arial Narrow" w:cs="Times New Roman"/>
                <w:sz w:val="20"/>
                <w:szCs w:val="22"/>
                <w:vertAlign w:val="superscript"/>
                <w:lang w:eastAsia="en-US"/>
              </w:rPr>
              <w:t>5</w:t>
            </w:r>
          </w:p>
        </w:tc>
      </w:tr>
      <w:tr w:rsidR="008C2651" w:rsidRPr="005802E9" w:rsidTr="00EF40A9">
        <w:tc>
          <w:tcPr>
            <w:tcW w:w="4615" w:type="dxa"/>
            <w:vAlign w:val="center"/>
          </w:tcPr>
          <w:p w:rsidR="008C2651" w:rsidRPr="003B1BFA" w:rsidRDefault="00EC0E44" w:rsidP="008C2651">
            <w:pPr>
              <w:tabs>
                <w:tab w:val="left" w:pos="142"/>
              </w:tabs>
              <w:jc w:val="left"/>
              <w:rPr>
                <w:rFonts w:ascii="Arial Narrow" w:hAnsi="Arial Narrow" w:cs="Times New Roman"/>
                <w:sz w:val="20"/>
                <w:szCs w:val="22"/>
                <w:lang w:eastAsia="en-US"/>
              </w:rPr>
            </w:pPr>
            <w:r>
              <w:rPr>
                <w:rFonts w:ascii="Arial Narrow" w:hAnsi="Arial Narrow" w:cs="Times New Roman"/>
                <w:noProof/>
                <w:color w:val="000000"/>
                <w:sz w:val="20"/>
                <w:szCs w:val="22"/>
                <w:highlight w:val="black"/>
                <w:lang w:eastAsia="en-US"/>
              </w:rPr>
              <w:t>''''''''''</w:t>
            </w:r>
            <w:r w:rsidR="008C2651" w:rsidRPr="003B1BFA">
              <w:rPr>
                <w:rFonts w:ascii="Arial Narrow" w:hAnsi="Arial Narrow" w:cs="Times New Roman"/>
                <w:sz w:val="20"/>
                <w:szCs w:val="22"/>
                <w:lang w:eastAsia="en-US"/>
              </w:rPr>
              <w:t xml:space="preserve"> g in all cycles, $</w:t>
            </w:r>
            <w:r>
              <w:rPr>
                <w:rFonts w:ascii="Arial Narrow" w:hAnsi="Arial Narrow" w:cs="Times New Roman"/>
                <w:noProof/>
                <w:color w:val="000000"/>
                <w:sz w:val="20"/>
                <w:szCs w:val="22"/>
                <w:highlight w:val="black"/>
                <w:lang w:eastAsia="en-US"/>
              </w:rPr>
              <w:t>'''''''''''''''</w:t>
            </w:r>
            <w:r w:rsidR="008C2651" w:rsidRPr="003B1BFA">
              <w:rPr>
                <w:rFonts w:ascii="Arial Narrow" w:hAnsi="Arial Narrow" w:cs="Times New Roman"/>
                <w:sz w:val="20"/>
                <w:szCs w:val="22"/>
                <w:lang w:eastAsia="en-US"/>
              </w:rPr>
              <w:t xml:space="preserve"> per cycle</w:t>
            </w:r>
          </w:p>
        </w:tc>
        <w:tc>
          <w:tcPr>
            <w:tcW w:w="1623" w:type="dxa"/>
            <w:vAlign w:val="center"/>
          </w:tcPr>
          <w:p w:rsidR="008C2651" w:rsidRPr="003B1BFA" w:rsidRDefault="008C2651" w:rsidP="008C2651">
            <w:pPr>
              <w:jc w:val="center"/>
              <w:rPr>
                <w:rFonts w:ascii="Arial Narrow" w:hAnsi="Arial Narrow" w:cs="Times New Roman"/>
                <w:sz w:val="20"/>
                <w:szCs w:val="22"/>
                <w:lang w:eastAsia="en-US"/>
              </w:rPr>
            </w:pPr>
            <w:r w:rsidRPr="003B1BFA">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p>
        </w:tc>
        <w:tc>
          <w:tcPr>
            <w:tcW w:w="1652" w:type="dxa"/>
            <w:vAlign w:val="center"/>
          </w:tcPr>
          <w:p w:rsidR="008C2651" w:rsidRPr="003B1BFA" w:rsidRDefault="008C2651" w:rsidP="008C2651">
            <w:pPr>
              <w:jc w:val="center"/>
              <w:rPr>
                <w:rFonts w:ascii="Arial Narrow" w:hAnsi="Arial Narrow" w:cs="Times New Roman"/>
                <w:sz w:val="20"/>
                <w:szCs w:val="22"/>
                <w:lang w:eastAsia="en-US"/>
              </w:rPr>
            </w:pPr>
            <w:r w:rsidRPr="003B1BFA">
              <w:rPr>
                <w:rFonts w:ascii="Arial Narrow" w:hAnsi="Arial Narrow" w:cs="Times New Roman"/>
                <w:sz w:val="20"/>
                <w:szCs w:val="22"/>
                <w:lang w:eastAsia="en-US"/>
              </w:rPr>
              <w:t>0.0551</w:t>
            </w:r>
          </w:p>
        </w:tc>
        <w:tc>
          <w:tcPr>
            <w:tcW w:w="1192" w:type="dxa"/>
            <w:vAlign w:val="center"/>
          </w:tcPr>
          <w:p w:rsidR="008C2651" w:rsidRPr="003B1BFA" w:rsidRDefault="008C2651" w:rsidP="008C2651">
            <w:pPr>
              <w:jc w:val="center"/>
              <w:rPr>
                <w:rFonts w:ascii="Arial Narrow" w:hAnsi="Arial Narrow" w:cs="Times New Roman"/>
                <w:sz w:val="20"/>
                <w:szCs w:val="22"/>
                <w:lang w:eastAsia="en-US"/>
              </w:rPr>
            </w:pPr>
            <w:r w:rsidRPr="003B1BFA">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7026C4" w:rsidRPr="003B1BFA">
              <w:rPr>
                <w:rFonts w:ascii="Arial Narrow" w:hAnsi="Arial Narrow" w:cs="Times New Roman"/>
                <w:sz w:val="20"/>
                <w:szCs w:val="22"/>
                <w:vertAlign w:val="superscript"/>
                <w:lang w:eastAsia="en-US"/>
              </w:rPr>
              <w:t>6</w:t>
            </w:r>
          </w:p>
        </w:tc>
      </w:tr>
    </w:tbl>
    <w:p w:rsidR="008851F9" w:rsidRPr="005802E9" w:rsidRDefault="008851F9" w:rsidP="008851F9">
      <w:pPr>
        <w:pStyle w:val="TableFigureFooter"/>
        <w:spacing w:after="0"/>
      </w:pPr>
      <w:r w:rsidRPr="005802E9">
        <w:t>Source: compiled during the evaluation based on ‘Crisaborole economic model’ Excel workbook of the resubmission</w:t>
      </w:r>
    </w:p>
    <w:p w:rsidR="008851F9" w:rsidRPr="005802E9" w:rsidRDefault="008851F9" w:rsidP="008851F9">
      <w:pPr>
        <w:pStyle w:val="TableFooter"/>
      </w:pPr>
      <w:r w:rsidRPr="005802E9">
        <w:rPr>
          <w:vertAlign w:val="superscript"/>
        </w:rPr>
        <w:t xml:space="preserve">a </w:t>
      </w:r>
      <w:r w:rsidRPr="005802E9">
        <w:t>The ISGA 0/1 utility value for adults was also modified to 0.939</w:t>
      </w:r>
    </w:p>
    <w:p w:rsidR="008851F9" w:rsidRDefault="00A15EA2" w:rsidP="0061230C">
      <w:pPr>
        <w:pStyle w:val="TableFigureFooter"/>
        <w:spacing w:after="0"/>
      </w:pPr>
      <w:r w:rsidRPr="005802E9">
        <w:rPr>
          <w:vertAlign w:val="superscript"/>
        </w:rPr>
        <w:t>b</w:t>
      </w:r>
      <w:r w:rsidRPr="005802E9">
        <w:t xml:space="preserve"> </w:t>
      </w:r>
      <w:r w:rsidR="0061230C" w:rsidRPr="005802E9">
        <w:t>For revised transition probabilities: In Cycle 1, no patients transition to the ISGA 2+ cease treatment health state, remaining transition probabilities adjusted to sum to 100% (crisaborole: to ISGA 0/1 pause treatment, 51%; to ISGA 2+ on treatment, 49%; to ISGA 2+ cease treatment, 0%; standard management: to ISGA 0/1 pause treatment, 37.2%; to ISGA 2+ on treatment, 62.8%; to ISGA 2+ cease treatment, 0%). In Cycle 2 onwards, 50% of relative treatment effect observed in Cycle 1 is assumed for transitions from ISGA 2+ on treatment to ISGA 0/1 pause treatment, and no treatment benefit assumed for transitions to ISGA 2+ cease treatment (crisaborole: to ISGA 2+ on treatment, 69.5%; to ISGA 0/1 pause treatment, 24.6%; to ISGA 2+ cease treatment, 5.9%; standard management: to ISGA 2+ on treatment, 72.9%; to ISGA 0/1 pause treatment, 21.2%; to ISGA 2+ cease treatment, 5.9%)</w:t>
      </w:r>
    </w:p>
    <w:p w:rsidR="00A33791" w:rsidRPr="008B6D86" w:rsidRDefault="00A33791" w:rsidP="0061230C">
      <w:pPr>
        <w:pStyle w:val="TableFigureFooter"/>
        <w:spacing w:after="0"/>
        <w:rPr>
          <w:i/>
        </w:rPr>
      </w:pPr>
      <w:r w:rsidRPr="008B6D86">
        <w:rPr>
          <w:i/>
        </w:rPr>
        <w:t>The redacted values correspond to the following ranges:</w:t>
      </w:r>
    </w:p>
    <w:p w:rsidR="008B6D86" w:rsidRPr="008B6D86" w:rsidRDefault="00A33791" w:rsidP="0061230C">
      <w:pPr>
        <w:pStyle w:val="TableFigureFooter"/>
        <w:spacing w:after="0"/>
        <w:rPr>
          <w:i/>
        </w:rPr>
      </w:pPr>
      <w:r w:rsidRPr="008B6D86">
        <w:rPr>
          <w:i/>
          <w:vertAlign w:val="superscript"/>
        </w:rPr>
        <w:t>1</w:t>
      </w:r>
      <w:r w:rsidR="008B6D86" w:rsidRPr="008B6D86">
        <w:rPr>
          <w:i/>
        </w:rPr>
        <w:t>$5,000 to &lt;$15,000</w:t>
      </w:r>
      <w:r w:rsidR="00A861CD">
        <w:rPr>
          <w:i/>
        </w:rPr>
        <w:t>/QALY gained</w:t>
      </w:r>
    </w:p>
    <w:p w:rsidR="0061230C" w:rsidRPr="008B6D86" w:rsidRDefault="008B6D86" w:rsidP="003D5CF9">
      <w:pPr>
        <w:pStyle w:val="TableFooter"/>
        <w:rPr>
          <w:i/>
        </w:rPr>
      </w:pPr>
      <w:r w:rsidRPr="008B6D86">
        <w:rPr>
          <w:i/>
          <w:vertAlign w:val="superscript"/>
        </w:rPr>
        <w:t>2</w:t>
      </w:r>
      <w:r w:rsidRPr="008B6D86">
        <w:rPr>
          <w:i/>
        </w:rPr>
        <w:t>$</w:t>
      </w:r>
      <w:r w:rsidR="007026C4">
        <w:rPr>
          <w:i/>
        </w:rPr>
        <w:t>7</w:t>
      </w:r>
      <w:r w:rsidRPr="008B6D86">
        <w:rPr>
          <w:i/>
        </w:rPr>
        <w:t>5,000 to &lt;$</w:t>
      </w:r>
      <w:r w:rsidR="007026C4">
        <w:rPr>
          <w:i/>
        </w:rPr>
        <w:t>9</w:t>
      </w:r>
      <w:r w:rsidRPr="008B6D86">
        <w:rPr>
          <w:i/>
        </w:rPr>
        <w:t>5,000</w:t>
      </w:r>
      <w:r w:rsidR="00A861CD">
        <w:rPr>
          <w:i/>
        </w:rPr>
        <w:t>/QALY gained</w:t>
      </w:r>
    </w:p>
    <w:p w:rsidR="008B6D86" w:rsidRPr="008B6D86" w:rsidRDefault="008B6D86" w:rsidP="003D5CF9">
      <w:pPr>
        <w:pStyle w:val="TableFooter"/>
        <w:rPr>
          <w:i/>
        </w:rPr>
      </w:pPr>
      <w:r w:rsidRPr="008B6D86">
        <w:rPr>
          <w:i/>
          <w:vertAlign w:val="superscript"/>
        </w:rPr>
        <w:t>3</w:t>
      </w:r>
      <w:r w:rsidRPr="008B6D86">
        <w:rPr>
          <w:i/>
        </w:rPr>
        <w:t>$$25,000 to &lt;$35,000</w:t>
      </w:r>
      <w:r w:rsidR="00A861CD">
        <w:rPr>
          <w:i/>
        </w:rPr>
        <w:t>/QALY gained</w:t>
      </w:r>
    </w:p>
    <w:p w:rsidR="008B6D86" w:rsidRPr="008B6D86" w:rsidRDefault="008B6D86" w:rsidP="003D5CF9">
      <w:pPr>
        <w:pStyle w:val="TableFooter"/>
        <w:rPr>
          <w:i/>
        </w:rPr>
      </w:pPr>
      <w:r w:rsidRPr="008B6D86">
        <w:rPr>
          <w:i/>
          <w:vertAlign w:val="superscript"/>
        </w:rPr>
        <w:t>4</w:t>
      </w:r>
      <w:r w:rsidRPr="008B6D86">
        <w:rPr>
          <w:i/>
        </w:rPr>
        <w:t>$45,000 to &lt;$55,000</w:t>
      </w:r>
      <w:r w:rsidR="00A861CD">
        <w:rPr>
          <w:i/>
        </w:rPr>
        <w:t>/QALY gained</w:t>
      </w:r>
    </w:p>
    <w:p w:rsidR="008B6D86" w:rsidRDefault="008B6D86" w:rsidP="003D5CF9">
      <w:pPr>
        <w:pStyle w:val="TableFooter"/>
        <w:rPr>
          <w:i/>
        </w:rPr>
      </w:pPr>
      <w:r w:rsidRPr="008B6D86">
        <w:rPr>
          <w:i/>
          <w:vertAlign w:val="superscript"/>
        </w:rPr>
        <w:t>5</w:t>
      </w:r>
      <w:r w:rsidRPr="008B6D86">
        <w:rPr>
          <w:i/>
        </w:rPr>
        <w:t>$35,000 to &lt;$45,000</w:t>
      </w:r>
      <w:r w:rsidR="00A861CD">
        <w:rPr>
          <w:i/>
        </w:rPr>
        <w:t>/QALY gained</w:t>
      </w:r>
    </w:p>
    <w:p w:rsidR="007026C4" w:rsidRPr="007026C4" w:rsidRDefault="007026C4" w:rsidP="003D5CF9">
      <w:pPr>
        <w:pStyle w:val="TableFooter"/>
        <w:rPr>
          <w:i/>
        </w:rPr>
      </w:pPr>
      <w:r>
        <w:rPr>
          <w:i/>
          <w:vertAlign w:val="superscript"/>
        </w:rPr>
        <w:t>6</w:t>
      </w:r>
      <w:r>
        <w:rPr>
          <w:i/>
        </w:rPr>
        <w:t>$55,000 to &lt;$75,000</w:t>
      </w:r>
      <w:r w:rsidR="00A861CD">
        <w:rPr>
          <w:i/>
        </w:rPr>
        <w:t>/QALY gained</w:t>
      </w:r>
    </w:p>
    <w:p w:rsidR="008B6D86" w:rsidRPr="005802E9" w:rsidRDefault="008B6D86" w:rsidP="003D5CF9">
      <w:pPr>
        <w:pStyle w:val="TableFooter"/>
      </w:pPr>
    </w:p>
    <w:p w:rsidR="00A86E8B" w:rsidRPr="005802E9" w:rsidRDefault="008851F9" w:rsidP="008851F9">
      <w:pPr>
        <w:pStyle w:val="ExecSumBodyText"/>
      </w:pPr>
      <w:r w:rsidRPr="005802E9">
        <w:t>The model was most sensitive to time horizon</w:t>
      </w:r>
      <w:r w:rsidR="00053CDD" w:rsidRPr="005802E9">
        <w:t>,</w:t>
      </w:r>
      <w:r w:rsidRPr="005802E9">
        <w:t xml:space="preserve"> crisaborole utilisation</w:t>
      </w:r>
      <w:r w:rsidR="00053CDD" w:rsidRPr="005802E9">
        <w:t xml:space="preserve"> and alternative transition probabilities</w:t>
      </w:r>
      <w:r w:rsidRPr="005802E9">
        <w:t xml:space="preserve">. The model was also moderately sensitive to disease management costs. </w:t>
      </w:r>
      <w:r w:rsidR="00BC5138" w:rsidRPr="005802E9">
        <w:rPr>
          <w:iCs/>
        </w:rPr>
        <w:t xml:space="preserve">The model did not appear sensitive to changes in </w:t>
      </w:r>
      <w:r w:rsidR="00053CDD" w:rsidRPr="005802E9">
        <w:rPr>
          <w:iCs/>
        </w:rPr>
        <w:t>utilities</w:t>
      </w:r>
      <w:r w:rsidR="00F54BA0" w:rsidRPr="005802E9">
        <w:rPr>
          <w:iCs/>
        </w:rPr>
        <w:t>, however this may be obscured because the base case is dominant.</w:t>
      </w:r>
    </w:p>
    <w:p w:rsidR="00C25D9C" w:rsidRPr="005802E9" w:rsidRDefault="008851F9" w:rsidP="008851F9">
      <w:pPr>
        <w:pStyle w:val="ExecSumBodyText"/>
      </w:pPr>
      <w:r w:rsidRPr="005802E9">
        <w:t xml:space="preserve">The structure of the economic model did not allow </w:t>
      </w:r>
      <w:r w:rsidR="00053CDD" w:rsidRPr="005802E9">
        <w:t>adequate assessment of</w:t>
      </w:r>
      <w:r w:rsidRPr="005802E9">
        <w:t xml:space="preserve"> the impacts of the </w:t>
      </w:r>
      <w:r w:rsidR="002B208E" w:rsidRPr="005802E9">
        <w:t>long-term symptom control and</w:t>
      </w:r>
      <w:r w:rsidR="002B208E" w:rsidRPr="005802E9">
        <w:rPr>
          <w:i/>
        </w:rPr>
        <w:t xml:space="preserve"> </w:t>
      </w:r>
      <w:r w:rsidRPr="005802E9">
        <w:t xml:space="preserve">failure assumptions (all patients </w:t>
      </w:r>
      <w:r w:rsidRPr="005802E9">
        <w:lastRenderedPageBreak/>
        <w:t>entering the ISGA 0/1 or 2+ cease treatment states remain in those states or die). There were no data provided in support of this assumption that is unlikely to reflect the relapsing-remitting nature of the disease.</w:t>
      </w:r>
    </w:p>
    <w:p w:rsidR="00B766D0" w:rsidRPr="005802E9" w:rsidRDefault="00962FB9" w:rsidP="001E2F24">
      <w:pPr>
        <w:pStyle w:val="ExecSumBodyText"/>
      </w:pPr>
      <w:r w:rsidRPr="005802E9">
        <w:t xml:space="preserve">Overall, the usefulness of the univariate analyses </w:t>
      </w:r>
      <w:r w:rsidR="000235D2" w:rsidRPr="005802E9">
        <w:t>was</w:t>
      </w:r>
      <w:r w:rsidRPr="005802E9">
        <w:t xml:space="preserve"> limited due to concerns with the model structure and parameters that were driving the cost-saving scenarios. During the evaluation, multivariate analyses were conducted </w:t>
      </w:r>
      <w:r w:rsidR="008851F9" w:rsidRPr="005802E9">
        <w:t>using alternative combinations of time horizon</w:t>
      </w:r>
      <w:r w:rsidR="00111C6B" w:rsidRPr="005802E9">
        <w:t xml:space="preserve">, </w:t>
      </w:r>
      <w:r w:rsidR="00B766D0" w:rsidRPr="005802E9">
        <w:t>crisaborole u</w:t>
      </w:r>
      <w:r w:rsidR="00111C6B" w:rsidRPr="005802E9">
        <w:t>tilisation, disease management costs and utility values</w:t>
      </w:r>
      <w:r w:rsidR="00B766D0" w:rsidRPr="005802E9">
        <w:t xml:space="preserve"> (summarised in the table below). </w:t>
      </w:r>
      <w:r w:rsidR="006F2EBF" w:rsidRPr="005802E9">
        <w:t>Additional multivariate analyses were conducted using alternative values for transition probabilities.</w:t>
      </w:r>
    </w:p>
    <w:p w:rsidR="00B766D0" w:rsidRPr="005802E9" w:rsidRDefault="004736E5" w:rsidP="004E552C">
      <w:pPr>
        <w:pStyle w:val="Tableheadingrow"/>
        <w:keepLines/>
        <w:rPr>
          <w:lang w:val="en-AU"/>
        </w:rPr>
      </w:pPr>
      <w:r w:rsidRPr="005802E9">
        <w:rPr>
          <w:lang w:val="en-AU"/>
        </w:rPr>
        <w:t>Table 1</w:t>
      </w:r>
      <w:r w:rsidR="00A15EA2" w:rsidRPr="005802E9">
        <w:rPr>
          <w:lang w:val="en-AU"/>
        </w:rPr>
        <w:t>7</w:t>
      </w:r>
      <w:r w:rsidR="00B766D0" w:rsidRPr="005802E9">
        <w:rPr>
          <w:lang w:val="en-AU"/>
        </w:rPr>
        <w:t>: Results of multivariate sensitivity analyses</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1"/>
        <w:gridCol w:w="1539"/>
        <w:gridCol w:w="1512"/>
        <w:gridCol w:w="1106"/>
      </w:tblGrid>
      <w:tr w:rsidR="006F2EBF" w:rsidRPr="005802E9" w:rsidTr="009441FF">
        <w:tc>
          <w:tcPr>
            <w:tcW w:w="9038" w:type="dxa"/>
            <w:gridSpan w:val="4"/>
            <w:vAlign w:val="center"/>
          </w:tcPr>
          <w:p w:rsidR="006F2EBF" w:rsidRPr="005802E9" w:rsidRDefault="006F2EBF" w:rsidP="009441FF">
            <w:pPr>
              <w:keepLines/>
              <w:widowControl w:val="0"/>
              <w:jc w:val="left"/>
              <w:rPr>
                <w:rFonts w:ascii="Arial Narrow" w:hAnsi="Arial Narrow" w:cs="Times New Roman"/>
                <w:b/>
                <w:bCs/>
                <w:sz w:val="20"/>
                <w:szCs w:val="22"/>
                <w:lang w:eastAsia="en-US"/>
              </w:rPr>
            </w:pPr>
            <w:r w:rsidRPr="005802E9">
              <w:rPr>
                <w:rFonts w:ascii="Arial Narrow" w:hAnsi="Arial Narrow" w:cs="Times New Roman"/>
                <w:b/>
                <w:bCs/>
                <w:sz w:val="20"/>
                <w:szCs w:val="22"/>
                <w:lang w:eastAsia="en-US"/>
              </w:rPr>
              <w:t>Time horizon, crisaborole utilisation and alternative transition probabilities</w:t>
            </w:r>
          </w:p>
        </w:tc>
      </w:tr>
      <w:tr w:rsidR="006F2EBF" w:rsidRPr="005802E9" w:rsidTr="009441FF">
        <w:tc>
          <w:tcPr>
            <w:tcW w:w="4881" w:type="dxa"/>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 28 days (1 cycle) and 120 g crisaborole per cycle</w:t>
            </w:r>
          </w:p>
        </w:tc>
        <w:tc>
          <w:tcPr>
            <w:tcW w:w="1539" w:type="dxa"/>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0.0007</w:t>
            </w:r>
          </w:p>
        </w:tc>
        <w:tc>
          <w:tcPr>
            <w:tcW w:w="1106"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016D16" w:rsidRPr="00016D16">
              <w:rPr>
                <w:rFonts w:ascii="Arial Narrow" w:hAnsi="Arial Narrow" w:cs="Times New Roman"/>
                <w:sz w:val="20"/>
                <w:szCs w:val="22"/>
                <w:vertAlign w:val="superscript"/>
                <w:lang w:eastAsia="en-US"/>
              </w:rPr>
              <w:t>1</w:t>
            </w:r>
          </w:p>
        </w:tc>
      </w:tr>
      <w:tr w:rsidR="006F2EBF" w:rsidRPr="005802E9" w:rsidTr="009441FF">
        <w:tc>
          <w:tcPr>
            <w:tcW w:w="4881" w:type="dxa"/>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 28 days (1 cycle) and 180 g crisaborole per cycle</w:t>
            </w:r>
          </w:p>
        </w:tc>
        <w:tc>
          <w:tcPr>
            <w:tcW w:w="1539" w:type="dxa"/>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0.0007</w:t>
            </w:r>
          </w:p>
        </w:tc>
        <w:tc>
          <w:tcPr>
            <w:tcW w:w="1106"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016D16" w:rsidRPr="00016D16">
              <w:rPr>
                <w:rFonts w:ascii="Arial Narrow" w:hAnsi="Arial Narrow" w:cs="Times New Roman"/>
                <w:sz w:val="20"/>
                <w:szCs w:val="22"/>
                <w:vertAlign w:val="superscript"/>
                <w:lang w:eastAsia="en-US"/>
              </w:rPr>
              <w:t>2</w:t>
            </w:r>
          </w:p>
        </w:tc>
      </w:tr>
      <w:tr w:rsidR="006F2EBF" w:rsidRPr="005802E9" w:rsidTr="006F2EBF">
        <w:tc>
          <w:tcPr>
            <w:tcW w:w="4881" w:type="dxa"/>
            <w:shd w:val="clear" w:color="auto" w:fill="FFFFFF" w:themeFill="background1"/>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 1 year (13 cycles) and 120 g crisaborole per cycle</w:t>
            </w:r>
          </w:p>
        </w:tc>
        <w:tc>
          <w:tcPr>
            <w:tcW w:w="1539" w:type="dxa"/>
            <w:shd w:val="clear" w:color="auto" w:fill="FFFFFF" w:themeFill="background1"/>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shd w:val="clear" w:color="auto" w:fill="FFFFFF" w:themeFill="background1"/>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0.0065</w:t>
            </w:r>
          </w:p>
        </w:tc>
        <w:tc>
          <w:tcPr>
            <w:tcW w:w="1106" w:type="dxa"/>
            <w:shd w:val="clear" w:color="auto" w:fill="FFFFFF" w:themeFill="background1"/>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94009D">
              <w:rPr>
                <w:rFonts w:ascii="Arial Narrow" w:hAnsi="Arial Narrow" w:cs="Times New Roman"/>
                <w:sz w:val="20"/>
                <w:szCs w:val="22"/>
                <w:vertAlign w:val="superscript"/>
                <w:lang w:eastAsia="en-US"/>
              </w:rPr>
              <w:t>8</w:t>
            </w:r>
          </w:p>
        </w:tc>
      </w:tr>
      <w:tr w:rsidR="006F2EBF" w:rsidRPr="005802E9" w:rsidTr="009441FF">
        <w:tc>
          <w:tcPr>
            <w:tcW w:w="4881" w:type="dxa"/>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 1 year (13 cycles) and 180 g crisaborole per cycle</w:t>
            </w:r>
          </w:p>
        </w:tc>
        <w:tc>
          <w:tcPr>
            <w:tcW w:w="1539" w:type="dxa"/>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0.0065</w:t>
            </w:r>
          </w:p>
        </w:tc>
        <w:tc>
          <w:tcPr>
            <w:tcW w:w="1106"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016D16" w:rsidRPr="00016D16">
              <w:rPr>
                <w:rFonts w:ascii="Arial Narrow" w:hAnsi="Arial Narrow" w:cs="Times New Roman"/>
                <w:sz w:val="20"/>
                <w:szCs w:val="22"/>
                <w:vertAlign w:val="superscript"/>
                <w:lang w:eastAsia="en-US"/>
              </w:rPr>
              <w:t>3</w:t>
            </w:r>
          </w:p>
        </w:tc>
      </w:tr>
      <w:tr w:rsidR="006F2EBF" w:rsidRPr="005802E9" w:rsidTr="009441FF">
        <w:tc>
          <w:tcPr>
            <w:tcW w:w="9038" w:type="dxa"/>
            <w:gridSpan w:val="4"/>
            <w:vAlign w:val="center"/>
          </w:tcPr>
          <w:p w:rsidR="006F2EBF" w:rsidRPr="005802E9" w:rsidRDefault="006F2EBF" w:rsidP="009441FF">
            <w:pPr>
              <w:keepLines/>
              <w:widowControl w:val="0"/>
              <w:jc w:val="left"/>
              <w:rPr>
                <w:rFonts w:ascii="Arial Narrow" w:hAnsi="Arial Narrow" w:cs="Times New Roman"/>
                <w:b/>
                <w:bCs/>
                <w:sz w:val="20"/>
                <w:szCs w:val="22"/>
                <w:lang w:eastAsia="en-US"/>
              </w:rPr>
            </w:pPr>
            <w:r w:rsidRPr="005802E9">
              <w:rPr>
                <w:rFonts w:ascii="Arial Narrow" w:hAnsi="Arial Narrow" w:cs="Times New Roman"/>
                <w:b/>
                <w:bCs/>
                <w:sz w:val="20"/>
                <w:szCs w:val="22"/>
                <w:lang w:eastAsia="en-US"/>
              </w:rPr>
              <w:t>Time horizon, crisaborole utilisation, alternative transition probabilities and ISGA 2+ health state costs based on mild disease only</w:t>
            </w:r>
          </w:p>
        </w:tc>
      </w:tr>
      <w:tr w:rsidR="006F2EBF" w:rsidRPr="005802E9" w:rsidTr="009441FF">
        <w:tc>
          <w:tcPr>
            <w:tcW w:w="4881" w:type="dxa"/>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 28 days (1 cycle), 120 g crisaborole per cycle</w:t>
            </w:r>
          </w:p>
        </w:tc>
        <w:tc>
          <w:tcPr>
            <w:tcW w:w="1539" w:type="dxa"/>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0.0007</w:t>
            </w:r>
          </w:p>
        </w:tc>
        <w:tc>
          <w:tcPr>
            <w:tcW w:w="1106"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94009D">
              <w:rPr>
                <w:rFonts w:ascii="Arial Narrow" w:hAnsi="Arial Narrow" w:cs="Times New Roman"/>
                <w:sz w:val="20"/>
                <w:szCs w:val="22"/>
                <w:vertAlign w:val="superscript"/>
                <w:lang w:eastAsia="en-US"/>
              </w:rPr>
              <w:t>1</w:t>
            </w:r>
          </w:p>
        </w:tc>
      </w:tr>
      <w:tr w:rsidR="006F2EBF" w:rsidRPr="005802E9" w:rsidTr="009441FF">
        <w:tc>
          <w:tcPr>
            <w:tcW w:w="4881" w:type="dxa"/>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 xml:space="preserve">Time horizon 28 days (1 cycle), 180 g crisaborole per cycle </w:t>
            </w:r>
          </w:p>
        </w:tc>
        <w:tc>
          <w:tcPr>
            <w:tcW w:w="1539" w:type="dxa"/>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0.0007</w:t>
            </w:r>
          </w:p>
        </w:tc>
        <w:tc>
          <w:tcPr>
            <w:tcW w:w="1106"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016D16" w:rsidRPr="00016D16">
              <w:rPr>
                <w:rFonts w:ascii="Arial Narrow" w:hAnsi="Arial Narrow" w:cs="Times New Roman"/>
                <w:sz w:val="20"/>
                <w:szCs w:val="22"/>
                <w:vertAlign w:val="superscript"/>
                <w:lang w:eastAsia="en-US"/>
              </w:rPr>
              <w:t>2</w:t>
            </w:r>
          </w:p>
        </w:tc>
      </w:tr>
      <w:tr w:rsidR="006F2EBF" w:rsidRPr="005802E9" w:rsidTr="006F2EBF">
        <w:tc>
          <w:tcPr>
            <w:tcW w:w="4881" w:type="dxa"/>
            <w:shd w:val="clear" w:color="auto" w:fill="FFFFFF" w:themeFill="background1"/>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 xml:space="preserve">Time horizon 1 year (13 cycles), 120 g crisaborole per cycle </w:t>
            </w:r>
          </w:p>
        </w:tc>
        <w:tc>
          <w:tcPr>
            <w:tcW w:w="1539" w:type="dxa"/>
            <w:shd w:val="clear" w:color="auto" w:fill="FFFFFF" w:themeFill="background1"/>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shd w:val="clear" w:color="auto" w:fill="FFFFFF" w:themeFill="background1"/>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0.0065</w:t>
            </w:r>
          </w:p>
        </w:tc>
        <w:tc>
          <w:tcPr>
            <w:tcW w:w="1106" w:type="dxa"/>
            <w:shd w:val="clear" w:color="auto" w:fill="FFFFFF" w:themeFill="background1"/>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94009D">
              <w:rPr>
                <w:rFonts w:ascii="Arial Narrow" w:hAnsi="Arial Narrow" w:cs="Times New Roman"/>
                <w:sz w:val="20"/>
                <w:szCs w:val="22"/>
                <w:vertAlign w:val="superscript"/>
                <w:lang w:eastAsia="en-US"/>
              </w:rPr>
              <w:t>8</w:t>
            </w:r>
          </w:p>
        </w:tc>
      </w:tr>
      <w:tr w:rsidR="006F2EBF" w:rsidRPr="005802E9" w:rsidTr="009441FF">
        <w:tc>
          <w:tcPr>
            <w:tcW w:w="4881" w:type="dxa"/>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 xml:space="preserve">Time horizon 1 year (13 cycles), 180 g crisaborole per cycle </w:t>
            </w:r>
          </w:p>
        </w:tc>
        <w:tc>
          <w:tcPr>
            <w:tcW w:w="1539" w:type="dxa"/>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0.0065</w:t>
            </w:r>
          </w:p>
        </w:tc>
        <w:tc>
          <w:tcPr>
            <w:tcW w:w="1106"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016D16" w:rsidRPr="00016D16">
              <w:rPr>
                <w:rFonts w:ascii="Arial Narrow" w:hAnsi="Arial Narrow" w:cs="Times New Roman"/>
                <w:sz w:val="20"/>
                <w:szCs w:val="22"/>
                <w:vertAlign w:val="superscript"/>
                <w:lang w:eastAsia="en-US"/>
              </w:rPr>
              <w:t>3</w:t>
            </w:r>
          </w:p>
        </w:tc>
      </w:tr>
      <w:tr w:rsidR="006F2EBF" w:rsidRPr="005802E9" w:rsidTr="009441FF">
        <w:tc>
          <w:tcPr>
            <w:tcW w:w="9038" w:type="dxa"/>
            <w:gridSpan w:val="4"/>
            <w:vAlign w:val="center"/>
          </w:tcPr>
          <w:p w:rsidR="006F2EBF" w:rsidRPr="005802E9" w:rsidRDefault="00B97102" w:rsidP="00D83584">
            <w:pPr>
              <w:keepLines/>
              <w:widowControl w:val="0"/>
              <w:jc w:val="left"/>
              <w:rPr>
                <w:rFonts w:ascii="Arial Narrow" w:hAnsi="Arial Narrow" w:cs="Times New Roman"/>
                <w:b/>
                <w:bCs/>
                <w:sz w:val="20"/>
                <w:szCs w:val="22"/>
                <w:lang w:eastAsia="en-US"/>
              </w:rPr>
            </w:pPr>
            <w:r w:rsidRPr="005802E9">
              <w:rPr>
                <w:rFonts w:ascii="Arial Narrow" w:hAnsi="Arial Narrow" w:cs="Times New Roman"/>
                <w:b/>
                <w:bCs/>
                <w:sz w:val="20"/>
                <w:szCs w:val="22"/>
                <w:lang w:eastAsia="en-US"/>
              </w:rPr>
              <w:t>Alternative Cycle 1 and Cycle 2+ transition probabilities</w:t>
            </w:r>
            <w:r w:rsidR="00AC7874" w:rsidRPr="005802E9">
              <w:rPr>
                <w:rFonts w:ascii="Arial Narrow" w:hAnsi="Arial Narrow" w:cs="Times New Roman"/>
                <w:b/>
                <w:bCs/>
                <w:sz w:val="20"/>
                <w:szCs w:val="22"/>
                <w:lang w:eastAsia="en-US"/>
              </w:rPr>
              <w:t xml:space="preserve"> +</w:t>
            </w:r>
            <w:r w:rsidRPr="005802E9">
              <w:rPr>
                <w:rFonts w:ascii="Arial Narrow" w:hAnsi="Arial Narrow" w:cs="Times New Roman"/>
                <w:b/>
                <w:bCs/>
                <w:sz w:val="20"/>
                <w:szCs w:val="22"/>
                <w:lang w:eastAsia="en-US"/>
              </w:rPr>
              <w:t xml:space="preserve"> ISGA 2+ health state costs based on mild disease only +</w:t>
            </w:r>
            <w:r w:rsidR="00D83584" w:rsidRPr="005802E9">
              <w:rPr>
                <w:rFonts w:ascii="Arial Narrow" w:hAnsi="Arial Narrow" w:cs="Times New Roman"/>
                <w:b/>
                <w:bCs/>
                <w:sz w:val="20"/>
                <w:szCs w:val="22"/>
                <w:lang w:eastAsia="en-US"/>
              </w:rPr>
              <w:t xml:space="preserve"> alternative </w:t>
            </w:r>
            <w:r w:rsidR="00792C2B" w:rsidRPr="005802E9">
              <w:rPr>
                <w:rFonts w:ascii="Arial Narrow" w:hAnsi="Arial Narrow" w:cs="Times New Roman"/>
                <w:b/>
                <w:bCs/>
                <w:sz w:val="20"/>
                <w:szCs w:val="22"/>
                <w:lang w:eastAsia="en-US"/>
              </w:rPr>
              <w:t>t</w:t>
            </w:r>
            <w:r w:rsidR="006F2EBF" w:rsidRPr="005802E9">
              <w:rPr>
                <w:rFonts w:ascii="Arial Narrow" w:hAnsi="Arial Narrow" w:cs="Times New Roman"/>
                <w:b/>
                <w:bCs/>
                <w:sz w:val="20"/>
                <w:szCs w:val="22"/>
                <w:lang w:eastAsia="en-US"/>
              </w:rPr>
              <w:t>ime horizon</w:t>
            </w:r>
            <w:r w:rsidR="00D83584" w:rsidRPr="005802E9">
              <w:rPr>
                <w:rFonts w:ascii="Arial Narrow" w:hAnsi="Arial Narrow" w:cs="Times New Roman"/>
                <w:b/>
                <w:bCs/>
                <w:sz w:val="20"/>
                <w:szCs w:val="22"/>
                <w:lang w:eastAsia="en-US"/>
              </w:rPr>
              <w:t>s</w:t>
            </w:r>
            <w:r w:rsidR="006F2EBF" w:rsidRPr="005802E9">
              <w:rPr>
                <w:rFonts w:ascii="Arial Narrow" w:hAnsi="Arial Narrow" w:cs="Times New Roman"/>
                <w:b/>
                <w:bCs/>
                <w:sz w:val="20"/>
                <w:szCs w:val="22"/>
                <w:lang w:eastAsia="en-US"/>
              </w:rPr>
              <w:t>, crisaborole utilisatio</w:t>
            </w:r>
            <w:r w:rsidR="00AC7874" w:rsidRPr="005802E9">
              <w:rPr>
                <w:rFonts w:ascii="Arial Narrow" w:hAnsi="Arial Narrow" w:cs="Times New Roman"/>
                <w:b/>
                <w:bCs/>
                <w:sz w:val="20"/>
                <w:szCs w:val="22"/>
                <w:lang w:eastAsia="en-US"/>
              </w:rPr>
              <w:t>ns and</w:t>
            </w:r>
            <w:r w:rsidR="006F2EBF" w:rsidRPr="005802E9">
              <w:rPr>
                <w:rFonts w:ascii="Arial Narrow" w:hAnsi="Arial Narrow" w:cs="Times New Roman"/>
                <w:b/>
                <w:bCs/>
                <w:sz w:val="20"/>
                <w:szCs w:val="22"/>
                <w:lang w:eastAsia="en-US"/>
              </w:rPr>
              <w:t xml:space="preserve"> utility values</w:t>
            </w:r>
            <w:r w:rsidR="00ED4E5A" w:rsidRPr="005802E9">
              <w:rPr>
                <w:rFonts w:ascii="Arial Narrow" w:hAnsi="Arial Narrow" w:cs="Times New Roman"/>
                <w:b/>
                <w:bCs/>
                <w:sz w:val="20"/>
                <w:szCs w:val="22"/>
                <w:lang w:eastAsia="en-US"/>
              </w:rPr>
              <w:t>*</w:t>
            </w:r>
            <w:r w:rsidR="00633C8F" w:rsidRPr="005802E9">
              <w:rPr>
                <w:rFonts w:ascii="Arial Narrow" w:hAnsi="Arial Narrow" w:cs="Times New Roman"/>
                <w:b/>
                <w:bCs/>
                <w:sz w:val="20"/>
                <w:szCs w:val="22"/>
                <w:lang w:eastAsia="en-US"/>
              </w:rPr>
              <w:t>:</w:t>
            </w:r>
            <w:r w:rsidR="006F2EBF" w:rsidRPr="005802E9">
              <w:rPr>
                <w:rFonts w:ascii="Arial Narrow" w:hAnsi="Arial Narrow" w:cs="Times New Roman"/>
                <w:b/>
                <w:bCs/>
                <w:sz w:val="20"/>
                <w:szCs w:val="22"/>
                <w:lang w:eastAsia="en-US"/>
              </w:rPr>
              <w:t xml:space="preserve"> </w:t>
            </w:r>
          </w:p>
        </w:tc>
      </w:tr>
      <w:tr w:rsidR="006F2EBF" w:rsidRPr="005802E9" w:rsidTr="009441FF">
        <w:tc>
          <w:tcPr>
            <w:tcW w:w="4881" w:type="dxa"/>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 28 days (1 cycle), 120 g crisaborole per cycle and 50% of base case health state utility difference</w:t>
            </w:r>
          </w:p>
        </w:tc>
        <w:tc>
          <w:tcPr>
            <w:tcW w:w="1539" w:type="dxa"/>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0.0003</w:t>
            </w:r>
          </w:p>
        </w:tc>
        <w:tc>
          <w:tcPr>
            <w:tcW w:w="1106"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iCs/>
                <w:sz w:val="20"/>
                <w:szCs w:val="22"/>
                <w:lang w:eastAsia="en-US"/>
              </w:rPr>
              <w:t>$</w:t>
            </w:r>
            <w:r w:rsidR="00EC0E44">
              <w:rPr>
                <w:rFonts w:ascii="Arial Narrow" w:hAnsi="Arial Narrow" w:cs="Times New Roman"/>
                <w:iCs/>
                <w:noProof/>
                <w:color w:val="000000"/>
                <w:sz w:val="20"/>
                <w:szCs w:val="22"/>
                <w:highlight w:val="black"/>
                <w:lang w:eastAsia="en-US"/>
              </w:rPr>
              <w:t>'''''''''''''''''''</w:t>
            </w:r>
            <w:r w:rsidR="00016D16" w:rsidRPr="00016D16">
              <w:rPr>
                <w:rFonts w:ascii="Arial Narrow" w:hAnsi="Arial Narrow" w:cs="Times New Roman"/>
                <w:iCs/>
                <w:sz w:val="20"/>
                <w:szCs w:val="22"/>
                <w:vertAlign w:val="superscript"/>
                <w:lang w:eastAsia="en-US"/>
              </w:rPr>
              <w:t>4</w:t>
            </w:r>
          </w:p>
        </w:tc>
      </w:tr>
      <w:tr w:rsidR="006F2EBF" w:rsidRPr="005802E9" w:rsidTr="009441FF">
        <w:tc>
          <w:tcPr>
            <w:tcW w:w="4881" w:type="dxa"/>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 28 days (1 cycle), 120 g crisaborole per cycle and 75% of base case health state utility difference</w:t>
            </w:r>
          </w:p>
        </w:tc>
        <w:tc>
          <w:tcPr>
            <w:tcW w:w="1539" w:type="dxa"/>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0.0005</w:t>
            </w:r>
          </w:p>
        </w:tc>
        <w:tc>
          <w:tcPr>
            <w:tcW w:w="1106"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iCs/>
                <w:sz w:val="20"/>
                <w:szCs w:val="22"/>
                <w:lang w:eastAsia="en-US"/>
              </w:rPr>
              <w:t>$</w:t>
            </w:r>
            <w:r w:rsidR="00EC0E44">
              <w:rPr>
                <w:rFonts w:ascii="Arial Narrow" w:hAnsi="Arial Narrow" w:cs="Times New Roman"/>
                <w:iCs/>
                <w:noProof/>
                <w:color w:val="000000"/>
                <w:sz w:val="20"/>
                <w:szCs w:val="22"/>
                <w:highlight w:val="black"/>
                <w:lang w:eastAsia="en-US"/>
              </w:rPr>
              <w:t>'''''''''''''''''''''</w:t>
            </w:r>
            <w:r w:rsidR="0094009D">
              <w:rPr>
                <w:rFonts w:ascii="Arial Narrow" w:hAnsi="Arial Narrow" w:cs="Times New Roman"/>
                <w:iCs/>
                <w:sz w:val="20"/>
                <w:szCs w:val="22"/>
                <w:vertAlign w:val="superscript"/>
                <w:lang w:eastAsia="en-US"/>
              </w:rPr>
              <w:t>3</w:t>
            </w:r>
          </w:p>
        </w:tc>
      </w:tr>
      <w:tr w:rsidR="006F2EBF" w:rsidRPr="005802E9" w:rsidTr="009441FF">
        <w:tc>
          <w:tcPr>
            <w:tcW w:w="4881" w:type="dxa"/>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 1 year (13 cycles), 120 g crisaborole per cycle and 50% of base case health state utility difference</w:t>
            </w:r>
          </w:p>
        </w:tc>
        <w:tc>
          <w:tcPr>
            <w:tcW w:w="1539" w:type="dxa"/>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0.0032</w:t>
            </w:r>
          </w:p>
        </w:tc>
        <w:tc>
          <w:tcPr>
            <w:tcW w:w="1106"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016D16" w:rsidRPr="00016D16">
              <w:rPr>
                <w:rFonts w:ascii="Arial Narrow" w:hAnsi="Arial Narrow" w:cs="Times New Roman"/>
                <w:sz w:val="20"/>
                <w:szCs w:val="22"/>
                <w:vertAlign w:val="superscript"/>
                <w:lang w:eastAsia="en-US"/>
              </w:rPr>
              <w:t>2</w:t>
            </w:r>
          </w:p>
        </w:tc>
      </w:tr>
      <w:tr w:rsidR="006F2EBF" w:rsidRPr="005802E9" w:rsidTr="006F2EBF">
        <w:tc>
          <w:tcPr>
            <w:tcW w:w="4881" w:type="dxa"/>
            <w:shd w:val="clear" w:color="auto" w:fill="D9D9D9" w:themeFill="background1" w:themeFillShade="D9"/>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 1 year (13 cycles), 120 g crisaborole per cycle and 75% of base case health state utility difference</w:t>
            </w:r>
          </w:p>
        </w:tc>
        <w:tc>
          <w:tcPr>
            <w:tcW w:w="1539" w:type="dxa"/>
            <w:shd w:val="clear" w:color="auto" w:fill="D9D9D9" w:themeFill="background1" w:themeFillShade="D9"/>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shd w:val="clear" w:color="auto" w:fill="D9D9D9" w:themeFill="background1" w:themeFillShade="D9"/>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0.0048</w:t>
            </w:r>
          </w:p>
        </w:tc>
        <w:tc>
          <w:tcPr>
            <w:tcW w:w="1106" w:type="dxa"/>
            <w:shd w:val="clear" w:color="auto" w:fill="D9D9D9" w:themeFill="background1" w:themeFillShade="D9"/>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94009D">
              <w:rPr>
                <w:rFonts w:ascii="Arial Narrow" w:hAnsi="Arial Narrow" w:cs="Times New Roman"/>
                <w:sz w:val="20"/>
                <w:szCs w:val="22"/>
                <w:vertAlign w:val="superscript"/>
                <w:lang w:eastAsia="en-US"/>
              </w:rPr>
              <w:t>1</w:t>
            </w:r>
          </w:p>
        </w:tc>
      </w:tr>
      <w:tr w:rsidR="006F2EBF" w:rsidRPr="005802E9" w:rsidTr="009441FF">
        <w:tc>
          <w:tcPr>
            <w:tcW w:w="4881" w:type="dxa"/>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 28 days (1 cycle), 180 g crisaborole per cycle and 50% of base case health state utility difference</w:t>
            </w:r>
          </w:p>
        </w:tc>
        <w:tc>
          <w:tcPr>
            <w:tcW w:w="1539" w:type="dxa"/>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0.0003</w:t>
            </w:r>
          </w:p>
        </w:tc>
        <w:tc>
          <w:tcPr>
            <w:tcW w:w="1106"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3C2634">
              <w:rPr>
                <w:rFonts w:ascii="Arial Narrow" w:hAnsi="Arial Narrow" w:cs="Times New Roman"/>
                <w:noProof/>
                <w:color w:val="000000"/>
                <w:sz w:val="20"/>
                <w:szCs w:val="22"/>
                <w:highlight w:val="black"/>
                <w:lang w:eastAsia="en-US"/>
              </w:rPr>
              <w:t>'''''''''''</w:t>
            </w:r>
            <w:r w:rsidR="00EC0E44">
              <w:rPr>
                <w:rFonts w:ascii="Arial Narrow" w:hAnsi="Arial Narrow" w:cs="Times New Roman"/>
                <w:noProof/>
                <w:color w:val="000000"/>
                <w:sz w:val="20"/>
                <w:szCs w:val="22"/>
                <w:highlight w:val="black"/>
                <w:lang w:eastAsia="en-US"/>
              </w:rPr>
              <w:t>''''''''''''</w:t>
            </w:r>
            <w:r w:rsidR="009D7BB8" w:rsidRPr="009D7BB8">
              <w:rPr>
                <w:rFonts w:ascii="Arial Narrow" w:hAnsi="Arial Narrow" w:cs="Times New Roman"/>
                <w:sz w:val="20"/>
                <w:szCs w:val="22"/>
                <w:vertAlign w:val="superscript"/>
                <w:lang w:eastAsia="en-US"/>
              </w:rPr>
              <w:t>6</w:t>
            </w:r>
          </w:p>
        </w:tc>
      </w:tr>
      <w:tr w:rsidR="006F2EBF" w:rsidRPr="005802E9" w:rsidTr="009441FF">
        <w:tc>
          <w:tcPr>
            <w:tcW w:w="4881" w:type="dxa"/>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 28 days (1 cycle), 180 g crisaborole per cycle and 75% of base case health state utility difference</w:t>
            </w:r>
          </w:p>
        </w:tc>
        <w:tc>
          <w:tcPr>
            <w:tcW w:w="1539" w:type="dxa"/>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0.0005</w:t>
            </w:r>
          </w:p>
        </w:tc>
        <w:tc>
          <w:tcPr>
            <w:tcW w:w="1106"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9D7BB8" w:rsidRPr="009D7BB8">
              <w:rPr>
                <w:rFonts w:ascii="Arial Narrow" w:hAnsi="Arial Narrow" w:cs="Times New Roman"/>
                <w:sz w:val="20"/>
                <w:szCs w:val="22"/>
                <w:vertAlign w:val="superscript"/>
                <w:lang w:eastAsia="en-US"/>
              </w:rPr>
              <w:t>4</w:t>
            </w:r>
          </w:p>
        </w:tc>
      </w:tr>
      <w:tr w:rsidR="006F2EBF" w:rsidRPr="005802E9" w:rsidTr="009441FF">
        <w:tc>
          <w:tcPr>
            <w:tcW w:w="4881" w:type="dxa"/>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 1 year (13 cycles), 180 g crisaborole per cycle and 50% of base case health state utility difference</w:t>
            </w:r>
          </w:p>
        </w:tc>
        <w:tc>
          <w:tcPr>
            <w:tcW w:w="1539" w:type="dxa"/>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0.0032</w:t>
            </w:r>
          </w:p>
        </w:tc>
        <w:tc>
          <w:tcPr>
            <w:tcW w:w="1106"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9D7BB8" w:rsidRPr="009D7BB8">
              <w:rPr>
                <w:rFonts w:ascii="Arial Narrow" w:hAnsi="Arial Narrow" w:cs="Times New Roman"/>
                <w:sz w:val="20"/>
                <w:szCs w:val="22"/>
                <w:vertAlign w:val="superscript"/>
                <w:lang w:eastAsia="en-US"/>
              </w:rPr>
              <w:t>7</w:t>
            </w:r>
          </w:p>
        </w:tc>
      </w:tr>
      <w:tr w:rsidR="006F2EBF" w:rsidRPr="005802E9" w:rsidTr="009441FF">
        <w:tc>
          <w:tcPr>
            <w:tcW w:w="4881" w:type="dxa"/>
            <w:vAlign w:val="center"/>
          </w:tcPr>
          <w:p w:rsidR="006F2EBF" w:rsidRPr="005802E9" w:rsidRDefault="006F2EBF" w:rsidP="009441FF">
            <w:pPr>
              <w:keepLines/>
              <w:widowControl w:val="0"/>
              <w:tabs>
                <w:tab w:val="left" w:pos="142"/>
              </w:tabs>
              <w:jc w:val="left"/>
              <w:rPr>
                <w:rFonts w:ascii="Arial Narrow" w:hAnsi="Arial Narrow" w:cs="Times New Roman"/>
                <w:sz w:val="20"/>
                <w:szCs w:val="22"/>
                <w:lang w:eastAsia="en-US"/>
              </w:rPr>
            </w:pPr>
            <w:r w:rsidRPr="005802E9">
              <w:rPr>
                <w:rFonts w:ascii="Arial Narrow" w:hAnsi="Arial Narrow" w:cs="Times New Roman"/>
                <w:sz w:val="20"/>
                <w:szCs w:val="22"/>
                <w:lang w:eastAsia="en-US"/>
              </w:rPr>
              <w:t>Time horizon 1 year (13 cycles), 180 g crisaborole per cycle and 75% of base case health state utility difference</w:t>
            </w:r>
            <w:r w:rsidRPr="005802E9" w:rsidDel="00A04E2D">
              <w:rPr>
                <w:rFonts w:ascii="Arial Narrow" w:hAnsi="Arial Narrow" w:cs="Times New Roman"/>
                <w:sz w:val="20"/>
                <w:szCs w:val="22"/>
                <w:lang w:eastAsia="en-US"/>
              </w:rPr>
              <w:t xml:space="preserve"> </w:t>
            </w:r>
          </w:p>
        </w:tc>
        <w:tc>
          <w:tcPr>
            <w:tcW w:w="1539" w:type="dxa"/>
            <w:vAlign w:val="center"/>
          </w:tcPr>
          <w:p w:rsidR="006F2EBF" w:rsidRPr="00EC0E44" w:rsidRDefault="00EC0E44" w:rsidP="009441FF">
            <w:pPr>
              <w:keepLines/>
              <w:widowControl w:val="0"/>
              <w:jc w:val="center"/>
              <w:rPr>
                <w:rFonts w:ascii="Arial Narrow" w:hAnsi="Arial Narrow" w:cs="Times New Roman"/>
                <w:sz w:val="20"/>
                <w:szCs w:val="22"/>
                <w:highlight w:val="black"/>
                <w:lang w:eastAsia="en-US"/>
              </w:rPr>
            </w:pPr>
            <w:r>
              <w:rPr>
                <w:rFonts w:ascii="Arial Narrow" w:hAnsi="Arial Narrow" w:cs="Times New Roman"/>
                <w:noProof/>
                <w:color w:val="000000"/>
                <w:sz w:val="20"/>
                <w:szCs w:val="22"/>
                <w:highlight w:val="black"/>
                <w:lang w:eastAsia="en-US"/>
              </w:rPr>
              <w:t>''''''''''''''''</w:t>
            </w:r>
          </w:p>
        </w:tc>
        <w:tc>
          <w:tcPr>
            <w:tcW w:w="1512"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0.0048</w:t>
            </w:r>
          </w:p>
        </w:tc>
        <w:tc>
          <w:tcPr>
            <w:tcW w:w="1106" w:type="dxa"/>
            <w:vAlign w:val="center"/>
          </w:tcPr>
          <w:p w:rsidR="006F2EBF" w:rsidRPr="005802E9" w:rsidRDefault="006F2EBF" w:rsidP="009441FF">
            <w:pPr>
              <w:keepLines/>
              <w:widowControl w:val="0"/>
              <w:jc w:val="center"/>
              <w:rPr>
                <w:rFonts w:ascii="Arial Narrow" w:hAnsi="Arial Narrow" w:cs="Times New Roman"/>
                <w:sz w:val="20"/>
                <w:szCs w:val="22"/>
                <w:lang w:eastAsia="en-US"/>
              </w:rPr>
            </w:pPr>
            <w:r w:rsidRPr="005802E9">
              <w:rPr>
                <w:rFonts w:ascii="Arial Narrow" w:hAnsi="Arial Narrow" w:cs="Times New Roman"/>
                <w:sz w:val="20"/>
                <w:szCs w:val="22"/>
                <w:lang w:eastAsia="en-US"/>
              </w:rPr>
              <w:t>$</w:t>
            </w:r>
            <w:r w:rsidR="00EC0E44">
              <w:rPr>
                <w:rFonts w:ascii="Arial Narrow" w:hAnsi="Arial Narrow" w:cs="Times New Roman"/>
                <w:noProof/>
                <w:color w:val="000000"/>
                <w:sz w:val="20"/>
                <w:szCs w:val="22"/>
                <w:highlight w:val="black"/>
                <w:lang w:eastAsia="en-US"/>
              </w:rPr>
              <w:t>''''''''''''''''''</w:t>
            </w:r>
            <w:r w:rsidR="009D7BB8" w:rsidRPr="009D7BB8">
              <w:rPr>
                <w:rFonts w:ascii="Arial Narrow" w:hAnsi="Arial Narrow" w:cs="Times New Roman"/>
                <w:sz w:val="20"/>
                <w:szCs w:val="22"/>
                <w:vertAlign w:val="superscript"/>
                <w:lang w:eastAsia="en-US"/>
              </w:rPr>
              <w:t>2</w:t>
            </w:r>
          </w:p>
        </w:tc>
      </w:tr>
    </w:tbl>
    <w:p w:rsidR="00ED4E5A" w:rsidRPr="005802E9" w:rsidRDefault="00ED4E5A" w:rsidP="004E552C">
      <w:pPr>
        <w:pStyle w:val="TableFigureFooter"/>
        <w:keepNext/>
        <w:keepLines/>
      </w:pPr>
      <w:r w:rsidRPr="005802E9">
        <w:lastRenderedPageBreak/>
        <w:t>* 50% of base case utility difference between ISGA 0/1 and ISGA 2+ health states (children: ISGA 0/1, 0.980; ISGA 2+, 0.858; adults: ISGA 0/1, 0.929; ISGA 2+, 0.884)</w:t>
      </w:r>
      <w:r w:rsidR="00792C2B" w:rsidRPr="005802E9">
        <w:t xml:space="preserve">; </w:t>
      </w:r>
      <w:r w:rsidRPr="005802E9">
        <w:t>75% of base case utility difference between ISGA 0/1 and ISGA 2+ health states (children: ISGA 0/1, 0.980; ISGA 2+, 0.797; adults: ISGA 0/1, 0.929; ISGA 2+, 0.861)</w:t>
      </w:r>
    </w:p>
    <w:p w:rsidR="00B766D0" w:rsidRPr="0094009D" w:rsidRDefault="00B766D0" w:rsidP="004E552C">
      <w:pPr>
        <w:pStyle w:val="TableFigureFooter"/>
        <w:keepNext/>
        <w:keepLines/>
        <w:rPr>
          <w:i/>
        </w:rPr>
      </w:pPr>
      <w:r w:rsidRPr="0094009D">
        <w:rPr>
          <w:i/>
        </w:rPr>
        <w:t>Source: compiled during the evaluation based on ‘Crisaborole economic model’ Excel workbook of the resubmission</w:t>
      </w:r>
    </w:p>
    <w:p w:rsidR="0094009D" w:rsidRPr="0094009D" w:rsidRDefault="0094009D" w:rsidP="0094009D">
      <w:pPr>
        <w:pStyle w:val="TableFigureFooter"/>
        <w:keepNext/>
        <w:keepLines/>
        <w:rPr>
          <w:i/>
        </w:rPr>
      </w:pPr>
      <w:r w:rsidRPr="0094009D">
        <w:rPr>
          <w:i/>
        </w:rPr>
        <w:t>The redacted values correspond to the following ranges:</w:t>
      </w:r>
    </w:p>
    <w:p w:rsidR="0094009D" w:rsidRPr="0094009D" w:rsidRDefault="0094009D" w:rsidP="0094009D">
      <w:pPr>
        <w:pStyle w:val="TableFigureFooter"/>
        <w:keepNext/>
        <w:keepLines/>
        <w:rPr>
          <w:i/>
        </w:rPr>
      </w:pPr>
      <w:r w:rsidRPr="0094009D">
        <w:rPr>
          <w:i/>
          <w:vertAlign w:val="superscript"/>
        </w:rPr>
        <w:t>1</w:t>
      </w:r>
      <w:r w:rsidRPr="0094009D">
        <w:rPr>
          <w:i/>
        </w:rPr>
        <w:t>$355,000 to &lt;$455,000/QALY gained</w:t>
      </w:r>
    </w:p>
    <w:p w:rsidR="0094009D" w:rsidRPr="0094009D" w:rsidRDefault="0094009D" w:rsidP="0094009D">
      <w:pPr>
        <w:pStyle w:val="TableFigureFooter"/>
        <w:keepNext/>
        <w:keepLines/>
        <w:rPr>
          <w:i/>
        </w:rPr>
      </w:pPr>
      <w:r w:rsidRPr="0094009D">
        <w:rPr>
          <w:i/>
          <w:vertAlign w:val="superscript"/>
        </w:rPr>
        <w:t>2</w:t>
      </w:r>
      <w:r w:rsidRPr="0094009D">
        <w:rPr>
          <w:i/>
        </w:rPr>
        <w:t>$555,000 to &lt;$655,000/QALY gained</w:t>
      </w:r>
    </w:p>
    <w:p w:rsidR="0094009D" w:rsidRPr="0094009D" w:rsidRDefault="0094009D" w:rsidP="0094009D">
      <w:pPr>
        <w:pStyle w:val="TableFigureFooter"/>
        <w:keepNext/>
        <w:keepLines/>
        <w:rPr>
          <w:i/>
        </w:rPr>
      </w:pPr>
      <w:r w:rsidRPr="0094009D">
        <w:rPr>
          <w:i/>
          <w:vertAlign w:val="superscript"/>
        </w:rPr>
        <w:t>3</w:t>
      </w:r>
      <w:r w:rsidRPr="0094009D">
        <w:rPr>
          <w:i/>
        </w:rPr>
        <w:t>$455,000 to &lt;$555,000/QALY gained</w:t>
      </w:r>
    </w:p>
    <w:p w:rsidR="0094009D" w:rsidRPr="0094009D" w:rsidRDefault="0094009D" w:rsidP="0094009D">
      <w:pPr>
        <w:pStyle w:val="TableFigureFooter"/>
        <w:keepNext/>
        <w:keepLines/>
        <w:rPr>
          <w:i/>
        </w:rPr>
      </w:pPr>
      <w:r w:rsidRPr="0094009D">
        <w:rPr>
          <w:i/>
          <w:vertAlign w:val="superscript"/>
        </w:rPr>
        <w:t>4</w:t>
      </w:r>
      <w:r w:rsidRPr="0094009D">
        <w:rPr>
          <w:i/>
        </w:rPr>
        <w:t>$755,000 to &lt;$855,000/QALY gained</w:t>
      </w:r>
    </w:p>
    <w:p w:rsidR="0094009D" w:rsidRPr="0094009D" w:rsidRDefault="0094009D" w:rsidP="0094009D">
      <w:pPr>
        <w:pStyle w:val="TableFigureFooter"/>
        <w:keepNext/>
        <w:keepLines/>
        <w:rPr>
          <w:i/>
        </w:rPr>
      </w:pPr>
      <w:r w:rsidRPr="0094009D">
        <w:rPr>
          <w:i/>
          <w:vertAlign w:val="superscript"/>
        </w:rPr>
        <w:t>5</w:t>
      </w:r>
      <w:r w:rsidRPr="0094009D">
        <w:rPr>
          <w:i/>
        </w:rPr>
        <w:t>$500,000 to &lt;$600,000/QALY gained</w:t>
      </w:r>
    </w:p>
    <w:p w:rsidR="0094009D" w:rsidRPr="0094009D" w:rsidRDefault="0094009D" w:rsidP="0094009D">
      <w:pPr>
        <w:pStyle w:val="TableFigureFooter"/>
        <w:keepNext/>
        <w:keepLines/>
        <w:rPr>
          <w:i/>
        </w:rPr>
      </w:pPr>
      <w:r w:rsidRPr="0094009D">
        <w:rPr>
          <w:i/>
          <w:vertAlign w:val="superscript"/>
        </w:rPr>
        <w:t>6</w:t>
      </w:r>
      <w:r w:rsidRPr="0094009D">
        <w:rPr>
          <w:i/>
        </w:rPr>
        <w:t>&gt;$1,055,000/QALY gained</w:t>
      </w:r>
    </w:p>
    <w:p w:rsidR="0094009D" w:rsidRPr="0094009D" w:rsidRDefault="0094009D" w:rsidP="0094009D">
      <w:pPr>
        <w:pStyle w:val="TableFigureFooter"/>
        <w:keepNext/>
        <w:keepLines/>
        <w:rPr>
          <w:i/>
        </w:rPr>
      </w:pPr>
      <w:r w:rsidRPr="0094009D">
        <w:rPr>
          <w:i/>
          <w:vertAlign w:val="superscript"/>
        </w:rPr>
        <w:t>7</w:t>
      </w:r>
      <w:r w:rsidRPr="0094009D">
        <w:rPr>
          <w:i/>
        </w:rPr>
        <w:t>$955,000 to &lt;$1,055,000/QALY gained</w:t>
      </w:r>
    </w:p>
    <w:p w:rsidR="0094009D" w:rsidRPr="0094009D" w:rsidRDefault="0094009D" w:rsidP="0094009D">
      <w:pPr>
        <w:pStyle w:val="TableFigureFooter"/>
        <w:keepNext/>
        <w:keepLines/>
        <w:rPr>
          <w:i/>
        </w:rPr>
      </w:pPr>
      <w:r w:rsidRPr="0094009D">
        <w:rPr>
          <w:i/>
          <w:vertAlign w:val="superscript"/>
        </w:rPr>
        <w:t>8</w:t>
      </w:r>
      <w:r w:rsidRPr="0094009D">
        <w:rPr>
          <w:i/>
        </w:rPr>
        <w:t>$255,000 to &lt;$355,000/QALY gained</w:t>
      </w:r>
    </w:p>
    <w:p w:rsidR="001E2F24" w:rsidRPr="005802E9" w:rsidRDefault="00FF73A3" w:rsidP="000401DB">
      <w:pPr>
        <w:pStyle w:val="ExecSumBodyText"/>
      </w:pPr>
      <w:r w:rsidRPr="005802E9">
        <w:t>The results were highly sensitive to the estimated use of crisaborole, extrapolation of treatment benefit beyond the key trial data and utility difference between health states in the model</w:t>
      </w:r>
      <w:r w:rsidR="00B766D0" w:rsidRPr="005802E9">
        <w:t>.</w:t>
      </w:r>
      <w:r w:rsidR="005A61E4" w:rsidRPr="005802E9">
        <w:t xml:space="preserve"> The ESC noted that multivariate sensitivity analyses reflecting alternative assumptions with respect to transition probabilities (</w:t>
      </w:r>
      <w:r w:rsidR="00B76973" w:rsidRPr="005802E9">
        <w:t>Cycle 1 transition probabilities re-estimated excluding patients with missing data at day 29; difference in intervention and comparator cycle 2</w:t>
      </w:r>
      <w:r w:rsidR="00867A11" w:rsidRPr="005802E9">
        <w:t>+</w:t>
      </w:r>
      <w:r w:rsidR="00B76973" w:rsidRPr="005802E9">
        <w:t xml:space="preserve"> transition probabilities from ISGA 2+ on treatment to ISGA 0/1 pause treatment and to ISGA 2+ cease treatment reduced by 50%</w:t>
      </w:r>
      <w:r w:rsidR="005A61E4" w:rsidRPr="005802E9">
        <w:t>), ISGA 2+ management costs (based on mild disease), utility values (75% of base case), crisaborole doses (120 g per cycle) and model time horizon (1 year) resulted in an ICER of $</w:t>
      </w:r>
      <w:r w:rsidR="00AD1EE3">
        <w:t>355,000</w:t>
      </w:r>
      <w:r w:rsidR="00F16653">
        <w:t xml:space="preserve"> to &lt;$</w:t>
      </w:r>
      <w:r w:rsidR="00AD1EE3">
        <w:t>455</w:t>
      </w:r>
      <w:r w:rsidR="00F16653">
        <w:t xml:space="preserve">,000 </w:t>
      </w:r>
      <w:r w:rsidR="005A61E4" w:rsidRPr="005802E9">
        <w:t>per QALY.</w:t>
      </w:r>
    </w:p>
    <w:p w:rsidR="002272AF" w:rsidRPr="005802E9" w:rsidRDefault="002272AF" w:rsidP="002D2582">
      <w:pPr>
        <w:pStyle w:val="ExecSumBodyText"/>
        <w:numPr>
          <w:ilvl w:val="0"/>
          <w:numId w:val="0"/>
        </w:numPr>
        <w:rPr>
          <w:b/>
        </w:rPr>
      </w:pPr>
    </w:p>
    <w:p w:rsidR="002D2582" w:rsidRPr="005802E9" w:rsidRDefault="002D2582" w:rsidP="002D2582">
      <w:pPr>
        <w:pStyle w:val="ExecSumBodyText"/>
        <w:numPr>
          <w:ilvl w:val="0"/>
          <w:numId w:val="0"/>
        </w:numPr>
        <w:rPr>
          <w:i/>
        </w:rPr>
      </w:pPr>
      <w:r w:rsidRPr="005802E9">
        <w:rPr>
          <w:b/>
        </w:rPr>
        <w:t>Weighted price</w:t>
      </w:r>
    </w:p>
    <w:p w:rsidR="002D2582" w:rsidRPr="005802E9" w:rsidRDefault="002D2582" w:rsidP="0008143E">
      <w:pPr>
        <w:pStyle w:val="ExecSumBodyText"/>
        <w:rPr>
          <w:i/>
        </w:rPr>
      </w:pPr>
      <w:r w:rsidRPr="005802E9">
        <w:t>The resubmission used a complex approach based on epidemiological data and the ‘rule of nines’ to calculate price weightings for the face and eyelids versus the rest of the body.</w:t>
      </w:r>
      <w:r w:rsidR="0008143E" w:rsidRPr="005802E9">
        <w:t xml:space="preserve"> The ‘rule of nines’ assumes head and neck represents 9% of BSA in adults and 21% in babies and young children, typically used to estimate burn size.</w:t>
      </w:r>
      <w:r w:rsidRPr="005802E9">
        <w:t xml:space="preserve"> The approach was largely revised with new data inputs compared to the November 2018 submission, however, was still dependent on the ‘rule of nines’ assumption and resulted in very similar price weightings as presented in the previous submission (see table below).</w:t>
      </w:r>
    </w:p>
    <w:p w:rsidR="002D2582" w:rsidRPr="005802E9" w:rsidRDefault="00D05AC1" w:rsidP="004E552C">
      <w:pPr>
        <w:pStyle w:val="TableHeading"/>
        <w:keepLines/>
      </w:pPr>
      <w:r w:rsidRPr="005802E9">
        <w:lastRenderedPageBreak/>
        <w:t>Table 18</w:t>
      </w:r>
      <w:r w:rsidR="002D2582" w:rsidRPr="005802E9">
        <w:t>: Calculation of weighted DPMQ for crisaborole</w:t>
      </w:r>
    </w:p>
    <w:tbl>
      <w:tblPr>
        <w:tblStyle w:val="TableGrid"/>
        <w:tblW w:w="0" w:type="auto"/>
        <w:tblLook w:val="0620" w:firstRow="1" w:lastRow="0" w:firstColumn="0" w:lastColumn="0" w:noHBand="1" w:noVBand="1"/>
        <w:tblCaption w:val="Table 18: Calculation of weighted DPMQ for crisaborole"/>
      </w:tblPr>
      <w:tblGrid>
        <w:gridCol w:w="3011"/>
        <w:gridCol w:w="3004"/>
        <w:gridCol w:w="3002"/>
      </w:tblGrid>
      <w:tr w:rsidR="002D2582" w:rsidRPr="005802E9" w:rsidTr="00F27BD7">
        <w:trPr>
          <w:tblHeader/>
        </w:trPr>
        <w:tc>
          <w:tcPr>
            <w:tcW w:w="3011" w:type="dxa"/>
          </w:tcPr>
          <w:p w:rsidR="002D2582" w:rsidRPr="005802E9" w:rsidRDefault="002D2582" w:rsidP="004E552C">
            <w:pPr>
              <w:keepNext/>
              <w:keepLines/>
              <w:rPr>
                <w:rFonts w:ascii="Arial Narrow" w:hAnsi="Arial Narrow"/>
                <w:b/>
                <w:sz w:val="20"/>
              </w:rPr>
            </w:pPr>
          </w:p>
        </w:tc>
        <w:tc>
          <w:tcPr>
            <w:tcW w:w="3004" w:type="dxa"/>
          </w:tcPr>
          <w:p w:rsidR="002D2582" w:rsidRPr="005802E9" w:rsidRDefault="002D2582" w:rsidP="004E552C">
            <w:pPr>
              <w:keepNext/>
              <w:keepLines/>
              <w:jc w:val="center"/>
              <w:rPr>
                <w:rFonts w:ascii="Arial Narrow" w:hAnsi="Arial Narrow"/>
                <w:b/>
                <w:sz w:val="20"/>
              </w:rPr>
            </w:pPr>
            <w:r w:rsidRPr="005802E9">
              <w:rPr>
                <w:rFonts w:ascii="Arial Narrow" w:hAnsi="Arial Narrow"/>
                <w:b/>
                <w:sz w:val="20"/>
              </w:rPr>
              <w:t>Face and eyelids</w:t>
            </w:r>
          </w:p>
        </w:tc>
        <w:tc>
          <w:tcPr>
            <w:tcW w:w="3002" w:type="dxa"/>
          </w:tcPr>
          <w:p w:rsidR="002D2582" w:rsidRPr="005802E9" w:rsidRDefault="002D2582" w:rsidP="004E552C">
            <w:pPr>
              <w:keepNext/>
              <w:keepLines/>
              <w:jc w:val="center"/>
              <w:rPr>
                <w:rFonts w:ascii="Arial Narrow" w:hAnsi="Arial Narrow"/>
                <w:b/>
                <w:sz w:val="20"/>
              </w:rPr>
            </w:pPr>
            <w:r w:rsidRPr="005802E9">
              <w:rPr>
                <w:rFonts w:ascii="Arial Narrow" w:hAnsi="Arial Narrow"/>
                <w:b/>
                <w:sz w:val="20"/>
              </w:rPr>
              <w:t>Rest of body</w:t>
            </w:r>
          </w:p>
        </w:tc>
      </w:tr>
      <w:tr w:rsidR="002D2582" w:rsidRPr="005802E9" w:rsidTr="00F27BD7">
        <w:tc>
          <w:tcPr>
            <w:tcW w:w="9017" w:type="dxa"/>
            <w:gridSpan w:val="3"/>
          </w:tcPr>
          <w:p w:rsidR="002D2582" w:rsidRPr="005802E9" w:rsidRDefault="002D2582" w:rsidP="004E552C">
            <w:pPr>
              <w:keepNext/>
              <w:keepLines/>
              <w:jc w:val="left"/>
              <w:rPr>
                <w:rFonts w:ascii="Arial Narrow" w:hAnsi="Arial Narrow"/>
                <w:b/>
                <w:sz w:val="20"/>
              </w:rPr>
            </w:pPr>
            <w:r w:rsidRPr="005802E9">
              <w:rPr>
                <w:rFonts w:ascii="Arial Narrow" w:hAnsi="Arial Narrow"/>
                <w:b/>
                <w:sz w:val="20"/>
              </w:rPr>
              <w:t>Initial script (30 g)</w:t>
            </w:r>
          </w:p>
        </w:tc>
      </w:tr>
      <w:tr w:rsidR="002D2582" w:rsidRPr="005802E9" w:rsidTr="00F27BD7">
        <w:tc>
          <w:tcPr>
            <w:tcW w:w="3011" w:type="dxa"/>
          </w:tcPr>
          <w:p w:rsidR="002D2582" w:rsidRPr="005802E9" w:rsidRDefault="002D2582" w:rsidP="004E552C">
            <w:pPr>
              <w:keepNext/>
              <w:keepLines/>
              <w:rPr>
                <w:rFonts w:ascii="Arial Narrow" w:hAnsi="Arial Narrow"/>
                <w:sz w:val="20"/>
              </w:rPr>
            </w:pPr>
            <w:r w:rsidRPr="005802E9">
              <w:rPr>
                <w:rFonts w:ascii="Arial Narrow" w:hAnsi="Arial Narrow"/>
                <w:sz w:val="20"/>
              </w:rPr>
              <w:t>Proposed AEMP</w:t>
            </w:r>
          </w:p>
        </w:tc>
        <w:tc>
          <w:tcPr>
            <w:tcW w:w="3004" w:type="dxa"/>
          </w:tcPr>
          <w:p w:rsidR="002D2582" w:rsidRPr="005802E9" w:rsidRDefault="002D2582" w:rsidP="004E552C">
            <w:pPr>
              <w:keepNext/>
              <w:keepLines/>
              <w:jc w:val="center"/>
              <w:rPr>
                <w:rFonts w:ascii="Arial Narrow" w:hAnsi="Arial Narrow"/>
                <w:sz w:val="20"/>
              </w:rPr>
            </w:pPr>
            <w:r w:rsidRPr="005802E9">
              <w:rPr>
                <w:rFonts w:ascii="Arial Narrow" w:hAnsi="Arial Narrow"/>
                <w:sz w:val="20"/>
              </w:rPr>
              <w:t>$</w:t>
            </w:r>
            <w:r w:rsidR="00EC0E44">
              <w:rPr>
                <w:rFonts w:ascii="Arial Narrow" w:hAnsi="Arial Narrow"/>
                <w:noProof/>
                <w:color w:val="000000"/>
                <w:sz w:val="20"/>
                <w:highlight w:val="black"/>
              </w:rPr>
              <w:t>'''''''''''''''</w:t>
            </w:r>
          </w:p>
        </w:tc>
        <w:tc>
          <w:tcPr>
            <w:tcW w:w="3002" w:type="dxa"/>
          </w:tcPr>
          <w:p w:rsidR="002D2582" w:rsidRPr="005802E9" w:rsidRDefault="002D2582" w:rsidP="004E552C">
            <w:pPr>
              <w:keepNext/>
              <w:keepLines/>
              <w:jc w:val="center"/>
              <w:rPr>
                <w:rFonts w:ascii="Arial Narrow" w:hAnsi="Arial Narrow"/>
                <w:sz w:val="20"/>
              </w:rPr>
            </w:pPr>
            <w:r w:rsidRPr="005802E9">
              <w:rPr>
                <w:rFonts w:ascii="Arial Narrow" w:hAnsi="Arial Narrow"/>
                <w:sz w:val="20"/>
              </w:rPr>
              <w:t>$</w:t>
            </w:r>
            <w:r w:rsidR="00EC0E44">
              <w:rPr>
                <w:rFonts w:ascii="Arial Narrow" w:hAnsi="Arial Narrow"/>
                <w:noProof/>
                <w:color w:val="000000"/>
                <w:sz w:val="20"/>
                <w:highlight w:val="black"/>
              </w:rPr>
              <w:t>'''''''''''''</w:t>
            </w:r>
          </w:p>
        </w:tc>
      </w:tr>
      <w:tr w:rsidR="002D2582" w:rsidRPr="005802E9" w:rsidTr="00F27BD7">
        <w:tc>
          <w:tcPr>
            <w:tcW w:w="3011" w:type="dxa"/>
          </w:tcPr>
          <w:p w:rsidR="002D2582" w:rsidRPr="005802E9" w:rsidRDefault="002D2582" w:rsidP="004E552C">
            <w:pPr>
              <w:keepNext/>
              <w:keepLines/>
              <w:rPr>
                <w:rFonts w:ascii="Arial Narrow" w:hAnsi="Arial Narrow"/>
                <w:sz w:val="20"/>
              </w:rPr>
            </w:pPr>
            <w:r w:rsidRPr="005802E9">
              <w:rPr>
                <w:rFonts w:ascii="Arial Narrow" w:hAnsi="Arial Narrow"/>
                <w:sz w:val="20"/>
              </w:rPr>
              <w:t>Population BSA distribution</w:t>
            </w:r>
          </w:p>
        </w:tc>
        <w:tc>
          <w:tcPr>
            <w:tcW w:w="3004" w:type="dxa"/>
          </w:tcPr>
          <w:p w:rsidR="002D2582" w:rsidRPr="005802E9" w:rsidRDefault="002D2582" w:rsidP="004E552C">
            <w:pPr>
              <w:keepNext/>
              <w:keepLines/>
              <w:jc w:val="center"/>
              <w:rPr>
                <w:rFonts w:ascii="Arial Narrow" w:hAnsi="Arial Narrow"/>
                <w:sz w:val="20"/>
              </w:rPr>
            </w:pPr>
            <w:r w:rsidRPr="005802E9">
              <w:rPr>
                <w:rFonts w:ascii="Arial Narrow" w:hAnsi="Arial Narrow"/>
                <w:sz w:val="20"/>
              </w:rPr>
              <w:t>10.3%</w:t>
            </w:r>
          </w:p>
        </w:tc>
        <w:tc>
          <w:tcPr>
            <w:tcW w:w="3002" w:type="dxa"/>
          </w:tcPr>
          <w:p w:rsidR="002D2582" w:rsidRPr="005802E9" w:rsidRDefault="002D2582" w:rsidP="004E552C">
            <w:pPr>
              <w:keepNext/>
              <w:keepLines/>
              <w:jc w:val="center"/>
              <w:rPr>
                <w:rFonts w:ascii="Arial Narrow" w:hAnsi="Arial Narrow"/>
                <w:sz w:val="20"/>
              </w:rPr>
            </w:pPr>
            <w:r w:rsidRPr="005802E9">
              <w:rPr>
                <w:rFonts w:ascii="Arial Narrow" w:hAnsi="Arial Narrow"/>
                <w:sz w:val="20"/>
              </w:rPr>
              <w:t>89.7%</w:t>
            </w:r>
          </w:p>
        </w:tc>
      </w:tr>
      <w:tr w:rsidR="002D2582" w:rsidRPr="005802E9" w:rsidTr="00F27BD7">
        <w:tc>
          <w:tcPr>
            <w:tcW w:w="3011" w:type="dxa"/>
          </w:tcPr>
          <w:p w:rsidR="002D2582" w:rsidRPr="005802E9" w:rsidRDefault="002D2582" w:rsidP="004E552C">
            <w:pPr>
              <w:keepNext/>
              <w:keepLines/>
              <w:rPr>
                <w:rFonts w:ascii="Arial Narrow" w:hAnsi="Arial Narrow"/>
                <w:sz w:val="20"/>
              </w:rPr>
            </w:pPr>
            <w:r w:rsidRPr="005802E9">
              <w:rPr>
                <w:rFonts w:ascii="Arial Narrow" w:hAnsi="Arial Narrow"/>
                <w:sz w:val="20"/>
              </w:rPr>
              <w:t>Weighted AEMP</w:t>
            </w:r>
          </w:p>
        </w:tc>
        <w:tc>
          <w:tcPr>
            <w:tcW w:w="6006" w:type="dxa"/>
            <w:gridSpan w:val="2"/>
          </w:tcPr>
          <w:p w:rsidR="002D2582" w:rsidRPr="005802E9" w:rsidRDefault="002D2582" w:rsidP="004E552C">
            <w:pPr>
              <w:keepNext/>
              <w:keepLines/>
              <w:jc w:val="center"/>
              <w:rPr>
                <w:rFonts w:ascii="Arial Narrow" w:hAnsi="Arial Narrow"/>
                <w:sz w:val="20"/>
              </w:rPr>
            </w:pPr>
            <w:r w:rsidRPr="005802E9">
              <w:rPr>
                <w:rFonts w:ascii="Arial Narrow" w:hAnsi="Arial Narrow"/>
                <w:sz w:val="20"/>
              </w:rPr>
              <w:t>$</w:t>
            </w:r>
            <w:r w:rsidR="00EC0E44">
              <w:rPr>
                <w:rFonts w:ascii="Arial Narrow" w:hAnsi="Arial Narrow"/>
                <w:noProof/>
                <w:color w:val="000000"/>
                <w:sz w:val="20"/>
                <w:highlight w:val="black"/>
              </w:rPr>
              <w:t>'''''''''''''</w:t>
            </w:r>
          </w:p>
        </w:tc>
      </w:tr>
      <w:tr w:rsidR="002D2582" w:rsidRPr="005802E9" w:rsidTr="00F27BD7">
        <w:tc>
          <w:tcPr>
            <w:tcW w:w="3011" w:type="dxa"/>
          </w:tcPr>
          <w:p w:rsidR="002D2582" w:rsidRPr="005802E9" w:rsidRDefault="002D2582" w:rsidP="004E552C">
            <w:pPr>
              <w:keepNext/>
              <w:keepLines/>
              <w:rPr>
                <w:rFonts w:ascii="Arial Narrow" w:hAnsi="Arial Narrow"/>
                <w:sz w:val="20"/>
              </w:rPr>
            </w:pPr>
            <w:r w:rsidRPr="005802E9">
              <w:rPr>
                <w:rFonts w:ascii="Arial Narrow" w:hAnsi="Arial Narrow"/>
                <w:sz w:val="20"/>
              </w:rPr>
              <w:t>Weighted DPMQ</w:t>
            </w:r>
          </w:p>
        </w:tc>
        <w:tc>
          <w:tcPr>
            <w:tcW w:w="6006" w:type="dxa"/>
            <w:gridSpan w:val="2"/>
          </w:tcPr>
          <w:p w:rsidR="002D2582" w:rsidRPr="005802E9" w:rsidRDefault="002D2582" w:rsidP="004E552C">
            <w:pPr>
              <w:keepNext/>
              <w:keepLines/>
              <w:jc w:val="center"/>
              <w:rPr>
                <w:rFonts w:ascii="Arial Narrow" w:hAnsi="Arial Narrow"/>
                <w:sz w:val="20"/>
              </w:rPr>
            </w:pPr>
            <w:r w:rsidRPr="005802E9">
              <w:rPr>
                <w:rFonts w:ascii="Arial Narrow" w:hAnsi="Arial Narrow"/>
                <w:sz w:val="20"/>
              </w:rPr>
              <w:t>$</w:t>
            </w:r>
            <w:r w:rsidR="00EC0E44">
              <w:rPr>
                <w:rFonts w:ascii="Arial Narrow" w:hAnsi="Arial Narrow"/>
                <w:noProof/>
                <w:color w:val="000000"/>
                <w:sz w:val="20"/>
                <w:highlight w:val="black"/>
              </w:rPr>
              <w:t>'''''''''''''''</w:t>
            </w:r>
          </w:p>
        </w:tc>
      </w:tr>
      <w:tr w:rsidR="002D2582" w:rsidRPr="005802E9" w:rsidTr="00F27BD7">
        <w:tc>
          <w:tcPr>
            <w:tcW w:w="9017" w:type="dxa"/>
            <w:gridSpan w:val="3"/>
          </w:tcPr>
          <w:p w:rsidR="002D2582" w:rsidRPr="005802E9" w:rsidRDefault="002D2582" w:rsidP="004E552C">
            <w:pPr>
              <w:keepNext/>
              <w:keepLines/>
              <w:jc w:val="left"/>
              <w:rPr>
                <w:rFonts w:ascii="Arial Narrow" w:hAnsi="Arial Narrow"/>
                <w:b/>
                <w:sz w:val="20"/>
              </w:rPr>
            </w:pPr>
            <w:r w:rsidRPr="005802E9">
              <w:rPr>
                <w:rFonts w:ascii="Arial Narrow" w:hAnsi="Arial Narrow"/>
                <w:b/>
                <w:sz w:val="20"/>
              </w:rPr>
              <w:t>Continuing script (60 g)</w:t>
            </w:r>
          </w:p>
        </w:tc>
      </w:tr>
      <w:tr w:rsidR="002D2582" w:rsidRPr="005802E9" w:rsidTr="00F27BD7">
        <w:tc>
          <w:tcPr>
            <w:tcW w:w="3011" w:type="dxa"/>
          </w:tcPr>
          <w:p w:rsidR="002D2582" w:rsidRPr="005802E9" w:rsidRDefault="002D2582" w:rsidP="004E552C">
            <w:pPr>
              <w:keepNext/>
              <w:keepLines/>
              <w:rPr>
                <w:rFonts w:ascii="Arial Narrow" w:hAnsi="Arial Narrow"/>
                <w:sz w:val="20"/>
              </w:rPr>
            </w:pPr>
            <w:r w:rsidRPr="005802E9">
              <w:rPr>
                <w:rFonts w:ascii="Arial Narrow" w:hAnsi="Arial Narrow"/>
                <w:sz w:val="20"/>
              </w:rPr>
              <w:t>Proposed AEMP</w:t>
            </w:r>
          </w:p>
        </w:tc>
        <w:tc>
          <w:tcPr>
            <w:tcW w:w="3004" w:type="dxa"/>
          </w:tcPr>
          <w:p w:rsidR="002D2582" w:rsidRPr="005802E9" w:rsidRDefault="002D2582" w:rsidP="004E552C">
            <w:pPr>
              <w:keepNext/>
              <w:keepLines/>
              <w:jc w:val="center"/>
              <w:rPr>
                <w:rFonts w:ascii="Arial Narrow" w:hAnsi="Arial Narrow"/>
                <w:sz w:val="20"/>
              </w:rPr>
            </w:pPr>
            <w:r w:rsidRPr="005802E9">
              <w:rPr>
                <w:rFonts w:ascii="Arial Narrow" w:hAnsi="Arial Narrow"/>
                <w:sz w:val="20"/>
              </w:rPr>
              <w:t>$</w:t>
            </w:r>
            <w:r w:rsidR="00EC0E44">
              <w:rPr>
                <w:rFonts w:ascii="Arial Narrow" w:hAnsi="Arial Narrow"/>
                <w:noProof/>
                <w:color w:val="000000"/>
                <w:sz w:val="20"/>
                <w:highlight w:val="black"/>
              </w:rPr>
              <w:t>''''''''''''</w:t>
            </w:r>
          </w:p>
        </w:tc>
        <w:tc>
          <w:tcPr>
            <w:tcW w:w="3002" w:type="dxa"/>
          </w:tcPr>
          <w:p w:rsidR="002D2582" w:rsidRPr="005802E9" w:rsidRDefault="002D2582" w:rsidP="004E552C">
            <w:pPr>
              <w:keepNext/>
              <w:keepLines/>
              <w:jc w:val="center"/>
              <w:rPr>
                <w:rFonts w:ascii="Arial Narrow" w:hAnsi="Arial Narrow"/>
                <w:sz w:val="20"/>
              </w:rPr>
            </w:pPr>
            <w:r w:rsidRPr="005802E9">
              <w:rPr>
                <w:rFonts w:ascii="Arial Narrow" w:hAnsi="Arial Narrow"/>
                <w:sz w:val="20"/>
              </w:rPr>
              <w:t>$</w:t>
            </w:r>
            <w:r w:rsidR="00EC0E44">
              <w:rPr>
                <w:rFonts w:ascii="Arial Narrow" w:hAnsi="Arial Narrow"/>
                <w:noProof/>
                <w:color w:val="000000"/>
                <w:sz w:val="20"/>
                <w:highlight w:val="black"/>
              </w:rPr>
              <w:t>'''''''''''''''</w:t>
            </w:r>
          </w:p>
        </w:tc>
      </w:tr>
      <w:tr w:rsidR="002D2582" w:rsidRPr="005802E9" w:rsidTr="00F27BD7">
        <w:tc>
          <w:tcPr>
            <w:tcW w:w="3011" w:type="dxa"/>
          </w:tcPr>
          <w:p w:rsidR="002D2582" w:rsidRPr="005802E9" w:rsidRDefault="002D2582" w:rsidP="004E552C">
            <w:pPr>
              <w:keepNext/>
              <w:keepLines/>
              <w:rPr>
                <w:rFonts w:ascii="Arial Narrow" w:hAnsi="Arial Narrow"/>
                <w:sz w:val="20"/>
              </w:rPr>
            </w:pPr>
            <w:r w:rsidRPr="005802E9">
              <w:rPr>
                <w:rFonts w:ascii="Arial Narrow" w:hAnsi="Arial Narrow"/>
                <w:sz w:val="20"/>
              </w:rPr>
              <w:t>Population BSA distribution</w:t>
            </w:r>
          </w:p>
        </w:tc>
        <w:tc>
          <w:tcPr>
            <w:tcW w:w="3004" w:type="dxa"/>
          </w:tcPr>
          <w:p w:rsidR="002D2582" w:rsidRPr="005802E9" w:rsidRDefault="002D2582" w:rsidP="004E552C">
            <w:pPr>
              <w:keepNext/>
              <w:keepLines/>
              <w:jc w:val="center"/>
              <w:rPr>
                <w:rFonts w:ascii="Arial Narrow" w:hAnsi="Arial Narrow"/>
                <w:sz w:val="20"/>
              </w:rPr>
            </w:pPr>
            <w:r w:rsidRPr="005802E9">
              <w:rPr>
                <w:rFonts w:ascii="Arial Narrow" w:hAnsi="Arial Narrow"/>
                <w:sz w:val="20"/>
              </w:rPr>
              <w:t>10.3%</w:t>
            </w:r>
          </w:p>
        </w:tc>
        <w:tc>
          <w:tcPr>
            <w:tcW w:w="3002" w:type="dxa"/>
          </w:tcPr>
          <w:p w:rsidR="002D2582" w:rsidRPr="005802E9" w:rsidRDefault="002D2582" w:rsidP="004E552C">
            <w:pPr>
              <w:keepNext/>
              <w:keepLines/>
              <w:jc w:val="center"/>
              <w:rPr>
                <w:rFonts w:ascii="Arial Narrow" w:hAnsi="Arial Narrow"/>
                <w:sz w:val="20"/>
              </w:rPr>
            </w:pPr>
            <w:r w:rsidRPr="005802E9">
              <w:rPr>
                <w:rFonts w:ascii="Arial Narrow" w:hAnsi="Arial Narrow"/>
                <w:sz w:val="20"/>
              </w:rPr>
              <w:t>89.7%</w:t>
            </w:r>
          </w:p>
        </w:tc>
      </w:tr>
      <w:tr w:rsidR="002D2582" w:rsidRPr="005802E9" w:rsidTr="00F27BD7">
        <w:tc>
          <w:tcPr>
            <w:tcW w:w="3011" w:type="dxa"/>
          </w:tcPr>
          <w:p w:rsidR="002D2582" w:rsidRPr="005802E9" w:rsidRDefault="002D2582" w:rsidP="004E552C">
            <w:pPr>
              <w:keepNext/>
              <w:keepLines/>
              <w:rPr>
                <w:rFonts w:ascii="Arial Narrow" w:hAnsi="Arial Narrow"/>
                <w:sz w:val="20"/>
              </w:rPr>
            </w:pPr>
            <w:r w:rsidRPr="005802E9">
              <w:rPr>
                <w:rFonts w:ascii="Arial Narrow" w:hAnsi="Arial Narrow"/>
                <w:sz w:val="20"/>
              </w:rPr>
              <w:t>Weighted AEMP</w:t>
            </w:r>
          </w:p>
        </w:tc>
        <w:tc>
          <w:tcPr>
            <w:tcW w:w="6006" w:type="dxa"/>
            <w:gridSpan w:val="2"/>
          </w:tcPr>
          <w:p w:rsidR="002D2582" w:rsidRPr="005802E9" w:rsidRDefault="002D2582" w:rsidP="004E552C">
            <w:pPr>
              <w:keepNext/>
              <w:keepLines/>
              <w:jc w:val="center"/>
              <w:rPr>
                <w:rFonts w:ascii="Arial Narrow" w:hAnsi="Arial Narrow"/>
                <w:sz w:val="20"/>
              </w:rPr>
            </w:pPr>
            <w:r w:rsidRPr="005802E9">
              <w:rPr>
                <w:rFonts w:ascii="Arial Narrow" w:hAnsi="Arial Narrow"/>
                <w:sz w:val="20"/>
              </w:rPr>
              <w:t>$</w:t>
            </w:r>
            <w:r w:rsidR="00EC0E44">
              <w:rPr>
                <w:rFonts w:ascii="Arial Narrow" w:hAnsi="Arial Narrow"/>
                <w:noProof/>
                <w:color w:val="000000"/>
                <w:sz w:val="20"/>
                <w:highlight w:val="black"/>
              </w:rPr>
              <w:t>''''''''''''''''</w:t>
            </w:r>
          </w:p>
        </w:tc>
      </w:tr>
      <w:tr w:rsidR="002D2582" w:rsidRPr="005802E9" w:rsidTr="00F27BD7">
        <w:trPr>
          <w:trHeight w:val="58"/>
        </w:trPr>
        <w:tc>
          <w:tcPr>
            <w:tcW w:w="3011" w:type="dxa"/>
          </w:tcPr>
          <w:p w:rsidR="002D2582" w:rsidRPr="005802E9" w:rsidRDefault="002D2582" w:rsidP="004E552C">
            <w:pPr>
              <w:keepNext/>
              <w:keepLines/>
              <w:rPr>
                <w:rFonts w:ascii="Arial Narrow" w:hAnsi="Arial Narrow"/>
                <w:sz w:val="20"/>
              </w:rPr>
            </w:pPr>
            <w:r w:rsidRPr="005802E9">
              <w:rPr>
                <w:rFonts w:ascii="Arial Narrow" w:hAnsi="Arial Narrow"/>
                <w:sz w:val="20"/>
              </w:rPr>
              <w:t>Weighted DPMQ</w:t>
            </w:r>
          </w:p>
        </w:tc>
        <w:tc>
          <w:tcPr>
            <w:tcW w:w="6006" w:type="dxa"/>
            <w:gridSpan w:val="2"/>
          </w:tcPr>
          <w:p w:rsidR="002D2582" w:rsidRPr="005802E9" w:rsidRDefault="002D2582" w:rsidP="004E552C">
            <w:pPr>
              <w:keepNext/>
              <w:keepLines/>
              <w:jc w:val="center"/>
              <w:rPr>
                <w:rFonts w:ascii="Arial Narrow" w:hAnsi="Arial Narrow"/>
                <w:sz w:val="20"/>
              </w:rPr>
            </w:pPr>
            <w:r w:rsidRPr="005802E9">
              <w:rPr>
                <w:rFonts w:ascii="Arial Narrow" w:hAnsi="Arial Narrow"/>
                <w:sz w:val="20"/>
              </w:rPr>
              <w:t>$</w:t>
            </w:r>
            <w:r w:rsidR="00EC0E44">
              <w:rPr>
                <w:rFonts w:ascii="Arial Narrow" w:hAnsi="Arial Narrow"/>
                <w:noProof/>
                <w:color w:val="000000"/>
                <w:sz w:val="20"/>
                <w:highlight w:val="black"/>
              </w:rPr>
              <w:t>'''''''''''''''</w:t>
            </w:r>
          </w:p>
        </w:tc>
      </w:tr>
    </w:tbl>
    <w:p w:rsidR="002D2582" w:rsidRPr="005802E9" w:rsidRDefault="002D2582" w:rsidP="004E552C">
      <w:pPr>
        <w:pStyle w:val="TableFooter"/>
        <w:keepNext/>
        <w:keepLines/>
      </w:pPr>
      <w:r w:rsidRPr="005802E9">
        <w:t>Source: Table 3.1.4, p152 of the resubmission</w:t>
      </w:r>
    </w:p>
    <w:p w:rsidR="002D2582" w:rsidRPr="005802E9" w:rsidRDefault="002D2582" w:rsidP="004E552C">
      <w:pPr>
        <w:pStyle w:val="TableFooter"/>
        <w:keepNext/>
        <w:keepLines/>
        <w:spacing w:after="120"/>
      </w:pPr>
      <w:r w:rsidRPr="005802E9">
        <w:t>Abbreviation: BSA, body surface area</w:t>
      </w:r>
    </w:p>
    <w:p w:rsidR="002D2582" w:rsidRPr="005802E9" w:rsidRDefault="002D2582" w:rsidP="001E2F24">
      <w:pPr>
        <w:pStyle w:val="ExecSumBodyText"/>
      </w:pPr>
      <w:r w:rsidRPr="005802E9">
        <w:t>The weighted DPMQ for the 60 g script was similar to the price in the November 2018 submission ($</w:t>
      </w:r>
      <w:r w:rsidR="00EC0E44">
        <w:rPr>
          <w:noProof/>
          <w:color w:val="000000"/>
          <w:highlight w:val="black"/>
        </w:rPr>
        <w:t>'''''''''''''</w:t>
      </w:r>
      <w:r w:rsidRPr="005802E9">
        <w:t>). There was a small change to the weightings applied compared to the previous submission (face and eyelids, 9%; rest of body, 91%).</w:t>
      </w:r>
    </w:p>
    <w:p w:rsidR="002D2582" w:rsidRPr="005802E9" w:rsidRDefault="002D2582" w:rsidP="002D2582">
      <w:pPr>
        <w:pStyle w:val="ExecSumBodyText"/>
        <w:rPr>
          <w:i/>
        </w:rPr>
      </w:pPr>
      <w:r w:rsidRPr="005802E9">
        <w:t>To derive the amount of crisaborole use substituted from pimecrolimus, the resubmission attempted to estimate age-adjusted population-based body surface area for the head and neck using measures of prevalence and the ‘rule of nines’ assumption</w:t>
      </w:r>
      <w:r w:rsidRPr="005802E9">
        <w:rPr>
          <w:i/>
        </w:rPr>
        <w:t>.</w:t>
      </w:r>
      <w:r w:rsidRPr="005802E9">
        <w:t xml:space="preserve"> The PBAC previously considered the use of the ‘rule of nines’ in the weighting of the price was not appropriate and was unlikely to reflect actual use, though the distribution of affected areas between the face and eyelids versus the rest of the body in the crisaborole trials was unknown (paragraph 7.10, crisaborole PSD, November 2018 PBAC meeting). The use of topical treatments for atopic dermatitis is highly dependent on the relapsing-remitting nature of the disease, age, disease severity, number and location of affected body surface areas.</w:t>
      </w:r>
    </w:p>
    <w:p w:rsidR="002D2582" w:rsidRPr="005802E9" w:rsidRDefault="002D2582" w:rsidP="002D2582">
      <w:pPr>
        <w:pStyle w:val="ExecSumBodyText"/>
      </w:pPr>
      <w:r w:rsidRPr="005802E9">
        <w:t>It was unclear whether estimates based on the broader atopic dermatitis population were applicable to the requested population with mild to moderate disease, who are failing, are intolerant or contraindicated to topical corticosteroids. There are no data available to inform the circumstances of use of crisaborole in this population.</w:t>
      </w:r>
    </w:p>
    <w:p w:rsidR="002D2582" w:rsidRPr="005802E9" w:rsidRDefault="002D2582" w:rsidP="00393175">
      <w:pPr>
        <w:pStyle w:val="ExecSumBodyText"/>
      </w:pPr>
      <w:r w:rsidRPr="005802E9">
        <w:t xml:space="preserve">The </w:t>
      </w:r>
      <w:r w:rsidR="00BB1363" w:rsidRPr="005802E9">
        <w:t xml:space="preserve">ESC agreed with the commentary that </w:t>
      </w:r>
      <w:r w:rsidRPr="005802E9">
        <w:t xml:space="preserve">estimates in the resubmission are unlikely to reflect population-level distribution of use between crisaborole and pimecrolimus. </w:t>
      </w:r>
    </w:p>
    <w:p w:rsidR="00C25D9C" w:rsidRPr="005802E9" w:rsidRDefault="00C25D9C" w:rsidP="00BB732D">
      <w:pPr>
        <w:pStyle w:val="3-SubsectionHeading"/>
      </w:pPr>
      <w:bookmarkStart w:id="22" w:name="_Toc22897646"/>
      <w:bookmarkStart w:id="23" w:name="_Toc50995097"/>
      <w:r w:rsidRPr="005802E9">
        <w:t>Drug</w:t>
      </w:r>
      <w:r w:rsidR="009A5ABC" w:rsidRPr="005802E9">
        <w:t>/</w:t>
      </w:r>
      <w:r w:rsidR="00F15AA7" w:rsidRPr="005802E9">
        <w:t>cost/patient/</w:t>
      </w:r>
      <w:r w:rsidRPr="005802E9">
        <w:t>course</w:t>
      </w:r>
      <w:bookmarkEnd w:id="22"/>
      <w:bookmarkEnd w:id="23"/>
    </w:p>
    <w:p w:rsidR="00F15AA7" w:rsidRPr="005802E9" w:rsidRDefault="00F15AA7" w:rsidP="00F15AA7">
      <w:pPr>
        <w:pStyle w:val="ExecSumBodyText"/>
      </w:pPr>
      <w:r w:rsidRPr="005802E9">
        <w:t>The estimated drug cost per patient per course of initial therapy (4 weeks) was $</w:t>
      </w:r>
      <w:r w:rsidR="00EC0E44">
        <w:rPr>
          <w:noProof/>
          <w:color w:val="000000"/>
          <w:highlight w:val="black"/>
        </w:rPr>
        <w:t>'''''''''''</w:t>
      </w:r>
      <w:r w:rsidRPr="005802E9">
        <w:t xml:space="preserve"> (based on weighted DPMQ $</w:t>
      </w:r>
      <w:r w:rsidR="00EC0E44">
        <w:rPr>
          <w:noProof/>
          <w:color w:val="000000"/>
          <w:highlight w:val="black"/>
        </w:rPr>
        <w:t>'''''''''''</w:t>
      </w:r>
      <w:r w:rsidRPr="005802E9">
        <w:t xml:space="preserve"> for 30 g tube and usage of 1 tube).</w:t>
      </w:r>
    </w:p>
    <w:p w:rsidR="00F15AA7" w:rsidRPr="005802E9" w:rsidRDefault="00F15AA7" w:rsidP="00F15AA7">
      <w:pPr>
        <w:pStyle w:val="ExecSumBodyText"/>
      </w:pPr>
      <w:r w:rsidRPr="005802E9">
        <w:t>The estimated drug cost per patient per course of continuing therapy (4 weeks) was $</w:t>
      </w:r>
      <w:r w:rsidR="00EC0E44">
        <w:rPr>
          <w:noProof/>
          <w:color w:val="000000"/>
          <w:highlight w:val="black"/>
        </w:rPr>
        <w:t>'''''''''''</w:t>
      </w:r>
      <w:r w:rsidRPr="005802E9">
        <w:t xml:space="preserve"> (based on weighted DPMQ $</w:t>
      </w:r>
      <w:r w:rsidR="00EC0E44">
        <w:rPr>
          <w:noProof/>
          <w:color w:val="000000"/>
          <w:highlight w:val="black"/>
        </w:rPr>
        <w:t>''''''''''''''</w:t>
      </w:r>
      <w:r w:rsidRPr="005802E9">
        <w:t xml:space="preserve"> for 60 g tube and usage of 0.5 tube) or $</w:t>
      </w:r>
      <w:r w:rsidR="00EC0E44">
        <w:rPr>
          <w:noProof/>
          <w:color w:val="000000"/>
          <w:highlight w:val="black"/>
        </w:rPr>
        <w:t>'''''''''''''</w:t>
      </w:r>
      <w:r w:rsidRPr="005802E9">
        <w:t xml:space="preserve"> (based on weighted DPMQ $</w:t>
      </w:r>
      <w:r w:rsidR="00EC0E44">
        <w:rPr>
          <w:noProof/>
          <w:color w:val="000000"/>
          <w:highlight w:val="black"/>
        </w:rPr>
        <w:t>''''''''''''''</w:t>
      </w:r>
      <w:r w:rsidRPr="005802E9">
        <w:t xml:space="preserve"> for 60 g tube and usage of 1 tube).</w:t>
      </w:r>
    </w:p>
    <w:p w:rsidR="00494207" w:rsidRPr="005802E9" w:rsidRDefault="00F15AA7" w:rsidP="00F15AA7">
      <w:pPr>
        <w:pStyle w:val="ExecSumBodyText"/>
        <w:rPr>
          <w:snapToGrid/>
        </w:rPr>
      </w:pPr>
      <w:r w:rsidRPr="005802E9">
        <w:t>The estimated drug cost per patient per course (4 weeks) was $</w:t>
      </w:r>
      <w:r w:rsidR="00EC0E44">
        <w:rPr>
          <w:noProof/>
          <w:color w:val="000000"/>
          <w:highlight w:val="black"/>
        </w:rPr>
        <w:t>''''''''''''</w:t>
      </w:r>
      <w:r w:rsidRPr="005802E9">
        <w:t xml:space="preserve"> based on the key trials AD-301 and AD-302 (based on DPMQ $</w:t>
      </w:r>
      <w:r w:rsidR="00EC0E44">
        <w:rPr>
          <w:noProof/>
          <w:color w:val="000000"/>
          <w:highlight w:val="black"/>
        </w:rPr>
        <w:t>''''''''''''</w:t>
      </w:r>
      <w:r w:rsidRPr="005802E9">
        <w:t xml:space="preserve"> for 60 g tube and usage of 3 tubes) or $</w:t>
      </w:r>
      <w:r w:rsidR="00EC0E44">
        <w:rPr>
          <w:noProof/>
          <w:color w:val="000000"/>
          <w:highlight w:val="black"/>
        </w:rPr>
        <w:t>''''''''''''</w:t>
      </w:r>
      <w:r w:rsidRPr="005802E9">
        <w:t xml:space="preserve"> based on the safety extension study AD-303 (based on DPMQ $</w:t>
      </w:r>
      <w:r w:rsidR="00EC0E44">
        <w:rPr>
          <w:noProof/>
          <w:color w:val="000000"/>
          <w:highlight w:val="black"/>
        </w:rPr>
        <w:t>''''''''''''</w:t>
      </w:r>
      <w:r w:rsidRPr="005802E9">
        <w:t xml:space="preserve"> for 60 g and usage of 2 tubes). </w:t>
      </w:r>
    </w:p>
    <w:p w:rsidR="0008143E" w:rsidRPr="005802E9" w:rsidRDefault="0008143E" w:rsidP="0008143E">
      <w:pPr>
        <w:pStyle w:val="ExecSumBodyText"/>
      </w:pPr>
      <w:r w:rsidRPr="005802E9">
        <w:lastRenderedPageBreak/>
        <w:t>In the November 2018 submission, the estimated drug cost per patient per year (including both initial and continuing treatment) was $</w:t>
      </w:r>
      <w:r w:rsidR="00EC0E44">
        <w:rPr>
          <w:noProof/>
          <w:color w:val="000000"/>
          <w:highlight w:val="black"/>
        </w:rPr>
        <w:t>''''''''''''</w:t>
      </w:r>
      <w:r w:rsidRPr="005802E9">
        <w:t xml:space="preserve"> (using a DPMQ of $</w:t>
      </w:r>
      <w:r w:rsidR="00EC0E44">
        <w:rPr>
          <w:noProof/>
          <w:color w:val="000000"/>
          <w:highlight w:val="black"/>
        </w:rPr>
        <w:t>'''''''''</w:t>
      </w:r>
      <w:r w:rsidRPr="005802E9">
        <w:t xml:space="preserve"> per gram and assuming 96 grams per patient per year as per US claims data).</w:t>
      </w:r>
    </w:p>
    <w:p w:rsidR="00F15AA7" w:rsidRPr="005802E9" w:rsidRDefault="00F15AA7" w:rsidP="00F15AA7">
      <w:pPr>
        <w:pStyle w:val="ExecSumBodyText"/>
        <w:rPr>
          <w:snapToGrid/>
        </w:rPr>
      </w:pPr>
      <w:r w:rsidRPr="005802E9">
        <w:rPr>
          <w:snapToGrid/>
        </w:rPr>
        <w:t>Based on use on the face and eyelids only, the estimated drug cost for pimecrolimus per patient was $</w:t>
      </w:r>
      <w:r w:rsidRPr="00AD1EE3">
        <w:rPr>
          <w:snapToGrid/>
        </w:rPr>
        <w:t>31.35</w:t>
      </w:r>
      <w:r w:rsidRPr="005802E9">
        <w:rPr>
          <w:snapToGrid/>
        </w:rPr>
        <w:t xml:space="preserve"> (using the DPMQ per 15 g script). </w:t>
      </w:r>
    </w:p>
    <w:p w:rsidR="001C190B" w:rsidRPr="005802E9" w:rsidRDefault="001C190B" w:rsidP="001C190B">
      <w:pPr>
        <w:pStyle w:val="BodyText"/>
      </w:pPr>
      <w:bookmarkStart w:id="24" w:name="_Toc22897647"/>
      <w:bookmarkStart w:id="25" w:name="_Toc50995098"/>
    </w:p>
    <w:p w:rsidR="00B60939" w:rsidRPr="005802E9" w:rsidRDefault="00B60939" w:rsidP="002B05A1">
      <w:pPr>
        <w:pStyle w:val="3-SubsectionHeading"/>
      </w:pPr>
      <w:r w:rsidRPr="005802E9">
        <w:t>Estimated PBS usage &amp; financial implications</w:t>
      </w:r>
      <w:bookmarkEnd w:id="24"/>
      <w:bookmarkEnd w:id="25"/>
    </w:p>
    <w:p w:rsidR="007B2608" w:rsidRPr="005802E9" w:rsidRDefault="007B2608" w:rsidP="007B2608">
      <w:pPr>
        <w:pStyle w:val="ExecSumBodyText"/>
        <w:numPr>
          <w:ilvl w:val="1"/>
          <w:numId w:val="1"/>
        </w:numPr>
        <w:rPr>
          <w:color w:val="0066FF"/>
        </w:rPr>
      </w:pPr>
      <w:r w:rsidRPr="005802E9">
        <w:t>This resubmission w</w:t>
      </w:r>
      <w:r w:rsidR="00766544" w:rsidRPr="005802E9">
        <w:t>as</w:t>
      </w:r>
      <w:r w:rsidRPr="005802E9">
        <w:t xml:space="preserve"> considered by DUSC.</w:t>
      </w:r>
      <w:r w:rsidRPr="005802E9">
        <w:rPr>
          <w:color w:val="0070C0"/>
        </w:rPr>
        <w:t xml:space="preserve"> </w:t>
      </w:r>
      <w:r w:rsidRPr="005802E9">
        <w:t>The resubmission used a mixed epidemiological and market share approach to estimate the utilisation and financial impact of listing crisaborole, summarised in the table below</w:t>
      </w:r>
      <w:r w:rsidR="005802E9">
        <w:t xml:space="preserve">. </w:t>
      </w:r>
    </w:p>
    <w:p w:rsidR="007B2608" w:rsidRPr="005802E9" w:rsidRDefault="00BD6067" w:rsidP="007B2608">
      <w:pPr>
        <w:pStyle w:val="TableFigureCaption"/>
      </w:pPr>
      <w:r>
        <w:t>Table 19</w:t>
      </w:r>
      <w:r w:rsidR="007B2608" w:rsidRPr="005802E9">
        <w:t xml:space="preserve">: Estimation of number of treated patients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686"/>
        <w:gridCol w:w="1064"/>
        <w:gridCol w:w="5927"/>
      </w:tblGrid>
      <w:tr w:rsidR="007B2608" w:rsidRPr="005802E9" w:rsidTr="00DA5BED">
        <w:trPr>
          <w:trHeight w:val="20"/>
          <w:tblHeader/>
        </w:trPr>
        <w:tc>
          <w:tcPr>
            <w:tcW w:w="1339" w:type="dxa"/>
            <w:shd w:val="clear" w:color="auto" w:fill="auto"/>
            <w:vAlign w:val="center"/>
            <w:hideMark/>
          </w:tcPr>
          <w:p w:rsidR="007B2608" w:rsidRPr="005802E9" w:rsidRDefault="007B2608" w:rsidP="00A80AF4">
            <w:pPr>
              <w:pStyle w:val="Tableheadingrow"/>
              <w:keepNext w:val="0"/>
              <w:widowControl w:val="0"/>
              <w:rPr>
                <w:lang w:val="en-AU"/>
              </w:rPr>
            </w:pPr>
            <w:r w:rsidRPr="005802E9">
              <w:rPr>
                <w:lang w:val="en-AU"/>
              </w:rPr>
              <w:t> </w:t>
            </w:r>
          </w:p>
        </w:tc>
        <w:tc>
          <w:tcPr>
            <w:tcW w:w="686" w:type="dxa"/>
          </w:tcPr>
          <w:p w:rsidR="007B2608" w:rsidRPr="005802E9" w:rsidRDefault="007B2608" w:rsidP="00A80AF4">
            <w:pPr>
              <w:pStyle w:val="Tableheadingrow"/>
              <w:keepNext w:val="0"/>
              <w:widowControl w:val="0"/>
              <w:jc w:val="center"/>
              <w:rPr>
                <w:lang w:val="en-AU"/>
              </w:rPr>
            </w:pPr>
            <w:r w:rsidRPr="005802E9">
              <w:rPr>
                <w:lang w:val="en-AU"/>
              </w:rPr>
              <w:t>Value</w:t>
            </w:r>
          </w:p>
        </w:tc>
        <w:tc>
          <w:tcPr>
            <w:tcW w:w="1064" w:type="dxa"/>
            <w:shd w:val="clear" w:color="auto" w:fill="auto"/>
            <w:vAlign w:val="bottom"/>
            <w:hideMark/>
          </w:tcPr>
          <w:p w:rsidR="007B2608" w:rsidRPr="005802E9" w:rsidRDefault="007B2608" w:rsidP="00A80AF4">
            <w:pPr>
              <w:pStyle w:val="Tableheadingrow"/>
              <w:keepNext w:val="0"/>
              <w:widowControl w:val="0"/>
              <w:jc w:val="center"/>
              <w:rPr>
                <w:bCs/>
                <w:vertAlign w:val="superscript"/>
                <w:lang w:val="en-AU"/>
              </w:rPr>
            </w:pPr>
            <w:r w:rsidRPr="005802E9">
              <w:rPr>
                <w:lang w:val="en-AU"/>
              </w:rPr>
              <w:t>Year 1</w:t>
            </w:r>
            <w:r w:rsidRPr="005802E9">
              <w:rPr>
                <w:vertAlign w:val="superscript"/>
                <w:lang w:val="en-AU"/>
              </w:rPr>
              <w:t>a</w:t>
            </w:r>
          </w:p>
        </w:tc>
        <w:tc>
          <w:tcPr>
            <w:tcW w:w="5927" w:type="dxa"/>
            <w:shd w:val="clear" w:color="auto" w:fill="auto"/>
            <w:vAlign w:val="bottom"/>
            <w:hideMark/>
          </w:tcPr>
          <w:p w:rsidR="007B2608" w:rsidRPr="005802E9" w:rsidRDefault="007B2608" w:rsidP="00A80AF4">
            <w:pPr>
              <w:pStyle w:val="Tableheadingrow"/>
              <w:keepNext w:val="0"/>
              <w:widowControl w:val="0"/>
              <w:rPr>
                <w:bCs/>
                <w:lang w:val="en-AU"/>
              </w:rPr>
            </w:pPr>
            <w:r w:rsidRPr="005802E9">
              <w:rPr>
                <w:bCs/>
                <w:lang w:val="en-AU"/>
              </w:rPr>
              <w:t xml:space="preserve">Source and comment </w:t>
            </w:r>
          </w:p>
        </w:tc>
      </w:tr>
      <w:tr w:rsidR="007B2608" w:rsidRPr="005802E9" w:rsidTr="00A80AF4">
        <w:trPr>
          <w:trHeight w:val="20"/>
        </w:trPr>
        <w:tc>
          <w:tcPr>
            <w:tcW w:w="9016" w:type="dxa"/>
            <w:gridSpan w:val="4"/>
            <w:shd w:val="clear" w:color="auto" w:fill="auto"/>
            <w:vAlign w:val="center"/>
          </w:tcPr>
          <w:p w:rsidR="007B2608" w:rsidRPr="005802E9" w:rsidRDefault="007B2608" w:rsidP="00A80AF4">
            <w:pPr>
              <w:pStyle w:val="TableText"/>
              <w:keepNext w:val="0"/>
              <w:widowControl w:val="0"/>
            </w:pPr>
            <w:r w:rsidRPr="005802E9">
              <w:rPr>
                <w:b/>
              </w:rPr>
              <w:t>Eligible population</w:t>
            </w:r>
          </w:p>
        </w:tc>
      </w:tr>
      <w:tr w:rsidR="007B2608" w:rsidRPr="005802E9" w:rsidTr="00A80AF4">
        <w:trPr>
          <w:trHeight w:val="20"/>
        </w:trPr>
        <w:tc>
          <w:tcPr>
            <w:tcW w:w="1339" w:type="dxa"/>
            <w:shd w:val="clear" w:color="auto" w:fill="auto"/>
            <w:vAlign w:val="center"/>
            <w:hideMark/>
          </w:tcPr>
          <w:p w:rsidR="007B2608" w:rsidRPr="005802E9" w:rsidRDefault="007B2608" w:rsidP="00A80AF4">
            <w:pPr>
              <w:pStyle w:val="TableText"/>
              <w:keepNext w:val="0"/>
              <w:widowControl w:val="0"/>
            </w:pPr>
            <w:r w:rsidRPr="005802E9">
              <w:t>Australian population aged 2-85 years</w:t>
            </w:r>
          </w:p>
        </w:tc>
        <w:tc>
          <w:tcPr>
            <w:tcW w:w="686" w:type="dxa"/>
            <w:vAlign w:val="center"/>
          </w:tcPr>
          <w:p w:rsidR="007B2608" w:rsidRPr="005802E9" w:rsidRDefault="007B2608" w:rsidP="00A80AF4">
            <w:pPr>
              <w:pStyle w:val="TableText"/>
              <w:keepNext w:val="0"/>
              <w:widowControl w:val="0"/>
              <w:jc w:val="center"/>
            </w:pPr>
            <w:r w:rsidRPr="005802E9">
              <w:t>-</w:t>
            </w:r>
          </w:p>
        </w:tc>
        <w:tc>
          <w:tcPr>
            <w:tcW w:w="1064" w:type="dxa"/>
            <w:shd w:val="clear" w:color="auto" w:fill="auto"/>
            <w:vAlign w:val="center"/>
          </w:tcPr>
          <w:p w:rsidR="007B2608" w:rsidRPr="005802E9" w:rsidRDefault="007B2608" w:rsidP="00A80AF4">
            <w:pPr>
              <w:pStyle w:val="TableText"/>
              <w:keepNext w:val="0"/>
              <w:widowControl w:val="0"/>
              <w:jc w:val="center"/>
            </w:pPr>
            <w:r w:rsidRPr="009B5136">
              <w:t>25,853,194</w:t>
            </w:r>
          </w:p>
        </w:tc>
        <w:tc>
          <w:tcPr>
            <w:tcW w:w="5927" w:type="dxa"/>
            <w:shd w:val="clear" w:color="auto" w:fill="auto"/>
            <w:vAlign w:val="center"/>
          </w:tcPr>
          <w:p w:rsidR="007B2608" w:rsidRPr="005802E9" w:rsidRDefault="007B2608" w:rsidP="00A80AF4">
            <w:pPr>
              <w:pStyle w:val="TableText"/>
              <w:keepNext w:val="0"/>
              <w:widowControl w:val="0"/>
            </w:pPr>
            <w:r w:rsidRPr="005802E9">
              <w:t xml:space="preserve">ABS population projections from June 2021-June 2026 (3222.0 Series B, November 2018) for ages 2-85 years only. </w:t>
            </w:r>
            <w:r w:rsidRPr="005802E9">
              <w:rPr>
                <w:rFonts w:cs="Times New Roman"/>
                <w:szCs w:val="22"/>
                <w:lang w:eastAsia="en-US"/>
              </w:rPr>
              <w:t>The DUSC previously considered that the exclusion of patients aged above 85 years was inadequately justified (crisaborole, DUSC advice, November 2018 PBAC meeting). This represents approximately 2% of the population.</w:t>
            </w:r>
          </w:p>
        </w:tc>
      </w:tr>
      <w:tr w:rsidR="007B2608" w:rsidRPr="005802E9" w:rsidTr="00A80AF4">
        <w:trPr>
          <w:trHeight w:val="20"/>
        </w:trPr>
        <w:tc>
          <w:tcPr>
            <w:tcW w:w="1339" w:type="dxa"/>
            <w:shd w:val="clear" w:color="auto" w:fill="auto"/>
            <w:vAlign w:val="center"/>
          </w:tcPr>
          <w:p w:rsidR="007B2608" w:rsidRPr="005802E9" w:rsidRDefault="007B2608" w:rsidP="00A80AF4">
            <w:pPr>
              <w:pStyle w:val="TableText"/>
              <w:keepNext w:val="0"/>
              <w:widowControl w:val="0"/>
            </w:pPr>
            <w:r w:rsidRPr="005802E9">
              <w:t>Incidence of AD</w:t>
            </w:r>
          </w:p>
        </w:tc>
        <w:tc>
          <w:tcPr>
            <w:tcW w:w="686" w:type="dxa"/>
            <w:vAlign w:val="center"/>
          </w:tcPr>
          <w:p w:rsidR="007B2608" w:rsidRPr="005802E9" w:rsidRDefault="007B2608" w:rsidP="00A80AF4">
            <w:pPr>
              <w:pStyle w:val="TableText"/>
              <w:keepNext w:val="0"/>
              <w:widowControl w:val="0"/>
              <w:jc w:val="center"/>
            </w:pPr>
            <w:r w:rsidRPr="005802E9">
              <w:t>2%</w:t>
            </w:r>
          </w:p>
        </w:tc>
        <w:tc>
          <w:tcPr>
            <w:tcW w:w="1064" w:type="dxa"/>
            <w:shd w:val="clear" w:color="auto" w:fill="auto"/>
            <w:vAlign w:val="center"/>
          </w:tcPr>
          <w:p w:rsidR="007B2608" w:rsidRPr="005802E9" w:rsidRDefault="007B2608" w:rsidP="00A80AF4">
            <w:pPr>
              <w:pStyle w:val="TableText"/>
              <w:keepNext w:val="0"/>
              <w:widowControl w:val="0"/>
              <w:jc w:val="center"/>
            </w:pPr>
            <w:r w:rsidRPr="009B5136">
              <w:t>517,064</w:t>
            </w:r>
          </w:p>
        </w:tc>
        <w:tc>
          <w:tcPr>
            <w:tcW w:w="5927" w:type="dxa"/>
            <w:shd w:val="clear" w:color="auto" w:fill="auto"/>
            <w:vAlign w:val="center"/>
          </w:tcPr>
          <w:p w:rsidR="007B2608" w:rsidRPr="005802E9" w:rsidRDefault="007B2608" w:rsidP="00A80AF4">
            <w:pPr>
              <w:pStyle w:val="TableText"/>
              <w:keepNext w:val="0"/>
              <w:widowControl w:val="0"/>
            </w:pPr>
            <w:r w:rsidRPr="005802E9">
              <w:t>Chidwick (2020). Study of prevalence, incidence and management of atopic dermatitis (AD) in Australian general practice using data from MedicineInsight. The resubmission did not provide justification of population estimates based on newly diagnosed patients only, which did not account for a large prevalent pool of patients who are likely to be eligible for treatment. The Chidwick 2020 study provided a lifetime prevalence estimate of 16.4% based on active patients presenting to GP practices (≥3 visits over 2 years).</w:t>
            </w:r>
          </w:p>
        </w:tc>
      </w:tr>
      <w:tr w:rsidR="007B2608" w:rsidRPr="005802E9" w:rsidTr="00A80AF4">
        <w:trPr>
          <w:trHeight w:val="20"/>
        </w:trPr>
        <w:tc>
          <w:tcPr>
            <w:tcW w:w="1339" w:type="dxa"/>
            <w:shd w:val="clear" w:color="auto" w:fill="auto"/>
            <w:vAlign w:val="center"/>
          </w:tcPr>
          <w:p w:rsidR="007B2608" w:rsidRPr="005802E9" w:rsidRDefault="007B2608" w:rsidP="00A80AF4">
            <w:pPr>
              <w:pStyle w:val="TableText"/>
              <w:keepNext w:val="0"/>
              <w:widowControl w:val="0"/>
            </w:pPr>
            <w:r w:rsidRPr="005802E9">
              <w:t>Mild to moderate AD</w:t>
            </w:r>
          </w:p>
        </w:tc>
        <w:tc>
          <w:tcPr>
            <w:tcW w:w="686" w:type="dxa"/>
            <w:vAlign w:val="center"/>
          </w:tcPr>
          <w:p w:rsidR="007B2608" w:rsidRPr="005802E9" w:rsidRDefault="007B2608" w:rsidP="00A80AF4">
            <w:pPr>
              <w:pStyle w:val="TableText"/>
              <w:keepNext w:val="0"/>
              <w:widowControl w:val="0"/>
              <w:jc w:val="center"/>
            </w:pPr>
            <w:r w:rsidRPr="005802E9">
              <w:t>80.3%</w:t>
            </w:r>
          </w:p>
        </w:tc>
        <w:tc>
          <w:tcPr>
            <w:tcW w:w="1064" w:type="dxa"/>
            <w:shd w:val="clear" w:color="auto" w:fill="auto"/>
            <w:vAlign w:val="center"/>
          </w:tcPr>
          <w:p w:rsidR="007B2608" w:rsidRPr="005325AC" w:rsidRDefault="007B2608" w:rsidP="00A80AF4">
            <w:pPr>
              <w:pStyle w:val="TableText"/>
              <w:keepNext w:val="0"/>
              <w:widowControl w:val="0"/>
              <w:jc w:val="center"/>
              <w:rPr>
                <w:vertAlign w:val="superscript"/>
              </w:rPr>
            </w:pPr>
            <w:r w:rsidRPr="009B5136">
              <w:t>415,202</w:t>
            </w:r>
          </w:p>
        </w:tc>
        <w:tc>
          <w:tcPr>
            <w:tcW w:w="5927" w:type="dxa"/>
            <w:shd w:val="clear" w:color="auto" w:fill="auto"/>
            <w:vAlign w:val="center"/>
          </w:tcPr>
          <w:p w:rsidR="007B2608" w:rsidRPr="005802E9" w:rsidRDefault="007B2608" w:rsidP="00A80AF4">
            <w:pPr>
              <w:pStyle w:val="TableText"/>
              <w:keepNext w:val="0"/>
              <w:widowControl w:val="0"/>
            </w:pPr>
            <w:r w:rsidRPr="005802E9">
              <w:t>Sponsor-commissioned market research (IQVIA report, February 2020). Online survey conducted between November 2019 and January 2020 based on responses from 126 physicians and 507 records of patients aged ≥2 years who were diagnosed with AD for at least 18 months. A weighted average of 80.3% was calculated using the number of patient records in children and adults. DUSC previously advised that mild to moderate atopic dermatitis is not consistently defined in studies used to estimate the number of patients with the disease. The previous submission estimated 90% of patients had mild to moderate disease (based on a sponsor-commissioned study using self-reported data), with a sensitivity analysis of 80%. DUSC advised that this was reasonable (crisaborole, DUSC advice, November 2018 PBAC meeting).</w:t>
            </w:r>
          </w:p>
        </w:tc>
      </w:tr>
      <w:tr w:rsidR="007B2608" w:rsidRPr="005802E9" w:rsidTr="00A80AF4">
        <w:trPr>
          <w:trHeight w:val="20"/>
        </w:trPr>
        <w:tc>
          <w:tcPr>
            <w:tcW w:w="1339" w:type="dxa"/>
            <w:shd w:val="clear" w:color="auto" w:fill="auto"/>
            <w:vAlign w:val="center"/>
          </w:tcPr>
          <w:p w:rsidR="007B2608" w:rsidRPr="005802E9" w:rsidRDefault="007B2608" w:rsidP="00A80AF4">
            <w:pPr>
              <w:pStyle w:val="TableText"/>
              <w:keepNext w:val="0"/>
              <w:widowControl w:val="0"/>
            </w:pPr>
            <w:r w:rsidRPr="005802E9">
              <w:t>Prior TCS use</w:t>
            </w:r>
          </w:p>
        </w:tc>
        <w:tc>
          <w:tcPr>
            <w:tcW w:w="686" w:type="dxa"/>
            <w:vAlign w:val="center"/>
          </w:tcPr>
          <w:p w:rsidR="007B2608" w:rsidRPr="005802E9" w:rsidRDefault="007B2608" w:rsidP="00A80AF4">
            <w:pPr>
              <w:pStyle w:val="TableText"/>
              <w:keepNext w:val="0"/>
              <w:widowControl w:val="0"/>
              <w:jc w:val="center"/>
            </w:pPr>
            <w:r w:rsidRPr="005802E9">
              <w:t>36%</w:t>
            </w:r>
          </w:p>
        </w:tc>
        <w:tc>
          <w:tcPr>
            <w:tcW w:w="1064" w:type="dxa"/>
            <w:shd w:val="clear" w:color="auto" w:fill="auto"/>
            <w:vAlign w:val="center"/>
          </w:tcPr>
          <w:p w:rsidR="007B2608" w:rsidRPr="005325AC" w:rsidRDefault="007B2608" w:rsidP="00A80AF4">
            <w:pPr>
              <w:pStyle w:val="TableText"/>
              <w:keepNext w:val="0"/>
              <w:widowControl w:val="0"/>
              <w:jc w:val="center"/>
              <w:rPr>
                <w:vertAlign w:val="superscript"/>
              </w:rPr>
            </w:pPr>
            <w:r w:rsidRPr="009B5136">
              <w:t>149,473</w:t>
            </w:r>
          </w:p>
        </w:tc>
        <w:tc>
          <w:tcPr>
            <w:tcW w:w="5927" w:type="dxa"/>
            <w:shd w:val="clear" w:color="auto" w:fill="auto"/>
            <w:vAlign w:val="center"/>
          </w:tcPr>
          <w:p w:rsidR="007B2608" w:rsidRPr="005802E9" w:rsidRDefault="007B2608" w:rsidP="00A80AF4">
            <w:pPr>
              <w:pStyle w:val="TableText"/>
              <w:keepNext w:val="0"/>
              <w:widowControl w:val="0"/>
            </w:pPr>
            <w:r w:rsidRPr="005802E9">
              <w:rPr>
                <w:rFonts w:cs="Times New Roman"/>
                <w:szCs w:val="22"/>
                <w:lang w:eastAsia="en-US"/>
              </w:rPr>
              <w:t>Chidwick (2020). Based on patients with a lifetime prevalence of AD who had a prescription for topical corticosteroids within the 2-year study period (36.5%). The resubmission inappropriately applied the proportion of TCS use within a 2-year period in patients with a lifetime prevalence of AD to newly diagnosed patients. Prior TCS use (ever) in newly diagnosed patients is likely to be higher given 40% of patients with lifetime prevalence of AD did not receive any treatment within the 2 years. The resubmission did not consider use of over-the-counter topical corticosteroids.</w:t>
            </w:r>
          </w:p>
        </w:tc>
      </w:tr>
      <w:tr w:rsidR="007B2608" w:rsidRPr="005802E9" w:rsidTr="00A80AF4">
        <w:trPr>
          <w:trHeight w:val="20"/>
        </w:trPr>
        <w:tc>
          <w:tcPr>
            <w:tcW w:w="1339" w:type="dxa"/>
            <w:shd w:val="clear" w:color="auto" w:fill="auto"/>
            <w:vAlign w:val="center"/>
          </w:tcPr>
          <w:p w:rsidR="007B2608" w:rsidRPr="005802E9" w:rsidRDefault="007B2608" w:rsidP="00A80AF4">
            <w:pPr>
              <w:pStyle w:val="TableText"/>
              <w:keepNext w:val="0"/>
              <w:widowControl w:val="0"/>
            </w:pPr>
            <w:r w:rsidRPr="005802E9">
              <w:t>Failed, intolerant or contraindicated to TCS</w:t>
            </w:r>
          </w:p>
        </w:tc>
        <w:tc>
          <w:tcPr>
            <w:tcW w:w="686" w:type="dxa"/>
            <w:vAlign w:val="center"/>
          </w:tcPr>
          <w:p w:rsidR="007B2608" w:rsidRPr="005802E9" w:rsidRDefault="007B2608" w:rsidP="00A80AF4">
            <w:pPr>
              <w:pStyle w:val="TableText"/>
              <w:keepNext w:val="0"/>
              <w:widowControl w:val="0"/>
              <w:jc w:val="center"/>
            </w:pPr>
            <w:r w:rsidRPr="005802E9">
              <w:t>34.9%</w:t>
            </w:r>
          </w:p>
        </w:tc>
        <w:tc>
          <w:tcPr>
            <w:tcW w:w="1064" w:type="dxa"/>
            <w:shd w:val="clear" w:color="auto" w:fill="auto"/>
            <w:noWrap/>
            <w:vAlign w:val="center"/>
          </w:tcPr>
          <w:p w:rsidR="007B2608" w:rsidRPr="005325AC" w:rsidRDefault="007B2608" w:rsidP="00A80AF4">
            <w:pPr>
              <w:pStyle w:val="TableText"/>
              <w:keepNext w:val="0"/>
              <w:widowControl w:val="0"/>
              <w:jc w:val="center"/>
              <w:rPr>
                <w:vertAlign w:val="superscript"/>
              </w:rPr>
            </w:pPr>
            <w:r w:rsidRPr="009B5136">
              <w:t>52,166</w:t>
            </w:r>
          </w:p>
        </w:tc>
        <w:tc>
          <w:tcPr>
            <w:tcW w:w="5927" w:type="dxa"/>
            <w:shd w:val="clear" w:color="auto" w:fill="auto"/>
            <w:noWrap/>
            <w:vAlign w:val="center"/>
          </w:tcPr>
          <w:p w:rsidR="007B2608" w:rsidRPr="005802E9" w:rsidRDefault="007B2608" w:rsidP="00A80AF4">
            <w:pPr>
              <w:pStyle w:val="TableText"/>
              <w:keepNext w:val="0"/>
              <w:widowControl w:val="0"/>
            </w:pPr>
            <w:r w:rsidRPr="005802E9">
              <w:t xml:space="preserve">Broeders (2016). </w:t>
            </w:r>
            <w:r w:rsidRPr="005802E9">
              <w:rPr>
                <w:rFonts w:cs="Times New Roman"/>
                <w:szCs w:val="22"/>
                <w:lang w:eastAsia="en-US"/>
              </w:rPr>
              <w:t xml:space="preserve">A systematic review and meta-analysis comparing topical calcineurin inhibitors with topical corticosteroids. The resubmission assumed that 32% (complement of 68% with treatment success) of patients are failing topical corticosteroids. The rate of discontinuation due to adverse events (1.9%) and a further 1% is assumed as patients contraindicated to topical </w:t>
            </w:r>
            <w:r w:rsidRPr="005802E9">
              <w:rPr>
                <w:rFonts w:cs="Times New Roman"/>
                <w:szCs w:val="22"/>
                <w:lang w:eastAsia="en-US"/>
              </w:rPr>
              <w:lastRenderedPageBreak/>
              <w:t>corticosteroids. The resubmission inappropriately assumed that complement estimates of treatment efficacy and discontinuation rates from trial data can be extrapolated to measures of prevalence in the population. There is limited evidence available to guide these estimates.</w:t>
            </w:r>
            <w:r w:rsidR="004C5636" w:rsidRPr="005802E9">
              <w:t xml:space="preserve"> The ESC considered there is only a very small proportion of the AD population unable to be treated with TCS where they are used appropriately.</w:t>
            </w:r>
          </w:p>
        </w:tc>
      </w:tr>
      <w:tr w:rsidR="007B2608" w:rsidRPr="005802E9" w:rsidTr="00A80AF4">
        <w:trPr>
          <w:trHeight w:val="20"/>
        </w:trPr>
        <w:tc>
          <w:tcPr>
            <w:tcW w:w="9016" w:type="dxa"/>
            <w:gridSpan w:val="4"/>
            <w:shd w:val="clear" w:color="auto" w:fill="auto"/>
            <w:vAlign w:val="center"/>
          </w:tcPr>
          <w:p w:rsidR="007B2608" w:rsidRPr="005802E9" w:rsidRDefault="007B2608" w:rsidP="00A80AF4">
            <w:pPr>
              <w:pStyle w:val="Tableheadingrow"/>
              <w:keepNext w:val="0"/>
              <w:widowControl w:val="0"/>
              <w:rPr>
                <w:iCs/>
                <w:lang w:val="en-AU"/>
              </w:rPr>
            </w:pPr>
            <w:r w:rsidRPr="005802E9">
              <w:rPr>
                <w:lang w:val="en-AU"/>
              </w:rPr>
              <w:lastRenderedPageBreak/>
              <w:t>Treated population</w:t>
            </w:r>
          </w:p>
        </w:tc>
      </w:tr>
      <w:tr w:rsidR="007B2608" w:rsidRPr="005802E9" w:rsidTr="00A80AF4">
        <w:trPr>
          <w:trHeight w:val="20"/>
        </w:trPr>
        <w:tc>
          <w:tcPr>
            <w:tcW w:w="1339" w:type="dxa"/>
            <w:shd w:val="clear" w:color="auto" w:fill="auto"/>
            <w:vAlign w:val="center"/>
          </w:tcPr>
          <w:p w:rsidR="007B2608" w:rsidRPr="00FD21BC" w:rsidRDefault="007B2608" w:rsidP="00A80AF4">
            <w:pPr>
              <w:pStyle w:val="TableText"/>
              <w:keepNext w:val="0"/>
              <w:widowControl w:val="0"/>
            </w:pPr>
            <w:r w:rsidRPr="00FD21BC">
              <w:t>Uptake rate</w:t>
            </w:r>
          </w:p>
        </w:tc>
        <w:tc>
          <w:tcPr>
            <w:tcW w:w="686" w:type="dxa"/>
            <w:vAlign w:val="center"/>
          </w:tcPr>
          <w:p w:rsidR="007B2608" w:rsidRPr="00FD21BC" w:rsidRDefault="00B634B5" w:rsidP="00A80AF4">
            <w:pPr>
              <w:pStyle w:val="TableText"/>
              <w:keepNext w:val="0"/>
              <w:widowControl w:val="0"/>
              <w:jc w:val="center"/>
            </w:pPr>
            <w:r>
              <w:rPr>
                <w:noProof/>
                <w:color w:val="000000"/>
                <w:highlight w:val="black"/>
              </w:rPr>
              <w:t>'''''''</w:t>
            </w:r>
            <w:r w:rsidR="007B2608" w:rsidRPr="00FD21BC">
              <w:t>%</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608" w:rsidRPr="00FD21BC" w:rsidRDefault="00EC0E44" w:rsidP="00A80AF4">
            <w:pPr>
              <w:pStyle w:val="TableText"/>
              <w:keepNext w:val="0"/>
              <w:widowControl w:val="0"/>
              <w:jc w:val="center"/>
              <w:rPr>
                <w:vertAlign w:val="superscript"/>
              </w:rPr>
            </w:pPr>
            <w:r w:rsidRPr="00424775">
              <w:rPr>
                <w:noProof/>
                <w:color w:val="000000"/>
                <w:highlight w:val="black"/>
              </w:rPr>
              <w:t>'''''''''''''''''</w:t>
            </w:r>
            <w:r w:rsidR="003B1BFA" w:rsidRPr="00FD21BC">
              <w:rPr>
                <w:vertAlign w:val="superscript"/>
              </w:rPr>
              <w:t>1</w:t>
            </w:r>
          </w:p>
        </w:tc>
        <w:tc>
          <w:tcPr>
            <w:tcW w:w="5927" w:type="dxa"/>
            <w:tcBorders>
              <w:top w:val="single" w:sz="4" w:space="0" w:color="auto"/>
              <w:left w:val="nil"/>
              <w:bottom w:val="single" w:sz="4" w:space="0" w:color="auto"/>
              <w:right w:val="single" w:sz="4" w:space="0" w:color="auto"/>
            </w:tcBorders>
            <w:shd w:val="clear" w:color="auto" w:fill="FFFFFF" w:themeFill="background1"/>
            <w:vAlign w:val="center"/>
          </w:tcPr>
          <w:p w:rsidR="007B2608" w:rsidRPr="00FD21BC" w:rsidRDefault="00B634B5" w:rsidP="00A80AF4">
            <w:pPr>
              <w:pStyle w:val="TableText"/>
              <w:keepNext w:val="0"/>
              <w:widowControl w:val="0"/>
            </w:pPr>
            <w:r>
              <w:rPr>
                <w:noProof/>
                <w:color w:val="000000"/>
                <w:highlight w:val="black"/>
              </w:rPr>
              <w:t>'''''''</w:t>
            </w:r>
            <w:r w:rsidR="007B2608" w:rsidRPr="00FD21BC">
              <w:t xml:space="preserve">% (Year 1) increasing to </w:t>
            </w:r>
            <w:r>
              <w:rPr>
                <w:noProof/>
                <w:color w:val="000000"/>
                <w:highlight w:val="black"/>
              </w:rPr>
              <w:t>'''''''</w:t>
            </w:r>
            <w:r w:rsidR="007B2608" w:rsidRPr="00FD21BC">
              <w:t>% (Year 6). Based on pimecrolimus uptake rates estimated in the resubmission using multiple data sources and assumptions (ABS Australian population aged 2-85 years data, incidence of AD from the Chidwick study, estimated proportion of patients with mild to moderate disease who have face and eyelid involvement based on sponsor-commissioned market data, 10% Medicare sample analysis for pimecrolimus). The DUSC previously considered the crisaborole market is unlikely to mimic utilisation rates of pimecrolimus, given existing restrictions that are not applicable to crisaborole (face and eyelids only, annual limit of 4 scripts). The DUSC also noted that the size of the private prescription market is unknown, and that there may be additional uptake from patients who are self-treating with over-the-counter topical corticosteroids (crisaborole, DUSC advice, November 2018 PBAC meeting).</w:t>
            </w:r>
          </w:p>
        </w:tc>
      </w:tr>
      <w:tr w:rsidR="007B2608" w:rsidRPr="005802E9" w:rsidTr="00A80AF4">
        <w:trPr>
          <w:trHeight w:val="20"/>
        </w:trPr>
        <w:tc>
          <w:tcPr>
            <w:tcW w:w="1339" w:type="dxa"/>
            <w:shd w:val="clear" w:color="auto" w:fill="auto"/>
            <w:vAlign w:val="center"/>
          </w:tcPr>
          <w:p w:rsidR="007B2608" w:rsidRPr="005802E9" w:rsidRDefault="007B2608" w:rsidP="00A80AF4">
            <w:pPr>
              <w:pStyle w:val="TableText"/>
              <w:keepNext w:val="0"/>
              <w:widowControl w:val="0"/>
            </w:pPr>
            <w:r w:rsidRPr="005802E9">
              <w:t>Grandfathered patients</w:t>
            </w:r>
          </w:p>
        </w:tc>
        <w:tc>
          <w:tcPr>
            <w:tcW w:w="686" w:type="dxa"/>
            <w:vAlign w:val="center"/>
          </w:tcPr>
          <w:p w:rsidR="007B2608" w:rsidRPr="005802E9" w:rsidRDefault="007B2608" w:rsidP="00A80AF4">
            <w:pPr>
              <w:pStyle w:val="TableText"/>
              <w:keepNext w:val="0"/>
              <w:widowControl w:val="0"/>
              <w:jc w:val="center"/>
            </w:pPr>
            <w:r w:rsidRPr="005802E9">
              <w:t>-</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2608" w:rsidRPr="003B1BFA" w:rsidRDefault="00EC0E44" w:rsidP="00A80AF4">
            <w:pPr>
              <w:pStyle w:val="TableText"/>
              <w:keepNext w:val="0"/>
              <w:widowControl w:val="0"/>
              <w:jc w:val="center"/>
              <w:rPr>
                <w:highlight w:val="yellow"/>
                <w:vertAlign w:val="superscript"/>
              </w:rPr>
            </w:pPr>
            <w:r>
              <w:rPr>
                <w:noProof/>
                <w:color w:val="000000"/>
                <w:highlight w:val="black"/>
              </w:rPr>
              <w:t>'''''''''</w:t>
            </w:r>
            <w:r w:rsidR="003B1BFA">
              <w:rPr>
                <w:rStyle w:val="CommentReference"/>
                <w:rFonts w:ascii="Calibri" w:eastAsia="Times New Roman" w:hAnsi="Calibri" w:cs="Arial"/>
                <w:bCs w:val="0"/>
                <w:vertAlign w:val="superscript"/>
              </w:rPr>
              <w:t>2</w:t>
            </w:r>
          </w:p>
        </w:tc>
        <w:tc>
          <w:tcPr>
            <w:tcW w:w="5927" w:type="dxa"/>
            <w:tcBorders>
              <w:top w:val="single" w:sz="4" w:space="0" w:color="auto"/>
              <w:left w:val="nil"/>
              <w:bottom w:val="single" w:sz="4" w:space="0" w:color="auto"/>
              <w:right w:val="single" w:sz="4" w:space="0" w:color="auto"/>
            </w:tcBorders>
            <w:shd w:val="clear" w:color="auto" w:fill="FFFFFF" w:themeFill="background1"/>
            <w:vAlign w:val="center"/>
          </w:tcPr>
          <w:p w:rsidR="007B2608" w:rsidRPr="005802E9" w:rsidRDefault="007B2608" w:rsidP="00A80AF4">
            <w:pPr>
              <w:pStyle w:val="TableText"/>
              <w:keepNext w:val="0"/>
              <w:widowControl w:val="0"/>
            </w:pPr>
            <w:r w:rsidRPr="005802E9">
              <w:t xml:space="preserve">Based on 50% uptake in 394 patients in 2020. Number of patients based on private script data and assumptions, and assumed use of 2 scripts per patient per year. Uptake rate was assumed. No data were provided in support of the assumptions. </w:t>
            </w:r>
          </w:p>
        </w:tc>
      </w:tr>
      <w:tr w:rsidR="007B2608" w:rsidRPr="005802E9" w:rsidTr="00A80AF4">
        <w:trPr>
          <w:trHeight w:val="20"/>
        </w:trPr>
        <w:tc>
          <w:tcPr>
            <w:tcW w:w="1339" w:type="dxa"/>
            <w:shd w:val="clear" w:color="auto" w:fill="auto"/>
            <w:vAlign w:val="center"/>
            <w:hideMark/>
          </w:tcPr>
          <w:p w:rsidR="007B2608" w:rsidRPr="005802E9" w:rsidRDefault="007B2608" w:rsidP="00A80AF4">
            <w:pPr>
              <w:pStyle w:val="Tableheadingrow"/>
              <w:keepNext w:val="0"/>
              <w:widowControl w:val="0"/>
              <w:rPr>
                <w:lang w:val="en-AU"/>
              </w:rPr>
            </w:pPr>
            <w:r w:rsidRPr="005802E9">
              <w:rPr>
                <w:lang w:val="en-AU"/>
              </w:rPr>
              <w:t>Total patients</w:t>
            </w:r>
          </w:p>
        </w:tc>
        <w:tc>
          <w:tcPr>
            <w:tcW w:w="686" w:type="dxa"/>
            <w:vAlign w:val="center"/>
          </w:tcPr>
          <w:p w:rsidR="007B2608" w:rsidRPr="005802E9" w:rsidRDefault="007B2608" w:rsidP="00A80AF4">
            <w:pPr>
              <w:pStyle w:val="TableText"/>
              <w:keepNext w:val="0"/>
              <w:widowControl w:val="0"/>
              <w:jc w:val="center"/>
            </w:pPr>
            <w:r w:rsidRPr="005802E9">
              <w:t>-</w:t>
            </w:r>
          </w:p>
        </w:tc>
        <w:tc>
          <w:tcPr>
            <w:tcW w:w="1064" w:type="dxa"/>
            <w:shd w:val="clear" w:color="auto" w:fill="auto"/>
            <w:vAlign w:val="center"/>
            <w:hideMark/>
          </w:tcPr>
          <w:p w:rsidR="007B2608" w:rsidRPr="003E7509" w:rsidRDefault="00EC0E44" w:rsidP="00A80AF4">
            <w:pPr>
              <w:pStyle w:val="Tableheadingrow"/>
              <w:keepNext w:val="0"/>
              <w:widowControl w:val="0"/>
              <w:jc w:val="center"/>
              <w:rPr>
                <w:highlight w:val="yellow"/>
                <w:vertAlign w:val="superscript"/>
                <w:lang w:val="en-AU"/>
              </w:rPr>
            </w:pPr>
            <w:r>
              <w:rPr>
                <w:noProof/>
                <w:color w:val="000000"/>
                <w:highlight w:val="black"/>
                <w:lang w:val="en-AU"/>
              </w:rPr>
              <w:t>''''''''''''</w:t>
            </w:r>
            <w:r w:rsidR="003B1BFA">
              <w:rPr>
                <w:vertAlign w:val="superscript"/>
                <w:lang w:val="en-AU"/>
              </w:rPr>
              <w:t>1</w:t>
            </w:r>
          </w:p>
        </w:tc>
        <w:tc>
          <w:tcPr>
            <w:tcW w:w="5927" w:type="dxa"/>
            <w:shd w:val="clear" w:color="auto" w:fill="auto"/>
            <w:vAlign w:val="bottom"/>
          </w:tcPr>
          <w:p w:rsidR="007B2608" w:rsidRPr="005802E9" w:rsidRDefault="007B2608" w:rsidP="00A80AF4">
            <w:pPr>
              <w:pStyle w:val="TableText"/>
              <w:keepNext w:val="0"/>
              <w:widowControl w:val="0"/>
            </w:pPr>
            <w:r w:rsidRPr="005802E9">
              <w:t>Grandfathered patients assumed to be part of treated population estimates</w:t>
            </w:r>
            <w:r w:rsidR="005802E9">
              <w:t xml:space="preserve">. </w:t>
            </w:r>
            <w:r w:rsidRPr="005802E9">
              <w:t xml:space="preserve"> </w:t>
            </w:r>
          </w:p>
        </w:tc>
      </w:tr>
    </w:tbl>
    <w:p w:rsidR="007B2608" w:rsidRPr="005802E9" w:rsidRDefault="007B2608" w:rsidP="007B2608">
      <w:pPr>
        <w:pStyle w:val="TableFooter"/>
        <w:keepNext/>
        <w:widowControl/>
      </w:pPr>
      <w:r w:rsidRPr="005802E9">
        <w:t>Source: Table 4.2.1, p165; Table 4.2.2, p 166 of the resubmission</w:t>
      </w:r>
    </w:p>
    <w:p w:rsidR="007B2608" w:rsidRPr="005802E9" w:rsidRDefault="007B2608" w:rsidP="007B2608">
      <w:pPr>
        <w:pStyle w:val="TableFooter"/>
        <w:keepNext/>
        <w:widowControl/>
      </w:pPr>
      <w:r w:rsidRPr="005802E9">
        <w:t>Abbreviations: ABS, Australian Bureau of Statistics; AD, atopic dermatitis; TCS, topical corticosteroids</w:t>
      </w:r>
    </w:p>
    <w:p w:rsidR="00A634D5" w:rsidRDefault="007B2608" w:rsidP="007B2608">
      <w:pPr>
        <w:pStyle w:val="TableFigureFooter"/>
      </w:pPr>
      <w:r w:rsidRPr="005802E9">
        <w:rPr>
          <w:vertAlign w:val="superscript"/>
        </w:rPr>
        <w:t>a</w:t>
      </w:r>
      <w:r w:rsidRPr="005802E9">
        <w:t xml:space="preserve"> Number of treated patients estimated at each step in Year 1 of the financial estimates</w:t>
      </w:r>
      <w:r w:rsidR="005802E9">
        <w:t>.</w:t>
      </w:r>
    </w:p>
    <w:p w:rsidR="003B1BFA" w:rsidRPr="003B1BFA" w:rsidRDefault="003B1BFA" w:rsidP="007B2608">
      <w:pPr>
        <w:pStyle w:val="TableFigureFooter"/>
        <w:rPr>
          <w:i/>
        </w:rPr>
      </w:pPr>
      <w:r w:rsidRPr="003B1BFA">
        <w:rPr>
          <w:i/>
        </w:rPr>
        <w:t>The redacted values correspond to the following ranges:</w:t>
      </w:r>
    </w:p>
    <w:p w:rsidR="003B1BFA" w:rsidRPr="003B1BFA" w:rsidRDefault="003B1BFA" w:rsidP="007B2608">
      <w:pPr>
        <w:pStyle w:val="TableFigureFooter"/>
        <w:rPr>
          <w:i/>
        </w:rPr>
      </w:pPr>
      <w:r w:rsidRPr="003B1BFA">
        <w:rPr>
          <w:i/>
          <w:vertAlign w:val="superscript"/>
        </w:rPr>
        <w:t>1</w:t>
      </w:r>
      <w:r w:rsidRPr="003B1BFA">
        <w:rPr>
          <w:i/>
        </w:rPr>
        <w:t>10,000 to &lt;20,000</w:t>
      </w:r>
    </w:p>
    <w:p w:rsidR="003B1BFA" w:rsidRPr="003B1BFA" w:rsidRDefault="003B1BFA" w:rsidP="007B2608">
      <w:pPr>
        <w:pStyle w:val="TableFigureFooter"/>
        <w:rPr>
          <w:i/>
        </w:rPr>
      </w:pPr>
      <w:r w:rsidRPr="003B1BFA">
        <w:rPr>
          <w:i/>
          <w:vertAlign w:val="superscript"/>
        </w:rPr>
        <w:t>2</w:t>
      </w:r>
      <w:r w:rsidRPr="003B1BFA">
        <w:rPr>
          <w:i/>
        </w:rPr>
        <w:t>&lt;500</w:t>
      </w:r>
    </w:p>
    <w:p w:rsidR="00992175" w:rsidRPr="003B1BFA" w:rsidRDefault="005802E9" w:rsidP="007B2608">
      <w:pPr>
        <w:pStyle w:val="TableFigureFooter"/>
        <w:rPr>
          <w:i/>
        </w:rPr>
      </w:pPr>
      <w:r w:rsidRPr="003B1BFA">
        <w:rPr>
          <w:i/>
        </w:rPr>
        <w:t xml:space="preserve"> </w:t>
      </w:r>
    </w:p>
    <w:p w:rsidR="00992175" w:rsidRDefault="00992175">
      <w:pPr>
        <w:jc w:val="left"/>
        <w:rPr>
          <w:rFonts w:ascii="Arial Narrow" w:hAnsi="Arial Narrow"/>
          <w:snapToGrid w:val="0"/>
          <w:sz w:val="18"/>
          <w:szCs w:val="22"/>
        </w:rPr>
      </w:pPr>
      <w:r>
        <w:br w:type="page"/>
      </w:r>
    </w:p>
    <w:p w:rsidR="007B2608" w:rsidRPr="005802E9" w:rsidRDefault="007B2608" w:rsidP="007B2608">
      <w:pPr>
        <w:pStyle w:val="ExecSumBodyText"/>
        <w:numPr>
          <w:ilvl w:val="1"/>
          <w:numId w:val="1"/>
        </w:numPr>
      </w:pPr>
      <w:r w:rsidRPr="005802E9">
        <w:lastRenderedPageBreak/>
        <w:t>The DUSC previously considered the November 2018 estimates to be significantly underestimated due to significant concerns with the size of the eligible population, treated population estimates, potential for use outside the requested restriction, market penetration rates and treatment costs (crisaborole, DUSC advice, November 2018 PBAC meeting).</w:t>
      </w:r>
    </w:p>
    <w:p w:rsidR="007B2608" w:rsidRPr="005802E9" w:rsidRDefault="007B2608" w:rsidP="007B2608">
      <w:pPr>
        <w:pStyle w:val="ExecSumBodyText"/>
        <w:numPr>
          <w:ilvl w:val="1"/>
          <w:numId w:val="1"/>
        </w:numPr>
        <w:rPr>
          <w:color w:val="0066FF"/>
        </w:rPr>
      </w:pPr>
      <w:r w:rsidRPr="005802E9">
        <w:t xml:space="preserve">The approach and data sources used in the resubmission were revised compared to the November 2018 submission. However, the size of the eligible </w:t>
      </w:r>
      <w:r w:rsidR="001322CF">
        <w:t xml:space="preserve">population </w:t>
      </w:r>
      <w:r w:rsidRPr="005802E9">
        <w:t xml:space="preserve">is likely to be substantially underestimated as the estimates were based on an incident population only, not accounting for a large prevalent pool of patients likely to qualify for treatment with crisaborole. </w:t>
      </w:r>
    </w:p>
    <w:p w:rsidR="007B2608" w:rsidRPr="005802E9" w:rsidRDefault="007B2608" w:rsidP="007B2608">
      <w:pPr>
        <w:pStyle w:val="ExecSumBodyText"/>
        <w:numPr>
          <w:ilvl w:val="1"/>
          <w:numId w:val="1"/>
        </w:numPr>
        <w:rPr>
          <w:color w:val="0066FF"/>
        </w:rPr>
      </w:pPr>
      <w:r w:rsidRPr="005802E9">
        <w:t>In November 2018, the PBAC considered that the estimated prescription usage was highly uncertain and likely to be underestimated and that there would be a high likelihood of leakage to other types of dermatitis, infants under 2 years, and patients with ‘steroid phobia’ (paragraph 7.11, crisaborole PSD, November 2018 PBAC meeting). The resubmission proposed a risk-sharing arrangement to address this uncertainty, however, details of the proposed caps were not provided (see Risk-sharing Arrangements below).</w:t>
      </w:r>
    </w:p>
    <w:p w:rsidR="007B2608" w:rsidRPr="005802E9" w:rsidRDefault="007B2608" w:rsidP="007B2608">
      <w:pPr>
        <w:pStyle w:val="ExecSumBodyText"/>
        <w:numPr>
          <w:ilvl w:val="1"/>
          <w:numId w:val="1"/>
        </w:numPr>
        <w:rPr>
          <w:i/>
          <w:color w:val="0066FF"/>
        </w:rPr>
      </w:pPr>
      <w:r w:rsidRPr="005802E9">
        <w:t xml:space="preserve">To derive the estimated use of crisaborole, the resubmission used a complex approach based on the economic model of the resubmission to estimate time spent in the following health states over 4-week cycles: ISGA 0/1 pause treatment, ISGA 2+ on treatment, ISGA 0/1 cease treatment and ISGA 2+ cease treatment. </w:t>
      </w:r>
    </w:p>
    <w:p w:rsidR="007B2608" w:rsidRPr="005802E9" w:rsidRDefault="007B2608" w:rsidP="007B2608">
      <w:pPr>
        <w:pStyle w:val="ExecSumBodyText"/>
        <w:numPr>
          <w:ilvl w:val="1"/>
          <w:numId w:val="1"/>
        </w:numPr>
      </w:pPr>
      <w:r w:rsidRPr="005802E9">
        <w:t>During the evaluation, the estimates of use were simplified to patient-years, in order to illustrate the number of patients and time spent in each health state over each year (i.e. dividing total patients in each health state by 12 and calculating the sum of 12 cycles for each year) (see table below).</w:t>
      </w:r>
    </w:p>
    <w:p w:rsidR="007B2608" w:rsidRPr="005802E9" w:rsidRDefault="00BD6067" w:rsidP="007B2608">
      <w:pPr>
        <w:pStyle w:val="TableFigureCaption"/>
        <w:keepLines/>
      </w:pPr>
      <w:r>
        <w:lastRenderedPageBreak/>
        <w:t>Table 20</w:t>
      </w:r>
      <w:r w:rsidR="007B2608" w:rsidRPr="005802E9">
        <w:t>: Estimated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7B2608" w:rsidRPr="005802E9" w:rsidTr="00A80AF4">
        <w:trPr>
          <w:tblHeader/>
        </w:trPr>
        <w:tc>
          <w:tcPr>
            <w:tcW w:w="2263" w:type="dxa"/>
            <w:shd w:val="clear" w:color="auto" w:fill="auto"/>
            <w:vAlign w:val="center"/>
          </w:tcPr>
          <w:p w:rsidR="007B2608" w:rsidRPr="005802E9" w:rsidRDefault="007B2608" w:rsidP="00A80AF4">
            <w:pPr>
              <w:pStyle w:val="Tabletext0"/>
              <w:keepNext/>
              <w:keepLines/>
              <w:rPr>
                <w:b/>
              </w:rPr>
            </w:pPr>
          </w:p>
        </w:tc>
        <w:tc>
          <w:tcPr>
            <w:tcW w:w="1134" w:type="dxa"/>
            <w:shd w:val="clear" w:color="auto" w:fill="auto"/>
            <w:vAlign w:val="center"/>
          </w:tcPr>
          <w:p w:rsidR="007B2608" w:rsidRPr="005802E9" w:rsidRDefault="007B2608" w:rsidP="00A80AF4">
            <w:pPr>
              <w:pStyle w:val="Tabletext0"/>
              <w:keepNext/>
              <w:keepLines/>
              <w:jc w:val="center"/>
              <w:rPr>
                <w:b/>
              </w:rPr>
            </w:pPr>
            <w:r w:rsidRPr="005802E9">
              <w:rPr>
                <w:b/>
              </w:rPr>
              <w:t>Year 1</w:t>
            </w:r>
          </w:p>
        </w:tc>
        <w:tc>
          <w:tcPr>
            <w:tcW w:w="1134" w:type="dxa"/>
            <w:shd w:val="clear" w:color="auto" w:fill="auto"/>
            <w:vAlign w:val="center"/>
          </w:tcPr>
          <w:p w:rsidR="007B2608" w:rsidRPr="005802E9" w:rsidRDefault="007B2608" w:rsidP="00A80AF4">
            <w:pPr>
              <w:pStyle w:val="Tabletext0"/>
              <w:keepNext/>
              <w:keepLines/>
              <w:jc w:val="center"/>
              <w:rPr>
                <w:b/>
              </w:rPr>
            </w:pPr>
            <w:r w:rsidRPr="005802E9">
              <w:rPr>
                <w:b/>
              </w:rPr>
              <w:t>Year 2</w:t>
            </w:r>
          </w:p>
        </w:tc>
        <w:tc>
          <w:tcPr>
            <w:tcW w:w="1134" w:type="dxa"/>
            <w:shd w:val="clear" w:color="auto" w:fill="auto"/>
            <w:vAlign w:val="center"/>
          </w:tcPr>
          <w:p w:rsidR="007B2608" w:rsidRPr="005802E9" w:rsidRDefault="007B2608" w:rsidP="00A80AF4">
            <w:pPr>
              <w:pStyle w:val="Tabletext0"/>
              <w:keepNext/>
              <w:keepLines/>
              <w:jc w:val="center"/>
              <w:rPr>
                <w:b/>
              </w:rPr>
            </w:pPr>
            <w:r w:rsidRPr="005802E9">
              <w:rPr>
                <w:b/>
              </w:rPr>
              <w:t>Year 3</w:t>
            </w:r>
          </w:p>
        </w:tc>
        <w:tc>
          <w:tcPr>
            <w:tcW w:w="1134" w:type="dxa"/>
            <w:shd w:val="clear" w:color="auto" w:fill="auto"/>
            <w:vAlign w:val="center"/>
          </w:tcPr>
          <w:p w:rsidR="007B2608" w:rsidRPr="005802E9" w:rsidRDefault="007B2608" w:rsidP="00A80AF4">
            <w:pPr>
              <w:pStyle w:val="Tabletext0"/>
              <w:keepNext/>
              <w:keepLines/>
              <w:jc w:val="center"/>
              <w:rPr>
                <w:b/>
              </w:rPr>
            </w:pPr>
            <w:r w:rsidRPr="005802E9">
              <w:rPr>
                <w:b/>
              </w:rPr>
              <w:t>Year 4</w:t>
            </w:r>
          </w:p>
        </w:tc>
        <w:tc>
          <w:tcPr>
            <w:tcW w:w="1134" w:type="dxa"/>
            <w:shd w:val="clear" w:color="auto" w:fill="auto"/>
            <w:vAlign w:val="center"/>
          </w:tcPr>
          <w:p w:rsidR="007B2608" w:rsidRPr="005802E9" w:rsidRDefault="007B2608" w:rsidP="00A80AF4">
            <w:pPr>
              <w:pStyle w:val="Tabletext0"/>
              <w:keepNext/>
              <w:keepLines/>
              <w:jc w:val="center"/>
              <w:rPr>
                <w:b/>
              </w:rPr>
            </w:pPr>
            <w:r w:rsidRPr="005802E9">
              <w:rPr>
                <w:b/>
              </w:rPr>
              <w:t>Year 5</w:t>
            </w:r>
          </w:p>
        </w:tc>
        <w:tc>
          <w:tcPr>
            <w:tcW w:w="1134" w:type="dxa"/>
            <w:shd w:val="clear" w:color="auto" w:fill="auto"/>
            <w:vAlign w:val="center"/>
          </w:tcPr>
          <w:p w:rsidR="007B2608" w:rsidRPr="005802E9" w:rsidRDefault="007B2608" w:rsidP="00A80AF4">
            <w:pPr>
              <w:pStyle w:val="Tabletext0"/>
              <w:keepNext/>
              <w:keepLines/>
              <w:jc w:val="center"/>
              <w:rPr>
                <w:b/>
              </w:rPr>
            </w:pPr>
            <w:r w:rsidRPr="005802E9">
              <w:rPr>
                <w:b/>
              </w:rPr>
              <w:t>Year 6</w:t>
            </w:r>
          </w:p>
        </w:tc>
      </w:tr>
      <w:tr w:rsidR="007B2608" w:rsidRPr="005802E9" w:rsidTr="00A80AF4">
        <w:trPr>
          <w:trHeight w:val="102"/>
        </w:trPr>
        <w:tc>
          <w:tcPr>
            <w:tcW w:w="9067" w:type="dxa"/>
            <w:gridSpan w:val="7"/>
            <w:shd w:val="clear" w:color="auto" w:fill="auto"/>
            <w:vAlign w:val="center"/>
          </w:tcPr>
          <w:p w:rsidR="007B2608" w:rsidRPr="005802E9" w:rsidRDefault="007B2608" w:rsidP="00A80AF4">
            <w:pPr>
              <w:pStyle w:val="Tabletext0"/>
              <w:keepNext/>
              <w:keepLines/>
              <w:rPr>
                <w:b/>
              </w:rPr>
            </w:pPr>
            <w:r w:rsidRPr="005802E9">
              <w:rPr>
                <w:b/>
              </w:rPr>
              <w:t xml:space="preserve">Estimated use and cost of initial scripts </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Newly diagnosed patients starting treatment</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1</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2</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2</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2</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3</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3</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 xml:space="preserve">Initial scripts </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3</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4</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5</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5</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6</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6</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 xml:space="preserve">Cost of initial scripts </w:t>
            </w:r>
          </w:p>
          <w:p w:rsidR="007B2608" w:rsidRPr="005802E9" w:rsidRDefault="007B2608" w:rsidP="00A80AF4">
            <w:pPr>
              <w:pStyle w:val="Tabletext0"/>
              <w:keepNext/>
              <w:keepLines/>
            </w:pPr>
            <w:r w:rsidRPr="005802E9">
              <w:t>(</w:t>
            </w:r>
            <w:r w:rsidRPr="003B1BFA">
              <w:t>DPMQ $</w:t>
            </w:r>
            <w:r w:rsidR="00EC0E44">
              <w:rPr>
                <w:noProof/>
                <w:color w:val="000000"/>
                <w:highlight w:val="black"/>
              </w:rPr>
              <w:t>'''''''''''''</w:t>
            </w:r>
            <w:r w:rsidRPr="005802E9">
              <w:t>)</w:t>
            </w:r>
          </w:p>
        </w:tc>
        <w:tc>
          <w:tcPr>
            <w:tcW w:w="1134" w:type="dxa"/>
            <w:shd w:val="clear" w:color="auto" w:fill="auto"/>
            <w:vAlign w:val="center"/>
          </w:tcPr>
          <w:p w:rsidR="007B2608" w:rsidRPr="00FB5390" w:rsidRDefault="007B2608" w:rsidP="00A80AF4">
            <w:pPr>
              <w:pStyle w:val="Tabletext0"/>
              <w:keepNext/>
              <w:keepLines/>
              <w:jc w:val="center"/>
              <w:rPr>
                <w:vertAlign w:val="superscript"/>
              </w:rPr>
            </w:pPr>
            <w:r w:rsidRPr="005802E9">
              <w:t>$</w:t>
            </w:r>
            <w:r w:rsidR="00EC0E44">
              <w:rPr>
                <w:noProof/>
                <w:color w:val="000000"/>
                <w:highlight w:val="black"/>
              </w:rPr>
              <w:t>''''''''''''''''''''''</w:t>
            </w:r>
            <w:r w:rsidR="00FB5390">
              <w:rPr>
                <w:vertAlign w:val="superscript"/>
              </w:rPr>
              <w:t>14</w:t>
            </w:r>
          </w:p>
        </w:tc>
        <w:tc>
          <w:tcPr>
            <w:tcW w:w="1134" w:type="dxa"/>
            <w:shd w:val="clear" w:color="auto" w:fill="auto"/>
            <w:vAlign w:val="center"/>
          </w:tcPr>
          <w:p w:rsidR="007B2608" w:rsidRPr="00FB5390" w:rsidRDefault="007B2608" w:rsidP="00A80AF4">
            <w:pPr>
              <w:pStyle w:val="Tabletext0"/>
              <w:keepNext/>
              <w:keepLines/>
              <w:jc w:val="center"/>
              <w:rPr>
                <w:vertAlign w:val="superscript"/>
              </w:rPr>
            </w:pPr>
            <w:r w:rsidRPr="005802E9">
              <w:t>$</w:t>
            </w:r>
            <w:r w:rsidR="00EC0E44">
              <w:rPr>
                <w:noProof/>
                <w:color w:val="000000"/>
                <w:highlight w:val="black"/>
              </w:rPr>
              <w:t>'''''''''''''''''''''''</w:t>
            </w:r>
            <w:r w:rsidR="00FB5390">
              <w:rPr>
                <w:vertAlign w:val="superscript"/>
              </w:rPr>
              <w:t>14</w:t>
            </w:r>
          </w:p>
        </w:tc>
        <w:tc>
          <w:tcPr>
            <w:tcW w:w="1134" w:type="dxa"/>
            <w:shd w:val="clear" w:color="auto" w:fill="auto"/>
            <w:vAlign w:val="center"/>
          </w:tcPr>
          <w:p w:rsidR="007B2608" w:rsidRPr="00FB5390" w:rsidRDefault="007B2608" w:rsidP="00A80AF4">
            <w:pPr>
              <w:pStyle w:val="Tabletext0"/>
              <w:keepNext/>
              <w:keepLines/>
              <w:jc w:val="center"/>
              <w:rPr>
                <w:vertAlign w:val="superscript"/>
              </w:rPr>
            </w:pPr>
            <w:r w:rsidRPr="005802E9">
              <w:t>$</w:t>
            </w:r>
            <w:r w:rsidR="00EC0E44">
              <w:rPr>
                <w:noProof/>
                <w:color w:val="000000"/>
                <w:highlight w:val="black"/>
              </w:rPr>
              <w:t>'''''''''''''''''''''''</w:t>
            </w:r>
            <w:r w:rsidR="00FB5390">
              <w:rPr>
                <w:vertAlign w:val="superscript"/>
              </w:rPr>
              <w:t>14</w:t>
            </w:r>
          </w:p>
        </w:tc>
        <w:tc>
          <w:tcPr>
            <w:tcW w:w="1134" w:type="dxa"/>
            <w:shd w:val="clear" w:color="auto" w:fill="auto"/>
            <w:vAlign w:val="center"/>
          </w:tcPr>
          <w:p w:rsidR="007B2608" w:rsidRPr="00FB5390" w:rsidRDefault="007B2608" w:rsidP="00A80AF4">
            <w:pPr>
              <w:pStyle w:val="Tabletext0"/>
              <w:keepNext/>
              <w:keepLines/>
              <w:jc w:val="center"/>
              <w:rPr>
                <w:vertAlign w:val="superscript"/>
              </w:rPr>
            </w:pPr>
            <w:r w:rsidRPr="005802E9">
              <w:t>$</w:t>
            </w:r>
            <w:r w:rsidR="00EC0E44">
              <w:rPr>
                <w:noProof/>
                <w:color w:val="000000"/>
                <w:highlight w:val="black"/>
              </w:rPr>
              <w:t>''''''''''''''''''''''</w:t>
            </w:r>
            <w:r w:rsidR="00FB5390">
              <w:rPr>
                <w:vertAlign w:val="superscript"/>
              </w:rPr>
              <w:t>14</w:t>
            </w:r>
          </w:p>
        </w:tc>
        <w:tc>
          <w:tcPr>
            <w:tcW w:w="1134" w:type="dxa"/>
            <w:shd w:val="clear" w:color="auto" w:fill="auto"/>
            <w:vAlign w:val="center"/>
          </w:tcPr>
          <w:p w:rsidR="007B2608" w:rsidRPr="00FB5390" w:rsidRDefault="007B2608" w:rsidP="00A80AF4">
            <w:pPr>
              <w:pStyle w:val="Tabletext0"/>
              <w:keepNext/>
              <w:keepLines/>
              <w:jc w:val="center"/>
              <w:rPr>
                <w:vertAlign w:val="superscript"/>
              </w:rPr>
            </w:pPr>
            <w:r w:rsidRPr="005802E9">
              <w:t>$</w:t>
            </w:r>
            <w:r w:rsidR="00EC0E44">
              <w:rPr>
                <w:noProof/>
                <w:color w:val="000000"/>
                <w:highlight w:val="black"/>
              </w:rPr>
              <w:t>'''''''''''''''''''''''</w:t>
            </w:r>
            <w:r w:rsidR="00FB5390">
              <w:rPr>
                <w:vertAlign w:val="superscript"/>
              </w:rPr>
              <w:t>14</w:t>
            </w:r>
          </w:p>
        </w:tc>
        <w:tc>
          <w:tcPr>
            <w:tcW w:w="1134" w:type="dxa"/>
            <w:shd w:val="clear" w:color="auto" w:fill="auto"/>
            <w:vAlign w:val="center"/>
          </w:tcPr>
          <w:p w:rsidR="007B2608" w:rsidRPr="00FB5390" w:rsidRDefault="007B2608" w:rsidP="00A80AF4">
            <w:pPr>
              <w:pStyle w:val="Tabletext0"/>
              <w:keepNext/>
              <w:keepLines/>
              <w:jc w:val="center"/>
              <w:rPr>
                <w:vertAlign w:val="superscript"/>
              </w:rPr>
            </w:pPr>
            <w:r w:rsidRPr="005802E9">
              <w:t>$</w:t>
            </w:r>
            <w:r w:rsidR="00EC0E44">
              <w:rPr>
                <w:noProof/>
                <w:color w:val="000000"/>
                <w:highlight w:val="black"/>
              </w:rPr>
              <w:t>'''''''''''''''''''''''</w:t>
            </w:r>
            <w:r w:rsidR="00FB5390">
              <w:rPr>
                <w:vertAlign w:val="superscript"/>
              </w:rPr>
              <w:t>14</w:t>
            </w:r>
          </w:p>
        </w:tc>
      </w:tr>
      <w:tr w:rsidR="007B2608" w:rsidRPr="005802E9" w:rsidTr="00A80AF4">
        <w:tc>
          <w:tcPr>
            <w:tcW w:w="9067" w:type="dxa"/>
            <w:gridSpan w:val="7"/>
            <w:shd w:val="clear" w:color="auto" w:fill="auto"/>
            <w:vAlign w:val="center"/>
          </w:tcPr>
          <w:p w:rsidR="007B2608" w:rsidRPr="005802E9" w:rsidRDefault="007B2608" w:rsidP="00A80AF4">
            <w:pPr>
              <w:pStyle w:val="Tabletext0"/>
              <w:keepNext/>
              <w:keepLines/>
            </w:pPr>
            <w:r w:rsidRPr="005802E9">
              <w:rPr>
                <w:b/>
              </w:rPr>
              <w:t>Estimated use and cost of continuing scripts</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rPr>
                <w:vertAlign w:val="superscript"/>
              </w:rPr>
            </w:pPr>
            <w:r w:rsidRPr="005802E9">
              <w:t>Patients with ongoing ISGA 2+ for 3 months after initiation who cease treatment (21.7%)</w:t>
            </w:r>
            <w:r w:rsidRPr="005802E9">
              <w:rPr>
                <w:vertAlign w:val="superscript"/>
              </w:rPr>
              <w:t>a</w:t>
            </w:r>
          </w:p>
        </w:tc>
        <w:tc>
          <w:tcPr>
            <w:tcW w:w="1134" w:type="dxa"/>
            <w:shd w:val="clear" w:color="auto" w:fill="auto"/>
            <w:vAlign w:val="center"/>
          </w:tcPr>
          <w:p w:rsidR="007B2608" w:rsidRPr="005802E9" w:rsidRDefault="007B2608" w:rsidP="00A80AF4">
            <w:pPr>
              <w:pStyle w:val="Tabletext0"/>
              <w:keepNext/>
              <w:keepLines/>
              <w:jc w:val="center"/>
            </w:pPr>
            <w:r w:rsidRPr="005802E9">
              <w:t>-</w:t>
            </w:r>
            <w:r w:rsidR="00EC0E44">
              <w:rPr>
                <w:noProof/>
                <w:color w:val="000000"/>
                <w:highlight w:val="black"/>
              </w:rPr>
              <w:t>'''''''''''''</w:t>
            </w:r>
            <w:r w:rsidR="002B7490" w:rsidRPr="002B7490">
              <w:rPr>
                <w:vertAlign w:val="superscript"/>
              </w:rPr>
              <w:t>7</w:t>
            </w:r>
          </w:p>
        </w:tc>
        <w:tc>
          <w:tcPr>
            <w:tcW w:w="1134" w:type="dxa"/>
            <w:shd w:val="clear" w:color="auto" w:fill="auto"/>
            <w:vAlign w:val="center"/>
          </w:tcPr>
          <w:p w:rsidR="007B2608" w:rsidRPr="005802E9" w:rsidRDefault="007B2608" w:rsidP="00A80AF4">
            <w:pPr>
              <w:pStyle w:val="Tabletext0"/>
              <w:keepNext/>
              <w:keepLines/>
              <w:jc w:val="center"/>
            </w:pPr>
            <w:r w:rsidRPr="005802E9">
              <w:t>-</w:t>
            </w:r>
            <w:r w:rsidR="00EC0E44">
              <w:rPr>
                <w:noProof/>
                <w:color w:val="000000"/>
                <w:highlight w:val="black"/>
              </w:rPr>
              <w:t>''''''''''''</w:t>
            </w:r>
            <w:r w:rsidR="002B7490" w:rsidRPr="002B7490">
              <w:rPr>
                <w:vertAlign w:val="superscript"/>
              </w:rPr>
              <w:t>7</w:t>
            </w:r>
          </w:p>
        </w:tc>
        <w:tc>
          <w:tcPr>
            <w:tcW w:w="1134" w:type="dxa"/>
            <w:shd w:val="clear" w:color="auto" w:fill="auto"/>
            <w:vAlign w:val="center"/>
          </w:tcPr>
          <w:p w:rsidR="007B2608" w:rsidRPr="005802E9" w:rsidRDefault="007B2608" w:rsidP="00A80AF4">
            <w:pPr>
              <w:pStyle w:val="Tabletext0"/>
              <w:keepNext/>
              <w:keepLines/>
              <w:jc w:val="center"/>
            </w:pPr>
            <w:r w:rsidRPr="005802E9">
              <w:t>-</w:t>
            </w:r>
            <w:r w:rsidR="00EC0E44">
              <w:rPr>
                <w:noProof/>
                <w:color w:val="000000"/>
                <w:highlight w:val="black"/>
              </w:rPr>
              <w:t>'''''''''''''</w:t>
            </w:r>
            <w:r w:rsidR="002B7490" w:rsidRPr="002B7490">
              <w:rPr>
                <w:vertAlign w:val="superscript"/>
              </w:rPr>
              <w:t>7</w:t>
            </w:r>
          </w:p>
        </w:tc>
        <w:tc>
          <w:tcPr>
            <w:tcW w:w="1134" w:type="dxa"/>
            <w:shd w:val="clear" w:color="auto" w:fill="auto"/>
            <w:vAlign w:val="center"/>
          </w:tcPr>
          <w:p w:rsidR="007B2608" w:rsidRPr="005802E9" w:rsidRDefault="007B2608" w:rsidP="00A80AF4">
            <w:pPr>
              <w:pStyle w:val="Tabletext0"/>
              <w:keepNext/>
              <w:keepLines/>
              <w:jc w:val="center"/>
            </w:pPr>
            <w:r w:rsidRPr="005802E9">
              <w:t>-</w:t>
            </w:r>
            <w:r w:rsidR="00EC0E44">
              <w:rPr>
                <w:noProof/>
                <w:color w:val="000000"/>
                <w:highlight w:val="black"/>
              </w:rPr>
              <w:t>'''''''''''''''</w:t>
            </w:r>
            <w:r w:rsidR="002B7490" w:rsidRPr="002B7490">
              <w:rPr>
                <w:vertAlign w:val="superscript"/>
              </w:rPr>
              <w:t>7</w:t>
            </w:r>
          </w:p>
        </w:tc>
        <w:tc>
          <w:tcPr>
            <w:tcW w:w="1134" w:type="dxa"/>
            <w:shd w:val="clear" w:color="auto" w:fill="auto"/>
            <w:vAlign w:val="center"/>
          </w:tcPr>
          <w:p w:rsidR="007B2608" w:rsidRPr="005802E9" w:rsidRDefault="007B2608" w:rsidP="00A80AF4">
            <w:pPr>
              <w:pStyle w:val="Tabletext0"/>
              <w:keepNext/>
              <w:keepLines/>
              <w:jc w:val="center"/>
            </w:pPr>
            <w:r w:rsidRPr="005802E9">
              <w:t>-</w:t>
            </w:r>
            <w:r w:rsidR="00EC0E44">
              <w:rPr>
                <w:noProof/>
                <w:color w:val="000000"/>
                <w:highlight w:val="black"/>
              </w:rPr>
              <w:t>'''''''''''''</w:t>
            </w:r>
            <w:r w:rsidR="002B7490" w:rsidRPr="002B7490">
              <w:rPr>
                <w:vertAlign w:val="superscript"/>
              </w:rPr>
              <w:t>7</w:t>
            </w:r>
          </w:p>
        </w:tc>
        <w:tc>
          <w:tcPr>
            <w:tcW w:w="1134" w:type="dxa"/>
            <w:shd w:val="clear" w:color="auto" w:fill="auto"/>
            <w:vAlign w:val="center"/>
          </w:tcPr>
          <w:p w:rsidR="007B2608" w:rsidRPr="005802E9" w:rsidRDefault="007B2608" w:rsidP="00A80AF4">
            <w:pPr>
              <w:pStyle w:val="Tabletext0"/>
              <w:keepNext/>
              <w:keepLines/>
              <w:jc w:val="center"/>
            </w:pPr>
            <w:r w:rsidRPr="005802E9">
              <w:t>-</w:t>
            </w:r>
            <w:r w:rsidR="00EC0E44">
              <w:rPr>
                <w:noProof/>
                <w:color w:val="000000"/>
                <w:highlight w:val="black"/>
              </w:rPr>
              <w:t>'''''''''''''''</w:t>
            </w:r>
            <w:r w:rsidR="002B7490" w:rsidRPr="002B7490">
              <w:rPr>
                <w:vertAlign w:val="superscript"/>
              </w:rPr>
              <w:t>7</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 xml:space="preserve">Remaining patients who are on/off treatment </w:t>
            </w:r>
          </w:p>
          <w:p w:rsidR="007B2608" w:rsidRPr="005802E9" w:rsidRDefault="007B2608" w:rsidP="00A80AF4">
            <w:pPr>
              <w:pStyle w:val="Tabletext0"/>
              <w:keepNext/>
              <w:keepLines/>
            </w:pPr>
            <w:r w:rsidRPr="005802E9">
              <w:t>(patient-years)</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7</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2</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3</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4</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5</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6</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 ISGA 0/1 pause treatment</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sidRPr="00397DEA">
              <w:rPr>
                <w:vertAlign w:val="superscript"/>
              </w:rPr>
              <w:t>7</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sidRPr="00397DEA">
              <w:rPr>
                <w:vertAlign w:val="superscript"/>
              </w:rPr>
              <w:t>7</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sidRPr="00397DEA">
              <w:rPr>
                <w:vertAlign w:val="superscript"/>
              </w:rPr>
              <w:t>7</w:t>
            </w:r>
          </w:p>
        </w:tc>
        <w:tc>
          <w:tcPr>
            <w:tcW w:w="1134" w:type="dxa"/>
            <w:shd w:val="clear" w:color="auto" w:fill="auto"/>
            <w:vAlign w:val="center"/>
          </w:tcPr>
          <w:p w:rsidR="007B2608" w:rsidRPr="00397DEA" w:rsidRDefault="00EC0E44" w:rsidP="00A80AF4">
            <w:pPr>
              <w:pStyle w:val="Tabletext0"/>
              <w:keepNext/>
              <w:keepLines/>
              <w:jc w:val="center"/>
              <w:rPr>
                <w:vertAlign w:val="superscript"/>
              </w:rPr>
            </w:pPr>
            <w:r>
              <w:rPr>
                <w:noProof/>
                <w:color w:val="000000"/>
                <w:highlight w:val="black"/>
              </w:rPr>
              <w:t>''''''''''''''</w:t>
            </w:r>
            <w:r w:rsidR="00397DEA">
              <w:rPr>
                <w:vertAlign w:val="superscript"/>
              </w:rPr>
              <w:t>1</w:t>
            </w:r>
          </w:p>
        </w:tc>
        <w:tc>
          <w:tcPr>
            <w:tcW w:w="1134" w:type="dxa"/>
            <w:shd w:val="clear" w:color="auto" w:fill="auto"/>
            <w:vAlign w:val="center"/>
          </w:tcPr>
          <w:p w:rsidR="007B2608" w:rsidRPr="00397DEA" w:rsidRDefault="00EC0E44" w:rsidP="00A80AF4">
            <w:pPr>
              <w:pStyle w:val="Tabletext0"/>
              <w:keepNext/>
              <w:keepLines/>
              <w:jc w:val="center"/>
              <w:rPr>
                <w:vertAlign w:val="superscript"/>
              </w:rPr>
            </w:pPr>
            <w:r>
              <w:rPr>
                <w:noProof/>
                <w:color w:val="000000"/>
                <w:highlight w:val="black"/>
              </w:rPr>
              <w:t>''''''''''''</w:t>
            </w:r>
            <w:r w:rsidR="00397DEA">
              <w:rPr>
                <w:vertAlign w:val="superscript"/>
              </w:rPr>
              <w:t>1</w:t>
            </w:r>
          </w:p>
        </w:tc>
        <w:tc>
          <w:tcPr>
            <w:tcW w:w="1134" w:type="dxa"/>
            <w:shd w:val="clear" w:color="auto" w:fill="auto"/>
            <w:vAlign w:val="center"/>
          </w:tcPr>
          <w:p w:rsidR="007B2608" w:rsidRPr="00397DEA" w:rsidRDefault="00EC0E44" w:rsidP="00A80AF4">
            <w:pPr>
              <w:pStyle w:val="Tabletext0"/>
              <w:keepNext/>
              <w:keepLines/>
              <w:jc w:val="center"/>
              <w:rPr>
                <w:vertAlign w:val="superscript"/>
              </w:rPr>
            </w:pPr>
            <w:r>
              <w:rPr>
                <w:noProof/>
                <w:color w:val="000000"/>
                <w:highlight w:val="black"/>
              </w:rPr>
              <w:t>''''''''''''''</w:t>
            </w:r>
            <w:r w:rsidR="00397DEA">
              <w:rPr>
                <w:vertAlign w:val="superscript"/>
              </w:rPr>
              <w:t>1</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 xml:space="preserve">- ISGA 2+ on treatment </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sidRPr="00397DEA">
              <w:rPr>
                <w:vertAlign w:val="superscript"/>
              </w:rPr>
              <w:t>7</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sidRPr="00397DEA">
              <w:rPr>
                <w:vertAlign w:val="superscript"/>
              </w:rPr>
              <w:t>7</w:t>
            </w:r>
          </w:p>
        </w:tc>
        <w:tc>
          <w:tcPr>
            <w:tcW w:w="1134" w:type="dxa"/>
            <w:shd w:val="clear" w:color="auto" w:fill="auto"/>
            <w:vAlign w:val="center"/>
          </w:tcPr>
          <w:p w:rsidR="007B2608" w:rsidRPr="00397DEA" w:rsidRDefault="00EC0E44" w:rsidP="00A80AF4">
            <w:pPr>
              <w:pStyle w:val="Tabletext0"/>
              <w:keepNext/>
              <w:keepLines/>
              <w:jc w:val="center"/>
              <w:rPr>
                <w:vertAlign w:val="superscript"/>
              </w:rPr>
            </w:pPr>
            <w:r>
              <w:rPr>
                <w:noProof/>
                <w:color w:val="000000"/>
                <w:highlight w:val="black"/>
              </w:rPr>
              <w:t>'''''''''''''''</w:t>
            </w:r>
            <w:r w:rsidR="00397DEA">
              <w:rPr>
                <w:vertAlign w:val="superscript"/>
              </w:rPr>
              <w:t>1</w:t>
            </w:r>
          </w:p>
        </w:tc>
        <w:tc>
          <w:tcPr>
            <w:tcW w:w="1134" w:type="dxa"/>
            <w:shd w:val="clear" w:color="auto" w:fill="auto"/>
            <w:vAlign w:val="center"/>
          </w:tcPr>
          <w:p w:rsidR="007B2608" w:rsidRPr="00397DEA" w:rsidRDefault="00EC0E44" w:rsidP="00A80AF4">
            <w:pPr>
              <w:pStyle w:val="Tabletext0"/>
              <w:keepNext/>
              <w:keepLines/>
              <w:jc w:val="center"/>
              <w:rPr>
                <w:vertAlign w:val="superscript"/>
              </w:rPr>
            </w:pPr>
            <w:r>
              <w:rPr>
                <w:noProof/>
                <w:color w:val="000000"/>
                <w:highlight w:val="black"/>
              </w:rPr>
              <w:t>'''''''''''''</w:t>
            </w:r>
            <w:r w:rsidR="00397DEA">
              <w:rPr>
                <w:vertAlign w:val="superscript"/>
              </w:rPr>
              <w:t>1</w:t>
            </w:r>
          </w:p>
        </w:tc>
        <w:tc>
          <w:tcPr>
            <w:tcW w:w="1134" w:type="dxa"/>
            <w:shd w:val="clear" w:color="auto" w:fill="auto"/>
            <w:vAlign w:val="center"/>
          </w:tcPr>
          <w:p w:rsidR="007B2608" w:rsidRPr="00397DEA" w:rsidRDefault="00EC0E44" w:rsidP="00A80AF4">
            <w:pPr>
              <w:pStyle w:val="Tabletext0"/>
              <w:keepNext/>
              <w:keepLines/>
              <w:jc w:val="center"/>
              <w:rPr>
                <w:vertAlign w:val="superscript"/>
              </w:rPr>
            </w:pPr>
            <w:r>
              <w:rPr>
                <w:noProof/>
                <w:color w:val="000000"/>
                <w:highlight w:val="black"/>
              </w:rPr>
              <w:t>'''''''''''''''''</w:t>
            </w:r>
            <w:r w:rsidR="00397DEA">
              <w:rPr>
                <w:vertAlign w:val="superscript"/>
              </w:rPr>
              <w:t>2</w:t>
            </w:r>
          </w:p>
        </w:tc>
        <w:tc>
          <w:tcPr>
            <w:tcW w:w="1134" w:type="dxa"/>
            <w:shd w:val="clear" w:color="auto" w:fill="auto"/>
            <w:vAlign w:val="center"/>
          </w:tcPr>
          <w:p w:rsidR="007B2608" w:rsidRPr="00397DEA" w:rsidRDefault="00EC0E44" w:rsidP="00A80AF4">
            <w:pPr>
              <w:pStyle w:val="Tabletext0"/>
              <w:keepNext/>
              <w:keepLines/>
              <w:jc w:val="center"/>
              <w:rPr>
                <w:vertAlign w:val="superscript"/>
              </w:rPr>
            </w:pPr>
            <w:r>
              <w:rPr>
                <w:noProof/>
                <w:color w:val="000000"/>
                <w:highlight w:val="black"/>
              </w:rPr>
              <w:t>''''''''''''''''</w:t>
            </w:r>
            <w:r w:rsidR="00397DEA">
              <w:rPr>
                <w:vertAlign w:val="superscript"/>
              </w:rPr>
              <w:t>2</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 ISGA 0/1 cease treatment</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sidRPr="00397DEA">
              <w:rPr>
                <w:vertAlign w:val="superscript"/>
              </w:rPr>
              <w:t>7</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sidRPr="00397DEA">
              <w:rPr>
                <w:vertAlign w:val="superscript"/>
              </w:rPr>
              <w:t>7</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sidRPr="00397DEA">
              <w:rPr>
                <w:vertAlign w:val="superscript"/>
              </w:rPr>
              <w:t>7</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sidRPr="00397DEA">
              <w:rPr>
                <w:vertAlign w:val="superscript"/>
              </w:rPr>
              <w:t>7</w:t>
            </w:r>
          </w:p>
        </w:tc>
        <w:tc>
          <w:tcPr>
            <w:tcW w:w="1134" w:type="dxa"/>
            <w:shd w:val="clear" w:color="auto" w:fill="auto"/>
            <w:vAlign w:val="center"/>
          </w:tcPr>
          <w:p w:rsidR="007B2608" w:rsidRPr="00397DEA" w:rsidRDefault="00EC0E44" w:rsidP="00A80AF4">
            <w:pPr>
              <w:pStyle w:val="Tabletext0"/>
              <w:keepNext/>
              <w:keepLines/>
              <w:jc w:val="center"/>
              <w:rPr>
                <w:vertAlign w:val="superscript"/>
              </w:rPr>
            </w:pPr>
            <w:r>
              <w:rPr>
                <w:noProof/>
                <w:color w:val="000000"/>
                <w:highlight w:val="black"/>
              </w:rPr>
              <w:t>'''''''''''''</w:t>
            </w:r>
            <w:r w:rsidR="00397DEA" w:rsidRPr="00397DEA">
              <w:rPr>
                <w:vertAlign w:val="superscript"/>
              </w:rPr>
              <w:t>1</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sidRPr="00397DEA">
              <w:rPr>
                <w:vertAlign w:val="superscript"/>
              </w:rPr>
              <w:t>2</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 ISGA 2+ cease treatment</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sidRPr="00397DEA">
              <w:rPr>
                <w:vertAlign w:val="superscript"/>
              </w:rPr>
              <w:t>7</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sidRPr="00397DEA">
              <w:rPr>
                <w:vertAlign w:val="superscript"/>
              </w:rPr>
              <w:t>7</w:t>
            </w:r>
          </w:p>
        </w:tc>
        <w:tc>
          <w:tcPr>
            <w:tcW w:w="1134" w:type="dxa"/>
            <w:shd w:val="clear" w:color="auto" w:fill="auto"/>
            <w:vAlign w:val="center"/>
          </w:tcPr>
          <w:p w:rsidR="007B2608" w:rsidRPr="00397DEA" w:rsidRDefault="00EC0E44" w:rsidP="00A80AF4">
            <w:pPr>
              <w:pStyle w:val="Tabletext0"/>
              <w:keepNext/>
              <w:keepLines/>
              <w:jc w:val="center"/>
              <w:rPr>
                <w:vertAlign w:val="superscript"/>
              </w:rPr>
            </w:pPr>
            <w:r>
              <w:rPr>
                <w:noProof/>
                <w:color w:val="000000"/>
                <w:highlight w:val="black"/>
              </w:rPr>
              <w:t>'''''''''''''</w:t>
            </w:r>
            <w:r w:rsidR="00397DEA">
              <w:rPr>
                <w:vertAlign w:val="superscript"/>
              </w:rPr>
              <w:t>1</w:t>
            </w:r>
          </w:p>
        </w:tc>
        <w:tc>
          <w:tcPr>
            <w:tcW w:w="1134" w:type="dxa"/>
            <w:shd w:val="clear" w:color="auto" w:fill="auto"/>
            <w:vAlign w:val="center"/>
          </w:tcPr>
          <w:p w:rsidR="007B2608" w:rsidRPr="00397DEA" w:rsidRDefault="00EC0E44" w:rsidP="00A80AF4">
            <w:pPr>
              <w:pStyle w:val="Tabletext0"/>
              <w:keepNext/>
              <w:keepLines/>
              <w:jc w:val="center"/>
              <w:rPr>
                <w:vertAlign w:val="superscript"/>
              </w:rPr>
            </w:pPr>
            <w:r>
              <w:rPr>
                <w:noProof/>
                <w:color w:val="000000"/>
                <w:highlight w:val="black"/>
              </w:rPr>
              <w:t>'''''''''''''''''</w:t>
            </w:r>
            <w:r w:rsidR="00397DEA">
              <w:rPr>
                <w:vertAlign w:val="superscript"/>
              </w:rPr>
              <w:t>2</w:t>
            </w:r>
          </w:p>
        </w:tc>
        <w:tc>
          <w:tcPr>
            <w:tcW w:w="1134" w:type="dxa"/>
            <w:shd w:val="clear" w:color="auto" w:fill="auto"/>
            <w:vAlign w:val="center"/>
          </w:tcPr>
          <w:p w:rsidR="007B2608" w:rsidRPr="00397DEA" w:rsidRDefault="00EC0E44" w:rsidP="00A80AF4">
            <w:pPr>
              <w:pStyle w:val="Tabletext0"/>
              <w:keepNext/>
              <w:keepLines/>
              <w:jc w:val="center"/>
              <w:rPr>
                <w:vertAlign w:val="superscript"/>
              </w:rPr>
            </w:pPr>
            <w:r>
              <w:rPr>
                <w:noProof/>
                <w:color w:val="000000"/>
                <w:highlight w:val="black"/>
              </w:rPr>
              <w:t>''''''''''''''''</w:t>
            </w:r>
            <w:r w:rsidR="00397DEA">
              <w:rPr>
                <w:vertAlign w:val="superscript"/>
              </w:rPr>
              <w:t>3</w:t>
            </w:r>
          </w:p>
        </w:tc>
        <w:tc>
          <w:tcPr>
            <w:tcW w:w="1134" w:type="dxa"/>
            <w:shd w:val="clear" w:color="auto" w:fill="auto"/>
            <w:vAlign w:val="center"/>
          </w:tcPr>
          <w:p w:rsidR="007B2608" w:rsidRPr="00397DEA" w:rsidRDefault="00EC0E44" w:rsidP="00A80AF4">
            <w:pPr>
              <w:pStyle w:val="Tabletext0"/>
              <w:keepNext/>
              <w:keepLines/>
              <w:jc w:val="center"/>
              <w:rPr>
                <w:vertAlign w:val="superscript"/>
              </w:rPr>
            </w:pPr>
            <w:r>
              <w:rPr>
                <w:noProof/>
                <w:color w:val="000000"/>
                <w:highlight w:val="black"/>
              </w:rPr>
              <w:t>'''''''''''''''''</w:t>
            </w:r>
            <w:r w:rsidR="00397DEA">
              <w:rPr>
                <w:vertAlign w:val="superscript"/>
              </w:rPr>
              <w:t>4</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Continuing scripts (12 scripts /patient-year in ISGA 2+ on treatment)</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2</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8</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2B7490" w:rsidRPr="002B7490">
              <w:rPr>
                <w:vertAlign w:val="superscript"/>
              </w:rPr>
              <w:t>9</w:t>
            </w:r>
          </w:p>
        </w:tc>
        <w:tc>
          <w:tcPr>
            <w:tcW w:w="1134" w:type="dxa"/>
            <w:shd w:val="clear" w:color="auto" w:fill="auto"/>
            <w:vAlign w:val="center"/>
          </w:tcPr>
          <w:p w:rsidR="007B2608" w:rsidRPr="002B7490" w:rsidRDefault="00EC0E44" w:rsidP="00A80AF4">
            <w:pPr>
              <w:pStyle w:val="Tabletext0"/>
              <w:keepNext/>
              <w:keepLines/>
              <w:jc w:val="center"/>
              <w:rPr>
                <w:vertAlign w:val="superscript"/>
              </w:rPr>
            </w:pPr>
            <w:r>
              <w:rPr>
                <w:noProof/>
                <w:color w:val="000000"/>
                <w:highlight w:val="black"/>
              </w:rPr>
              <w:t>'''''''''''''''''''</w:t>
            </w:r>
            <w:r w:rsidR="002B7490">
              <w:rPr>
                <w:vertAlign w:val="superscript"/>
              </w:rPr>
              <w:t>10</w:t>
            </w:r>
          </w:p>
        </w:tc>
        <w:tc>
          <w:tcPr>
            <w:tcW w:w="1134" w:type="dxa"/>
            <w:shd w:val="clear" w:color="auto" w:fill="auto"/>
            <w:vAlign w:val="center"/>
          </w:tcPr>
          <w:p w:rsidR="007B2608" w:rsidRPr="002B7490" w:rsidRDefault="00EC0E44" w:rsidP="00A80AF4">
            <w:pPr>
              <w:pStyle w:val="Tabletext0"/>
              <w:keepNext/>
              <w:keepLines/>
              <w:jc w:val="center"/>
              <w:rPr>
                <w:vertAlign w:val="superscript"/>
              </w:rPr>
            </w:pPr>
            <w:r>
              <w:rPr>
                <w:noProof/>
                <w:color w:val="000000"/>
                <w:highlight w:val="black"/>
              </w:rPr>
              <w:t>'''''''''''''''''</w:t>
            </w:r>
            <w:r w:rsidR="002B7490">
              <w:rPr>
                <w:vertAlign w:val="superscript"/>
              </w:rPr>
              <w:t>10</w:t>
            </w:r>
          </w:p>
        </w:tc>
        <w:tc>
          <w:tcPr>
            <w:tcW w:w="1134" w:type="dxa"/>
            <w:shd w:val="clear" w:color="auto" w:fill="auto"/>
            <w:vAlign w:val="center"/>
          </w:tcPr>
          <w:p w:rsidR="007B2608" w:rsidRPr="002B7490" w:rsidRDefault="00EC0E44" w:rsidP="00A80AF4">
            <w:pPr>
              <w:pStyle w:val="Tabletext0"/>
              <w:keepNext/>
              <w:keepLines/>
              <w:jc w:val="center"/>
              <w:rPr>
                <w:vertAlign w:val="superscript"/>
              </w:rPr>
            </w:pPr>
            <w:r>
              <w:rPr>
                <w:noProof/>
                <w:color w:val="000000"/>
                <w:highlight w:val="black"/>
              </w:rPr>
              <w:t>''''''''''''''''''''''</w:t>
            </w:r>
            <w:r w:rsidR="002B7490">
              <w:rPr>
                <w:vertAlign w:val="superscript"/>
              </w:rPr>
              <w:t>10</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Cost of continuing scripts (</w:t>
            </w:r>
            <w:r w:rsidRPr="003B1BFA">
              <w:t>DPMQ $</w:t>
            </w:r>
            <w:r w:rsidR="00EC0E44">
              <w:rPr>
                <w:noProof/>
                <w:color w:val="000000"/>
                <w:highlight w:val="black"/>
              </w:rPr>
              <w:t>'''''''''''''''</w:t>
            </w:r>
            <w:r w:rsidRPr="005802E9">
              <w:t>)</w:t>
            </w:r>
          </w:p>
        </w:tc>
        <w:tc>
          <w:tcPr>
            <w:tcW w:w="1134" w:type="dxa"/>
            <w:shd w:val="clear" w:color="auto" w:fill="auto"/>
            <w:vAlign w:val="center"/>
          </w:tcPr>
          <w:p w:rsidR="007B2608" w:rsidRPr="00FB5390" w:rsidRDefault="007B2608" w:rsidP="00A80AF4">
            <w:pPr>
              <w:pStyle w:val="Tabletext0"/>
              <w:keepNext/>
              <w:keepLines/>
              <w:jc w:val="center"/>
              <w:rPr>
                <w:vertAlign w:val="superscript"/>
              </w:rPr>
            </w:pPr>
            <w:r w:rsidRPr="005802E9">
              <w:t>$</w:t>
            </w:r>
            <w:r w:rsidR="00EC0E44">
              <w:rPr>
                <w:noProof/>
                <w:color w:val="000000"/>
                <w:highlight w:val="black"/>
              </w:rPr>
              <w:t>'''''''''''''''''''''''''</w:t>
            </w:r>
            <w:r w:rsidR="00FB5390">
              <w:rPr>
                <w:vertAlign w:val="superscript"/>
              </w:rPr>
              <w:t>14</w:t>
            </w:r>
          </w:p>
        </w:tc>
        <w:tc>
          <w:tcPr>
            <w:tcW w:w="1134" w:type="dxa"/>
            <w:shd w:val="clear" w:color="auto" w:fill="auto"/>
            <w:vAlign w:val="center"/>
          </w:tcPr>
          <w:p w:rsidR="007B2608" w:rsidRPr="00FB5390" w:rsidRDefault="007B2608" w:rsidP="00A80AF4">
            <w:pPr>
              <w:pStyle w:val="Tabletext0"/>
              <w:keepNext/>
              <w:keepLines/>
              <w:jc w:val="center"/>
              <w:rPr>
                <w:vertAlign w:val="superscript"/>
              </w:rPr>
            </w:pPr>
            <w:r w:rsidRPr="005802E9">
              <w:t>$</w:t>
            </w:r>
            <w:r w:rsidR="00EC0E44">
              <w:rPr>
                <w:noProof/>
                <w:color w:val="000000"/>
                <w:highlight w:val="black"/>
              </w:rPr>
              <w:t>''''''''''''''''''''''</w:t>
            </w:r>
            <w:r w:rsidR="00FB5390">
              <w:rPr>
                <w:vertAlign w:val="superscript"/>
              </w:rPr>
              <w:t>14</w:t>
            </w:r>
          </w:p>
        </w:tc>
        <w:tc>
          <w:tcPr>
            <w:tcW w:w="1134" w:type="dxa"/>
            <w:shd w:val="clear" w:color="auto" w:fill="auto"/>
            <w:vAlign w:val="center"/>
          </w:tcPr>
          <w:p w:rsidR="007B2608" w:rsidRPr="0072375E" w:rsidRDefault="007B2608" w:rsidP="00A80AF4">
            <w:pPr>
              <w:pStyle w:val="Tabletext0"/>
              <w:keepNext/>
              <w:keepLines/>
              <w:jc w:val="center"/>
              <w:rPr>
                <w:vertAlign w:val="superscript"/>
              </w:rPr>
            </w:pPr>
            <w:r w:rsidRPr="005802E9">
              <w:t>$</w:t>
            </w:r>
            <w:r w:rsidR="00EC0E44">
              <w:rPr>
                <w:noProof/>
                <w:color w:val="000000"/>
                <w:highlight w:val="black"/>
              </w:rPr>
              <w:t>'''''''''''''''''''''''''</w:t>
            </w:r>
            <w:r w:rsidR="0072375E">
              <w:rPr>
                <w:vertAlign w:val="superscript"/>
              </w:rPr>
              <w:t>15</w:t>
            </w:r>
          </w:p>
        </w:tc>
        <w:tc>
          <w:tcPr>
            <w:tcW w:w="1134" w:type="dxa"/>
            <w:shd w:val="clear" w:color="auto" w:fill="auto"/>
            <w:vAlign w:val="center"/>
          </w:tcPr>
          <w:p w:rsidR="007B2608" w:rsidRPr="0072375E" w:rsidRDefault="007B2608" w:rsidP="00A80AF4">
            <w:pPr>
              <w:pStyle w:val="Tabletext0"/>
              <w:keepNext/>
              <w:keepLines/>
              <w:jc w:val="center"/>
              <w:rPr>
                <w:vertAlign w:val="superscript"/>
              </w:rPr>
            </w:pPr>
            <w:r w:rsidRPr="005802E9">
              <w:t>$</w:t>
            </w:r>
            <w:r w:rsidR="00EC0E44">
              <w:rPr>
                <w:noProof/>
                <w:color w:val="000000"/>
                <w:highlight w:val="black"/>
              </w:rPr>
              <w:t>'''''''''''''''''''''''''</w:t>
            </w:r>
            <w:r w:rsidR="0072375E">
              <w:rPr>
                <w:vertAlign w:val="superscript"/>
              </w:rPr>
              <w:t>15</w:t>
            </w:r>
          </w:p>
        </w:tc>
        <w:tc>
          <w:tcPr>
            <w:tcW w:w="1134" w:type="dxa"/>
            <w:shd w:val="clear" w:color="auto" w:fill="auto"/>
            <w:vAlign w:val="center"/>
          </w:tcPr>
          <w:p w:rsidR="007B2608" w:rsidRPr="0072375E" w:rsidRDefault="007B2608" w:rsidP="00A80AF4">
            <w:pPr>
              <w:pStyle w:val="Tabletext0"/>
              <w:keepNext/>
              <w:keepLines/>
              <w:jc w:val="center"/>
              <w:rPr>
                <w:vertAlign w:val="superscript"/>
              </w:rPr>
            </w:pPr>
            <w:r w:rsidRPr="005802E9">
              <w:t>$</w:t>
            </w:r>
            <w:r w:rsidR="00EC0E44">
              <w:rPr>
                <w:noProof/>
                <w:color w:val="000000"/>
                <w:highlight w:val="black"/>
              </w:rPr>
              <w:t>'''''''''''''''''''''''</w:t>
            </w:r>
            <w:r w:rsidR="0072375E">
              <w:rPr>
                <w:vertAlign w:val="superscript"/>
              </w:rPr>
              <w:t>15</w:t>
            </w:r>
          </w:p>
        </w:tc>
        <w:tc>
          <w:tcPr>
            <w:tcW w:w="1134" w:type="dxa"/>
            <w:shd w:val="clear" w:color="auto" w:fill="auto"/>
            <w:vAlign w:val="center"/>
          </w:tcPr>
          <w:p w:rsidR="007B2608" w:rsidRPr="0072375E" w:rsidRDefault="007B2608" w:rsidP="00A80AF4">
            <w:pPr>
              <w:pStyle w:val="Tabletext0"/>
              <w:keepNext/>
              <w:keepLines/>
              <w:jc w:val="center"/>
              <w:rPr>
                <w:vertAlign w:val="superscript"/>
              </w:rPr>
            </w:pPr>
            <w:r w:rsidRPr="005802E9">
              <w:t>$</w:t>
            </w:r>
            <w:r w:rsidR="003C2634">
              <w:rPr>
                <w:noProof/>
                <w:color w:val="000000"/>
                <w:highlight w:val="black"/>
              </w:rPr>
              <w:t>'''''''''''''''''</w:t>
            </w:r>
            <w:bookmarkStart w:id="26" w:name="_GoBack"/>
            <w:bookmarkEnd w:id="26"/>
            <w:r w:rsidR="00EC0E44">
              <w:rPr>
                <w:noProof/>
                <w:color w:val="000000"/>
                <w:highlight w:val="black"/>
              </w:rPr>
              <w:t>''''''''''</w:t>
            </w:r>
            <w:r w:rsidR="0072375E">
              <w:rPr>
                <w:vertAlign w:val="superscript"/>
              </w:rPr>
              <w:t>16</w:t>
            </w:r>
          </w:p>
        </w:tc>
      </w:tr>
      <w:tr w:rsidR="007B2608" w:rsidRPr="005802E9" w:rsidTr="00A80AF4">
        <w:tc>
          <w:tcPr>
            <w:tcW w:w="9067" w:type="dxa"/>
            <w:gridSpan w:val="7"/>
            <w:shd w:val="clear" w:color="auto" w:fill="auto"/>
            <w:vAlign w:val="center"/>
          </w:tcPr>
          <w:p w:rsidR="007B2608" w:rsidRPr="005802E9" w:rsidRDefault="007B2608" w:rsidP="00A80AF4">
            <w:pPr>
              <w:pStyle w:val="Tabletext0"/>
              <w:keepNext/>
              <w:keepLines/>
            </w:pPr>
            <w:r w:rsidRPr="005802E9">
              <w:rPr>
                <w:b/>
              </w:rPr>
              <w:t>Estimated cost of initial and continuing scripts</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 xml:space="preserve">Total cost to PBS/RPBS </w:t>
            </w:r>
          </w:p>
        </w:tc>
        <w:tc>
          <w:tcPr>
            <w:tcW w:w="1134" w:type="dxa"/>
            <w:shd w:val="clear" w:color="auto" w:fill="auto"/>
            <w:vAlign w:val="center"/>
          </w:tcPr>
          <w:p w:rsidR="007B2608" w:rsidRPr="0072375E" w:rsidRDefault="007B2608" w:rsidP="00A80AF4">
            <w:pPr>
              <w:pStyle w:val="Tabletext0"/>
              <w:keepNext/>
              <w:keepLines/>
              <w:jc w:val="center"/>
              <w:rPr>
                <w:vertAlign w:val="superscript"/>
              </w:rPr>
            </w:pPr>
            <w:r w:rsidRPr="005802E9">
              <w:t>$</w:t>
            </w:r>
            <w:r w:rsidR="00EC0E44">
              <w:rPr>
                <w:noProof/>
                <w:color w:val="000000"/>
                <w:highlight w:val="black"/>
              </w:rPr>
              <w:t>'''''''''''''''''''''''''</w:t>
            </w:r>
            <w:r w:rsidR="0072375E">
              <w:rPr>
                <w:vertAlign w:val="superscript"/>
              </w:rPr>
              <w:t>14</w:t>
            </w:r>
          </w:p>
        </w:tc>
        <w:tc>
          <w:tcPr>
            <w:tcW w:w="1134" w:type="dxa"/>
            <w:shd w:val="clear" w:color="auto" w:fill="auto"/>
            <w:vAlign w:val="center"/>
          </w:tcPr>
          <w:p w:rsidR="007B2608" w:rsidRPr="0072375E" w:rsidRDefault="007B2608" w:rsidP="00A80AF4">
            <w:pPr>
              <w:pStyle w:val="Tabletext0"/>
              <w:keepNext/>
              <w:keepLines/>
              <w:jc w:val="center"/>
              <w:rPr>
                <w:vertAlign w:val="superscript"/>
              </w:rPr>
            </w:pPr>
            <w:r w:rsidRPr="005802E9">
              <w:t>$</w:t>
            </w:r>
            <w:r w:rsidR="00EC0E44">
              <w:rPr>
                <w:noProof/>
                <w:color w:val="000000"/>
                <w:highlight w:val="black"/>
              </w:rPr>
              <w:t>''''''''''''''''''''''</w:t>
            </w:r>
            <w:r w:rsidR="0072375E">
              <w:rPr>
                <w:vertAlign w:val="superscript"/>
              </w:rPr>
              <w:t>14</w:t>
            </w:r>
          </w:p>
        </w:tc>
        <w:tc>
          <w:tcPr>
            <w:tcW w:w="1134" w:type="dxa"/>
            <w:shd w:val="clear" w:color="auto" w:fill="auto"/>
            <w:vAlign w:val="center"/>
          </w:tcPr>
          <w:p w:rsidR="007B2608" w:rsidRPr="0072375E" w:rsidRDefault="007B2608" w:rsidP="00A80AF4">
            <w:pPr>
              <w:pStyle w:val="Tabletext0"/>
              <w:keepNext/>
              <w:keepLines/>
              <w:jc w:val="center"/>
              <w:rPr>
                <w:vertAlign w:val="superscript"/>
              </w:rPr>
            </w:pPr>
            <w:r w:rsidRPr="005802E9">
              <w:t>$</w:t>
            </w:r>
            <w:r w:rsidR="00EC0E44">
              <w:rPr>
                <w:noProof/>
                <w:color w:val="000000"/>
                <w:highlight w:val="black"/>
              </w:rPr>
              <w:t>'''''''''''''''''''''''</w:t>
            </w:r>
            <w:r w:rsidR="0072375E">
              <w:rPr>
                <w:vertAlign w:val="superscript"/>
              </w:rPr>
              <w:t>15</w:t>
            </w:r>
          </w:p>
        </w:tc>
        <w:tc>
          <w:tcPr>
            <w:tcW w:w="1134" w:type="dxa"/>
            <w:shd w:val="clear" w:color="auto" w:fill="auto"/>
            <w:vAlign w:val="center"/>
          </w:tcPr>
          <w:p w:rsidR="007B2608" w:rsidRPr="0072375E" w:rsidRDefault="007B2608" w:rsidP="00A80AF4">
            <w:pPr>
              <w:pStyle w:val="Tabletext0"/>
              <w:keepNext/>
              <w:keepLines/>
              <w:jc w:val="center"/>
              <w:rPr>
                <w:vertAlign w:val="superscript"/>
              </w:rPr>
            </w:pPr>
            <w:r w:rsidRPr="005802E9">
              <w:t>$</w:t>
            </w:r>
            <w:r w:rsidR="003C2634">
              <w:rPr>
                <w:noProof/>
                <w:color w:val="000000"/>
                <w:highlight w:val="black"/>
              </w:rPr>
              <w:t>''''''''''''''''</w:t>
            </w:r>
            <w:r w:rsidR="00EC0E44">
              <w:rPr>
                <w:noProof/>
                <w:color w:val="000000"/>
                <w:highlight w:val="black"/>
              </w:rPr>
              <w:t>'''''''''''</w:t>
            </w:r>
            <w:r w:rsidR="0072375E">
              <w:rPr>
                <w:vertAlign w:val="superscript"/>
              </w:rPr>
              <w:t>15</w:t>
            </w:r>
          </w:p>
        </w:tc>
        <w:tc>
          <w:tcPr>
            <w:tcW w:w="1134" w:type="dxa"/>
            <w:shd w:val="clear" w:color="auto" w:fill="auto"/>
            <w:vAlign w:val="center"/>
          </w:tcPr>
          <w:p w:rsidR="007B2608" w:rsidRPr="0072375E" w:rsidRDefault="007B2608" w:rsidP="00A80AF4">
            <w:pPr>
              <w:pStyle w:val="Tabletext0"/>
              <w:keepNext/>
              <w:keepLines/>
              <w:jc w:val="center"/>
              <w:rPr>
                <w:vertAlign w:val="superscript"/>
              </w:rPr>
            </w:pPr>
            <w:r w:rsidRPr="005802E9">
              <w:t>$</w:t>
            </w:r>
            <w:r w:rsidR="003C2634">
              <w:rPr>
                <w:noProof/>
                <w:color w:val="000000"/>
                <w:highlight w:val="black"/>
              </w:rPr>
              <w:t>''''''''''''''''''''</w:t>
            </w:r>
            <w:r w:rsidR="00EC0E44">
              <w:rPr>
                <w:noProof/>
                <w:color w:val="000000"/>
                <w:highlight w:val="black"/>
              </w:rPr>
              <w:t>'''''''</w:t>
            </w:r>
            <w:r w:rsidR="0072375E">
              <w:rPr>
                <w:vertAlign w:val="superscript"/>
              </w:rPr>
              <w:t>16</w:t>
            </w:r>
          </w:p>
        </w:tc>
        <w:tc>
          <w:tcPr>
            <w:tcW w:w="1134" w:type="dxa"/>
            <w:shd w:val="clear" w:color="auto" w:fill="auto"/>
            <w:vAlign w:val="center"/>
          </w:tcPr>
          <w:p w:rsidR="007B2608" w:rsidRPr="0072375E" w:rsidRDefault="007B2608" w:rsidP="00A80AF4">
            <w:pPr>
              <w:pStyle w:val="Tabletext0"/>
              <w:keepNext/>
              <w:keepLines/>
              <w:jc w:val="center"/>
              <w:rPr>
                <w:vertAlign w:val="superscript"/>
              </w:rPr>
            </w:pPr>
            <w:r w:rsidRPr="005802E9">
              <w:t>$</w:t>
            </w:r>
            <w:r w:rsidR="003C2634">
              <w:rPr>
                <w:noProof/>
                <w:color w:val="000000"/>
                <w:highlight w:val="black"/>
              </w:rPr>
              <w:t>''''''''''''''''''''''</w:t>
            </w:r>
            <w:r w:rsidR="00EC0E44">
              <w:rPr>
                <w:noProof/>
                <w:color w:val="000000"/>
                <w:highlight w:val="black"/>
              </w:rPr>
              <w:t>'''''</w:t>
            </w:r>
            <w:r w:rsidR="0072375E">
              <w:rPr>
                <w:vertAlign w:val="superscript"/>
              </w:rPr>
              <w:t>16</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Patient co-pay (PBS $6.38, RPBS $4.90)</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Net cost to PBS/RPBS (DPMQ minus co-pay)</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15</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15</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16</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16</w:t>
            </w:r>
          </w:p>
        </w:tc>
      </w:tr>
      <w:tr w:rsidR="007B2608" w:rsidRPr="005802E9" w:rsidTr="00A80AF4">
        <w:tc>
          <w:tcPr>
            <w:tcW w:w="9067" w:type="dxa"/>
            <w:gridSpan w:val="7"/>
            <w:shd w:val="clear" w:color="auto" w:fill="auto"/>
            <w:vAlign w:val="center"/>
          </w:tcPr>
          <w:p w:rsidR="007B2608" w:rsidRPr="005802E9" w:rsidRDefault="007B2608" w:rsidP="00A80AF4">
            <w:pPr>
              <w:pStyle w:val="Tabletext0"/>
              <w:keepNext/>
              <w:keepLines/>
              <w:rPr>
                <w:b/>
              </w:rPr>
            </w:pPr>
            <w:r w:rsidRPr="005802E9">
              <w:rPr>
                <w:b/>
              </w:rPr>
              <w:t>Estimated cost offset due to use substituted from pimecrolimus</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Pimecrolimus scripts (21.8% annual growth rate)</w:t>
            </w:r>
          </w:p>
        </w:tc>
        <w:tc>
          <w:tcPr>
            <w:tcW w:w="1134" w:type="dxa"/>
            <w:shd w:val="clear" w:color="auto" w:fill="auto"/>
            <w:vAlign w:val="center"/>
          </w:tcPr>
          <w:p w:rsidR="007B2608" w:rsidRPr="001B6E05" w:rsidRDefault="00EC0E44" w:rsidP="00A80AF4">
            <w:pPr>
              <w:pStyle w:val="Tabletext0"/>
              <w:keepNext/>
              <w:keepLines/>
              <w:jc w:val="center"/>
              <w:rPr>
                <w:vertAlign w:val="superscript"/>
              </w:rPr>
            </w:pPr>
            <w:r>
              <w:rPr>
                <w:noProof/>
                <w:color w:val="000000"/>
                <w:highlight w:val="black"/>
              </w:rPr>
              <w:t>'''''''''''''''''''</w:t>
            </w:r>
            <w:r w:rsidR="001B6E05">
              <w:rPr>
                <w:vertAlign w:val="superscript"/>
              </w:rPr>
              <w:t>10</w:t>
            </w:r>
          </w:p>
        </w:tc>
        <w:tc>
          <w:tcPr>
            <w:tcW w:w="1134" w:type="dxa"/>
            <w:shd w:val="clear" w:color="auto" w:fill="auto"/>
            <w:vAlign w:val="center"/>
          </w:tcPr>
          <w:p w:rsidR="007B2608" w:rsidRPr="001B6E05" w:rsidRDefault="00EC0E44" w:rsidP="00A80AF4">
            <w:pPr>
              <w:pStyle w:val="Tabletext0"/>
              <w:keepNext/>
              <w:keepLines/>
              <w:jc w:val="center"/>
              <w:rPr>
                <w:vertAlign w:val="superscript"/>
              </w:rPr>
            </w:pPr>
            <w:r>
              <w:rPr>
                <w:noProof/>
                <w:color w:val="000000"/>
                <w:highlight w:val="black"/>
              </w:rPr>
              <w:t>''''''''''''''''''''</w:t>
            </w:r>
            <w:r w:rsidR="001B6E05">
              <w:rPr>
                <w:vertAlign w:val="superscript"/>
              </w:rPr>
              <w:t>10</w:t>
            </w:r>
          </w:p>
        </w:tc>
        <w:tc>
          <w:tcPr>
            <w:tcW w:w="1134" w:type="dxa"/>
            <w:shd w:val="clear" w:color="auto" w:fill="auto"/>
            <w:vAlign w:val="center"/>
          </w:tcPr>
          <w:p w:rsidR="007B2608" w:rsidRPr="001B6E05" w:rsidRDefault="00EC0E44" w:rsidP="00A80AF4">
            <w:pPr>
              <w:pStyle w:val="Tabletext0"/>
              <w:keepNext/>
              <w:keepLines/>
              <w:jc w:val="center"/>
              <w:rPr>
                <w:vertAlign w:val="superscript"/>
              </w:rPr>
            </w:pPr>
            <w:r>
              <w:rPr>
                <w:noProof/>
                <w:color w:val="000000"/>
                <w:highlight w:val="black"/>
              </w:rPr>
              <w:t>'''''''''''''''''''</w:t>
            </w:r>
            <w:r w:rsidR="001B6E05">
              <w:rPr>
                <w:vertAlign w:val="superscript"/>
              </w:rPr>
              <w:t>10</w:t>
            </w:r>
          </w:p>
        </w:tc>
        <w:tc>
          <w:tcPr>
            <w:tcW w:w="1134" w:type="dxa"/>
            <w:shd w:val="clear" w:color="auto" w:fill="auto"/>
            <w:vAlign w:val="center"/>
          </w:tcPr>
          <w:p w:rsidR="007B2608" w:rsidRPr="001B6E05" w:rsidRDefault="00EC0E44" w:rsidP="00A80AF4">
            <w:pPr>
              <w:pStyle w:val="Tabletext0"/>
              <w:keepNext/>
              <w:keepLines/>
              <w:jc w:val="center"/>
              <w:rPr>
                <w:vertAlign w:val="superscript"/>
              </w:rPr>
            </w:pPr>
            <w:r>
              <w:rPr>
                <w:noProof/>
                <w:color w:val="000000"/>
                <w:highlight w:val="black"/>
              </w:rPr>
              <w:t>'''''''''''''''''''''</w:t>
            </w:r>
            <w:r w:rsidR="001B6E05">
              <w:rPr>
                <w:vertAlign w:val="superscript"/>
              </w:rPr>
              <w:t>12</w:t>
            </w:r>
          </w:p>
        </w:tc>
        <w:tc>
          <w:tcPr>
            <w:tcW w:w="1134" w:type="dxa"/>
            <w:shd w:val="clear" w:color="auto" w:fill="auto"/>
            <w:vAlign w:val="center"/>
          </w:tcPr>
          <w:p w:rsidR="007B2608" w:rsidRPr="001B6E05" w:rsidRDefault="00EC0E44" w:rsidP="00A80AF4">
            <w:pPr>
              <w:pStyle w:val="Tabletext0"/>
              <w:keepNext/>
              <w:keepLines/>
              <w:jc w:val="center"/>
              <w:rPr>
                <w:vertAlign w:val="superscript"/>
              </w:rPr>
            </w:pPr>
            <w:r>
              <w:rPr>
                <w:noProof/>
                <w:color w:val="000000"/>
                <w:highlight w:val="black"/>
              </w:rPr>
              <w:t>''''''''''''''''''''</w:t>
            </w:r>
            <w:r w:rsidR="001B6E05">
              <w:rPr>
                <w:vertAlign w:val="superscript"/>
              </w:rPr>
              <w:t>12</w:t>
            </w:r>
          </w:p>
        </w:tc>
        <w:tc>
          <w:tcPr>
            <w:tcW w:w="1134" w:type="dxa"/>
            <w:shd w:val="clear" w:color="auto" w:fill="auto"/>
            <w:vAlign w:val="center"/>
          </w:tcPr>
          <w:p w:rsidR="007B2608" w:rsidRPr="001B6E05" w:rsidRDefault="00EC0E44" w:rsidP="00A80AF4">
            <w:pPr>
              <w:pStyle w:val="Tabletext0"/>
              <w:keepNext/>
              <w:keepLines/>
              <w:jc w:val="center"/>
              <w:rPr>
                <w:vertAlign w:val="superscript"/>
              </w:rPr>
            </w:pPr>
            <w:r>
              <w:rPr>
                <w:noProof/>
                <w:color w:val="000000"/>
                <w:highlight w:val="black"/>
              </w:rPr>
              <w:t>'''''''''''''''''''''</w:t>
            </w:r>
            <w:r w:rsidR="001B6E05">
              <w:rPr>
                <w:vertAlign w:val="superscript"/>
              </w:rPr>
              <w:t>13</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 xml:space="preserve">Uptake rate </w:t>
            </w:r>
          </w:p>
        </w:tc>
        <w:tc>
          <w:tcPr>
            <w:tcW w:w="1134" w:type="dxa"/>
            <w:shd w:val="clear" w:color="auto" w:fill="auto"/>
            <w:vAlign w:val="center"/>
          </w:tcPr>
          <w:p w:rsidR="007B2608" w:rsidRPr="005802E9" w:rsidRDefault="007B2608" w:rsidP="00A80AF4">
            <w:pPr>
              <w:pStyle w:val="Tabletext0"/>
              <w:keepNext/>
              <w:keepLines/>
              <w:jc w:val="center"/>
            </w:pPr>
            <w:r w:rsidRPr="005802E9">
              <w:t>10%</w:t>
            </w:r>
          </w:p>
        </w:tc>
        <w:tc>
          <w:tcPr>
            <w:tcW w:w="1134" w:type="dxa"/>
            <w:shd w:val="clear" w:color="auto" w:fill="auto"/>
            <w:vAlign w:val="center"/>
          </w:tcPr>
          <w:p w:rsidR="007B2608" w:rsidRPr="005802E9" w:rsidRDefault="007B2608" w:rsidP="00A80AF4">
            <w:pPr>
              <w:pStyle w:val="Tabletext0"/>
              <w:keepNext/>
              <w:keepLines/>
              <w:jc w:val="center"/>
            </w:pPr>
            <w:r w:rsidRPr="005802E9">
              <w:t>15%</w:t>
            </w:r>
          </w:p>
        </w:tc>
        <w:tc>
          <w:tcPr>
            <w:tcW w:w="1134" w:type="dxa"/>
            <w:shd w:val="clear" w:color="auto" w:fill="auto"/>
            <w:vAlign w:val="center"/>
          </w:tcPr>
          <w:p w:rsidR="007B2608" w:rsidRPr="005802E9" w:rsidRDefault="007B2608" w:rsidP="00A80AF4">
            <w:pPr>
              <w:pStyle w:val="Tabletext0"/>
              <w:keepNext/>
              <w:keepLines/>
              <w:jc w:val="center"/>
            </w:pPr>
            <w:r w:rsidRPr="005802E9">
              <w:t>20%</w:t>
            </w:r>
          </w:p>
        </w:tc>
        <w:tc>
          <w:tcPr>
            <w:tcW w:w="1134" w:type="dxa"/>
            <w:shd w:val="clear" w:color="auto" w:fill="auto"/>
            <w:vAlign w:val="center"/>
          </w:tcPr>
          <w:p w:rsidR="007B2608" w:rsidRPr="005802E9" w:rsidRDefault="007B2608" w:rsidP="00A80AF4">
            <w:pPr>
              <w:pStyle w:val="Tabletext0"/>
              <w:keepNext/>
              <w:keepLines/>
              <w:jc w:val="center"/>
            </w:pPr>
            <w:r w:rsidRPr="005802E9">
              <w:t>25%</w:t>
            </w:r>
          </w:p>
        </w:tc>
        <w:tc>
          <w:tcPr>
            <w:tcW w:w="1134" w:type="dxa"/>
            <w:shd w:val="clear" w:color="auto" w:fill="auto"/>
            <w:vAlign w:val="center"/>
          </w:tcPr>
          <w:p w:rsidR="007B2608" w:rsidRPr="005802E9" w:rsidRDefault="007B2608" w:rsidP="00A80AF4">
            <w:pPr>
              <w:pStyle w:val="Tabletext0"/>
              <w:keepNext/>
              <w:keepLines/>
              <w:jc w:val="center"/>
            </w:pPr>
            <w:r w:rsidRPr="005802E9">
              <w:t>30%</w:t>
            </w:r>
          </w:p>
        </w:tc>
        <w:tc>
          <w:tcPr>
            <w:tcW w:w="1134" w:type="dxa"/>
            <w:shd w:val="clear" w:color="auto" w:fill="auto"/>
            <w:vAlign w:val="center"/>
          </w:tcPr>
          <w:p w:rsidR="007B2608" w:rsidRPr="005802E9" w:rsidRDefault="007B2608" w:rsidP="00A80AF4">
            <w:pPr>
              <w:pStyle w:val="Tabletext0"/>
              <w:keepNext/>
              <w:keepLines/>
              <w:jc w:val="center"/>
            </w:pPr>
            <w:r w:rsidRPr="005802E9">
              <w:t>35%</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Total scripts substituted</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Pr>
                <w:vertAlign w:val="superscript"/>
              </w:rPr>
              <w:t>2</w:t>
            </w:r>
            <w:r w:rsidR="007B2608" w:rsidRPr="005802E9">
              <w:t xml:space="preserve"> </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Pr>
                <w:vertAlign w:val="superscript"/>
              </w:rPr>
              <w:t>3</w:t>
            </w:r>
            <w:r w:rsidR="007B2608" w:rsidRPr="005802E9">
              <w:t xml:space="preserve"> </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Pr>
                <w:vertAlign w:val="superscript"/>
              </w:rPr>
              <w:t>4</w:t>
            </w:r>
            <w:r w:rsidR="007B2608" w:rsidRPr="005802E9">
              <w:t xml:space="preserve"> </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397DEA">
              <w:rPr>
                <w:vertAlign w:val="superscript"/>
              </w:rPr>
              <w:t>8</w:t>
            </w:r>
            <w:r w:rsidR="007B2608" w:rsidRPr="005802E9">
              <w:t xml:space="preserve"> </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1B6E05">
              <w:rPr>
                <w:vertAlign w:val="superscript"/>
              </w:rPr>
              <w:t>11</w:t>
            </w:r>
            <w:r w:rsidR="007B2608" w:rsidRPr="005802E9">
              <w:t xml:space="preserve"> </w:t>
            </w:r>
          </w:p>
        </w:tc>
        <w:tc>
          <w:tcPr>
            <w:tcW w:w="1134" w:type="dxa"/>
            <w:shd w:val="clear" w:color="auto" w:fill="auto"/>
            <w:vAlign w:val="center"/>
          </w:tcPr>
          <w:p w:rsidR="007B2608" w:rsidRPr="005802E9" w:rsidRDefault="00EC0E44" w:rsidP="00A80AF4">
            <w:pPr>
              <w:pStyle w:val="Tabletext0"/>
              <w:keepNext/>
              <w:keepLines/>
              <w:jc w:val="center"/>
            </w:pPr>
            <w:r>
              <w:rPr>
                <w:noProof/>
                <w:color w:val="000000"/>
                <w:highlight w:val="black"/>
              </w:rPr>
              <w:t>''''''''''''''''''''</w:t>
            </w:r>
            <w:r w:rsidR="001B6E05">
              <w:rPr>
                <w:vertAlign w:val="superscript"/>
              </w:rPr>
              <w:t>10</w:t>
            </w:r>
            <w:r w:rsidR="007B2608" w:rsidRPr="005802E9">
              <w:t xml:space="preserve"> </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Total cost (DPMQ $31.35)</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Patient co-pay (PBS $6.26, RPBS $4.90)</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pPr>
            <w:r w:rsidRPr="005802E9">
              <w:t>Net cost offset (DPMQ minus co-pay)</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vertAlign w:val="superscript"/>
              </w:rPr>
            </w:pPr>
            <w:r w:rsidRPr="005802E9">
              <w:t>$</w:t>
            </w:r>
            <w:r w:rsidR="00EC0E44">
              <w:rPr>
                <w:noProof/>
                <w:color w:val="000000"/>
                <w:highlight w:val="black"/>
              </w:rPr>
              <w:t>''''''''''''''''''''''</w:t>
            </w:r>
            <w:r w:rsidR="002E1D08">
              <w:rPr>
                <w:vertAlign w:val="superscript"/>
              </w:rPr>
              <w:t>14</w:t>
            </w:r>
          </w:p>
        </w:tc>
      </w:tr>
      <w:tr w:rsidR="007B2608" w:rsidRPr="005802E9" w:rsidTr="00A80AF4">
        <w:tc>
          <w:tcPr>
            <w:tcW w:w="2263" w:type="dxa"/>
            <w:shd w:val="clear" w:color="auto" w:fill="auto"/>
            <w:vAlign w:val="center"/>
          </w:tcPr>
          <w:p w:rsidR="007B2608" w:rsidRPr="005802E9" w:rsidRDefault="007B2608" w:rsidP="00A80AF4">
            <w:pPr>
              <w:pStyle w:val="Tabletext0"/>
              <w:keepNext/>
              <w:keepLines/>
              <w:rPr>
                <w:b/>
              </w:rPr>
            </w:pPr>
            <w:r w:rsidRPr="005802E9">
              <w:rPr>
                <w:b/>
              </w:rPr>
              <w:t>Net cost to PBS/RPBS including cost offset</w:t>
            </w:r>
          </w:p>
        </w:tc>
        <w:tc>
          <w:tcPr>
            <w:tcW w:w="1134" w:type="dxa"/>
            <w:shd w:val="clear" w:color="auto" w:fill="auto"/>
            <w:vAlign w:val="center"/>
          </w:tcPr>
          <w:p w:rsidR="007B2608" w:rsidRPr="002E1D08" w:rsidRDefault="007B2608" w:rsidP="00A80AF4">
            <w:pPr>
              <w:pStyle w:val="Tabletext0"/>
              <w:keepNext/>
              <w:keepLines/>
              <w:jc w:val="center"/>
              <w:rPr>
                <w:b/>
                <w:vertAlign w:val="superscript"/>
              </w:rPr>
            </w:pPr>
            <w:r w:rsidRPr="005802E9">
              <w:rPr>
                <w:b/>
              </w:rPr>
              <w:t>$</w:t>
            </w:r>
            <w:r w:rsidR="00EC0E44">
              <w:rPr>
                <w:b/>
                <w:noProof/>
                <w:color w:val="000000"/>
                <w:highlight w:val="black"/>
              </w:rPr>
              <w:t>'''''''''''''''''''''</w:t>
            </w:r>
            <w:r w:rsidR="002E1D08" w:rsidRP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b/>
                <w:vertAlign w:val="superscript"/>
              </w:rPr>
            </w:pPr>
            <w:r w:rsidRPr="005802E9">
              <w:rPr>
                <w:b/>
              </w:rPr>
              <w:t>$</w:t>
            </w:r>
            <w:r w:rsidR="00EC0E44">
              <w:rPr>
                <w:b/>
                <w:noProof/>
                <w:color w:val="000000"/>
                <w:highlight w:val="black"/>
              </w:rPr>
              <w:t>'''''''''''''''''''</w:t>
            </w:r>
            <w:r w:rsidR="002E1D08" w:rsidRPr="002E1D08">
              <w:rPr>
                <w:vertAlign w:val="superscript"/>
              </w:rPr>
              <w:t>14</w:t>
            </w:r>
          </w:p>
        </w:tc>
        <w:tc>
          <w:tcPr>
            <w:tcW w:w="1134" w:type="dxa"/>
            <w:shd w:val="clear" w:color="auto" w:fill="auto"/>
            <w:vAlign w:val="center"/>
          </w:tcPr>
          <w:p w:rsidR="007B2608" w:rsidRPr="002E1D08" w:rsidRDefault="007B2608" w:rsidP="00A80AF4">
            <w:pPr>
              <w:pStyle w:val="Tabletext0"/>
              <w:keepNext/>
              <w:keepLines/>
              <w:jc w:val="center"/>
              <w:rPr>
                <w:b/>
                <w:vertAlign w:val="superscript"/>
              </w:rPr>
            </w:pPr>
            <w:r w:rsidRPr="005802E9">
              <w:rPr>
                <w:b/>
              </w:rPr>
              <w:t>$</w:t>
            </w:r>
            <w:r w:rsidR="00EC0E44">
              <w:rPr>
                <w:b/>
                <w:noProof/>
                <w:color w:val="000000"/>
                <w:highlight w:val="black"/>
              </w:rPr>
              <w:t>''''''''''''''''''''</w:t>
            </w:r>
            <w:r w:rsidR="002E1D08" w:rsidRPr="002E1D08">
              <w:rPr>
                <w:vertAlign w:val="superscript"/>
              </w:rPr>
              <w:t>15</w:t>
            </w:r>
          </w:p>
        </w:tc>
        <w:tc>
          <w:tcPr>
            <w:tcW w:w="1134" w:type="dxa"/>
            <w:shd w:val="clear" w:color="auto" w:fill="auto"/>
            <w:vAlign w:val="center"/>
          </w:tcPr>
          <w:p w:rsidR="007B2608" w:rsidRPr="002E1D08" w:rsidRDefault="007B2608" w:rsidP="00A80AF4">
            <w:pPr>
              <w:pStyle w:val="Tabletext0"/>
              <w:keepNext/>
              <w:keepLines/>
              <w:jc w:val="center"/>
              <w:rPr>
                <w:b/>
                <w:vertAlign w:val="superscript"/>
              </w:rPr>
            </w:pPr>
            <w:r w:rsidRPr="005802E9">
              <w:rPr>
                <w:b/>
              </w:rPr>
              <w:t>$</w:t>
            </w:r>
            <w:r w:rsidR="003C2634">
              <w:rPr>
                <w:b/>
                <w:noProof/>
                <w:color w:val="000000"/>
                <w:highlight w:val="black"/>
              </w:rPr>
              <w:t>'''''''''''''''</w:t>
            </w:r>
            <w:r w:rsidR="00EC0E44">
              <w:rPr>
                <w:b/>
                <w:noProof/>
                <w:color w:val="000000"/>
                <w:highlight w:val="black"/>
              </w:rPr>
              <w:t>'''''''</w:t>
            </w:r>
            <w:r w:rsidR="002E1D08" w:rsidRPr="002E1D08">
              <w:rPr>
                <w:vertAlign w:val="superscript"/>
              </w:rPr>
              <w:t>15</w:t>
            </w:r>
          </w:p>
        </w:tc>
        <w:tc>
          <w:tcPr>
            <w:tcW w:w="1134" w:type="dxa"/>
            <w:shd w:val="clear" w:color="auto" w:fill="auto"/>
            <w:vAlign w:val="center"/>
          </w:tcPr>
          <w:p w:rsidR="007B2608" w:rsidRPr="002E1D08" w:rsidRDefault="007B2608" w:rsidP="00A80AF4">
            <w:pPr>
              <w:pStyle w:val="Tabletext0"/>
              <w:keepNext/>
              <w:keepLines/>
              <w:jc w:val="center"/>
              <w:rPr>
                <w:b/>
                <w:vertAlign w:val="superscript"/>
              </w:rPr>
            </w:pPr>
            <w:r w:rsidRPr="005802E9">
              <w:rPr>
                <w:b/>
              </w:rPr>
              <w:t>$</w:t>
            </w:r>
            <w:r w:rsidR="00EC0E44">
              <w:rPr>
                <w:b/>
                <w:noProof/>
                <w:color w:val="000000"/>
                <w:highlight w:val="black"/>
              </w:rPr>
              <w:t>'''''''''''''''''''''</w:t>
            </w:r>
            <w:r w:rsidR="002E1D08" w:rsidRPr="002E1D08">
              <w:rPr>
                <w:vertAlign w:val="superscript"/>
              </w:rPr>
              <w:t>15</w:t>
            </w:r>
          </w:p>
        </w:tc>
        <w:tc>
          <w:tcPr>
            <w:tcW w:w="1134" w:type="dxa"/>
            <w:shd w:val="clear" w:color="auto" w:fill="auto"/>
            <w:vAlign w:val="center"/>
          </w:tcPr>
          <w:p w:rsidR="007B2608" w:rsidRPr="002E1D08" w:rsidRDefault="007B2608" w:rsidP="00A80AF4">
            <w:pPr>
              <w:pStyle w:val="Tabletext0"/>
              <w:keepNext/>
              <w:keepLines/>
              <w:jc w:val="center"/>
              <w:rPr>
                <w:b/>
                <w:vertAlign w:val="superscript"/>
              </w:rPr>
            </w:pPr>
            <w:r w:rsidRPr="005802E9">
              <w:rPr>
                <w:b/>
              </w:rPr>
              <w:t>$</w:t>
            </w:r>
            <w:r w:rsidR="00EC0E44">
              <w:rPr>
                <w:b/>
                <w:noProof/>
                <w:color w:val="000000"/>
                <w:highlight w:val="black"/>
              </w:rPr>
              <w:t>'''''''''''''''''''</w:t>
            </w:r>
            <w:r w:rsidR="002E1D08" w:rsidRPr="002E1D08">
              <w:rPr>
                <w:vertAlign w:val="superscript"/>
              </w:rPr>
              <w:t>16</w:t>
            </w:r>
          </w:p>
        </w:tc>
      </w:tr>
      <w:tr w:rsidR="007B2608" w:rsidRPr="005802E9" w:rsidTr="00A80AF4">
        <w:tc>
          <w:tcPr>
            <w:tcW w:w="9067" w:type="dxa"/>
            <w:gridSpan w:val="7"/>
            <w:shd w:val="clear" w:color="auto" w:fill="B8CCE4" w:themeFill="accent1" w:themeFillTint="66"/>
            <w:vAlign w:val="center"/>
          </w:tcPr>
          <w:p w:rsidR="007B2608" w:rsidRPr="005802E9" w:rsidRDefault="007B2608" w:rsidP="00A80AF4">
            <w:pPr>
              <w:pStyle w:val="Tabletext0"/>
              <w:keepNext/>
              <w:keepLines/>
              <w:rPr>
                <w:b/>
              </w:rPr>
            </w:pPr>
            <w:r w:rsidRPr="005802E9">
              <w:rPr>
                <w:b/>
              </w:rPr>
              <w:t>Previous submission (November 2018)</w:t>
            </w:r>
          </w:p>
        </w:tc>
      </w:tr>
      <w:tr w:rsidR="007B2608" w:rsidRPr="005802E9" w:rsidTr="00A80AF4">
        <w:tc>
          <w:tcPr>
            <w:tcW w:w="2263" w:type="dxa"/>
            <w:shd w:val="clear" w:color="auto" w:fill="B8CCE4" w:themeFill="accent1" w:themeFillTint="66"/>
            <w:vAlign w:val="center"/>
          </w:tcPr>
          <w:p w:rsidR="007B2608" w:rsidRPr="005802E9" w:rsidRDefault="007B2608" w:rsidP="00A80AF4">
            <w:pPr>
              <w:pStyle w:val="Tabletext0"/>
              <w:keepNext/>
              <w:keepLines/>
            </w:pPr>
            <w:r w:rsidRPr="005802E9">
              <w:t>Net cost to PBS/RPBS</w:t>
            </w:r>
          </w:p>
          <w:p w:rsidR="007B2608" w:rsidRPr="005802E9" w:rsidRDefault="007B2608" w:rsidP="00A80AF4">
            <w:pPr>
              <w:pStyle w:val="Tabletext0"/>
              <w:keepNext/>
              <w:keepLines/>
            </w:pPr>
            <w:r w:rsidRPr="005802E9">
              <w:t>(DPMQ minus co-pay)</w:t>
            </w:r>
          </w:p>
        </w:tc>
        <w:tc>
          <w:tcPr>
            <w:tcW w:w="1134" w:type="dxa"/>
            <w:shd w:val="clear" w:color="auto" w:fill="B8CCE4" w:themeFill="accent1" w:themeFillTint="66"/>
            <w:vAlign w:val="center"/>
          </w:tcPr>
          <w:p w:rsidR="007B2608" w:rsidRPr="002E1D08" w:rsidRDefault="007B2608" w:rsidP="00A80AF4">
            <w:pPr>
              <w:pStyle w:val="Tabletext0"/>
              <w:keepNext/>
              <w:keepLines/>
              <w:jc w:val="center"/>
              <w:rPr>
                <w:b/>
                <w:vertAlign w:val="superscript"/>
              </w:rPr>
            </w:pPr>
            <w:r w:rsidRPr="005802E9">
              <w:t>$</w:t>
            </w:r>
            <w:r w:rsidR="00EC0E44">
              <w:rPr>
                <w:noProof/>
                <w:color w:val="000000"/>
                <w:highlight w:val="black"/>
              </w:rPr>
              <w:t>''''''''''''''''''''''''''</w:t>
            </w:r>
            <w:r w:rsidR="002E1D08">
              <w:rPr>
                <w:vertAlign w:val="superscript"/>
              </w:rPr>
              <w:t>15</w:t>
            </w:r>
          </w:p>
        </w:tc>
        <w:tc>
          <w:tcPr>
            <w:tcW w:w="1134" w:type="dxa"/>
            <w:shd w:val="clear" w:color="auto" w:fill="B8CCE4" w:themeFill="accent1" w:themeFillTint="66"/>
            <w:vAlign w:val="center"/>
          </w:tcPr>
          <w:p w:rsidR="007B2608" w:rsidRPr="002E1D08" w:rsidRDefault="007B2608" w:rsidP="00A80AF4">
            <w:pPr>
              <w:pStyle w:val="Tabletext0"/>
              <w:keepNext/>
              <w:keepLines/>
              <w:jc w:val="center"/>
              <w:rPr>
                <w:b/>
                <w:vertAlign w:val="superscript"/>
              </w:rPr>
            </w:pPr>
            <w:r w:rsidRPr="005802E9">
              <w:t>$</w:t>
            </w:r>
            <w:r w:rsidR="003C2634">
              <w:rPr>
                <w:noProof/>
                <w:color w:val="000000"/>
                <w:highlight w:val="black"/>
              </w:rPr>
              <w:t>'''''''''''''''''</w:t>
            </w:r>
            <w:r w:rsidR="00EC0E44">
              <w:rPr>
                <w:noProof/>
                <w:color w:val="000000"/>
                <w:highlight w:val="black"/>
              </w:rPr>
              <w:t>''''''''''</w:t>
            </w:r>
            <w:r w:rsidR="002E1D08">
              <w:rPr>
                <w:vertAlign w:val="superscript"/>
              </w:rPr>
              <w:t>15</w:t>
            </w:r>
          </w:p>
        </w:tc>
        <w:tc>
          <w:tcPr>
            <w:tcW w:w="1134" w:type="dxa"/>
            <w:shd w:val="clear" w:color="auto" w:fill="B8CCE4" w:themeFill="accent1" w:themeFillTint="66"/>
            <w:vAlign w:val="center"/>
          </w:tcPr>
          <w:p w:rsidR="007B2608" w:rsidRPr="002E1D08" w:rsidRDefault="007B2608" w:rsidP="00A80AF4">
            <w:pPr>
              <w:pStyle w:val="Tabletext0"/>
              <w:keepNext/>
              <w:keepLines/>
              <w:jc w:val="center"/>
              <w:rPr>
                <w:b/>
                <w:vertAlign w:val="superscript"/>
              </w:rPr>
            </w:pPr>
            <w:r w:rsidRPr="005802E9">
              <w:t>$</w:t>
            </w:r>
            <w:r w:rsidR="00EC0E44">
              <w:rPr>
                <w:noProof/>
                <w:color w:val="000000"/>
                <w:highlight w:val="black"/>
              </w:rPr>
              <w:t>'''''''''''''''''''''''''''</w:t>
            </w:r>
            <w:r w:rsidR="002E1D08">
              <w:rPr>
                <w:vertAlign w:val="superscript"/>
              </w:rPr>
              <w:t>15</w:t>
            </w:r>
          </w:p>
        </w:tc>
        <w:tc>
          <w:tcPr>
            <w:tcW w:w="1134" w:type="dxa"/>
            <w:shd w:val="clear" w:color="auto" w:fill="B8CCE4" w:themeFill="accent1" w:themeFillTint="66"/>
            <w:vAlign w:val="center"/>
          </w:tcPr>
          <w:p w:rsidR="007B2608" w:rsidRPr="002E1D08" w:rsidRDefault="007B2608" w:rsidP="00A80AF4">
            <w:pPr>
              <w:pStyle w:val="Tabletext0"/>
              <w:keepNext/>
              <w:keepLines/>
              <w:jc w:val="center"/>
              <w:rPr>
                <w:b/>
                <w:vertAlign w:val="superscript"/>
              </w:rPr>
            </w:pPr>
            <w:r w:rsidRPr="005802E9">
              <w:t>$</w:t>
            </w:r>
            <w:r w:rsidR="00EC0E44">
              <w:rPr>
                <w:noProof/>
                <w:color w:val="000000"/>
                <w:highlight w:val="black"/>
              </w:rPr>
              <w:t>'''''''''''''''''''''''</w:t>
            </w:r>
            <w:r w:rsidR="002E1D08">
              <w:rPr>
                <w:vertAlign w:val="superscript"/>
              </w:rPr>
              <w:t>16</w:t>
            </w:r>
          </w:p>
        </w:tc>
        <w:tc>
          <w:tcPr>
            <w:tcW w:w="1134" w:type="dxa"/>
            <w:shd w:val="clear" w:color="auto" w:fill="B8CCE4" w:themeFill="accent1" w:themeFillTint="66"/>
            <w:vAlign w:val="center"/>
          </w:tcPr>
          <w:p w:rsidR="007B2608" w:rsidRPr="002E1D08" w:rsidRDefault="007B2608" w:rsidP="00A80AF4">
            <w:pPr>
              <w:pStyle w:val="Tabletext0"/>
              <w:keepNext/>
              <w:keepLines/>
              <w:jc w:val="center"/>
              <w:rPr>
                <w:b/>
                <w:vertAlign w:val="superscript"/>
              </w:rPr>
            </w:pPr>
            <w:r w:rsidRPr="005802E9">
              <w:t>$</w:t>
            </w:r>
            <w:r w:rsidR="00EC0E44">
              <w:rPr>
                <w:noProof/>
                <w:color w:val="000000"/>
                <w:highlight w:val="black"/>
              </w:rPr>
              <w:t>''''''''''''''''''''''''''</w:t>
            </w:r>
            <w:r w:rsidR="002E1D08">
              <w:rPr>
                <w:vertAlign w:val="superscript"/>
              </w:rPr>
              <w:t>16</w:t>
            </w:r>
          </w:p>
        </w:tc>
        <w:tc>
          <w:tcPr>
            <w:tcW w:w="1134" w:type="dxa"/>
            <w:shd w:val="clear" w:color="auto" w:fill="B8CCE4" w:themeFill="accent1" w:themeFillTint="66"/>
            <w:vAlign w:val="center"/>
          </w:tcPr>
          <w:p w:rsidR="007B2608" w:rsidRPr="002E1D08" w:rsidRDefault="007B2608" w:rsidP="00A80AF4">
            <w:pPr>
              <w:pStyle w:val="Tabletext0"/>
              <w:keepNext/>
              <w:keepLines/>
              <w:jc w:val="center"/>
              <w:rPr>
                <w:b/>
                <w:vertAlign w:val="superscript"/>
              </w:rPr>
            </w:pPr>
            <w:r w:rsidRPr="005802E9">
              <w:t>$</w:t>
            </w:r>
            <w:r w:rsidR="00EC0E44">
              <w:rPr>
                <w:noProof/>
                <w:color w:val="000000"/>
                <w:highlight w:val="black"/>
              </w:rPr>
              <w:t>''''''''''''''''''''''''''</w:t>
            </w:r>
            <w:r w:rsidR="002E1D08">
              <w:rPr>
                <w:vertAlign w:val="superscript"/>
              </w:rPr>
              <w:t>17</w:t>
            </w:r>
          </w:p>
        </w:tc>
      </w:tr>
      <w:tr w:rsidR="007B2608" w:rsidRPr="005802E9" w:rsidTr="00A80AF4">
        <w:tc>
          <w:tcPr>
            <w:tcW w:w="2263" w:type="dxa"/>
            <w:shd w:val="clear" w:color="auto" w:fill="B8CCE4" w:themeFill="accent1" w:themeFillTint="66"/>
            <w:vAlign w:val="center"/>
          </w:tcPr>
          <w:p w:rsidR="007B2608" w:rsidRPr="005802E9" w:rsidRDefault="007B2608" w:rsidP="00A80AF4">
            <w:pPr>
              <w:pStyle w:val="Tabletext0"/>
              <w:keepNext/>
              <w:keepLines/>
            </w:pPr>
            <w:r w:rsidRPr="005802E9">
              <w:t>Net cost to PBS/RPBS including cost offset</w:t>
            </w:r>
          </w:p>
        </w:tc>
        <w:tc>
          <w:tcPr>
            <w:tcW w:w="1134" w:type="dxa"/>
            <w:shd w:val="clear" w:color="auto" w:fill="B8CCE4" w:themeFill="accent1" w:themeFillTint="66"/>
            <w:vAlign w:val="center"/>
          </w:tcPr>
          <w:p w:rsidR="007B2608" w:rsidRPr="002E1D08" w:rsidRDefault="007B2608" w:rsidP="00A80AF4">
            <w:pPr>
              <w:pStyle w:val="Tabletext0"/>
              <w:keepNext/>
              <w:keepLines/>
              <w:jc w:val="center"/>
              <w:rPr>
                <w:b/>
                <w:vertAlign w:val="superscript"/>
              </w:rPr>
            </w:pPr>
            <w:r w:rsidRPr="005802E9">
              <w:t>$</w:t>
            </w:r>
            <w:r w:rsidR="00EC0E44">
              <w:rPr>
                <w:noProof/>
                <w:color w:val="000000"/>
                <w:highlight w:val="black"/>
              </w:rPr>
              <w:t>''''''''''''''''''''''''</w:t>
            </w:r>
            <w:r w:rsidR="002E1D08">
              <w:rPr>
                <w:vertAlign w:val="superscript"/>
              </w:rPr>
              <w:t>15</w:t>
            </w:r>
          </w:p>
        </w:tc>
        <w:tc>
          <w:tcPr>
            <w:tcW w:w="1134" w:type="dxa"/>
            <w:shd w:val="clear" w:color="auto" w:fill="B8CCE4" w:themeFill="accent1" w:themeFillTint="66"/>
            <w:vAlign w:val="center"/>
          </w:tcPr>
          <w:p w:rsidR="007B2608" w:rsidRPr="002E1D08" w:rsidRDefault="007B2608" w:rsidP="00A80AF4">
            <w:pPr>
              <w:pStyle w:val="Tabletext0"/>
              <w:keepNext/>
              <w:keepLines/>
              <w:jc w:val="center"/>
              <w:rPr>
                <w:b/>
                <w:vertAlign w:val="superscript"/>
              </w:rPr>
            </w:pPr>
            <w:r w:rsidRPr="005802E9">
              <w:t>$</w:t>
            </w:r>
            <w:r w:rsidR="00EC0E44">
              <w:rPr>
                <w:noProof/>
                <w:color w:val="000000"/>
                <w:highlight w:val="black"/>
              </w:rPr>
              <w:t>'''''''''''''''''''''''''</w:t>
            </w:r>
            <w:r w:rsidR="002E1D08">
              <w:rPr>
                <w:vertAlign w:val="superscript"/>
              </w:rPr>
              <w:t>15</w:t>
            </w:r>
          </w:p>
        </w:tc>
        <w:tc>
          <w:tcPr>
            <w:tcW w:w="1134" w:type="dxa"/>
            <w:shd w:val="clear" w:color="auto" w:fill="B8CCE4" w:themeFill="accent1" w:themeFillTint="66"/>
            <w:vAlign w:val="center"/>
          </w:tcPr>
          <w:p w:rsidR="007B2608" w:rsidRPr="002E1D08" w:rsidRDefault="007B2608" w:rsidP="00A80AF4">
            <w:pPr>
              <w:pStyle w:val="Tabletext0"/>
              <w:keepNext/>
              <w:keepLines/>
              <w:jc w:val="center"/>
              <w:rPr>
                <w:b/>
                <w:vertAlign w:val="superscript"/>
              </w:rPr>
            </w:pPr>
            <w:r w:rsidRPr="005802E9">
              <w:t>$</w:t>
            </w:r>
            <w:r w:rsidR="00EC0E44">
              <w:rPr>
                <w:noProof/>
                <w:color w:val="000000"/>
                <w:highlight w:val="black"/>
              </w:rPr>
              <w:t>''''''''''''''''''''''''''</w:t>
            </w:r>
            <w:r w:rsidR="002E1D08">
              <w:rPr>
                <w:vertAlign w:val="superscript"/>
              </w:rPr>
              <w:t>15</w:t>
            </w:r>
          </w:p>
        </w:tc>
        <w:tc>
          <w:tcPr>
            <w:tcW w:w="1134" w:type="dxa"/>
            <w:shd w:val="clear" w:color="auto" w:fill="B8CCE4" w:themeFill="accent1" w:themeFillTint="66"/>
            <w:vAlign w:val="center"/>
          </w:tcPr>
          <w:p w:rsidR="007B2608" w:rsidRPr="002E1D08" w:rsidRDefault="007B2608" w:rsidP="00A80AF4">
            <w:pPr>
              <w:pStyle w:val="Tabletext0"/>
              <w:keepNext/>
              <w:keepLines/>
              <w:jc w:val="center"/>
              <w:rPr>
                <w:b/>
                <w:vertAlign w:val="superscript"/>
              </w:rPr>
            </w:pPr>
            <w:r w:rsidRPr="005802E9">
              <w:t>$</w:t>
            </w:r>
            <w:r w:rsidR="00EC0E44">
              <w:rPr>
                <w:noProof/>
                <w:color w:val="000000"/>
                <w:highlight w:val="black"/>
              </w:rPr>
              <w:t>'''''''''''''''''''''''</w:t>
            </w:r>
            <w:r w:rsidR="002E1D08">
              <w:rPr>
                <w:vertAlign w:val="superscript"/>
              </w:rPr>
              <w:t>16</w:t>
            </w:r>
          </w:p>
        </w:tc>
        <w:tc>
          <w:tcPr>
            <w:tcW w:w="1134" w:type="dxa"/>
            <w:shd w:val="clear" w:color="auto" w:fill="B8CCE4" w:themeFill="accent1" w:themeFillTint="66"/>
            <w:vAlign w:val="center"/>
          </w:tcPr>
          <w:p w:rsidR="007B2608" w:rsidRPr="002E1D08" w:rsidRDefault="007B2608" w:rsidP="00A80AF4">
            <w:pPr>
              <w:pStyle w:val="Tabletext0"/>
              <w:keepNext/>
              <w:keepLines/>
              <w:jc w:val="center"/>
              <w:rPr>
                <w:b/>
                <w:vertAlign w:val="superscript"/>
              </w:rPr>
            </w:pPr>
            <w:r w:rsidRPr="005802E9">
              <w:t>$</w:t>
            </w:r>
            <w:r w:rsidR="00EC0E44">
              <w:rPr>
                <w:noProof/>
                <w:color w:val="000000"/>
                <w:highlight w:val="black"/>
              </w:rPr>
              <w:t>''''''''''''''''''''''''</w:t>
            </w:r>
            <w:r w:rsidR="002E1D08">
              <w:rPr>
                <w:vertAlign w:val="superscript"/>
              </w:rPr>
              <w:t>16</w:t>
            </w:r>
          </w:p>
        </w:tc>
        <w:tc>
          <w:tcPr>
            <w:tcW w:w="1134" w:type="dxa"/>
            <w:shd w:val="clear" w:color="auto" w:fill="B8CCE4" w:themeFill="accent1" w:themeFillTint="66"/>
            <w:vAlign w:val="center"/>
          </w:tcPr>
          <w:p w:rsidR="007B2608" w:rsidRPr="002E1D08" w:rsidRDefault="007B2608" w:rsidP="00A80AF4">
            <w:pPr>
              <w:pStyle w:val="Tabletext0"/>
              <w:keepNext/>
              <w:keepLines/>
              <w:jc w:val="center"/>
              <w:rPr>
                <w:b/>
                <w:vertAlign w:val="superscript"/>
              </w:rPr>
            </w:pPr>
            <w:r w:rsidRPr="005802E9">
              <w:t>$</w:t>
            </w:r>
            <w:r w:rsidR="003C2634">
              <w:rPr>
                <w:noProof/>
                <w:color w:val="000000"/>
                <w:highlight w:val="black"/>
              </w:rPr>
              <w:t>'''''''''''''''''''</w:t>
            </w:r>
            <w:r w:rsidR="00EC0E44">
              <w:rPr>
                <w:noProof/>
                <w:color w:val="000000"/>
                <w:highlight w:val="black"/>
              </w:rPr>
              <w:t>''''''''</w:t>
            </w:r>
            <w:r w:rsidR="002E1D08">
              <w:rPr>
                <w:vertAlign w:val="superscript"/>
              </w:rPr>
              <w:t>17</w:t>
            </w:r>
          </w:p>
        </w:tc>
      </w:tr>
    </w:tbl>
    <w:p w:rsidR="007B2608" w:rsidRPr="005802E9" w:rsidRDefault="007B2608" w:rsidP="007B2608">
      <w:pPr>
        <w:pStyle w:val="TableFooter"/>
        <w:keepNext/>
        <w:keepLines/>
      </w:pPr>
      <w:r w:rsidRPr="005802E9">
        <w:t>Source: ‘Crisaborole utilisation and cost model’ Excel workbook of the resubmission and the November 2018 submission</w:t>
      </w:r>
    </w:p>
    <w:p w:rsidR="007B2608" w:rsidRPr="005802E9" w:rsidRDefault="007B2608" w:rsidP="007B2608">
      <w:pPr>
        <w:pStyle w:val="TableFooter"/>
        <w:keepNext/>
        <w:keepLines/>
      </w:pPr>
      <w:r w:rsidRPr="005802E9">
        <w:t>Abbreviations: ISGA, Investigator’s Static Global Assessment</w:t>
      </w:r>
    </w:p>
    <w:p w:rsidR="007B2608" w:rsidRDefault="007B2608" w:rsidP="007B2608">
      <w:pPr>
        <w:pStyle w:val="TableFooter"/>
        <w:keepNext/>
        <w:keepLines/>
      </w:pPr>
      <w:r w:rsidRPr="005802E9">
        <w:rPr>
          <w:vertAlign w:val="superscript"/>
        </w:rPr>
        <w:t>a</w:t>
      </w:r>
      <w:r w:rsidRPr="005802E9">
        <w:t xml:space="preserve"> Due to the distribution of initiating patients over 12 cycles, discontinuations from patients initiating in the last 2 cycles of the year are applied in the model in the following year </w:t>
      </w:r>
    </w:p>
    <w:p w:rsidR="00406E7E" w:rsidRPr="00406E7E" w:rsidRDefault="00406E7E" w:rsidP="00406E7E">
      <w:pPr>
        <w:rPr>
          <w:rFonts w:ascii="Arial Narrow" w:hAnsi="Arial Narrow"/>
          <w:i/>
          <w:sz w:val="18"/>
          <w:szCs w:val="18"/>
          <w:vertAlign w:val="superscript"/>
        </w:rPr>
      </w:pPr>
      <w:r w:rsidRPr="00406E7E">
        <w:rPr>
          <w:rFonts w:ascii="Arial Narrow" w:hAnsi="Arial Narrow"/>
          <w:i/>
          <w:sz w:val="18"/>
          <w:szCs w:val="18"/>
        </w:rPr>
        <w:t>The redacted values correspond to the following ranges:</w:t>
      </w:r>
    </w:p>
    <w:p w:rsidR="00406E7E" w:rsidRPr="00406E7E" w:rsidRDefault="00406E7E" w:rsidP="00406E7E">
      <w:pPr>
        <w:rPr>
          <w:rFonts w:ascii="Arial Narrow" w:hAnsi="Arial Narrow"/>
          <w:i/>
          <w:sz w:val="18"/>
          <w:szCs w:val="18"/>
        </w:rPr>
      </w:pPr>
      <w:r w:rsidRPr="00406E7E">
        <w:rPr>
          <w:rFonts w:ascii="Arial Narrow" w:hAnsi="Arial Narrow"/>
          <w:i/>
          <w:sz w:val="18"/>
          <w:szCs w:val="18"/>
          <w:vertAlign w:val="superscript"/>
        </w:rPr>
        <w:t>1</w:t>
      </w:r>
      <w:r w:rsidRPr="00406E7E">
        <w:rPr>
          <w:rFonts w:ascii="Arial Narrow" w:hAnsi="Arial Narrow"/>
          <w:i/>
          <w:sz w:val="18"/>
          <w:szCs w:val="18"/>
        </w:rPr>
        <w:t>5,000 to &lt;10,000</w:t>
      </w:r>
    </w:p>
    <w:p w:rsidR="00406E7E" w:rsidRPr="00406E7E" w:rsidRDefault="00406E7E" w:rsidP="00406E7E">
      <w:pPr>
        <w:rPr>
          <w:rFonts w:ascii="Arial Narrow" w:hAnsi="Arial Narrow"/>
          <w:i/>
          <w:sz w:val="18"/>
          <w:szCs w:val="18"/>
        </w:rPr>
      </w:pPr>
      <w:r w:rsidRPr="00406E7E">
        <w:rPr>
          <w:rFonts w:ascii="Arial Narrow" w:hAnsi="Arial Narrow"/>
          <w:i/>
          <w:sz w:val="18"/>
          <w:szCs w:val="18"/>
          <w:vertAlign w:val="superscript"/>
        </w:rPr>
        <w:t>2</w:t>
      </w:r>
      <w:r w:rsidRPr="00406E7E">
        <w:rPr>
          <w:rFonts w:ascii="Arial Narrow" w:hAnsi="Arial Narrow"/>
          <w:i/>
          <w:sz w:val="18"/>
          <w:szCs w:val="18"/>
        </w:rPr>
        <w:t>10,000 to &lt;20,000</w:t>
      </w:r>
    </w:p>
    <w:p w:rsidR="00406E7E" w:rsidRPr="00406E7E" w:rsidRDefault="00406E7E" w:rsidP="00406E7E">
      <w:pPr>
        <w:rPr>
          <w:rFonts w:ascii="Arial Narrow" w:hAnsi="Arial Narrow"/>
          <w:i/>
          <w:sz w:val="18"/>
          <w:szCs w:val="18"/>
        </w:rPr>
      </w:pPr>
      <w:r w:rsidRPr="00406E7E">
        <w:rPr>
          <w:rFonts w:ascii="Arial Narrow" w:hAnsi="Arial Narrow"/>
          <w:i/>
          <w:sz w:val="18"/>
          <w:szCs w:val="18"/>
          <w:vertAlign w:val="superscript"/>
        </w:rPr>
        <w:t>3</w:t>
      </w:r>
      <w:r w:rsidRPr="00406E7E">
        <w:rPr>
          <w:rFonts w:ascii="Arial Narrow" w:hAnsi="Arial Narrow"/>
          <w:i/>
          <w:sz w:val="18"/>
          <w:szCs w:val="18"/>
        </w:rPr>
        <w:t>20,000 to &lt;30,000</w:t>
      </w:r>
    </w:p>
    <w:p w:rsidR="00406E7E" w:rsidRPr="00406E7E" w:rsidRDefault="00406E7E" w:rsidP="00406E7E">
      <w:pPr>
        <w:rPr>
          <w:rFonts w:ascii="Arial Narrow" w:hAnsi="Arial Narrow"/>
          <w:i/>
          <w:sz w:val="18"/>
          <w:szCs w:val="18"/>
        </w:rPr>
      </w:pPr>
      <w:r w:rsidRPr="00406E7E">
        <w:rPr>
          <w:rFonts w:ascii="Arial Narrow" w:hAnsi="Arial Narrow"/>
          <w:i/>
          <w:sz w:val="18"/>
          <w:szCs w:val="18"/>
          <w:vertAlign w:val="superscript"/>
        </w:rPr>
        <w:lastRenderedPageBreak/>
        <w:t>4</w:t>
      </w:r>
      <w:r w:rsidRPr="00406E7E">
        <w:rPr>
          <w:rFonts w:ascii="Arial Narrow" w:hAnsi="Arial Narrow"/>
          <w:i/>
          <w:sz w:val="18"/>
          <w:szCs w:val="18"/>
        </w:rPr>
        <w:t>30,000 to &lt;40,000</w:t>
      </w:r>
    </w:p>
    <w:p w:rsidR="00406E7E" w:rsidRPr="00406E7E" w:rsidRDefault="00406E7E" w:rsidP="00406E7E">
      <w:pPr>
        <w:rPr>
          <w:rFonts w:ascii="Arial Narrow" w:hAnsi="Arial Narrow"/>
          <w:i/>
          <w:sz w:val="18"/>
          <w:szCs w:val="18"/>
        </w:rPr>
      </w:pPr>
      <w:r w:rsidRPr="00406E7E">
        <w:rPr>
          <w:rFonts w:ascii="Arial Narrow" w:hAnsi="Arial Narrow"/>
          <w:i/>
          <w:sz w:val="18"/>
          <w:szCs w:val="18"/>
          <w:vertAlign w:val="superscript"/>
        </w:rPr>
        <w:t>5</w:t>
      </w:r>
      <w:r w:rsidRPr="00406E7E">
        <w:rPr>
          <w:rFonts w:ascii="Arial Narrow" w:hAnsi="Arial Narrow"/>
          <w:i/>
          <w:sz w:val="18"/>
          <w:szCs w:val="18"/>
        </w:rPr>
        <w:t>40,000 to &lt;50,000</w:t>
      </w:r>
    </w:p>
    <w:p w:rsidR="00406E7E" w:rsidRPr="00406E7E" w:rsidRDefault="00406E7E" w:rsidP="00406E7E">
      <w:pPr>
        <w:rPr>
          <w:rFonts w:ascii="Arial Narrow" w:hAnsi="Arial Narrow"/>
          <w:i/>
          <w:sz w:val="18"/>
          <w:szCs w:val="18"/>
        </w:rPr>
      </w:pPr>
      <w:r w:rsidRPr="00406E7E">
        <w:rPr>
          <w:rFonts w:ascii="Arial Narrow" w:hAnsi="Arial Narrow"/>
          <w:i/>
          <w:sz w:val="18"/>
          <w:szCs w:val="18"/>
          <w:vertAlign w:val="superscript"/>
        </w:rPr>
        <w:t>6</w:t>
      </w:r>
      <w:r w:rsidRPr="00406E7E">
        <w:rPr>
          <w:rFonts w:ascii="Arial Narrow" w:hAnsi="Arial Narrow"/>
          <w:i/>
          <w:sz w:val="18"/>
          <w:szCs w:val="18"/>
        </w:rPr>
        <w:t>60,000 to &lt;70,000</w:t>
      </w:r>
    </w:p>
    <w:p w:rsidR="00406E7E" w:rsidRPr="00406E7E" w:rsidRDefault="00406E7E" w:rsidP="00406E7E">
      <w:pPr>
        <w:rPr>
          <w:rFonts w:ascii="Arial Narrow" w:hAnsi="Arial Narrow"/>
          <w:i/>
          <w:sz w:val="18"/>
          <w:szCs w:val="18"/>
        </w:rPr>
      </w:pPr>
      <w:r w:rsidRPr="00406E7E">
        <w:rPr>
          <w:rFonts w:ascii="Arial Narrow" w:hAnsi="Arial Narrow"/>
          <w:i/>
          <w:sz w:val="18"/>
          <w:szCs w:val="18"/>
          <w:vertAlign w:val="superscript"/>
        </w:rPr>
        <w:t>7</w:t>
      </w:r>
      <w:r w:rsidRPr="00406E7E">
        <w:rPr>
          <w:rFonts w:ascii="Arial Narrow" w:hAnsi="Arial Narrow"/>
          <w:i/>
          <w:sz w:val="18"/>
          <w:szCs w:val="18"/>
        </w:rPr>
        <w:t>500 to &lt;5,000</w:t>
      </w:r>
    </w:p>
    <w:p w:rsidR="00406E7E" w:rsidRPr="00406E7E" w:rsidRDefault="00406E7E" w:rsidP="00406E7E">
      <w:pPr>
        <w:rPr>
          <w:rFonts w:ascii="Arial Narrow" w:hAnsi="Arial Narrow"/>
          <w:i/>
          <w:sz w:val="18"/>
          <w:szCs w:val="18"/>
        </w:rPr>
      </w:pPr>
      <w:r w:rsidRPr="00406E7E">
        <w:rPr>
          <w:rFonts w:ascii="Arial Narrow" w:hAnsi="Arial Narrow"/>
          <w:i/>
          <w:sz w:val="18"/>
          <w:szCs w:val="18"/>
          <w:vertAlign w:val="superscript"/>
        </w:rPr>
        <w:t>8</w:t>
      </w:r>
      <w:r w:rsidRPr="00406E7E">
        <w:rPr>
          <w:rFonts w:ascii="Arial Narrow" w:hAnsi="Arial Narrow"/>
          <w:i/>
          <w:sz w:val="18"/>
          <w:szCs w:val="18"/>
        </w:rPr>
        <w:t>50,000 to &lt;60,000</w:t>
      </w:r>
    </w:p>
    <w:p w:rsidR="00406E7E" w:rsidRPr="00406E7E" w:rsidRDefault="00406E7E" w:rsidP="00406E7E">
      <w:pPr>
        <w:rPr>
          <w:rFonts w:ascii="Arial Narrow" w:hAnsi="Arial Narrow"/>
          <w:i/>
          <w:sz w:val="18"/>
          <w:szCs w:val="18"/>
        </w:rPr>
      </w:pPr>
      <w:r w:rsidRPr="00406E7E">
        <w:rPr>
          <w:rFonts w:ascii="Arial Narrow" w:hAnsi="Arial Narrow"/>
          <w:i/>
          <w:sz w:val="18"/>
          <w:szCs w:val="18"/>
          <w:vertAlign w:val="superscript"/>
        </w:rPr>
        <w:t>9</w:t>
      </w:r>
      <w:r w:rsidRPr="00406E7E">
        <w:rPr>
          <w:rFonts w:ascii="Arial Narrow" w:hAnsi="Arial Narrow"/>
          <w:i/>
          <w:sz w:val="18"/>
          <w:szCs w:val="18"/>
        </w:rPr>
        <w:t>80,000 to &lt;90,000</w:t>
      </w:r>
    </w:p>
    <w:p w:rsidR="00406E7E" w:rsidRPr="00406E7E" w:rsidRDefault="00406E7E" w:rsidP="00406E7E">
      <w:pPr>
        <w:rPr>
          <w:rFonts w:ascii="Arial Narrow" w:hAnsi="Arial Narrow"/>
          <w:i/>
          <w:sz w:val="18"/>
          <w:szCs w:val="18"/>
        </w:rPr>
      </w:pPr>
      <w:r w:rsidRPr="00406E7E">
        <w:rPr>
          <w:rFonts w:ascii="Arial Narrow" w:hAnsi="Arial Narrow"/>
          <w:i/>
          <w:sz w:val="18"/>
          <w:szCs w:val="18"/>
          <w:vertAlign w:val="superscript"/>
        </w:rPr>
        <w:t>10</w:t>
      </w:r>
      <w:r w:rsidRPr="00406E7E">
        <w:rPr>
          <w:rFonts w:ascii="Arial Narrow" w:hAnsi="Arial Narrow"/>
          <w:i/>
          <w:sz w:val="18"/>
          <w:szCs w:val="18"/>
        </w:rPr>
        <w:t>100,000 to &lt;200,000</w:t>
      </w:r>
    </w:p>
    <w:p w:rsidR="00406E7E" w:rsidRPr="00406E7E" w:rsidRDefault="00406E7E" w:rsidP="00406E7E">
      <w:pPr>
        <w:tabs>
          <w:tab w:val="left" w:pos="2622"/>
        </w:tabs>
        <w:rPr>
          <w:rFonts w:ascii="Arial Narrow" w:hAnsi="Arial Narrow"/>
          <w:i/>
          <w:sz w:val="18"/>
          <w:szCs w:val="18"/>
        </w:rPr>
      </w:pPr>
      <w:r w:rsidRPr="00406E7E">
        <w:rPr>
          <w:rFonts w:ascii="Arial Narrow" w:hAnsi="Arial Narrow"/>
          <w:i/>
          <w:sz w:val="18"/>
          <w:szCs w:val="18"/>
          <w:vertAlign w:val="superscript"/>
        </w:rPr>
        <w:t>11</w:t>
      </w:r>
      <w:r w:rsidRPr="00406E7E">
        <w:rPr>
          <w:rFonts w:ascii="Arial Narrow" w:hAnsi="Arial Narrow"/>
          <w:i/>
          <w:sz w:val="18"/>
          <w:szCs w:val="18"/>
        </w:rPr>
        <w:t>70,000 to &lt;80,000</w:t>
      </w:r>
    </w:p>
    <w:p w:rsidR="00406E7E" w:rsidRPr="00406E7E" w:rsidRDefault="00406E7E" w:rsidP="00406E7E">
      <w:pPr>
        <w:tabs>
          <w:tab w:val="left" w:pos="2622"/>
        </w:tabs>
        <w:rPr>
          <w:rFonts w:ascii="Arial Narrow" w:hAnsi="Arial Narrow"/>
          <w:i/>
          <w:sz w:val="18"/>
          <w:szCs w:val="18"/>
        </w:rPr>
      </w:pPr>
      <w:r w:rsidRPr="00406E7E">
        <w:rPr>
          <w:rFonts w:ascii="Arial Narrow" w:hAnsi="Arial Narrow"/>
          <w:i/>
          <w:sz w:val="18"/>
          <w:szCs w:val="18"/>
          <w:vertAlign w:val="superscript"/>
        </w:rPr>
        <w:t>12</w:t>
      </w:r>
      <w:r w:rsidRPr="00406E7E">
        <w:rPr>
          <w:rFonts w:ascii="Arial Narrow" w:hAnsi="Arial Narrow"/>
          <w:i/>
          <w:sz w:val="18"/>
          <w:szCs w:val="18"/>
        </w:rPr>
        <w:t>200,000 to &lt;300,000</w:t>
      </w:r>
    </w:p>
    <w:p w:rsidR="00406E7E" w:rsidRDefault="00406E7E" w:rsidP="00406E7E">
      <w:pPr>
        <w:tabs>
          <w:tab w:val="left" w:pos="2622"/>
        </w:tabs>
        <w:rPr>
          <w:rFonts w:ascii="Arial Narrow" w:hAnsi="Arial Narrow"/>
          <w:i/>
          <w:sz w:val="18"/>
          <w:szCs w:val="18"/>
        </w:rPr>
      </w:pPr>
      <w:r w:rsidRPr="00406E7E">
        <w:rPr>
          <w:rFonts w:ascii="Arial Narrow" w:hAnsi="Arial Narrow"/>
          <w:i/>
          <w:sz w:val="18"/>
          <w:szCs w:val="18"/>
          <w:vertAlign w:val="superscript"/>
        </w:rPr>
        <w:t>13</w:t>
      </w:r>
      <w:r w:rsidRPr="00406E7E">
        <w:rPr>
          <w:rFonts w:ascii="Arial Narrow" w:hAnsi="Arial Narrow"/>
          <w:i/>
          <w:sz w:val="18"/>
          <w:szCs w:val="18"/>
        </w:rPr>
        <w:t>300,000 to &lt;400,000</w:t>
      </w:r>
    </w:p>
    <w:p w:rsidR="002E1D08" w:rsidRPr="002E1D08" w:rsidRDefault="002E1D08" w:rsidP="002E1D08">
      <w:pPr>
        <w:tabs>
          <w:tab w:val="left" w:pos="2622"/>
        </w:tabs>
        <w:rPr>
          <w:rFonts w:ascii="Arial Narrow" w:hAnsi="Arial Narrow"/>
          <w:i/>
          <w:sz w:val="18"/>
        </w:rPr>
      </w:pPr>
      <w:r w:rsidRPr="002E1D08">
        <w:rPr>
          <w:rFonts w:ascii="Arial Narrow" w:hAnsi="Arial Narrow"/>
          <w:i/>
          <w:sz w:val="18"/>
          <w:vertAlign w:val="superscript"/>
        </w:rPr>
        <w:t>14</w:t>
      </w:r>
      <w:r w:rsidRPr="002E1D08">
        <w:rPr>
          <w:rFonts w:ascii="Arial Narrow" w:hAnsi="Arial Narrow"/>
          <w:i/>
          <w:sz w:val="18"/>
        </w:rPr>
        <w:t>$0 to &lt;$10 million</w:t>
      </w:r>
    </w:p>
    <w:p w:rsidR="002E1D08" w:rsidRPr="002E1D08" w:rsidRDefault="002E1D08" w:rsidP="002E1D08">
      <w:pPr>
        <w:tabs>
          <w:tab w:val="left" w:pos="2622"/>
        </w:tabs>
        <w:rPr>
          <w:rFonts w:ascii="Arial Narrow" w:hAnsi="Arial Narrow"/>
          <w:i/>
          <w:sz w:val="18"/>
        </w:rPr>
      </w:pPr>
      <w:r w:rsidRPr="002E1D08">
        <w:rPr>
          <w:rFonts w:ascii="Arial Narrow" w:hAnsi="Arial Narrow"/>
          <w:i/>
          <w:sz w:val="18"/>
          <w:vertAlign w:val="superscript"/>
        </w:rPr>
        <w:t>15</w:t>
      </w:r>
      <w:r w:rsidRPr="002E1D08">
        <w:rPr>
          <w:rFonts w:ascii="Arial Narrow" w:hAnsi="Arial Narrow"/>
          <w:i/>
          <w:sz w:val="18"/>
        </w:rPr>
        <w:t>$10 million to &lt;$20 million</w:t>
      </w:r>
    </w:p>
    <w:p w:rsidR="002E1D08" w:rsidRPr="002E1D08" w:rsidRDefault="002E1D08" w:rsidP="002E1D08">
      <w:pPr>
        <w:tabs>
          <w:tab w:val="left" w:pos="2622"/>
        </w:tabs>
        <w:rPr>
          <w:rFonts w:ascii="Arial Narrow" w:hAnsi="Arial Narrow"/>
          <w:i/>
          <w:sz w:val="18"/>
        </w:rPr>
      </w:pPr>
      <w:r w:rsidRPr="002E1D08">
        <w:rPr>
          <w:rFonts w:ascii="Arial Narrow" w:hAnsi="Arial Narrow"/>
          <w:i/>
          <w:sz w:val="18"/>
          <w:vertAlign w:val="superscript"/>
        </w:rPr>
        <w:t>16</w:t>
      </w:r>
      <w:r w:rsidRPr="002E1D08">
        <w:rPr>
          <w:rFonts w:ascii="Arial Narrow" w:hAnsi="Arial Narrow"/>
          <w:i/>
          <w:sz w:val="18"/>
        </w:rPr>
        <w:t>$20 million to &lt;$30 million</w:t>
      </w:r>
    </w:p>
    <w:p w:rsidR="002E1D08" w:rsidRPr="002E1D08" w:rsidRDefault="002E1D08" w:rsidP="002E1D08">
      <w:pPr>
        <w:tabs>
          <w:tab w:val="left" w:pos="2622"/>
        </w:tabs>
        <w:rPr>
          <w:rFonts w:ascii="Arial Narrow" w:hAnsi="Arial Narrow"/>
          <w:i/>
          <w:sz w:val="18"/>
        </w:rPr>
      </w:pPr>
      <w:r w:rsidRPr="002E1D08">
        <w:rPr>
          <w:rFonts w:ascii="Arial Narrow" w:hAnsi="Arial Narrow"/>
          <w:i/>
          <w:sz w:val="18"/>
          <w:vertAlign w:val="superscript"/>
        </w:rPr>
        <w:t>17</w:t>
      </w:r>
      <w:r w:rsidRPr="002E1D08">
        <w:rPr>
          <w:rFonts w:ascii="Arial Narrow" w:hAnsi="Arial Narrow"/>
          <w:i/>
          <w:sz w:val="18"/>
        </w:rPr>
        <w:t>$30 million to &lt;$40 million</w:t>
      </w:r>
    </w:p>
    <w:p w:rsidR="00406E7E" w:rsidRPr="005802E9" w:rsidRDefault="00406E7E" w:rsidP="007B2608">
      <w:pPr>
        <w:pStyle w:val="TableFooter"/>
        <w:keepNext/>
        <w:keepLines/>
      </w:pPr>
    </w:p>
    <w:p w:rsidR="007B2608" w:rsidRPr="005802E9" w:rsidRDefault="007B2608" w:rsidP="007B2608">
      <w:pPr>
        <w:pStyle w:val="TableFooter"/>
        <w:rPr>
          <w:rStyle w:val="TableFigureCaptionChar"/>
          <w:rFonts w:eastAsia="Times New Roman" w:cs="Arial"/>
          <w:b w:val="0"/>
          <w:bCs w:val="0"/>
          <w:szCs w:val="22"/>
        </w:rPr>
      </w:pPr>
    </w:p>
    <w:p w:rsidR="007B2608" w:rsidRPr="005802E9" w:rsidRDefault="007B2608" w:rsidP="007B2608">
      <w:pPr>
        <w:pStyle w:val="ExecSumBodyText"/>
        <w:numPr>
          <w:ilvl w:val="1"/>
          <w:numId w:val="1"/>
        </w:numPr>
      </w:pPr>
      <w:r w:rsidRPr="005802E9">
        <w:t>The resubmission estimated a net cost to the PBS/RPBS (including cost offsets and less patient co-payments) of $</w:t>
      </w:r>
      <w:r w:rsidR="009D1601">
        <w:t xml:space="preserve">0 to &lt;$10 </w:t>
      </w:r>
      <w:r w:rsidRPr="005802E9">
        <w:t>million in Year 1 of listing, increasing to $</w:t>
      </w:r>
      <w:r w:rsidR="009D1601">
        <w:t>20 to &lt;$30</w:t>
      </w:r>
      <w:r w:rsidRPr="005802E9">
        <w:t xml:space="preserve"> million in Year 6, a cumulative total of $</w:t>
      </w:r>
      <w:r w:rsidR="009D1601">
        <w:t xml:space="preserve">80 to &lt;$90 </w:t>
      </w:r>
      <w:r w:rsidRPr="005802E9">
        <w:t>million over 6 years.</w:t>
      </w:r>
    </w:p>
    <w:p w:rsidR="008E4B6A" w:rsidRPr="005802E9" w:rsidRDefault="008E4B6A" w:rsidP="008E4B6A">
      <w:pPr>
        <w:pStyle w:val="ExecSumBodyText"/>
      </w:pPr>
      <w:r w:rsidRPr="005802E9">
        <w:t>DUSC considered the estimates presented in the submission to be significantly underestimated. DUSC considered the main issues to be:</w:t>
      </w:r>
    </w:p>
    <w:p w:rsidR="008E4B6A" w:rsidRPr="005802E9" w:rsidRDefault="008E4B6A" w:rsidP="00C80D49">
      <w:pPr>
        <w:pStyle w:val="ExecSumBodyText"/>
        <w:numPr>
          <w:ilvl w:val="0"/>
          <w:numId w:val="16"/>
        </w:numPr>
        <w:ind w:left="993" w:hanging="284"/>
      </w:pPr>
      <w:r w:rsidRPr="005802E9">
        <w:t xml:space="preserve">Use of incidence estimates only, which excludes a large prevalent pool of patients who would qualify for treatment. </w:t>
      </w:r>
      <w:r w:rsidR="00B67079" w:rsidRPr="005802E9">
        <w:t>DUSC considered that a high uptake in the prevalent pool would be expected. The PSCR argued a low prevalent pool uptake was observed in private and international markets, however no data was provided to support this claim. DUSC noted that not accounting for the prevalent pool would lead to significant underestimates in utilisation;</w:t>
      </w:r>
    </w:p>
    <w:p w:rsidR="008E4B6A" w:rsidRPr="005802E9" w:rsidRDefault="008E4B6A" w:rsidP="00C80D49">
      <w:pPr>
        <w:pStyle w:val="ExecSumBodyText"/>
        <w:numPr>
          <w:ilvl w:val="0"/>
          <w:numId w:val="16"/>
        </w:numPr>
        <w:ind w:left="993" w:hanging="284"/>
      </w:pPr>
      <w:r w:rsidRPr="005802E9">
        <w:t xml:space="preserve">There were significant uncertainties with the estimated proportion of patients meeting the eligibility criteria. The previous submission estimated 90% of patients had mild to moderate disease, </w:t>
      </w:r>
      <w:r w:rsidR="00003678" w:rsidRPr="005802E9">
        <w:t xml:space="preserve">however </w:t>
      </w:r>
      <w:r w:rsidRPr="005802E9">
        <w:t>a weighted average of 80.3% was used in the resubmission</w:t>
      </w:r>
      <w:r w:rsidR="009E771D" w:rsidRPr="005802E9">
        <w:t>, which DUSC considered was an underestimate</w:t>
      </w:r>
      <w:r w:rsidRPr="005802E9">
        <w:t xml:space="preserve">. DUSC previously advised that mild to moderate atopic dermatitis is not consistently defined in studies used to estimate the number of patients with the disease. DUSC considered the estimated proportion of patients who have failed, are intolerant or contraindicated to TCS (34.9%) may be under or overestimated. The size of the </w:t>
      </w:r>
      <w:r w:rsidR="00B67079" w:rsidRPr="005802E9">
        <w:t>eligible incident population</w:t>
      </w:r>
      <w:r w:rsidRPr="005802E9">
        <w:t xml:space="preserve"> (</w:t>
      </w:r>
      <w:r w:rsidR="009D1601">
        <w:t>50,000 to &lt;60,000</w:t>
      </w:r>
      <w:r w:rsidRPr="005802E9">
        <w:t xml:space="preserve"> in Year 1, increasing to </w:t>
      </w:r>
      <w:r w:rsidR="009D1601">
        <w:t>50,000 to &lt;60,000</w:t>
      </w:r>
      <w:r w:rsidRPr="005802E9">
        <w:t xml:space="preserve"> in Year 6) was substantially smaller than eligible population estimates in the previous submission (</w:t>
      </w:r>
      <w:r w:rsidR="009D1601">
        <w:t>400,000 to &lt;500,000</w:t>
      </w:r>
      <w:r w:rsidRPr="005802E9">
        <w:t xml:space="preserve"> in Year 1, increasing to </w:t>
      </w:r>
      <w:r w:rsidR="009D1601">
        <w:t xml:space="preserve">400,000 to &lt;500,000 </w:t>
      </w:r>
      <w:r w:rsidRPr="005802E9">
        <w:t>in Year 6);</w:t>
      </w:r>
    </w:p>
    <w:p w:rsidR="00B67079" w:rsidRPr="005802E9" w:rsidRDefault="00B67079" w:rsidP="00C80D49">
      <w:pPr>
        <w:pStyle w:val="ExecSumBodyText"/>
        <w:numPr>
          <w:ilvl w:val="0"/>
          <w:numId w:val="16"/>
        </w:numPr>
        <w:ind w:left="993" w:hanging="284"/>
      </w:pPr>
      <w:r w:rsidRPr="005802E9">
        <w:t xml:space="preserve">There were significant uncertainties with the assumed uptake rates: </w:t>
      </w:r>
    </w:p>
    <w:p w:rsidR="00B67079" w:rsidRPr="005802E9" w:rsidRDefault="00B67079" w:rsidP="00C80D49">
      <w:pPr>
        <w:pStyle w:val="ExecSumBodyText"/>
        <w:numPr>
          <w:ilvl w:val="1"/>
          <w:numId w:val="16"/>
        </w:numPr>
        <w:ind w:left="1418"/>
      </w:pPr>
      <w:r w:rsidRPr="005802E9">
        <w:t xml:space="preserve">The market penetration is unlikely to mimic use of pimecrolimus which is restricted to the face and eyelids, an annual limit of 4 scripts and treatment limited to short-term intermittent use only. </w:t>
      </w:r>
    </w:p>
    <w:p w:rsidR="008E4B6A" w:rsidRPr="005802E9" w:rsidRDefault="00B67079" w:rsidP="00C80D49">
      <w:pPr>
        <w:pStyle w:val="ExecSumBodyText"/>
        <w:numPr>
          <w:ilvl w:val="1"/>
          <w:numId w:val="16"/>
        </w:numPr>
        <w:ind w:left="1418"/>
      </w:pPr>
      <w:r w:rsidRPr="005802E9">
        <w:t xml:space="preserve">The resubmission did not consider additional uptake from the private prescription market for pimecrolimus or over the counter (OTC) TCS; </w:t>
      </w:r>
    </w:p>
    <w:p w:rsidR="008E4B6A" w:rsidRPr="005802E9" w:rsidRDefault="008E4B6A" w:rsidP="00C80D49">
      <w:pPr>
        <w:pStyle w:val="ExecSumBodyText"/>
        <w:numPr>
          <w:ilvl w:val="0"/>
          <w:numId w:val="16"/>
        </w:numPr>
        <w:ind w:left="993" w:hanging="284"/>
      </w:pPr>
      <w:r w:rsidRPr="005802E9">
        <w:lastRenderedPageBreak/>
        <w:t xml:space="preserve">The economic model used to calculate time on treatment was complex and assumptions of the model were flawed. The commentary noted the model did not account for the relapsing and remitting nature of the disease. The </w:t>
      </w:r>
      <w:r w:rsidR="00003678" w:rsidRPr="005802E9">
        <w:t>pre-PBAC response</w:t>
      </w:r>
      <w:r w:rsidRPr="005802E9">
        <w:t xml:space="preserve"> claimed the model did account for the relapsing and remitting nature, </w:t>
      </w:r>
      <w:r w:rsidR="00003678" w:rsidRPr="005802E9">
        <w:t>as the model used outcomes from AD-303, in which patients used crisaborole intermittently</w:t>
      </w:r>
      <w:r w:rsidRPr="005802E9">
        <w:t>;</w:t>
      </w:r>
    </w:p>
    <w:p w:rsidR="00F5026A" w:rsidRPr="005802E9" w:rsidRDefault="00F5026A" w:rsidP="00C80D49">
      <w:pPr>
        <w:pStyle w:val="ExecSumBodyText"/>
        <w:numPr>
          <w:ilvl w:val="0"/>
          <w:numId w:val="16"/>
        </w:numPr>
        <w:ind w:left="993" w:hanging="284"/>
        <w:rPr>
          <w:snapToGrid/>
        </w:rPr>
      </w:pPr>
      <w:r w:rsidRPr="005802E9">
        <w:rPr>
          <w:snapToGrid/>
        </w:rPr>
        <w:t xml:space="preserve">The PBAC </w:t>
      </w:r>
      <w:r w:rsidR="005802E9" w:rsidRPr="005802E9">
        <w:rPr>
          <w:snapToGrid/>
        </w:rPr>
        <w:t>previously</w:t>
      </w:r>
      <w:r w:rsidRPr="005802E9">
        <w:rPr>
          <w:snapToGrid/>
        </w:rPr>
        <w:t xml:space="preserve"> considered there would be a high likelihood of leakage for use outside the requested restriction, in younger patients (under 2 years of age), those with severe disease and as first-line therapy in those not contraindicated to topical steroids. DUSC considered steroid phobia may contribute to use outside of the requested restriction in the first line setting; and </w:t>
      </w:r>
    </w:p>
    <w:p w:rsidR="008E4B6A" w:rsidRPr="005802E9" w:rsidRDefault="00B67079" w:rsidP="00C80D49">
      <w:pPr>
        <w:pStyle w:val="ExecSumBodyText"/>
        <w:numPr>
          <w:ilvl w:val="0"/>
          <w:numId w:val="16"/>
        </w:numPr>
        <w:ind w:left="993" w:hanging="284"/>
      </w:pPr>
      <w:r w:rsidRPr="005802E9">
        <w:t>Overall, t</w:t>
      </w:r>
      <w:r w:rsidR="008E4B6A" w:rsidRPr="005802E9">
        <w:t>here was very limited evidence to guide estimates. The resubmission only included one Australian GP study, commissioned market research and a poorly detailed analysis of the PBS 10% sample</w:t>
      </w:r>
      <w:r w:rsidRPr="005802E9">
        <w:t>.</w:t>
      </w:r>
    </w:p>
    <w:p w:rsidR="007B2608" w:rsidRPr="005802E9" w:rsidRDefault="007B2608" w:rsidP="007B2608">
      <w:pPr>
        <w:pStyle w:val="ExecSumBodyText"/>
        <w:numPr>
          <w:ilvl w:val="1"/>
          <w:numId w:val="1"/>
        </w:numPr>
        <w:spacing w:after="0"/>
      </w:pPr>
      <w:r w:rsidRPr="005802E9">
        <w:t xml:space="preserve">The </w:t>
      </w:r>
      <w:r w:rsidR="00B67079" w:rsidRPr="005802E9">
        <w:t xml:space="preserve">evaluation noted the following additional areas of uncertainty in the </w:t>
      </w:r>
      <w:r w:rsidRPr="005802E9">
        <w:t>utilisation/financial estimates for crisaborole:</w:t>
      </w:r>
    </w:p>
    <w:p w:rsidR="007B2608" w:rsidRPr="005802E9" w:rsidRDefault="007B2608" w:rsidP="00C80D49">
      <w:pPr>
        <w:pStyle w:val="ListParagraph"/>
        <w:numPr>
          <w:ilvl w:val="0"/>
          <w:numId w:val="8"/>
        </w:numPr>
        <w:ind w:left="1080"/>
      </w:pPr>
      <w:r w:rsidRPr="005802E9">
        <w:t>The estimates were largely based on the model and inputs imported from the economic evaluation, and therefore incorporate all issues of concern with the model structure and transition probabilities;</w:t>
      </w:r>
    </w:p>
    <w:p w:rsidR="007B2608" w:rsidRPr="005802E9" w:rsidRDefault="007B2608" w:rsidP="00C80D49">
      <w:pPr>
        <w:pStyle w:val="ListParagraph"/>
        <w:numPr>
          <w:ilvl w:val="0"/>
          <w:numId w:val="8"/>
        </w:numPr>
        <w:ind w:left="1080"/>
      </w:pPr>
      <w:r w:rsidRPr="005802E9">
        <w:t>There was a calculation error in the resubmission for yearly estimates of patients initiating therapy, leading to a loss of 8% of the incident population each year. This error was not corrected during the evaluation due to complexities with the assumed transition probabilities and cohort model structure used in the resubmission;</w:t>
      </w:r>
    </w:p>
    <w:p w:rsidR="007B2608" w:rsidRPr="005802E9" w:rsidRDefault="007B2608" w:rsidP="00C80D49">
      <w:pPr>
        <w:pStyle w:val="ListParagraph"/>
        <w:numPr>
          <w:ilvl w:val="0"/>
          <w:numId w:val="8"/>
        </w:numPr>
        <w:ind w:left="1080"/>
      </w:pPr>
      <w:r w:rsidRPr="005802E9">
        <w:t>The resubmission assumed all patients initiating treatment received 12 weeks of ongoing initial therapy regardless of treatment response (i.e. 3 initial scripts per patient). This assumption was unlikely to be representative of practice;</w:t>
      </w:r>
    </w:p>
    <w:p w:rsidR="007B2608" w:rsidRPr="005802E9" w:rsidRDefault="007B2608" w:rsidP="00C80D49">
      <w:pPr>
        <w:pStyle w:val="ListParagraph"/>
        <w:numPr>
          <w:ilvl w:val="0"/>
          <w:numId w:val="8"/>
        </w:numPr>
        <w:ind w:left="1080"/>
      </w:pPr>
      <w:r w:rsidRPr="005802E9">
        <w:t xml:space="preserve">The estimated number of continuing scripts of crisaborole was based on assumed use of 12 scripts per patient-year in the ISGA 2+ on-treatment health state (i.e. 1 script of 60 g per 4-week treatment period). This assumption was inadequately justified and inconsistent with average use reported in the key trials (170 g per 4 weeks) and extension study (120 g per 4 weeks); and </w:t>
      </w:r>
    </w:p>
    <w:p w:rsidR="007B2608" w:rsidRPr="005802E9" w:rsidRDefault="007B2608" w:rsidP="00C80D49">
      <w:pPr>
        <w:pStyle w:val="ListParagraph"/>
        <w:numPr>
          <w:ilvl w:val="0"/>
          <w:numId w:val="8"/>
        </w:numPr>
        <w:spacing w:after="120"/>
        <w:ind w:left="1077" w:hanging="357"/>
      </w:pPr>
      <w:r w:rsidRPr="005802E9">
        <w:t xml:space="preserve">Cost-offsets due to substitution of pimecrolimus were uncertain. The market size for pimecrolimus was estimated based on a constant growth rate that may not account for changing market dynamics over time. </w:t>
      </w:r>
    </w:p>
    <w:p w:rsidR="00003678" w:rsidRPr="005802E9" w:rsidRDefault="007B2608" w:rsidP="00003678">
      <w:pPr>
        <w:pStyle w:val="ExecSumBodyText"/>
        <w:numPr>
          <w:ilvl w:val="1"/>
          <w:numId w:val="1"/>
        </w:numPr>
      </w:pPr>
      <w:r w:rsidRPr="005802E9">
        <w:t xml:space="preserve">Overall, the </w:t>
      </w:r>
      <w:r w:rsidR="0096366E" w:rsidRPr="005802E9">
        <w:t xml:space="preserve">evaluation considered the </w:t>
      </w:r>
      <w:r w:rsidRPr="005802E9">
        <w:t>results of the budget impact analysis should not be considered reliable due to major concerns with the approach, inputs and assumptions used in the resubmission. The evaluation</w:t>
      </w:r>
      <w:r w:rsidR="00003678" w:rsidRPr="005802E9">
        <w:t xml:space="preserve"> identified issues with the financial estimates (assumed pathways and absorbing states in the estimates, the overall average scripts per patient</w:t>
      </w:r>
      <w:r w:rsidRPr="005802E9">
        <w:t xml:space="preserve">, </w:t>
      </w:r>
      <w:r w:rsidR="00003678" w:rsidRPr="005802E9">
        <w:t xml:space="preserve">and declining year to year growth rate) </w:t>
      </w:r>
      <w:r w:rsidRPr="005802E9">
        <w:t>which suggest that the results do not meet face validity</w:t>
      </w:r>
      <w:r w:rsidR="00003678" w:rsidRPr="005802E9">
        <w:t xml:space="preserve">. </w:t>
      </w:r>
    </w:p>
    <w:p w:rsidR="0023792B" w:rsidRPr="005802E9" w:rsidRDefault="0023792B" w:rsidP="00003678">
      <w:pPr>
        <w:pStyle w:val="ExecSumBodyText"/>
        <w:numPr>
          <w:ilvl w:val="1"/>
          <w:numId w:val="1"/>
        </w:numPr>
      </w:pPr>
      <w:r w:rsidRPr="005802E9">
        <w:lastRenderedPageBreak/>
        <w:t>The pre-PBAC response presented revised estimates</w:t>
      </w:r>
      <w:r w:rsidR="00003678" w:rsidRPr="005802E9">
        <w:t xml:space="preserve">, correcting errors </w:t>
      </w:r>
      <w:r w:rsidR="009E771D" w:rsidRPr="005802E9">
        <w:t xml:space="preserve">in transition probabilities and calculation of prescriptions </w:t>
      </w:r>
      <w:r w:rsidR="00003678" w:rsidRPr="005802E9">
        <w:t xml:space="preserve">identified in the evaluation and </w:t>
      </w:r>
      <w:r w:rsidRPr="005802E9">
        <w:t>account</w:t>
      </w:r>
      <w:r w:rsidR="00003678" w:rsidRPr="005802E9">
        <w:t>ing</w:t>
      </w:r>
      <w:r w:rsidRPr="005802E9">
        <w:t xml:space="preserve"> for </w:t>
      </w:r>
      <w:r w:rsidR="00003678" w:rsidRPr="005802E9">
        <w:t>additional patients from the prevalent population</w:t>
      </w:r>
      <w:r w:rsidRPr="005802E9">
        <w:t xml:space="preserve">. The </w:t>
      </w:r>
      <w:r w:rsidR="00003678" w:rsidRPr="005802E9">
        <w:t xml:space="preserve">revised </w:t>
      </w:r>
      <w:r w:rsidRPr="005802E9">
        <w:t xml:space="preserve">cost to the PBS/RPBS </w:t>
      </w:r>
      <w:r w:rsidR="00003678" w:rsidRPr="005802E9">
        <w:t>was</w:t>
      </w:r>
      <w:r w:rsidRPr="005802E9">
        <w:t xml:space="preserve"> $</w:t>
      </w:r>
      <w:r w:rsidR="009D1601">
        <w:t>10 to &lt;$20</w:t>
      </w:r>
      <w:r w:rsidRPr="005802E9">
        <w:t xml:space="preserve"> million in year 1 increasing to $</w:t>
      </w:r>
      <w:r w:rsidR="009D1601">
        <w:t xml:space="preserve">30 to &lt;$40 </w:t>
      </w:r>
      <w:r w:rsidRPr="005802E9">
        <w:t>million in year 4 and then decreasing again</w:t>
      </w:r>
      <w:r w:rsidR="00003678" w:rsidRPr="005802E9">
        <w:t xml:space="preserve"> to $</w:t>
      </w:r>
      <w:r w:rsidR="009D1601">
        <w:t>20 to &lt;$30</w:t>
      </w:r>
      <w:r w:rsidR="00003678" w:rsidRPr="005802E9">
        <w:t xml:space="preserve"> million in year 6</w:t>
      </w:r>
      <w:r w:rsidRPr="005802E9">
        <w:t>, with a total of $</w:t>
      </w:r>
      <w:r w:rsidR="009D1601">
        <w:t>100 to &lt;$200</w:t>
      </w:r>
      <w:r w:rsidRPr="005802E9">
        <w:t xml:space="preserve"> million over the first 6 years. </w:t>
      </w:r>
    </w:p>
    <w:p w:rsidR="007B2608" w:rsidRPr="005802E9" w:rsidRDefault="007B2608" w:rsidP="007B2608">
      <w:pPr>
        <w:pStyle w:val="3-SubsectionHeading"/>
      </w:pPr>
      <w:r w:rsidRPr="005802E9">
        <w:t>Quality Use of Medicines</w:t>
      </w:r>
    </w:p>
    <w:p w:rsidR="007B2608" w:rsidRPr="005802E9" w:rsidRDefault="009E771D" w:rsidP="007B2608">
      <w:pPr>
        <w:pStyle w:val="ExecSumBodyText"/>
        <w:numPr>
          <w:ilvl w:val="1"/>
          <w:numId w:val="1"/>
        </w:numPr>
      </w:pPr>
      <w:r w:rsidRPr="005802E9">
        <w:t>The Pre-PBAC response proposed that the sponsor would undertake QUM initiatives to address the potential for use of crisaborole in substitution for TCS, which is not the intent of the proposed restriction.</w:t>
      </w:r>
    </w:p>
    <w:p w:rsidR="00576972" w:rsidRPr="005802E9" w:rsidRDefault="00576972" w:rsidP="00606FBA">
      <w:pPr>
        <w:pStyle w:val="3-SubsectionHeading"/>
      </w:pPr>
      <w:bookmarkStart w:id="27" w:name="_Toc22897649"/>
      <w:bookmarkStart w:id="28" w:name="_Toc50995100"/>
      <w:r w:rsidRPr="005802E9">
        <w:t>Financial Management – Risk Sharing Arrangements</w:t>
      </w:r>
      <w:bookmarkEnd w:id="27"/>
      <w:bookmarkEnd w:id="28"/>
    </w:p>
    <w:p w:rsidR="00576972" w:rsidRPr="005802E9" w:rsidRDefault="000700E9" w:rsidP="00076B24">
      <w:pPr>
        <w:pStyle w:val="ExecSumBodyText"/>
      </w:pPr>
      <w:r w:rsidRPr="005802E9">
        <w:t>In November 2018, the PBAC agreed with the sponsor (as noted in the pre-PBAC response) that a risk-sharing agreement would be required to address the likelihood of leakage outside the restriction (paragraph 7.11, crisaborole, Public Summary Document, November 2018 PBAC meeting).</w:t>
      </w:r>
    </w:p>
    <w:p w:rsidR="000700E9" w:rsidRPr="005802E9" w:rsidRDefault="000700E9" w:rsidP="000700E9">
      <w:pPr>
        <w:pStyle w:val="ExecSumBodyText"/>
        <w:spacing w:after="0"/>
      </w:pPr>
      <w:r w:rsidRPr="005802E9">
        <w:t>The resubmission argued that the proposed initial and continuing restrictions limit the use of crisaborole to patients with mild to moderate atopic dermatitis based on the description of symptoms in the clinical criteria. However, the sponsor acknowledged the potential for leakage of use outside of the proposed restriction due to the degree of subjectivity in the assessment of disease severity. To address this uncertainty, the sponsor proposed a financial cap based on the following:</w:t>
      </w:r>
    </w:p>
    <w:p w:rsidR="000700E9" w:rsidRPr="005802E9" w:rsidRDefault="000700E9" w:rsidP="00C80D49">
      <w:pPr>
        <w:pStyle w:val="ExecSumBodyText"/>
        <w:numPr>
          <w:ilvl w:val="0"/>
          <w:numId w:val="9"/>
        </w:numPr>
        <w:spacing w:after="0"/>
      </w:pPr>
      <w:r w:rsidRPr="005802E9">
        <w:t>the estimated number of patients with mild to moderate disease who are treated with crisaborole; and</w:t>
      </w:r>
    </w:p>
    <w:p w:rsidR="000700E9" w:rsidRPr="005802E9" w:rsidRDefault="000700E9" w:rsidP="00C80D49">
      <w:pPr>
        <w:pStyle w:val="ExecSumBodyText"/>
        <w:numPr>
          <w:ilvl w:val="0"/>
          <w:numId w:val="9"/>
        </w:numPr>
      </w:pPr>
      <w:r w:rsidRPr="005802E9">
        <w:t xml:space="preserve">the estimated rate of continued use in patients who achieve clearance or near clearance of symptoms (ISGA 0 or 1). </w:t>
      </w:r>
    </w:p>
    <w:p w:rsidR="000700E9" w:rsidRPr="005802E9" w:rsidRDefault="000700E9" w:rsidP="000700E9">
      <w:pPr>
        <w:pStyle w:val="ExecSumBodyText"/>
      </w:pPr>
      <w:r w:rsidRPr="005802E9">
        <w:t xml:space="preserve">The sponsor </w:t>
      </w:r>
      <w:r w:rsidR="001322CF">
        <w:t>proposed</w:t>
      </w:r>
      <w:r w:rsidRPr="005802E9">
        <w:t xml:space="preserve"> to rebate the Government for use of crisaborole in excess of these estimates. Detailed estimates for the proposed caps were not presented in the resubmission.</w:t>
      </w:r>
      <w:r w:rsidR="00F54BA0" w:rsidRPr="005802E9">
        <w:t xml:space="preserve"> The ESC considered there is only a very small proportion of the AD population unable to be treated with TCS where they are used appropriately. The ESC considered that additional data may be required to characterise this population accurately and the</w:t>
      </w:r>
      <w:r w:rsidR="0092469A" w:rsidRPr="005802E9">
        <w:t xml:space="preserve"> </w:t>
      </w:r>
      <w:r w:rsidR="009C4249" w:rsidRPr="005802E9">
        <w:t>financial</w:t>
      </w:r>
      <w:r w:rsidR="00F54BA0" w:rsidRPr="005802E9">
        <w:t xml:space="preserve"> risk of use outside this small</w:t>
      </w:r>
      <w:r w:rsidR="0092469A" w:rsidRPr="005802E9">
        <w:t>,</w:t>
      </w:r>
      <w:r w:rsidR="00F54BA0" w:rsidRPr="005802E9">
        <w:t xml:space="preserve"> intended population would need to be addressed with the RSA.</w:t>
      </w:r>
    </w:p>
    <w:p w:rsidR="007B2608" w:rsidRPr="005802E9" w:rsidRDefault="007B2608" w:rsidP="000047EC">
      <w:pPr>
        <w:pStyle w:val="Commentitalics"/>
        <w:ind w:firstLine="720"/>
        <w:rPr>
          <w:snapToGrid w:val="0"/>
        </w:rPr>
      </w:pPr>
      <w:bookmarkStart w:id="29" w:name="_Toc50995102"/>
      <w:r w:rsidRPr="005802E9">
        <w:t>For more detail on PBAC’s view, see section 7 PBAC outcome.</w:t>
      </w:r>
    </w:p>
    <w:p w:rsidR="00A80AF4" w:rsidRPr="005802E9" w:rsidRDefault="00A80AF4" w:rsidP="000047EC">
      <w:pPr>
        <w:pStyle w:val="2-SectionHeading"/>
        <w:numPr>
          <w:ilvl w:val="0"/>
          <w:numId w:val="1"/>
        </w:numPr>
      </w:pPr>
      <w:r w:rsidRPr="005802E9">
        <w:t>PBAC Outcome</w:t>
      </w:r>
    </w:p>
    <w:p w:rsidR="000047EC" w:rsidRPr="005802E9" w:rsidRDefault="00A80AF4" w:rsidP="000047EC">
      <w:pPr>
        <w:pStyle w:val="ExecSumBodyText"/>
      </w:pPr>
      <w:r w:rsidRPr="005802E9">
        <w:rPr>
          <w:bCs/>
        </w:rPr>
        <w:t>The PBAC did not recommend</w:t>
      </w:r>
      <w:r w:rsidR="000047EC" w:rsidRPr="005802E9">
        <w:rPr>
          <w:bCs/>
        </w:rPr>
        <w:t xml:space="preserve"> crisaborole for mild to moderate atopic dermatitis </w:t>
      </w:r>
      <w:r w:rsidR="00F5026A" w:rsidRPr="005802E9">
        <w:rPr>
          <w:bCs/>
        </w:rPr>
        <w:t xml:space="preserve">in patients </w:t>
      </w:r>
      <w:r w:rsidR="000047EC" w:rsidRPr="005802E9">
        <w:t>who have failed to achieve satisfactory disease control with, are contraindicated</w:t>
      </w:r>
      <w:r w:rsidR="00F5026A" w:rsidRPr="005802E9">
        <w:t xml:space="preserve"> to</w:t>
      </w:r>
      <w:r w:rsidR="000047EC" w:rsidRPr="005802E9">
        <w:t>, or intolerant to topical corticosteroids</w:t>
      </w:r>
      <w:r w:rsidR="006C57EA">
        <w:t xml:space="preserve"> (TCS)</w:t>
      </w:r>
      <w:r w:rsidR="000047EC" w:rsidRPr="005802E9">
        <w:t xml:space="preserve">. </w:t>
      </w:r>
      <w:r w:rsidR="001322CF">
        <w:t>The PBAC considered</w:t>
      </w:r>
      <w:r w:rsidR="0096366E" w:rsidRPr="005802E9">
        <w:t xml:space="preserve"> </w:t>
      </w:r>
      <w:r w:rsidR="006C57EA">
        <w:t>TCS</w:t>
      </w:r>
      <w:r w:rsidR="0096366E" w:rsidRPr="005802E9">
        <w:t xml:space="preserve"> are effective </w:t>
      </w:r>
      <w:r w:rsidR="006C57EA">
        <w:t xml:space="preserve">in patients with </w:t>
      </w:r>
      <w:r w:rsidR="006C57EA" w:rsidRPr="005802E9">
        <w:t xml:space="preserve">mild to moderate disease </w:t>
      </w:r>
      <w:r w:rsidR="0096366E" w:rsidRPr="005802E9">
        <w:t>when used appropriately</w:t>
      </w:r>
      <w:r w:rsidR="006C57EA">
        <w:t xml:space="preserve">, </w:t>
      </w:r>
      <w:r w:rsidR="006C57EA">
        <w:lastRenderedPageBreak/>
        <w:t>and hence there is a low clinical need for crisaborole</w:t>
      </w:r>
      <w:r w:rsidR="0096366E" w:rsidRPr="005802E9">
        <w:t xml:space="preserve">. The PBAC considered that </w:t>
      </w:r>
      <w:r w:rsidR="006C57EA">
        <w:t xml:space="preserve">the </w:t>
      </w:r>
      <w:r w:rsidR="0096366E" w:rsidRPr="005802E9">
        <w:t xml:space="preserve">cost-effectiveness </w:t>
      </w:r>
      <w:r w:rsidR="006C57EA">
        <w:t>of crisaborole</w:t>
      </w:r>
      <w:r w:rsidR="0096366E" w:rsidRPr="005802E9">
        <w:t xml:space="preserve"> </w:t>
      </w:r>
      <w:r w:rsidR="00511FB1" w:rsidRPr="005802E9">
        <w:t xml:space="preserve">remained highly uncertain. The PBAC considered </w:t>
      </w:r>
      <w:r w:rsidR="0096366E" w:rsidRPr="005802E9">
        <w:t>that the intended population was likely to be</w:t>
      </w:r>
      <w:r w:rsidR="006C57EA">
        <w:t xml:space="preserve"> relatively small, however there was a high risk of use in a broader population</w:t>
      </w:r>
      <w:r w:rsidR="00511FB1" w:rsidRPr="005802E9">
        <w:t>, resulting in increased financial cost.</w:t>
      </w:r>
      <w:r w:rsidR="000047EC" w:rsidRPr="005802E9">
        <w:rPr>
          <w:bCs/>
        </w:rPr>
        <w:t xml:space="preserve"> </w:t>
      </w:r>
    </w:p>
    <w:p w:rsidR="002A7F68" w:rsidRPr="005802E9" w:rsidRDefault="000047EC" w:rsidP="000047EC">
      <w:pPr>
        <w:pStyle w:val="ExecSumBodyText"/>
        <w:rPr>
          <w:rStyle w:val="ExecSumBodyTextChar"/>
        </w:rPr>
      </w:pPr>
      <w:r w:rsidRPr="005802E9">
        <w:rPr>
          <w:rStyle w:val="ExecSumBodyTextChar"/>
        </w:rPr>
        <w:t xml:space="preserve">The requested indication for a subset of patients who are failing, are intolerant or contraindicated to </w:t>
      </w:r>
      <w:r w:rsidR="006C57EA">
        <w:rPr>
          <w:rStyle w:val="ExecSumBodyTextChar"/>
        </w:rPr>
        <w:t>TCS</w:t>
      </w:r>
      <w:r w:rsidRPr="005802E9">
        <w:rPr>
          <w:rStyle w:val="ExecSumBodyTextChar"/>
        </w:rPr>
        <w:t xml:space="preserve"> is narrower than the TGA indication and clinical evidence that </w:t>
      </w:r>
      <w:r w:rsidR="006C57EA">
        <w:rPr>
          <w:rStyle w:val="ExecSumBodyTextChar"/>
        </w:rPr>
        <w:t>included a</w:t>
      </w:r>
      <w:r w:rsidRPr="005802E9">
        <w:rPr>
          <w:rStyle w:val="ExecSumBodyTextChar"/>
        </w:rPr>
        <w:t xml:space="preserve"> broader atopic dermatitis population. </w:t>
      </w:r>
      <w:r w:rsidR="00432EBF" w:rsidRPr="005802E9">
        <w:t xml:space="preserve">The PBAC </w:t>
      </w:r>
      <w:r w:rsidR="008E2357" w:rsidRPr="005802E9">
        <w:t>noted</w:t>
      </w:r>
      <w:r w:rsidR="00432EBF" w:rsidRPr="005802E9">
        <w:t xml:space="preserve"> that patients frequently do not receive an adequate level of standard care, including adequate use of TCS, despite adverse events associated with TCS being very rare. </w:t>
      </w:r>
      <w:r w:rsidR="008E2357" w:rsidRPr="005802E9">
        <w:t xml:space="preserve">The PBAC considered that it would be unusual for patients with mild to moderate AD to have an inadequate response to TCS when appropriate dosages and durations are used </w:t>
      </w:r>
      <w:r w:rsidR="00432EBF" w:rsidRPr="005802E9">
        <w:t>and as such, the clinical need for crisaborole is low.</w:t>
      </w:r>
      <w:r w:rsidR="006E08FD" w:rsidRPr="005802E9">
        <w:t xml:space="preserve"> The PBAC considered that there may be a clinical place for crisaborole as</w:t>
      </w:r>
      <w:r w:rsidR="006E08FD" w:rsidRPr="005802E9">
        <w:rPr>
          <w:bCs/>
        </w:rPr>
        <w:t xml:space="preserve"> an alternative to pimecrolimus for treatment in sensitive and thin skin areas such as face and eyelids.</w:t>
      </w:r>
    </w:p>
    <w:p w:rsidR="000047EC" w:rsidRPr="005802E9" w:rsidRDefault="000047EC" w:rsidP="000047EC">
      <w:pPr>
        <w:pStyle w:val="ExecSumBodyText"/>
        <w:rPr>
          <w:rStyle w:val="ExecSumBodyTextChar"/>
        </w:rPr>
      </w:pPr>
      <w:r w:rsidRPr="005802E9">
        <w:rPr>
          <w:rStyle w:val="ExecSumBodyTextChar"/>
        </w:rPr>
        <w:t xml:space="preserve">The </w:t>
      </w:r>
      <w:r w:rsidR="00475E04" w:rsidRPr="005802E9">
        <w:rPr>
          <w:rStyle w:val="ExecSumBodyTextChar"/>
        </w:rPr>
        <w:t xml:space="preserve">PBAC </w:t>
      </w:r>
      <w:r w:rsidRPr="005802E9">
        <w:rPr>
          <w:rStyle w:val="ExecSumBodyTextChar"/>
        </w:rPr>
        <w:t xml:space="preserve">noted the </w:t>
      </w:r>
      <w:r w:rsidR="00475E04" w:rsidRPr="005802E9">
        <w:rPr>
          <w:rStyle w:val="ExecSumBodyTextChar"/>
        </w:rPr>
        <w:t xml:space="preserve">resubmission’s proposed </w:t>
      </w:r>
      <w:r w:rsidRPr="005802E9">
        <w:rPr>
          <w:rStyle w:val="ExecSumBodyTextChar"/>
        </w:rPr>
        <w:t xml:space="preserve">changes to restrictions but considered further </w:t>
      </w:r>
      <w:r w:rsidR="008E2357" w:rsidRPr="005802E9">
        <w:rPr>
          <w:rStyle w:val="ExecSumBodyTextChar"/>
        </w:rPr>
        <w:t xml:space="preserve">refinement and </w:t>
      </w:r>
      <w:r w:rsidRPr="005802E9">
        <w:rPr>
          <w:rStyle w:val="ExecSumBodyTextChar"/>
        </w:rPr>
        <w:t>clarification of the intended treatment population was required</w:t>
      </w:r>
      <w:r w:rsidR="00475E04" w:rsidRPr="005802E9">
        <w:rPr>
          <w:rStyle w:val="ExecSumBodyTextChar"/>
        </w:rPr>
        <w:t xml:space="preserve"> in terms of defining TCS failure, intolerance and contraindication</w:t>
      </w:r>
      <w:r w:rsidRPr="005802E9">
        <w:rPr>
          <w:rStyle w:val="ExecSumBodyTextChar"/>
        </w:rPr>
        <w:t xml:space="preserve">. The </w:t>
      </w:r>
      <w:r w:rsidR="00475E04" w:rsidRPr="005802E9">
        <w:rPr>
          <w:rStyle w:val="ExecSumBodyTextChar"/>
        </w:rPr>
        <w:t>PBAC</w:t>
      </w:r>
      <w:r w:rsidRPr="005802E9">
        <w:rPr>
          <w:rStyle w:val="ExecSumBodyTextChar"/>
        </w:rPr>
        <w:t xml:space="preserve"> considered that even with </w:t>
      </w:r>
      <w:r w:rsidR="00475E04" w:rsidRPr="005802E9">
        <w:rPr>
          <w:rStyle w:val="ExecSumBodyTextChar"/>
        </w:rPr>
        <w:t>changes to restriction wording</w:t>
      </w:r>
      <w:r w:rsidRPr="005802E9">
        <w:rPr>
          <w:rStyle w:val="ExecSumBodyTextChar"/>
        </w:rPr>
        <w:t xml:space="preserve"> there would remain a significant risk of initiation of treatment outside the intended use due to i) inadequate TCS trial or ii) inappropriately high patient or </w:t>
      </w:r>
      <w:r w:rsidR="00DD5B1B">
        <w:rPr>
          <w:rStyle w:val="ExecSumBodyTextChar"/>
        </w:rPr>
        <w:t>clinician</w:t>
      </w:r>
      <w:r w:rsidR="00DD5B1B" w:rsidRPr="005802E9">
        <w:rPr>
          <w:rStyle w:val="ExecSumBodyTextChar"/>
        </w:rPr>
        <w:t xml:space="preserve"> </w:t>
      </w:r>
      <w:r w:rsidRPr="005802E9">
        <w:rPr>
          <w:rStyle w:val="ExecSumBodyTextChar"/>
        </w:rPr>
        <w:t xml:space="preserve">perception of risks associated with TCS. </w:t>
      </w:r>
      <w:r w:rsidR="00475E04" w:rsidRPr="005802E9">
        <w:t xml:space="preserve">The PBAC </w:t>
      </w:r>
      <w:r w:rsidR="008E2357" w:rsidRPr="005802E9">
        <w:t>noted</w:t>
      </w:r>
      <w:r w:rsidR="00475E04" w:rsidRPr="005802E9">
        <w:t xml:space="preserve"> that use of crisaborole consistent with the proposed restriction is predicated on appropriate use of TCS</w:t>
      </w:r>
      <w:r w:rsidR="001322CF">
        <w:t>,</w:t>
      </w:r>
      <w:r w:rsidR="00475E04" w:rsidRPr="005802E9">
        <w:t xml:space="preserve"> which would require significant additional resources </w:t>
      </w:r>
      <w:r w:rsidR="00DD5B1B">
        <w:t>for</w:t>
      </w:r>
      <w:r w:rsidR="00475E04" w:rsidRPr="005802E9">
        <w:t xml:space="preserve"> the re-education of the large and diverse prescriber base and patients to avoid the effects of “steroid phobia”.</w:t>
      </w:r>
    </w:p>
    <w:p w:rsidR="00A80AF4" w:rsidRPr="005802E9" w:rsidRDefault="007B51FB" w:rsidP="00F16CD3">
      <w:pPr>
        <w:pStyle w:val="ExecSumBodyText"/>
      </w:pPr>
      <w:r w:rsidRPr="005802E9">
        <w:t xml:space="preserve">The PBAC previously accepted pimecrolimus was the appropriate comparator for </w:t>
      </w:r>
      <w:r w:rsidR="0023792B" w:rsidRPr="005802E9">
        <w:t xml:space="preserve">the </w:t>
      </w:r>
      <w:r w:rsidRPr="005802E9">
        <w:t xml:space="preserve">face and eyelids </w:t>
      </w:r>
      <w:r w:rsidR="009367DC" w:rsidRPr="005802E9">
        <w:t>(paragraph 7.5, crisaborole, PSD, November 2018 PBAC meeting</w:t>
      </w:r>
      <w:r w:rsidRPr="005802E9">
        <w:t xml:space="preserve">). For the rest of the body, the resubmission nominated standard management as the comparator. The resubmission argued that it is not intended for crisaborole to replace TCS use when TCS is effective, including intermittent TCS use. The PBAC previously considered that </w:t>
      </w:r>
      <w:r w:rsidR="00CD6A65" w:rsidRPr="005802E9">
        <w:t>TCS</w:t>
      </w:r>
      <w:r w:rsidRPr="005802E9">
        <w:t xml:space="preserve"> should also be included as a comparator (paragraph 7.5, crisaborole, PSD, November 2018 PBAC meeting). </w:t>
      </w:r>
      <w:r w:rsidR="000047EC" w:rsidRPr="005802E9">
        <w:t xml:space="preserve">The </w:t>
      </w:r>
      <w:r w:rsidR="00475E04" w:rsidRPr="005802E9">
        <w:t>PBAC</w:t>
      </w:r>
      <w:r w:rsidR="000047EC" w:rsidRPr="005802E9">
        <w:t xml:space="preserve"> considered that despite the </w:t>
      </w:r>
      <w:r w:rsidR="00475E04" w:rsidRPr="005802E9">
        <w:t xml:space="preserve">intention </w:t>
      </w:r>
      <w:r w:rsidR="000047EC" w:rsidRPr="005802E9">
        <w:t xml:space="preserve">of the </w:t>
      </w:r>
      <w:r w:rsidR="0023792B" w:rsidRPr="005802E9">
        <w:t xml:space="preserve">resubmission and the proposed </w:t>
      </w:r>
      <w:r w:rsidR="000047EC" w:rsidRPr="005802E9">
        <w:t xml:space="preserve">restriction, there is a </w:t>
      </w:r>
      <w:r w:rsidR="00475E04" w:rsidRPr="005802E9">
        <w:t xml:space="preserve">substantial </w:t>
      </w:r>
      <w:r w:rsidR="000047EC" w:rsidRPr="005802E9">
        <w:t>risk that prescribers</w:t>
      </w:r>
      <w:r w:rsidR="00475E04" w:rsidRPr="005802E9">
        <w:t xml:space="preserve"> and patients</w:t>
      </w:r>
      <w:r w:rsidR="000047EC" w:rsidRPr="005802E9">
        <w:t xml:space="preserve"> will perceive crisaborole as a steroid sparer/alternative. </w:t>
      </w:r>
      <w:r w:rsidR="00475E04" w:rsidRPr="005802E9">
        <w:t>When used in this way, TCS</w:t>
      </w:r>
      <w:r w:rsidR="000A177E" w:rsidRPr="005802E9">
        <w:t xml:space="preserve"> would be a relevant comparator. </w:t>
      </w:r>
      <w:r w:rsidR="000047EC" w:rsidRPr="005802E9">
        <w:t xml:space="preserve">No evidence </w:t>
      </w:r>
      <w:r w:rsidR="000A177E" w:rsidRPr="005802E9">
        <w:t>was</w:t>
      </w:r>
      <w:r w:rsidR="000047EC" w:rsidRPr="005802E9">
        <w:t xml:space="preserve"> presented in this context, although </w:t>
      </w:r>
      <w:r w:rsidR="00DD5B1B">
        <w:t xml:space="preserve">the PBAC noted </w:t>
      </w:r>
      <w:r w:rsidR="000047EC" w:rsidRPr="005802E9">
        <w:t xml:space="preserve">there are several ongoing trials. </w:t>
      </w:r>
    </w:p>
    <w:p w:rsidR="00F24214" w:rsidRPr="005802E9" w:rsidRDefault="00F24214" w:rsidP="00CD6A65">
      <w:pPr>
        <w:pStyle w:val="Bulletpoints"/>
        <w:numPr>
          <w:ilvl w:val="1"/>
          <w:numId w:val="1"/>
        </w:numPr>
      </w:pPr>
      <w:r w:rsidRPr="005802E9">
        <w:t xml:space="preserve">The PBAC recalled results from the key crisaborole trials, AD-301 and AD-302 were considered at the November 2018 PBAC meeting. </w:t>
      </w:r>
      <w:r w:rsidR="00785943" w:rsidRPr="005802E9">
        <w:t>The PBAC recalled its previous concerns with the robustness of the meta-analysis of the key trials due to heterogeneity, uncertain statistical significance of the efficacy results in the individual trials and modest magnitude of treatment benefit over its vehicle. T</w:t>
      </w:r>
      <w:r w:rsidRPr="005802E9">
        <w:rPr>
          <w:snapToGrid/>
        </w:rPr>
        <w:t xml:space="preserve">he PBAC </w:t>
      </w:r>
      <w:r w:rsidR="00785943" w:rsidRPr="005802E9">
        <w:rPr>
          <w:snapToGrid/>
        </w:rPr>
        <w:t xml:space="preserve">also </w:t>
      </w:r>
      <w:r w:rsidRPr="005802E9">
        <w:rPr>
          <w:snapToGrid/>
        </w:rPr>
        <w:t xml:space="preserve">recalled it had noted the clinical importance of the ISGA endpoint was uncertain </w:t>
      </w:r>
      <w:r w:rsidRPr="005802E9">
        <w:rPr>
          <w:snapToGrid/>
        </w:rPr>
        <w:lastRenderedPageBreak/>
        <w:t>(</w:t>
      </w:r>
      <w:r w:rsidRPr="005802E9">
        <w:rPr>
          <w:szCs w:val="20"/>
        </w:rPr>
        <w:t>paragraph 7.6, crisaborole, PSD, November 2018 PBAC meeting)</w:t>
      </w:r>
      <w:r w:rsidR="00DD5B1B">
        <w:rPr>
          <w:szCs w:val="20"/>
        </w:rPr>
        <w:t>,</w:t>
      </w:r>
      <w:r w:rsidRPr="005802E9">
        <w:rPr>
          <w:szCs w:val="20"/>
        </w:rPr>
        <w:t xml:space="preserve"> and outcomes based on ISGA appeared more subjective than commonly used clinical tools such as</w:t>
      </w:r>
      <w:r w:rsidR="00DD5B1B">
        <w:rPr>
          <w:szCs w:val="20"/>
        </w:rPr>
        <w:t xml:space="preserve"> the</w:t>
      </w:r>
      <w:r w:rsidRPr="005802E9">
        <w:rPr>
          <w:szCs w:val="20"/>
        </w:rPr>
        <w:t xml:space="preserve"> </w:t>
      </w:r>
      <w:r w:rsidRPr="005802E9">
        <w:t xml:space="preserve">Eczema Area and Severity Index (EASI) or SCORing Atopic Dermatitis (SCORAD) </w:t>
      </w:r>
      <w:r w:rsidRPr="005802E9">
        <w:rPr>
          <w:snapToGrid/>
        </w:rPr>
        <w:t>(</w:t>
      </w:r>
      <w:r w:rsidRPr="005802E9">
        <w:rPr>
          <w:szCs w:val="20"/>
        </w:rPr>
        <w:t>paragraph 6.15, crisaborole, PSD, November 2018 PBAC meeting). The PBAC noted that outcomes based on EASI and SCORAD, were not captured in the crisaborole studies.</w:t>
      </w:r>
    </w:p>
    <w:p w:rsidR="008E2357" w:rsidRPr="005802E9" w:rsidRDefault="008E2357" w:rsidP="008E2357">
      <w:pPr>
        <w:pStyle w:val="ExecSumBodyText"/>
        <w:numPr>
          <w:ilvl w:val="1"/>
          <w:numId w:val="1"/>
        </w:numPr>
        <w:spacing w:after="0"/>
      </w:pPr>
      <w:r w:rsidRPr="005802E9">
        <w:t xml:space="preserve">The </w:t>
      </w:r>
      <w:r w:rsidR="00F24214" w:rsidRPr="005802E9">
        <w:t xml:space="preserve">PBAC noted the </w:t>
      </w:r>
      <w:r w:rsidRPr="005802E9">
        <w:t>resubmission included the following analyses of AD-301, AD-302 and AD-303 trial data that have not previously been considered by the PBAC:</w:t>
      </w:r>
    </w:p>
    <w:p w:rsidR="008E2357" w:rsidRPr="005802E9" w:rsidRDefault="008E2357" w:rsidP="008E2357">
      <w:pPr>
        <w:pStyle w:val="ListParagraph"/>
        <w:numPr>
          <w:ilvl w:val="0"/>
          <w:numId w:val="6"/>
        </w:numPr>
      </w:pPr>
      <w:r w:rsidRPr="005802E9">
        <w:t>Post-hoc subgroup analyses by prior TCS use based on the key trials (AD-301, AD-302)</w:t>
      </w:r>
    </w:p>
    <w:p w:rsidR="008E2357" w:rsidRPr="005802E9" w:rsidRDefault="008E2357" w:rsidP="008E2357">
      <w:pPr>
        <w:pStyle w:val="ListParagraph"/>
        <w:numPr>
          <w:ilvl w:val="0"/>
          <w:numId w:val="6"/>
        </w:numPr>
        <w:spacing w:after="120"/>
        <w:ind w:left="1077" w:hanging="357"/>
      </w:pPr>
      <w:r w:rsidRPr="005802E9">
        <w:t>Post-hoc analyses of ISGA scores from the key trials AD-301, AD-302 and the AD-303 safety extension study</w:t>
      </w:r>
      <w:r w:rsidR="00C36ACC">
        <w:t xml:space="preserve"> to assess efficacy with longer-term and intermittent use</w:t>
      </w:r>
      <w:r w:rsidRPr="005802E9">
        <w:t>.</w:t>
      </w:r>
    </w:p>
    <w:p w:rsidR="00785943" w:rsidRPr="005802E9" w:rsidRDefault="00F24214" w:rsidP="00A80AF4">
      <w:pPr>
        <w:widowControl w:val="0"/>
        <w:numPr>
          <w:ilvl w:val="1"/>
          <w:numId w:val="1"/>
        </w:numPr>
        <w:spacing w:after="120"/>
        <w:rPr>
          <w:rFonts w:asciiTheme="minorHAnsi" w:hAnsiTheme="minorHAnsi"/>
          <w:bCs/>
          <w:snapToGrid w:val="0"/>
        </w:rPr>
      </w:pPr>
      <w:r w:rsidRPr="005802E9">
        <w:rPr>
          <w:rFonts w:asciiTheme="minorHAnsi" w:hAnsiTheme="minorHAnsi"/>
          <w:snapToGrid w:val="0"/>
        </w:rPr>
        <w:t xml:space="preserve">The PBAC considered </w:t>
      </w:r>
      <w:r w:rsidR="00FA2D13" w:rsidRPr="005802E9">
        <w:rPr>
          <w:rFonts w:asciiTheme="minorHAnsi" w:hAnsiTheme="minorHAnsi"/>
          <w:snapToGrid w:val="0"/>
        </w:rPr>
        <w:t xml:space="preserve">the </w:t>
      </w:r>
      <w:r w:rsidRPr="005802E9">
        <w:rPr>
          <w:rFonts w:asciiTheme="minorHAnsi" w:hAnsiTheme="minorHAnsi"/>
          <w:snapToGrid w:val="0"/>
        </w:rPr>
        <w:t xml:space="preserve">results based on post-hoc subgroup analyses by prior </w:t>
      </w:r>
      <w:r w:rsidR="00C36ACC">
        <w:rPr>
          <w:rFonts w:asciiTheme="minorHAnsi" w:hAnsiTheme="minorHAnsi"/>
          <w:snapToGrid w:val="0"/>
        </w:rPr>
        <w:t>TCS</w:t>
      </w:r>
      <w:r w:rsidRPr="005802E9">
        <w:rPr>
          <w:rFonts w:asciiTheme="minorHAnsi" w:hAnsiTheme="minorHAnsi"/>
          <w:snapToGrid w:val="0"/>
        </w:rPr>
        <w:t xml:space="preserve"> use may not be generalisable to the requested population</w:t>
      </w:r>
      <w:r w:rsidR="00785943" w:rsidRPr="005802E9">
        <w:rPr>
          <w:rFonts w:asciiTheme="minorHAnsi" w:hAnsiTheme="minorHAnsi"/>
          <w:snapToGrid w:val="0"/>
        </w:rPr>
        <w:t xml:space="preserve"> and noted </w:t>
      </w:r>
      <w:r w:rsidR="00785943" w:rsidRPr="005802E9">
        <w:t>there remains a lack of data specific to the subgroup who are failing, are intolerant or contraindicated to topical corticosteroids</w:t>
      </w:r>
      <w:r w:rsidR="00785943" w:rsidRPr="005802E9">
        <w:rPr>
          <w:rFonts w:asciiTheme="minorHAnsi" w:hAnsiTheme="minorHAnsi"/>
          <w:snapToGrid w:val="0"/>
        </w:rPr>
        <w:t>.</w:t>
      </w:r>
    </w:p>
    <w:p w:rsidR="00785943" w:rsidRPr="005802E9" w:rsidRDefault="00785943" w:rsidP="00785943">
      <w:pPr>
        <w:pStyle w:val="ExecSumBodyText"/>
      </w:pPr>
      <w:r w:rsidRPr="005802E9">
        <w:t>The PBAC considered the post-hoc analysis of the open-label single-arm safety extension study (up to 48 weeks) provide</w:t>
      </w:r>
      <w:r w:rsidR="00C36ACC">
        <w:t>d</w:t>
      </w:r>
      <w:r w:rsidRPr="005802E9">
        <w:t xml:space="preserve"> some reassurance of sustained benefit for real-world intermittent use of crisaborole. However, the PBAC considered these data are confounded by the potentially high risk of bias, use of outcomes not designed for efficacy assessment, applicability concerns (particularly with circumstances of use) and potential confounding due to background therapies and rescue medications.</w:t>
      </w:r>
    </w:p>
    <w:p w:rsidR="003F45DC" w:rsidRPr="005802E9" w:rsidRDefault="003F45DC" w:rsidP="003F45DC">
      <w:pPr>
        <w:pStyle w:val="ExecSumBodyText"/>
        <w:rPr>
          <w:color w:val="0066FF"/>
        </w:rPr>
      </w:pPr>
      <w:r w:rsidRPr="005802E9">
        <w:t xml:space="preserve">The PBAC previously considered that overall the claim of superior effectiveness compared with standard management was not adequately supported by the data. The PBAC considered that the additional analyses presented </w:t>
      </w:r>
      <w:r w:rsidR="00C36ACC">
        <w:t xml:space="preserve">in the resubmission </w:t>
      </w:r>
      <w:r w:rsidRPr="005802E9">
        <w:t xml:space="preserve">did not substantially change </w:t>
      </w:r>
      <w:r w:rsidR="00C36ACC">
        <w:t>this</w:t>
      </w:r>
      <w:r w:rsidR="00C36ACC" w:rsidRPr="005802E9">
        <w:t xml:space="preserve"> </w:t>
      </w:r>
      <w:r w:rsidRPr="005802E9">
        <w:t xml:space="preserve">conclusion due to the limitations described in </w:t>
      </w:r>
      <w:r w:rsidRPr="00F40CEA">
        <w:t>paragraphs 7.</w:t>
      </w:r>
      <w:r w:rsidR="00C36ACC" w:rsidRPr="00F40CEA">
        <w:t>7</w:t>
      </w:r>
      <w:r w:rsidRPr="00F40CEA">
        <w:t xml:space="preserve"> and 7.</w:t>
      </w:r>
      <w:r w:rsidR="00C36ACC" w:rsidRPr="00F40CEA">
        <w:t>8</w:t>
      </w:r>
      <w:r w:rsidR="005802E9">
        <w:t xml:space="preserve">. </w:t>
      </w:r>
      <w:r w:rsidRPr="005802E9">
        <w:rPr>
          <w:lang w:eastAsia="en-US"/>
        </w:rPr>
        <w:t xml:space="preserve">The PBAC considered that the claim of inferior comparative safety </w:t>
      </w:r>
      <w:r w:rsidR="00C36ACC">
        <w:rPr>
          <w:lang w:eastAsia="en-US"/>
        </w:rPr>
        <w:t xml:space="preserve">compared with standard management </w:t>
      </w:r>
      <w:r w:rsidRPr="005802E9">
        <w:rPr>
          <w:lang w:eastAsia="en-US"/>
        </w:rPr>
        <w:t>was reasonable.</w:t>
      </w:r>
    </w:p>
    <w:p w:rsidR="00A80AF4" w:rsidRPr="005802E9" w:rsidRDefault="003F45DC" w:rsidP="00C713FA">
      <w:pPr>
        <w:pStyle w:val="ExecSumBodyText"/>
        <w:rPr>
          <w:lang w:eastAsia="en-US"/>
        </w:rPr>
      </w:pPr>
      <w:r w:rsidRPr="005802E9">
        <w:t xml:space="preserve">The PBAC noted that the </w:t>
      </w:r>
      <w:r w:rsidR="00683C07">
        <w:t xml:space="preserve">indirect </w:t>
      </w:r>
      <w:r w:rsidRPr="005802E9">
        <w:t xml:space="preserve">comparison </w:t>
      </w:r>
      <w:r w:rsidR="00683C07">
        <w:t>versus</w:t>
      </w:r>
      <w:r w:rsidR="00683C07" w:rsidRPr="005802E9">
        <w:t xml:space="preserve"> </w:t>
      </w:r>
      <w:r w:rsidRPr="005802E9">
        <w:t xml:space="preserve">pimecrolimus </w:t>
      </w:r>
      <w:r w:rsidR="00C713FA" w:rsidRPr="005802E9">
        <w:t>consider</w:t>
      </w:r>
      <w:r w:rsidRPr="005802E9">
        <w:t>ed in November 2018</w:t>
      </w:r>
      <w:r w:rsidR="00683C07">
        <w:t xml:space="preserve"> was revised to exclude</w:t>
      </w:r>
      <w:r w:rsidRPr="005802E9">
        <w:t xml:space="preserve"> two studies of </w:t>
      </w:r>
      <w:r w:rsidR="00F40CEA">
        <w:t xml:space="preserve">pimecrolimus in </w:t>
      </w:r>
      <w:r w:rsidRPr="005802E9">
        <w:t xml:space="preserve">infants (Breuer 2004 and Trial 0316). </w:t>
      </w:r>
      <w:r w:rsidR="00C713FA" w:rsidRPr="005802E9">
        <w:t>The PBAC previously noted major transitivity issues with the indirect comparison including: substantial clinical and statistical heterogeneity within the pimecrolimus trials and between the crisaborole and pimecrolimus trials; differences in vehicle response (35% versus 17% for crisaborole and pimecrolimus respectively), and uncertain comparability of the ISGA scale used in the crisaborole trials with the IGA scale used in the pimecrolimus. The PBAC previously considered that the nominated non-inferiority margin did not appear reasonable and the results of the indirect comparison did not exclude the possibility that pimecrolimus was superior to crisaborole in terms of efficacy (paragraph 7.7 crisaborole PSD, November 2019 PBAC meeting).</w:t>
      </w:r>
      <w:r w:rsidR="00C713FA" w:rsidRPr="005802E9">
        <w:rPr>
          <w:rFonts w:eastAsia="Calibri"/>
        </w:rPr>
        <w:t xml:space="preserve"> The </w:t>
      </w:r>
      <w:r w:rsidR="00FA2D13" w:rsidRPr="005802E9">
        <w:rPr>
          <w:rFonts w:eastAsia="Calibri"/>
        </w:rPr>
        <w:t>PBAC</w:t>
      </w:r>
      <w:r w:rsidR="00C713FA" w:rsidRPr="005802E9">
        <w:rPr>
          <w:rFonts w:eastAsia="Calibri"/>
        </w:rPr>
        <w:t xml:space="preserve"> considered that </w:t>
      </w:r>
      <w:r w:rsidR="00C713FA" w:rsidRPr="005802E9">
        <w:t xml:space="preserve">the exclusion of the two trials in the </w:t>
      </w:r>
      <w:r w:rsidR="00C713FA" w:rsidRPr="005802E9">
        <w:lastRenderedPageBreak/>
        <w:t>resubmission did not substantially impact the overall assessment of the comparison compared with the November 2018 submission.</w:t>
      </w:r>
      <w:r w:rsidR="00C713FA" w:rsidRPr="005802E9">
        <w:rPr>
          <w:lang w:eastAsia="en-US"/>
        </w:rPr>
        <w:t xml:space="preserve"> The PBAC considered that the claim of non-inferior comparative effectiveness compared with pimecrolimus was not adequately supported by the data. The PBAC considered that the claim of non-inferior comparative safety was reasonable.</w:t>
      </w:r>
    </w:p>
    <w:p w:rsidR="000047EC" w:rsidRPr="005802E9" w:rsidRDefault="000047EC" w:rsidP="00C713FA">
      <w:pPr>
        <w:pStyle w:val="ExecSumBodyText"/>
      </w:pPr>
      <w:r w:rsidRPr="005802E9">
        <w:t xml:space="preserve">The </w:t>
      </w:r>
      <w:r w:rsidR="00C713FA" w:rsidRPr="005802E9">
        <w:t xml:space="preserve">PBAC noted the resubmission presented </w:t>
      </w:r>
      <w:r w:rsidRPr="005802E9">
        <w:t>a cost-minimisation analysis versus pimecrolimus</w:t>
      </w:r>
      <w:r w:rsidR="00C713FA" w:rsidRPr="005802E9">
        <w:t>. The PBAC considered this</w:t>
      </w:r>
      <w:r w:rsidRPr="005802E9">
        <w:t xml:space="preserve"> may not be reasonable given the clinical claim of non-inferiority was inadequately supported. </w:t>
      </w:r>
      <w:r w:rsidR="00C713FA" w:rsidRPr="005802E9">
        <w:t>The PBAC also noted that n</w:t>
      </w:r>
      <w:r w:rsidRPr="005802E9">
        <w:t xml:space="preserve">o data were provided in support of </w:t>
      </w:r>
      <w:r w:rsidR="00FA2D13" w:rsidRPr="005802E9">
        <w:t xml:space="preserve">the </w:t>
      </w:r>
      <w:r w:rsidRPr="005802E9">
        <w:t>equi-effective doses proposed in the resubmission.</w:t>
      </w:r>
    </w:p>
    <w:p w:rsidR="00725B91" w:rsidRDefault="00C713FA" w:rsidP="00B06ABE">
      <w:pPr>
        <w:pStyle w:val="ExecSumBodyText"/>
      </w:pPr>
      <w:r w:rsidRPr="005802E9">
        <w:t xml:space="preserve">The PBAC noted that a modelled cost-effectiveness analysis versus standard management was presented in the resubmission, with a substantially revised structure and revised inputs. The PBAC considered </w:t>
      </w:r>
      <w:r w:rsidR="00683C07">
        <w:t>a cost-effectiveness analysis</w:t>
      </w:r>
      <w:r w:rsidRPr="005802E9">
        <w:t xml:space="preserve"> may not be reasonable given the clinical claim of superior efficacy </w:t>
      </w:r>
      <w:r w:rsidR="00B06ABE" w:rsidRPr="005802E9">
        <w:t>remained</w:t>
      </w:r>
      <w:r w:rsidRPr="005802E9">
        <w:t xml:space="preserve"> inadequately supported. </w:t>
      </w:r>
      <w:r w:rsidR="00B06ABE" w:rsidRPr="005802E9">
        <w:t>Further, t</w:t>
      </w:r>
      <w:r w:rsidR="000047EC" w:rsidRPr="005802E9">
        <w:t>he resubmission did not present an economic evaluation comparing crisaborole with TCS or topical calcineurin inhibitors which are potentially relevant comparators</w:t>
      </w:r>
      <w:r w:rsidR="00FA2D13" w:rsidRPr="005802E9">
        <w:t xml:space="preserve"> given the </w:t>
      </w:r>
      <w:r w:rsidR="00683C07">
        <w:t xml:space="preserve">high </w:t>
      </w:r>
      <w:r w:rsidR="00FA2D13" w:rsidRPr="005802E9">
        <w:t>likelihood of use outside the intended population</w:t>
      </w:r>
      <w:r w:rsidR="000047EC" w:rsidRPr="005802E9">
        <w:t>.</w:t>
      </w:r>
      <w:r w:rsidR="00B06ABE" w:rsidRPr="005802E9">
        <w:t xml:space="preserve"> </w:t>
      </w:r>
    </w:p>
    <w:p w:rsidR="00B06ABE" w:rsidRPr="005802E9" w:rsidRDefault="00725B91" w:rsidP="00B06ABE">
      <w:pPr>
        <w:pStyle w:val="ExecSumBodyText"/>
      </w:pPr>
      <w:r>
        <w:t>Regarding the revised model, t</w:t>
      </w:r>
      <w:r w:rsidR="00B06ABE" w:rsidRPr="005802E9">
        <w:t xml:space="preserve">he PBAC considered that </w:t>
      </w:r>
      <w:r>
        <w:t>there were</w:t>
      </w:r>
      <w:r w:rsidR="00B06ABE" w:rsidRPr="005802E9">
        <w:t xml:space="preserve"> a number of areas of uncertainty</w:t>
      </w:r>
      <w:r w:rsidR="003B36A9" w:rsidRPr="005802E9">
        <w:t>,</w:t>
      </w:r>
      <w:r w:rsidR="00B06ABE" w:rsidRPr="005802E9">
        <w:t xml:space="preserve"> the key issues </w:t>
      </w:r>
      <w:r w:rsidR="003B36A9" w:rsidRPr="005802E9">
        <w:t>being</w:t>
      </w:r>
      <w:r w:rsidR="00B06ABE" w:rsidRPr="005802E9">
        <w:t>:</w:t>
      </w:r>
    </w:p>
    <w:p w:rsidR="00655CAE" w:rsidRPr="005802E9" w:rsidRDefault="00725B91" w:rsidP="00C80D49">
      <w:pPr>
        <w:pStyle w:val="ExecSumBodyText"/>
        <w:numPr>
          <w:ilvl w:val="2"/>
          <w:numId w:val="17"/>
        </w:numPr>
        <w:ind w:left="993" w:hanging="284"/>
      </w:pPr>
      <w:r>
        <w:t>The t</w:t>
      </w:r>
      <w:r w:rsidR="00655CAE" w:rsidRPr="005802E9">
        <w:t xml:space="preserve">ransition probabilities </w:t>
      </w:r>
      <w:r>
        <w:t>which were</w:t>
      </w:r>
      <w:r w:rsidR="00655CAE" w:rsidRPr="005802E9">
        <w:t xml:space="preserve"> derived from post-hoc analyses of Day 29 ISGA scores </w:t>
      </w:r>
      <w:r>
        <w:t>using</w:t>
      </w:r>
      <w:r w:rsidR="00655CAE" w:rsidRPr="005802E9">
        <w:t xml:space="preserve"> data from Trials AD-301, AD-302 and extension study AD-303</w:t>
      </w:r>
      <w:r w:rsidR="00F40CEA">
        <w:t>, which the PBAC considered lacked robustness</w:t>
      </w:r>
      <w:r w:rsidR="00655CAE" w:rsidRPr="005802E9">
        <w:t xml:space="preserve">. There were </w:t>
      </w:r>
      <w:r w:rsidR="00F40CEA">
        <w:t xml:space="preserve">also </w:t>
      </w:r>
      <w:r w:rsidR="00655CAE" w:rsidRPr="005802E9">
        <w:t xml:space="preserve">concerns with </w:t>
      </w:r>
      <w:r w:rsidR="00F40CEA">
        <w:t xml:space="preserve">the </w:t>
      </w:r>
      <w:r w:rsidR="004875FF">
        <w:t>assumptions used in applying these outcomes to</w:t>
      </w:r>
      <w:r w:rsidR="00F40CEA">
        <w:t xml:space="preserve"> transition probabilities </w:t>
      </w:r>
      <w:r w:rsidR="00FA2D13" w:rsidRPr="005802E9">
        <w:t>in the model</w:t>
      </w:r>
      <w:r w:rsidR="00F40CEA">
        <w:t xml:space="preserve"> (</w:t>
      </w:r>
      <w:r w:rsidR="004875FF">
        <w:t>see paragraphs 6.62-6.63</w:t>
      </w:r>
      <w:r w:rsidR="00F40CEA">
        <w:t>)</w:t>
      </w:r>
      <w:r w:rsidR="00655CAE" w:rsidRPr="005802E9">
        <w:t>;</w:t>
      </w:r>
    </w:p>
    <w:p w:rsidR="00B06ABE" w:rsidRPr="005802E9" w:rsidRDefault="003B36A9" w:rsidP="00C80D49">
      <w:pPr>
        <w:pStyle w:val="ExecSumBodyText"/>
        <w:numPr>
          <w:ilvl w:val="2"/>
          <w:numId w:val="17"/>
        </w:numPr>
        <w:ind w:left="993" w:hanging="284"/>
      </w:pPr>
      <w:r w:rsidRPr="005802E9">
        <w:t xml:space="preserve">Use of a 3 year time horizon based on 4 week trials. The PBAC considered a </w:t>
      </w:r>
      <w:r w:rsidR="00B06ABE" w:rsidRPr="005802E9">
        <w:t xml:space="preserve">1 year </w:t>
      </w:r>
      <w:r w:rsidRPr="005802E9">
        <w:t xml:space="preserve">horizon would be </w:t>
      </w:r>
      <w:r w:rsidR="00B06ABE" w:rsidRPr="005802E9">
        <w:t>more appropriate</w:t>
      </w:r>
      <w:r w:rsidRPr="005802E9">
        <w:t>;</w:t>
      </w:r>
    </w:p>
    <w:p w:rsidR="00B06ABE" w:rsidRPr="005802E9" w:rsidRDefault="008D6EC3" w:rsidP="00C80D49">
      <w:pPr>
        <w:pStyle w:val="ExecSumBodyText"/>
        <w:numPr>
          <w:ilvl w:val="2"/>
          <w:numId w:val="17"/>
        </w:numPr>
        <w:ind w:left="993" w:hanging="284"/>
      </w:pPr>
      <w:r>
        <w:t xml:space="preserve">The amount of </w:t>
      </w:r>
      <w:r w:rsidR="004875FF">
        <w:t>crisaborole</w:t>
      </w:r>
      <w:r>
        <w:t xml:space="preserve"> used with the t</w:t>
      </w:r>
      <w:r w:rsidR="00B06ABE" w:rsidRPr="005802E9">
        <w:t xml:space="preserve">rials </w:t>
      </w:r>
      <w:r>
        <w:t>using</w:t>
      </w:r>
      <w:r w:rsidRPr="005802E9">
        <w:t xml:space="preserve"> </w:t>
      </w:r>
      <w:r w:rsidR="00B06ABE" w:rsidRPr="005802E9">
        <w:t>170</w:t>
      </w:r>
      <w:r w:rsidR="003B36A9" w:rsidRPr="005802E9">
        <w:t xml:space="preserve"> </w:t>
      </w:r>
      <w:r w:rsidR="00B06ABE" w:rsidRPr="005802E9">
        <w:t xml:space="preserve">g per cycle </w:t>
      </w:r>
      <w:r>
        <w:t>or</w:t>
      </w:r>
      <w:r w:rsidRPr="005802E9">
        <w:t xml:space="preserve"> </w:t>
      </w:r>
      <w:r w:rsidR="00B06ABE" w:rsidRPr="005802E9">
        <w:t>120</w:t>
      </w:r>
      <w:r w:rsidR="003B36A9" w:rsidRPr="005802E9">
        <w:t xml:space="preserve"> </w:t>
      </w:r>
      <w:r w:rsidR="00B06ABE" w:rsidRPr="005802E9">
        <w:t>g per c</w:t>
      </w:r>
      <w:r w:rsidR="00655CAE" w:rsidRPr="005802E9">
        <w:t>ycle (safety extension trial) whereas the model</w:t>
      </w:r>
      <w:r w:rsidR="00B06ABE" w:rsidRPr="005802E9">
        <w:t xml:space="preserve"> assumed use of 30</w:t>
      </w:r>
      <w:r w:rsidR="003B36A9" w:rsidRPr="005802E9">
        <w:t xml:space="preserve"> </w:t>
      </w:r>
      <w:r w:rsidR="00B06ABE" w:rsidRPr="005802E9">
        <w:t>g per cycle</w:t>
      </w:r>
      <w:r w:rsidR="00864EB2" w:rsidRPr="005802E9">
        <w:t>; and</w:t>
      </w:r>
    </w:p>
    <w:p w:rsidR="00B06ABE" w:rsidRPr="005802E9" w:rsidRDefault="00864EB2" w:rsidP="00C80D49">
      <w:pPr>
        <w:pStyle w:val="ExecSumBodyText"/>
        <w:numPr>
          <w:ilvl w:val="2"/>
          <w:numId w:val="17"/>
        </w:numPr>
        <w:ind w:left="993" w:hanging="284"/>
      </w:pPr>
      <w:r w:rsidRPr="005802E9">
        <w:t xml:space="preserve">The </w:t>
      </w:r>
      <w:r w:rsidR="00FA2D13" w:rsidRPr="005802E9">
        <w:t xml:space="preserve">ISGA 2+ health state costs appeared overestimated as </w:t>
      </w:r>
      <w:r w:rsidR="00B06ABE" w:rsidRPr="005802E9">
        <w:t xml:space="preserve">disease management costs for </w:t>
      </w:r>
      <w:r w:rsidRPr="005802E9">
        <w:t xml:space="preserve">the </w:t>
      </w:r>
      <w:r w:rsidR="00B06ABE" w:rsidRPr="005802E9">
        <w:t>ISGA 2+</w:t>
      </w:r>
      <w:r w:rsidRPr="005802E9">
        <w:t xml:space="preserve"> health state</w:t>
      </w:r>
      <w:r w:rsidR="00B06ABE" w:rsidRPr="005802E9">
        <w:t xml:space="preserve"> included 3.4 hospitalisation </w:t>
      </w:r>
      <w:r w:rsidR="008D6EC3" w:rsidRPr="005802E9">
        <w:t xml:space="preserve">days </w:t>
      </w:r>
      <w:r w:rsidR="00B06ABE" w:rsidRPr="005802E9">
        <w:t>per year and 13 GP visits per year</w:t>
      </w:r>
      <w:r w:rsidRPr="005802E9">
        <w:t>. The PBAC considered this was</w:t>
      </w:r>
      <w:r w:rsidR="00B06ABE" w:rsidRPr="005802E9">
        <w:t xml:space="preserve"> inc</w:t>
      </w:r>
      <w:r w:rsidRPr="005802E9">
        <w:t>onsistent with costs for mild to</w:t>
      </w:r>
      <w:r w:rsidR="00B06ABE" w:rsidRPr="005802E9">
        <w:t xml:space="preserve"> moderate disease</w:t>
      </w:r>
      <w:r w:rsidRPr="005802E9">
        <w:t>.</w:t>
      </w:r>
    </w:p>
    <w:p w:rsidR="00B06ABE" w:rsidRPr="005802E9" w:rsidRDefault="00864EB2" w:rsidP="00FA2D13">
      <w:pPr>
        <w:pStyle w:val="ExecSumBodyText"/>
      </w:pPr>
      <w:r w:rsidRPr="005802E9">
        <w:t>The PBAC noted that</w:t>
      </w:r>
      <w:r w:rsidR="003D5CF9" w:rsidRPr="005802E9">
        <w:t xml:space="preserve"> for all multivariate analyses</w:t>
      </w:r>
      <w:r w:rsidRPr="005802E9">
        <w:t xml:space="preserve"> </w:t>
      </w:r>
      <w:r w:rsidR="003D5CF9" w:rsidRPr="005802E9">
        <w:t>the ICER increased from dominant to over $</w:t>
      </w:r>
      <w:r w:rsidR="009D1601">
        <w:t>255,000 to &lt;$355,000</w:t>
      </w:r>
      <w:r w:rsidR="003D5CF9" w:rsidRPr="005802E9">
        <w:t xml:space="preserve"> per QALY. </w:t>
      </w:r>
      <w:r w:rsidR="00655CAE" w:rsidRPr="005802E9">
        <w:t xml:space="preserve">Although the base case ICER presented </w:t>
      </w:r>
      <w:r w:rsidR="008D6EC3">
        <w:t xml:space="preserve">in the resubmission </w:t>
      </w:r>
      <w:r w:rsidR="00655CAE" w:rsidRPr="005802E9">
        <w:t>was dominant, the PBAC considered that the ICER had a high level of uncertainty and was unacceptably high for all multivariate analyses considered.</w:t>
      </w:r>
    </w:p>
    <w:p w:rsidR="007019F0" w:rsidRPr="005802E9" w:rsidRDefault="008E4B6A" w:rsidP="002638D2">
      <w:pPr>
        <w:pStyle w:val="ExecSumBodyText"/>
      </w:pPr>
      <w:r w:rsidRPr="005802E9">
        <w:t xml:space="preserve">The </w:t>
      </w:r>
      <w:r w:rsidR="007019F0" w:rsidRPr="005802E9">
        <w:t xml:space="preserve">PBAC noted that the financial </w:t>
      </w:r>
      <w:r w:rsidRPr="005802E9">
        <w:t>estimates were largely based on the model and inputs imported from the economic evaluation, and therefore incorporate</w:t>
      </w:r>
      <w:r w:rsidR="009A744F">
        <w:t>d the</w:t>
      </w:r>
      <w:r w:rsidRPr="005802E9">
        <w:t xml:space="preserve"> issues of concern with the model structu</w:t>
      </w:r>
      <w:r w:rsidR="007019F0" w:rsidRPr="005802E9">
        <w:t xml:space="preserve">re and transition probabilities. </w:t>
      </w:r>
      <w:r w:rsidR="004875FF">
        <w:t xml:space="preserve">The PBAC considered </w:t>
      </w:r>
      <w:r w:rsidR="004875FF">
        <w:lastRenderedPageBreak/>
        <w:t xml:space="preserve">the intended population of patients unable to be effectively treated with TCS would be small, however the restriction as proposed in the resubmission would not limit use to this population. In this context, the PBAC considered </w:t>
      </w:r>
      <w:r w:rsidR="004875FF" w:rsidRPr="005802E9">
        <w:t xml:space="preserve">the financial estimates presented in the submission to be highly uncertain due </w:t>
      </w:r>
      <w:r w:rsidR="004875FF">
        <w:t xml:space="preserve">to the use of uncertain inputs from the economic model, </w:t>
      </w:r>
      <w:r w:rsidR="004875FF" w:rsidRPr="005802E9">
        <w:t>limited data to support eligibility and uptake rates</w:t>
      </w:r>
      <w:r w:rsidR="004875FF">
        <w:t>,</w:t>
      </w:r>
      <w:r w:rsidR="004875FF" w:rsidRPr="005802E9">
        <w:t xml:space="preserve"> and exclusion of the prevalent population.</w:t>
      </w:r>
      <w:r w:rsidR="004875FF">
        <w:t xml:space="preserve"> </w:t>
      </w:r>
      <w:r w:rsidR="002638D2" w:rsidRPr="005802E9">
        <w:t>The PBAC noted the pre-PBAC response presented revised estimates to account for the prevalent population in additio</w:t>
      </w:r>
      <w:r w:rsidR="002638D2">
        <w:t>n to the incident population, and</w:t>
      </w:r>
      <w:r w:rsidR="002638D2" w:rsidRPr="005802E9">
        <w:t xml:space="preserve"> the cost to the PBS/RPBS</w:t>
      </w:r>
      <w:r w:rsidR="002638D2">
        <w:t xml:space="preserve"> increased</w:t>
      </w:r>
      <w:r w:rsidR="002638D2" w:rsidRPr="005802E9">
        <w:t xml:space="preserve"> from $</w:t>
      </w:r>
      <w:r w:rsidR="009D1601">
        <w:t>80 to &lt;$90</w:t>
      </w:r>
      <w:r w:rsidR="002638D2" w:rsidRPr="005802E9">
        <w:t xml:space="preserve"> million to $</w:t>
      </w:r>
      <w:r w:rsidR="009D1601">
        <w:t>100 to &lt;$200</w:t>
      </w:r>
      <w:r w:rsidR="002638D2" w:rsidRPr="005802E9">
        <w:t xml:space="preserve"> million over the first 6 years.</w:t>
      </w:r>
      <w:r w:rsidR="002638D2">
        <w:t xml:space="preserve"> </w:t>
      </w:r>
      <w:r w:rsidR="002638D2" w:rsidRPr="005802E9">
        <w:t xml:space="preserve">The PBAC previously considered there would be a high likelihood of use outside the requested restriction, in younger patients (under 2 years of age), those with severe disease and as first-line therapy in those not contraindicated to </w:t>
      </w:r>
      <w:r w:rsidR="002638D2">
        <w:t>TCS</w:t>
      </w:r>
      <w:r w:rsidR="002638D2" w:rsidRPr="005802E9">
        <w:t xml:space="preserve">. </w:t>
      </w:r>
      <w:r w:rsidR="002638D2">
        <w:t>The PBAC agreed with DUSC that</w:t>
      </w:r>
      <w:r w:rsidR="002638D2" w:rsidRPr="005802E9">
        <w:t xml:space="preserve"> steroid phobia may contribute to use outside of the requested restriction in the first line setting. </w:t>
      </w:r>
    </w:p>
    <w:p w:rsidR="00F16CD3" w:rsidRPr="005802E9" w:rsidRDefault="006E08FD" w:rsidP="007019F0">
      <w:pPr>
        <w:pStyle w:val="ExecSumBodyText"/>
      </w:pPr>
      <w:r w:rsidRPr="005802E9">
        <w:t>The PBAC considered that there may be a clinical place for crisaborole as</w:t>
      </w:r>
      <w:r w:rsidRPr="005802E9">
        <w:rPr>
          <w:bCs/>
        </w:rPr>
        <w:t xml:space="preserve"> an alternative to pimecrolimus for treatment in sensitive and thin skin areas such as the face and eyelids, but noted that additional data in support of non-inferiority with pimecrolimus would be required for a resubmission.</w:t>
      </w:r>
    </w:p>
    <w:p w:rsidR="00A80AF4" w:rsidRPr="005802E9" w:rsidRDefault="00A80AF4" w:rsidP="00F16CD3">
      <w:pPr>
        <w:widowControl w:val="0"/>
        <w:numPr>
          <w:ilvl w:val="1"/>
          <w:numId w:val="1"/>
        </w:numPr>
        <w:spacing w:after="120"/>
        <w:rPr>
          <w:rFonts w:asciiTheme="minorHAnsi" w:hAnsiTheme="minorHAnsi"/>
          <w:bCs/>
          <w:i/>
          <w:snapToGrid w:val="0"/>
        </w:rPr>
      </w:pPr>
      <w:r w:rsidRPr="005802E9">
        <w:rPr>
          <w:rFonts w:asciiTheme="minorHAnsi" w:hAnsiTheme="minorHAnsi"/>
          <w:bCs/>
          <w:snapToGrid w:val="0"/>
        </w:rPr>
        <w:t>The PBAC noted that this submission is eligible for an Independent Review</w:t>
      </w:r>
      <w:r w:rsidRPr="005802E9">
        <w:rPr>
          <w:rFonts w:asciiTheme="minorHAnsi" w:hAnsiTheme="minorHAnsi"/>
          <w:bCs/>
          <w:i/>
          <w:snapToGrid w:val="0"/>
        </w:rPr>
        <w:t>.</w:t>
      </w:r>
    </w:p>
    <w:p w:rsidR="00A80AF4" w:rsidRPr="005802E9" w:rsidRDefault="00A80AF4" w:rsidP="00A80AF4">
      <w:pPr>
        <w:spacing w:before="240"/>
        <w:rPr>
          <w:rFonts w:asciiTheme="minorHAnsi" w:hAnsiTheme="minorHAnsi"/>
          <w:b/>
          <w:bCs/>
          <w:snapToGrid w:val="0"/>
        </w:rPr>
      </w:pPr>
      <w:r w:rsidRPr="005802E9">
        <w:rPr>
          <w:rFonts w:asciiTheme="minorHAnsi" w:hAnsiTheme="minorHAnsi"/>
          <w:b/>
          <w:bCs/>
          <w:snapToGrid w:val="0"/>
        </w:rPr>
        <w:t>Outcome:</w:t>
      </w:r>
    </w:p>
    <w:p w:rsidR="00A80AF4" w:rsidRDefault="00A80AF4" w:rsidP="00C80D49">
      <w:pPr>
        <w:rPr>
          <w:rFonts w:asciiTheme="minorHAnsi" w:hAnsiTheme="minorHAnsi"/>
          <w:bCs/>
          <w:snapToGrid w:val="0"/>
        </w:rPr>
      </w:pPr>
      <w:r w:rsidRPr="005802E9">
        <w:rPr>
          <w:rFonts w:asciiTheme="minorHAnsi" w:hAnsiTheme="minorHAnsi"/>
          <w:bCs/>
          <w:snapToGrid w:val="0"/>
        </w:rPr>
        <w:t>Rejected</w:t>
      </w:r>
    </w:p>
    <w:p w:rsidR="00C80D49" w:rsidRDefault="00C80D49" w:rsidP="00C80D49">
      <w:pPr>
        <w:rPr>
          <w:rFonts w:asciiTheme="minorHAnsi" w:hAnsiTheme="minorHAnsi"/>
          <w:bCs/>
          <w:snapToGrid w:val="0"/>
        </w:rPr>
      </w:pPr>
    </w:p>
    <w:p w:rsidR="00C80D49" w:rsidRPr="00C80D49" w:rsidRDefault="00C80D49" w:rsidP="00C80D49">
      <w:pPr>
        <w:pStyle w:val="2-SectionHeading"/>
        <w:numPr>
          <w:ilvl w:val="0"/>
          <w:numId w:val="1"/>
        </w:numPr>
      </w:pPr>
      <w:r w:rsidRPr="00C07617">
        <w:t>Context for Decision</w:t>
      </w:r>
    </w:p>
    <w:p w:rsidR="00C80D49" w:rsidRPr="00C80D49" w:rsidRDefault="00C80D49" w:rsidP="009B5136">
      <w:pPr>
        <w:pStyle w:val="ExecSumBodyText"/>
        <w:numPr>
          <w:ilvl w:val="0"/>
          <w:numId w:val="0"/>
        </w:numPr>
        <w:ind w:left="720"/>
        <w:rPr>
          <w:bCs/>
        </w:rPr>
      </w:pPr>
      <w:r w:rsidRPr="00C80D49">
        <w:rPr>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80D49" w:rsidRPr="00C80D49" w:rsidRDefault="00C80D49" w:rsidP="00C80D49">
      <w:pPr>
        <w:pStyle w:val="2-SectionHeading"/>
      </w:pPr>
      <w:r>
        <w:t>Sponsor’s Comment</w:t>
      </w:r>
    </w:p>
    <w:bookmarkEnd w:id="29"/>
    <w:p w:rsidR="003E7509" w:rsidRPr="00E51C31" w:rsidRDefault="003E7509" w:rsidP="00BD29F7">
      <w:pPr>
        <w:ind w:left="720"/>
        <w:rPr>
          <w:rFonts w:asciiTheme="minorHAnsi" w:hAnsiTheme="minorHAnsi"/>
          <w:bCs/>
          <w:snapToGrid w:val="0"/>
        </w:rPr>
      </w:pPr>
      <w:r w:rsidRPr="00E51C31">
        <w:rPr>
          <w:rFonts w:asciiTheme="minorHAnsi" w:hAnsiTheme="minorHAnsi"/>
          <w:bCs/>
          <w:snapToGrid w:val="0"/>
        </w:rPr>
        <w:t xml:space="preserve">Pfizer is surprised at the PBAC’s most recent view that there is a low clinical need for therapies to treat mild to moderate atopic dermatitis in patients who have failed to achieve satisfactory disease control with, are contraindicated to, or are intolerant to topical corticosteroids. Such a view is not consistent with the view expressed by the PBAC when it considered our previous submission, nor with advice Pfizer received from clinicians and patients. There is currently no PBS-subsidised treatment available for this population, other than for patients whose face is affected. Thus, Pfizer disagrees that topical corticosteroids are the appropriate comparator for a population </w:t>
      </w:r>
      <w:r w:rsidRPr="00E51C31">
        <w:rPr>
          <w:rFonts w:asciiTheme="minorHAnsi" w:hAnsiTheme="minorHAnsi"/>
          <w:bCs/>
          <w:snapToGrid w:val="0"/>
        </w:rPr>
        <w:lastRenderedPageBreak/>
        <w:t>for whom there is currently no subsidised treatment option. Pfizer believes that an appropriate risk share arrangement could have been implemented, to manage the risk of use in a broader population than intended.</w:t>
      </w:r>
    </w:p>
    <w:p w:rsidR="00C80D49" w:rsidRPr="00C80D49" w:rsidRDefault="00C80D49" w:rsidP="00C80D49">
      <w:pPr>
        <w:rPr>
          <w:rFonts w:asciiTheme="minorHAnsi" w:hAnsiTheme="minorHAnsi"/>
          <w:bCs/>
          <w:snapToGrid w:val="0"/>
        </w:rPr>
      </w:pPr>
    </w:p>
    <w:sectPr w:rsidR="00C80D49" w:rsidRPr="00C80D49" w:rsidSect="000B7EAA">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AE368" w16cex:dateUtc="2020-10-21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5445A1" w16cid:durableId="233AE3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4B5" w:rsidRDefault="00B634B5" w:rsidP="00124A51">
      <w:r>
        <w:separator/>
      </w:r>
    </w:p>
    <w:p w:rsidR="00B634B5" w:rsidRDefault="00B634B5"/>
  </w:endnote>
  <w:endnote w:type="continuationSeparator" w:id="0">
    <w:p w:rsidR="00B634B5" w:rsidRDefault="00B634B5" w:rsidP="00124A51">
      <w:r>
        <w:continuationSeparator/>
      </w:r>
    </w:p>
    <w:p w:rsidR="00B634B5" w:rsidRDefault="00B63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MS Reference Sans Serif"/>
    <w:charset w:val="00"/>
    <w:family w:val="swiss"/>
    <w:pitch w:val="variable"/>
    <w:sig w:usb0="E00002EF" w:usb1="4000205B" w:usb2="00000028"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44" w:rsidRDefault="00EC0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697" w:rsidRPr="00D13A3E" w:rsidRDefault="00737697" w:rsidP="00015886">
    <w:pPr>
      <w:ind w:right="360"/>
      <w:jc w:val="center"/>
      <w:rPr>
        <w:b/>
        <w:sz w:val="20"/>
      </w:rPr>
    </w:pPr>
  </w:p>
  <w:p w:rsidR="00737697" w:rsidRPr="007B2608" w:rsidRDefault="00737697" w:rsidP="00015886">
    <w:pPr>
      <w:ind w:right="360"/>
      <w:jc w:val="center"/>
      <w:rPr>
        <w:b/>
      </w:rPr>
    </w:pPr>
    <w:r w:rsidRPr="007B2608">
      <w:rPr>
        <w:b/>
      </w:rPr>
      <w:fldChar w:fldCharType="begin"/>
    </w:r>
    <w:r w:rsidRPr="007B2608">
      <w:rPr>
        <w:b/>
      </w:rPr>
      <w:instrText xml:space="preserve"> PAGE   \* MERGEFORMAT </w:instrText>
    </w:r>
    <w:r w:rsidRPr="007B2608">
      <w:rPr>
        <w:b/>
      </w:rPr>
      <w:fldChar w:fldCharType="separate"/>
    </w:r>
    <w:r w:rsidR="003C2634">
      <w:rPr>
        <w:b/>
        <w:noProof/>
      </w:rPr>
      <w:t>50</w:t>
    </w:r>
    <w:r w:rsidRPr="007B260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44" w:rsidRDefault="00EC0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4B5" w:rsidRDefault="00B634B5" w:rsidP="00124A51">
      <w:r>
        <w:separator/>
      </w:r>
    </w:p>
    <w:p w:rsidR="00B634B5" w:rsidRDefault="00B634B5"/>
  </w:footnote>
  <w:footnote w:type="continuationSeparator" w:id="0">
    <w:p w:rsidR="00B634B5" w:rsidRDefault="00B634B5" w:rsidP="00124A51">
      <w:r>
        <w:continuationSeparator/>
      </w:r>
    </w:p>
    <w:p w:rsidR="00B634B5" w:rsidRDefault="00B634B5"/>
  </w:footnote>
  <w:footnote w:id="1">
    <w:p w:rsidR="00737697" w:rsidRPr="007905DB" w:rsidRDefault="00737697">
      <w:pPr>
        <w:pStyle w:val="FootnoteText"/>
        <w:rPr>
          <w:rFonts w:asciiTheme="minorHAnsi" w:hAnsiTheme="minorHAnsi" w:cstheme="minorHAnsi"/>
        </w:rPr>
      </w:pPr>
      <w:r w:rsidRPr="007905DB">
        <w:rPr>
          <w:rStyle w:val="FootnoteReference"/>
          <w:rFonts w:asciiTheme="minorHAnsi" w:hAnsiTheme="minorHAnsi" w:cstheme="minorHAnsi"/>
        </w:rPr>
        <w:footnoteRef/>
      </w:r>
      <w:r w:rsidRPr="007905DB">
        <w:rPr>
          <w:rFonts w:asciiTheme="minorHAnsi" w:hAnsiTheme="minorHAnsi" w:cstheme="minorHAnsi"/>
        </w:rPr>
        <w:t xml:space="preserve"> </w:t>
      </w:r>
      <w:r w:rsidRPr="007905DB">
        <w:rPr>
          <w:rFonts w:asciiTheme="minorHAnsi" w:hAnsiTheme="minorHAnsi" w:cstheme="minorHAnsi"/>
          <w:shd w:val="clear" w:color="auto" w:fill="FFFFFF"/>
        </w:rPr>
        <w:t>Smith, Saxon D., et al. "General practitioners' knowledge about use of topical corticosteroids in paediatric atopic dermatitis in Australia." </w:t>
      </w:r>
      <w:r w:rsidRPr="007905DB">
        <w:rPr>
          <w:rFonts w:asciiTheme="minorHAnsi" w:hAnsiTheme="minorHAnsi" w:cstheme="minorHAnsi"/>
          <w:i/>
          <w:iCs/>
          <w:shd w:val="clear" w:color="auto" w:fill="FFFFFF"/>
        </w:rPr>
        <w:t>Australian Family Physician</w:t>
      </w:r>
      <w:r w:rsidRPr="007905DB">
        <w:rPr>
          <w:rFonts w:asciiTheme="minorHAnsi" w:hAnsiTheme="minorHAnsi" w:cstheme="minorHAnsi"/>
          <w:shd w:val="clear" w:color="auto" w:fill="FFFFFF"/>
        </w:rPr>
        <w:t> 46.5 (2017): 335.</w:t>
      </w:r>
    </w:p>
  </w:footnote>
  <w:footnote w:id="2">
    <w:p w:rsidR="00737697" w:rsidRPr="007905DB" w:rsidRDefault="00737697">
      <w:pPr>
        <w:pStyle w:val="FootnoteText"/>
        <w:rPr>
          <w:rFonts w:asciiTheme="minorHAnsi" w:hAnsiTheme="minorHAnsi" w:cstheme="minorHAnsi"/>
        </w:rPr>
      </w:pPr>
      <w:r w:rsidRPr="007905DB">
        <w:rPr>
          <w:rStyle w:val="FootnoteReference"/>
          <w:rFonts w:asciiTheme="minorHAnsi" w:hAnsiTheme="minorHAnsi" w:cstheme="minorHAnsi"/>
        </w:rPr>
        <w:footnoteRef/>
      </w:r>
      <w:r w:rsidRPr="007905DB">
        <w:rPr>
          <w:rFonts w:asciiTheme="minorHAnsi" w:hAnsiTheme="minorHAnsi" w:cstheme="minorHAnsi"/>
        </w:rPr>
        <w:t xml:space="preserve"> </w:t>
      </w:r>
      <w:r w:rsidRPr="007905DB">
        <w:rPr>
          <w:rFonts w:asciiTheme="minorHAnsi" w:hAnsiTheme="minorHAnsi" w:cstheme="minorHAnsi"/>
          <w:shd w:val="clear" w:color="auto" w:fill="FFFFFF"/>
        </w:rPr>
        <w:t>Smith, Saxon D., et al. "General practitioners' knowledge about use of topical corticosteroids in paediatric atopic dermatitis in Australia." </w:t>
      </w:r>
      <w:r w:rsidRPr="007905DB">
        <w:rPr>
          <w:rFonts w:asciiTheme="minorHAnsi" w:hAnsiTheme="minorHAnsi" w:cstheme="minorHAnsi"/>
          <w:i/>
          <w:iCs/>
          <w:shd w:val="clear" w:color="auto" w:fill="FFFFFF"/>
        </w:rPr>
        <w:t>Australian Family Physician</w:t>
      </w:r>
      <w:r w:rsidRPr="007905DB">
        <w:rPr>
          <w:rFonts w:asciiTheme="minorHAnsi" w:hAnsiTheme="minorHAnsi" w:cstheme="minorHAnsi"/>
          <w:shd w:val="clear" w:color="auto" w:fill="FFFFFF"/>
        </w:rPr>
        <w:t> 46.5 (2017): 335.</w:t>
      </w:r>
    </w:p>
  </w:footnote>
  <w:footnote w:id="3">
    <w:p w:rsidR="00737697" w:rsidRDefault="00737697">
      <w:pPr>
        <w:pStyle w:val="FootnoteText"/>
      </w:pPr>
      <w:r w:rsidRPr="0081425B">
        <w:rPr>
          <w:rStyle w:val="FootnoteReference"/>
        </w:rPr>
        <w:footnoteRef/>
      </w:r>
      <w:r w:rsidRPr="0081425B">
        <w:t xml:space="preserve"> </w:t>
      </w:r>
      <w:r w:rsidRPr="0081425B">
        <w:rPr>
          <w:rFonts w:asciiTheme="minorHAnsi" w:hAnsiTheme="minorHAnsi" w:cstheme="minorHAnsi"/>
        </w:rPr>
        <w:t>NICE 2007. </w:t>
      </w:r>
      <w:r w:rsidRPr="0081425B">
        <w:rPr>
          <w:rStyle w:val="Emphasis"/>
          <w:rFonts w:asciiTheme="minorHAnsi" w:hAnsiTheme="minorHAnsi" w:cstheme="minorHAnsi"/>
          <w:i w:val="0"/>
        </w:rPr>
        <w:t>Atopic eczema in under 12s: diagnosis and management.</w:t>
      </w:r>
      <w:r w:rsidRPr="0081425B">
        <w:rPr>
          <w:rFonts w:asciiTheme="minorHAnsi" w:hAnsiTheme="minorHAnsi" w:cstheme="minorHAnsi"/>
        </w:rPr>
        <w:t xml:space="preserve"> Quick Reference Guide December 2007. https://www.guidelines.co.uk/skin-and-wound-care/nice-eczema-guideline/207625.article. </w:t>
      </w:r>
    </w:p>
  </w:footnote>
  <w:footnote w:id="4">
    <w:p w:rsidR="00737697" w:rsidRDefault="00737697" w:rsidP="004B4DD1">
      <w:pPr>
        <w:pStyle w:val="FootnoteText"/>
      </w:pPr>
      <w:r>
        <w:rPr>
          <w:rStyle w:val="FootnoteReference"/>
        </w:rPr>
        <w:footnoteRef/>
      </w:r>
      <w:r>
        <w:t xml:space="preserve"> eTG guidelines: Atopic dermatitis. eTG August 2020 edition.</w:t>
      </w:r>
    </w:p>
  </w:footnote>
  <w:footnote w:id="5">
    <w:p w:rsidR="00737697" w:rsidRPr="007137EC" w:rsidRDefault="00737697" w:rsidP="00AA3915">
      <w:pPr>
        <w:pStyle w:val="TableHeading"/>
        <w:rPr>
          <w:b w:val="0"/>
          <w:bCs/>
        </w:rPr>
      </w:pPr>
      <w:r>
        <w:rPr>
          <w:rStyle w:val="FootnoteReference"/>
        </w:rPr>
        <w:footnoteRef/>
      </w:r>
      <w:r>
        <w:t xml:space="preserve"> </w:t>
      </w:r>
      <w:r w:rsidRPr="007137EC">
        <w:rPr>
          <w:rFonts w:ascii="Open Sans" w:hAnsi="Open Sans" w:cs="Open Sans"/>
          <w:b w:val="0"/>
          <w:bCs/>
          <w:i/>
          <w:iCs/>
          <w:color w:val="222222"/>
          <w:szCs w:val="20"/>
          <w:shd w:val="clear" w:color="auto" w:fill="FFFFFF"/>
        </w:rPr>
        <w:t xml:space="preserve">Note that the </w:t>
      </w:r>
      <w:r>
        <w:rPr>
          <w:rFonts w:ascii="Open Sans" w:hAnsi="Open Sans" w:cs="Open Sans"/>
          <w:b w:val="0"/>
          <w:bCs/>
          <w:i/>
          <w:iCs/>
          <w:color w:val="222222"/>
          <w:szCs w:val="20"/>
          <w:shd w:val="clear" w:color="auto" w:fill="FFFFFF"/>
        </w:rPr>
        <w:t>additional analyses described here</w:t>
      </w:r>
      <w:r w:rsidRPr="007137EC">
        <w:rPr>
          <w:rFonts w:ascii="Open Sans" w:hAnsi="Open Sans" w:cs="Open Sans"/>
          <w:b w:val="0"/>
          <w:bCs/>
          <w:i/>
          <w:iCs/>
          <w:color w:val="222222"/>
          <w:szCs w:val="20"/>
          <w:shd w:val="clear" w:color="auto" w:fill="FFFFFF"/>
        </w:rPr>
        <w:t xml:space="preserve"> are derived from post-hoc analyses conducted by the applicant specifically for the purposes of informing the PBAC consideration. These analyses were not part of the pre-specified statistical plan for Studies AD-301, AD-302 or AD-303.  Interpretation of the results and their application should therefore be limited to seeking to understand the basis for the PBAC outcome and should not be used for any other purpose.</w:t>
      </w:r>
    </w:p>
    <w:p w:rsidR="00737697" w:rsidRDefault="00737697">
      <w:pPr>
        <w:pStyle w:val="FootnoteText"/>
      </w:pPr>
    </w:p>
  </w:footnote>
  <w:footnote w:id="6">
    <w:p w:rsidR="00737697" w:rsidRDefault="00737697">
      <w:pPr>
        <w:pStyle w:val="FootnoteText"/>
      </w:pPr>
      <w:r>
        <w:rPr>
          <w:rStyle w:val="FootnoteReference"/>
        </w:rPr>
        <w:footnoteRef/>
      </w:r>
      <w:r>
        <w:t xml:space="preserve"> </w:t>
      </w:r>
      <w:r>
        <w:rPr>
          <w:rFonts w:ascii="Open Sans" w:hAnsi="Open Sans" w:cs="Open Sans"/>
          <w:i/>
          <w:iCs/>
          <w:color w:val="222222"/>
          <w:shd w:val="clear" w:color="auto" w:fill="FFFFFF"/>
        </w:rPr>
        <w:t>Note that the results presented in Paragraphs 6.20 to 6.31 are derived from post-hoc analyses conducted by the applicant specifically for the purposes of informing the PBAC consideration. These analyses were not part of the pre-specified statistical plans for AD-301, AD-302 or AD-303.  Interpretation of the results and their application should therefore be limited to seeking to understand the basis for the PBAC outcome and should not be used for any other purpose.</w:t>
      </w:r>
    </w:p>
  </w:footnote>
  <w:footnote w:id="7">
    <w:p w:rsidR="00737697" w:rsidRDefault="00737697">
      <w:pPr>
        <w:pStyle w:val="FootnoteText"/>
      </w:pPr>
      <w:r>
        <w:rPr>
          <w:rStyle w:val="FootnoteReference"/>
        </w:rPr>
        <w:footnoteRef/>
      </w:r>
      <w:r>
        <w:t xml:space="preserve"> </w:t>
      </w:r>
      <w:r>
        <w:rPr>
          <w:rFonts w:ascii="Open Sans" w:hAnsi="Open Sans" w:cs="Open Sans"/>
          <w:i/>
          <w:iCs/>
          <w:color w:val="222222"/>
          <w:shd w:val="clear" w:color="auto" w:fill="FFFFFF"/>
        </w:rPr>
        <w:t>Note that the results presented in Paragraphs 6.20 to 6.31 are derived from post-hoc analyses conducted by the applicant specifically for the purposes of informing the PBAC consideration. These analyses were not part of the pre-specified statistical plans for AD-301, AD-302 or AD-303.  Interpretation of the results and their application should therefore be limited to seeking to understand the basis for the PBAC outcome and should not be used for any other purpose.</w:t>
      </w:r>
    </w:p>
  </w:footnote>
  <w:footnote w:id="8">
    <w:p w:rsidR="00737697" w:rsidRDefault="00737697">
      <w:pPr>
        <w:pStyle w:val="FootnoteText"/>
      </w:pPr>
      <w:r>
        <w:rPr>
          <w:rStyle w:val="FootnoteReference"/>
        </w:rPr>
        <w:footnoteRef/>
      </w:r>
      <w:r>
        <w:t xml:space="preserve"> </w:t>
      </w:r>
      <w:r>
        <w:rPr>
          <w:rFonts w:ascii="Open Sans" w:hAnsi="Open Sans" w:cs="Open Sans"/>
          <w:i/>
          <w:iCs/>
          <w:color w:val="222222"/>
          <w:shd w:val="clear" w:color="auto" w:fill="FFFFFF"/>
        </w:rPr>
        <w:t>Note that the results presented in Paragraphs 6.20 to 6.31 are derived from post-hoc analyses conducted by the applicant specifically for the purposes of informing the PBAC consideration. These analyses were not part of the pre-specified statistical plans for AD-301, AD-302 or AD-303.  Interpretation of the results and their application should therefore be limited to seeking to understand the basis for the PBAC outcome and should not be used for any other purpose.</w:t>
      </w:r>
    </w:p>
  </w:footnote>
  <w:footnote w:id="9">
    <w:p w:rsidR="00737697" w:rsidRDefault="00737697" w:rsidP="003E7509">
      <w:pPr>
        <w:pStyle w:val="FootnoteText"/>
      </w:pPr>
      <w:r>
        <w:rPr>
          <w:rStyle w:val="FootnoteReference"/>
        </w:rPr>
        <w:footnoteRef/>
      </w:r>
      <w:r>
        <w:t xml:space="preserve"> </w:t>
      </w:r>
      <w:r>
        <w:rPr>
          <w:rFonts w:ascii="Open Sans" w:hAnsi="Open Sans" w:cs="Open Sans"/>
          <w:i/>
          <w:iCs/>
          <w:color w:val="222222"/>
          <w:shd w:val="clear" w:color="auto" w:fill="FFFFFF"/>
        </w:rPr>
        <w:t>Note that the analyses described here derived from post-hoc analyses conducted by the applicant specifically for the purposes of informing the PBAC consideration. These analyses were not part of the pre-specified statistical plans for AD-301, AD-302 or AD-303.  Interpretation of the results and their application should therefore be limited to seeking to understand the basis for the PBAC outcome and should not be used for any other purpose.</w:t>
      </w:r>
    </w:p>
    <w:p w:rsidR="00737697" w:rsidRDefault="0073769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44" w:rsidRDefault="00EC0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697" w:rsidRPr="007B2608" w:rsidRDefault="00737697" w:rsidP="00960201">
    <w:pPr>
      <w:jc w:val="center"/>
      <w:rPr>
        <w:i/>
      </w:rPr>
    </w:pPr>
    <w:r>
      <w:rPr>
        <w:i/>
      </w:rPr>
      <w:t xml:space="preserve">Public Summary Document </w:t>
    </w:r>
    <w:r w:rsidRPr="007B2608">
      <w:rPr>
        <w:i/>
      </w:rPr>
      <w:t>– November 2020 PBAC Meeting</w:t>
    </w:r>
  </w:p>
  <w:p w:rsidR="00737697" w:rsidRPr="008C7ECB" w:rsidRDefault="0073769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44" w:rsidRDefault="00EC0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95145F"/>
    <w:multiLevelType w:val="hybridMultilevel"/>
    <w:tmpl w:val="03900930"/>
    <w:lvl w:ilvl="0" w:tplc="BFCECF2E">
      <w:start w:val="1"/>
      <w:numFmt w:val="decimal"/>
      <w:pStyle w:val="NoSpacing"/>
      <w:lvlText w:val="%1."/>
      <w:lvlJc w:val="left"/>
      <w:pPr>
        <w:ind w:left="720" w:hanging="360"/>
      </w:pPr>
      <w:rPr>
        <w:b w:val="0"/>
        <w:i w:val="0"/>
      </w:rPr>
    </w:lvl>
    <w:lvl w:ilvl="1" w:tplc="933E3186">
      <w:start w:val="1"/>
      <w:numFmt w:val="lowerLetter"/>
      <w:lvlText w:val="%2)"/>
      <w:lvlJc w:val="left"/>
      <w:pPr>
        <w:ind w:left="1440" w:hanging="360"/>
      </w:pPr>
      <w:rPr>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909AB"/>
    <w:multiLevelType w:val="hybridMultilevel"/>
    <w:tmpl w:val="38A46F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3F819DB"/>
    <w:multiLevelType w:val="hybridMultilevel"/>
    <w:tmpl w:val="29725D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49F2A55"/>
    <w:multiLevelType w:val="hybridMultilevel"/>
    <w:tmpl w:val="727696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8090C30"/>
    <w:multiLevelType w:val="hybridMultilevel"/>
    <w:tmpl w:val="6546976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B2E443B"/>
    <w:multiLevelType w:val="hybridMultilevel"/>
    <w:tmpl w:val="B65A39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6800945"/>
    <w:multiLevelType w:val="hybridMultilevel"/>
    <w:tmpl w:val="A14EA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42297"/>
    <w:multiLevelType w:val="hybridMultilevel"/>
    <w:tmpl w:val="469EA032"/>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85DEF"/>
    <w:multiLevelType w:val="hybridMultilevel"/>
    <w:tmpl w:val="A98A9E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40E6627"/>
    <w:multiLevelType w:val="hybridMultilevel"/>
    <w:tmpl w:val="883E2BF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252373"/>
    <w:multiLevelType w:val="multilevel"/>
    <w:tmpl w:val="7CBE2C1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083758"/>
    <w:multiLevelType w:val="hybridMultilevel"/>
    <w:tmpl w:val="E2600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A2D00FD"/>
    <w:multiLevelType w:val="hybridMultilevel"/>
    <w:tmpl w:val="3F38B0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2E805EB"/>
    <w:multiLevelType w:val="hybridMultilevel"/>
    <w:tmpl w:val="5D52A2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84D033C"/>
    <w:multiLevelType w:val="multilevel"/>
    <w:tmpl w:val="28B4E072"/>
    <w:lvl w:ilvl="0">
      <w:start w:val="1"/>
      <w:numFmt w:val="decimal"/>
      <w:pStyle w:val="2-SectionHeading"/>
      <w:lvlText w:val="%1"/>
      <w:lvlJc w:val="left"/>
      <w:pPr>
        <w:ind w:left="720" w:hanging="720"/>
      </w:pPr>
      <w:rPr>
        <w:rFonts w:hint="default"/>
        <w:b/>
        <w:i w:val="0"/>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8"/>
  </w:num>
  <w:num w:numId="3">
    <w:abstractNumId w:val="0"/>
  </w:num>
  <w:num w:numId="4">
    <w:abstractNumId w:val="15"/>
  </w:num>
  <w:num w:numId="5">
    <w:abstractNumId w:val="2"/>
  </w:num>
  <w:num w:numId="6">
    <w:abstractNumId w:val="13"/>
  </w:num>
  <w:num w:numId="7">
    <w:abstractNumId w:val="9"/>
  </w:num>
  <w:num w:numId="8">
    <w:abstractNumId w:val="10"/>
  </w:num>
  <w:num w:numId="9">
    <w:abstractNumId w:val="3"/>
  </w:num>
  <w:num w:numId="10">
    <w:abstractNumId w:val="4"/>
  </w:num>
  <w:num w:numId="11">
    <w:abstractNumId w:val="14"/>
  </w:num>
  <w:num w:numId="12">
    <w:abstractNumId w:val="6"/>
  </w:num>
  <w:num w:numId="13">
    <w:abstractNumId w:val="12"/>
  </w:num>
  <w:num w:numId="14">
    <w:abstractNumId w:val="1"/>
  </w:num>
  <w:num w:numId="15">
    <w:abstractNumId w:val="7"/>
  </w:num>
  <w:num w:numId="16">
    <w:abstractNumId w:val="5"/>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E0D"/>
    <w:rsid w:val="0000110B"/>
    <w:rsid w:val="00003499"/>
    <w:rsid w:val="00003678"/>
    <w:rsid w:val="000039B7"/>
    <w:rsid w:val="00003E40"/>
    <w:rsid w:val="00004516"/>
    <w:rsid w:val="000047EC"/>
    <w:rsid w:val="0000639A"/>
    <w:rsid w:val="00007C97"/>
    <w:rsid w:val="000106EC"/>
    <w:rsid w:val="00012AD7"/>
    <w:rsid w:val="00012C11"/>
    <w:rsid w:val="00013247"/>
    <w:rsid w:val="00015886"/>
    <w:rsid w:val="000162EF"/>
    <w:rsid w:val="00016996"/>
    <w:rsid w:val="00016D16"/>
    <w:rsid w:val="00016E6A"/>
    <w:rsid w:val="000207C9"/>
    <w:rsid w:val="00020B18"/>
    <w:rsid w:val="0002225F"/>
    <w:rsid w:val="000230EE"/>
    <w:rsid w:val="000235D2"/>
    <w:rsid w:val="00023763"/>
    <w:rsid w:val="00026671"/>
    <w:rsid w:val="00026F31"/>
    <w:rsid w:val="000274B8"/>
    <w:rsid w:val="00031600"/>
    <w:rsid w:val="00033863"/>
    <w:rsid w:val="000344C2"/>
    <w:rsid w:val="00034552"/>
    <w:rsid w:val="00035515"/>
    <w:rsid w:val="00035C1A"/>
    <w:rsid w:val="00035DC0"/>
    <w:rsid w:val="000362B6"/>
    <w:rsid w:val="00036829"/>
    <w:rsid w:val="000368F6"/>
    <w:rsid w:val="000372C3"/>
    <w:rsid w:val="000401DB"/>
    <w:rsid w:val="00040895"/>
    <w:rsid w:val="0004112B"/>
    <w:rsid w:val="0004223A"/>
    <w:rsid w:val="000422FB"/>
    <w:rsid w:val="000435EE"/>
    <w:rsid w:val="00043C37"/>
    <w:rsid w:val="00044380"/>
    <w:rsid w:val="00045017"/>
    <w:rsid w:val="00045A2B"/>
    <w:rsid w:val="0004698F"/>
    <w:rsid w:val="00050E50"/>
    <w:rsid w:val="00051E1A"/>
    <w:rsid w:val="000524DC"/>
    <w:rsid w:val="000539D0"/>
    <w:rsid w:val="00053CDD"/>
    <w:rsid w:val="00054621"/>
    <w:rsid w:val="000546D7"/>
    <w:rsid w:val="00056ECF"/>
    <w:rsid w:val="000573B3"/>
    <w:rsid w:val="000604DF"/>
    <w:rsid w:val="0006167A"/>
    <w:rsid w:val="00064113"/>
    <w:rsid w:val="00064510"/>
    <w:rsid w:val="00064D13"/>
    <w:rsid w:val="000653B5"/>
    <w:rsid w:val="00066360"/>
    <w:rsid w:val="00066A2B"/>
    <w:rsid w:val="00066AF8"/>
    <w:rsid w:val="000673EF"/>
    <w:rsid w:val="000674DA"/>
    <w:rsid w:val="000700E9"/>
    <w:rsid w:val="00071248"/>
    <w:rsid w:val="000720B9"/>
    <w:rsid w:val="000737F7"/>
    <w:rsid w:val="00075067"/>
    <w:rsid w:val="000758AE"/>
    <w:rsid w:val="00076034"/>
    <w:rsid w:val="0007672F"/>
    <w:rsid w:val="00076B24"/>
    <w:rsid w:val="00076B54"/>
    <w:rsid w:val="000774F0"/>
    <w:rsid w:val="00080546"/>
    <w:rsid w:val="0008071F"/>
    <w:rsid w:val="00080909"/>
    <w:rsid w:val="000812CA"/>
    <w:rsid w:val="0008143E"/>
    <w:rsid w:val="00081E63"/>
    <w:rsid w:val="0008258D"/>
    <w:rsid w:val="00083688"/>
    <w:rsid w:val="000836DF"/>
    <w:rsid w:val="00083E99"/>
    <w:rsid w:val="00084FA8"/>
    <w:rsid w:val="000856C5"/>
    <w:rsid w:val="00085C31"/>
    <w:rsid w:val="00086C2A"/>
    <w:rsid w:val="000902D9"/>
    <w:rsid w:val="00090C7E"/>
    <w:rsid w:val="00092600"/>
    <w:rsid w:val="0009262B"/>
    <w:rsid w:val="00092C98"/>
    <w:rsid w:val="00093310"/>
    <w:rsid w:val="00093A02"/>
    <w:rsid w:val="0009444A"/>
    <w:rsid w:val="0009445C"/>
    <w:rsid w:val="00094C7E"/>
    <w:rsid w:val="00095200"/>
    <w:rsid w:val="00095E34"/>
    <w:rsid w:val="00095FE5"/>
    <w:rsid w:val="00096160"/>
    <w:rsid w:val="000961FB"/>
    <w:rsid w:val="00096284"/>
    <w:rsid w:val="000966ED"/>
    <w:rsid w:val="000A0CD7"/>
    <w:rsid w:val="000A177E"/>
    <w:rsid w:val="000A1BC0"/>
    <w:rsid w:val="000A323C"/>
    <w:rsid w:val="000A4090"/>
    <w:rsid w:val="000A435E"/>
    <w:rsid w:val="000A6039"/>
    <w:rsid w:val="000A7453"/>
    <w:rsid w:val="000A7D08"/>
    <w:rsid w:val="000B0121"/>
    <w:rsid w:val="000B0670"/>
    <w:rsid w:val="000B0B8E"/>
    <w:rsid w:val="000B0E75"/>
    <w:rsid w:val="000B2A37"/>
    <w:rsid w:val="000B2DCB"/>
    <w:rsid w:val="000B3C95"/>
    <w:rsid w:val="000B472E"/>
    <w:rsid w:val="000B57BD"/>
    <w:rsid w:val="000B5CE0"/>
    <w:rsid w:val="000B6CAC"/>
    <w:rsid w:val="000B7612"/>
    <w:rsid w:val="000B78AE"/>
    <w:rsid w:val="000B7EAA"/>
    <w:rsid w:val="000C23EF"/>
    <w:rsid w:val="000C24ED"/>
    <w:rsid w:val="000C28F2"/>
    <w:rsid w:val="000C3DF9"/>
    <w:rsid w:val="000C6713"/>
    <w:rsid w:val="000D1BFC"/>
    <w:rsid w:val="000D1D5D"/>
    <w:rsid w:val="000D281A"/>
    <w:rsid w:val="000D2848"/>
    <w:rsid w:val="000D326A"/>
    <w:rsid w:val="000D48AF"/>
    <w:rsid w:val="000D51FB"/>
    <w:rsid w:val="000E0640"/>
    <w:rsid w:val="000E135D"/>
    <w:rsid w:val="000E1B7E"/>
    <w:rsid w:val="000E2BE5"/>
    <w:rsid w:val="000E4249"/>
    <w:rsid w:val="000E49DF"/>
    <w:rsid w:val="000E6383"/>
    <w:rsid w:val="000E699E"/>
    <w:rsid w:val="000E6F39"/>
    <w:rsid w:val="000E77FC"/>
    <w:rsid w:val="000F00BA"/>
    <w:rsid w:val="000F03C2"/>
    <w:rsid w:val="000F0ECA"/>
    <w:rsid w:val="000F110B"/>
    <w:rsid w:val="000F151D"/>
    <w:rsid w:val="000F1C82"/>
    <w:rsid w:val="000F316A"/>
    <w:rsid w:val="000F3C42"/>
    <w:rsid w:val="000F3C74"/>
    <w:rsid w:val="000F4BB8"/>
    <w:rsid w:val="000F4FA9"/>
    <w:rsid w:val="000F53FB"/>
    <w:rsid w:val="000F6E02"/>
    <w:rsid w:val="000F7127"/>
    <w:rsid w:val="000F7B54"/>
    <w:rsid w:val="000F7D93"/>
    <w:rsid w:val="00100F8A"/>
    <w:rsid w:val="00102F41"/>
    <w:rsid w:val="0010452E"/>
    <w:rsid w:val="00105AE2"/>
    <w:rsid w:val="00105EE2"/>
    <w:rsid w:val="001060C6"/>
    <w:rsid w:val="0010621F"/>
    <w:rsid w:val="00106B80"/>
    <w:rsid w:val="0011032E"/>
    <w:rsid w:val="00111C6B"/>
    <w:rsid w:val="0011348B"/>
    <w:rsid w:val="001138C7"/>
    <w:rsid w:val="00115982"/>
    <w:rsid w:val="00116C53"/>
    <w:rsid w:val="00120897"/>
    <w:rsid w:val="00120A12"/>
    <w:rsid w:val="001216A8"/>
    <w:rsid w:val="00121799"/>
    <w:rsid w:val="001217B1"/>
    <w:rsid w:val="001222FC"/>
    <w:rsid w:val="00123902"/>
    <w:rsid w:val="00124A51"/>
    <w:rsid w:val="001254E6"/>
    <w:rsid w:val="00126621"/>
    <w:rsid w:val="00126B1D"/>
    <w:rsid w:val="001301E9"/>
    <w:rsid w:val="001305EB"/>
    <w:rsid w:val="00131D82"/>
    <w:rsid w:val="001322CF"/>
    <w:rsid w:val="00132358"/>
    <w:rsid w:val="00132419"/>
    <w:rsid w:val="00132B22"/>
    <w:rsid w:val="00133D36"/>
    <w:rsid w:val="0013580A"/>
    <w:rsid w:val="00135B89"/>
    <w:rsid w:val="00137645"/>
    <w:rsid w:val="00137FC1"/>
    <w:rsid w:val="0014015A"/>
    <w:rsid w:val="00140E99"/>
    <w:rsid w:val="001415C4"/>
    <w:rsid w:val="0014369E"/>
    <w:rsid w:val="00143F67"/>
    <w:rsid w:val="00145540"/>
    <w:rsid w:val="0014566F"/>
    <w:rsid w:val="001456B0"/>
    <w:rsid w:val="0015065D"/>
    <w:rsid w:val="0015537D"/>
    <w:rsid w:val="001558AA"/>
    <w:rsid w:val="00156F8F"/>
    <w:rsid w:val="00157130"/>
    <w:rsid w:val="001576B1"/>
    <w:rsid w:val="0016047B"/>
    <w:rsid w:val="00160A4C"/>
    <w:rsid w:val="00161403"/>
    <w:rsid w:val="00161AB9"/>
    <w:rsid w:val="00162913"/>
    <w:rsid w:val="001630C3"/>
    <w:rsid w:val="00163EFF"/>
    <w:rsid w:val="00163F66"/>
    <w:rsid w:val="001652F4"/>
    <w:rsid w:val="001661FB"/>
    <w:rsid w:val="001671A0"/>
    <w:rsid w:val="0016767F"/>
    <w:rsid w:val="00173565"/>
    <w:rsid w:val="00173B07"/>
    <w:rsid w:val="00174B74"/>
    <w:rsid w:val="00174FCF"/>
    <w:rsid w:val="001751FA"/>
    <w:rsid w:val="0017768D"/>
    <w:rsid w:val="0018003A"/>
    <w:rsid w:val="00181D9C"/>
    <w:rsid w:val="00183206"/>
    <w:rsid w:val="00184AF1"/>
    <w:rsid w:val="00184B0E"/>
    <w:rsid w:val="00187263"/>
    <w:rsid w:val="0018752F"/>
    <w:rsid w:val="00187AF2"/>
    <w:rsid w:val="00193838"/>
    <w:rsid w:val="001941E2"/>
    <w:rsid w:val="0019464F"/>
    <w:rsid w:val="00194AD8"/>
    <w:rsid w:val="00194B37"/>
    <w:rsid w:val="00195222"/>
    <w:rsid w:val="0019555B"/>
    <w:rsid w:val="00196287"/>
    <w:rsid w:val="001975D8"/>
    <w:rsid w:val="00197B67"/>
    <w:rsid w:val="001A178E"/>
    <w:rsid w:val="001A1B85"/>
    <w:rsid w:val="001A43FA"/>
    <w:rsid w:val="001A47C5"/>
    <w:rsid w:val="001A48EC"/>
    <w:rsid w:val="001A5634"/>
    <w:rsid w:val="001A57E0"/>
    <w:rsid w:val="001A59FB"/>
    <w:rsid w:val="001A5B39"/>
    <w:rsid w:val="001A5E9E"/>
    <w:rsid w:val="001A6354"/>
    <w:rsid w:val="001A6366"/>
    <w:rsid w:val="001A7AE8"/>
    <w:rsid w:val="001A7E35"/>
    <w:rsid w:val="001B1574"/>
    <w:rsid w:val="001B1FEE"/>
    <w:rsid w:val="001B204E"/>
    <w:rsid w:val="001B2142"/>
    <w:rsid w:val="001B2372"/>
    <w:rsid w:val="001B3443"/>
    <w:rsid w:val="001B3AF4"/>
    <w:rsid w:val="001B4D20"/>
    <w:rsid w:val="001B5F30"/>
    <w:rsid w:val="001B66D7"/>
    <w:rsid w:val="001B6D1C"/>
    <w:rsid w:val="001B6E05"/>
    <w:rsid w:val="001C190B"/>
    <w:rsid w:val="001C2A9B"/>
    <w:rsid w:val="001C3CA1"/>
    <w:rsid w:val="001C4299"/>
    <w:rsid w:val="001C4874"/>
    <w:rsid w:val="001C5F94"/>
    <w:rsid w:val="001C6E66"/>
    <w:rsid w:val="001D1100"/>
    <w:rsid w:val="001D1391"/>
    <w:rsid w:val="001D25A6"/>
    <w:rsid w:val="001D25D7"/>
    <w:rsid w:val="001D2B06"/>
    <w:rsid w:val="001D3C78"/>
    <w:rsid w:val="001D50B2"/>
    <w:rsid w:val="001D51A4"/>
    <w:rsid w:val="001D58AA"/>
    <w:rsid w:val="001D5962"/>
    <w:rsid w:val="001D59EF"/>
    <w:rsid w:val="001D7645"/>
    <w:rsid w:val="001E15A7"/>
    <w:rsid w:val="001E1E86"/>
    <w:rsid w:val="001E238E"/>
    <w:rsid w:val="001E2483"/>
    <w:rsid w:val="001E24BC"/>
    <w:rsid w:val="001E259E"/>
    <w:rsid w:val="001E2B1E"/>
    <w:rsid w:val="001E2CFF"/>
    <w:rsid w:val="001E2F24"/>
    <w:rsid w:val="001E30D4"/>
    <w:rsid w:val="001E34DF"/>
    <w:rsid w:val="001E52EB"/>
    <w:rsid w:val="001E563D"/>
    <w:rsid w:val="001E56FF"/>
    <w:rsid w:val="001E59AC"/>
    <w:rsid w:val="001E61D2"/>
    <w:rsid w:val="001E64C9"/>
    <w:rsid w:val="001E740C"/>
    <w:rsid w:val="001F0733"/>
    <w:rsid w:val="001F0ED1"/>
    <w:rsid w:val="001F1235"/>
    <w:rsid w:val="001F1CB3"/>
    <w:rsid w:val="001F20A4"/>
    <w:rsid w:val="001F2CE4"/>
    <w:rsid w:val="001F36D1"/>
    <w:rsid w:val="001F38B5"/>
    <w:rsid w:val="001F4081"/>
    <w:rsid w:val="001F7361"/>
    <w:rsid w:val="0020086C"/>
    <w:rsid w:val="00200EF8"/>
    <w:rsid w:val="002011B0"/>
    <w:rsid w:val="00201E07"/>
    <w:rsid w:val="00202E6B"/>
    <w:rsid w:val="00203181"/>
    <w:rsid w:val="00203783"/>
    <w:rsid w:val="0020385F"/>
    <w:rsid w:val="00203A3C"/>
    <w:rsid w:val="002068A0"/>
    <w:rsid w:val="00207021"/>
    <w:rsid w:val="0020732F"/>
    <w:rsid w:val="00207D00"/>
    <w:rsid w:val="002105C1"/>
    <w:rsid w:val="002110FB"/>
    <w:rsid w:val="00211213"/>
    <w:rsid w:val="0021156B"/>
    <w:rsid w:val="00212234"/>
    <w:rsid w:val="00213804"/>
    <w:rsid w:val="00213EF5"/>
    <w:rsid w:val="0021443C"/>
    <w:rsid w:val="00214DBE"/>
    <w:rsid w:val="00216BF5"/>
    <w:rsid w:val="00217CA5"/>
    <w:rsid w:val="00222C16"/>
    <w:rsid w:val="00223B49"/>
    <w:rsid w:val="00223D5A"/>
    <w:rsid w:val="00223EFB"/>
    <w:rsid w:val="002242EB"/>
    <w:rsid w:val="00224DD4"/>
    <w:rsid w:val="002272AF"/>
    <w:rsid w:val="002278A0"/>
    <w:rsid w:val="002309CC"/>
    <w:rsid w:val="00230DB1"/>
    <w:rsid w:val="002312FA"/>
    <w:rsid w:val="0023209F"/>
    <w:rsid w:val="00232344"/>
    <w:rsid w:val="00233C01"/>
    <w:rsid w:val="00233C59"/>
    <w:rsid w:val="0023413C"/>
    <w:rsid w:val="00234216"/>
    <w:rsid w:val="002346F0"/>
    <w:rsid w:val="00234977"/>
    <w:rsid w:val="0023629D"/>
    <w:rsid w:val="002363B6"/>
    <w:rsid w:val="00237255"/>
    <w:rsid w:val="0023792B"/>
    <w:rsid w:val="0024208C"/>
    <w:rsid w:val="002424AF"/>
    <w:rsid w:val="002439DC"/>
    <w:rsid w:val="002441D2"/>
    <w:rsid w:val="00244287"/>
    <w:rsid w:val="00244683"/>
    <w:rsid w:val="00244C94"/>
    <w:rsid w:val="00244DC8"/>
    <w:rsid w:val="002458BA"/>
    <w:rsid w:val="00245CE9"/>
    <w:rsid w:val="0024636C"/>
    <w:rsid w:val="00247925"/>
    <w:rsid w:val="00251006"/>
    <w:rsid w:val="002510B1"/>
    <w:rsid w:val="00251B85"/>
    <w:rsid w:val="00251D2C"/>
    <w:rsid w:val="002524D5"/>
    <w:rsid w:val="00253B1D"/>
    <w:rsid w:val="00253C0A"/>
    <w:rsid w:val="00254DCF"/>
    <w:rsid w:val="002550B4"/>
    <w:rsid w:val="0025534B"/>
    <w:rsid w:val="00255BB7"/>
    <w:rsid w:val="00257541"/>
    <w:rsid w:val="00257A39"/>
    <w:rsid w:val="00257AC4"/>
    <w:rsid w:val="00260DAC"/>
    <w:rsid w:val="00261EEF"/>
    <w:rsid w:val="00262A1A"/>
    <w:rsid w:val="00262A87"/>
    <w:rsid w:val="002638D2"/>
    <w:rsid w:val="00264D26"/>
    <w:rsid w:val="00267642"/>
    <w:rsid w:val="00267AEA"/>
    <w:rsid w:val="002700E6"/>
    <w:rsid w:val="0027294B"/>
    <w:rsid w:val="00273EB4"/>
    <w:rsid w:val="00273F66"/>
    <w:rsid w:val="00274682"/>
    <w:rsid w:val="00274B6D"/>
    <w:rsid w:val="0027513E"/>
    <w:rsid w:val="00275A94"/>
    <w:rsid w:val="00275C5A"/>
    <w:rsid w:val="002778BA"/>
    <w:rsid w:val="00281014"/>
    <w:rsid w:val="00281337"/>
    <w:rsid w:val="002814B6"/>
    <w:rsid w:val="00281935"/>
    <w:rsid w:val="00285BE5"/>
    <w:rsid w:val="0028665D"/>
    <w:rsid w:val="002907DC"/>
    <w:rsid w:val="002932A1"/>
    <w:rsid w:val="00293656"/>
    <w:rsid w:val="00293B01"/>
    <w:rsid w:val="00294D00"/>
    <w:rsid w:val="002A0CB2"/>
    <w:rsid w:val="002A14AB"/>
    <w:rsid w:val="002A2ADE"/>
    <w:rsid w:val="002A2F50"/>
    <w:rsid w:val="002A5424"/>
    <w:rsid w:val="002A7F10"/>
    <w:rsid w:val="002A7F68"/>
    <w:rsid w:val="002B02CF"/>
    <w:rsid w:val="002B05A1"/>
    <w:rsid w:val="002B09A4"/>
    <w:rsid w:val="002B1C1F"/>
    <w:rsid w:val="002B208E"/>
    <w:rsid w:val="002B296B"/>
    <w:rsid w:val="002B365A"/>
    <w:rsid w:val="002B3E4A"/>
    <w:rsid w:val="002B432F"/>
    <w:rsid w:val="002B62B3"/>
    <w:rsid w:val="002B66D6"/>
    <w:rsid w:val="002B6754"/>
    <w:rsid w:val="002B6CCE"/>
    <w:rsid w:val="002B7490"/>
    <w:rsid w:val="002C2510"/>
    <w:rsid w:val="002C2775"/>
    <w:rsid w:val="002C27C1"/>
    <w:rsid w:val="002C3613"/>
    <w:rsid w:val="002C4A05"/>
    <w:rsid w:val="002C5099"/>
    <w:rsid w:val="002C567D"/>
    <w:rsid w:val="002C5889"/>
    <w:rsid w:val="002C71CE"/>
    <w:rsid w:val="002C790A"/>
    <w:rsid w:val="002D0234"/>
    <w:rsid w:val="002D08F8"/>
    <w:rsid w:val="002D0D9B"/>
    <w:rsid w:val="002D1E71"/>
    <w:rsid w:val="002D2582"/>
    <w:rsid w:val="002D520B"/>
    <w:rsid w:val="002D577C"/>
    <w:rsid w:val="002D5AFB"/>
    <w:rsid w:val="002D792C"/>
    <w:rsid w:val="002E0015"/>
    <w:rsid w:val="002E02F5"/>
    <w:rsid w:val="002E1071"/>
    <w:rsid w:val="002E15B9"/>
    <w:rsid w:val="002E1D08"/>
    <w:rsid w:val="002E2158"/>
    <w:rsid w:val="002E46DF"/>
    <w:rsid w:val="002E4F02"/>
    <w:rsid w:val="002E5263"/>
    <w:rsid w:val="002E6BB7"/>
    <w:rsid w:val="002E76C7"/>
    <w:rsid w:val="002E7722"/>
    <w:rsid w:val="002F07BA"/>
    <w:rsid w:val="002F0DA9"/>
    <w:rsid w:val="002F1014"/>
    <w:rsid w:val="002F1FF1"/>
    <w:rsid w:val="002F28BD"/>
    <w:rsid w:val="002F4BFA"/>
    <w:rsid w:val="002F4E6D"/>
    <w:rsid w:val="002F6197"/>
    <w:rsid w:val="002F643C"/>
    <w:rsid w:val="002F65F3"/>
    <w:rsid w:val="002F71C0"/>
    <w:rsid w:val="002F74F1"/>
    <w:rsid w:val="003006ED"/>
    <w:rsid w:val="00300801"/>
    <w:rsid w:val="00301017"/>
    <w:rsid w:val="0030155F"/>
    <w:rsid w:val="0030214E"/>
    <w:rsid w:val="0030431C"/>
    <w:rsid w:val="0030587B"/>
    <w:rsid w:val="00306D98"/>
    <w:rsid w:val="0030772F"/>
    <w:rsid w:val="0030786C"/>
    <w:rsid w:val="0031031A"/>
    <w:rsid w:val="00310981"/>
    <w:rsid w:val="003124D9"/>
    <w:rsid w:val="00312594"/>
    <w:rsid w:val="00312FDB"/>
    <w:rsid w:val="00313BF0"/>
    <w:rsid w:val="00314425"/>
    <w:rsid w:val="00314C99"/>
    <w:rsid w:val="00315069"/>
    <w:rsid w:val="00315498"/>
    <w:rsid w:val="00316474"/>
    <w:rsid w:val="00317A60"/>
    <w:rsid w:val="003214CD"/>
    <w:rsid w:val="00322107"/>
    <w:rsid w:val="00322355"/>
    <w:rsid w:val="00322846"/>
    <w:rsid w:val="00322C1E"/>
    <w:rsid w:val="00323DD7"/>
    <w:rsid w:val="00326DA7"/>
    <w:rsid w:val="003270E4"/>
    <w:rsid w:val="00330CC4"/>
    <w:rsid w:val="00330DAA"/>
    <w:rsid w:val="00330F5C"/>
    <w:rsid w:val="00330F82"/>
    <w:rsid w:val="003315CD"/>
    <w:rsid w:val="00331A23"/>
    <w:rsid w:val="00333062"/>
    <w:rsid w:val="00334179"/>
    <w:rsid w:val="003366C9"/>
    <w:rsid w:val="003371B0"/>
    <w:rsid w:val="00340DF1"/>
    <w:rsid w:val="0034232B"/>
    <w:rsid w:val="00342EDE"/>
    <w:rsid w:val="00343527"/>
    <w:rsid w:val="003456E4"/>
    <w:rsid w:val="003460A2"/>
    <w:rsid w:val="003503B3"/>
    <w:rsid w:val="00350674"/>
    <w:rsid w:val="00350744"/>
    <w:rsid w:val="003517F9"/>
    <w:rsid w:val="00351BA9"/>
    <w:rsid w:val="003521E9"/>
    <w:rsid w:val="00352E88"/>
    <w:rsid w:val="003534D4"/>
    <w:rsid w:val="00354C63"/>
    <w:rsid w:val="00354F64"/>
    <w:rsid w:val="0035620E"/>
    <w:rsid w:val="003565C1"/>
    <w:rsid w:val="0035662D"/>
    <w:rsid w:val="00357B4F"/>
    <w:rsid w:val="00360345"/>
    <w:rsid w:val="003609E1"/>
    <w:rsid w:val="00361A05"/>
    <w:rsid w:val="003624C4"/>
    <w:rsid w:val="00363B00"/>
    <w:rsid w:val="003654AC"/>
    <w:rsid w:val="0036588B"/>
    <w:rsid w:val="00366344"/>
    <w:rsid w:val="003665BC"/>
    <w:rsid w:val="00370ABA"/>
    <w:rsid w:val="003710CF"/>
    <w:rsid w:val="00372341"/>
    <w:rsid w:val="0037358A"/>
    <w:rsid w:val="00374BDA"/>
    <w:rsid w:val="003750F6"/>
    <w:rsid w:val="003760FC"/>
    <w:rsid w:val="00377E4B"/>
    <w:rsid w:val="00382EB1"/>
    <w:rsid w:val="0038365C"/>
    <w:rsid w:val="0038369B"/>
    <w:rsid w:val="00383B78"/>
    <w:rsid w:val="00385406"/>
    <w:rsid w:val="0038548B"/>
    <w:rsid w:val="00385A9D"/>
    <w:rsid w:val="0038672F"/>
    <w:rsid w:val="0038744C"/>
    <w:rsid w:val="003902B1"/>
    <w:rsid w:val="003912BD"/>
    <w:rsid w:val="0039179C"/>
    <w:rsid w:val="00392474"/>
    <w:rsid w:val="00393175"/>
    <w:rsid w:val="00393298"/>
    <w:rsid w:val="00393FDB"/>
    <w:rsid w:val="00394B11"/>
    <w:rsid w:val="00395EF5"/>
    <w:rsid w:val="00396896"/>
    <w:rsid w:val="00396FD0"/>
    <w:rsid w:val="00397DEA"/>
    <w:rsid w:val="003A092E"/>
    <w:rsid w:val="003A1A7A"/>
    <w:rsid w:val="003A2392"/>
    <w:rsid w:val="003A2831"/>
    <w:rsid w:val="003A2CA8"/>
    <w:rsid w:val="003A2DEF"/>
    <w:rsid w:val="003A2F76"/>
    <w:rsid w:val="003A3CB6"/>
    <w:rsid w:val="003A3ED1"/>
    <w:rsid w:val="003A44DB"/>
    <w:rsid w:val="003A7090"/>
    <w:rsid w:val="003B1527"/>
    <w:rsid w:val="003B1BFA"/>
    <w:rsid w:val="003B20AB"/>
    <w:rsid w:val="003B252E"/>
    <w:rsid w:val="003B2D55"/>
    <w:rsid w:val="003B304C"/>
    <w:rsid w:val="003B36A9"/>
    <w:rsid w:val="003B3971"/>
    <w:rsid w:val="003B3C3A"/>
    <w:rsid w:val="003B40D1"/>
    <w:rsid w:val="003B55D1"/>
    <w:rsid w:val="003B5B61"/>
    <w:rsid w:val="003C07B8"/>
    <w:rsid w:val="003C0937"/>
    <w:rsid w:val="003C1654"/>
    <w:rsid w:val="003C2634"/>
    <w:rsid w:val="003C41FE"/>
    <w:rsid w:val="003C5542"/>
    <w:rsid w:val="003C7D19"/>
    <w:rsid w:val="003C7D2F"/>
    <w:rsid w:val="003D0AC2"/>
    <w:rsid w:val="003D1828"/>
    <w:rsid w:val="003D1DE4"/>
    <w:rsid w:val="003D1E9A"/>
    <w:rsid w:val="003D2422"/>
    <w:rsid w:val="003D30C4"/>
    <w:rsid w:val="003D3793"/>
    <w:rsid w:val="003D39A1"/>
    <w:rsid w:val="003D3FBF"/>
    <w:rsid w:val="003D4A30"/>
    <w:rsid w:val="003D571A"/>
    <w:rsid w:val="003D5939"/>
    <w:rsid w:val="003D5CF9"/>
    <w:rsid w:val="003D5FB7"/>
    <w:rsid w:val="003D7452"/>
    <w:rsid w:val="003D79BB"/>
    <w:rsid w:val="003D7A1D"/>
    <w:rsid w:val="003D7C98"/>
    <w:rsid w:val="003D7D9D"/>
    <w:rsid w:val="003E0543"/>
    <w:rsid w:val="003E3943"/>
    <w:rsid w:val="003E749E"/>
    <w:rsid w:val="003E7509"/>
    <w:rsid w:val="003F0C65"/>
    <w:rsid w:val="003F2C6D"/>
    <w:rsid w:val="003F4156"/>
    <w:rsid w:val="003F45DC"/>
    <w:rsid w:val="003F5ADF"/>
    <w:rsid w:val="003F6FF8"/>
    <w:rsid w:val="00400B29"/>
    <w:rsid w:val="00400E06"/>
    <w:rsid w:val="00400FB4"/>
    <w:rsid w:val="00401433"/>
    <w:rsid w:val="00401773"/>
    <w:rsid w:val="0040504B"/>
    <w:rsid w:val="004054D0"/>
    <w:rsid w:val="004057DC"/>
    <w:rsid w:val="0040594A"/>
    <w:rsid w:val="004059D6"/>
    <w:rsid w:val="004059F4"/>
    <w:rsid w:val="00406E7E"/>
    <w:rsid w:val="00407FE5"/>
    <w:rsid w:val="004101B0"/>
    <w:rsid w:val="00410326"/>
    <w:rsid w:val="00410708"/>
    <w:rsid w:val="00410AA1"/>
    <w:rsid w:val="00410EC7"/>
    <w:rsid w:val="00411B39"/>
    <w:rsid w:val="004127A7"/>
    <w:rsid w:val="00412CCD"/>
    <w:rsid w:val="00413A1E"/>
    <w:rsid w:val="00414476"/>
    <w:rsid w:val="00414C2E"/>
    <w:rsid w:val="004151CF"/>
    <w:rsid w:val="00416364"/>
    <w:rsid w:val="0042047F"/>
    <w:rsid w:val="0042060C"/>
    <w:rsid w:val="0042061A"/>
    <w:rsid w:val="00420AA6"/>
    <w:rsid w:val="00420B9F"/>
    <w:rsid w:val="0042192C"/>
    <w:rsid w:val="00421A54"/>
    <w:rsid w:val="00422260"/>
    <w:rsid w:val="0042358B"/>
    <w:rsid w:val="00423DCF"/>
    <w:rsid w:val="0042413F"/>
    <w:rsid w:val="00424775"/>
    <w:rsid w:val="0042478D"/>
    <w:rsid w:val="00426009"/>
    <w:rsid w:val="00426968"/>
    <w:rsid w:val="004319F8"/>
    <w:rsid w:val="00431E55"/>
    <w:rsid w:val="004321F6"/>
    <w:rsid w:val="00432EBF"/>
    <w:rsid w:val="00433044"/>
    <w:rsid w:val="00433ABE"/>
    <w:rsid w:val="00433EF3"/>
    <w:rsid w:val="00434088"/>
    <w:rsid w:val="00435977"/>
    <w:rsid w:val="004359F8"/>
    <w:rsid w:val="00435BDC"/>
    <w:rsid w:val="00435C1E"/>
    <w:rsid w:val="00435F6A"/>
    <w:rsid w:val="00436D4D"/>
    <w:rsid w:val="00437210"/>
    <w:rsid w:val="004375B9"/>
    <w:rsid w:val="0043779F"/>
    <w:rsid w:val="00440050"/>
    <w:rsid w:val="0044018A"/>
    <w:rsid w:val="004428D0"/>
    <w:rsid w:val="00444185"/>
    <w:rsid w:val="004443A7"/>
    <w:rsid w:val="0044442C"/>
    <w:rsid w:val="0044501D"/>
    <w:rsid w:val="0044512D"/>
    <w:rsid w:val="00445941"/>
    <w:rsid w:val="00445AEA"/>
    <w:rsid w:val="004463DF"/>
    <w:rsid w:val="004464EB"/>
    <w:rsid w:val="00447D26"/>
    <w:rsid w:val="00447DFC"/>
    <w:rsid w:val="004507EA"/>
    <w:rsid w:val="0045098A"/>
    <w:rsid w:val="00450D37"/>
    <w:rsid w:val="004522F4"/>
    <w:rsid w:val="00453414"/>
    <w:rsid w:val="00454349"/>
    <w:rsid w:val="00455D45"/>
    <w:rsid w:val="004563C4"/>
    <w:rsid w:val="0046042B"/>
    <w:rsid w:val="00461F92"/>
    <w:rsid w:val="00463175"/>
    <w:rsid w:val="00463F7A"/>
    <w:rsid w:val="00464595"/>
    <w:rsid w:val="00464707"/>
    <w:rsid w:val="004658B5"/>
    <w:rsid w:val="004673A2"/>
    <w:rsid w:val="00467A69"/>
    <w:rsid w:val="004701B4"/>
    <w:rsid w:val="00471EA5"/>
    <w:rsid w:val="00472A79"/>
    <w:rsid w:val="00472F98"/>
    <w:rsid w:val="00473467"/>
    <w:rsid w:val="004736E5"/>
    <w:rsid w:val="00473F19"/>
    <w:rsid w:val="004749E7"/>
    <w:rsid w:val="00475951"/>
    <w:rsid w:val="00475E04"/>
    <w:rsid w:val="00475E22"/>
    <w:rsid w:val="00475F31"/>
    <w:rsid w:val="0047771B"/>
    <w:rsid w:val="0048088E"/>
    <w:rsid w:val="00480F2B"/>
    <w:rsid w:val="00482720"/>
    <w:rsid w:val="004835E7"/>
    <w:rsid w:val="0048513F"/>
    <w:rsid w:val="004864C7"/>
    <w:rsid w:val="004867E2"/>
    <w:rsid w:val="0048714B"/>
    <w:rsid w:val="004875FF"/>
    <w:rsid w:val="00490B17"/>
    <w:rsid w:val="00491B3A"/>
    <w:rsid w:val="004920E6"/>
    <w:rsid w:val="00492CFD"/>
    <w:rsid w:val="00494207"/>
    <w:rsid w:val="00494C0F"/>
    <w:rsid w:val="00494DD5"/>
    <w:rsid w:val="004962D2"/>
    <w:rsid w:val="00497B3C"/>
    <w:rsid w:val="004A0DA1"/>
    <w:rsid w:val="004A13D6"/>
    <w:rsid w:val="004A2A3D"/>
    <w:rsid w:val="004A3935"/>
    <w:rsid w:val="004A52E9"/>
    <w:rsid w:val="004A6040"/>
    <w:rsid w:val="004A6597"/>
    <w:rsid w:val="004A7848"/>
    <w:rsid w:val="004B1276"/>
    <w:rsid w:val="004B18E1"/>
    <w:rsid w:val="004B1CB4"/>
    <w:rsid w:val="004B2F18"/>
    <w:rsid w:val="004B36E3"/>
    <w:rsid w:val="004B3DDB"/>
    <w:rsid w:val="004B44FD"/>
    <w:rsid w:val="004B4DD1"/>
    <w:rsid w:val="004B5CFC"/>
    <w:rsid w:val="004B6A8A"/>
    <w:rsid w:val="004B6F79"/>
    <w:rsid w:val="004B774D"/>
    <w:rsid w:val="004C0DF1"/>
    <w:rsid w:val="004C1AED"/>
    <w:rsid w:val="004C1EE1"/>
    <w:rsid w:val="004C4AED"/>
    <w:rsid w:val="004C4AF0"/>
    <w:rsid w:val="004C5636"/>
    <w:rsid w:val="004D082D"/>
    <w:rsid w:val="004D24F5"/>
    <w:rsid w:val="004D2C2D"/>
    <w:rsid w:val="004D3251"/>
    <w:rsid w:val="004D4334"/>
    <w:rsid w:val="004D69B5"/>
    <w:rsid w:val="004D7227"/>
    <w:rsid w:val="004D758F"/>
    <w:rsid w:val="004E0421"/>
    <w:rsid w:val="004E0E7F"/>
    <w:rsid w:val="004E0EB8"/>
    <w:rsid w:val="004E18E9"/>
    <w:rsid w:val="004E1CAD"/>
    <w:rsid w:val="004E2ADC"/>
    <w:rsid w:val="004E43B2"/>
    <w:rsid w:val="004E4B7E"/>
    <w:rsid w:val="004E552C"/>
    <w:rsid w:val="004E5CFB"/>
    <w:rsid w:val="004E5E02"/>
    <w:rsid w:val="004F1D02"/>
    <w:rsid w:val="004F2679"/>
    <w:rsid w:val="004F2F21"/>
    <w:rsid w:val="004F3698"/>
    <w:rsid w:val="004F3DE5"/>
    <w:rsid w:val="004F4413"/>
    <w:rsid w:val="004F541D"/>
    <w:rsid w:val="004F6913"/>
    <w:rsid w:val="004F71AD"/>
    <w:rsid w:val="004F76AC"/>
    <w:rsid w:val="004F7865"/>
    <w:rsid w:val="0050174E"/>
    <w:rsid w:val="00501854"/>
    <w:rsid w:val="0050219B"/>
    <w:rsid w:val="00503F17"/>
    <w:rsid w:val="005058D6"/>
    <w:rsid w:val="00506928"/>
    <w:rsid w:val="005077EF"/>
    <w:rsid w:val="00511AD5"/>
    <w:rsid w:val="00511DC7"/>
    <w:rsid w:val="00511FB1"/>
    <w:rsid w:val="005126AB"/>
    <w:rsid w:val="0051329E"/>
    <w:rsid w:val="005142C5"/>
    <w:rsid w:val="0051501B"/>
    <w:rsid w:val="005152B5"/>
    <w:rsid w:val="005156B1"/>
    <w:rsid w:val="0051699E"/>
    <w:rsid w:val="00520F5B"/>
    <w:rsid w:val="0052123C"/>
    <w:rsid w:val="00521319"/>
    <w:rsid w:val="00521E93"/>
    <w:rsid w:val="00522BC8"/>
    <w:rsid w:val="00523083"/>
    <w:rsid w:val="00523C28"/>
    <w:rsid w:val="00527BCB"/>
    <w:rsid w:val="005300FC"/>
    <w:rsid w:val="0053176B"/>
    <w:rsid w:val="005325AC"/>
    <w:rsid w:val="0053325D"/>
    <w:rsid w:val="00536A6A"/>
    <w:rsid w:val="00536F42"/>
    <w:rsid w:val="00537182"/>
    <w:rsid w:val="00540E31"/>
    <w:rsid w:val="005412EE"/>
    <w:rsid w:val="00541A7C"/>
    <w:rsid w:val="00541EDD"/>
    <w:rsid w:val="00542352"/>
    <w:rsid w:val="00542743"/>
    <w:rsid w:val="00542C2D"/>
    <w:rsid w:val="005436A8"/>
    <w:rsid w:val="00544A82"/>
    <w:rsid w:val="00546A1C"/>
    <w:rsid w:val="00547095"/>
    <w:rsid w:val="005478BD"/>
    <w:rsid w:val="005479E3"/>
    <w:rsid w:val="00550FDB"/>
    <w:rsid w:val="0055170D"/>
    <w:rsid w:val="005518A6"/>
    <w:rsid w:val="00551985"/>
    <w:rsid w:val="00552118"/>
    <w:rsid w:val="005526C9"/>
    <w:rsid w:val="00552B13"/>
    <w:rsid w:val="00552BD3"/>
    <w:rsid w:val="005532A0"/>
    <w:rsid w:val="005534FE"/>
    <w:rsid w:val="00554E7D"/>
    <w:rsid w:val="00555109"/>
    <w:rsid w:val="00556B35"/>
    <w:rsid w:val="0055741A"/>
    <w:rsid w:val="005611B7"/>
    <w:rsid w:val="005618D4"/>
    <w:rsid w:val="005620D1"/>
    <w:rsid w:val="00564DCF"/>
    <w:rsid w:val="005656AC"/>
    <w:rsid w:val="00565C88"/>
    <w:rsid w:val="00565DF0"/>
    <w:rsid w:val="00566099"/>
    <w:rsid w:val="0056696F"/>
    <w:rsid w:val="00570771"/>
    <w:rsid w:val="00572269"/>
    <w:rsid w:val="00572304"/>
    <w:rsid w:val="0057244A"/>
    <w:rsid w:val="00572DF7"/>
    <w:rsid w:val="00572F26"/>
    <w:rsid w:val="005750C5"/>
    <w:rsid w:val="005752DE"/>
    <w:rsid w:val="00575568"/>
    <w:rsid w:val="00575D8D"/>
    <w:rsid w:val="00576972"/>
    <w:rsid w:val="00576D13"/>
    <w:rsid w:val="005802E9"/>
    <w:rsid w:val="00580DE5"/>
    <w:rsid w:val="00581FFC"/>
    <w:rsid w:val="00583699"/>
    <w:rsid w:val="00584302"/>
    <w:rsid w:val="00584DF0"/>
    <w:rsid w:val="00585859"/>
    <w:rsid w:val="00585CDD"/>
    <w:rsid w:val="005863DA"/>
    <w:rsid w:val="00587058"/>
    <w:rsid w:val="0059036C"/>
    <w:rsid w:val="00590EFF"/>
    <w:rsid w:val="00591957"/>
    <w:rsid w:val="005931FD"/>
    <w:rsid w:val="00593955"/>
    <w:rsid w:val="00593B54"/>
    <w:rsid w:val="00596757"/>
    <w:rsid w:val="005967B1"/>
    <w:rsid w:val="005976F2"/>
    <w:rsid w:val="00597BF9"/>
    <w:rsid w:val="005A061E"/>
    <w:rsid w:val="005A0A57"/>
    <w:rsid w:val="005A309A"/>
    <w:rsid w:val="005A30BD"/>
    <w:rsid w:val="005A373D"/>
    <w:rsid w:val="005A61E4"/>
    <w:rsid w:val="005A630B"/>
    <w:rsid w:val="005B00D1"/>
    <w:rsid w:val="005B01D8"/>
    <w:rsid w:val="005B0B58"/>
    <w:rsid w:val="005B2292"/>
    <w:rsid w:val="005B2B66"/>
    <w:rsid w:val="005B386A"/>
    <w:rsid w:val="005B4995"/>
    <w:rsid w:val="005B4A96"/>
    <w:rsid w:val="005B4E53"/>
    <w:rsid w:val="005B5857"/>
    <w:rsid w:val="005B5AD0"/>
    <w:rsid w:val="005B702C"/>
    <w:rsid w:val="005B7834"/>
    <w:rsid w:val="005C01A2"/>
    <w:rsid w:val="005C1B83"/>
    <w:rsid w:val="005C25FF"/>
    <w:rsid w:val="005C2D55"/>
    <w:rsid w:val="005C33CC"/>
    <w:rsid w:val="005C346B"/>
    <w:rsid w:val="005C4091"/>
    <w:rsid w:val="005C74AD"/>
    <w:rsid w:val="005D044D"/>
    <w:rsid w:val="005D0ABD"/>
    <w:rsid w:val="005D18AD"/>
    <w:rsid w:val="005D1EC5"/>
    <w:rsid w:val="005D26B4"/>
    <w:rsid w:val="005D2B3B"/>
    <w:rsid w:val="005D2BE4"/>
    <w:rsid w:val="005E07A1"/>
    <w:rsid w:val="005E1843"/>
    <w:rsid w:val="005E2404"/>
    <w:rsid w:val="005E537B"/>
    <w:rsid w:val="005E5EF4"/>
    <w:rsid w:val="005E6833"/>
    <w:rsid w:val="005E6CBC"/>
    <w:rsid w:val="005E72FF"/>
    <w:rsid w:val="005E73C0"/>
    <w:rsid w:val="005E7A11"/>
    <w:rsid w:val="005F160D"/>
    <w:rsid w:val="005F2706"/>
    <w:rsid w:val="005F27EF"/>
    <w:rsid w:val="005F6A8F"/>
    <w:rsid w:val="005F6BB7"/>
    <w:rsid w:val="005F705B"/>
    <w:rsid w:val="005F72A2"/>
    <w:rsid w:val="005F7375"/>
    <w:rsid w:val="005F7588"/>
    <w:rsid w:val="005F7D5D"/>
    <w:rsid w:val="005F7DA2"/>
    <w:rsid w:val="005F7F13"/>
    <w:rsid w:val="00600032"/>
    <w:rsid w:val="00602603"/>
    <w:rsid w:val="00603DB9"/>
    <w:rsid w:val="00606B44"/>
    <w:rsid w:val="00606FBA"/>
    <w:rsid w:val="006071B7"/>
    <w:rsid w:val="00607248"/>
    <w:rsid w:val="00607669"/>
    <w:rsid w:val="006076F4"/>
    <w:rsid w:val="00607AFD"/>
    <w:rsid w:val="00607CC5"/>
    <w:rsid w:val="00610228"/>
    <w:rsid w:val="006104BB"/>
    <w:rsid w:val="0061230C"/>
    <w:rsid w:val="00612AAD"/>
    <w:rsid w:val="00612F97"/>
    <w:rsid w:val="0061345D"/>
    <w:rsid w:val="0061549B"/>
    <w:rsid w:val="00615891"/>
    <w:rsid w:val="00616802"/>
    <w:rsid w:val="00617E12"/>
    <w:rsid w:val="00620C25"/>
    <w:rsid w:val="00621290"/>
    <w:rsid w:val="00621477"/>
    <w:rsid w:val="00621A48"/>
    <w:rsid w:val="00621ADA"/>
    <w:rsid w:val="00623478"/>
    <w:rsid w:val="00623F7B"/>
    <w:rsid w:val="006247E8"/>
    <w:rsid w:val="0062509C"/>
    <w:rsid w:val="0062579A"/>
    <w:rsid w:val="006259E1"/>
    <w:rsid w:val="0062708E"/>
    <w:rsid w:val="00627DC5"/>
    <w:rsid w:val="0063158F"/>
    <w:rsid w:val="0063168A"/>
    <w:rsid w:val="00631B58"/>
    <w:rsid w:val="00631D6B"/>
    <w:rsid w:val="00632183"/>
    <w:rsid w:val="006330A1"/>
    <w:rsid w:val="00633C8F"/>
    <w:rsid w:val="00633E79"/>
    <w:rsid w:val="0063479F"/>
    <w:rsid w:val="006353F0"/>
    <w:rsid w:val="006357B5"/>
    <w:rsid w:val="0063585D"/>
    <w:rsid w:val="006364A1"/>
    <w:rsid w:val="0063678E"/>
    <w:rsid w:val="00636A08"/>
    <w:rsid w:val="00636AD0"/>
    <w:rsid w:val="00637BFD"/>
    <w:rsid w:val="00641C4E"/>
    <w:rsid w:val="00641FB3"/>
    <w:rsid w:val="006441BE"/>
    <w:rsid w:val="00644317"/>
    <w:rsid w:val="0064434C"/>
    <w:rsid w:val="006451F8"/>
    <w:rsid w:val="006471CC"/>
    <w:rsid w:val="00647A29"/>
    <w:rsid w:val="0065079F"/>
    <w:rsid w:val="00651C02"/>
    <w:rsid w:val="00652A28"/>
    <w:rsid w:val="0065379F"/>
    <w:rsid w:val="00654F27"/>
    <w:rsid w:val="0065561D"/>
    <w:rsid w:val="00655CAE"/>
    <w:rsid w:val="00656188"/>
    <w:rsid w:val="0065638F"/>
    <w:rsid w:val="00656C71"/>
    <w:rsid w:val="0065715A"/>
    <w:rsid w:val="006610F1"/>
    <w:rsid w:val="00661C6B"/>
    <w:rsid w:val="006622FA"/>
    <w:rsid w:val="00662462"/>
    <w:rsid w:val="00665E3B"/>
    <w:rsid w:val="0066673A"/>
    <w:rsid w:val="0066747E"/>
    <w:rsid w:val="00671004"/>
    <w:rsid w:val="00671292"/>
    <w:rsid w:val="00672152"/>
    <w:rsid w:val="00672646"/>
    <w:rsid w:val="0067357C"/>
    <w:rsid w:val="00674E42"/>
    <w:rsid w:val="00675B6A"/>
    <w:rsid w:val="006766B8"/>
    <w:rsid w:val="0068070C"/>
    <w:rsid w:val="006813F8"/>
    <w:rsid w:val="00682112"/>
    <w:rsid w:val="00682AFF"/>
    <w:rsid w:val="00682BA6"/>
    <w:rsid w:val="00682FF0"/>
    <w:rsid w:val="00683C07"/>
    <w:rsid w:val="00685B1E"/>
    <w:rsid w:val="00686957"/>
    <w:rsid w:val="006872BA"/>
    <w:rsid w:val="00690795"/>
    <w:rsid w:val="00691648"/>
    <w:rsid w:val="006917D7"/>
    <w:rsid w:val="0069434C"/>
    <w:rsid w:val="00694E3B"/>
    <w:rsid w:val="00694F44"/>
    <w:rsid w:val="00696334"/>
    <w:rsid w:val="00696F51"/>
    <w:rsid w:val="006979A5"/>
    <w:rsid w:val="006A10E5"/>
    <w:rsid w:val="006A4166"/>
    <w:rsid w:val="006A42FB"/>
    <w:rsid w:val="006A6B99"/>
    <w:rsid w:val="006A73EC"/>
    <w:rsid w:val="006A7E5F"/>
    <w:rsid w:val="006B261B"/>
    <w:rsid w:val="006B2991"/>
    <w:rsid w:val="006B2C90"/>
    <w:rsid w:val="006B35E6"/>
    <w:rsid w:val="006B3FC1"/>
    <w:rsid w:val="006B465A"/>
    <w:rsid w:val="006B4C7A"/>
    <w:rsid w:val="006B543F"/>
    <w:rsid w:val="006B5914"/>
    <w:rsid w:val="006B61A5"/>
    <w:rsid w:val="006B6DD0"/>
    <w:rsid w:val="006C0399"/>
    <w:rsid w:val="006C1060"/>
    <w:rsid w:val="006C1A50"/>
    <w:rsid w:val="006C2184"/>
    <w:rsid w:val="006C28B1"/>
    <w:rsid w:val="006C2A8E"/>
    <w:rsid w:val="006C2F44"/>
    <w:rsid w:val="006C3255"/>
    <w:rsid w:val="006C3CAC"/>
    <w:rsid w:val="006C3F26"/>
    <w:rsid w:val="006C57EA"/>
    <w:rsid w:val="006D0D17"/>
    <w:rsid w:val="006D28EB"/>
    <w:rsid w:val="006D3C7D"/>
    <w:rsid w:val="006D4659"/>
    <w:rsid w:val="006D5D5F"/>
    <w:rsid w:val="006D68FB"/>
    <w:rsid w:val="006D7C05"/>
    <w:rsid w:val="006E08FD"/>
    <w:rsid w:val="006E1592"/>
    <w:rsid w:val="006E2868"/>
    <w:rsid w:val="006E60EA"/>
    <w:rsid w:val="006F0B0B"/>
    <w:rsid w:val="006F2482"/>
    <w:rsid w:val="006F2EBF"/>
    <w:rsid w:val="006F306C"/>
    <w:rsid w:val="006F5AC2"/>
    <w:rsid w:val="006F5F63"/>
    <w:rsid w:val="006F63A5"/>
    <w:rsid w:val="00700891"/>
    <w:rsid w:val="00700994"/>
    <w:rsid w:val="00700EC7"/>
    <w:rsid w:val="007011E4"/>
    <w:rsid w:val="0070142B"/>
    <w:rsid w:val="007019F0"/>
    <w:rsid w:val="00701FCC"/>
    <w:rsid w:val="0070246D"/>
    <w:rsid w:val="007026C4"/>
    <w:rsid w:val="0070276E"/>
    <w:rsid w:val="00702F8F"/>
    <w:rsid w:val="00703BF2"/>
    <w:rsid w:val="007045EE"/>
    <w:rsid w:val="0070653E"/>
    <w:rsid w:val="007079FB"/>
    <w:rsid w:val="007079FC"/>
    <w:rsid w:val="00707FB5"/>
    <w:rsid w:val="00711A36"/>
    <w:rsid w:val="00712A16"/>
    <w:rsid w:val="00714748"/>
    <w:rsid w:val="00714C26"/>
    <w:rsid w:val="0071529C"/>
    <w:rsid w:val="007170DA"/>
    <w:rsid w:val="007172AD"/>
    <w:rsid w:val="00720801"/>
    <w:rsid w:val="00722B1B"/>
    <w:rsid w:val="0072375E"/>
    <w:rsid w:val="00723C84"/>
    <w:rsid w:val="0072416F"/>
    <w:rsid w:val="007253C5"/>
    <w:rsid w:val="00725B91"/>
    <w:rsid w:val="00725CAB"/>
    <w:rsid w:val="00726544"/>
    <w:rsid w:val="00727C94"/>
    <w:rsid w:val="00727D39"/>
    <w:rsid w:val="007306F1"/>
    <w:rsid w:val="00731B0A"/>
    <w:rsid w:val="00731EAE"/>
    <w:rsid w:val="00732286"/>
    <w:rsid w:val="007322C7"/>
    <w:rsid w:val="00733073"/>
    <w:rsid w:val="00733648"/>
    <w:rsid w:val="00733729"/>
    <w:rsid w:val="00733DE0"/>
    <w:rsid w:val="00733FB7"/>
    <w:rsid w:val="00735033"/>
    <w:rsid w:val="00735328"/>
    <w:rsid w:val="00735811"/>
    <w:rsid w:val="0073685B"/>
    <w:rsid w:val="00737697"/>
    <w:rsid w:val="00737783"/>
    <w:rsid w:val="007419B5"/>
    <w:rsid w:val="00741C06"/>
    <w:rsid w:val="00743157"/>
    <w:rsid w:val="00743E31"/>
    <w:rsid w:val="007449BF"/>
    <w:rsid w:val="007450E5"/>
    <w:rsid w:val="00746BC0"/>
    <w:rsid w:val="00747174"/>
    <w:rsid w:val="007510B4"/>
    <w:rsid w:val="00752142"/>
    <w:rsid w:val="007523F9"/>
    <w:rsid w:val="0075357E"/>
    <w:rsid w:val="00753C9A"/>
    <w:rsid w:val="00755CB5"/>
    <w:rsid w:val="00755E3F"/>
    <w:rsid w:val="007566BC"/>
    <w:rsid w:val="00756A98"/>
    <w:rsid w:val="007573E8"/>
    <w:rsid w:val="00760C4E"/>
    <w:rsid w:val="00760F9E"/>
    <w:rsid w:val="007627BE"/>
    <w:rsid w:val="0076351D"/>
    <w:rsid w:val="00764F03"/>
    <w:rsid w:val="00765B1A"/>
    <w:rsid w:val="00766544"/>
    <w:rsid w:val="007670E4"/>
    <w:rsid w:val="007671AA"/>
    <w:rsid w:val="00770024"/>
    <w:rsid w:val="00770412"/>
    <w:rsid w:val="00770EBC"/>
    <w:rsid w:val="0077162F"/>
    <w:rsid w:val="00773409"/>
    <w:rsid w:val="00777335"/>
    <w:rsid w:val="0078141A"/>
    <w:rsid w:val="00781EC9"/>
    <w:rsid w:val="00782095"/>
    <w:rsid w:val="007826EE"/>
    <w:rsid w:val="007840EF"/>
    <w:rsid w:val="007843F2"/>
    <w:rsid w:val="00784B10"/>
    <w:rsid w:val="00785943"/>
    <w:rsid w:val="00785A9F"/>
    <w:rsid w:val="007862E5"/>
    <w:rsid w:val="007876B7"/>
    <w:rsid w:val="007905DB"/>
    <w:rsid w:val="007925DF"/>
    <w:rsid w:val="00792C2B"/>
    <w:rsid w:val="007940B3"/>
    <w:rsid w:val="0079535A"/>
    <w:rsid w:val="00795FCC"/>
    <w:rsid w:val="007960C7"/>
    <w:rsid w:val="007A08AA"/>
    <w:rsid w:val="007A0A12"/>
    <w:rsid w:val="007A132D"/>
    <w:rsid w:val="007A1345"/>
    <w:rsid w:val="007A1734"/>
    <w:rsid w:val="007A1807"/>
    <w:rsid w:val="007A2A12"/>
    <w:rsid w:val="007A2C70"/>
    <w:rsid w:val="007A2DDB"/>
    <w:rsid w:val="007A352B"/>
    <w:rsid w:val="007A6B56"/>
    <w:rsid w:val="007A70BA"/>
    <w:rsid w:val="007A7D77"/>
    <w:rsid w:val="007A7E7F"/>
    <w:rsid w:val="007B06B0"/>
    <w:rsid w:val="007B0D68"/>
    <w:rsid w:val="007B1E9B"/>
    <w:rsid w:val="007B235E"/>
    <w:rsid w:val="007B251D"/>
    <w:rsid w:val="007B2608"/>
    <w:rsid w:val="007B3777"/>
    <w:rsid w:val="007B49E7"/>
    <w:rsid w:val="007B4F58"/>
    <w:rsid w:val="007B51FB"/>
    <w:rsid w:val="007B528D"/>
    <w:rsid w:val="007B63CA"/>
    <w:rsid w:val="007B77D1"/>
    <w:rsid w:val="007C05F0"/>
    <w:rsid w:val="007C07C7"/>
    <w:rsid w:val="007C095B"/>
    <w:rsid w:val="007C1CD9"/>
    <w:rsid w:val="007C27A9"/>
    <w:rsid w:val="007C300B"/>
    <w:rsid w:val="007C31AD"/>
    <w:rsid w:val="007C32EF"/>
    <w:rsid w:val="007C33F0"/>
    <w:rsid w:val="007C361D"/>
    <w:rsid w:val="007C3851"/>
    <w:rsid w:val="007C4B84"/>
    <w:rsid w:val="007C5788"/>
    <w:rsid w:val="007C5AE6"/>
    <w:rsid w:val="007C6ADC"/>
    <w:rsid w:val="007C70FF"/>
    <w:rsid w:val="007C7C25"/>
    <w:rsid w:val="007D004F"/>
    <w:rsid w:val="007D04B0"/>
    <w:rsid w:val="007D0B38"/>
    <w:rsid w:val="007D201C"/>
    <w:rsid w:val="007D2C78"/>
    <w:rsid w:val="007D37D1"/>
    <w:rsid w:val="007D3DD0"/>
    <w:rsid w:val="007D5440"/>
    <w:rsid w:val="007D648B"/>
    <w:rsid w:val="007D69EB"/>
    <w:rsid w:val="007E052E"/>
    <w:rsid w:val="007E07B1"/>
    <w:rsid w:val="007E128F"/>
    <w:rsid w:val="007E236A"/>
    <w:rsid w:val="007E5931"/>
    <w:rsid w:val="007F1017"/>
    <w:rsid w:val="007F1830"/>
    <w:rsid w:val="007F4A3F"/>
    <w:rsid w:val="007F4A61"/>
    <w:rsid w:val="007F5255"/>
    <w:rsid w:val="007F56CC"/>
    <w:rsid w:val="007F61C2"/>
    <w:rsid w:val="007F634E"/>
    <w:rsid w:val="007F68FE"/>
    <w:rsid w:val="007F6B20"/>
    <w:rsid w:val="007F703E"/>
    <w:rsid w:val="007F79D3"/>
    <w:rsid w:val="007F7B46"/>
    <w:rsid w:val="00800505"/>
    <w:rsid w:val="00801B85"/>
    <w:rsid w:val="008038FF"/>
    <w:rsid w:val="00803C3D"/>
    <w:rsid w:val="00805142"/>
    <w:rsid w:val="00805378"/>
    <w:rsid w:val="008057DD"/>
    <w:rsid w:val="00805FCE"/>
    <w:rsid w:val="00806582"/>
    <w:rsid w:val="00807A8B"/>
    <w:rsid w:val="00811383"/>
    <w:rsid w:val="008117EB"/>
    <w:rsid w:val="00812149"/>
    <w:rsid w:val="008128E6"/>
    <w:rsid w:val="00812B68"/>
    <w:rsid w:val="00812CAC"/>
    <w:rsid w:val="00812D64"/>
    <w:rsid w:val="00813025"/>
    <w:rsid w:val="0081425B"/>
    <w:rsid w:val="00815E1B"/>
    <w:rsid w:val="00816361"/>
    <w:rsid w:val="008166EF"/>
    <w:rsid w:val="00816835"/>
    <w:rsid w:val="00816FEF"/>
    <w:rsid w:val="00820A8C"/>
    <w:rsid w:val="008215FB"/>
    <w:rsid w:val="00821F33"/>
    <w:rsid w:val="008230D5"/>
    <w:rsid w:val="00823174"/>
    <w:rsid w:val="008235B1"/>
    <w:rsid w:val="00823B5C"/>
    <w:rsid w:val="00824271"/>
    <w:rsid w:val="00825683"/>
    <w:rsid w:val="00825751"/>
    <w:rsid w:val="008264EB"/>
    <w:rsid w:val="008265C3"/>
    <w:rsid w:val="00827FAF"/>
    <w:rsid w:val="00831A84"/>
    <w:rsid w:val="00832C71"/>
    <w:rsid w:val="00832CA1"/>
    <w:rsid w:val="00833B05"/>
    <w:rsid w:val="00835D70"/>
    <w:rsid w:val="008362B4"/>
    <w:rsid w:val="0083639C"/>
    <w:rsid w:val="00836F4C"/>
    <w:rsid w:val="00840CA2"/>
    <w:rsid w:val="00841F8A"/>
    <w:rsid w:val="008422F8"/>
    <w:rsid w:val="00842B5E"/>
    <w:rsid w:val="0084374F"/>
    <w:rsid w:val="00844A22"/>
    <w:rsid w:val="00844BA9"/>
    <w:rsid w:val="00844D9D"/>
    <w:rsid w:val="008457CA"/>
    <w:rsid w:val="00847481"/>
    <w:rsid w:val="00847703"/>
    <w:rsid w:val="00847DF5"/>
    <w:rsid w:val="0085309D"/>
    <w:rsid w:val="008534A9"/>
    <w:rsid w:val="00854185"/>
    <w:rsid w:val="008556D8"/>
    <w:rsid w:val="00856897"/>
    <w:rsid w:val="00856E9A"/>
    <w:rsid w:val="0086075D"/>
    <w:rsid w:val="00860C6F"/>
    <w:rsid w:val="008611D1"/>
    <w:rsid w:val="008621F4"/>
    <w:rsid w:val="00862502"/>
    <w:rsid w:val="008629A2"/>
    <w:rsid w:val="00862CC1"/>
    <w:rsid w:val="00862DFF"/>
    <w:rsid w:val="00863628"/>
    <w:rsid w:val="00863BFC"/>
    <w:rsid w:val="00864EB2"/>
    <w:rsid w:val="008660D4"/>
    <w:rsid w:val="00867A11"/>
    <w:rsid w:val="00871FA9"/>
    <w:rsid w:val="008724EF"/>
    <w:rsid w:val="008728E9"/>
    <w:rsid w:val="008738A3"/>
    <w:rsid w:val="00874087"/>
    <w:rsid w:val="00874493"/>
    <w:rsid w:val="00874F99"/>
    <w:rsid w:val="008812AB"/>
    <w:rsid w:val="00882874"/>
    <w:rsid w:val="00882C48"/>
    <w:rsid w:val="00882E3C"/>
    <w:rsid w:val="00883787"/>
    <w:rsid w:val="008851F9"/>
    <w:rsid w:val="008855E4"/>
    <w:rsid w:val="00886CD2"/>
    <w:rsid w:val="00886F16"/>
    <w:rsid w:val="00886F48"/>
    <w:rsid w:val="00887887"/>
    <w:rsid w:val="00891242"/>
    <w:rsid w:val="00891E6F"/>
    <w:rsid w:val="00892553"/>
    <w:rsid w:val="0089275D"/>
    <w:rsid w:val="00892A36"/>
    <w:rsid w:val="00893239"/>
    <w:rsid w:val="00894489"/>
    <w:rsid w:val="00894701"/>
    <w:rsid w:val="008963A5"/>
    <w:rsid w:val="00896D5D"/>
    <w:rsid w:val="00897FD2"/>
    <w:rsid w:val="008A3363"/>
    <w:rsid w:val="008A3371"/>
    <w:rsid w:val="008A3C3E"/>
    <w:rsid w:val="008A5D1C"/>
    <w:rsid w:val="008A77F3"/>
    <w:rsid w:val="008A79DE"/>
    <w:rsid w:val="008B0175"/>
    <w:rsid w:val="008B0710"/>
    <w:rsid w:val="008B115C"/>
    <w:rsid w:val="008B1757"/>
    <w:rsid w:val="008B1EC3"/>
    <w:rsid w:val="008B2621"/>
    <w:rsid w:val="008B2650"/>
    <w:rsid w:val="008B278F"/>
    <w:rsid w:val="008B48B6"/>
    <w:rsid w:val="008B59DC"/>
    <w:rsid w:val="008B6D86"/>
    <w:rsid w:val="008B7992"/>
    <w:rsid w:val="008B7D7E"/>
    <w:rsid w:val="008C1BD4"/>
    <w:rsid w:val="008C2651"/>
    <w:rsid w:val="008C286D"/>
    <w:rsid w:val="008C3257"/>
    <w:rsid w:val="008C4D03"/>
    <w:rsid w:val="008C5610"/>
    <w:rsid w:val="008C5739"/>
    <w:rsid w:val="008C5752"/>
    <w:rsid w:val="008C5ABF"/>
    <w:rsid w:val="008C6316"/>
    <w:rsid w:val="008C6B24"/>
    <w:rsid w:val="008C7ECB"/>
    <w:rsid w:val="008D3B86"/>
    <w:rsid w:val="008D4755"/>
    <w:rsid w:val="008D47C1"/>
    <w:rsid w:val="008D4C3D"/>
    <w:rsid w:val="008D59FC"/>
    <w:rsid w:val="008D5ACF"/>
    <w:rsid w:val="008D6EC3"/>
    <w:rsid w:val="008D743C"/>
    <w:rsid w:val="008E0809"/>
    <w:rsid w:val="008E0D3C"/>
    <w:rsid w:val="008E1B83"/>
    <w:rsid w:val="008E1B9E"/>
    <w:rsid w:val="008E2065"/>
    <w:rsid w:val="008E2357"/>
    <w:rsid w:val="008E292A"/>
    <w:rsid w:val="008E4B6A"/>
    <w:rsid w:val="008E55AB"/>
    <w:rsid w:val="008E5C41"/>
    <w:rsid w:val="008E7C04"/>
    <w:rsid w:val="008F0AC3"/>
    <w:rsid w:val="008F120A"/>
    <w:rsid w:val="008F27E0"/>
    <w:rsid w:val="008F2988"/>
    <w:rsid w:val="008F2A6F"/>
    <w:rsid w:val="008F2CEB"/>
    <w:rsid w:val="008F48EB"/>
    <w:rsid w:val="008F4D83"/>
    <w:rsid w:val="008F4F0B"/>
    <w:rsid w:val="008F6729"/>
    <w:rsid w:val="008F7762"/>
    <w:rsid w:val="009030B5"/>
    <w:rsid w:val="009046C4"/>
    <w:rsid w:val="009049B9"/>
    <w:rsid w:val="009062A5"/>
    <w:rsid w:val="00910D72"/>
    <w:rsid w:val="00910FA7"/>
    <w:rsid w:val="00911272"/>
    <w:rsid w:val="00912416"/>
    <w:rsid w:val="009135D6"/>
    <w:rsid w:val="00914C77"/>
    <w:rsid w:val="0091644E"/>
    <w:rsid w:val="0092080C"/>
    <w:rsid w:val="00921ACB"/>
    <w:rsid w:val="0092369B"/>
    <w:rsid w:val="0092469A"/>
    <w:rsid w:val="00925BE2"/>
    <w:rsid w:val="0092730C"/>
    <w:rsid w:val="00931F65"/>
    <w:rsid w:val="0093246C"/>
    <w:rsid w:val="0093385D"/>
    <w:rsid w:val="00934988"/>
    <w:rsid w:val="009367DC"/>
    <w:rsid w:val="00937089"/>
    <w:rsid w:val="00937B36"/>
    <w:rsid w:val="0094009D"/>
    <w:rsid w:val="00942998"/>
    <w:rsid w:val="009441FF"/>
    <w:rsid w:val="009442C7"/>
    <w:rsid w:val="00944CCA"/>
    <w:rsid w:val="00944F8A"/>
    <w:rsid w:val="0094538C"/>
    <w:rsid w:val="00945F01"/>
    <w:rsid w:val="00946356"/>
    <w:rsid w:val="00947CBE"/>
    <w:rsid w:val="00950F57"/>
    <w:rsid w:val="009510A2"/>
    <w:rsid w:val="00951C4F"/>
    <w:rsid w:val="00953257"/>
    <w:rsid w:val="00953381"/>
    <w:rsid w:val="0095474C"/>
    <w:rsid w:val="00960201"/>
    <w:rsid w:val="00961245"/>
    <w:rsid w:val="0096201B"/>
    <w:rsid w:val="00962CB9"/>
    <w:rsid w:val="00962FB9"/>
    <w:rsid w:val="0096366E"/>
    <w:rsid w:val="00964312"/>
    <w:rsid w:val="0096470A"/>
    <w:rsid w:val="00965B8A"/>
    <w:rsid w:val="009669F3"/>
    <w:rsid w:val="0096740F"/>
    <w:rsid w:val="009704E0"/>
    <w:rsid w:val="0097071F"/>
    <w:rsid w:val="009717AC"/>
    <w:rsid w:val="00973B6D"/>
    <w:rsid w:val="00974781"/>
    <w:rsid w:val="009751C1"/>
    <w:rsid w:val="009811F1"/>
    <w:rsid w:val="00983525"/>
    <w:rsid w:val="00983E57"/>
    <w:rsid w:val="00983FD7"/>
    <w:rsid w:val="00985DE2"/>
    <w:rsid w:val="009860E9"/>
    <w:rsid w:val="00986151"/>
    <w:rsid w:val="0098675D"/>
    <w:rsid w:val="009871B3"/>
    <w:rsid w:val="00987898"/>
    <w:rsid w:val="00990D5D"/>
    <w:rsid w:val="0099194E"/>
    <w:rsid w:val="00992175"/>
    <w:rsid w:val="009926E0"/>
    <w:rsid w:val="00992B7E"/>
    <w:rsid w:val="00993445"/>
    <w:rsid w:val="0099451E"/>
    <w:rsid w:val="00996B1A"/>
    <w:rsid w:val="009A2B42"/>
    <w:rsid w:val="009A2DCC"/>
    <w:rsid w:val="009A3D97"/>
    <w:rsid w:val="009A4558"/>
    <w:rsid w:val="009A5ABC"/>
    <w:rsid w:val="009A744F"/>
    <w:rsid w:val="009A787E"/>
    <w:rsid w:val="009A7F10"/>
    <w:rsid w:val="009B0483"/>
    <w:rsid w:val="009B0780"/>
    <w:rsid w:val="009B08C1"/>
    <w:rsid w:val="009B2F3F"/>
    <w:rsid w:val="009B3E26"/>
    <w:rsid w:val="009B5136"/>
    <w:rsid w:val="009B5374"/>
    <w:rsid w:val="009B63E0"/>
    <w:rsid w:val="009C0DE4"/>
    <w:rsid w:val="009C3706"/>
    <w:rsid w:val="009C3A3A"/>
    <w:rsid w:val="009C4249"/>
    <w:rsid w:val="009C528A"/>
    <w:rsid w:val="009C6CEA"/>
    <w:rsid w:val="009C71D4"/>
    <w:rsid w:val="009C7B85"/>
    <w:rsid w:val="009D0254"/>
    <w:rsid w:val="009D1601"/>
    <w:rsid w:val="009D1A64"/>
    <w:rsid w:val="009D24DC"/>
    <w:rsid w:val="009D3A59"/>
    <w:rsid w:val="009D5B91"/>
    <w:rsid w:val="009D6819"/>
    <w:rsid w:val="009D792E"/>
    <w:rsid w:val="009D7BB8"/>
    <w:rsid w:val="009E03ED"/>
    <w:rsid w:val="009E0DFE"/>
    <w:rsid w:val="009E31F6"/>
    <w:rsid w:val="009E35A5"/>
    <w:rsid w:val="009E4149"/>
    <w:rsid w:val="009E42E6"/>
    <w:rsid w:val="009E4C07"/>
    <w:rsid w:val="009E5E1E"/>
    <w:rsid w:val="009E7641"/>
    <w:rsid w:val="009E771D"/>
    <w:rsid w:val="009F1DD8"/>
    <w:rsid w:val="009F432D"/>
    <w:rsid w:val="00A00573"/>
    <w:rsid w:val="00A01184"/>
    <w:rsid w:val="00A01E7C"/>
    <w:rsid w:val="00A028FA"/>
    <w:rsid w:val="00A037C2"/>
    <w:rsid w:val="00A037F8"/>
    <w:rsid w:val="00A03D43"/>
    <w:rsid w:val="00A04380"/>
    <w:rsid w:val="00A04434"/>
    <w:rsid w:val="00A045FD"/>
    <w:rsid w:val="00A049B2"/>
    <w:rsid w:val="00A04E2D"/>
    <w:rsid w:val="00A05472"/>
    <w:rsid w:val="00A05C32"/>
    <w:rsid w:val="00A0653F"/>
    <w:rsid w:val="00A07F1D"/>
    <w:rsid w:val="00A103C6"/>
    <w:rsid w:val="00A11CD0"/>
    <w:rsid w:val="00A12C95"/>
    <w:rsid w:val="00A12D0F"/>
    <w:rsid w:val="00A134E5"/>
    <w:rsid w:val="00A13948"/>
    <w:rsid w:val="00A150E6"/>
    <w:rsid w:val="00A1555B"/>
    <w:rsid w:val="00A155B3"/>
    <w:rsid w:val="00A155C5"/>
    <w:rsid w:val="00A157B5"/>
    <w:rsid w:val="00A15EA2"/>
    <w:rsid w:val="00A16AD8"/>
    <w:rsid w:val="00A172A3"/>
    <w:rsid w:val="00A21C95"/>
    <w:rsid w:val="00A21CF3"/>
    <w:rsid w:val="00A22FF2"/>
    <w:rsid w:val="00A24813"/>
    <w:rsid w:val="00A259A7"/>
    <w:rsid w:val="00A2661C"/>
    <w:rsid w:val="00A27AEC"/>
    <w:rsid w:val="00A31BE1"/>
    <w:rsid w:val="00A320DB"/>
    <w:rsid w:val="00A33791"/>
    <w:rsid w:val="00A35D16"/>
    <w:rsid w:val="00A37BCD"/>
    <w:rsid w:val="00A4145C"/>
    <w:rsid w:val="00A41689"/>
    <w:rsid w:val="00A42592"/>
    <w:rsid w:val="00A42842"/>
    <w:rsid w:val="00A43038"/>
    <w:rsid w:val="00A43C59"/>
    <w:rsid w:val="00A44F02"/>
    <w:rsid w:val="00A4504C"/>
    <w:rsid w:val="00A46A31"/>
    <w:rsid w:val="00A47918"/>
    <w:rsid w:val="00A505E2"/>
    <w:rsid w:val="00A50ECD"/>
    <w:rsid w:val="00A518F3"/>
    <w:rsid w:val="00A521C2"/>
    <w:rsid w:val="00A52729"/>
    <w:rsid w:val="00A529E8"/>
    <w:rsid w:val="00A53675"/>
    <w:rsid w:val="00A550EC"/>
    <w:rsid w:val="00A561C9"/>
    <w:rsid w:val="00A564D7"/>
    <w:rsid w:val="00A56897"/>
    <w:rsid w:val="00A56B6A"/>
    <w:rsid w:val="00A57461"/>
    <w:rsid w:val="00A578DC"/>
    <w:rsid w:val="00A605E7"/>
    <w:rsid w:val="00A6085E"/>
    <w:rsid w:val="00A6104C"/>
    <w:rsid w:val="00A62287"/>
    <w:rsid w:val="00A62D53"/>
    <w:rsid w:val="00A634D5"/>
    <w:rsid w:val="00A640E2"/>
    <w:rsid w:val="00A64214"/>
    <w:rsid w:val="00A64D65"/>
    <w:rsid w:val="00A65AAC"/>
    <w:rsid w:val="00A666A2"/>
    <w:rsid w:val="00A6725B"/>
    <w:rsid w:val="00A70579"/>
    <w:rsid w:val="00A70605"/>
    <w:rsid w:val="00A715EC"/>
    <w:rsid w:val="00A721BF"/>
    <w:rsid w:val="00A73134"/>
    <w:rsid w:val="00A7387F"/>
    <w:rsid w:val="00A7470E"/>
    <w:rsid w:val="00A74A96"/>
    <w:rsid w:val="00A758C8"/>
    <w:rsid w:val="00A76001"/>
    <w:rsid w:val="00A777B2"/>
    <w:rsid w:val="00A77D31"/>
    <w:rsid w:val="00A80189"/>
    <w:rsid w:val="00A808C0"/>
    <w:rsid w:val="00A80AF4"/>
    <w:rsid w:val="00A82521"/>
    <w:rsid w:val="00A825D4"/>
    <w:rsid w:val="00A828F6"/>
    <w:rsid w:val="00A82B73"/>
    <w:rsid w:val="00A82C26"/>
    <w:rsid w:val="00A85775"/>
    <w:rsid w:val="00A861CD"/>
    <w:rsid w:val="00A8674C"/>
    <w:rsid w:val="00A86AB1"/>
    <w:rsid w:val="00A86E8B"/>
    <w:rsid w:val="00A86F14"/>
    <w:rsid w:val="00A87164"/>
    <w:rsid w:val="00A87C76"/>
    <w:rsid w:val="00A90D33"/>
    <w:rsid w:val="00A9259A"/>
    <w:rsid w:val="00A93072"/>
    <w:rsid w:val="00A93579"/>
    <w:rsid w:val="00A938BD"/>
    <w:rsid w:val="00A93953"/>
    <w:rsid w:val="00A93987"/>
    <w:rsid w:val="00A9595E"/>
    <w:rsid w:val="00A959D8"/>
    <w:rsid w:val="00AA113D"/>
    <w:rsid w:val="00AA3915"/>
    <w:rsid w:val="00AA471C"/>
    <w:rsid w:val="00AA4CDE"/>
    <w:rsid w:val="00AA5717"/>
    <w:rsid w:val="00AA5C1E"/>
    <w:rsid w:val="00AA6803"/>
    <w:rsid w:val="00AA6BD5"/>
    <w:rsid w:val="00AA6BD8"/>
    <w:rsid w:val="00AA6C7D"/>
    <w:rsid w:val="00AA70EF"/>
    <w:rsid w:val="00AA7250"/>
    <w:rsid w:val="00AA7FD6"/>
    <w:rsid w:val="00AB02E5"/>
    <w:rsid w:val="00AB042A"/>
    <w:rsid w:val="00AB0516"/>
    <w:rsid w:val="00AB0F9B"/>
    <w:rsid w:val="00AB19EF"/>
    <w:rsid w:val="00AB2145"/>
    <w:rsid w:val="00AB2471"/>
    <w:rsid w:val="00AB2B2A"/>
    <w:rsid w:val="00AB2D34"/>
    <w:rsid w:val="00AB3430"/>
    <w:rsid w:val="00AB37B9"/>
    <w:rsid w:val="00AB4AD1"/>
    <w:rsid w:val="00AB5E07"/>
    <w:rsid w:val="00AB7CFA"/>
    <w:rsid w:val="00AC55C1"/>
    <w:rsid w:val="00AC5B48"/>
    <w:rsid w:val="00AC62A7"/>
    <w:rsid w:val="00AC6BFA"/>
    <w:rsid w:val="00AC7874"/>
    <w:rsid w:val="00AD1450"/>
    <w:rsid w:val="00AD1EE3"/>
    <w:rsid w:val="00AD2146"/>
    <w:rsid w:val="00AD6502"/>
    <w:rsid w:val="00AD7526"/>
    <w:rsid w:val="00AE0695"/>
    <w:rsid w:val="00AE3E7E"/>
    <w:rsid w:val="00AE4758"/>
    <w:rsid w:val="00AE488F"/>
    <w:rsid w:val="00AE4AE9"/>
    <w:rsid w:val="00AE53F6"/>
    <w:rsid w:val="00AE5CE7"/>
    <w:rsid w:val="00AF0674"/>
    <w:rsid w:val="00AF1315"/>
    <w:rsid w:val="00AF19BF"/>
    <w:rsid w:val="00AF202F"/>
    <w:rsid w:val="00AF2DC3"/>
    <w:rsid w:val="00AF361E"/>
    <w:rsid w:val="00AF540E"/>
    <w:rsid w:val="00AF5747"/>
    <w:rsid w:val="00B02B06"/>
    <w:rsid w:val="00B02F62"/>
    <w:rsid w:val="00B033E5"/>
    <w:rsid w:val="00B03A63"/>
    <w:rsid w:val="00B03E11"/>
    <w:rsid w:val="00B056EA"/>
    <w:rsid w:val="00B06ABE"/>
    <w:rsid w:val="00B074F1"/>
    <w:rsid w:val="00B1122F"/>
    <w:rsid w:val="00B123C2"/>
    <w:rsid w:val="00B16980"/>
    <w:rsid w:val="00B17CE6"/>
    <w:rsid w:val="00B17F21"/>
    <w:rsid w:val="00B2002E"/>
    <w:rsid w:val="00B201A4"/>
    <w:rsid w:val="00B201D1"/>
    <w:rsid w:val="00B213A6"/>
    <w:rsid w:val="00B235B0"/>
    <w:rsid w:val="00B24DF6"/>
    <w:rsid w:val="00B25338"/>
    <w:rsid w:val="00B30C05"/>
    <w:rsid w:val="00B31EB3"/>
    <w:rsid w:val="00B34B5A"/>
    <w:rsid w:val="00B34FE2"/>
    <w:rsid w:val="00B35166"/>
    <w:rsid w:val="00B357D8"/>
    <w:rsid w:val="00B360F4"/>
    <w:rsid w:val="00B3685D"/>
    <w:rsid w:val="00B36A00"/>
    <w:rsid w:val="00B37BFC"/>
    <w:rsid w:val="00B40358"/>
    <w:rsid w:val="00B41614"/>
    <w:rsid w:val="00B41D71"/>
    <w:rsid w:val="00B41EBB"/>
    <w:rsid w:val="00B42851"/>
    <w:rsid w:val="00B42F80"/>
    <w:rsid w:val="00B435CB"/>
    <w:rsid w:val="00B43D34"/>
    <w:rsid w:val="00B440A5"/>
    <w:rsid w:val="00B44BDC"/>
    <w:rsid w:val="00B505C8"/>
    <w:rsid w:val="00B50DB8"/>
    <w:rsid w:val="00B53654"/>
    <w:rsid w:val="00B53905"/>
    <w:rsid w:val="00B5405B"/>
    <w:rsid w:val="00B54402"/>
    <w:rsid w:val="00B54B5B"/>
    <w:rsid w:val="00B5562E"/>
    <w:rsid w:val="00B55D65"/>
    <w:rsid w:val="00B56E5C"/>
    <w:rsid w:val="00B57000"/>
    <w:rsid w:val="00B6068A"/>
    <w:rsid w:val="00B60939"/>
    <w:rsid w:val="00B60A0F"/>
    <w:rsid w:val="00B60AFD"/>
    <w:rsid w:val="00B62715"/>
    <w:rsid w:val="00B634A9"/>
    <w:rsid w:val="00B634B5"/>
    <w:rsid w:val="00B6370F"/>
    <w:rsid w:val="00B63F94"/>
    <w:rsid w:val="00B64B17"/>
    <w:rsid w:val="00B65611"/>
    <w:rsid w:val="00B67079"/>
    <w:rsid w:val="00B67A3A"/>
    <w:rsid w:val="00B70E8E"/>
    <w:rsid w:val="00B713C3"/>
    <w:rsid w:val="00B720C3"/>
    <w:rsid w:val="00B728AD"/>
    <w:rsid w:val="00B74B5D"/>
    <w:rsid w:val="00B74C64"/>
    <w:rsid w:val="00B75163"/>
    <w:rsid w:val="00B766D0"/>
    <w:rsid w:val="00B76973"/>
    <w:rsid w:val="00B76C92"/>
    <w:rsid w:val="00B77DB4"/>
    <w:rsid w:val="00B80AA2"/>
    <w:rsid w:val="00B818A4"/>
    <w:rsid w:val="00B84117"/>
    <w:rsid w:val="00B851CC"/>
    <w:rsid w:val="00B858F0"/>
    <w:rsid w:val="00B85AA2"/>
    <w:rsid w:val="00B8649C"/>
    <w:rsid w:val="00B865EF"/>
    <w:rsid w:val="00B8695D"/>
    <w:rsid w:val="00B87F0A"/>
    <w:rsid w:val="00B90815"/>
    <w:rsid w:val="00B90EF4"/>
    <w:rsid w:val="00B91586"/>
    <w:rsid w:val="00B925A5"/>
    <w:rsid w:val="00B92D0B"/>
    <w:rsid w:val="00B94945"/>
    <w:rsid w:val="00B94DD6"/>
    <w:rsid w:val="00B97102"/>
    <w:rsid w:val="00BA1F09"/>
    <w:rsid w:val="00BA23AD"/>
    <w:rsid w:val="00BA322D"/>
    <w:rsid w:val="00BA4177"/>
    <w:rsid w:val="00BA5BBA"/>
    <w:rsid w:val="00BA63FA"/>
    <w:rsid w:val="00BA6F23"/>
    <w:rsid w:val="00BA7CCF"/>
    <w:rsid w:val="00BB00B3"/>
    <w:rsid w:val="00BB0BDD"/>
    <w:rsid w:val="00BB1363"/>
    <w:rsid w:val="00BB176C"/>
    <w:rsid w:val="00BB2A73"/>
    <w:rsid w:val="00BB3A45"/>
    <w:rsid w:val="00BB3A6E"/>
    <w:rsid w:val="00BB4ACC"/>
    <w:rsid w:val="00BB4B28"/>
    <w:rsid w:val="00BB5ECB"/>
    <w:rsid w:val="00BB703E"/>
    <w:rsid w:val="00BB732D"/>
    <w:rsid w:val="00BB7405"/>
    <w:rsid w:val="00BC2A89"/>
    <w:rsid w:val="00BC2DA0"/>
    <w:rsid w:val="00BC3631"/>
    <w:rsid w:val="00BC4607"/>
    <w:rsid w:val="00BC5138"/>
    <w:rsid w:val="00BC591F"/>
    <w:rsid w:val="00BC5A63"/>
    <w:rsid w:val="00BC630B"/>
    <w:rsid w:val="00BC7D6D"/>
    <w:rsid w:val="00BC7F50"/>
    <w:rsid w:val="00BD2108"/>
    <w:rsid w:val="00BD224C"/>
    <w:rsid w:val="00BD29F7"/>
    <w:rsid w:val="00BD2D88"/>
    <w:rsid w:val="00BD5335"/>
    <w:rsid w:val="00BD6067"/>
    <w:rsid w:val="00BD68A3"/>
    <w:rsid w:val="00BD6938"/>
    <w:rsid w:val="00BD6CF3"/>
    <w:rsid w:val="00BD76DD"/>
    <w:rsid w:val="00BE0CB2"/>
    <w:rsid w:val="00BE0ECA"/>
    <w:rsid w:val="00BE2180"/>
    <w:rsid w:val="00BE21F2"/>
    <w:rsid w:val="00BE4275"/>
    <w:rsid w:val="00BE614E"/>
    <w:rsid w:val="00BF06AE"/>
    <w:rsid w:val="00BF0F95"/>
    <w:rsid w:val="00BF1DBE"/>
    <w:rsid w:val="00BF1DCD"/>
    <w:rsid w:val="00BF2433"/>
    <w:rsid w:val="00BF363B"/>
    <w:rsid w:val="00BF4B63"/>
    <w:rsid w:val="00BF522D"/>
    <w:rsid w:val="00BF61C9"/>
    <w:rsid w:val="00BF6713"/>
    <w:rsid w:val="00BF6C94"/>
    <w:rsid w:val="00C00424"/>
    <w:rsid w:val="00C0095B"/>
    <w:rsid w:val="00C03E5C"/>
    <w:rsid w:val="00C06DDA"/>
    <w:rsid w:val="00C1179F"/>
    <w:rsid w:val="00C1191F"/>
    <w:rsid w:val="00C1269C"/>
    <w:rsid w:val="00C12C14"/>
    <w:rsid w:val="00C13DD4"/>
    <w:rsid w:val="00C1562A"/>
    <w:rsid w:val="00C15F04"/>
    <w:rsid w:val="00C162DC"/>
    <w:rsid w:val="00C168C3"/>
    <w:rsid w:val="00C1698B"/>
    <w:rsid w:val="00C179B3"/>
    <w:rsid w:val="00C17E3F"/>
    <w:rsid w:val="00C200AA"/>
    <w:rsid w:val="00C20A2E"/>
    <w:rsid w:val="00C21227"/>
    <w:rsid w:val="00C232A8"/>
    <w:rsid w:val="00C237ED"/>
    <w:rsid w:val="00C245F9"/>
    <w:rsid w:val="00C24632"/>
    <w:rsid w:val="00C25418"/>
    <w:rsid w:val="00C25D9C"/>
    <w:rsid w:val="00C2778B"/>
    <w:rsid w:val="00C27B29"/>
    <w:rsid w:val="00C30DFE"/>
    <w:rsid w:val="00C30EB8"/>
    <w:rsid w:val="00C31649"/>
    <w:rsid w:val="00C31CA7"/>
    <w:rsid w:val="00C3434C"/>
    <w:rsid w:val="00C34939"/>
    <w:rsid w:val="00C34BD3"/>
    <w:rsid w:val="00C364FF"/>
    <w:rsid w:val="00C36ACC"/>
    <w:rsid w:val="00C36BCD"/>
    <w:rsid w:val="00C370F5"/>
    <w:rsid w:val="00C40385"/>
    <w:rsid w:val="00C411A6"/>
    <w:rsid w:val="00C41768"/>
    <w:rsid w:val="00C428CD"/>
    <w:rsid w:val="00C45548"/>
    <w:rsid w:val="00C45667"/>
    <w:rsid w:val="00C46E7D"/>
    <w:rsid w:val="00C47557"/>
    <w:rsid w:val="00C475AA"/>
    <w:rsid w:val="00C51148"/>
    <w:rsid w:val="00C52BCD"/>
    <w:rsid w:val="00C53C98"/>
    <w:rsid w:val="00C55BFC"/>
    <w:rsid w:val="00C5610A"/>
    <w:rsid w:val="00C56FB4"/>
    <w:rsid w:val="00C56FCF"/>
    <w:rsid w:val="00C57B6C"/>
    <w:rsid w:val="00C628A6"/>
    <w:rsid w:val="00C628D8"/>
    <w:rsid w:val="00C64344"/>
    <w:rsid w:val="00C64408"/>
    <w:rsid w:val="00C65108"/>
    <w:rsid w:val="00C65576"/>
    <w:rsid w:val="00C66165"/>
    <w:rsid w:val="00C67F24"/>
    <w:rsid w:val="00C7060A"/>
    <w:rsid w:val="00C713FA"/>
    <w:rsid w:val="00C7151A"/>
    <w:rsid w:val="00C717E3"/>
    <w:rsid w:val="00C71F60"/>
    <w:rsid w:val="00C72241"/>
    <w:rsid w:val="00C73DF2"/>
    <w:rsid w:val="00C750C8"/>
    <w:rsid w:val="00C7560F"/>
    <w:rsid w:val="00C75DC9"/>
    <w:rsid w:val="00C80A0E"/>
    <w:rsid w:val="00C80D49"/>
    <w:rsid w:val="00C81156"/>
    <w:rsid w:val="00C8213F"/>
    <w:rsid w:val="00C824FA"/>
    <w:rsid w:val="00C82954"/>
    <w:rsid w:val="00C84099"/>
    <w:rsid w:val="00C85154"/>
    <w:rsid w:val="00C85E09"/>
    <w:rsid w:val="00C86425"/>
    <w:rsid w:val="00C874E0"/>
    <w:rsid w:val="00C8797A"/>
    <w:rsid w:val="00C900B8"/>
    <w:rsid w:val="00C90C71"/>
    <w:rsid w:val="00C91FD1"/>
    <w:rsid w:val="00C931CF"/>
    <w:rsid w:val="00C938CF"/>
    <w:rsid w:val="00C9404E"/>
    <w:rsid w:val="00C94053"/>
    <w:rsid w:val="00C9624D"/>
    <w:rsid w:val="00C96778"/>
    <w:rsid w:val="00C96934"/>
    <w:rsid w:val="00C969DA"/>
    <w:rsid w:val="00CA0835"/>
    <w:rsid w:val="00CA0EAB"/>
    <w:rsid w:val="00CA2655"/>
    <w:rsid w:val="00CA2919"/>
    <w:rsid w:val="00CA2B56"/>
    <w:rsid w:val="00CA2C77"/>
    <w:rsid w:val="00CA444F"/>
    <w:rsid w:val="00CA4531"/>
    <w:rsid w:val="00CA5245"/>
    <w:rsid w:val="00CA56A5"/>
    <w:rsid w:val="00CA5E85"/>
    <w:rsid w:val="00CA5EFD"/>
    <w:rsid w:val="00CA6FD9"/>
    <w:rsid w:val="00CA71F4"/>
    <w:rsid w:val="00CA7B09"/>
    <w:rsid w:val="00CA7E6C"/>
    <w:rsid w:val="00CB12A5"/>
    <w:rsid w:val="00CB1CAC"/>
    <w:rsid w:val="00CB2A04"/>
    <w:rsid w:val="00CB2F2A"/>
    <w:rsid w:val="00CB3DD9"/>
    <w:rsid w:val="00CB4E8B"/>
    <w:rsid w:val="00CB5B1A"/>
    <w:rsid w:val="00CB5D24"/>
    <w:rsid w:val="00CB6B22"/>
    <w:rsid w:val="00CB7F5F"/>
    <w:rsid w:val="00CC1B39"/>
    <w:rsid w:val="00CC2CAE"/>
    <w:rsid w:val="00CC309E"/>
    <w:rsid w:val="00CC35EA"/>
    <w:rsid w:val="00CC3848"/>
    <w:rsid w:val="00CC47B2"/>
    <w:rsid w:val="00CC68CF"/>
    <w:rsid w:val="00CC6D1F"/>
    <w:rsid w:val="00CC79CF"/>
    <w:rsid w:val="00CD0690"/>
    <w:rsid w:val="00CD158E"/>
    <w:rsid w:val="00CD1C49"/>
    <w:rsid w:val="00CD2FF8"/>
    <w:rsid w:val="00CD32E2"/>
    <w:rsid w:val="00CD3F77"/>
    <w:rsid w:val="00CD4D9B"/>
    <w:rsid w:val="00CD5093"/>
    <w:rsid w:val="00CD5A7D"/>
    <w:rsid w:val="00CD62A5"/>
    <w:rsid w:val="00CD660A"/>
    <w:rsid w:val="00CD6A65"/>
    <w:rsid w:val="00CD6ADC"/>
    <w:rsid w:val="00CD7079"/>
    <w:rsid w:val="00CD7193"/>
    <w:rsid w:val="00CD7492"/>
    <w:rsid w:val="00CE38C8"/>
    <w:rsid w:val="00CE3C5B"/>
    <w:rsid w:val="00CE5CE5"/>
    <w:rsid w:val="00CE6274"/>
    <w:rsid w:val="00CE6588"/>
    <w:rsid w:val="00CE77B6"/>
    <w:rsid w:val="00CE7F43"/>
    <w:rsid w:val="00CF2B8D"/>
    <w:rsid w:val="00CF3FB9"/>
    <w:rsid w:val="00CF456B"/>
    <w:rsid w:val="00CF5A22"/>
    <w:rsid w:val="00CF6CDB"/>
    <w:rsid w:val="00CF6D94"/>
    <w:rsid w:val="00CF6FC0"/>
    <w:rsid w:val="00CF7DD4"/>
    <w:rsid w:val="00D003BE"/>
    <w:rsid w:val="00D00E29"/>
    <w:rsid w:val="00D00F36"/>
    <w:rsid w:val="00D0262E"/>
    <w:rsid w:val="00D02A62"/>
    <w:rsid w:val="00D04195"/>
    <w:rsid w:val="00D05792"/>
    <w:rsid w:val="00D05AC1"/>
    <w:rsid w:val="00D05E3D"/>
    <w:rsid w:val="00D06139"/>
    <w:rsid w:val="00D064C8"/>
    <w:rsid w:val="00D0719A"/>
    <w:rsid w:val="00D078A0"/>
    <w:rsid w:val="00D07CC0"/>
    <w:rsid w:val="00D110BD"/>
    <w:rsid w:val="00D11405"/>
    <w:rsid w:val="00D11772"/>
    <w:rsid w:val="00D12713"/>
    <w:rsid w:val="00D132F5"/>
    <w:rsid w:val="00D13675"/>
    <w:rsid w:val="00D141E1"/>
    <w:rsid w:val="00D15314"/>
    <w:rsid w:val="00D17601"/>
    <w:rsid w:val="00D17D6C"/>
    <w:rsid w:val="00D20A43"/>
    <w:rsid w:val="00D2155B"/>
    <w:rsid w:val="00D2162B"/>
    <w:rsid w:val="00D22185"/>
    <w:rsid w:val="00D23D11"/>
    <w:rsid w:val="00D23D74"/>
    <w:rsid w:val="00D244B6"/>
    <w:rsid w:val="00D2716D"/>
    <w:rsid w:val="00D2754D"/>
    <w:rsid w:val="00D27B27"/>
    <w:rsid w:val="00D31F58"/>
    <w:rsid w:val="00D32256"/>
    <w:rsid w:val="00D33BE9"/>
    <w:rsid w:val="00D33F93"/>
    <w:rsid w:val="00D353BE"/>
    <w:rsid w:val="00D357FF"/>
    <w:rsid w:val="00D40153"/>
    <w:rsid w:val="00D42491"/>
    <w:rsid w:val="00D424C7"/>
    <w:rsid w:val="00D437BF"/>
    <w:rsid w:val="00D43B2A"/>
    <w:rsid w:val="00D43D83"/>
    <w:rsid w:val="00D44A40"/>
    <w:rsid w:val="00D4572B"/>
    <w:rsid w:val="00D47575"/>
    <w:rsid w:val="00D47D7F"/>
    <w:rsid w:val="00D51045"/>
    <w:rsid w:val="00D515CA"/>
    <w:rsid w:val="00D5243B"/>
    <w:rsid w:val="00D533EC"/>
    <w:rsid w:val="00D53D52"/>
    <w:rsid w:val="00D55738"/>
    <w:rsid w:val="00D56A95"/>
    <w:rsid w:val="00D620DC"/>
    <w:rsid w:val="00D6222E"/>
    <w:rsid w:val="00D647F0"/>
    <w:rsid w:val="00D64EDF"/>
    <w:rsid w:val="00D65CD9"/>
    <w:rsid w:val="00D66C1E"/>
    <w:rsid w:val="00D70F16"/>
    <w:rsid w:val="00D72F57"/>
    <w:rsid w:val="00D73D1E"/>
    <w:rsid w:val="00D73F20"/>
    <w:rsid w:val="00D75FB8"/>
    <w:rsid w:val="00D76A44"/>
    <w:rsid w:val="00D7755E"/>
    <w:rsid w:val="00D80536"/>
    <w:rsid w:val="00D815EF"/>
    <w:rsid w:val="00D81F26"/>
    <w:rsid w:val="00D83584"/>
    <w:rsid w:val="00D83783"/>
    <w:rsid w:val="00D83F22"/>
    <w:rsid w:val="00D861D1"/>
    <w:rsid w:val="00D86231"/>
    <w:rsid w:val="00D86950"/>
    <w:rsid w:val="00D904DB"/>
    <w:rsid w:val="00D91923"/>
    <w:rsid w:val="00D91F1A"/>
    <w:rsid w:val="00D91FC5"/>
    <w:rsid w:val="00D921C9"/>
    <w:rsid w:val="00D9246F"/>
    <w:rsid w:val="00D93753"/>
    <w:rsid w:val="00D945CC"/>
    <w:rsid w:val="00D95337"/>
    <w:rsid w:val="00DA19C7"/>
    <w:rsid w:val="00DA3167"/>
    <w:rsid w:val="00DA4DC3"/>
    <w:rsid w:val="00DA4FAD"/>
    <w:rsid w:val="00DA5914"/>
    <w:rsid w:val="00DA5BED"/>
    <w:rsid w:val="00DA77A5"/>
    <w:rsid w:val="00DB32BB"/>
    <w:rsid w:val="00DB3DBF"/>
    <w:rsid w:val="00DB484F"/>
    <w:rsid w:val="00DB512C"/>
    <w:rsid w:val="00DB5169"/>
    <w:rsid w:val="00DB67CF"/>
    <w:rsid w:val="00DB7F0B"/>
    <w:rsid w:val="00DC04F6"/>
    <w:rsid w:val="00DC0690"/>
    <w:rsid w:val="00DC1D65"/>
    <w:rsid w:val="00DC2311"/>
    <w:rsid w:val="00DC2B97"/>
    <w:rsid w:val="00DC2F99"/>
    <w:rsid w:val="00DC3C57"/>
    <w:rsid w:val="00DC4985"/>
    <w:rsid w:val="00DC5501"/>
    <w:rsid w:val="00DC6F09"/>
    <w:rsid w:val="00DC7154"/>
    <w:rsid w:val="00DC7E04"/>
    <w:rsid w:val="00DC7E8A"/>
    <w:rsid w:val="00DD09CC"/>
    <w:rsid w:val="00DD0F78"/>
    <w:rsid w:val="00DD1561"/>
    <w:rsid w:val="00DD273C"/>
    <w:rsid w:val="00DD2B96"/>
    <w:rsid w:val="00DD30F0"/>
    <w:rsid w:val="00DD39DC"/>
    <w:rsid w:val="00DD3F28"/>
    <w:rsid w:val="00DD4537"/>
    <w:rsid w:val="00DD4E15"/>
    <w:rsid w:val="00DD5B1B"/>
    <w:rsid w:val="00DD6048"/>
    <w:rsid w:val="00DD6C43"/>
    <w:rsid w:val="00DD7B71"/>
    <w:rsid w:val="00DE0E94"/>
    <w:rsid w:val="00DE2304"/>
    <w:rsid w:val="00DE3138"/>
    <w:rsid w:val="00DE37F8"/>
    <w:rsid w:val="00DE4FCB"/>
    <w:rsid w:val="00DE5D07"/>
    <w:rsid w:val="00DE6687"/>
    <w:rsid w:val="00DE72A7"/>
    <w:rsid w:val="00DE7832"/>
    <w:rsid w:val="00DF0330"/>
    <w:rsid w:val="00DF18FC"/>
    <w:rsid w:val="00DF495E"/>
    <w:rsid w:val="00DF5D2B"/>
    <w:rsid w:val="00DF695F"/>
    <w:rsid w:val="00DF7721"/>
    <w:rsid w:val="00E0015D"/>
    <w:rsid w:val="00E00E8E"/>
    <w:rsid w:val="00E02120"/>
    <w:rsid w:val="00E035D7"/>
    <w:rsid w:val="00E036A8"/>
    <w:rsid w:val="00E04839"/>
    <w:rsid w:val="00E0517E"/>
    <w:rsid w:val="00E05630"/>
    <w:rsid w:val="00E05991"/>
    <w:rsid w:val="00E06DBB"/>
    <w:rsid w:val="00E0718C"/>
    <w:rsid w:val="00E10039"/>
    <w:rsid w:val="00E10149"/>
    <w:rsid w:val="00E11340"/>
    <w:rsid w:val="00E1203E"/>
    <w:rsid w:val="00E122A1"/>
    <w:rsid w:val="00E1230C"/>
    <w:rsid w:val="00E13053"/>
    <w:rsid w:val="00E13438"/>
    <w:rsid w:val="00E13B10"/>
    <w:rsid w:val="00E149E2"/>
    <w:rsid w:val="00E1612D"/>
    <w:rsid w:val="00E16372"/>
    <w:rsid w:val="00E209A9"/>
    <w:rsid w:val="00E20E4D"/>
    <w:rsid w:val="00E20ED6"/>
    <w:rsid w:val="00E21358"/>
    <w:rsid w:val="00E21F23"/>
    <w:rsid w:val="00E2249B"/>
    <w:rsid w:val="00E22A0D"/>
    <w:rsid w:val="00E244F6"/>
    <w:rsid w:val="00E25529"/>
    <w:rsid w:val="00E2746F"/>
    <w:rsid w:val="00E2771E"/>
    <w:rsid w:val="00E30189"/>
    <w:rsid w:val="00E30987"/>
    <w:rsid w:val="00E30F5A"/>
    <w:rsid w:val="00E311EF"/>
    <w:rsid w:val="00E32180"/>
    <w:rsid w:val="00E34807"/>
    <w:rsid w:val="00E34948"/>
    <w:rsid w:val="00E34DC5"/>
    <w:rsid w:val="00E37569"/>
    <w:rsid w:val="00E37947"/>
    <w:rsid w:val="00E401B2"/>
    <w:rsid w:val="00E41149"/>
    <w:rsid w:val="00E41193"/>
    <w:rsid w:val="00E41E30"/>
    <w:rsid w:val="00E41E59"/>
    <w:rsid w:val="00E42F73"/>
    <w:rsid w:val="00E43A1D"/>
    <w:rsid w:val="00E43D70"/>
    <w:rsid w:val="00E44695"/>
    <w:rsid w:val="00E466F3"/>
    <w:rsid w:val="00E47B2C"/>
    <w:rsid w:val="00E51560"/>
    <w:rsid w:val="00E51912"/>
    <w:rsid w:val="00E52CCE"/>
    <w:rsid w:val="00E52E6D"/>
    <w:rsid w:val="00E52ED9"/>
    <w:rsid w:val="00E53FC8"/>
    <w:rsid w:val="00E54347"/>
    <w:rsid w:val="00E55424"/>
    <w:rsid w:val="00E55915"/>
    <w:rsid w:val="00E55BB5"/>
    <w:rsid w:val="00E62381"/>
    <w:rsid w:val="00E638FE"/>
    <w:rsid w:val="00E65D76"/>
    <w:rsid w:val="00E65E79"/>
    <w:rsid w:val="00E6653C"/>
    <w:rsid w:val="00E66BA2"/>
    <w:rsid w:val="00E67416"/>
    <w:rsid w:val="00E67A6C"/>
    <w:rsid w:val="00E70AFC"/>
    <w:rsid w:val="00E718B6"/>
    <w:rsid w:val="00E723BA"/>
    <w:rsid w:val="00E72D97"/>
    <w:rsid w:val="00E73581"/>
    <w:rsid w:val="00E73CAF"/>
    <w:rsid w:val="00E75C2F"/>
    <w:rsid w:val="00E82A87"/>
    <w:rsid w:val="00E833F7"/>
    <w:rsid w:val="00E83BDF"/>
    <w:rsid w:val="00E845D3"/>
    <w:rsid w:val="00E84C33"/>
    <w:rsid w:val="00E84E87"/>
    <w:rsid w:val="00E85FC7"/>
    <w:rsid w:val="00E863B1"/>
    <w:rsid w:val="00E87A1D"/>
    <w:rsid w:val="00E9094A"/>
    <w:rsid w:val="00E91D35"/>
    <w:rsid w:val="00E926A5"/>
    <w:rsid w:val="00E96006"/>
    <w:rsid w:val="00E97D73"/>
    <w:rsid w:val="00EA17C3"/>
    <w:rsid w:val="00EA281E"/>
    <w:rsid w:val="00EA2CAA"/>
    <w:rsid w:val="00EA3864"/>
    <w:rsid w:val="00EA5E8A"/>
    <w:rsid w:val="00EA6551"/>
    <w:rsid w:val="00EA681D"/>
    <w:rsid w:val="00EA7F1C"/>
    <w:rsid w:val="00EB15B6"/>
    <w:rsid w:val="00EB1EED"/>
    <w:rsid w:val="00EB3D06"/>
    <w:rsid w:val="00EB4916"/>
    <w:rsid w:val="00EB4E4B"/>
    <w:rsid w:val="00EB5C7E"/>
    <w:rsid w:val="00EB6628"/>
    <w:rsid w:val="00EC00C9"/>
    <w:rsid w:val="00EC0DD9"/>
    <w:rsid w:val="00EC0E44"/>
    <w:rsid w:val="00EC2649"/>
    <w:rsid w:val="00EC31ED"/>
    <w:rsid w:val="00EC4167"/>
    <w:rsid w:val="00EC5836"/>
    <w:rsid w:val="00EC688C"/>
    <w:rsid w:val="00ED12C4"/>
    <w:rsid w:val="00ED1625"/>
    <w:rsid w:val="00ED46E0"/>
    <w:rsid w:val="00ED4E5A"/>
    <w:rsid w:val="00ED57EA"/>
    <w:rsid w:val="00ED5BD4"/>
    <w:rsid w:val="00ED6AAD"/>
    <w:rsid w:val="00ED7D7F"/>
    <w:rsid w:val="00EE07D3"/>
    <w:rsid w:val="00EE1996"/>
    <w:rsid w:val="00EE1C01"/>
    <w:rsid w:val="00EE1D7D"/>
    <w:rsid w:val="00EE22AF"/>
    <w:rsid w:val="00EE3DE3"/>
    <w:rsid w:val="00EE3E3F"/>
    <w:rsid w:val="00EE4A48"/>
    <w:rsid w:val="00EF0171"/>
    <w:rsid w:val="00EF1754"/>
    <w:rsid w:val="00EF1B25"/>
    <w:rsid w:val="00EF1DA0"/>
    <w:rsid w:val="00EF223D"/>
    <w:rsid w:val="00EF2567"/>
    <w:rsid w:val="00EF2D82"/>
    <w:rsid w:val="00EF3E25"/>
    <w:rsid w:val="00EF40A9"/>
    <w:rsid w:val="00EF44B9"/>
    <w:rsid w:val="00EF4747"/>
    <w:rsid w:val="00EF4BF8"/>
    <w:rsid w:val="00EF658E"/>
    <w:rsid w:val="00EF762E"/>
    <w:rsid w:val="00F013E5"/>
    <w:rsid w:val="00F02253"/>
    <w:rsid w:val="00F0314E"/>
    <w:rsid w:val="00F03C2E"/>
    <w:rsid w:val="00F04A66"/>
    <w:rsid w:val="00F04B4B"/>
    <w:rsid w:val="00F0516C"/>
    <w:rsid w:val="00F06476"/>
    <w:rsid w:val="00F067A2"/>
    <w:rsid w:val="00F07B9E"/>
    <w:rsid w:val="00F1116F"/>
    <w:rsid w:val="00F116EA"/>
    <w:rsid w:val="00F1263A"/>
    <w:rsid w:val="00F15352"/>
    <w:rsid w:val="00F15AA7"/>
    <w:rsid w:val="00F15AAF"/>
    <w:rsid w:val="00F15B77"/>
    <w:rsid w:val="00F16653"/>
    <w:rsid w:val="00F16A32"/>
    <w:rsid w:val="00F16CD3"/>
    <w:rsid w:val="00F17405"/>
    <w:rsid w:val="00F20329"/>
    <w:rsid w:val="00F2069D"/>
    <w:rsid w:val="00F20EF0"/>
    <w:rsid w:val="00F24214"/>
    <w:rsid w:val="00F247A0"/>
    <w:rsid w:val="00F24837"/>
    <w:rsid w:val="00F24A0C"/>
    <w:rsid w:val="00F2575F"/>
    <w:rsid w:val="00F2607E"/>
    <w:rsid w:val="00F27565"/>
    <w:rsid w:val="00F27BD7"/>
    <w:rsid w:val="00F310D4"/>
    <w:rsid w:val="00F312E2"/>
    <w:rsid w:val="00F31D5A"/>
    <w:rsid w:val="00F33975"/>
    <w:rsid w:val="00F33DE9"/>
    <w:rsid w:val="00F33E32"/>
    <w:rsid w:val="00F34D4F"/>
    <w:rsid w:val="00F34EC9"/>
    <w:rsid w:val="00F35817"/>
    <w:rsid w:val="00F35E6D"/>
    <w:rsid w:val="00F35EE8"/>
    <w:rsid w:val="00F3619A"/>
    <w:rsid w:val="00F36AB0"/>
    <w:rsid w:val="00F3770A"/>
    <w:rsid w:val="00F40AAA"/>
    <w:rsid w:val="00F40BA7"/>
    <w:rsid w:val="00F40CEA"/>
    <w:rsid w:val="00F40F9D"/>
    <w:rsid w:val="00F41ACD"/>
    <w:rsid w:val="00F45C58"/>
    <w:rsid w:val="00F46616"/>
    <w:rsid w:val="00F46665"/>
    <w:rsid w:val="00F46CB6"/>
    <w:rsid w:val="00F4756D"/>
    <w:rsid w:val="00F47DE8"/>
    <w:rsid w:val="00F5026A"/>
    <w:rsid w:val="00F504B2"/>
    <w:rsid w:val="00F50F9E"/>
    <w:rsid w:val="00F542C1"/>
    <w:rsid w:val="00F54BA0"/>
    <w:rsid w:val="00F55812"/>
    <w:rsid w:val="00F55A85"/>
    <w:rsid w:val="00F55E4B"/>
    <w:rsid w:val="00F55E73"/>
    <w:rsid w:val="00F55EDA"/>
    <w:rsid w:val="00F56C80"/>
    <w:rsid w:val="00F60092"/>
    <w:rsid w:val="00F60573"/>
    <w:rsid w:val="00F606BC"/>
    <w:rsid w:val="00F60CF7"/>
    <w:rsid w:val="00F6123A"/>
    <w:rsid w:val="00F61C18"/>
    <w:rsid w:val="00F64DAA"/>
    <w:rsid w:val="00F65212"/>
    <w:rsid w:val="00F65F4B"/>
    <w:rsid w:val="00F67542"/>
    <w:rsid w:val="00F67A69"/>
    <w:rsid w:val="00F70BFF"/>
    <w:rsid w:val="00F70C9D"/>
    <w:rsid w:val="00F74573"/>
    <w:rsid w:val="00F74CD9"/>
    <w:rsid w:val="00F75598"/>
    <w:rsid w:val="00F8015A"/>
    <w:rsid w:val="00F80A7B"/>
    <w:rsid w:val="00F80E5D"/>
    <w:rsid w:val="00F81E40"/>
    <w:rsid w:val="00F81E78"/>
    <w:rsid w:val="00F851CE"/>
    <w:rsid w:val="00F860F4"/>
    <w:rsid w:val="00F91219"/>
    <w:rsid w:val="00F9178D"/>
    <w:rsid w:val="00F91860"/>
    <w:rsid w:val="00F91F92"/>
    <w:rsid w:val="00F92444"/>
    <w:rsid w:val="00F9393E"/>
    <w:rsid w:val="00F96FD0"/>
    <w:rsid w:val="00F97A78"/>
    <w:rsid w:val="00F97D43"/>
    <w:rsid w:val="00FA0B20"/>
    <w:rsid w:val="00FA1ADA"/>
    <w:rsid w:val="00FA20A4"/>
    <w:rsid w:val="00FA24E7"/>
    <w:rsid w:val="00FA2D13"/>
    <w:rsid w:val="00FA2EB2"/>
    <w:rsid w:val="00FA5EE6"/>
    <w:rsid w:val="00FA7956"/>
    <w:rsid w:val="00FA79EE"/>
    <w:rsid w:val="00FB0269"/>
    <w:rsid w:val="00FB0536"/>
    <w:rsid w:val="00FB2CA7"/>
    <w:rsid w:val="00FB2FCB"/>
    <w:rsid w:val="00FB3D5C"/>
    <w:rsid w:val="00FB46B5"/>
    <w:rsid w:val="00FB4FF4"/>
    <w:rsid w:val="00FB505C"/>
    <w:rsid w:val="00FB5390"/>
    <w:rsid w:val="00FB5755"/>
    <w:rsid w:val="00FB5936"/>
    <w:rsid w:val="00FB5B54"/>
    <w:rsid w:val="00FB64DE"/>
    <w:rsid w:val="00FB6889"/>
    <w:rsid w:val="00FB7808"/>
    <w:rsid w:val="00FB795F"/>
    <w:rsid w:val="00FB7C55"/>
    <w:rsid w:val="00FC1074"/>
    <w:rsid w:val="00FC1884"/>
    <w:rsid w:val="00FC371D"/>
    <w:rsid w:val="00FC5F0B"/>
    <w:rsid w:val="00FC75D3"/>
    <w:rsid w:val="00FD08B6"/>
    <w:rsid w:val="00FD2100"/>
    <w:rsid w:val="00FD21BC"/>
    <w:rsid w:val="00FD3758"/>
    <w:rsid w:val="00FD436C"/>
    <w:rsid w:val="00FD446D"/>
    <w:rsid w:val="00FD4F2C"/>
    <w:rsid w:val="00FD6394"/>
    <w:rsid w:val="00FD67B4"/>
    <w:rsid w:val="00FE0E6C"/>
    <w:rsid w:val="00FE106D"/>
    <w:rsid w:val="00FE1CDC"/>
    <w:rsid w:val="00FE2F1C"/>
    <w:rsid w:val="00FE4C14"/>
    <w:rsid w:val="00FE70C3"/>
    <w:rsid w:val="00FE7221"/>
    <w:rsid w:val="00FF1A01"/>
    <w:rsid w:val="00FF2AD9"/>
    <w:rsid w:val="00FF2EB1"/>
    <w:rsid w:val="00FF2F37"/>
    <w:rsid w:val="00FF359F"/>
    <w:rsid w:val="00FF3DCF"/>
    <w:rsid w:val="00FF492C"/>
    <w:rsid w:val="00FF4A21"/>
    <w:rsid w:val="00FF5AA3"/>
    <w:rsid w:val="00FF5AD8"/>
    <w:rsid w:val="00FF719B"/>
    <w:rsid w:val="00FF73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736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F30"/>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aliases w:val="Page Header,Header title,he=header,cntr/bld"/>
    <w:basedOn w:val="Normal"/>
    <w:link w:val="HeaderChar"/>
    <w:uiPriority w:val="99"/>
    <w:unhideWhenUsed/>
    <w:qFormat/>
    <w:rsid w:val="007D37D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7D37D1"/>
    <w:rPr>
      <w:rFonts w:ascii="Calibri" w:hAnsi="Calibri" w:cs="Arial"/>
      <w:sz w:val="24"/>
      <w:szCs w:val="24"/>
    </w:rPr>
  </w:style>
  <w:style w:type="paragraph" w:styleId="Footer">
    <w:name w:val="footer"/>
    <w:basedOn w:val="Normal"/>
    <w:link w:val="FooterChar"/>
    <w:uiPriority w:val="99"/>
    <w:unhideWhenUsed/>
    <w:rsid w:val="007D37D1"/>
    <w:pPr>
      <w:tabs>
        <w:tab w:val="center" w:pos="4513"/>
        <w:tab w:val="right" w:pos="9026"/>
      </w:tabs>
    </w:pPr>
  </w:style>
  <w:style w:type="character" w:customStyle="1" w:styleId="FooterChar">
    <w:name w:val="Footer Char"/>
    <w:basedOn w:val="DefaultParagraphFont"/>
    <w:link w:val="Footer"/>
    <w:uiPriority w:val="99"/>
    <w:rsid w:val="007D37D1"/>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1D25A6"/>
    <w:rPr>
      <w:sz w:val="16"/>
      <w:szCs w:val="16"/>
    </w:rPr>
  </w:style>
  <w:style w:type="paragraph" w:styleId="CommentText">
    <w:name w:val="annotation text"/>
    <w:basedOn w:val="Normal"/>
    <w:link w:val="CommentTextChar"/>
    <w:uiPriority w:val="99"/>
    <w:unhideWhenUsed/>
    <w:rsid w:val="001D25A6"/>
    <w:rPr>
      <w:sz w:val="20"/>
      <w:szCs w:val="20"/>
    </w:rPr>
  </w:style>
  <w:style w:type="character" w:customStyle="1" w:styleId="CommentTextChar">
    <w:name w:val="Comment Text Char"/>
    <w:basedOn w:val="DefaultParagraphFont"/>
    <w:link w:val="CommentText"/>
    <w:uiPriority w:val="99"/>
    <w:rsid w:val="001D25A6"/>
    <w:rPr>
      <w:rFonts w:ascii="Calibri" w:hAnsi="Calibri" w:cs="Arial"/>
    </w:rPr>
  </w:style>
  <w:style w:type="paragraph" w:styleId="CommentSubject">
    <w:name w:val="annotation subject"/>
    <w:basedOn w:val="CommentText"/>
    <w:next w:val="CommentText"/>
    <w:link w:val="CommentSubjectChar"/>
    <w:semiHidden/>
    <w:unhideWhenUsed/>
    <w:rsid w:val="001D25A6"/>
    <w:rPr>
      <w:b/>
      <w:bCs/>
    </w:rPr>
  </w:style>
  <w:style w:type="character" w:customStyle="1" w:styleId="CommentSubjectChar">
    <w:name w:val="Comment Subject Char"/>
    <w:basedOn w:val="CommentTextChar"/>
    <w:link w:val="CommentSubject"/>
    <w:semiHidden/>
    <w:rsid w:val="001D25A6"/>
    <w:rPr>
      <w:rFonts w:ascii="Calibri" w:hAnsi="Calibri" w:cs="Arial"/>
      <w:b/>
      <w:bCs/>
    </w:rPr>
  </w:style>
  <w:style w:type="paragraph" w:customStyle="1" w:styleId="TableHeading">
    <w:name w:val="Table Heading"/>
    <w:basedOn w:val="Normal"/>
    <w:qFormat/>
    <w:rsid w:val="00781EC9"/>
    <w:pPr>
      <w:keepNext/>
      <w:jc w:val="left"/>
    </w:pPr>
    <w:rPr>
      <w:rFonts w:ascii="Arial Narrow" w:eastAsiaTheme="minorHAnsi" w:hAnsi="Arial Narrow" w:cstheme="minorBidi"/>
      <w:b/>
      <w:sz w:val="20"/>
      <w:szCs w:val="22"/>
      <w:lang w:eastAsia="en-US"/>
    </w:rPr>
  </w:style>
  <w:style w:type="paragraph" w:styleId="ListParagraph">
    <w:name w:val="List Paragraph"/>
    <w:aliases w:val="Numbered para,BulletPoints,Footnote,Bullet point,List Paragraph1,List Paragraph11,Recommendation,ES Paragraph,PBAC ES Paragraph,PBAC normal points,Bullet List"/>
    <w:basedOn w:val="Normal"/>
    <w:link w:val="ListParagraphChar"/>
    <w:uiPriority w:val="34"/>
    <w:qFormat/>
    <w:rsid w:val="00572304"/>
    <w:pPr>
      <w:ind w:left="720"/>
      <w:contextualSpacing/>
    </w:pPr>
  </w:style>
  <w:style w:type="paragraph" w:customStyle="1" w:styleId="Tabletext0">
    <w:name w:val="Table text"/>
    <w:basedOn w:val="Normal"/>
    <w:link w:val="TabletextChar0"/>
    <w:uiPriority w:val="2"/>
    <w:qFormat/>
    <w:rsid w:val="00727D39"/>
    <w:pPr>
      <w:jc w:val="left"/>
    </w:pPr>
    <w:rPr>
      <w:rFonts w:ascii="Arial Narrow" w:hAnsi="Arial Narrow" w:cs="Times New Roman"/>
      <w:sz w:val="20"/>
      <w:szCs w:val="22"/>
      <w:lang w:eastAsia="en-US"/>
    </w:rPr>
  </w:style>
  <w:style w:type="character" w:customStyle="1" w:styleId="TabletextChar0">
    <w:name w:val="Table text Char"/>
    <w:link w:val="Tabletext0"/>
    <w:uiPriority w:val="2"/>
    <w:rsid w:val="00727D39"/>
    <w:rPr>
      <w:rFonts w:ascii="Arial Narrow" w:hAnsi="Arial Narrow"/>
      <w:szCs w:val="22"/>
      <w:lang w:eastAsia="en-US"/>
    </w:rPr>
  </w:style>
  <w:style w:type="paragraph" w:customStyle="1" w:styleId="TableFooter">
    <w:name w:val="Table Footer"/>
    <w:basedOn w:val="Normal"/>
    <w:link w:val="TableFooterChar"/>
    <w:qFormat/>
    <w:rsid w:val="00BA23AD"/>
    <w:pPr>
      <w:widowControl w:val="0"/>
    </w:pPr>
    <w:rPr>
      <w:rFonts w:ascii="Arial Narrow" w:hAnsi="Arial Narrow"/>
      <w:snapToGrid w:val="0"/>
      <w:sz w:val="18"/>
      <w:szCs w:val="22"/>
      <w:lang w:eastAsia="en-US"/>
    </w:rPr>
  </w:style>
  <w:style w:type="character" w:customStyle="1" w:styleId="TableFooterChar">
    <w:name w:val="Table Footer Char"/>
    <w:link w:val="TableFooter"/>
    <w:rsid w:val="00BA23AD"/>
    <w:rPr>
      <w:rFonts w:ascii="Arial Narrow" w:hAnsi="Arial Narrow" w:cs="Arial"/>
      <w:snapToGrid w:val="0"/>
      <w:sz w:val="18"/>
      <w:szCs w:val="22"/>
      <w:lang w:eastAsia="en-US"/>
    </w:rPr>
  </w:style>
  <w:style w:type="character" w:styleId="PlaceholderText">
    <w:name w:val="Placeholder Text"/>
    <w:basedOn w:val="DefaultParagraphFont"/>
    <w:uiPriority w:val="99"/>
    <w:semiHidden/>
    <w:rsid w:val="00075067"/>
    <w:rPr>
      <w:color w:val="808080"/>
    </w:rPr>
  </w:style>
  <w:style w:type="paragraph" w:styleId="BodyText">
    <w:name w:val="Body Text"/>
    <w:basedOn w:val="Normal"/>
    <w:link w:val="BodyTextChar"/>
    <w:qFormat/>
    <w:rsid w:val="003E3943"/>
    <w:pPr>
      <w:widowControl w:val="0"/>
      <w:jc w:val="left"/>
    </w:pPr>
    <w:rPr>
      <w:snapToGrid w:val="0"/>
      <w:szCs w:val="22"/>
      <w:lang w:eastAsia="en-US"/>
    </w:rPr>
  </w:style>
  <w:style w:type="character" w:customStyle="1" w:styleId="BodyTextChar">
    <w:name w:val="Body Text Char"/>
    <w:basedOn w:val="DefaultParagraphFont"/>
    <w:link w:val="BodyText"/>
    <w:rsid w:val="003E3943"/>
    <w:rPr>
      <w:rFonts w:ascii="Calibri" w:hAnsi="Calibri" w:cs="Arial"/>
      <w:snapToGrid w:val="0"/>
      <w:sz w:val="24"/>
      <w:szCs w:val="22"/>
      <w:lang w:eastAsia="en-US"/>
    </w:r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34"/>
    <w:qFormat/>
    <w:locked/>
    <w:rsid w:val="00410AA1"/>
    <w:rPr>
      <w:rFonts w:ascii="Calibri" w:hAnsi="Calibri" w:cs="Arial"/>
      <w:sz w:val="24"/>
      <w:szCs w:val="24"/>
    </w:rPr>
  </w:style>
  <w:style w:type="paragraph" w:customStyle="1" w:styleId="PBACHeading1">
    <w:name w:val="PBAC Heading 1"/>
    <w:qFormat/>
    <w:rsid w:val="00410AA1"/>
    <w:pPr>
      <w:ind w:left="720" w:hanging="720"/>
    </w:pPr>
    <w:rPr>
      <w:rFonts w:ascii="Calibri" w:hAnsi="Calibri" w:cs="Arial"/>
      <w:b/>
      <w:snapToGrid w:val="0"/>
      <w:sz w:val="32"/>
      <w:szCs w:val="22"/>
      <w:lang w:eastAsia="en-US"/>
    </w:rPr>
  </w:style>
  <w:style w:type="paragraph" w:customStyle="1" w:styleId="MainBodyText">
    <w:name w:val="Main Body Text"/>
    <w:basedOn w:val="Normal"/>
    <w:link w:val="MainBodyTextChar"/>
    <w:rsid w:val="005F7D5D"/>
    <w:pPr>
      <w:spacing w:after="240" w:line="276" w:lineRule="auto"/>
    </w:pPr>
    <w:rPr>
      <w:rFonts w:ascii="Arial" w:hAnsi="Arial" w:cs="Times New Roman"/>
      <w:sz w:val="22"/>
      <w:szCs w:val="22"/>
    </w:rPr>
  </w:style>
  <w:style w:type="character" w:customStyle="1" w:styleId="MainBodyTextChar">
    <w:name w:val="Main Body Text Char"/>
    <w:link w:val="MainBodyText"/>
    <w:rsid w:val="005F7D5D"/>
    <w:rPr>
      <w:rFonts w:ascii="Arial" w:hAnsi="Arial"/>
      <w:sz w:val="22"/>
      <w:szCs w:val="22"/>
    </w:rPr>
  </w:style>
  <w:style w:type="paragraph" w:styleId="FootnoteText">
    <w:name w:val="footnote text"/>
    <w:basedOn w:val="Normal"/>
    <w:link w:val="FootnoteTextChar"/>
    <w:uiPriority w:val="99"/>
    <w:semiHidden/>
    <w:unhideWhenUsed/>
    <w:rsid w:val="005F7D5D"/>
    <w:pPr>
      <w:jc w:val="left"/>
    </w:pPr>
    <w:rPr>
      <w:rFonts w:eastAsiaTheme="minorHAnsi" w:cs="Times New Roman"/>
      <w:sz w:val="20"/>
      <w:szCs w:val="20"/>
      <w:lang w:eastAsia="en-US"/>
    </w:rPr>
  </w:style>
  <w:style w:type="character" w:customStyle="1" w:styleId="FootnoteTextChar">
    <w:name w:val="Footnote Text Char"/>
    <w:basedOn w:val="DefaultParagraphFont"/>
    <w:link w:val="FootnoteText"/>
    <w:uiPriority w:val="99"/>
    <w:semiHidden/>
    <w:rsid w:val="005F7D5D"/>
    <w:rPr>
      <w:rFonts w:ascii="Calibri" w:eastAsiaTheme="minorHAnsi" w:hAnsi="Calibri"/>
      <w:lang w:eastAsia="en-US"/>
    </w:rPr>
  </w:style>
  <w:style w:type="character" w:styleId="FootnoteReference">
    <w:name w:val="footnote reference"/>
    <w:basedOn w:val="DefaultParagraphFont"/>
    <w:uiPriority w:val="99"/>
    <w:semiHidden/>
    <w:unhideWhenUsed/>
    <w:rsid w:val="005F7D5D"/>
    <w:rPr>
      <w:vertAlign w:val="superscript"/>
    </w:rPr>
  </w:style>
  <w:style w:type="paragraph" w:styleId="NoSpacing">
    <w:name w:val="No Spacing"/>
    <w:uiPriority w:val="1"/>
    <w:qFormat/>
    <w:rsid w:val="005F7D5D"/>
    <w:pPr>
      <w:numPr>
        <w:numId w:val="14"/>
      </w:numPr>
      <w:spacing w:after="120"/>
    </w:pPr>
    <w:rPr>
      <w:rFonts w:ascii="Calibri" w:eastAsiaTheme="minorHAnsi" w:hAnsi="Calibri"/>
      <w:sz w:val="24"/>
      <w:szCs w:val="24"/>
      <w:lang w:eastAsia="en-US"/>
    </w:rPr>
  </w:style>
  <w:style w:type="character" w:customStyle="1" w:styleId="UnresolvedMention1">
    <w:name w:val="Unresolved Mention1"/>
    <w:basedOn w:val="DefaultParagraphFont"/>
    <w:uiPriority w:val="99"/>
    <w:semiHidden/>
    <w:unhideWhenUsed/>
    <w:rsid w:val="00DC6F09"/>
    <w:rPr>
      <w:color w:val="605E5C"/>
      <w:shd w:val="clear" w:color="auto" w:fill="E1DFDD"/>
    </w:rPr>
  </w:style>
  <w:style w:type="paragraph" w:customStyle="1" w:styleId="Default">
    <w:name w:val="Default"/>
    <w:rsid w:val="00C06DDA"/>
    <w:pPr>
      <w:autoSpaceDE w:val="0"/>
      <w:autoSpaceDN w:val="0"/>
      <w:adjustRightInd w:val="0"/>
    </w:pPr>
    <w:rPr>
      <w:rFonts w:ascii="Arial Narrow" w:hAnsi="Arial Narrow" w:cs="Arial Narrow"/>
      <w:color w:val="000000"/>
      <w:sz w:val="24"/>
      <w:szCs w:val="24"/>
    </w:rPr>
  </w:style>
  <w:style w:type="paragraph" w:customStyle="1" w:styleId="TableHeading0">
    <w:name w:val="TableHeading"/>
    <w:basedOn w:val="BodyText"/>
    <w:qFormat/>
    <w:rsid w:val="00703BF2"/>
    <w:pPr>
      <w:widowControl/>
      <w:spacing w:before="60" w:after="60"/>
    </w:pPr>
    <w:rPr>
      <w:rFonts w:ascii="Arial" w:hAnsi="Arial" w:cs="Times New Roman"/>
      <w:b/>
      <w:snapToGrid/>
      <w:sz w:val="18"/>
      <w:lang w:eastAsia="en-AU"/>
    </w:rPr>
  </w:style>
  <w:style w:type="character" w:styleId="Emphasis">
    <w:name w:val="Emphasis"/>
    <w:basedOn w:val="DefaultParagraphFont"/>
    <w:uiPriority w:val="20"/>
    <w:qFormat/>
    <w:rsid w:val="008142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8248">
      <w:bodyDiv w:val="1"/>
      <w:marLeft w:val="0"/>
      <w:marRight w:val="0"/>
      <w:marTop w:val="0"/>
      <w:marBottom w:val="0"/>
      <w:divBdr>
        <w:top w:val="none" w:sz="0" w:space="0" w:color="auto"/>
        <w:left w:val="none" w:sz="0" w:space="0" w:color="auto"/>
        <w:bottom w:val="none" w:sz="0" w:space="0" w:color="auto"/>
        <w:right w:val="none" w:sz="0" w:space="0" w:color="auto"/>
      </w:divBdr>
      <w:divsChild>
        <w:div w:id="51663624">
          <w:marLeft w:val="360"/>
          <w:marRight w:val="0"/>
          <w:marTop w:val="200"/>
          <w:marBottom w:val="0"/>
          <w:divBdr>
            <w:top w:val="none" w:sz="0" w:space="0" w:color="auto"/>
            <w:left w:val="none" w:sz="0" w:space="0" w:color="auto"/>
            <w:bottom w:val="none" w:sz="0" w:space="0" w:color="auto"/>
            <w:right w:val="none" w:sz="0" w:space="0" w:color="auto"/>
          </w:divBdr>
        </w:div>
        <w:div w:id="1387991670">
          <w:marLeft w:val="360"/>
          <w:marRight w:val="0"/>
          <w:marTop w:val="200"/>
          <w:marBottom w:val="0"/>
          <w:divBdr>
            <w:top w:val="none" w:sz="0" w:space="0" w:color="auto"/>
            <w:left w:val="none" w:sz="0" w:space="0" w:color="auto"/>
            <w:bottom w:val="none" w:sz="0" w:space="0" w:color="auto"/>
            <w:right w:val="none" w:sz="0" w:space="0" w:color="auto"/>
          </w:divBdr>
        </w:div>
        <w:div w:id="330334160">
          <w:marLeft w:val="1080"/>
          <w:marRight w:val="0"/>
          <w:marTop w:val="100"/>
          <w:marBottom w:val="0"/>
          <w:divBdr>
            <w:top w:val="none" w:sz="0" w:space="0" w:color="auto"/>
            <w:left w:val="none" w:sz="0" w:space="0" w:color="auto"/>
            <w:bottom w:val="none" w:sz="0" w:space="0" w:color="auto"/>
            <w:right w:val="none" w:sz="0" w:space="0" w:color="auto"/>
          </w:divBdr>
        </w:div>
        <w:div w:id="629673399">
          <w:marLeft w:val="1080"/>
          <w:marRight w:val="0"/>
          <w:marTop w:val="100"/>
          <w:marBottom w:val="0"/>
          <w:divBdr>
            <w:top w:val="none" w:sz="0" w:space="0" w:color="auto"/>
            <w:left w:val="none" w:sz="0" w:space="0" w:color="auto"/>
            <w:bottom w:val="none" w:sz="0" w:space="0" w:color="auto"/>
            <w:right w:val="none" w:sz="0" w:space="0" w:color="auto"/>
          </w:divBdr>
        </w:div>
        <w:div w:id="424110911">
          <w:marLeft w:val="1080"/>
          <w:marRight w:val="0"/>
          <w:marTop w:val="1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5441105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03475347">
      <w:bodyDiv w:val="1"/>
      <w:marLeft w:val="0"/>
      <w:marRight w:val="0"/>
      <w:marTop w:val="0"/>
      <w:marBottom w:val="0"/>
      <w:divBdr>
        <w:top w:val="none" w:sz="0" w:space="0" w:color="auto"/>
        <w:left w:val="none" w:sz="0" w:space="0" w:color="auto"/>
        <w:bottom w:val="none" w:sz="0" w:space="0" w:color="auto"/>
        <w:right w:val="none" w:sz="0" w:space="0" w:color="auto"/>
      </w:divBdr>
    </w:div>
    <w:div w:id="741636079">
      <w:bodyDiv w:val="1"/>
      <w:marLeft w:val="0"/>
      <w:marRight w:val="0"/>
      <w:marTop w:val="0"/>
      <w:marBottom w:val="0"/>
      <w:divBdr>
        <w:top w:val="none" w:sz="0" w:space="0" w:color="auto"/>
        <w:left w:val="none" w:sz="0" w:space="0" w:color="auto"/>
        <w:bottom w:val="none" w:sz="0" w:space="0" w:color="auto"/>
        <w:right w:val="none" w:sz="0" w:space="0" w:color="auto"/>
      </w:divBdr>
    </w:div>
    <w:div w:id="109250541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0540">
      <w:bodyDiv w:val="1"/>
      <w:marLeft w:val="0"/>
      <w:marRight w:val="0"/>
      <w:marTop w:val="0"/>
      <w:marBottom w:val="0"/>
      <w:divBdr>
        <w:top w:val="none" w:sz="0" w:space="0" w:color="auto"/>
        <w:left w:val="none" w:sz="0" w:space="0" w:color="auto"/>
        <w:bottom w:val="none" w:sz="0" w:space="0" w:color="auto"/>
        <w:right w:val="none" w:sz="0" w:space="0" w:color="auto"/>
      </w:divBdr>
    </w:div>
    <w:div w:id="1217936951">
      <w:bodyDiv w:val="1"/>
      <w:marLeft w:val="0"/>
      <w:marRight w:val="0"/>
      <w:marTop w:val="0"/>
      <w:marBottom w:val="0"/>
      <w:divBdr>
        <w:top w:val="none" w:sz="0" w:space="0" w:color="auto"/>
        <w:left w:val="none" w:sz="0" w:space="0" w:color="auto"/>
        <w:bottom w:val="none" w:sz="0" w:space="0" w:color="auto"/>
        <w:right w:val="none" w:sz="0" w:space="0" w:color="auto"/>
      </w:divBdr>
    </w:div>
    <w:div w:id="190101734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B735-6119-43BA-92C5-26A60960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21071</Words>
  <Characters>117398</Characters>
  <Application>Microsoft Office Word</Application>
  <DocSecurity>0</DocSecurity>
  <Lines>978</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2021-03-02T02:09:00Z</dcterms:created>
  <dcterms:modified xsi:type="dcterms:W3CDTF">2021-03-05T01:05:00Z</dcterms:modified>
</cp:coreProperties>
</file>