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986B2" w14:textId="77777777" w:rsidR="00936AB1" w:rsidRPr="009C01D5" w:rsidRDefault="00E46257" w:rsidP="008D1790">
      <w:pPr>
        <w:pStyle w:val="1-MainHeading"/>
      </w:pPr>
      <w:bookmarkStart w:id="0" w:name="_Toc51163074"/>
      <w:r w:rsidRPr="009C01D5">
        <w:t>5.02</w:t>
      </w:r>
      <w:r w:rsidR="00936AB1" w:rsidRPr="009C01D5">
        <w:tab/>
        <w:t>C</w:t>
      </w:r>
      <w:r w:rsidRPr="009C01D5">
        <w:t>ARIPRAZINE</w:t>
      </w:r>
      <w:r w:rsidR="00936AB1" w:rsidRPr="009C01D5">
        <w:t>,</w:t>
      </w:r>
      <w:r w:rsidRPr="009C01D5">
        <w:br/>
        <w:t xml:space="preserve">Capsule 1.5 mg, </w:t>
      </w:r>
      <w:r w:rsidRPr="009C01D5">
        <w:br/>
        <w:t>Capsule 3 mg,</w:t>
      </w:r>
      <w:r w:rsidRPr="009C01D5">
        <w:br/>
        <w:t xml:space="preserve">Capsule 4.5 mg, </w:t>
      </w:r>
      <w:r w:rsidRPr="009C01D5">
        <w:br/>
        <w:t>Capsule 6 mg,</w:t>
      </w:r>
      <w:r w:rsidR="00936AB1" w:rsidRPr="009C01D5">
        <w:br/>
        <w:t>R</w:t>
      </w:r>
      <w:r w:rsidR="00D15601" w:rsidRPr="009C01D5">
        <w:t>eagila</w:t>
      </w:r>
      <w:r w:rsidR="00936AB1" w:rsidRPr="009C01D5">
        <w:rPr>
          <w:vertAlign w:val="superscript"/>
        </w:rPr>
        <w:t>®</w:t>
      </w:r>
      <w:r w:rsidR="00936AB1" w:rsidRPr="009C01D5">
        <w:t>,</w:t>
      </w:r>
      <w:r w:rsidR="00936AB1" w:rsidRPr="009C01D5">
        <w:br/>
        <w:t>Seqirus</w:t>
      </w:r>
      <w:bookmarkEnd w:id="0"/>
      <w:r w:rsidR="00D15601">
        <w:t xml:space="preserve"> (Australia) Pty Ltd</w:t>
      </w:r>
    </w:p>
    <w:p w14:paraId="108121C6" w14:textId="77777777" w:rsidR="00936AB1" w:rsidRPr="009C01D5" w:rsidRDefault="00936AB1" w:rsidP="00936AB1">
      <w:pPr>
        <w:pStyle w:val="2-SectionHeading"/>
        <w:numPr>
          <w:ilvl w:val="0"/>
          <w:numId w:val="1"/>
        </w:numPr>
      </w:pPr>
      <w:bookmarkStart w:id="1" w:name="_Toc51163076"/>
      <w:r w:rsidRPr="009C01D5">
        <w:t>Purpose of submission</w:t>
      </w:r>
      <w:bookmarkEnd w:id="1"/>
    </w:p>
    <w:p w14:paraId="44F96ADE" w14:textId="77777777" w:rsidR="00936AB1" w:rsidRPr="009C01D5" w:rsidRDefault="00936AB1" w:rsidP="00936AB1">
      <w:pPr>
        <w:pStyle w:val="3-BodyText"/>
      </w:pPr>
      <w:r w:rsidRPr="009C01D5">
        <w:t xml:space="preserve">The submission requested the listing of cariprazine as an Authority Required (Streamlined) item on the Pharmaceutical Benefits Scheme (PBS) for the treatment of schizophrenia. </w:t>
      </w:r>
    </w:p>
    <w:p w14:paraId="2F859A7F" w14:textId="77777777" w:rsidR="00936AB1" w:rsidRPr="009C01D5" w:rsidRDefault="00936AB1" w:rsidP="00936AB1">
      <w:pPr>
        <w:pStyle w:val="3-BodyText"/>
      </w:pPr>
      <w:r w:rsidRPr="009C01D5">
        <w:t xml:space="preserve">Listing was requested on the basis of a cost-minimisation analysis (CMA) versus aripiprazole and brexpiprazole. The components of the overall clinical claim addressed by the submission are presented in Table 1. Cariprazine has not previously been </w:t>
      </w:r>
      <w:r w:rsidR="00E32004" w:rsidRPr="009C01D5">
        <w:t>considered by</w:t>
      </w:r>
      <w:r w:rsidRPr="009C01D5">
        <w:t xml:space="preserve"> the PBAC for the treatment of schizophrenia. </w:t>
      </w:r>
    </w:p>
    <w:p w14:paraId="3384B76E" w14:textId="77777777" w:rsidR="00936AB1" w:rsidRPr="009C01D5" w:rsidRDefault="00936AB1" w:rsidP="004F4B47">
      <w:pPr>
        <w:pStyle w:val="Caption"/>
        <w:keepNext/>
        <w:spacing w:after="0"/>
        <w:contextualSpacing/>
        <w:jc w:val="left"/>
        <w:rPr>
          <w:rStyle w:val="CommentReference"/>
          <w:b/>
          <w:color w:val="auto"/>
          <w:szCs w:val="20"/>
        </w:rPr>
      </w:pPr>
      <w:bookmarkStart w:id="2" w:name="_Ref50100457"/>
      <w:r w:rsidRPr="009C01D5">
        <w:rPr>
          <w:rFonts w:ascii="Arial Narrow" w:hAnsi="Arial Narrow"/>
          <w:color w:val="auto"/>
          <w:sz w:val="20"/>
          <w:szCs w:val="20"/>
        </w:rPr>
        <w:t>Table</w:t>
      </w:r>
      <w:bookmarkEnd w:id="2"/>
      <w:r w:rsidRPr="009C01D5">
        <w:rPr>
          <w:rFonts w:ascii="Arial Narrow" w:hAnsi="Arial Narrow"/>
          <w:color w:val="auto"/>
          <w:sz w:val="20"/>
          <w:szCs w:val="20"/>
        </w:rPr>
        <w:t xml:space="preserve"> 1: </w:t>
      </w:r>
      <w:r w:rsidRPr="009C01D5">
        <w:rPr>
          <w:rStyle w:val="CommentReference"/>
          <w:b/>
          <w:color w:val="auto"/>
          <w:szCs w:val="20"/>
        </w:rPr>
        <w:t xml:space="preserve">Key components of the clinical issue addressed by the submission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7"/>
        <w:gridCol w:w="7489"/>
      </w:tblGrid>
      <w:tr w:rsidR="00936AB1" w:rsidRPr="009C01D5" w14:paraId="23DB523B" w14:textId="77777777" w:rsidTr="00FA4235">
        <w:tc>
          <w:tcPr>
            <w:tcW w:w="1667" w:type="dxa"/>
            <w:vAlign w:val="center"/>
          </w:tcPr>
          <w:p w14:paraId="057DC0C5" w14:textId="77777777" w:rsidR="00936AB1" w:rsidRPr="009C01D5" w:rsidRDefault="00936AB1" w:rsidP="004F4B47">
            <w:pPr>
              <w:pStyle w:val="In-tableHeading"/>
              <w:contextualSpacing/>
              <w:rPr>
                <w:lang w:val="en-AU"/>
              </w:rPr>
            </w:pPr>
            <w:r w:rsidRPr="009C01D5">
              <w:rPr>
                <w:lang w:val="en-AU"/>
              </w:rPr>
              <w:t>Component</w:t>
            </w:r>
          </w:p>
        </w:tc>
        <w:tc>
          <w:tcPr>
            <w:tcW w:w="7489" w:type="dxa"/>
            <w:vAlign w:val="center"/>
          </w:tcPr>
          <w:p w14:paraId="4458F5D2" w14:textId="77777777" w:rsidR="00936AB1" w:rsidRPr="009C01D5" w:rsidRDefault="00936AB1" w:rsidP="004F4B47">
            <w:pPr>
              <w:pStyle w:val="In-tableHeading"/>
              <w:contextualSpacing/>
              <w:rPr>
                <w:lang w:val="en-AU"/>
              </w:rPr>
            </w:pPr>
            <w:r w:rsidRPr="009C01D5">
              <w:rPr>
                <w:lang w:val="en-AU"/>
              </w:rPr>
              <w:t>Description</w:t>
            </w:r>
          </w:p>
        </w:tc>
      </w:tr>
      <w:tr w:rsidR="00936AB1" w:rsidRPr="009C01D5" w14:paraId="4B06E0D0" w14:textId="77777777" w:rsidTr="00FA4235">
        <w:tc>
          <w:tcPr>
            <w:tcW w:w="1667" w:type="dxa"/>
            <w:vAlign w:val="center"/>
          </w:tcPr>
          <w:p w14:paraId="2FEE6C37" w14:textId="77777777" w:rsidR="00936AB1" w:rsidRPr="009C01D5" w:rsidRDefault="00936AB1" w:rsidP="004F4B47">
            <w:pPr>
              <w:pStyle w:val="TableText0"/>
              <w:contextualSpacing/>
            </w:pPr>
            <w:r w:rsidRPr="009C01D5">
              <w:t>Population</w:t>
            </w:r>
          </w:p>
        </w:tc>
        <w:tc>
          <w:tcPr>
            <w:tcW w:w="7489" w:type="dxa"/>
            <w:shd w:val="clear" w:color="auto" w:fill="auto"/>
          </w:tcPr>
          <w:p w14:paraId="68BA3818" w14:textId="77777777" w:rsidR="00936AB1" w:rsidRPr="009C01D5" w:rsidRDefault="00936AB1" w:rsidP="004F4B47">
            <w:pPr>
              <w:pStyle w:val="TableText0"/>
              <w:contextualSpacing/>
            </w:pPr>
            <w:r w:rsidRPr="009C01D5">
              <w:t>Adult patients with schizophrenia</w:t>
            </w:r>
          </w:p>
        </w:tc>
      </w:tr>
      <w:tr w:rsidR="00936AB1" w:rsidRPr="009C01D5" w14:paraId="16F4F49E" w14:textId="77777777" w:rsidTr="00FA4235">
        <w:tc>
          <w:tcPr>
            <w:tcW w:w="1667" w:type="dxa"/>
            <w:vAlign w:val="center"/>
          </w:tcPr>
          <w:p w14:paraId="61EB5B36" w14:textId="77777777" w:rsidR="00936AB1" w:rsidRPr="009C01D5" w:rsidRDefault="00936AB1" w:rsidP="004F4B47">
            <w:pPr>
              <w:pStyle w:val="TableText0"/>
              <w:contextualSpacing/>
            </w:pPr>
            <w:r w:rsidRPr="009C01D5">
              <w:t>Intervention</w:t>
            </w:r>
          </w:p>
        </w:tc>
        <w:tc>
          <w:tcPr>
            <w:tcW w:w="7489" w:type="dxa"/>
            <w:vAlign w:val="center"/>
          </w:tcPr>
          <w:p w14:paraId="1D1703AE" w14:textId="77777777" w:rsidR="00936AB1" w:rsidRPr="009C01D5" w:rsidRDefault="00936AB1" w:rsidP="004F4B47">
            <w:pPr>
              <w:pStyle w:val="TableText0"/>
              <w:contextualSpacing/>
            </w:pPr>
            <w:r w:rsidRPr="009C01D5">
              <w:t>Cariprazine 1.5, 3, 4.5 or 6 mg per day</w:t>
            </w:r>
          </w:p>
        </w:tc>
      </w:tr>
      <w:tr w:rsidR="00936AB1" w:rsidRPr="009C01D5" w14:paraId="7F6EEE15" w14:textId="77777777" w:rsidTr="00FA4235">
        <w:tc>
          <w:tcPr>
            <w:tcW w:w="1667" w:type="dxa"/>
            <w:vAlign w:val="center"/>
          </w:tcPr>
          <w:p w14:paraId="4E591309" w14:textId="77777777" w:rsidR="00936AB1" w:rsidRPr="009C01D5" w:rsidRDefault="00936AB1" w:rsidP="004F4B47">
            <w:pPr>
              <w:pStyle w:val="TableText0"/>
              <w:contextualSpacing/>
            </w:pPr>
            <w:r w:rsidRPr="009C01D5">
              <w:t>Comparator</w:t>
            </w:r>
          </w:p>
        </w:tc>
        <w:tc>
          <w:tcPr>
            <w:tcW w:w="7489" w:type="dxa"/>
            <w:vAlign w:val="center"/>
          </w:tcPr>
          <w:p w14:paraId="4A3C1E9B" w14:textId="77777777" w:rsidR="00936AB1" w:rsidRPr="009C01D5" w:rsidRDefault="00936AB1" w:rsidP="004F4B47">
            <w:pPr>
              <w:pStyle w:val="TableText0"/>
              <w:contextualSpacing/>
            </w:pPr>
            <w:r w:rsidRPr="009C01D5">
              <w:t>Aripiprazole 10, 15, 20 or 30 mg per day / Brexpiprazole 1, 2, 3 or 4 mg per day</w:t>
            </w:r>
          </w:p>
        </w:tc>
      </w:tr>
      <w:tr w:rsidR="00936AB1" w:rsidRPr="009C01D5" w14:paraId="691C3D91" w14:textId="77777777" w:rsidTr="00FA4235">
        <w:tc>
          <w:tcPr>
            <w:tcW w:w="1667" w:type="dxa"/>
            <w:vAlign w:val="center"/>
          </w:tcPr>
          <w:p w14:paraId="5DB08A4C" w14:textId="77777777" w:rsidR="00936AB1" w:rsidRPr="009C01D5" w:rsidRDefault="00936AB1" w:rsidP="004F4B47">
            <w:pPr>
              <w:pStyle w:val="TableText0"/>
              <w:contextualSpacing/>
            </w:pPr>
            <w:r w:rsidRPr="009C01D5">
              <w:t>Outcomes</w:t>
            </w:r>
          </w:p>
        </w:tc>
        <w:tc>
          <w:tcPr>
            <w:tcW w:w="7489" w:type="dxa"/>
            <w:vAlign w:val="center"/>
          </w:tcPr>
          <w:p w14:paraId="58B66A63" w14:textId="77777777" w:rsidR="00936AB1" w:rsidRPr="009C01D5" w:rsidRDefault="00936AB1" w:rsidP="004F4B47">
            <w:pPr>
              <w:pStyle w:val="TableText0"/>
              <w:contextualSpacing/>
              <w:rPr>
                <w:vertAlign w:val="superscript"/>
              </w:rPr>
            </w:pPr>
            <w:r w:rsidRPr="009C01D5">
              <w:t>PANSS total score; time to relapse/imminent relapse; Adverse events (AEs); Discontinuations due to AEs; Serious AEs; Deaths</w:t>
            </w:r>
            <w:r w:rsidRPr="009C01D5">
              <w:rPr>
                <w:vertAlign w:val="superscript"/>
              </w:rPr>
              <w:t>1</w:t>
            </w:r>
          </w:p>
        </w:tc>
      </w:tr>
      <w:tr w:rsidR="00936AB1" w:rsidRPr="009C01D5" w14:paraId="2AC9E12D" w14:textId="77777777" w:rsidTr="00FA4235">
        <w:tc>
          <w:tcPr>
            <w:tcW w:w="1667" w:type="dxa"/>
            <w:vAlign w:val="center"/>
          </w:tcPr>
          <w:p w14:paraId="7B72C933" w14:textId="77777777" w:rsidR="00936AB1" w:rsidRPr="009C01D5" w:rsidRDefault="00936AB1" w:rsidP="004F4B47">
            <w:pPr>
              <w:pStyle w:val="TableText0"/>
              <w:contextualSpacing/>
            </w:pPr>
            <w:r w:rsidRPr="009C01D5">
              <w:t>Clinical claim</w:t>
            </w:r>
          </w:p>
        </w:tc>
        <w:tc>
          <w:tcPr>
            <w:tcW w:w="7489" w:type="dxa"/>
            <w:vAlign w:val="center"/>
          </w:tcPr>
          <w:p w14:paraId="7D9DAE72" w14:textId="77777777" w:rsidR="00936AB1" w:rsidRPr="009C01D5" w:rsidRDefault="00936AB1" w:rsidP="004F4B47">
            <w:pPr>
              <w:pStyle w:val="TableText0"/>
              <w:contextualSpacing/>
            </w:pPr>
            <w:r w:rsidRPr="009C01D5">
              <w:t>In patients with schizophrenia:</w:t>
            </w:r>
          </w:p>
          <w:p w14:paraId="253A549C" w14:textId="77777777" w:rsidR="00936AB1" w:rsidRPr="009C01D5" w:rsidRDefault="00936AB1" w:rsidP="004F4B47">
            <w:pPr>
              <w:pStyle w:val="TableText0"/>
              <w:contextualSpacing/>
            </w:pPr>
            <w:r w:rsidRPr="009C01D5">
              <w:t>•</w:t>
            </w:r>
            <w:r w:rsidRPr="009C01D5">
              <w:tab/>
              <w:t>Cariprazine is non-inferior in terms of effectiveness compared with aripiprazole</w:t>
            </w:r>
          </w:p>
          <w:p w14:paraId="49CCAEA0" w14:textId="77777777" w:rsidR="00936AB1" w:rsidRPr="009C01D5" w:rsidRDefault="00936AB1" w:rsidP="004F4B47">
            <w:pPr>
              <w:pStyle w:val="TableText0"/>
              <w:contextualSpacing/>
            </w:pPr>
            <w:r w:rsidRPr="009C01D5">
              <w:t>•</w:t>
            </w:r>
            <w:r w:rsidRPr="009C01D5">
              <w:tab/>
              <w:t>Cariprazine is non-inferior in terms of effectiveness compared with brexpiprazole</w:t>
            </w:r>
          </w:p>
          <w:p w14:paraId="4C5414AE" w14:textId="77777777" w:rsidR="00936AB1" w:rsidRPr="009C01D5" w:rsidRDefault="00936AB1" w:rsidP="004F4B47">
            <w:pPr>
              <w:pStyle w:val="TableText0"/>
              <w:contextualSpacing/>
            </w:pPr>
            <w:r w:rsidRPr="009C01D5">
              <w:t>•</w:t>
            </w:r>
            <w:r w:rsidRPr="009C01D5">
              <w:tab/>
              <w:t>Cariprazine is non-inferior in terms of safety compared with aripiprazole</w:t>
            </w:r>
          </w:p>
          <w:p w14:paraId="50AA27E8" w14:textId="77777777" w:rsidR="00936AB1" w:rsidRPr="009C01D5" w:rsidRDefault="00936AB1" w:rsidP="004F4B47">
            <w:pPr>
              <w:pStyle w:val="TableText0"/>
              <w:contextualSpacing/>
            </w:pPr>
            <w:r w:rsidRPr="009C01D5">
              <w:t>•</w:t>
            </w:r>
            <w:r w:rsidRPr="009C01D5">
              <w:tab/>
              <w:t>Cariprazine is non-inferior in terms of safety compared with brexpiprazole.</w:t>
            </w:r>
          </w:p>
        </w:tc>
      </w:tr>
    </w:tbl>
    <w:p w14:paraId="1DD0326C" w14:textId="77777777" w:rsidR="00936AB1" w:rsidRPr="009C01D5" w:rsidRDefault="00936AB1" w:rsidP="00936AB1">
      <w:pPr>
        <w:jc w:val="left"/>
        <w:rPr>
          <w:rFonts w:ascii="Arial Narrow" w:hAnsi="Arial Narrow"/>
          <w:snapToGrid w:val="0"/>
          <w:sz w:val="18"/>
          <w:szCs w:val="18"/>
        </w:rPr>
      </w:pPr>
      <w:r w:rsidRPr="009C01D5">
        <w:rPr>
          <w:rFonts w:ascii="Arial Narrow" w:hAnsi="Arial Narrow"/>
          <w:snapToGrid w:val="0"/>
          <w:sz w:val="18"/>
          <w:szCs w:val="18"/>
        </w:rPr>
        <w:t xml:space="preserve">Abbreviations: AE=adverse events; mg=milligram; PANSS= Positive and Negative Syndrome Scale (for schizophrenia); </w:t>
      </w:r>
    </w:p>
    <w:p w14:paraId="572B201E" w14:textId="77777777" w:rsidR="00936AB1" w:rsidRPr="009C01D5" w:rsidRDefault="00936AB1" w:rsidP="00936AB1">
      <w:pPr>
        <w:jc w:val="left"/>
        <w:rPr>
          <w:rFonts w:ascii="Arial Narrow" w:hAnsi="Arial Narrow"/>
          <w:snapToGrid w:val="0"/>
          <w:sz w:val="18"/>
          <w:szCs w:val="18"/>
        </w:rPr>
      </w:pPr>
      <w:r w:rsidRPr="009C01D5">
        <w:rPr>
          <w:rFonts w:ascii="Arial Narrow" w:hAnsi="Arial Narrow"/>
          <w:snapToGrid w:val="0"/>
          <w:sz w:val="18"/>
          <w:szCs w:val="18"/>
        </w:rPr>
        <w:t>Notes: These outcomes are reported for all included trials</w:t>
      </w:r>
      <w:r w:rsidR="009C01D5">
        <w:rPr>
          <w:rFonts w:ascii="Arial Narrow" w:hAnsi="Arial Narrow"/>
          <w:snapToGrid w:val="0"/>
          <w:sz w:val="18"/>
          <w:szCs w:val="18"/>
        </w:rPr>
        <w:t xml:space="preserve">. </w:t>
      </w:r>
      <w:r w:rsidRPr="009C01D5">
        <w:rPr>
          <w:rFonts w:ascii="Arial Narrow" w:hAnsi="Arial Narrow"/>
          <w:snapToGrid w:val="0"/>
          <w:sz w:val="18"/>
          <w:szCs w:val="18"/>
        </w:rPr>
        <w:t>Additional secondary efficacy and safety outcomes are reported for the direct comparison between cariprazine and aripiprazole (trial RGH-MD-04).</w:t>
      </w:r>
    </w:p>
    <w:p w14:paraId="2C7BF24C" w14:textId="77777777" w:rsidR="00936AB1" w:rsidRPr="009C01D5" w:rsidRDefault="00936AB1" w:rsidP="00936AB1">
      <w:pPr>
        <w:jc w:val="left"/>
        <w:rPr>
          <w:rFonts w:ascii="Arial Narrow" w:hAnsi="Arial Narrow"/>
          <w:snapToGrid w:val="0"/>
          <w:sz w:val="18"/>
          <w:szCs w:val="18"/>
        </w:rPr>
      </w:pPr>
      <w:r w:rsidRPr="009C01D5">
        <w:rPr>
          <w:rFonts w:ascii="Arial Narrow" w:hAnsi="Arial Narrow"/>
          <w:snapToGrid w:val="0"/>
          <w:sz w:val="18"/>
          <w:szCs w:val="18"/>
        </w:rPr>
        <w:t>Source: Table 1.1.1 p29 of the submission</w:t>
      </w:r>
    </w:p>
    <w:p w14:paraId="2A0B0775" w14:textId="77777777" w:rsidR="00936AB1" w:rsidRPr="009C01D5" w:rsidRDefault="00936AB1" w:rsidP="00936AB1">
      <w:pPr>
        <w:pStyle w:val="2-SectionHeading"/>
        <w:numPr>
          <w:ilvl w:val="0"/>
          <w:numId w:val="1"/>
        </w:numPr>
      </w:pPr>
      <w:bookmarkStart w:id="3" w:name="_Toc51163077"/>
      <w:r w:rsidRPr="009C01D5">
        <w:t>Background</w:t>
      </w:r>
      <w:bookmarkEnd w:id="3"/>
    </w:p>
    <w:p w14:paraId="0429CFAD" w14:textId="77777777" w:rsidR="00936AB1" w:rsidRPr="009C01D5" w:rsidRDefault="00936AB1" w:rsidP="00936AB1">
      <w:pPr>
        <w:pStyle w:val="4-SubsectionHeading"/>
      </w:pPr>
      <w:bookmarkStart w:id="4" w:name="_Toc22897638"/>
      <w:bookmarkStart w:id="5" w:name="_Toc51163078"/>
      <w:r w:rsidRPr="009C01D5">
        <w:t>Registration status</w:t>
      </w:r>
      <w:bookmarkEnd w:id="4"/>
      <w:bookmarkEnd w:id="5"/>
    </w:p>
    <w:p w14:paraId="5310CDDA" w14:textId="77777777" w:rsidR="00EB5F9A" w:rsidRPr="009C01D5" w:rsidRDefault="005845FE" w:rsidP="008260B4">
      <w:pPr>
        <w:pStyle w:val="3-BodyText"/>
      </w:pPr>
      <w:r w:rsidRPr="009C01D5">
        <w:rPr>
          <w:rFonts w:ascii="Calibri" w:eastAsia="Calibri" w:hAnsi="Calibri"/>
          <w:szCs w:val="22"/>
        </w:rPr>
        <w:t xml:space="preserve">The submission was made under the TGA/PBAC Parallel Process. At the time of </w:t>
      </w:r>
      <w:r w:rsidR="005976FF" w:rsidRPr="009C01D5">
        <w:rPr>
          <w:rFonts w:ascii="Calibri" w:eastAsia="Calibri" w:hAnsi="Calibri"/>
          <w:szCs w:val="22"/>
        </w:rPr>
        <w:t xml:space="preserve">PBAC </w:t>
      </w:r>
      <w:r w:rsidR="00193926" w:rsidRPr="009C01D5">
        <w:rPr>
          <w:rFonts w:ascii="Calibri" w:eastAsia="Calibri" w:hAnsi="Calibri"/>
          <w:szCs w:val="22"/>
        </w:rPr>
        <w:t>consideration</w:t>
      </w:r>
      <w:r w:rsidR="003E6C5E" w:rsidRPr="009C01D5">
        <w:rPr>
          <w:rFonts w:ascii="Calibri" w:eastAsia="Calibri" w:hAnsi="Calibri"/>
          <w:szCs w:val="22"/>
        </w:rPr>
        <w:t>,</w:t>
      </w:r>
      <w:r w:rsidRPr="009C01D5">
        <w:rPr>
          <w:rFonts w:ascii="Calibri" w:eastAsia="Calibri" w:hAnsi="Calibri"/>
          <w:szCs w:val="22"/>
        </w:rPr>
        <w:t xml:space="preserve"> the </w:t>
      </w:r>
      <w:r w:rsidR="003E6C5E" w:rsidRPr="009C01D5">
        <w:rPr>
          <w:rFonts w:ascii="Calibri" w:eastAsia="Calibri" w:hAnsi="Calibri"/>
          <w:szCs w:val="22"/>
        </w:rPr>
        <w:t>Clinical Evaluation Report</w:t>
      </w:r>
      <w:r w:rsidR="00D65F98" w:rsidRPr="009C01D5">
        <w:rPr>
          <w:rFonts w:ascii="Calibri" w:eastAsia="Calibri" w:hAnsi="Calibri"/>
          <w:szCs w:val="22"/>
        </w:rPr>
        <w:t>,</w:t>
      </w:r>
      <w:r w:rsidR="003E6C5E" w:rsidRPr="009C01D5">
        <w:rPr>
          <w:rFonts w:ascii="Calibri" w:eastAsia="Calibri" w:hAnsi="Calibri"/>
          <w:szCs w:val="22"/>
        </w:rPr>
        <w:t xml:space="preserve"> </w:t>
      </w:r>
      <w:r w:rsidRPr="009C01D5">
        <w:rPr>
          <w:rFonts w:ascii="Calibri" w:eastAsia="Calibri" w:hAnsi="Calibri"/>
          <w:szCs w:val="22"/>
        </w:rPr>
        <w:t xml:space="preserve">TGA Delegate’s Overview </w:t>
      </w:r>
      <w:r w:rsidR="00D65F98" w:rsidRPr="009C01D5">
        <w:rPr>
          <w:rFonts w:ascii="Calibri" w:eastAsia="Calibri" w:hAnsi="Calibri"/>
          <w:szCs w:val="22"/>
        </w:rPr>
        <w:t xml:space="preserve">and the Advisory Committee on Medicines (ACM) minutes </w:t>
      </w:r>
      <w:r w:rsidR="003E6C5E" w:rsidRPr="009C01D5">
        <w:rPr>
          <w:rFonts w:ascii="Calibri" w:eastAsia="Calibri" w:hAnsi="Calibri"/>
          <w:szCs w:val="22"/>
        </w:rPr>
        <w:t>were</w:t>
      </w:r>
      <w:r w:rsidRPr="009C01D5">
        <w:rPr>
          <w:rFonts w:ascii="Calibri" w:eastAsia="Calibri" w:hAnsi="Calibri"/>
          <w:szCs w:val="22"/>
        </w:rPr>
        <w:t xml:space="preserve"> available. </w:t>
      </w:r>
    </w:p>
    <w:p w14:paraId="46B61244" w14:textId="77777777" w:rsidR="008260B4" w:rsidRPr="009C01D5" w:rsidRDefault="00655C62" w:rsidP="008260B4">
      <w:pPr>
        <w:pStyle w:val="3-BodyText"/>
        <w:rPr>
          <w:i/>
        </w:rPr>
      </w:pPr>
      <w:r>
        <w:t>At the time of PBAC consideration the ACM had recommend</w:t>
      </w:r>
      <w:r w:rsidR="001B7954">
        <w:t>ed</w:t>
      </w:r>
      <w:r>
        <w:t xml:space="preserve"> the indication of: REAGILA</w:t>
      </w:r>
      <w:r>
        <w:rPr>
          <w:rFonts w:cstheme="minorHAnsi"/>
        </w:rPr>
        <w:t xml:space="preserve">® is indicated for the treatment of schizophrenia in adult patients. </w:t>
      </w:r>
    </w:p>
    <w:p w14:paraId="51E78E06" w14:textId="77777777" w:rsidR="00936AB1" w:rsidRPr="009C01D5" w:rsidRDefault="008260B4" w:rsidP="008260B4">
      <w:pPr>
        <w:pStyle w:val="3-BodyText"/>
        <w:rPr>
          <w:i/>
        </w:rPr>
      </w:pPr>
      <w:r w:rsidRPr="009C01D5">
        <w:lastRenderedPageBreak/>
        <w:t>The approved indication in the USA and EU</w:t>
      </w:r>
      <w:r w:rsidR="00193926" w:rsidRPr="009C01D5">
        <w:t>,</w:t>
      </w:r>
      <w:r w:rsidRPr="009C01D5">
        <w:t xml:space="preserve"> and </w:t>
      </w:r>
      <w:r w:rsidR="00193926" w:rsidRPr="009C01D5">
        <w:t>a number of other</w:t>
      </w:r>
      <w:r w:rsidRPr="009C01D5">
        <w:t xml:space="preserve"> individual countries</w:t>
      </w:r>
      <w:r w:rsidR="00193926" w:rsidRPr="009C01D5">
        <w:t>,</w:t>
      </w:r>
      <w:r w:rsidRPr="009C01D5">
        <w:t xml:space="preserve"> was consiste</w:t>
      </w:r>
      <w:r w:rsidR="00991B30" w:rsidRPr="009C01D5">
        <w:t>nt</w:t>
      </w:r>
      <w:r w:rsidRPr="009C01D5">
        <w:t xml:space="preserve"> with the proposed TGA indication</w:t>
      </w:r>
      <w:r w:rsidR="002A7BB0" w:rsidRPr="009C01D5">
        <w:t>.</w:t>
      </w:r>
    </w:p>
    <w:p w14:paraId="3B40556B" w14:textId="77777777" w:rsidR="00324520" w:rsidRPr="009C01D5" w:rsidRDefault="00324520" w:rsidP="00324520">
      <w:pPr>
        <w:pStyle w:val="3-BodyText"/>
        <w:numPr>
          <w:ilvl w:val="0"/>
          <w:numId w:val="0"/>
        </w:numPr>
        <w:ind w:left="720"/>
        <w:rPr>
          <w:i/>
        </w:rPr>
      </w:pPr>
      <w:r w:rsidRPr="009C01D5">
        <w:rPr>
          <w:i/>
        </w:rPr>
        <w:t>For more detail on PBAC’s view, see section 7 PBAC outcome.</w:t>
      </w:r>
    </w:p>
    <w:p w14:paraId="2E19D086" w14:textId="77777777" w:rsidR="00936AB1" w:rsidRPr="009C01D5" w:rsidRDefault="00936AB1" w:rsidP="00936AB1">
      <w:pPr>
        <w:pStyle w:val="2-SectionHeading"/>
        <w:numPr>
          <w:ilvl w:val="0"/>
          <w:numId w:val="1"/>
        </w:numPr>
      </w:pPr>
      <w:bookmarkStart w:id="6" w:name="_Toc51163079"/>
      <w:r w:rsidRPr="009C01D5">
        <w:t>Requested listing</w:t>
      </w:r>
      <w:bookmarkEnd w:id="6"/>
    </w:p>
    <w:p w14:paraId="2F6178AD" w14:textId="77777777" w:rsidR="004E328A" w:rsidRPr="009C01D5" w:rsidRDefault="00EE57E5" w:rsidP="00EE57E5">
      <w:pPr>
        <w:pStyle w:val="3-BodyText"/>
      </w:pPr>
      <w:r w:rsidRPr="009C01D5">
        <w:t xml:space="preserve">The proposed listing is outlined below.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909"/>
        <w:gridCol w:w="974"/>
        <w:gridCol w:w="1094"/>
        <w:gridCol w:w="851"/>
        <w:gridCol w:w="1417"/>
        <w:gridCol w:w="2081"/>
      </w:tblGrid>
      <w:tr w:rsidR="002D7BD5" w:rsidRPr="009C01D5" w14:paraId="2B56DA0B" w14:textId="77777777" w:rsidTr="00EE57E5">
        <w:trPr>
          <w:trHeight w:val="20"/>
        </w:trPr>
        <w:tc>
          <w:tcPr>
            <w:tcW w:w="1701" w:type="dxa"/>
          </w:tcPr>
          <w:p w14:paraId="495F5013" w14:textId="77777777" w:rsidR="002D7BD5" w:rsidRPr="009C01D5" w:rsidRDefault="002D7BD5" w:rsidP="00A80640">
            <w:pPr>
              <w:pStyle w:val="Tabletext"/>
              <w:rPr>
                <w:b/>
                <w:bCs/>
              </w:rPr>
            </w:pPr>
            <w:r w:rsidRPr="009C01D5">
              <w:rPr>
                <w:b/>
              </w:rPr>
              <w:t>Name, restriction, manner of administration, form</w:t>
            </w:r>
          </w:p>
        </w:tc>
        <w:tc>
          <w:tcPr>
            <w:tcW w:w="909" w:type="dxa"/>
          </w:tcPr>
          <w:p w14:paraId="688FD0D3" w14:textId="77777777" w:rsidR="002D7BD5" w:rsidRPr="009C01D5" w:rsidRDefault="002D7BD5" w:rsidP="00A80640">
            <w:pPr>
              <w:pStyle w:val="Tabletext"/>
              <w:jc w:val="center"/>
              <w:rPr>
                <w:b/>
              </w:rPr>
            </w:pPr>
            <w:r w:rsidRPr="009C01D5">
              <w:rPr>
                <w:b/>
                <w:sz w:val="18"/>
                <w:szCs w:val="18"/>
              </w:rPr>
              <w:t>PBS item code</w:t>
            </w:r>
          </w:p>
        </w:tc>
        <w:tc>
          <w:tcPr>
            <w:tcW w:w="974" w:type="dxa"/>
          </w:tcPr>
          <w:p w14:paraId="704B2C61" w14:textId="77777777" w:rsidR="002D7BD5" w:rsidRPr="009C01D5" w:rsidRDefault="002D7BD5" w:rsidP="00A80640">
            <w:pPr>
              <w:pStyle w:val="Tabletext"/>
              <w:jc w:val="center"/>
              <w:rPr>
                <w:b/>
                <w:bCs/>
              </w:rPr>
            </w:pPr>
            <w:r w:rsidRPr="009C01D5">
              <w:rPr>
                <w:b/>
              </w:rPr>
              <w:t>Maximum quantity (packs)</w:t>
            </w:r>
          </w:p>
        </w:tc>
        <w:tc>
          <w:tcPr>
            <w:tcW w:w="1094" w:type="dxa"/>
          </w:tcPr>
          <w:p w14:paraId="0EF27D80" w14:textId="77777777" w:rsidR="002D7BD5" w:rsidRPr="009C01D5" w:rsidRDefault="002D7BD5" w:rsidP="00A80640">
            <w:pPr>
              <w:pStyle w:val="Tabletext"/>
              <w:jc w:val="center"/>
              <w:rPr>
                <w:b/>
                <w:bCs/>
              </w:rPr>
            </w:pPr>
            <w:r w:rsidRPr="009C01D5">
              <w:rPr>
                <w:b/>
              </w:rPr>
              <w:t>Maximum quantity (units)</w:t>
            </w:r>
          </w:p>
        </w:tc>
        <w:tc>
          <w:tcPr>
            <w:tcW w:w="851" w:type="dxa"/>
          </w:tcPr>
          <w:p w14:paraId="07C55F83" w14:textId="77777777" w:rsidR="002D7BD5" w:rsidRPr="009C01D5" w:rsidRDefault="002D7BD5" w:rsidP="00A80640">
            <w:pPr>
              <w:pStyle w:val="Tabletext"/>
              <w:rPr>
                <w:b/>
                <w:bCs/>
              </w:rPr>
            </w:pPr>
            <w:r w:rsidRPr="009C01D5">
              <w:rPr>
                <w:b/>
              </w:rPr>
              <w:t>No. of repeats</w:t>
            </w:r>
          </w:p>
        </w:tc>
        <w:tc>
          <w:tcPr>
            <w:tcW w:w="1417" w:type="dxa"/>
          </w:tcPr>
          <w:p w14:paraId="39EDC70F" w14:textId="77777777" w:rsidR="002D7BD5" w:rsidRPr="009C01D5" w:rsidRDefault="002D7BD5" w:rsidP="00A80640">
            <w:pPr>
              <w:pStyle w:val="Tabletext"/>
              <w:rPr>
                <w:b/>
                <w:bCs/>
              </w:rPr>
            </w:pPr>
            <w:r w:rsidRPr="009C01D5">
              <w:rPr>
                <w:b/>
              </w:rPr>
              <w:t>Dispensed price for maximum quantity</w:t>
            </w:r>
          </w:p>
        </w:tc>
        <w:tc>
          <w:tcPr>
            <w:tcW w:w="2081" w:type="dxa"/>
          </w:tcPr>
          <w:p w14:paraId="71FA5334" w14:textId="77777777" w:rsidR="002D7BD5" w:rsidRPr="009C01D5" w:rsidRDefault="002D7BD5" w:rsidP="00A80640">
            <w:pPr>
              <w:pStyle w:val="Tabletext"/>
              <w:rPr>
                <w:b/>
                <w:bCs/>
              </w:rPr>
            </w:pPr>
            <w:r w:rsidRPr="009C01D5">
              <w:rPr>
                <w:b/>
              </w:rPr>
              <w:t>Proprietary name and manufacturer</w:t>
            </w:r>
          </w:p>
        </w:tc>
      </w:tr>
      <w:tr w:rsidR="002D7BD5" w:rsidRPr="009C01D5" w14:paraId="02773163" w14:textId="77777777" w:rsidTr="00EE57E5">
        <w:trPr>
          <w:trHeight w:val="20"/>
        </w:trPr>
        <w:tc>
          <w:tcPr>
            <w:tcW w:w="1701" w:type="dxa"/>
          </w:tcPr>
          <w:p w14:paraId="3DF79E0E" w14:textId="77777777" w:rsidR="002D7BD5" w:rsidRPr="009C01D5" w:rsidRDefault="002D7BD5" w:rsidP="00A80640">
            <w:pPr>
              <w:pStyle w:val="Tabletext"/>
              <w:rPr>
                <w:b/>
                <w:bCs/>
              </w:rPr>
            </w:pPr>
            <w:r w:rsidRPr="009C01D5">
              <w:t>Cariprazine 1.5 mg capsule</w:t>
            </w:r>
          </w:p>
        </w:tc>
        <w:tc>
          <w:tcPr>
            <w:tcW w:w="909" w:type="dxa"/>
          </w:tcPr>
          <w:p w14:paraId="5F77528E" w14:textId="77777777" w:rsidR="002D7BD5" w:rsidRPr="009C01D5" w:rsidRDefault="002D7BD5" w:rsidP="00D52569">
            <w:pPr>
              <w:pStyle w:val="Tabletext"/>
              <w:jc w:val="center"/>
            </w:pPr>
            <w:r w:rsidRPr="009C01D5">
              <w:rPr>
                <w:sz w:val="18"/>
                <w:szCs w:val="18"/>
              </w:rPr>
              <w:t>NEW</w:t>
            </w:r>
          </w:p>
        </w:tc>
        <w:tc>
          <w:tcPr>
            <w:tcW w:w="974" w:type="dxa"/>
          </w:tcPr>
          <w:p w14:paraId="7FA6F8C2" w14:textId="77777777" w:rsidR="002D7BD5" w:rsidRPr="009C01D5" w:rsidRDefault="002D7BD5" w:rsidP="00A80640">
            <w:pPr>
              <w:pStyle w:val="Tabletext"/>
              <w:jc w:val="center"/>
            </w:pPr>
            <w:r w:rsidRPr="009C01D5">
              <w:t>1</w:t>
            </w:r>
          </w:p>
        </w:tc>
        <w:tc>
          <w:tcPr>
            <w:tcW w:w="1094" w:type="dxa"/>
          </w:tcPr>
          <w:p w14:paraId="43A22F40" w14:textId="77777777" w:rsidR="002D7BD5" w:rsidRPr="009C01D5" w:rsidRDefault="002D7BD5" w:rsidP="00A80640">
            <w:pPr>
              <w:pStyle w:val="Tabletext"/>
              <w:jc w:val="center"/>
            </w:pPr>
            <w:r w:rsidRPr="009C01D5">
              <w:t>30</w:t>
            </w:r>
          </w:p>
        </w:tc>
        <w:tc>
          <w:tcPr>
            <w:tcW w:w="851" w:type="dxa"/>
          </w:tcPr>
          <w:p w14:paraId="3FFB7EFF" w14:textId="77777777" w:rsidR="002D7BD5" w:rsidRPr="009C01D5" w:rsidRDefault="002D7BD5" w:rsidP="00A80640">
            <w:pPr>
              <w:pStyle w:val="Tabletext"/>
              <w:jc w:val="center"/>
            </w:pPr>
            <w:r w:rsidRPr="009C01D5">
              <w:t>5</w:t>
            </w:r>
          </w:p>
        </w:tc>
        <w:tc>
          <w:tcPr>
            <w:tcW w:w="1417" w:type="dxa"/>
          </w:tcPr>
          <w:p w14:paraId="2E43C0D3" w14:textId="77777777" w:rsidR="002D7BD5" w:rsidRPr="00983E48" w:rsidRDefault="002D7BD5" w:rsidP="00A80640">
            <w:pPr>
              <w:pStyle w:val="Tabletext"/>
              <w:jc w:val="center"/>
            </w:pPr>
            <w:r w:rsidRPr="00983E48">
              <w:t>$</w:t>
            </w:r>
            <w:r w:rsidR="00D06CC7">
              <w:rPr>
                <w:noProof/>
                <w:color w:val="000000"/>
                <w:highlight w:val="black"/>
              </w:rPr>
              <w:t>'''''''''''''''''</w:t>
            </w:r>
          </w:p>
        </w:tc>
        <w:tc>
          <w:tcPr>
            <w:tcW w:w="2081" w:type="dxa"/>
          </w:tcPr>
          <w:p w14:paraId="78491D5D" w14:textId="77777777" w:rsidR="002D7BD5" w:rsidRPr="009C01D5" w:rsidRDefault="002D7BD5" w:rsidP="00A80640">
            <w:pPr>
              <w:pStyle w:val="Tabletext"/>
              <w:jc w:val="center"/>
            </w:pPr>
            <w:r w:rsidRPr="009C01D5">
              <w:t>Reagila®</w:t>
            </w:r>
          </w:p>
          <w:p w14:paraId="27F87A43" w14:textId="77777777" w:rsidR="002D7BD5" w:rsidRPr="009C01D5" w:rsidRDefault="002D7BD5" w:rsidP="00A80640">
            <w:pPr>
              <w:pStyle w:val="Tabletext"/>
              <w:jc w:val="center"/>
            </w:pPr>
            <w:r w:rsidRPr="009C01D5">
              <w:t>Gedeon Richter Australia Pty Ltd</w:t>
            </w:r>
          </w:p>
        </w:tc>
      </w:tr>
      <w:tr w:rsidR="002D7BD5" w:rsidRPr="009C01D5" w14:paraId="766C9873" w14:textId="77777777" w:rsidTr="00EE57E5">
        <w:trPr>
          <w:trHeight w:val="20"/>
        </w:trPr>
        <w:tc>
          <w:tcPr>
            <w:tcW w:w="1701" w:type="dxa"/>
          </w:tcPr>
          <w:p w14:paraId="31AE5CA9" w14:textId="77777777" w:rsidR="002D7BD5" w:rsidRPr="009C01D5" w:rsidRDefault="002D7BD5" w:rsidP="00A80640">
            <w:pPr>
              <w:pStyle w:val="Tabletext"/>
            </w:pPr>
            <w:r w:rsidRPr="009C01D5">
              <w:t>Cariprazine 3 mg capsule</w:t>
            </w:r>
          </w:p>
        </w:tc>
        <w:tc>
          <w:tcPr>
            <w:tcW w:w="909" w:type="dxa"/>
          </w:tcPr>
          <w:p w14:paraId="092593FF" w14:textId="77777777" w:rsidR="002D7BD5" w:rsidRPr="009C01D5" w:rsidRDefault="002D7BD5" w:rsidP="00A80640">
            <w:pPr>
              <w:pStyle w:val="Tabletext"/>
              <w:jc w:val="center"/>
            </w:pPr>
            <w:r w:rsidRPr="009C01D5">
              <w:rPr>
                <w:sz w:val="18"/>
                <w:szCs w:val="18"/>
              </w:rPr>
              <w:t>NEW</w:t>
            </w:r>
          </w:p>
        </w:tc>
        <w:tc>
          <w:tcPr>
            <w:tcW w:w="974" w:type="dxa"/>
          </w:tcPr>
          <w:p w14:paraId="01AB4487" w14:textId="77777777" w:rsidR="002D7BD5" w:rsidRPr="009C01D5" w:rsidRDefault="002D7BD5" w:rsidP="00A80640">
            <w:pPr>
              <w:pStyle w:val="Tabletext"/>
              <w:jc w:val="center"/>
            </w:pPr>
            <w:r w:rsidRPr="009C01D5">
              <w:t>1</w:t>
            </w:r>
          </w:p>
        </w:tc>
        <w:tc>
          <w:tcPr>
            <w:tcW w:w="1094" w:type="dxa"/>
          </w:tcPr>
          <w:p w14:paraId="2270ACF0" w14:textId="77777777" w:rsidR="002D7BD5" w:rsidRPr="009C01D5" w:rsidRDefault="002D7BD5" w:rsidP="00A80640">
            <w:pPr>
              <w:pStyle w:val="Tabletext"/>
              <w:jc w:val="center"/>
            </w:pPr>
            <w:r w:rsidRPr="009C01D5">
              <w:t>30</w:t>
            </w:r>
          </w:p>
        </w:tc>
        <w:tc>
          <w:tcPr>
            <w:tcW w:w="851" w:type="dxa"/>
          </w:tcPr>
          <w:p w14:paraId="57A72803" w14:textId="77777777" w:rsidR="002D7BD5" w:rsidRPr="009C01D5" w:rsidRDefault="002D7BD5" w:rsidP="00A80640">
            <w:pPr>
              <w:pStyle w:val="Tabletext"/>
              <w:jc w:val="center"/>
            </w:pPr>
            <w:r w:rsidRPr="009C01D5">
              <w:t>5</w:t>
            </w:r>
          </w:p>
        </w:tc>
        <w:tc>
          <w:tcPr>
            <w:tcW w:w="1417" w:type="dxa"/>
          </w:tcPr>
          <w:p w14:paraId="42B6EE1B" w14:textId="77777777" w:rsidR="002D7BD5" w:rsidRPr="00983E48" w:rsidRDefault="002D7BD5" w:rsidP="00A80640">
            <w:pPr>
              <w:pStyle w:val="Tabletext"/>
              <w:jc w:val="center"/>
            </w:pPr>
            <w:r w:rsidRPr="00983E48">
              <w:t>$</w:t>
            </w:r>
            <w:r w:rsidR="00D06CC7">
              <w:rPr>
                <w:noProof/>
                <w:color w:val="000000"/>
                <w:highlight w:val="black"/>
              </w:rPr>
              <w:t>''''''''''''''''</w:t>
            </w:r>
          </w:p>
        </w:tc>
        <w:tc>
          <w:tcPr>
            <w:tcW w:w="2081" w:type="dxa"/>
          </w:tcPr>
          <w:p w14:paraId="7ED954AD" w14:textId="77777777" w:rsidR="002D7BD5" w:rsidRPr="009C01D5" w:rsidRDefault="002D7BD5" w:rsidP="00A80640">
            <w:pPr>
              <w:pStyle w:val="Tabletext"/>
              <w:jc w:val="center"/>
            </w:pPr>
            <w:r w:rsidRPr="009C01D5">
              <w:t>Reagila®</w:t>
            </w:r>
          </w:p>
          <w:p w14:paraId="72926D00" w14:textId="77777777" w:rsidR="002D7BD5" w:rsidRPr="009C01D5" w:rsidRDefault="002D7BD5" w:rsidP="00A80640">
            <w:pPr>
              <w:pStyle w:val="Tabletext"/>
              <w:jc w:val="center"/>
            </w:pPr>
            <w:r w:rsidRPr="009C01D5">
              <w:t>Gedeon Richter Australia Pty Ltd</w:t>
            </w:r>
          </w:p>
        </w:tc>
      </w:tr>
      <w:tr w:rsidR="002D7BD5" w:rsidRPr="009C01D5" w14:paraId="4FC1CD1A" w14:textId="77777777" w:rsidTr="00EE57E5">
        <w:trPr>
          <w:trHeight w:val="20"/>
        </w:trPr>
        <w:tc>
          <w:tcPr>
            <w:tcW w:w="1701" w:type="dxa"/>
          </w:tcPr>
          <w:p w14:paraId="3F2172EE" w14:textId="77777777" w:rsidR="002D7BD5" w:rsidRPr="009C01D5" w:rsidRDefault="002D7BD5" w:rsidP="00A80640">
            <w:pPr>
              <w:pStyle w:val="Tabletext"/>
            </w:pPr>
            <w:r w:rsidRPr="009C01D5">
              <w:t>Cariprazine 4.5 mg capsule</w:t>
            </w:r>
          </w:p>
        </w:tc>
        <w:tc>
          <w:tcPr>
            <w:tcW w:w="909" w:type="dxa"/>
          </w:tcPr>
          <w:p w14:paraId="0142F7BF" w14:textId="77777777" w:rsidR="002D7BD5" w:rsidRPr="009C01D5" w:rsidRDefault="002D7BD5" w:rsidP="00A80640">
            <w:pPr>
              <w:pStyle w:val="Tabletext"/>
              <w:jc w:val="center"/>
            </w:pPr>
            <w:r w:rsidRPr="009C01D5">
              <w:rPr>
                <w:sz w:val="18"/>
                <w:szCs w:val="18"/>
              </w:rPr>
              <w:t>NEW</w:t>
            </w:r>
          </w:p>
        </w:tc>
        <w:tc>
          <w:tcPr>
            <w:tcW w:w="974" w:type="dxa"/>
          </w:tcPr>
          <w:p w14:paraId="0127015B" w14:textId="77777777" w:rsidR="002D7BD5" w:rsidRPr="009C01D5" w:rsidRDefault="002D7BD5" w:rsidP="00A80640">
            <w:pPr>
              <w:pStyle w:val="Tabletext"/>
              <w:jc w:val="center"/>
            </w:pPr>
            <w:r w:rsidRPr="009C01D5">
              <w:t>1</w:t>
            </w:r>
          </w:p>
        </w:tc>
        <w:tc>
          <w:tcPr>
            <w:tcW w:w="1094" w:type="dxa"/>
          </w:tcPr>
          <w:p w14:paraId="506B9E8E" w14:textId="77777777" w:rsidR="002D7BD5" w:rsidRPr="009C01D5" w:rsidRDefault="002D7BD5" w:rsidP="00A80640">
            <w:pPr>
              <w:pStyle w:val="Tabletext"/>
              <w:jc w:val="center"/>
            </w:pPr>
            <w:r w:rsidRPr="009C01D5">
              <w:t>30</w:t>
            </w:r>
          </w:p>
        </w:tc>
        <w:tc>
          <w:tcPr>
            <w:tcW w:w="851" w:type="dxa"/>
          </w:tcPr>
          <w:p w14:paraId="4BAE9027" w14:textId="77777777" w:rsidR="002D7BD5" w:rsidRPr="009C01D5" w:rsidRDefault="002D7BD5" w:rsidP="00A80640">
            <w:pPr>
              <w:pStyle w:val="Tabletext"/>
              <w:jc w:val="center"/>
            </w:pPr>
            <w:r w:rsidRPr="009C01D5">
              <w:t>5</w:t>
            </w:r>
          </w:p>
        </w:tc>
        <w:tc>
          <w:tcPr>
            <w:tcW w:w="1417" w:type="dxa"/>
          </w:tcPr>
          <w:p w14:paraId="02DCFC3E" w14:textId="77777777" w:rsidR="002D7BD5" w:rsidRPr="00983E48" w:rsidRDefault="002D7BD5" w:rsidP="00A80640">
            <w:pPr>
              <w:pStyle w:val="Tabletext"/>
              <w:jc w:val="center"/>
            </w:pPr>
            <w:r w:rsidRPr="00983E48">
              <w:t>$</w:t>
            </w:r>
            <w:r w:rsidR="00D06CC7">
              <w:rPr>
                <w:noProof/>
                <w:color w:val="000000"/>
                <w:highlight w:val="black"/>
              </w:rPr>
              <w:t>'''''''''''''''</w:t>
            </w:r>
          </w:p>
        </w:tc>
        <w:tc>
          <w:tcPr>
            <w:tcW w:w="2081" w:type="dxa"/>
          </w:tcPr>
          <w:p w14:paraId="72C5825B" w14:textId="77777777" w:rsidR="002D7BD5" w:rsidRPr="009C01D5" w:rsidRDefault="002D7BD5" w:rsidP="00A80640">
            <w:pPr>
              <w:pStyle w:val="Tabletext"/>
              <w:jc w:val="center"/>
            </w:pPr>
            <w:r w:rsidRPr="009C01D5">
              <w:t>Reagila®</w:t>
            </w:r>
          </w:p>
          <w:p w14:paraId="1E26C0DE" w14:textId="77777777" w:rsidR="002D7BD5" w:rsidRPr="009C01D5" w:rsidRDefault="002D7BD5" w:rsidP="00A80640">
            <w:pPr>
              <w:pStyle w:val="Tabletext"/>
              <w:jc w:val="center"/>
            </w:pPr>
            <w:r w:rsidRPr="009C01D5">
              <w:t>Gedeon Richter Australia Pty Ltd</w:t>
            </w:r>
          </w:p>
        </w:tc>
      </w:tr>
      <w:tr w:rsidR="002D7BD5" w:rsidRPr="009C01D5" w14:paraId="3D40DE00" w14:textId="77777777" w:rsidTr="00EE57E5">
        <w:trPr>
          <w:trHeight w:val="20"/>
        </w:trPr>
        <w:tc>
          <w:tcPr>
            <w:tcW w:w="1701" w:type="dxa"/>
          </w:tcPr>
          <w:p w14:paraId="58E65116" w14:textId="77777777" w:rsidR="002D7BD5" w:rsidRPr="009C01D5" w:rsidRDefault="002D7BD5" w:rsidP="00A80640">
            <w:pPr>
              <w:pStyle w:val="Tabletext"/>
            </w:pPr>
            <w:r w:rsidRPr="009C01D5">
              <w:t>Cariprazine 6 mg capsule</w:t>
            </w:r>
          </w:p>
        </w:tc>
        <w:tc>
          <w:tcPr>
            <w:tcW w:w="909" w:type="dxa"/>
          </w:tcPr>
          <w:p w14:paraId="16C18F63" w14:textId="77777777" w:rsidR="002D7BD5" w:rsidRPr="009C01D5" w:rsidRDefault="002D7BD5" w:rsidP="00A80640">
            <w:pPr>
              <w:pStyle w:val="Tabletext"/>
              <w:jc w:val="center"/>
            </w:pPr>
            <w:r w:rsidRPr="009C01D5">
              <w:rPr>
                <w:sz w:val="18"/>
                <w:szCs w:val="18"/>
              </w:rPr>
              <w:t>NEW</w:t>
            </w:r>
          </w:p>
        </w:tc>
        <w:tc>
          <w:tcPr>
            <w:tcW w:w="974" w:type="dxa"/>
          </w:tcPr>
          <w:p w14:paraId="1AA68D01" w14:textId="77777777" w:rsidR="002D7BD5" w:rsidRPr="009C01D5" w:rsidRDefault="002D7BD5" w:rsidP="00A80640">
            <w:pPr>
              <w:pStyle w:val="Tabletext"/>
              <w:jc w:val="center"/>
            </w:pPr>
            <w:r w:rsidRPr="009C01D5">
              <w:t>1</w:t>
            </w:r>
          </w:p>
        </w:tc>
        <w:tc>
          <w:tcPr>
            <w:tcW w:w="1094" w:type="dxa"/>
          </w:tcPr>
          <w:p w14:paraId="027C1025" w14:textId="77777777" w:rsidR="002D7BD5" w:rsidRPr="009C01D5" w:rsidRDefault="002D7BD5" w:rsidP="00A80640">
            <w:pPr>
              <w:pStyle w:val="Tabletext"/>
              <w:jc w:val="center"/>
            </w:pPr>
            <w:r w:rsidRPr="009C01D5">
              <w:t>30</w:t>
            </w:r>
          </w:p>
        </w:tc>
        <w:tc>
          <w:tcPr>
            <w:tcW w:w="851" w:type="dxa"/>
          </w:tcPr>
          <w:p w14:paraId="6C84186E" w14:textId="77777777" w:rsidR="002D7BD5" w:rsidRPr="009C01D5" w:rsidRDefault="002D7BD5" w:rsidP="00A80640">
            <w:pPr>
              <w:pStyle w:val="Tabletext"/>
              <w:jc w:val="center"/>
            </w:pPr>
            <w:r w:rsidRPr="009C01D5">
              <w:t>5</w:t>
            </w:r>
          </w:p>
        </w:tc>
        <w:tc>
          <w:tcPr>
            <w:tcW w:w="1417" w:type="dxa"/>
          </w:tcPr>
          <w:p w14:paraId="22AA2E9F" w14:textId="77777777" w:rsidR="002D7BD5" w:rsidRPr="00983E48" w:rsidRDefault="002D7BD5" w:rsidP="00A80640">
            <w:pPr>
              <w:pStyle w:val="Tabletext"/>
              <w:jc w:val="center"/>
            </w:pPr>
            <w:r w:rsidRPr="00983E48">
              <w:t>$</w:t>
            </w:r>
            <w:r w:rsidR="00D06CC7">
              <w:rPr>
                <w:noProof/>
                <w:color w:val="000000"/>
                <w:highlight w:val="black"/>
              </w:rPr>
              <w:t>'''''''''''''''''</w:t>
            </w:r>
          </w:p>
        </w:tc>
        <w:tc>
          <w:tcPr>
            <w:tcW w:w="2081" w:type="dxa"/>
          </w:tcPr>
          <w:p w14:paraId="75CB6180" w14:textId="77777777" w:rsidR="002D7BD5" w:rsidRPr="009C01D5" w:rsidRDefault="002D7BD5" w:rsidP="00A80640">
            <w:pPr>
              <w:pStyle w:val="Tabletext"/>
              <w:jc w:val="center"/>
            </w:pPr>
            <w:r w:rsidRPr="009C01D5">
              <w:t>Reagila®</w:t>
            </w:r>
          </w:p>
          <w:p w14:paraId="1668603E" w14:textId="77777777" w:rsidR="002D7BD5" w:rsidRPr="009C01D5" w:rsidRDefault="002D7BD5" w:rsidP="00A80640">
            <w:pPr>
              <w:pStyle w:val="Tabletext"/>
              <w:jc w:val="center"/>
            </w:pPr>
            <w:r w:rsidRPr="009C01D5">
              <w:t>Gedeon Richter Australia Pty Ltd</w:t>
            </w:r>
          </w:p>
        </w:tc>
      </w:tr>
    </w:tbl>
    <w:p w14:paraId="7C9177AB" w14:textId="77777777" w:rsidR="002E5421" w:rsidRPr="009C01D5" w:rsidRDefault="002E5421" w:rsidP="00936AB1">
      <w:pPr>
        <w:pStyle w:val="3-BodyText"/>
        <w:numPr>
          <w:ilvl w:val="0"/>
          <w:numId w:val="0"/>
        </w:numPr>
        <w:rPr>
          <w:rFonts w:ascii="Arial Narrow" w:hAnsi="Arial Narrow"/>
          <w:b/>
          <w:sz w:val="20"/>
          <w:szCs w:val="20"/>
        </w:rPr>
      </w:pPr>
    </w:p>
    <w:p w14:paraId="73A8DADF" w14:textId="77777777" w:rsidR="00936AB1" w:rsidRPr="009C01D5" w:rsidRDefault="002E5421" w:rsidP="002E5421">
      <w:pPr>
        <w:jc w:val="left"/>
        <w:rPr>
          <w:rFonts w:ascii="Arial Narrow" w:hAnsi="Arial Narrow"/>
          <w:b/>
          <w:snapToGrid w:val="0"/>
          <w:sz w:val="20"/>
          <w:szCs w:val="20"/>
        </w:rPr>
      </w:pPr>
      <w:r w:rsidRPr="009C01D5">
        <w:rPr>
          <w:rFonts w:ascii="Arial Narrow" w:hAnsi="Arial Narrow"/>
          <w:b/>
          <w:sz w:val="20"/>
          <w:szCs w:val="20"/>
        </w:rPr>
        <w:br w:type="page"/>
      </w:r>
    </w:p>
    <w:tbl>
      <w:tblPr>
        <w:tblW w:w="5000" w:type="pct"/>
        <w:tblLook w:val="0000" w:firstRow="0" w:lastRow="0" w:firstColumn="0" w:lastColumn="0" w:noHBand="0" w:noVBand="0"/>
      </w:tblPr>
      <w:tblGrid>
        <w:gridCol w:w="3381"/>
        <w:gridCol w:w="5636"/>
      </w:tblGrid>
      <w:tr w:rsidR="00936AB1" w:rsidRPr="009C01D5" w14:paraId="07BAC4C5"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2FE191AD" w14:textId="77777777" w:rsidR="00936AB1" w:rsidRPr="009C01D5" w:rsidRDefault="00936AB1" w:rsidP="00FA4235">
            <w:pPr>
              <w:pStyle w:val="TableText0"/>
              <w:keepNext w:val="0"/>
              <w:widowControl w:val="0"/>
              <w:rPr>
                <w:b/>
              </w:rPr>
            </w:pPr>
            <w:r w:rsidRPr="009C01D5">
              <w:rPr>
                <w:b/>
              </w:rPr>
              <w:t>Category / Program:</w:t>
            </w:r>
          </w:p>
        </w:tc>
        <w:tc>
          <w:tcPr>
            <w:tcW w:w="3125" w:type="pct"/>
            <w:tcBorders>
              <w:top w:val="single" w:sz="4" w:space="0" w:color="auto"/>
              <w:left w:val="single" w:sz="4" w:space="0" w:color="auto"/>
              <w:bottom w:val="single" w:sz="4" w:space="0" w:color="auto"/>
              <w:right w:val="single" w:sz="4" w:space="0" w:color="auto"/>
            </w:tcBorders>
          </w:tcPr>
          <w:p w14:paraId="7B9E6CA4" w14:textId="77777777" w:rsidR="00936AB1" w:rsidRPr="009C01D5" w:rsidRDefault="00936AB1" w:rsidP="00FA4235">
            <w:pPr>
              <w:pStyle w:val="TableText0"/>
              <w:keepNext w:val="0"/>
              <w:widowControl w:val="0"/>
            </w:pPr>
            <w:r w:rsidRPr="009C01D5">
              <w:t>GENERAL – General Schedule (Code GE)</w:t>
            </w:r>
          </w:p>
        </w:tc>
      </w:tr>
      <w:tr w:rsidR="00936AB1" w:rsidRPr="009C01D5" w14:paraId="6815BDCF"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231B7057" w14:textId="77777777" w:rsidR="00936AB1" w:rsidRPr="009C01D5" w:rsidRDefault="00936AB1" w:rsidP="00FA4235">
            <w:pPr>
              <w:pStyle w:val="TableText0"/>
              <w:keepNext w:val="0"/>
              <w:widowControl w:val="0"/>
              <w:rPr>
                <w:b/>
              </w:rPr>
            </w:pPr>
            <w:r w:rsidRPr="009C01D5">
              <w:rPr>
                <w:b/>
              </w:rPr>
              <w:t>Prescriber type:</w:t>
            </w:r>
          </w:p>
        </w:tc>
        <w:tc>
          <w:tcPr>
            <w:tcW w:w="3125" w:type="pct"/>
            <w:tcBorders>
              <w:top w:val="single" w:sz="4" w:space="0" w:color="auto"/>
              <w:left w:val="single" w:sz="4" w:space="0" w:color="auto"/>
              <w:bottom w:val="single" w:sz="4" w:space="0" w:color="auto"/>
              <w:right w:val="single" w:sz="4" w:space="0" w:color="auto"/>
            </w:tcBorders>
          </w:tcPr>
          <w:p w14:paraId="6EB18AFA" w14:textId="77777777" w:rsidR="00936AB1" w:rsidRPr="009C01D5" w:rsidRDefault="00936AB1" w:rsidP="00FA4235">
            <w:pPr>
              <w:pStyle w:val="TableText0"/>
              <w:keepNext w:val="0"/>
              <w:widowControl w:val="0"/>
            </w:pPr>
            <w:r w:rsidRPr="009C01D5">
              <w:fldChar w:fldCharType="begin">
                <w:ffData>
                  <w:name w:val="Check1"/>
                  <w:enabled/>
                  <w:calcOnExit w:val="0"/>
                  <w:checkBox>
                    <w:sizeAuto/>
                    <w:default w:val="0"/>
                  </w:checkBox>
                </w:ffData>
              </w:fldChar>
            </w:r>
            <w:r w:rsidRPr="009C01D5">
              <w:instrText xml:space="preserve"> FORMCHECKBOX </w:instrText>
            </w:r>
            <w:r w:rsidR="00591C6F">
              <w:fldChar w:fldCharType="separate"/>
            </w:r>
            <w:r w:rsidRPr="009C01D5">
              <w:fldChar w:fldCharType="end"/>
            </w:r>
            <w:r w:rsidRPr="009C01D5">
              <w:t xml:space="preserve">Dental  </w:t>
            </w:r>
            <w:r w:rsidR="00A80640" w:rsidRPr="009C01D5">
              <w:fldChar w:fldCharType="begin">
                <w:ffData>
                  <w:name w:val=""/>
                  <w:enabled/>
                  <w:calcOnExit w:val="0"/>
                  <w:checkBox>
                    <w:sizeAuto/>
                    <w:default w:val="1"/>
                  </w:checkBox>
                </w:ffData>
              </w:fldChar>
            </w:r>
            <w:r w:rsidR="00A80640" w:rsidRPr="009C01D5">
              <w:instrText xml:space="preserve"> FORMCHECKBOX </w:instrText>
            </w:r>
            <w:r w:rsidR="00591C6F">
              <w:fldChar w:fldCharType="separate"/>
            </w:r>
            <w:r w:rsidR="00A80640" w:rsidRPr="009C01D5">
              <w:fldChar w:fldCharType="end"/>
            </w:r>
            <w:r w:rsidRPr="009C01D5">
              <w:t xml:space="preserve">Medical Practitioners  </w:t>
            </w:r>
            <w:r w:rsidRPr="009C01D5">
              <w:fldChar w:fldCharType="begin">
                <w:ffData>
                  <w:name w:val="Check1"/>
                  <w:enabled/>
                  <w:calcOnExit w:val="0"/>
                  <w:checkBox>
                    <w:sizeAuto/>
                    <w:default w:val="1"/>
                  </w:checkBox>
                </w:ffData>
              </w:fldChar>
            </w:r>
            <w:r w:rsidRPr="009C01D5">
              <w:instrText xml:space="preserve"> FORMCHECKBOX </w:instrText>
            </w:r>
            <w:r w:rsidR="00591C6F">
              <w:fldChar w:fldCharType="separate"/>
            </w:r>
            <w:r w:rsidRPr="009C01D5">
              <w:fldChar w:fldCharType="end"/>
            </w:r>
            <w:r w:rsidRPr="009C01D5">
              <w:t xml:space="preserve">Nurse practitioners </w:t>
            </w:r>
          </w:p>
          <w:p w14:paraId="2C2D7CB4" w14:textId="77777777" w:rsidR="00936AB1" w:rsidRPr="009C01D5" w:rsidRDefault="00936AB1" w:rsidP="00FA4235">
            <w:pPr>
              <w:pStyle w:val="TableText0"/>
              <w:keepNext w:val="0"/>
              <w:widowControl w:val="0"/>
            </w:pPr>
            <w:r w:rsidRPr="009C01D5">
              <w:fldChar w:fldCharType="begin">
                <w:ffData>
                  <w:name w:val="Check1"/>
                  <w:enabled/>
                  <w:calcOnExit w:val="0"/>
                  <w:checkBox>
                    <w:sizeAuto/>
                    <w:default w:val="0"/>
                  </w:checkBox>
                </w:ffData>
              </w:fldChar>
            </w:r>
            <w:r w:rsidRPr="009C01D5">
              <w:instrText xml:space="preserve"> FORMCHECKBOX </w:instrText>
            </w:r>
            <w:r w:rsidR="00591C6F">
              <w:fldChar w:fldCharType="separate"/>
            </w:r>
            <w:r w:rsidRPr="009C01D5">
              <w:fldChar w:fldCharType="end"/>
            </w:r>
            <w:r w:rsidRPr="009C01D5">
              <w:t xml:space="preserve">Optometrists </w:t>
            </w:r>
            <w:r w:rsidRPr="009C01D5">
              <w:fldChar w:fldCharType="begin">
                <w:ffData>
                  <w:name w:val="Check1"/>
                  <w:enabled/>
                  <w:calcOnExit w:val="0"/>
                  <w:checkBox>
                    <w:sizeAuto/>
                    <w:default w:val="0"/>
                  </w:checkBox>
                </w:ffData>
              </w:fldChar>
            </w:r>
            <w:r w:rsidRPr="009C01D5">
              <w:instrText xml:space="preserve"> FORMCHECKBOX </w:instrText>
            </w:r>
            <w:r w:rsidR="00591C6F">
              <w:fldChar w:fldCharType="separate"/>
            </w:r>
            <w:r w:rsidRPr="009C01D5">
              <w:fldChar w:fldCharType="end"/>
            </w:r>
            <w:r w:rsidRPr="009C01D5">
              <w:t>Midwives</w:t>
            </w:r>
          </w:p>
        </w:tc>
      </w:tr>
      <w:tr w:rsidR="00936AB1" w:rsidRPr="009C01D5" w14:paraId="77ADF551"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251FA5C9" w14:textId="77777777" w:rsidR="00936AB1" w:rsidRPr="009C01D5" w:rsidRDefault="00936AB1" w:rsidP="00FA4235">
            <w:pPr>
              <w:pStyle w:val="TableText0"/>
              <w:keepNext w:val="0"/>
              <w:widowControl w:val="0"/>
              <w:rPr>
                <w:b/>
              </w:rPr>
            </w:pPr>
            <w:r w:rsidRPr="009C01D5">
              <w:rPr>
                <w:b/>
              </w:rPr>
              <w:t>Episodicity:</w:t>
            </w:r>
          </w:p>
        </w:tc>
        <w:tc>
          <w:tcPr>
            <w:tcW w:w="3125" w:type="pct"/>
            <w:tcBorders>
              <w:top w:val="single" w:sz="4" w:space="0" w:color="auto"/>
              <w:left w:val="single" w:sz="4" w:space="0" w:color="auto"/>
              <w:bottom w:val="single" w:sz="4" w:space="0" w:color="auto"/>
              <w:right w:val="single" w:sz="4" w:space="0" w:color="auto"/>
            </w:tcBorders>
          </w:tcPr>
          <w:p w14:paraId="4A27E5F6" w14:textId="77777777" w:rsidR="00936AB1" w:rsidRPr="009C01D5" w:rsidRDefault="00936AB1" w:rsidP="00FA4235">
            <w:pPr>
              <w:pStyle w:val="TableText0"/>
              <w:keepNext w:val="0"/>
              <w:widowControl w:val="0"/>
            </w:pPr>
            <w:r w:rsidRPr="009C01D5">
              <w:t xml:space="preserve">Chronic </w:t>
            </w:r>
          </w:p>
        </w:tc>
      </w:tr>
      <w:tr w:rsidR="00936AB1" w:rsidRPr="009C01D5" w14:paraId="2AD8DFFE"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67A9144B" w14:textId="77777777" w:rsidR="00936AB1" w:rsidRPr="009C01D5" w:rsidRDefault="00936AB1" w:rsidP="00FA4235">
            <w:pPr>
              <w:pStyle w:val="TableText0"/>
              <w:keepNext w:val="0"/>
              <w:widowControl w:val="0"/>
              <w:rPr>
                <w:b/>
              </w:rPr>
            </w:pPr>
            <w:r w:rsidRPr="009C01D5">
              <w:rPr>
                <w:b/>
              </w:rPr>
              <w:t>Severity:</w:t>
            </w:r>
          </w:p>
        </w:tc>
        <w:tc>
          <w:tcPr>
            <w:tcW w:w="3125" w:type="pct"/>
            <w:tcBorders>
              <w:top w:val="single" w:sz="4" w:space="0" w:color="auto"/>
              <w:left w:val="single" w:sz="4" w:space="0" w:color="auto"/>
              <w:bottom w:val="single" w:sz="4" w:space="0" w:color="auto"/>
              <w:right w:val="single" w:sz="4" w:space="0" w:color="auto"/>
            </w:tcBorders>
          </w:tcPr>
          <w:p w14:paraId="5C7C626D" w14:textId="77777777" w:rsidR="00936AB1" w:rsidRPr="009C01D5" w:rsidRDefault="00936AB1" w:rsidP="00FA4235">
            <w:pPr>
              <w:pStyle w:val="TableText0"/>
              <w:keepNext w:val="0"/>
              <w:widowControl w:val="0"/>
            </w:pPr>
            <w:r w:rsidRPr="009C01D5">
              <w:t xml:space="preserve">Acute and maintenance therapy  </w:t>
            </w:r>
          </w:p>
        </w:tc>
      </w:tr>
      <w:tr w:rsidR="00936AB1" w:rsidRPr="009C01D5" w14:paraId="31D2F7D2"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5D15D86E" w14:textId="77777777" w:rsidR="00936AB1" w:rsidRPr="009C01D5" w:rsidRDefault="00936AB1" w:rsidP="00FA4235">
            <w:pPr>
              <w:pStyle w:val="TableText0"/>
              <w:keepNext w:val="0"/>
              <w:widowControl w:val="0"/>
              <w:rPr>
                <w:b/>
              </w:rPr>
            </w:pPr>
            <w:r w:rsidRPr="009C01D5">
              <w:rPr>
                <w:b/>
              </w:rPr>
              <w:t>Condition:</w:t>
            </w:r>
          </w:p>
        </w:tc>
        <w:tc>
          <w:tcPr>
            <w:tcW w:w="3125" w:type="pct"/>
            <w:tcBorders>
              <w:top w:val="single" w:sz="4" w:space="0" w:color="auto"/>
              <w:left w:val="single" w:sz="4" w:space="0" w:color="auto"/>
              <w:bottom w:val="single" w:sz="4" w:space="0" w:color="auto"/>
              <w:right w:val="single" w:sz="4" w:space="0" w:color="auto"/>
            </w:tcBorders>
          </w:tcPr>
          <w:p w14:paraId="2A1CE6E7" w14:textId="77777777" w:rsidR="00936AB1" w:rsidRPr="009C01D5" w:rsidRDefault="00936AB1" w:rsidP="00FA4235">
            <w:pPr>
              <w:pStyle w:val="TableText0"/>
              <w:keepNext w:val="0"/>
              <w:widowControl w:val="0"/>
            </w:pPr>
            <w:r w:rsidRPr="009C01D5">
              <w:t xml:space="preserve">Schizophrenia </w:t>
            </w:r>
          </w:p>
        </w:tc>
      </w:tr>
      <w:tr w:rsidR="00936AB1" w:rsidRPr="009C01D5" w14:paraId="1D3FA2AD"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057A0D35" w14:textId="77777777" w:rsidR="00936AB1" w:rsidRPr="009C01D5" w:rsidRDefault="00936AB1" w:rsidP="00FA4235">
            <w:pPr>
              <w:pStyle w:val="TableText0"/>
              <w:keepNext w:val="0"/>
              <w:widowControl w:val="0"/>
              <w:rPr>
                <w:b/>
              </w:rPr>
            </w:pPr>
            <w:r w:rsidRPr="009C01D5">
              <w:rPr>
                <w:b/>
              </w:rPr>
              <w:t>PBS Indication:</w:t>
            </w:r>
          </w:p>
        </w:tc>
        <w:tc>
          <w:tcPr>
            <w:tcW w:w="3125" w:type="pct"/>
            <w:tcBorders>
              <w:top w:val="single" w:sz="4" w:space="0" w:color="auto"/>
              <w:left w:val="single" w:sz="4" w:space="0" w:color="auto"/>
              <w:bottom w:val="single" w:sz="4" w:space="0" w:color="auto"/>
              <w:right w:val="single" w:sz="4" w:space="0" w:color="auto"/>
            </w:tcBorders>
          </w:tcPr>
          <w:p w14:paraId="36595C88" w14:textId="77777777" w:rsidR="00936AB1" w:rsidRPr="009C01D5" w:rsidRDefault="00936AB1" w:rsidP="00FA4235">
            <w:pPr>
              <w:pStyle w:val="TableText0"/>
              <w:keepNext w:val="0"/>
              <w:widowControl w:val="0"/>
            </w:pPr>
            <w:r w:rsidRPr="009C01D5">
              <w:t xml:space="preserve">Treatment of schizophrenia in adults </w:t>
            </w:r>
          </w:p>
        </w:tc>
      </w:tr>
      <w:tr w:rsidR="00936AB1" w:rsidRPr="009C01D5" w14:paraId="78A2E09F"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2D509573" w14:textId="77777777" w:rsidR="00936AB1" w:rsidRPr="009C01D5" w:rsidRDefault="00936AB1" w:rsidP="00FA4235">
            <w:pPr>
              <w:pStyle w:val="TableText0"/>
              <w:keepNext w:val="0"/>
              <w:widowControl w:val="0"/>
              <w:rPr>
                <w:b/>
              </w:rPr>
            </w:pPr>
            <w:r w:rsidRPr="009C01D5">
              <w:rPr>
                <w:b/>
              </w:rPr>
              <w:t>Treatment phase:</w:t>
            </w:r>
          </w:p>
          <w:p w14:paraId="07822503" w14:textId="77777777" w:rsidR="00936AB1" w:rsidRPr="009C01D5" w:rsidRDefault="005B06F3" w:rsidP="00FA4235">
            <w:pPr>
              <w:pStyle w:val="TableText0"/>
              <w:keepNext w:val="0"/>
              <w:widowControl w:val="0"/>
            </w:pPr>
            <w:r w:rsidRPr="009C01D5">
              <w:t>e.g.</w:t>
            </w:r>
            <w:r w:rsidR="00936AB1" w:rsidRPr="009C01D5">
              <w:t>: initial/ continuing</w:t>
            </w:r>
          </w:p>
        </w:tc>
        <w:tc>
          <w:tcPr>
            <w:tcW w:w="3125" w:type="pct"/>
            <w:tcBorders>
              <w:top w:val="single" w:sz="4" w:space="0" w:color="auto"/>
              <w:left w:val="single" w:sz="4" w:space="0" w:color="auto"/>
              <w:bottom w:val="single" w:sz="4" w:space="0" w:color="auto"/>
              <w:right w:val="single" w:sz="4" w:space="0" w:color="auto"/>
            </w:tcBorders>
          </w:tcPr>
          <w:p w14:paraId="26D29B77" w14:textId="77777777" w:rsidR="00936AB1" w:rsidRPr="009C01D5" w:rsidRDefault="00936AB1" w:rsidP="00FA4235">
            <w:pPr>
              <w:pStyle w:val="TableText0"/>
              <w:keepNext w:val="0"/>
              <w:widowControl w:val="0"/>
            </w:pPr>
            <w:r w:rsidRPr="009C01D5">
              <w:t xml:space="preserve">Initial and continuing </w:t>
            </w:r>
          </w:p>
        </w:tc>
      </w:tr>
      <w:tr w:rsidR="00936AB1" w:rsidRPr="009C01D5" w14:paraId="50BECB0B"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1B901D0A" w14:textId="77777777" w:rsidR="00936AB1" w:rsidRPr="009C01D5" w:rsidRDefault="00936AB1" w:rsidP="00FA4235">
            <w:pPr>
              <w:pStyle w:val="TableText0"/>
              <w:keepNext w:val="0"/>
              <w:widowControl w:val="0"/>
              <w:rPr>
                <w:i/>
              </w:rPr>
            </w:pPr>
            <w:r w:rsidRPr="009C01D5">
              <w:rPr>
                <w:b/>
              </w:rPr>
              <w:t>Restriction:</w:t>
            </w:r>
          </w:p>
        </w:tc>
        <w:tc>
          <w:tcPr>
            <w:tcW w:w="3125" w:type="pct"/>
            <w:tcBorders>
              <w:top w:val="single" w:sz="4" w:space="0" w:color="auto"/>
              <w:left w:val="single" w:sz="4" w:space="0" w:color="auto"/>
              <w:bottom w:val="single" w:sz="4" w:space="0" w:color="auto"/>
              <w:right w:val="single" w:sz="4" w:space="0" w:color="auto"/>
            </w:tcBorders>
          </w:tcPr>
          <w:p w14:paraId="02B6C40E" w14:textId="77777777" w:rsidR="00936AB1" w:rsidRPr="009C01D5" w:rsidRDefault="00936AB1" w:rsidP="00FA4235">
            <w:pPr>
              <w:pStyle w:val="TableText0"/>
              <w:keepNext w:val="0"/>
              <w:widowControl w:val="0"/>
            </w:pPr>
            <w:r w:rsidRPr="009C01D5">
              <w:fldChar w:fldCharType="begin">
                <w:ffData>
                  <w:name w:val="Check1"/>
                  <w:enabled/>
                  <w:calcOnExit w:val="0"/>
                  <w:checkBox>
                    <w:sizeAuto/>
                    <w:default w:val="0"/>
                  </w:checkBox>
                </w:ffData>
              </w:fldChar>
            </w:r>
            <w:r w:rsidRPr="009C01D5">
              <w:instrText xml:space="preserve"> FORMCHECKBOX </w:instrText>
            </w:r>
            <w:r w:rsidR="00591C6F">
              <w:fldChar w:fldCharType="separate"/>
            </w:r>
            <w:r w:rsidRPr="009C01D5">
              <w:fldChar w:fldCharType="end"/>
            </w:r>
            <w:r w:rsidRPr="009C01D5">
              <w:t>Restricted benefit</w:t>
            </w:r>
          </w:p>
          <w:p w14:paraId="388C0223" w14:textId="77777777" w:rsidR="00936AB1" w:rsidRPr="009C01D5" w:rsidRDefault="00A80640" w:rsidP="00FA4235">
            <w:pPr>
              <w:pStyle w:val="TableText0"/>
              <w:keepNext w:val="0"/>
              <w:widowControl w:val="0"/>
            </w:pPr>
            <w:r w:rsidRPr="009C01D5">
              <w:fldChar w:fldCharType="begin">
                <w:ffData>
                  <w:name w:val=""/>
                  <w:enabled/>
                  <w:calcOnExit w:val="0"/>
                  <w:checkBox>
                    <w:sizeAuto/>
                    <w:default w:val="0"/>
                  </w:checkBox>
                </w:ffData>
              </w:fldChar>
            </w:r>
            <w:r w:rsidRPr="009C01D5">
              <w:instrText xml:space="preserve"> FORMCHECKBOX </w:instrText>
            </w:r>
            <w:r w:rsidR="00591C6F">
              <w:fldChar w:fldCharType="separate"/>
            </w:r>
            <w:r w:rsidRPr="009C01D5">
              <w:fldChar w:fldCharType="end"/>
            </w:r>
            <w:r w:rsidR="00936AB1" w:rsidRPr="009C01D5">
              <w:t>Authority Required - In Writing</w:t>
            </w:r>
          </w:p>
          <w:p w14:paraId="6E3AC345" w14:textId="77777777" w:rsidR="00936AB1" w:rsidRPr="009C01D5" w:rsidRDefault="00936AB1" w:rsidP="00FA4235">
            <w:pPr>
              <w:pStyle w:val="TableText0"/>
              <w:keepNext w:val="0"/>
              <w:widowControl w:val="0"/>
            </w:pPr>
            <w:r w:rsidRPr="009C01D5">
              <w:fldChar w:fldCharType="begin">
                <w:ffData>
                  <w:name w:val="Check3"/>
                  <w:enabled/>
                  <w:calcOnExit w:val="0"/>
                  <w:checkBox>
                    <w:sizeAuto/>
                    <w:default w:val="0"/>
                  </w:checkBox>
                </w:ffData>
              </w:fldChar>
            </w:r>
            <w:r w:rsidRPr="009C01D5">
              <w:instrText xml:space="preserve"> FORMCHECKBOX </w:instrText>
            </w:r>
            <w:r w:rsidR="00591C6F">
              <w:fldChar w:fldCharType="separate"/>
            </w:r>
            <w:r w:rsidRPr="009C01D5">
              <w:fldChar w:fldCharType="end"/>
            </w:r>
            <w:r w:rsidRPr="009C01D5">
              <w:t>Authority Required – Telephone, Electronic</w:t>
            </w:r>
          </w:p>
          <w:p w14:paraId="5F6214A4" w14:textId="77777777" w:rsidR="00936AB1" w:rsidRPr="009C01D5" w:rsidRDefault="00936AB1" w:rsidP="00FA4235">
            <w:pPr>
              <w:pStyle w:val="TableText0"/>
              <w:keepNext w:val="0"/>
              <w:widowControl w:val="0"/>
            </w:pPr>
            <w:r w:rsidRPr="009C01D5">
              <w:fldChar w:fldCharType="begin">
                <w:ffData>
                  <w:name w:val="Check5"/>
                  <w:enabled/>
                  <w:calcOnExit w:val="0"/>
                  <w:checkBox>
                    <w:sizeAuto/>
                    <w:default w:val="1"/>
                  </w:checkBox>
                </w:ffData>
              </w:fldChar>
            </w:r>
            <w:r w:rsidRPr="009C01D5">
              <w:instrText xml:space="preserve"> FORMCHECKBOX </w:instrText>
            </w:r>
            <w:r w:rsidR="00591C6F">
              <w:fldChar w:fldCharType="separate"/>
            </w:r>
            <w:r w:rsidRPr="009C01D5">
              <w:fldChar w:fldCharType="end"/>
            </w:r>
            <w:r w:rsidR="00A80640" w:rsidRPr="009C01D5">
              <w:t xml:space="preserve">Authority Required - </w:t>
            </w:r>
            <w:r w:rsidRPr="009C01D5">
              <w:t>Streamlined</w:t>
            </w:r>
          </w:p>
        </w:tc>
      </w:tr>
      <w:tr w:rsidR="00936AB1" w:rsidRPr="009C01D5" w14:paraId="0BA6700A"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42803B50" w14:textId="77777777" w:rsidR="00936AB1" w:rsidRPr="009C01D5" w:rsidRDefault="00936AB1" w:rsidP="00FA4235">
            <w:pPr>
              <w:pStyle w:val="TableText0"/>
              <w:keepNext w:val="0"/>
              <w:widowControl w:val="0"/>
              <w:rPr>
                <w:b/>
              </w:rPr>
            </w:pPr>
            <w:r w:rsidRPr="009C01D5">
              <w:rPr>
                <w:b/>
              </w:rPr>
              <w:t>Treatment criteria:</w:t>
            </w:r>
          </w:p>
        </w:tc>
        <w:tc>
          <w:tcPr>
            <w:tcW w:w="3125" w:type="pct"/>
            <w:tcBorders>
              <w:top w:val="single" w:sz="4" w:space="0" w:color="auto"/>
              <w:left w:val="single" w:sz="4" w:space="0" w:color="auto"/>
              <w:bottom w:val="single" w:sz="4" w:space="0" w:color="auto"/>
              <w:right w:val="single" w:sz="4" w:space="0" w:color="auto"/>
            </w:tcBorders>
          </w:tcPr>
          <w:p w14:paraId="4C704F7E" w14:textId="77777777" w:rsidR="00936AB1" w:rsidRPr="009C01D5" w:rsidRDefault="00936AB1" w:rsidP="00FA4235">
            <w:pPr>
              <w:pStyle w:val="TableText0"/>
              <w:keepNext w:val="0"/>
              <w:widowControl w:val="0"/>
              <w:rPr>
                <w:rFonts w:cs="Arial"/>
              </w:rPr>
            </w:pPr>
            <w:r w:rsidRPr="009C01D5">
              <w:rPr>
                <w:rFonts w:cs="Arial"/>
              </w:rPr>
              <w:t>NR</w:t>
            </w:r>
          </w:p>
        </w:tc>
      </w:tr>
      <w:tr w:rsidR="00936AB1" w:rsidRPr="009C01D5" w14:paraId="5CE90085"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0B24EC41" w14:textId="77777777" w:rsidR="00936AB1" w:rsidRPr="009C01D5" w:rsidRDefault="00936AB1" w:rsidP="00FA4235">
            <w:pPr>
              <w:pStyle w:val="TableText0"/>
              <w:keepNext w:val="0"/>
              <w:widowControl w:val="0"/>
              <w:rPr>
                <w:b/>
              </w:rPr>
            </w:pPr>
            <w:r w:rsidRPr="009C01D5">
              <w:rPr>
                <w:b/>
              </w:rPr>
              <w:t>Clinical criteria:</w:t>
            </w:r>
          </w:p>
        </w:tc>
        <w:tc>
          <w:tcPr>
            <w:tcW w:w="3125" w:type="pct"/>
            <w:tcBorders>
              <w:top w:val="single" w:sz="4" w:space="0" w:color="auto"/>
              <w:left w:val="single" w:sz="4" w:space="0" w:color="auto"/>
              <w:bottom w:val="single" w:sz="4" w:space="0" w:color="auto"/>
              <w:right w:val="single" w:sz="4" w:space="0" w:color="auto"/>
            </w:tcBorders>
          </w:tcPr>
          <w:p w14:paraId="22882B11" w14:textId="77777777" w:rsidR="00936AB1" w:rsidRPr="009C01D5" w:rsidRDefault="00936AB1" w:rsidP="00FA4235">
            <w:pPr>
              <w:pStyle w:val="TableText0"/>
              <w:keepNext w:val="0"/>
              <w:widowControl w:val="0"/>
              <w:rPr>
                <w:rFonts w:cs="Arial"/>
              </w:rPr>
            </w:pPr>
            <w:r w:rsidRPr="009C01D5">
              <w:rPr>
                <w:rFonts w:cs="Arial"/>
              </w:rPr>
              <w:t>NR</w:t>
            </w:r>
          </w:p>
        </w:tc>
      </w:tr>
      <w:tr w:rsidR="00936AB1" w:rsidRPr="009C01D5" w14:paraId="3F0EA896"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71C5C3E2" w14:textId="77777777" w:rsidR="00936AB1" w:rsidRPr="009C01D5" w:rsidRDefault="00936AB1" w:rsidP="00FA4235">
            <w:pPr>
              <w:pStyle w:val="TableText0"/>
              <w:keepNext w:val="0"/>
              <w:widowControl w:val="0"/>
              <w:rPr>
                <w:b/>
              </w:rPr>
            </w:pPr>
            <w:r w:rsidRPr="009C01D5">
              <w:rPr>
                <w:b/>
              </w:rPr>
              <w:t>Population criteria:</w:t>
            </w:r>
          </w:p>
        </w:tc>
        <w:tc>
          <w:tcPr>
            <w:tcW w:w="3125" w:type="pct"/>
            <w:tcBorders>
              <w:top w:val="single" w:sz="4" w:space="0" w:color="auto"/>
              <w:left w:val="single" w:sz="4" w:space="0" w:color="auto"/>
              <w:bottom w:val="single" w:sz="4" w:space="0" w:color="auto"/>
              <w:right w:val="single" w:sz="4" w:space="0" w:color="auto"/>
            </w:tcBorders>
          </w:tcPr>
          <w:p w14:paraId="4AF89F93" w14:textId="77777777" w:rsidR="00936AB1" w:rsidRPr="009C01D5" w:rsidRDefault="00936AB1" w:rsidP="00FA4235">
            <w:pPr>
              <w:pStyle w:val="TableText0"/>
              <w:keepNext w:val="0"/>
              <w:widowControl w:val="0"/>
            </w:pPr>
            <w:r w:rsidRPr="009C01D5">
              <w:t>Adults</w:t>
            </w:r>
          </w:p>
        </w:tc>
      </w:tr>
      <w:tr w:rsidR="00936AB1" w:rsidRPr="009C01D5" w14:paraId="45D6B2FA"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306668B2" w14:textId="77777777" w:rsidR="00936AB1" w:rsidRPr="009C01D5" w:rsidRDefault="00936AB1" w:rsidP="00FA4235">
            <w:pPr>
              <w:pStyle w:val="TableText0"/>
              <w:keepNext w:val="0"/>
              <w:widowControl w:val="0"/>
              <w:rPr>
                <w:b/>
              </w:rPr>
            </w:pPr>
            <w:r w:rsidRPr="009C01D5">
              <w:rPr>
                <w:b/>
              </w:rPr>
              <w:t>Foreword:</w:t>
            </w:r>
          </w:p>
        </w:tc>
        <w:tc>
          <w:tcPr>
            <w:tcW w:w="3125" w:type="pct"/>
            <w:tcBorders>
              <w:top w:val="single" w:sz="4" w:space="0" w:color="auto"/>
              <w:left w:val="single" w:sz="4" w:space="0" w:color="auto"/>
              <w:bottom w:val="single" w:sz="4" w:space="0" w:color="auto"/>
              <w:right w:val="single" w:sz="4" w:space="0" w:color="auto"/>
            </w:tcBorders>
          </w:tcPr>
          <w:p w14:paraId="63CB4536" w14:textId="77777777" w:rsidR="00936AB1" w:rsidRPr="009C01D5" w:rsidRDefault="00936AB1" w:rsidP="00FA4235">
            <w:pPr>
              <w:pStyle w:val="TableText0"/>
              <w:keepNext w:val="0"/>
              <w:widowControl w:val="0"/>
            </w:pPr>
            <w:r w:rsidRPr="009C01D5">
              <w:t>Shared Care Model: For prescribing by nurse practitioners where care of a patient is shared between a</w:t>
            </w:r>
          </w:p>
          <w:p w14:paraId="082B0C93" w14:textId="77777777" w:rsidR="00936AB1" w:rsidRPr="009C01D5" w:rsidRDefault="00936AB1" w:rsidP="00FA4235">
            <w:pPr>
              <w:pStyle w:val="TableText0"/>
              <w:keepNext w:val="0"/>
              <w:widowControl w:val="0"/>
            </w:pPr>
            <w:r w:rsidRPr="009C01D5">
              <w:t>nurse practitioner and medical practitioner in a formalised arrangement with an agreed management plan.</w:t>
            </w:r>
          </w:p>
          <w:p w14:paraId="768E22B7" w14:textId="77777777" w:rsidR="00936AB1" w:rsidRPr="009C01D5" w:rsidRDefault="00936AB1" w:rsidP="00FA4235">
            <w:pPr>
              <w:pStyle w:val="TableText0"/>
              <w:keepNext w:val="0"/>
              <w:widowControl w:val="0"/>
            </w:pPr>
            <w:r w:rsidRPr="009C01D5">
              <w:t>Further information can be found in the Explanatory Notes for Nurse Practitioners.</w:t>
            </w:r>
          </w:p>
        </w:tc>
      </w:tr>
      <w:tr w:rsidR="00936AB1" w:rsidRPr="009C01D5" w14:paraId="116E6FB2"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589CFB42" w14:textId="77777777" w:rsidR="00936AB1" w:rsidRPr="009C01D5" w:rsidRDefault="00936AB1" w:rsidP="00FA4235">
            <w:pPr>
              <w:pStyle w:val="TableText0"/>
              <w:keepNext w:val="0"/>
              <w:widowControl w:val="0"/>
              <w:rPr>
                <w:b/>
              </w:rPr>
            </w:pPr>
            <w:r w:rsidRPr="009C01D5">
              <w:rPr>
                <w:b/>
              </w:rPr>
              <w:t>Definitions:</w:t>
            </w:r>
          </w:p>
        </w:tc>
        <w:tc>
          <w:tcPr>
            <w:tcW w:w="3125" w:type="pct"/>
            <w:tcBorders>
              <w:top w:val="single" w:sz="4" w:space="0" w:color="auto"/>
              <w:left w:val="single" w:sz="4" w:space="0" w:color="auto"/>
              <w:bottom w:val="single" w:sz="4" w:space="0" w:color="auto"/>
              <w:right w:val="single" w:sz="4" w:space="0" w:color="auto"/>
            </w:tcBorders>
          </w:tcPr>
          <w:p w14:paraId="195FF609" w14:textId="77777777" w:rsidR="00936AB1" w:rsidRPr="009C01D5" w:rsidRDefault="00936AB1" w:rsidP="00FA4235">
            <w:pPr>
              <w:pStyle w:val="TableText0"/>
              <w:keepNext w:val="0"/>
              <w:widowControl w:val="0"/>
            </w:pPr>
            <w:r w:rsidRPr="009C01D5">
              <w:t>NR</w:t>
            </w:r>
          </w:p>
        </w:tc>
      </w:tr>
      <w:tr w:rsidR="00936AB1" w:rsidRPr="009C01D5" w14:paraId="39D436B7"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54BFAA86" w14:textId="77777777" w:rsidR="00936AB1" w:rsidRPr="009C01D5" w:rsidRDefault="00936AB1" w:rsidP="00FA4235">
            <w:pPr>
              <w:pStyle w:val="TableText0"/>
              <w:keepNext w:val="0"/>
              <w:widowControl w:val="0"/>
              <w:rPr>
                <w:b/>
              </w:rPr>
            </w:pPr>
            <w:r w:rsidRPr="009C01D5">
              <w:rPr>
                <w:b/>
              </w:rPr>
              <w:t>Prescriber Instructions:</w:t>
            </w:r>
          </w:p>
        </w:tc>
        <w:tc>
          <w:tcPr>
            <w:tcW w:w="3125" w:type="pct"/>
            <w:tcBorders>
              <w:top w:val="single" w:sz="4" w:space="0" w:color="auto"/>
              <w:left w:val="single" w:sz="4" w:space="0" w:color="auto"/>
              <w:bottom w:val="single" w:sz="4" w:space="0" w:color="auto"/>
              <w:right w:val="single" w:sz="4" w:space="0" w:color="auto"/>
            </w:tcBorders>
          </w:tcPr>
          <w:p w14:paraId="57FDAC9F" w14:textId="77777777" w:rsidR="00936AB1" w:rsidRPr="009C01D5" w:rsidRDefault="00936AB1" w:rsidP="00FA4235">
            <w:pPr>
              <w:pStyle w:val="TableText0"/>
              <w:keepNext w:val="0"/>
              <w:widowControl w:val="0"/>
            </w:pPr>
            <w:r w:rsidRPr="009C01D5">
              <w:t xml:space="preserve">NR </w:t>
            </w:r>
          </w:p>
        </w:tc>
      </w:tr>
      <w:tr w:rsidR="00936AB1" w:rsidRPr="009C01D5" w14:paraId="7AEB2F17"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1D43D3FD" w14:textId="77777777" w:rsidR="00936AB1" w:rsidRPr="009C01D5" w:rsidRDefault="00936AB1" w:rsidP="00FA4235">
            <w:pPr>
              <w:pStyle w:val="TableText0"/>
              <w:keepNext w:val="0"/>
              <w:widowControl w:val="0"/>
              <w:rPr>
                <w:b/>
              </w:rPr>
            </w:pPr>
            <w:r w:rsidRPr="009C01D5">
              <w:rPr>
                <w:b/>
              </w:rPr>
              <w:t>Administrative Advice:</w:t>
            </w:r>
          </w:p>
        </w:tc>
        <w:tc>
          <w:tcPr>
            <w:tcW w:w="3125" w:type="pct"/>
            <w:tcBorders>
              <w:top w:val="single" w:sz="4" w:space="0" w:color="auto"/>
              <w:left w:val="single" w:sz="4" w:space="0" w:color="auto"/>
              <w:bottom w:val="single" w:sz="4" w:space="0" w:color="auto"/>
              <w:right w:val="single" w:sz="4" w:space="0" w:color="auto"/>
            </w:tcBorders>
          </w:tcPr>
          <w:p w14:paraId="4E284BA7" w14:textId="77777777" w:rsidR="00936AB1" w:rsidRPr="009C01D5" w:rsidRDefault="00A80640" w:rsidP="00D52569">
            <w:pPr>
              <w:pStyle w:val="TableText0"/>
              <w:widowControl w:val="0"/>
            </w:pPr>
            <w:r w:rsidRPr="009C01D5">
              <w:t>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936AB1" w:rsidRPr="009C01D5" w14:paraId="2B8F530F" w14:textId="77777777" w:rsidTr="00FA4235">
        <w:trPr>
          <w:cantSplit/>
        </w:trPr>
        <w:tc>
          <w:tcPr>
            <w:tcW w:w="1875" w:type="pct"/>
            <w:tcBorders>
              <w:top w:val="single" w:sz="4" w:space="0" w:color="auto"/>
              <w:left w:val="single" w:sz="4" w:space="0" w:color="auto"/>
              <w:bottom w:val="single" w:sz="4" w:space="0" w:color="auto"/>
              <w:right w:val="single" w:sz="4" w:space="0" w:color="auto"/>
            </w:tcBorders>
          </w:tcPr>
          <w:p w14:paraId="2B7A7500" w14:textId="77777777" w:rsidR="00936AB1" w:rsidRPr="009C01D5" w:rsidRDefault="00936AB1" w:rsidP="00FA4235">
            <w:pPr>
              <w:pStyle w:val="TableText0"/>
              <w:keepNext w:val="0"/>
              <w:widowControl w:val="0"/>
              <w:rPr>
                <w:b/>
              </w:rPr>
            </w:pPr>
            <w:r w:rsidRPr="009C01D5">
              <w:rPr>
                <w:b/>
              </w:rPr>
              <w:t>Cautions:</w:t>
            </w:r>
          </w:p>
        </w:tc>
        <w:tc>
          <w:tcPr>
            <w:tcW w:w="3125" w:type="pct"/>
            <w:tcBorders>
              <w:top w:val="single" w:sz="4" w:space="0" w:color="auto"/>
              <w:left w:val="single" w:sz="4" w:space="0" w:color="auto"/>
              <w:bottom w:val="single" w:sz="4" w:space="0" w:color="auto"/>
              <w:right w:val="single" w:sz="4" w:space="0" w:color="auto"/>
            </w:tcBorders>
          </w:tcPr>
          <w:p w14:paraId="13E74D5B" w14:textId="77777777" w:rsidR="00936AB1" w:rsidRPr="009C01D5" w:rsidRDefault="00936AB1" w:rsidP="00FA4235">
            <w:pPr>
              <w:pStyle w:val="TableText0"/>
              <w:keepNext w:val="0"/>
              <w:widowControl w:val="0"/>
            </w:pPr>
            <w:r w:rsidRPr="009C01D5">
              <w:t xml:space="preserve">NR </w:t>
            </w:r>
          </w:p>
        </w:tc>
      </w:tr>
    </w:tbl>
    <w:p w14:paraId="3472265D" w14:textId="77777777" w:rsidR="00936AB1" w:rsidRPr="009C01D5" w:rsidRDefault="00936AB1" w:rsidP="00C64940">
      <w:pPr>
        <w:pStyle w:val="3-BodyText"/>
        <w:numPr>
          <w:ilvl w:val="0"/>
          <w:numId w:val="0"/>
        </w:numPr>
        <w:jc w:val="left"/>
      </w:pPr>
      <w:r w:rsidRPr="009C01D5">
        <w:rPr>
          <w:rFonts w:ascii="Arial Narrow" w:hAnsi="Arial Narrow"/>
          <w:sz w:val="18"/>
          <w:szCs w:val="18"/>
        </w:rPr>
        <w:t>Abbreviations:</w:t>
      </w:r>
      <w:r w:rsidRPr="009C01D5">
        <w:t xml:space="preserve"> </w:t>
      </w:r>
      <w:r w:rsidRPr="009C01D5">
        <w:rPr>
          <w:rFonts w:ascii="Arial Narrow" w:hAnsi="Arial Narrow"/>
          <w:sz w:val="18"/>
          <w:szCs w:val="18"/>
        </w:rPr>
        <w:t>mg=milligram; no=number; NR=not reported; PBS=Pharmaceutical Benefits Scheme</w:t>
      </w:r>
      <w:r w:rsidRPr="009C01D5">
        <w:rPr>
          <w:rFonts w:ascii="Arial Narrow" w:hAnsi="Arial Narrow"/>
          <w:sz w:val="18"/>
          <w:szCs w:val="18"/>
        </w:rPr>
        <w:br/>
        <w:t>Source: compiled by the Commentary based on the submission; Table 1.4.1 p44 of the submission</w:t>
      </w:r>
    </w:p>
    <w:p w14:paraId="1A36954E" w14:textId="77777777" w:rsidR="006B05D9" w:rsidRPr="009C01D5" w:rsidRDefault="00473D7D" w:rsidP="00EE57E5">
      <w:pPr>
        <w:pStyle w:val="3-BodyText"/>
        <w:rPr>
          <w:i/>
        </w:rPr>
      </w:pPr>
      <w:r w:rsidRPr="009C01D5">
        <w:rPr>
          <w:iCs/>
        </w:rPr>
        <w:t>The listing proposed for cariprazine on the PBS was consistent with that applied to the other antipsychotics.</w:t>
      </w:r>
    </w:p>
    <w:p w14:paraId="3B0A8ACE" w14:textId="77777777" w:rsidR="00324520" w:rsidRPr="009C01D5" w:rsidRDefault="00324520" w:rsidP="006B05D9">
      <w:pPr>
        <w:pStyle w:val="3-BodyText"/>
        <w:numPr>
          <w:ilvl w:val="0"/>
          <w:numId w:val="0"/>
        </w:numPr>
        <w:ind w:firstLine="720"/>
        <w:rPr>
          <w:i/>
        </w:rPr>
      </w:pPr>
      <w:r w:rsidRPr="009C01D5">
        <w:rPr>
          <w:i/>
        </w:rPr>
        <w:t>For more detail on PBAC’s view, see section 7 PBAC outcome.</w:t>
      </w:r>
    </w:p>
    <w:p w14:paraId="1E7BE6E4" w14:textId="77777777" w:rsidR="00936AB1" w:rsidRPr="009C01D5" w:rsidRDefault="00936AB1" w:rsidP="00936AB1">
      <w:pPr>
        <w:pStyle w:val="2-SectionHeading"/>
        <w:numPr>
          <w:ilvl w:val="0"/>
          <w:numId w:val="1"/>
        </w:numPr>
      </w:pPr>
      <w:bookmarkStart w:id="7" w:name="_Toc51163080"/>
      <w:r w:rsidRPr="009C01D5">
        <w:t>Population and disease</w:t>
      </w:r>
      <w:bookmarkEnd w:id="7"/>
    </w:p>
    <w:p w14:paraId="12557B71" w14:textId="77777777" w:rsidR="00936AB1" w:rsidRPr="009C01D5" w:rsidRDefault="00936AB1" w:rsidP="00936AB1">
      <w:pPr>
        <w:pStyle w:val="3-BodyText"/>
      </w:pPr>
      <w:r w:rsidRPr="009C01D5">
        <w:t>The submission stated that schizophrenia is a severe, lifelong, disabling psychiatric disorder involving a breakdown in the relationship between thought, emotion, and behaviour that has a major impact on patients, families and caregivers. It is a complex, multifactorial disorder of brain function with wide variation in symptoms and signs, and in the course of the illness. The submission described the symptoms of schizophrenia as categorised into three domains: positive symptoms, negative symptoms</w:t>
      </w:r>
      <w:r w:rsidR="000A1F71" w:rsidRPr="009C01D5">
        <w:t xml:space="preserve"> and</w:t>
      </w:r>
      <w:r w:rsidRPr="009C01D5">
        <w:t xml:space="preserve"> cognitive symptoms. </w:t>
      </w:r>
    </w:p>
    <w:p w14:paraId="746D63E2" w14:textId="77777777" w:rsidR="00936AB1" w:rsidRPr="009C01D5" w:rsidRDefault="00936AB1" w:rsidP="00936AB1">
      <w:pPr>
        <w:pStyle w:val="3-BodyText"/>
      </w:pPr>
      <w:r w:rsidRPr="009C01D5">
        <w:t>Cariprazine is an orally active, atypical antipsychotic</w:t>
      </w:r>
      <w:r w:rsidR="000A28BF" w:rsidRPr="009C01D5">
        <w:t xml:space="preserve"> for use in adults with schizophrenia. It</w:t>
      </w:r>
      <w:r w:rsidRPr="009C01D5">
        <w:t xml:space="preserve"> acts as a “dopamine multifunctional” agent, having potent partial agonist activity at dopamine D2/D3 receptors. </w:t>
      </w:r>
      <w:r w:rsidRPr="009C01D5">
        <w:rPr>
          <w:iCs/>
        </w:rPr>
        <w:t xml:space="preserve">The proposed place in therapy </w:t>
      </w:r>
      <w:r w:rsidR="000A28BF" w:rsidRPr="009C01D5">
        <w:rPr>
          <w:iCs/>
        </w:rPr>
        <w:t xml:space="preserve">for cariprazine (see Figure 1) </w:t>
      </w:r>
      <w:r w:rsidRPr="009C01D5">
        <w:rPr>
          <w:iCs/>
        </w:rPr>
        <w:t>was consistent with the current PBS eligibility criteria for aripiprazole and brexpiprazole, the proposed TGA indication and the trial eligibility criteria of the clinical evidence base presented in Section 2 of the submission.</w:t>
      </w:r>
      <w:r w:rsidR="000A28BF" w:rsidRPr="009C01D5">
        <w:t xml:space="preserve"> </w:t>
      </w:r>
    </w:p>
    <w:p w14:paraId="239DBA08" w14:textId="77777777" w:rsidR="00936AB1" w:rsidRPr="009C01D5" w:rsidRDefault="00936AB1" w:rsidP="00936AB1">
      <w:pPr>
        <w:pStyle w:val="TableFigureHeading"/>
      </w:pPr>
      <w:bookmarkStart w:id="8" w:name="_Ref50100552"/>
      <w:bookmarkStart w:id="9" w:name="_Ref50100536"/>
      <w:r w:rsidRPr="009C01D5">
        <w:t xml:space="preserve">Figure </w:t>
      </w:r>
      <w:bookmarkEnd w:id="8"/>
      <w:r w:rsidRPr="009C01D5">
        <w:t>1: Proposed clinical management algorithm</w:t>
      </w:r>
      <w:bookmarkEnd w:id="9"/>
    </w:p>
    <w:p w14:paraId="74F69228" w14:textId="77777777" w:rsidR="00936AB1" w:rsidRPr="009C01D5" w:rsidRDefault="00936AB1" w:rsidP="00936AB1">
      <w:pPr>
        <w:pStyle w:val="3-BodyText"/>
        <w:keepNext/>
        <w:numPr>
          <w:ilvl w:val="0"/>
          <w:numId w:val="0"/>
        </w:numPr>
        <w:rPr>
          <w:rFonts w:ascii="Arial Narrow" w:hAnsi="Arial Narrow"/>
          <w:b/>
          <w:sz w:val="20"/>
          <w:szCs w:val="20"/>
        </w:rPr>
      </w:pPr>
      <w:r w:rsidRPr="009C01D5">
        <w:rPr>
          <w:noProof/>
        </w:rPr>
        <w:drawing>
          <wp:inline distT="0" distB="0" distL="0" distR="0" wp14:anchorId="0FD4E5FC" wp14:editId="2C84083E">
            <wp:extent cx="5732145" cy="5024755"/>
            <wp:effectExtent l="0" t="0" r="1905" b="4445"/>
            <wp:docPr id="7" name="Picture 7" title="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5024755"/>
                    </a:xfrm>
                    <a:prstGeom prst="rect">
                      <a:avLst/>
                    </a:prstGeom>
                    <a:noFill/>
                  </pic:spPr>
                </pic:pic>
              </a:graphicData>
            </a:graphic>
          </wp:inline>
        </w:drawing>
      </w:r>
    </w:p>
    <w:p w14:paraId="3251ECC9"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Source: Figure 1.2.1 p37 of the submission</w:t>
      </w:r>
    </w:p>
    <w:p w14:paraId="0BF5B65C" w14:textId="77777777" w:rsidR="00936AB1" w:rsidRPr="009C01D5" w:rsidRDefault="0036427C" w:rsidP="00AC23AF">
      <w:pPr>
        <w:rPr>
          <w:rFonts w:ascii="Arial Narrow" w:hAnsi="Arial Narrow"/>
          <w:sz w:val="18"/>
          <w:szCs w:val="18"/>
        </w:rPr>
      </w:pPr>
      <w:r w:rsidRPr="009C01D5">
        <w:rPr>
          <w:rFonts w:ascii="Arial Narrow" w:hAnsi="Arial Narrow"/>
          <w:sz w:val="18"/>
          <w:szCs w:val="18"/>
        </w:rPr>
        <w:t>Notes: The current algorithm includes atypical antipsychotics presented with blue background, and the proposed algorithm adds cariprazine (orange background) as an alternative treatment for acute and maintenance schizophrenia therapy</w:t>
      </w:r>
      <w:r w:rsidR="009C01D5">
        <w:rPr>
          <w:rFonts w:ascii="Arial Narrow" w:hAnsi="Arial Narrow"/>
          <w:sz w:val="18"/>
          <w:szCs w:val="18"/>
        </w:rPr>
        <w:t xml:space="preserve">. </w:t>
      </w:r>
      <w:r w:rsidRPr="009C01D5">
        <w:rPr>
          <w:rFonts w:ascii="Arial Narrow" w:hAnsi="Arial Narrow"/>
          <w:sz w:val="18"/>
          <w:szCs w:val="18"/>
        </w:rPr>
        <w:t>Atypical antipsychotics with dashed outlines are not included in the 2016 RANZCP Guidelines</w:t>
      </w:r>
      <w:r w:rsidR="009C01D5">
        <w:rPr>
          <w:rFonts w:ascii="Arial Narrow" w:hAnsi="Arial Narrow"/>
          <w:sz w:val="18"/>
          <w:szCs w:val="18"/>
        </w:rPr>
        <w:t xml:space="preserve">. </w:t>
      </w:r>
      <w:r w:rsidRPr="009C01D5">
        <w:rPr>
          <w:rFonts w:ascii="Arial Narrow" w:hAnsi="Arial Narrow"/>
          <w:sz w:val="18"/>
          <w:szCs w:val="18"/>
        </w:rPr>
        <w:t>Asenapine is included with a question mark as it is recommended that other antipsychotics with more extensive clinical data be considered ahead of it, and it may also be unsuitable for some patients based on its manner of administration</w:t>
      </w:r>
      <w:r w:rsidR="009C01D5">
        <w:rPr>
          <w:rFonts w:ascii="Arial Narrow" w:hAnsi="Arial Narrow"/>
          <w:sz w:val="18"/>
          <w:szCs w:val="18"/>
        </w:rPr>
        <w:t xml:space="preserve">. </w:t>
      </w:r>
    </w:p>
    <w:p w14:paraId="6C61AB01" w14:textId="77777777" w:rsidR="00324520" w:rsidRPr="009C01D5" w:rsidRDefault="00324520" w:rsidP="00324520">
      <w:pPr>
        <w:pStyle w:val="3-BodyText"/>
        <w:numPr>
          <w:ilvl w:val="0"/>
          <w:numId w:val="0"/>
        </w:numPr>
        <w:ind w:left="720"/>
        <w:rPr>
          <w:i/>
        </w:rPr>
      </w:pPr>
      <w:r w:rsidRPr="009C01D5">
        <w:rPr>
          <w:i/>
        </w:rPr>
        <w:t>For more detail on PBAC’s view, see section 7 PBAC outcome.</w:t>
      </w:r>
    </w:p>
    <w:p w14:paraId="79EA3F6B" w14:textId="77777777" w:rsidR="00936AB1" w:rsidRPr="009C01D5" w:rsidRDefault="00936AB1" w:rsidP="00936AB1">
      <w:pPr>
        <w:pStyle w:val="2-SectionHeading"/>
        <w:numPr>
          <w:ilvl w:val="0"/>
          <w:numId w:val="1"/>
        </w:numPr>
      </w:pPr>
      <w:bookmarkStart w:id="10" w:name="_Toc51163081"/>
      <w:r w:rsidRPr="009C01D5">
        <w:t>Comparator</w:t>
      </w:r>
      <w:bookmarkEnd w:id="10"/>
    </w:p>
    <w:p w14:paraId="2A8FE807" w14:textId="77777777" w:rsidR="00936AB1" w:rsidRPr="009C01D5" w:rsidRDefault="00936AB1" w:rsidP="00936AB1">
      <w:pPr>
        <w:pStyle w:val="3-BodyText"/>
      </w:pPr>
      <w:r w:rsidRPr="009C01D5">
        <w:t xml:space="preserve">The submission nominated aripiprazole and brexpiprazole as the main comparators. </w:t>
      </w:r>
    </w:p>
    <w:p w14:paraId="6DC52DA1" w14:textId="77777777" w:rsidR="00936AB1" w:rsidRPr="009C01D5" w:rsidRDefault="00936AB1" w:rsidP="00936AB1">
      <w:pPr>
        <w:pStyle w:val="3-BodyText"/>
      </w:pPr>
      <w:r w:rsidRPr="009C01D5">
        <w:t>Aripiprazole, brexpiprazole and cariprazine are third generation</w:t>
      </w:r>
      <w:r w:rsidR="000A28BF" w:rsidRPr="009C01D5">
        <w:t>, orally administered</w:t>
      </w:r>
      <w:r w:rsidRPr="009C01D5">
        <w:t xml:space="preserve"> antipsychotics. </w:t>
      </w:r>
      <w:r w:rsidR="000A28BF" w:rsidRPr="009C01D5">
        <w:t>The submission noted that a</w:t>
      </w:r>
      <w:r w:rsidRPr="009C01D5">
        <w:t>ripiprazole is also available as a modified-release injectable form, appropriate for patients in whom long-acting injectable therapy may represent the most suitable maintenance choice</w:t>
      </w:r>
      <w:r w:rsidR="000A28BF" w:rsidRPr="009C01D5">
        <w:t>.</w:t>
      </w:r>
      <w:r w:rsidRPr="009C01D5">
        <w:t xml:space="preserve"> </w:t>
      </w:r>
      <w:r w:rsidR="002C0A1A" w:rsidRPr="009C01D5">
        <w:t>The submission stated that c</w:t>
      </w:r>
      <w:r w:rsidRPr="009C01D5">
        <w:t xml:space="preserve">ariprazine would not be a suitable replacement for </w:t>
      </w:r>
      <w:r w:rsidR="00376441" w:rsidRPr="009C01D5">
        <w:t xml:space="preserve">oral aripiprazole in </w:t>
      </w:r>
      <w:r w:rsidR="002C0A1A" w:rsidRPr="009C01D5">
        <w:t xml:space="preserve">these </w:t>
      </w:r>
      <w:r w:rsidRPr="009C01D5">
        <w:t xml:space="preserve">patients. </w:t>
      </w:r>
    </w:p>
    <w:p w14:paraId="40747891" w14:textId="77777777" w:rsidR="00936AB1" w:rsidRPr="009C01D5" w:rsidRDefault="00936AB1" w:rsidP="00936AB1">
      <w:pPr>
        <w:pStyle w:val="3-BodyText"/>
        <w:rPr>
          <w:i/>
        </w:rPr>
      </w:pPr>
      <w:r w:rsidRPr="009C01D5">
        <w:t xml:space="preserve">Based on the current utilisation data, in 2019 approximately 17% of </w:t>
      </w:r>
      <w:r w:rsidR="0002250B" w:rsidRPr="009C01D5">
        <w:t xml:space="preserve">patients </w:t>
      </w:r>
      <w:r w:rsidR="0002250B">
        <w:t xml:space="preserve">with </w:t>
      </w:r>
      <w:r w:rsidRPr="009C01D5">
        <w:t>schizophrenia initiating an oral atypical antipsychotic used aripiprazole (the second most commonly initiated treatment)</w:t>
      </w:r>
      <w:r w:rsidR="002E40E1" w:rsidRPr="009C01D5">
        <w:t>,</w:t>
      </w:r>
      <w:r w:rsidRPr="009C01D5">
        <w:t xml:space="preserve"> and 6% used brexpiprazole. Olanzapine was the market leader, accounting for 37% of patients initiating treatment in 2019; this is despite </w:t>
      </w:r>
      <w:r w:rsidR="00B652FA" w:rsidRPr="009C01D5">
        <w:t xml:space="preserve">some </w:t>
      </w:r>
      <w:r w:rsidRPr="009C01D5">
        <w:t xml:space="preserve">treatment </w:t>
      </w:r>
      <w:r w:rsidR="005B06F3" w:rsidRPr="009C01D5">
        <w:t>guidelines, which</w:t>
      </w:r>
      <w:r w:rsidRPr="009C01D5">
        <w:t xml:space="preserve"> recommend that olanzapine not be used as the first line treatment due to its metabolic side effects. </w:t>
      </w:r>
    </w:p>
    <w:p w14:paraId="4F422EE9" w14:textId="77777777" w:rsidR="00936AB1" w:rsidRPr="009C01D5" w:rsidRDefault="00936AB1" w:rsidP="00936AB1">
      <w:pPr>
        <w:pStyle w:val="3-BodyText"/>
      </w:pPr>
      <w:r w:rsidRPr="009C01D5">
        <w:t>The submission noted the PBAC has accepted the equi-effectiveness and safety of a group of atypical antipsychotics</w:t>
      </w:r>
      <w:r w:rsidR="002E40E1" w:rsidRPr="009C01D5">
        <w:t>,</w:t>
      </w:r>
      <w:r w:rsidRPr="009C01D5">
        <w:t xml:space="preserve"> including aripiprazole, brexpiprazole, lurasidone, paliperidone and ziprasidone</w:t>
      </w:r>
      <w:r w:rsidR="002E40E1" w:rsidRPr="009C01D5">
        <w:t>,</w:t>
      </w:r>
      <w:r w:rsidRPr="009C01D5">
        <w:t xml:space="preserve"> </w:t>
      </w:r>
      <w:r w:rsidR="000A6E29" w:rsidRPr="009C01D5">
        <w:t>which</w:t>
      </w:r>
      <w:r w:rsidR="00B97C0F" w:rsidRPr="009C01D5">
        <w:t xml:space="preserve"> were </w:t>
      </w:r>
      <w:r w:rsidRPr="009C01D5">
        <w:t>listed on a cost-minimisation basis compared to olanzapine. As such, the submission claimed that cariprazine’s non-inferiority to aripiprazole and brexpiprazole would establish its position within that group (relative to the other therapies). The submission noted olanzapine was not considered an alternative therapy due to its inferior safety in the first line setting (</w:t>
      </w:r>
      <w:r w:rsidR="00DF7C37" w:rsidRPr="009C01D5">
        <w:t xml:space="preserve">paragraph 5.10, </w:t>
      </w:r>
      <w:r w:rsidRPr="009C01D5">
        <w:t>Brexpiprazole</w:t>
      </w:r>
      <w:r w:rsidR="006A0BAC">
        <w:t xml:space="preserve"> Public summary document</w:t>
      </w:r>
      <w:r w:rsidRPr="009C01D5">
        <w:t xml:space="preserve"> </w:t>
      </w:r>
      <w:r w:rsidR="006A0BAC">
        <w:t>(</w:t>
      </w:r>
      <w:r w:rsidRPr="009C01D5">
        <w:t>PSD</w:t>
      </w:r>
      <w:r w:rsidR="006A0BAC">
        <w:t>)</w:t>
      </w:r>
      <w:r w:rsidRPr="009C01D5">
        <w:t>, March 2017</w:t>
      </w:r>
      <w:r w:rsidR="00DF7C37" w:rsidRPr="009C01D5">
        <w:t>)</w:t>
      </w:r>
      <w:r w:rsidR="00E32004" w:rsidRPr="009C01D5">
        <w:t>.</w:t>
      </w:r>
    </w:p>
    <w:p w14:paraId="390E917D" w14:textId="77777777" w:rsidR="00670C56" w:rsidRPr="009C01D5" w:rsidRDefault="00936AB1" w:rsidP="007C313F">
      <w:pPr>
        <w:pStyle w:val="3-BodyText"/>
        <w:rPr>
          <w:i/>
          <w:iCs/>
        </w:rPr>
      </w:pPr>
      <w:r w:rsidRPr="009C01D5">
        <w:rPr>
          <w:iCs/>
          <w:snapToGrid/>
        </w:rPr>
        <w:t>The nomination of aripiprazole and brexpiprazole as main comparator</w:t>
      </w:r>
      <w:r w:rsidR="008D3167" w:rsidRPr="009C01D5">
        <w:rPr>
          <w:iCs/>
          <w:snapToGrid/>
        </w:rPr>
        <w:t>s</w:t>
      </w:r>
      <w:r w:rsidRPr="009C01D5">
        <w:rPr>
          <w:iCs/>
          <w:snapToGrid/>
        </w:rPr>
        <w:t xml:space="preserve"> may be appropriate according to Guidelines based therapy </w:t>
      </w:r>
      <w:r w:rsidR="006338FE" w:rsidRPr="009C01D5">
        <w:rPr>
          <w:iCs/>
          <w:snapToGrid/>
        </w:rPr>
        <w:t xml:space="preserve">and on the basis that they are </w:t>
      </w:r>
      <w:r w:rsidR="00E97ED5" w:rsidRPr="009C01D5">
        <w:rPr>
          <w:iCs/>
          <w:snapToGrid/>
        </w:rPr>
        <w:t>both</w:t>
      </w:r>
      <w:r w:rsidR="006338FE" w:rsidRPr="009C01D5">
        <w:rPr>
          <w:iCs/>
          <w:snapToGrid/>
        </w:rPr>
        <w:t xml:space="preserve"> oral, third generation antipsychotics</w:t>
      </w:r>
      <w:r w:rsidRPr="009C01D5">
        <w:rPr>
          <w:iCs/>
          <w:snapToGrid/>
        </w:rPr>
        <w:t>.</w:t>
      </w:r>
      <w:r w:rsidRPr="009C01D5">
        <w:rPr>
          <w:snapToGrid/>
        </w:rPr>
        <w:t xml:space="preserve"> It </w:t>
      </w:r>
      <w:r w:rsidR="00E32004" w:rsidRPr="009C01D5">
        <w:rPr>
          <w:snapToGrid/>
        </w:rPr>
        <w:t>may be</w:t>
      </w:r>
      <w:r w:rsidRPr="009C01D5">
        <w:rPr>
          <w:snapToGrid/>
        </w:rPr>
        <w:t xml:space="preserve"> reasonable that if the claim of non-inferiority to aripiprazole and brexpiprazole </w:t>
      </w:r>
      <w:r w:rsidR="005B06F3" w:rsidRPr="009C01D5">
        <w:rPr>
          <w:snapToGrid/>
        </w:rPr>
        <w:t>were</w:t>
      </w:r>
      <w:r w:rsidRPr="009C01D5">
        <w:rPr>
          <w:snapToGrid/>
        </w:rPr>
        <w:t xml:space="preserve"> accepted, it would establish an indirect equi-effectiveness of cariprazine to lurasidone, paliperidone and ziprasidone. However, utili</w:t>
      </w:r>
      <w:r w:rsidR="008D3167" w:rsidRPr="009C01D5">
        <w:rPr>
          <w:snapToGrid/>
        </w:rPr>
        <w:t>s</w:t>
      </w:r>
      <w:r w:rsidRPr="009C01D5">
        <w:rPr>
          <w:snapToGrid/>
        </w:rPr>
        <w:t>ation data show</w:t>
      </w:r>
      <w:r w:rsidR="00984485" w:rsidRPr="009C01D5">
        <w:rPr>
          <w:snapToGrid/>
        </w:rPr>
        <w:t>s</w:t>
      </w:r>
      <w:r w:rsidRPr="009C01D5">
        <w:rPr>
          <w:snapToGrid/>
        </w:rPr>
        <w:t xml:space="preserve"> that olanzapine is the current market leader (by a factor of over 2:1 compared with aripiprazole). </w:t>
      </w:r>
      <w:r w:rsidR="00EB5750" w:rsidRPr="009C01D5">
        <w:rPr>
          <w:iCs/>
        </w:rPr>
        <w:t>It is possible that cariprazine will also substitute for olanzapine, the most widely prescribed of the antipsychotics in this setting. The submission did not present evidence to inform a clinical comparison of cariprazine with olanzapine</w:t>
      </w:r>
      <w:r w:rsidR="007C313F" w:rsidRPr="009C01D5">
        <w:rPr>
          <w:iCs/>
        </w:rPr>
        <w:t>.</w:t>
      </w:r>
      <w:r w:rsidR="006338FE" w:rsidRPr="009C01D5">
        <w:rPr>
          <w:snapToGrid/>
        </w:rPr>
        <w:t xml:space="preserve"> The submission noted that it did not consider a comparison of cariprazine with </w:t>
      </w:r>
      <w:r w:rsidR="005B06F3" w:rsidRPr="009C01D5">
        <w:rPr>
          <w:snapToGrid/>
        </w:rPr>
        <w:t>second-generation</w:t>
      </w:r>
      <w:r w:rsidR="006338FE" w:rsidRPr="009C01D5">
        <w:rPr>
          <w:snapToGrid/>
        </w:rPr>
        <w:t xml:space="preserve"> antipsychotics (e.g. risperidone) to be appropriate given that they have a different </w:t>
      </w:r>
      <w:r w:rsidR="005B06F3" w:rsidRPr="009C01D5">
        <w:rPr>
          <w:snapToGrid/>
        </w:rPr>
        <w:t>mechanism</w:t>
      </w:r>
      <w:r w:rsidR="006338FE" w:rsidRPr="009C01D5">
        <w:rPr>
          <w:snapToGrid/>
        </w:rPr>
        <w:t xml:space="preserve"> of action and hence are not pharmacological analogues for cariprazine. </w:t>
      </w:r>
      <w:r w:rsidR="008D3167" w:rsidRPr="009C01D5">
        <w:rPr>
          <w:snapToGrid/>
        </w:rPr>
        <w:t xml:space="preserve">During the </w:t>
      </w:r>
      <w:r w:rsidR="00AF16FD" w:rsidRPr="009C01D5">
        <w:rPr>
          <w:snapToGrid/>
        </w:rPr>
        <w:t>evaluation,</w:t>
      </w:r>
      <w:r w:rsidR="008D3167" w:rsidRPr="009C01D5">
        <w:rPr>
          <w:snapToGrid/>
        </w:rPr>
        <w:t xml:space="preserve"> </w:t>
      </w:r>
      <w:r w:rsidR="008D3167" w:rsidRPr="009C01D5">
        <w:rPr>
          <w:iCs/>
          <w:snapToGrid/>
        </w:rPr>
        <w:t>t</w:t>
      </w:r>
      <w:r w:rsidR="006338FE" w:rsidRPr="009C01D5">
        <w:rPr>
          <w:iCs/>
          <w:snapToGrid/>
        </w:rPr>
        <w:t>his</w:t>
      </w:r>
      <w:r w:rsidR="008D3167" w:rsidRPr="009C01D5">
        <w:rPr>
          <w:iCs/>
          <w:snapToGrid/>
        </w:rPr>
        <w:t xml:space="preserve"> was considered </w:t>
      </w:r>
      <w:r w:rsidR="006338FE" w:rsidRPr="009C01D5">
        <w:rPr>
          <w:iCs/>
          <w:snapToGrid/>
        </w:rPr>
        <w:t xml:space="preserve">reasonable and by extension, this argument could apply to potential comparisons of cariprazine against any </w:t>
      </w:r>
      <w:r w:rsidR="005B06F3" w:rsidRPr="009C01D5">
        <w:rPr>
          <w:iCs/>
          <w:snapToGrid/>
        </w:rPr>
        <w:t>second-generation</w:t>
      </w:r>
      <w:r w:rsidR="006338FE" w:rsidRPr="009C01D5">
        <w:rPr>
          <w:iCs/>
          <w:snapToGrid/>
        </w:rPr>
        <w:t xml:space="preserve"> antipsychotics, including quetiapine.</w:t>
      </w:r>
    </w:p>
    <w:p w14:paraId="7EF03103" w14:textId="77777777" w:rsidR="00936AB1" w:rsidRPr="009C01D5" w:rsidRDefault="007C313F" w:rsidP="006206E3">
      <w:pPr>
        <w:pStyle w:val="3-BodyText"/>
        <w:rPr>
          <w:iCs/>
        </w:rPr>
      </w:pPr>
      <w:r w:rsidRPr="009C01D5">
        <w:rPr>
          <w:iCs/>
        </w:rPr>
        <w:t>The PBS-listed medicines olanzapine, paliperidone, ziprasidone</w:t>
      </w:r>
      <w:r w:rsidR="00D73F98" w:rsidRPr="009C01D5">
        <w:rPr>
          <w:iCs/>
        </w:rPr>
        <w:t>, aripiprazole</w:t>
      </w:r>
      <w:r w:rsidRPr="009C01D5">
        <w:rPr>
          <w:iCs/>
        </w:rPr>
        <w:t xml:space="preserve"> and lurasidone </w:t>
      </w:r>
      <w:r w:rsidR="00E97ED5" w:rsidRPr="009C01D5">
        <w:rPr>
          <w:iCs/>
        </w:rPr>
        <w:t>were</w:t>
      </w:r>
      <w:r w:rsidRPr="009C01D5">
        <w:rPr>
          <w:iCs/>
        </w:rPr>
        <w:t xml:space="preserve"> recommended for listing on the basis that they delivered similar effectiveness and safety in the treatment of schizophrenia. </w:t>
      </w:r>
      <w:r w:rsidR="00670C56" w:rsidRPr="009C01D5">
        <w:rPr>
          <w:iCs/>
        </w:rPr>
        <w:t>Olanzapine, the first of the medicines in this group to be listed, was recommended on a cost-effectiveness basis compared to risperidone</w:t>
      </w:r>
      <w:r w:rsidR="00E97ED5" w:rsidRPr="009C01D5">
        <w:rPr>
          <w:iCs/>
        </w:rPr>
        <w:t>.</w:t>
      </w:r>
      <w:r w:rsidR="00670C56" w:rsidRPr="009C01D5">
        <w:rPr>
          <w:iCs/>
        </w:rPr>
        <w:t xml:space="preserve"> </w:t>
      </w:r>
      <w:r w:rsidR="00E97ED5" w:rsidRPr="009C01D5">
        <w:rPr>
          <w:iCs/>
        </w:rPr>
        <w:t>R</w:t>
      </w:r>
      <w:r w:rsidR="00670C56" w:rsidRPr="009C01D5">
        <w:rPr>
          <w:iCs/>
        </w:rPr>
        <w:t>isperidone, amisulpride, asenapine and quetiapine were all recommended on a cost</w:t>
      </w:r>
      <w:r w:rsidRPr="009C01D5">
        <w:rPr>
          <w:iCs/>
        </w:rPr>
        <w:t xml:space="preserve"> </w:t>
      </w:r>
      <w:r w:rsidR="00670C56" w:rsidRPr="009C01D5">
        <w:rPr>
          <w:iCs/>
        </w:rPr>
        <w:t>minimisation basis to each other as they all delivered similar effectiveness and safety (paragraph 5.9, Brexpiprazole PSD, March 2017).</w:t>
      </w:r>
      <w:r w:rsidRPr="009C01D5">
        <w:rPr>
          <w:iCs/>
        </w:rPr>
        <w:t xml:space="preserve"> </w:t>
      </w:r>
      <w:r w:rsidR="0036427C" w:rsidRPr="009C01D5">
        <w:rPr>
          <w:iCs/>
        </w:rPr>
        <w:t>In the case of brexpiprazole, the PBAC concluded that</w:t>
      </w:r>
      <w:r w:rsidRPr="009C01D5">
        <w:rPr>
          <w:iCs/>
        </w:rPr>
        <w:t xml:space="preserve"> the PBS-listed medicines paliperidone</w:t>
      </w:r>
      <w:r w:rsidR="000569B8" w:rsidRPr="009C01D5">
        <w:rPr>
          <w:iCs/>
        </w:rPr>
        <w:t>,</w:t>
      </w:r>
      <w:r w:rsidRPr="009C01D5">
        <w:rPr>
          <w:iCs/>
        </w:rPr>
        <w:t xml:space="preserve"> ziprasidone</w:t>
      </w:r>
      <w:r w:rsidR="000569B8" w:rsidRPr="009C01D5">
        <w:rPr>
          <w:iCs/>
        </w:rPr>
        <w:t xml:space="preserve"> and lurasidone</w:t>
      </w:r>
      <w:r w:rsidRPr="009C01D5">
        <w:rPr>
          <w:iCs/>
        </w:rPr>
        <w:t xml:space="preserve"> could also </w:t>
      </w:r>
      <w:r w:rsidR="006338FE" w:rsidRPr="009C01D5">
        <w:rPr>
          <w:iCs/>
        </w:rPr>
        <w:t xml:space="preserve">have </w:t>
      </w:r>
      <w:r w:rsidRPr="009C01D5">
        <w:rPr>
          <w:iCs/>
        </w:rPr>
        <w:t>be</w:t>
      </w:r>
      <w:r w:rsidR="006338FE" w:rsidRPr="009C01D5">
        <w:rPr>
          <w:iCs/>
        </w:rPr>
        <w:t>en</w:t>
      </w:r>
      <w:r w:rsidRPr="009C01D5">
        <w:rPr>
          <w:iCs/>
        </w:rPr>
        <w:t xml:space="preserve"> considered comparators</w:t>
      </w:r>
      <w:r w:rsidR="00AB73E6" w:rsidRPr="009C01D5">
        <w:rPr>
          <w:iCs/>
        </w:rPr>
        <w:t>, but that olanzapine should not be considered an alternative therapy given its inferior safety profile (paragraph 5.10, Brexpiprazole PSD, March 2017)</w:t>
      </w:r>
      <w:r w:rsidRPr="009C01D5">
        <w:rPr>
          <w:iCs/>
        </w:rPr>
        <w:t>.</w:t>
      </w:r>
      <w:r w:rsidR="0036427C" w:rsidRPr="009C01D5">
        <w:rPr>
          <w:iCs/>
        </w:rPr>
        <w:t xml:space="preserve"> Given that brexpiprazole is a nominated comparator for cariprazine, </w:t>
      </w:r>
      <w:r w:rsidR="006338FE" w:rsidRPr="009C01D5">
        <w:rPr>
          <w:iCs/>
        </w:rPr>
        <w:t xml:space="preserve">consideration could also be given to the potential for </w:t>
      </w:r>
      <w:r w:rsidR="0036427C" w:rsidRPr="009C01D5">
        <w:rPr>
          <w:iCs/>
        </w:rPr>
        <w:t>paliperidone</w:t>
      </w:r>
      <w:r w:rsidR="000569B8" w:rsidRPr="009C01D5">
        <w:rPr>
          <w:iCs/>
        </w:rPr>
        <w:t>,</w:t>
      </w:r>
      <w:r w:rsidR="0036427C" w:rsidRPr="009C01D5">
        <w:rPr>
          <w:iCs/>
        </w:rPr>
        <w:t xml:space="preserve"> ziprasidone</w:t>
      </w:r>
      <w:r w:rsidR="000569B8" w:rsidRPr="009C01D5">
        <w:rPr>
          <w:iCs/>
        </w:rPr>
        <w:t xml:space="preserve"> and lurasidone</w:t>
      </w:r>
      <w:r w:rsidR="0036427C" w:rsidRPr="009C01D5">
        <w:rPr>
          <w:iCs/>
        </w:rPr>
        <w:t xml:space="preserve"> </w:t>
      </w:r>
      <w:r w:rsidR="006338FE" w:rsidRPr="009C01D5">
        <w:rPr>
          <w:iCs/>
        </w:rPr>
        <w:t>to</w:t>
      </w:r>
      <w:r w:rsidR="0036427C" w:rsidRPr="009C01D5">
        <w:rPr>
          <w:iCs/>
        </w:rPr>
        <w:t xml:space="preserve"> be considered comparators for cariprazine</w:t>
      </w:r>
      <w:r w:rsidR="006338FE" w:rsidRPr="009C01D5">
        <w:rPr>
          <w:iCs/>
        </w:rPr>
        <w:t>, noting that they are not pharmacological analogues</w:t>
      </w:r>
      <w:r w:rsidR="0036427C" w:rsidRPr="009C01D5">
        <w:rPr>
          <w:iCs/>
        </w:rPr>
        <w:t>.</w:t>
      </w:r>
    </w:p>
    <w:p w14:paraId="5F9540AA" w14:textId="77777777" w:rsidR="00936AB1" w:rsidRPr="009C01D5" w:rsidRDefault="00936AB1" w:rsidP="006828AF">
      <w:pPr>
        <w:pStyle w:val="3-BodyText"/>
        <w:rPr>
          <w:snapToGrid/>
        </w:rPr>
      </w:pPr>
      <w:r w:rsidRPr="009C01D5">
        <w:rPr>
          <w:iCs/>
          <w:snapToGrid/>
        </w:rPr>
        <w:t xml:space="preserve">If treatment with cariprazine is substantially more costly than an alternative therapy or alternative therapies, the PBAC could only recommend listing of cariprazine if it is satisfied that cariprazine provides, for some patients, a significant improvement in efficacy or reduction of toxicity over the alternative therapy or therapies (National Health Act 1953, Section 101(3B)). </w:t>
      </w:r>
      <w:r w:rsidR="006828AF" w:rsidRPr="009C01D5">
        <w:rPr>
          <w:snapToGrid/>
        </w:rPr>
        <w:t>For the requested population, the following PBS-listed medicines may be considered alternative therapies because they could be replaced in practice: aripiprazole, brexpiprazole, lurasidone, paliperidone, ziprasidone and olanzapine. For the request</w:t>
      </w:r>
      <w:r w:rsidR="00822F5F" w:rsidRPr="009C01D5">
        <w:rPr>
          <w:snapToGrid/>
        </w:rPr>
        <w:t xml:space="preserve">ed population, </w:t>
      </w:r>
      <w:r w:rsidR="008D3167" w:rsidRPr="009C01D5">
        <w:rPr>
          <w:snapToGrid/>
        </w:rPr>
        <w:t xml:space="preserve">based on the equi-effective doses proposed in the submission, </w:t>
      </w:r>
      <w:r w:rsidR="00822F5F" w:rsidRPr="009C01D5">
        <w:rPr>
          <w:snapToGrid/>
        </w:rPr>
        <w:t>olanzapine is</w:t>
      </w:r>
      <w:r w:rsidR="00EE01EC" w:rsidRPr="009C01D5">
        <w:rPr>
          <w:snapToGrid/>
        </w:rPr>
        <w:t xml:space="preserve"> the only one of these therapies that is</w:t>
      </w:r>
      <w:r w:rsidR="006828AF" w:rsidRPr="009C01D5">
        <w:rPr>
          <w:snapToGrid/>
        </w:rPr>
        <w:t xml:space="preserve"> less costly than cariprazine</w:t>
      </w:r>
      <w:r w:rsidR="00AB73E6" w:rsidRPr="009C01D5">
        <w:rPr>
          <w:snapToGrid/>
        </w:rPr>
        <w:t xml:space="preserve">, noting that the PBAC previously stated it should not be considered an alternative </w:t>
      </w:r>
      <w:r w:rsidR="005B06F3" w:rsidRPr="009C01D5">
        <w:rPr>
          <w:snapToGrid/>
        </w:rPr>
        <w:t>therapy</w:t>
      </w:r>
      <w:r w:rsidR="000569B8" w:rsidRPr="009C01D5">
        <w:rPr>
          <w:snapToGrid/>
        </w:rPr>
        <w:t xml:space="preserve"> </w:t>
      </w:r>
      <w:r w:rsidR="00EE01EC" w:rsidRPr="009C01D5">
        <w:rPr>
          <w:snapToGrid/>
        </w:rPr>
        <w:t xml:space="preserve">for brexpiprazole </w:t>
      </w:r>
      <w:r w:rsidR="000569B8" w:rsidRPr="009C01D5">
        <w:rPr>
          <w:snapToGrid/>
        </w:rPr>
        <w:t>due to</w:t>
      </w:r>
      <w:r w:rsidR="00AB73E6" w:rsidRPr="009C01D5">
        <w:rPr>
          <w:snapToGrid/>
        </w:rPr>
        <w:t xml:space="preserve"> its inferior safety profile</w:t>
      </w:r>
      <w:r w:rsidR="001C0A6C" w:rsidRPr="009C01D5">
        <w:rPr>
          <w:snapToGrid/>
        </w:rPr>
        <w:t xml:space="preserve"> (Table 15)</w:t>
      </w:r>
      <w:r w:rsidR="00AB73E6" w:rsidRPr="009C01D5">
        <w:rPr>
          <w:snapToGrid/>
        </w:rPr>
        <w:t xml:space="preserve"> (paragraph 5.10, Brexpiprazole PSD, March 2017)</w:t>
      </w:r>
      <w:r w:rsidR="00B97C0F" w:rsidRPr="009C01D5">
        <w:rPr>
          <w:snapToGrid/>
        </w:rPr>
        <w:t>.</w:t>
      </w:r>
    </w:p>
    <w:p w14:paraId="7BDEAE45" w14:textId="77777777" w:rsidR="00324520" w:rsidRPr="009C01D5" w:rsidRDefault="00324520" w:rsidP="00324520">
      <w:pPr>
        <w:pStyle w:val="3-BodyText"/>
        <w:numPr>
          <w:ilvl w:val="0"/>
          <w:numId w:val="0"/>
        </w:numPr>
        <w:ind w:left="720"/>
        <w:rPr>
          <w:i/>
          <w:snapToGrid/>
        </w:rPr>
      </w:pPr>
      <w:r w:rsidRPr="009C01D5">
        <w:rPr>
          <w:i/>
          <w:snapToGrid/>
        </w:rPr>
        <w:t>For more detail on PBAC’s view, see section 7 PBAC outcome.</w:t>
      </w:r>
    </w:p>
    <w:p w14:paraId="28D07837" w14:textId="77777777" w:rsidR="00936AB1" w:rsidRPr="009C01D5" w:rsidRDefault="00936AB1" w:rsidP="00936AB1">
      <w:pPr>
        <w:pStyle w:val="2-SectionHeading"/>
        <w:numPr>
          <w:ilvl w:val="0"/>
          <w:numId w:val="1"/>
        </w:numPr>
      </w:pPr>
      <w:bookmarkStart w:id="11" w:name="_Toc51163082"/>
      <w:bookmarkStart w:id="12" w:name="_Toc22897640"/>
      <w:r w:rsidRPr="009C01D5">
        <w:t>Consideration of the evidence</w:t>
      </w:r>
      <w:bookmarkEnd w:id="11"/>
    </w:p>
    <w:p w14:paraId="60A0A63A" w14:textId="77777777" w:rsidR="00324520" w:rsidRPr="009C01D5" w:rsidRDefault="00324520" w:rsidP="00936AB1">
      <w:pPr>
        <w:pStyle w:val="4-SubsectionHeading"/>
      </w:pPr>
      <w:bookmarkStart w:id="13" w:name="_Toc51163083"/>
      <w:r w:rsidRPr="009C01D5">
        <w:t>Sponsor hearing</w:t>
      </w:r>
    </w:p>
    <w:p w14:paraId="0E15ED85" w14:textId="77777777" w:rsidR="00324520" w:rsidRPr="009C01D5" w:rsidRDefault="00BB7436"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sponsor requested a hearing for this item. The </w:t>
      </w:r>
      <w:r w:rsidR="008A085F" w:rsidRPr="009C01D5">
        <w:rPr>
          <w:rFonts w:asciiTheme="minorHAnsi" w:hAnsiTheme="minorHAnsi"/>
          <w:bCs/>
          <w:snapToGrid w:val="0"/>
        </w:rPr>
        <w:t xml:space="preserve">sponsor presented a written submission from a </w:t>
      </w:r>
      <w:r w:rsidRPr="009C01D5">
        <w:rPr>
          <w:rFonts w:asciiTheme="minorHAnsi" w:hAnsiTheme="minorHAnsi"/>
          <w:bCs/>
          <w:snapToGrid w:val="0"/>
        </w:rPr>
        <w:t>clinician</w:t>
      </w:r>
      <w:r w:rsidR="001C310E" w:rsidRPr="009C01D5">
        <w:rPr>
          <w:rFonts w:asciiTheme="minorHAnsi" w:hAnsiTheme="minorHAnsi"/>
          <w:bCs/>
          <w:snapToGrid w:val="0"/>
        </w:rPr>
        <w:t xml:space="preserve"> </w:t>
      </w:r>
      <w:r w:rsidR="008A085F" w:rsidRPr="009C01D5">
        <w:rPr>
          <w:rFonts w:asciiTheme="minorHAnsi" w:hAnsiTheme="minorHAnsi"/>
          <w:bCs/>
          <w:snapToGrid w:val="0"/>
        </w:rPr>
        <w:t>which</w:t>
      </w:r>
      <w:r w:rsidR="001C310E" w:rsidRPr="009C01D5">
        <w:rPr>
          <w:rFonts w:asciiTheme="minorHAnsi" w:hAnsiTheme="minorHAnsi"/>
          <w:bCs/>
          <w:snapToGrid w:val="0"/>
        </w:rPr>
        <w:t xml:space="preserve"> discussed how </w:t>
      </w:r>
      <w:r w:rsidR="00A94E04" w:rsidRPr="009C01D5">
        <w:rPr>
          <w:iCs/>
        </w:rPr>
        <w:t xml:space="preserve">cariprazine </w:t>
      </w:r>
      <w:r w:rsidR="001C310E" w:rsidRPr="009C01D5">
        <w:rPr>
          <w:rFonts w:asciiTheme="minorHAnsi" w:hAnsiTheme="minorHAnsi"/>
          <w:bCs/>
          <w:snapToGrid w:val="0"/>
        </w:rPr>
        <w:t>would be used in practice</w:t>
      </w:r>
      <w:r w:rsidR="00E334C0" w:rsidRPr="009C01D5">
        <w:rPr>
          <w:rFonts w:asciiTheme="minorHAnsi" w:hAnsiTheme="minorHAnsi"/>
          <w:bCs/>
          <w:snapToGrid w:val="0"/>
        </w:rPr>
        <w:t>, including dosing</w:t>
      </w:r>
      <w:r w:rsidRPr="009C01D5">
        <w:rPr>
          <w:rFonts w:asciiTheme="minorHAnsi" w:hAnsiTheme="minorHAnsi"/>
          <w:bCs/>
          <w:snapToGrid w:val="0"/>
        </w:rPr>
        <w:t xml:space="preserve">. </w:t>
      </w:r>
    </w:p>
    <w:p w14:paraId="7A45B0C0" w14:textId="77777777" w:rsidR="00324520" w:rsidRPr="009C01D5" w:rsidRDefault="00324520" w:rsidP="00324520">
      <w:pPr>
        <w:pStyle w:val="4-SubsectionHeading"/>
        <w:rPr>
          <w:snapToGrid w:val="0"/>
        </w:rPr>
      </w:pPr>
      <w:r w:rsidRPr="009C01D5">
        <w:rPr>
          <w:snapToGrid w:val="0"/>
        </w:rPr>
        <w:t>Consumer comments</w:t>
      </w:r>
    </w:p>
    <w:p w14:paraId="5E9AA0BF" w14:textId="77777777" w:rsidR="0042720A" w:rsidRPr="009C01D5" w:rsidRDefault="0042720A"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noted that no consumer comments were received for this item. </w:t>
      </w:r>
    </w:p>
    <w:p w14:paraId="6D15A7E9" w14:textId="77777777" w:rsidR="00936AB1" w:rsidRPr="009C01D5" w:rsidRDefault="00936AB1" w:rsidP="00936AB1">
      <w:pPr>
        <w:pStyle w:val="4-SubsectionHeading"/>
      </w:pPr>
      <w:r w:rsidRPr="009C01D5">
        <w:t xml:space="preserve">Clinical </w:t>
      </w:r>
      <w:bookmarkEnd w:id="12"/>
      <w:r w:rsidRPr="009C01D5">
        <w:t>trials</w:t>
      </w:r>
      <w:bookmarkEnd w:id="13"/>
    </w:p>
    <w:p w14:paraId="72D77E64" w14:textId="77777777" w:rsidR="00936AB1" w:rsidRPr="009C01D5" w:rsidRDefault="00936AB1" w:rsidP="00936AB1">
      <w:pPr>
        <w:pStyle w:val="3-BodyText"/>
      </w:pPr>
      <w:r w:rsidRPr="009C01D5">
        <w:t xml:space="preserve">The submission included a total of 17 trials (14 in the acute setting </w:t>
      </w:r>
      <w:r w:rsidR="00447238" w:rsidRPr="009C01D5">
        <w:t xml:space="preserve">and </w:t>
      </w:r>
      <w:r w:rsidRPr="009C01D5">
        <w:t>three in the maintenance setting). The primary clinical evidence was based on one head-to-head randomised trial, RGH-MD-04, comparing cariprazine to aripiprazole in the acute setting. RGH-MD-04 was a double</w:t>
      </w:r>
      <w:r w:rsidR="00447238" w:rsidRPr="009C01D5">
        <w:t xml:space="preserve"> </w:t>
      </w:r>
      <w:r w:rsidRPr="009C01D5">
        <w:t>blind, parallel</w:t>
      </w:r>
      <w:r w:rsidR="00447238" w:rsidRPr="009C01D5">
        <w:t xml:space="preserve"> </w:t>
      </w:r>
      <w:r w:rsidRPr="009C01D5">
        <w:t>group, placebo and active-controlled trial in which aripiprazole was included as the positive control for the purpose of validating assay sensitivity. The submission noted that the trial was not powered for a direct comparison of cariprazine with aripiprazole</w:t>
      </w:r>
      <w:r w:rsidR="000B01B2" w:rsidRPr="009C01D5">
        <w:t>; the comparison with aripiprazole was conducted as a post-hoc analysis</w:t>
      </w:r>
      <w:r w:rsidRPr="009C01D5">
        <w:t>. No trials presenting direct comparison</w:t>
      </w:r>
      <w:r w:rsidR="00EB5750" w:rsidRPr="009C01D5">
        <w:t>s</w:t>
      </w:r>
      <w:r w:rsidRPr="009C01D5">
        <w:t xml:space="preserve"> of cariprazine and brexpiprazole were identified</w:t>
      </w:r>
      <w:r w:rsidR="009729BF" w:rsidRPr="009C01D5">
        <w:t xml:space="preserve"> in the submission</w:t>
      </w:r>
      <w:r w:rsidRPr="009C01D5">
        <w:t>.</w:t>
      </w:r>
    </w:p>
    <w:p w14:paraId="5018C022" w14:textId="77777777" w:rsidR="00A814C3" w:rsidRPr="009C01D5" w:rsidRDefault="00A814C3" w:rsidP="005B2B5E">
      <w:pPr>
        <w:pStyle w:val="3-BodyText"/>
      </w:pPr>
      <w:r w:rsidRPr="009C01D5">
        <w:t xml:space="preserve">The submission conducted an </w:t>
      </w:r>
      <w:r w:rsidR="009729BF" w:rsidRPr="009C01D5">
        <w:t>indirect treatment comparison (</w:t>
      </w:r>
      <w:r w:rsidR="002A7BB0" w:rsidRPr="009C01D5">
        <w:t>ITC</w:t>
      </w:r>
      <w:r w:rsidR="009729BF" w:rsidRPr="009C01D5">
        <w:t>)</w:t>
      </w:r>
      <w:r w:rsidRPr="009C01D5">
        <w:t xml:space="preserve"> </w:t>
      </w:r>
      <w:r w:rsidR="00971005" w:rsidRPr="009C01D5">
        <w:t>of cariprazine with aripiprazole and brexpiprazole</w:t>
      </w:r>
      <w:r w:rsidR="00447238" w:rsidRPr="009C01D5">
        <w:t>,</w:t>
      </w:r>
      <w:r w:rsidR="00971005" w:rsidRPr="009C01D5">
        <w:t xml:space="preserve"> with placebo as the common arm.</w:t>
      </w:r>
      <w:r w:rsidR="005B2B5E" w:rsidRPr="009C01D5">
        <w:t xml:space="preserve"> The ITC presented by the submission was based on the results of meta-analys</w:t>
      </w:r>
      <w:r w:rsidR="002A7BB0" w:rsidRPr="009C01D5">
        <w:t>e</w:t>
      </w:r>
      <w:r w:rsidR="005B2B5E" w:rsidRPr="009C01D5">
        <w:t xml:space="preserve">s </w:t>
      </w:r>
      <w:r w:rsidR="002A7BB0" w:rsidRPr="009C01D5">
        <w:t>o</w:t>
      </w:r>
      <w:r w:rsidR="005B2B5E" w:rsidRPr="009C01D5">
        <w:t>f the trials in the acute setting. No ITC analysis was performed for trials in the maintenance setting due to differences in trial design</w:t>
      </w:r>
      <w:r w:rsidR="005B2B5E" w:rsidRPr="009C01D5">
        <w:rPr>
          <w:i/>
        </w:rPr>
        <w:t xml:space="preserve">. </w:t>
      </w:r>
    </w:p>
    <w:p w14:paraId="608FB14A" w14:textId="77777777" w:rsidR="00936AB1" w:rsidRPr="009C01D5" w:rsidRDefault="00936AB1" w:rsidP="00936AB1">
      <w:pPr>
        <w:pStyle w:val="3-BodyText"/>
      </w:pPr>
      <w:r w:rsidRPr="009C01D5">
        <w:t xml:space="preserve">Details of the included studies are provided in Table 2. </w:t>
      </w:r>
      <w:r w:rsidRPr="009C01D5">
        <w:rPr>
          <w:iCs/>
        </w:rPr>
        <w:t xml:space="preserve">There were no </w:t>
      </w:r>
      <w:r w:rsidR="00EB5750" w:rsidRPr="009C01D5">
        <w:rPr>
          <w:iCs/>
        </w:rPr>
        <w:t xml:space="preserve">additional </w:t>
      </w:r>
      <w:r w:rsidRPr="009C01D5">
        <w:rPr>
          <w:iCs/>
        </w:rPr>
        <w:t>potentially relevant studies identified during the evaluation.</w:t>
      </w:r>
      <w:r w:rsidRPr="009C01D5">
        <w:rPr>
          <w:i/>
          <w:iCs/>
        </w:rPr>
        <w:t xml:space="preserve"> </w:t>
      </w:r>
    </w:p>
    <w:p w14:paraId="03915507" w14:textId="77777777" w:rsidR="00936AB1" w:rsidRPr="009C01D5" w:rsidRDefault="00936AB1" w:rsidP="000B59D0">
      <w:pPr>
        <w:pStyle w:val="Caption"/>
        <w:keepNext/>
        <w:spacing w:after="0"/>
        <w:contextualSpacing/>
        <w:jc w:val="left"/>
        <w:rPr>
          <w:rStyle w:val="CommentReference"/>
          <w:b/>
          <w:color w:val="auto"/>
          <w:szCs w:val="20"/>
        </w:rPr>
      </w:pPr>
      <w:bookmarkStart w:id="14" w:name="_Ref50100585"/>
      <w:r w:rsidRPr="009C01D5">
        <w:rPr>
          <w:rFonts w:ascii="Arial Narrow" w:hAnsi="Arial Narrow"/>
          <w:color w:val="auto"/>
          <w:sz w:val="20"/>
          <w:szCs w:val="20"/>
        </w:rPr>
        <w:t>Table</w:t>
      </w:r>
      <w:bookmarkEnd w:id="14"/>
      <w:r w:rsidRPr="009C01D5">
        <w:rPr>
          <w:rFonts w:ascii="Arial Narrow" w:hAnsi="Arial Narrow"/>
          <w:color w:val="auto"/>
          <w:sz w:val="20"/>
          <w:szCs w:val="20"/>
        </w:rPr>
        <w:t xml:space="preserve"> 2: </w:t>
      </w:r>
      <w:r w:rsidRPr="009C01D5">
        <w:rPr>
          <w:rStyle w:val="CommentReference"/>
          <w:b/>
          <w:color w:val="auto"/>
          <w:szCs w:val="20"/>
        </w:rPr>
        <w:t>Trials and associated reports presented in the submission</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36"/>
        <w:gridCol w:w="3543"/>
      </w:tblGrid>
      <w:tr w:rsidR="00936AB1" w:rsidRPr="009C01D5" w14:paraId="72C2C590" w14:textId="77777777" w:rsidTr="00FA4235">
        <w:trPr>
          <w:trHeight w:val="20"/>
          <w:tblHeader/>
        </w:trPr>
        <w:tc>
          <w:tcPr>
            <w:tcW w:w="1843" w:type="dxa"/>
            <w:tcBorders>
              <w:bottom w:val="single" w:sz="4" w:space="0" w:color="auto"/>
            </w:tcBorders>
          </w:tcPr>
          <w:p w14:paraId="7977ABA8" w14:textId="77777777" w:rsidR="00936AB1" w:rsidRPr="009C01D5" w:rsidRDefault="00936AB1" w:rsidP="002A7BB0">
            <w:pPr>
              <w:pStyle w:val="TableTitlecentred"/>
              <w:keepNext/>
              <w:contextualSpacing/>
              <w:rPr>
                <w:rFonts w:ascii="Arial Narrow" w:hAnsi="Arial Narrow"/>
                <w:sz w:val="20"/>
              </w:rPr>
            </w:pPr>
            <w:r w:rsidRPr="009C01D5">
              <w:rPr>
                <w:rFonts w:ascii="Arial Narrow" w:hAnsi="Arial Narrow"/>
                <w:sz w:val="20"/>
              </w:rPr>
              <w:t>Trial identifier (ID)</w:t>
            </w:r>
          </w:p>
        </w:tc>
        <w:tc>
          <w:tcPr>
            <w:tcW w:w="3636" w:type="dxa"/>
            <w:tcBorders>
              <w:bottom w:val="single" w:sz="4" w:space="0" w:color="auto"/>
            </w:tcBorders>
          </w:tcPr>
          <w:p w14:paraId="7F013C1F" w14:textId="77777777" w:rsidR="00936AB1" w:rsidRPr="009C01D5" w:rsidRDefault="00936AB1" w:rsidP="002A7BB0">
            <w:pPr>
              <w:pStyle w:val="TableTitlecentred"/>
              <w:keepNext/>
              <w:contextualSpacing/>
              <w:rPr>
                <w:rFonts w:ascii="Arial Narrow" w:hAnsi="Arial Narrow"/>
                <w:sz w:val="20"/>
              </w:rPr>
            </w:pPr>
            <w:r w:rsidRPr="009C01D5">
              <w:rPr>
                <w:rFonts w:ascii="Arial Narrow" w:hAnsi="Arial Narrow"/>
                <w:sz w:val="20"/>
              </w:rPr>
              <w:t>Protocol title/Publication title</w:t>
            </w:r>
          </w:p>
        </w:tc>
        <w:tc>
          <w:tcPr>
            <w:tcW w:w="3543" w:type="dxa"/>
            <w:tcBorders>
              <w:bottom w:val="single" w:sz="4" w:space="0" w:color="auto"/>
            </w:tcBorders>
          </w:tcPr>
          <w:p w14:paraId="6D6C6745" w14:textId="77777777" w:rsidR="00936AB1" w:rsidRPr="009C01D5" w:rsidRDefault="00936AB1" w:rsidP="002A7BB0">
            <w:pPr>
              <w:pStyle w:val="TableTitlecentred"/>
              <w:keepNext/>
              <w:contextualSpacing/>
              <w:rPr>
                <w:rFonts w:ascii="Arial Narrow" w:hAnsi="Arial Narrow"/>
                <w:sz w:val="20"/>
              </w:rPr>
            </w:pPr>
            <w:r w:rsidRPr="009C01D5">
              <w:rPr>
                <w:rFonts w:ascii="Arial Narrow" w:hAnsi="Arial Narrow"/>
                <w:sz w:val="20"/>
              </w:rPr>
              <w:t>Publication citation</w:t>
            </w:r>
          </w:p>
        </w:tc>
      </w:tr>
      <w:tr w:rsidR="00936AB1" w:rsidRPr="009C01D5" w14:paraId="78C4192E" w14:textId="77777777" w:rsidTr="00FA4235">
        <w:trPr>
          <w:trHeight w:val="20"/>
        </w:trPr>
        <w:tc>
          <w:tcPr>
            <w:tcW w:w="9022" w:type="dxa"/>
            <w:gridSpan w:val="3"/>
            <w:tcBorders>
              <w:top w:val="single" w:sz="4" w:space="0" w:color="auto"/>
              <w:left w:val="single" w:sz="4" w:space="0" w:color="auto"/>
              <w:bottom w:val="nil"/>
              <w:right w:val="single" w:sz="4" w:space="0" w:color="auto"/>
            </w:tcBorders>
          </w:tcPr>
          <w:p w14:paraId="35221D20"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Trials in adults with an acute exacerbation of schizophrenia</w:t>
            </w:r>
          </w:p>
        </w:tc>
      </w:tr>
      <w:tr w:rsidR="00936AB1" w:rsidRPr="009C01D5" w14:paraId="25D66A83" w14:textId="77777777" w:rsidTr="00FA4235">
        <w:trPr>
          <w:trHeight w:val="20"/>
        </w:trPr>
        <w:tc>
          <w:tcPr>
            <w:tcW w:w="9022" w:type="dxa"/>
            <w:gridSpan w:val="3"/>
            <w:tcBorders>
              <w:top w:val="single" w:sz="4" w:space="0" w:color="auto"/>
              <w:left w:val="single" w:sz="4" w:space="0" w:color="auto"/>
              <w:bottom w:val="nil"/>
              <w:right w:val="single" w:sz="4" w:space="0" w:color="auto"/>
            </w:tcBorders>
          </w:tcPr>
          <w:p w14:paraId="160701A2"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Direct randomised trial (s) comparing cariprazine with aripiprazole</w:t>
            </w:r>
          </w:p>
        </w:tc>
      </w:tr>
      <w:tr w:rsidR="00936AB1" w:rsidRPr="009C01D5" w14:paraId="56CBC4BD" w14:textId="77777777" w:rsidTr="00FA4235">
        <w:trPr>
          <w:trHeight w:val="20"/>
        </w:trPr>
        <w:tc>
          <w:tcPr>
            <w:tcW w:w="1843" w:type="dxa"/>
            <w:tcBorders>
              <w:top w:val="single" w:sz="4" w:space="0" w:color="auto"/>
              <w:left w:val="single" w:sz="4" w:space="0" w:color="auto"/>
              <w:bottom w:val="nil"/>
              <w:right w:val="single" w:sz="4" w:space="0" w:color="auto"/>
            </w:tcBorders>
          </w:tcPr>
          <w:p w14:paraId="2DC0E215" w14:textId="77777777" w:rsidR="00936AB1" w:rsidRPr="009C01D5" w:rsidRDefault="00936AB1" w:rsidP="002A7BB0">
            <w:pPr>
              <w:pStyle w:val="TableTextleftalign"/>
              <w:rPr>
                <w:rFonts w:ascii="Arial Narrow" w:hAnsi="Arial Narrow"/>
                <w:b/>
                <w:sz w:val="20"/>
                <w:szCs w:val="20"/>
                <w:vertAlign w:val="superscript"/>
              </w:rPr>
            </w:pPr>
            <w:r w:rsidRPr="009C01D5">
              <w:rPr>
                <w:rFonts w:ascii="Arial Narrow" w:hAnsi="Arial Narrow"/>
                <w:sz w:val="20"/>
                <w:szCs w:val="20"/>
              </w:rPr>
              <w:t>RGH-MD-04</w:t>
            </w:r>
            <w:r w:rsidR="00F344A0" w:rsidRPr="009C01D5">
              <w:rPr>
                <w:rFonts w:ascii="Arial Narrow" w:hAnsi="Arial Narrow"/>
                <w:sz w:val="20"/>
                <w:szCs w:val="20"/>
                <w:vertAlign w:val="superscript"/>
              </w:rPr>
              <w:t>1</w:t>
            </w:r>
          </w:p>
        </w:tc>
        <w:tc>
          <w:tcPr>
            <w:tcW w:w="3636" w:type="dxa"/>
            <w:tcBorders>
              <w:top w:val="single" w:sz="4" w:space="0" w:color="auto"/>
              <w:left w:val="single" w:sz="4" w:space="0" w:color="auto"/>
              <w:bottom w:val="nil"/>
              <w:right w:val="single" w:sz="4" w:space="0" w:color="auto"/>
            </w:tcBorders>
          </w:tcPr>
          <w:p w14:paraId="5BAE05D6"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A Double-Blind, Placebo and Active-Controlled Evaluation of the Safety and Efficacy of Cariprazine in the Acute Exacerbation of Schizophrenia. </w:t>
            </w:r>
          </w:p>
        </w:tc>
        <w:tc>
          <w:tcPr>
            <w:tcW w:w="3543" w:type="dxa"/>
            <w:tcBorders>
              <w:top w:val="single" w:sz="4" w:space="0" w:color="auto"/>
              <w:left w:val="single" w:sz="4" w:space="0" w:color="auto"/>
              <w:bottom w:val="nil"/>
              <w:right w:val="single" w:sz="4" w:space="0" w:color="auto"/>
            </w:tcBorders>
          </w:tcPr>
          <w:p w14:paraId="3E22C426"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April 2010</w:t>
            </w:r>
          </w:p>
        </w:tc>
      </w:tr>
      <w:tr w:rsidR="00936AB1" w:rsidRPr="009C01D5" w14:paraId="78A05C7E" w14:textId="77777777" w:rsidTr="00FA4235">
        <w:trPr>
          <w:trHeight w:val="20"/>
        </w:trPr>
        <w:tc>
          <w:tcPr>
            <w:tcW w:w="1843" w:type="dxa"/>
            <w:tcBorders>
              <w:top w:val="nil"/>
              <w:left w:val="single" w:sz="4" w:space="0" w:color="auto"/>
              <w:bottom w:val="nil"/>
              <w:right w:val="single" w:sz="4" w:space="0" w:color="auto"/>
            </w:tcBorders>
          </w:tcPr>
          <w:p w14:paraId="624765D1"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nil"/>
              <w:right w:val="single" w:sz="4" w:space="0" w:color="auto"/>
            </w:tcBorders>
          </w:tcPr>
          <w:p w14:paraId="6819F6FD"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Durgam et al. Cariprazine in acute exacerbation of schizophrenia: a fixed-dose, phase 3, randomized, double-blind, placebo- and active-controlled trial</w:t>
            </w:r>
          </w:p>
        </w:tc>
        <w:tc>
          <w:tcPr>
            <w:tcW w:w="3543" w:type="dxa"/>
            <w:tcBorders>
              <w:top w:val="nil"/>
              <w:left w:val="single" w:sz="4" w:space="0" w:color="auto"/>
              <w:bottom w:val="nil"/>
              <w:right w:val="single" w:sz="4" w:space="0" w:color="auto"/>
            </w:tcBorders>
          </w:tcPr>
          <w:p w14:paraId="47252F9C"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i/>
                <w:sz w:val="20"/>
                <w:szCs w:val="20"/>
              </w:rPr>
              <w:t xml:space="preserve"> </w:t>
            </w:r>
            <w:r w:rsidRPr="009C01D5">
              <w:rPr>
                <w:rFonts w:ascii="Arial Narrow" w:hAnsi="Arial Narrow"/>
                <w:sz w:val="20"/>
                <w:szCs w:val="20"/>
              </w:rPr>
              <w:t>J Clin Psychiatry, 2015;</w:t>
            </w:r>
            <w:r w:rsidR="005B06F3" w:rsidRPr="009C01D5">
              <w:rPr>
                <w:rFonts w:ascii="Arial Narrow" w:hAnsi="Arial Narrow"/>
                <w:sz w:val="20"/>
                <w:szCs w:val="20"/>
              </w:rPr>
              <w:t xml:space="preserve"> </w:t>
            </w:r>
            <w:r w:rsidRPr="009C01D5">
              <w:rPr>
                <w:rFonts w:ascii="Arial Narrow" w:hAnsi="Arial Narrow"/>
                <w:sz w:val="20"/>
                <w:szCs w:val="20"/>
              </w:rPr>
              <w:t>76(12): e1574-1582.</w:t>
            </w:r>
          </w:p>
        </w:tc>
      </w:tr>
      <w:tr w:rsidR="00936AB1" w:rsidRPr="009C01D5" w14:paraId="5E786160" w14:textId="77777777" w:rsidTr="00FA4235">
        <w:trPr>
          <w:trHeight w:val="20"/>
        </w:trPr>
        <w:tc>
          <w:tcPr>
            <w:tcW w:w="1843" w:type="dxa"/>
            <w:tcBorders>
              <w:top w:val="nil"/>
              <w:left w:val="single" w:sz="4" w:space="0" w:color="auto"/>
              <w:bottom w:val="single" w:sz="4" w:space="0" w:color="auto"/>
              <w:right w:val="single" w:sz="4" w:space="0" w:color="auto"/>
            </w:tcBorders>
          </w:tcPr>
          <w:p w14:paraId="3B095266"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6FAADA02"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A Double-Blind, Placebo and Active-Controlled Evaluation of the Safety and Efficacy of Cariprazine in the Acute Exacerbation of Schizophrenia. </w:t>
            </w:r>
          </w:p>
        </w:tc>
        <w:tc>
          <w:tcPr>
            <w:tcW w:w="3543" w:type="dxa"/>
            <w:tcBorders>
              <w:top w:val="nil"/>
              <w:left w:val="single" w:sz="4" w:space="0" w:color="auto"/>
              <w:bottom w:val="single" w:sz="4" w:space="0" w:color="auto"/>
              <w:right w:val="single" w:sz="4" w:space="0" w:color="auto"/>
            </w:tcBorders>
          </w:tcPr>
          <w:p w14:paraId="087A7F75"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Clinicaltrials.gov NCT01104766; ICTRP No. 7450897</w:t>
            </w:r>
          </w:p>
        </w:tc>
      </w:tr>
      <w:tr w:rsidR="00936AB1" w:rsidRPr="009C01D5" w14:paraId="6D88AB72" w14:textId="77777777" w:rsidTr="00FA4235">
        <w:trPr>
          <w:trHeight w:val="20"/>
        </w:trPr>
        <w:tc>
          <w:tcPr>
            <w:tcW w:w="9022" w:type="dxa"/>
            <w:gridSpan w:val="3"/>
            <w:tcBorders>
              <w:top w:val="nil"/>
              <w:left w:val="single" w:sz="4" w:space="0" w:color="auto"/>
              <w:bottom w:val="single" w:sz="4" w:space="0" w:color="auto"/>
              <w:right w:val="single" w:sz="4" w:space="0" w:color="auto"/>
            </w:tcBorders>
          </w:tcPr>
          <w:p w14:paraId="4B3C90B7"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 xml:space="preserve">Indirect comparison of cariprazine with aripiprazole and brexpiprazole in acute settings using placebo common reference </w:t>
            </w:r>
          </w:p>
        </w:tc>
      </w:tr>
      <w:tr w:rsidR="00936AB1" w:rsidRPr="009C01D5" w14:paraId="67CBC26C" w14:textId="77777777" w:rsidTr="00FA4235">
        <w:trPr>
          <w:trHeight w:val="20"/>
        </w:trPr>
        <w:tc>
          <w:tcPr>
            <w:tcW w:w="9022" w:type="dxa"/>
            <w:gridSpan w:val="3"/>
            <w:tcBorders>
              <w:top w:val="nil"/>
              <w:left w:val="single" w:sz="4" w:space="0" w:color="auto"/>
              <w:bottom w:val="single" w:sz="4" w:space="0" w:color="auto"/>
              <w:right w:val="single" w:sz="4" w:space="0" w:color="auto"/>
            </w:tcBorders>
          </w:tcPr>
          <w:p w14:paraId="2F2634FE"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 xml:space="preserve">Cariprazine </w:t>
            </w:r>
          </w:p>
        </w:tc>
      </w:tr>
      <w:tr w:rsidR="00936AB1" w:rsidRPr="009C01D5" w14:paraId="5DC201CF" w14:textId="77777777" w:rsidTr="00FA4235">
        <w:trPr>
          <w:trHeight w:val="20"/>
        </w:trPr>
        <w:tc>
          <w:tcPr>
            <w:tcW w:w="1843" w:type="dxa"/>
            <w:tcBorders>
              <w:top w:val="single" w:sz="4" w:space="0" w:color="auto"/>
              <w:left w:val="single" w:sz="4" w:space="0" w:color="auto"/>
              <w:bottom w:val="nil"/>
              <w:right w:val="single" w:sz="4" w:space="0" w:color="auto"/>
            </w:tcBorders>
          </w:tcPr>
          <w:p w14:paraId="0EEE9463"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RGH-MD-03</w:t>
            </w:r>
          </w:p>
        </w:tc>
        <w:tc>
          <w:tcPr>
            <w:tcW w:w="3636" w:type="dxa"/>
            <w:tcBorders>
              <w:top w:val="single" w:sz="4" w:space="0" w:color="auto"/>
              <w:left w:val="single" w:sz="4" w:space="0" w:color="auto"/>
              <w:bottom w:val="nil"/>
              <w:right w:val="single" w:sz="4" w:space="0" w:color="auto"/>
            </w:tcBorders>
          </w:tcPr>
          <w:p w14:paraId="71BF43B2"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 Double-Blind Placebo-Controlled Evaluation of the Safety and Efficacy of RGH-188 in the Acute Exacerbation of Schizophrenia.</w:t>
            </w:r>
          </w:p>
        </w:tc>
        <w:tc>
          <w:tcPr>
            <w:tcW w:w="3543" w:type="dxa"/>
            <w:tcBorders>
              <w:top w:val="single" w:sz="4" w:space="0" w:color="auto"/>
              <w:left w:val="single" w:sz="4" w:space="0" w:color="auto"/>
              <w:bottom w:val="nil"/>
              <w:right w:val="single" w:sz="4" w:space="0" w:color="auto"/>
            </w:tcBorders>
          </w:tcPr>
          <w:p w14:paraId="51950A8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August 2007</w:t>
            </w:r>
          </w:p>
        </w:tc>
      </w:tr>
      <w:tr w:rsidR="00936AB1" w:rsidRPr="009C01D5" w14:paraId="7D9BB412" w14:textId="77777777" w:rsidTr="00FA4235">
        <w:trPr>
          <w:trHeight w:val="20"/>
        </w:trPr>
        <w:tc>
          <w:tcPr>
            <w:tcW w:w="1843" w:type="dxa"/>
            <w:tcBorders>
              <w:top w:val="nil"/>
              <w:left w:val="single" w:sz="4" w:space="0" w:color="auto"/>
              <w:bottom w:val="nil"/>
              <w:right w:val="single" w:sz="4" w:space="0" w:color="auto"/>
            </w:tcBorders>
          </w:tcPr>
          <w:p w14:paraId="76CC4C72"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nil"/>
              <w:right w:val="single" w:sz="4" w:space="0" w:color="auto"/>
            </w:tcBorders>
          </w:tcPr>
          <w:p w14:paraId="169DA0FC"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Durgam et al. Cariprazine in the treatment of schizophrenia:  a proof-of concept trial. </w:t>
            </w:r>
          </w:p>
        </w:tc>
        <w:tc>
          <w:tcPr>
            <w:tcW w:w="3543" w:type="dxa"/>
            <w:tcBorders>
              <w:top w:val="nil"/>
              <w:left w:val="single" w:sz="4" w:space="0" w:color="auto"/>
              <w:bottom w:val="nil"/>
              <w:right w:val="single" w:sz="4" w:space="0" w:color="auto"/>
            </w:tcBorders>
          </w:tcPr>
          <w:p w14:paraId="3835A8DB"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International Clinical Psychopharmacology, 2016;31(2):61-68</w:t>
            </w:r>
          </w:p>
        </w:tc>
      </w:tr>
      <w:tr w:rsidR="00936AB1" w:rsidRPr="009C01D5" w14:paraId="2B4DCB2F" w14:textId="77777777" w:rsidTr="00FA4235">
        <w:trPr>
          <w:trHeight w:val="20"/>
        </w:trPr>
        <w:tc>
          <w:tcPr>
            <w:tcW w:w="1843" w:type="dxa"/>
            <w:tcBorders>
              <w:top w:val="nil"/>
              <w:left w:val="single" w:sz="4" w:space="0" w:color="auto"/>
              <w:bottom w:val="single" w:sz="4" w:space="0" w:color="auto"/>
              <w:right w:val="single" w:sz="4" w:space="0" w:color="auto"/>
            </w:tcBorders>
          </w:tcPr>
          <w:p w14:paraId="59580090"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201A6F0E"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Study evaluating RGH-188 in the treatment of patients with schizophrenia. [No results posted]</w:t>
            </w:r>
          </w:p>
        </w:tc>
        <w:tc>
          <w:tcPr>
            <w:tcW w:w="3543" w:type="dxa"/>
            <w:tcBorders>
              <w:top w:val="nil"/>
              <w:left w:val="single" w:sz="4" w:space="0" w:color="auto"/>
              <w:bottom w:val="single" w:sz="4" w:space="0" w:color="auto"/>
              <w:right w:val="single" w:sz="4" w:space="0" w:color="auto"/>
            </w:tcBorders>
          </w:tcPr>
          <w:p w14:paraId="31231E4A"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Clinicaltrials.gov NCT00404573 </w:t>
            </w:r>
          </w:p>
        </w:tc>
      </w:tr>
      <w:tr w:rsidR="00936AB1" w:rsidRPr="009C01D5" w14:paraId="5B237BE8" w14:textId="77777777" w:rsidTr="00FA4235">
        <w:trPr>
          <w:trHeight w:val="20"/>
        </w:trPr>
        <w:tc>
          <w:tcPr>
            <w:tcW w:w="1843" w:type="dxa"/>
            <w:tcBorders>
              <w:top w:val="single" w:sz="4" w:space="0" w:color="auto"/>
              <w:left w:val="single" w:sz="4" w:space="0" w:color="auto"/>
              <w:bottom w:val="nil"/>
              <w:right w:val="single" w:sz="4" w:space="0" w:color="auto"/>
            </w:tcBorders>
          </w:tcPr>
          <w:p w14:paraId="62789CCB" w14:textId="77777777" w:rsidR="00936AB1" w:rsidRPr="009C01D5" w:rsidRDefault="00936AB1" w:rsidP="002A7BB0">
            <w:pPr>
              <w:pStyle w:val="TableTextleftalign"/>
              <w:rPr>
                <w:rFonts w:ascii="Arial Narrow" w:hAnsi="Arial Narrow"/>
                <w:sz w:val="20"/>
                <w:szCs w:val="20"/>
                <w:highlight w:val="yellow"/>
              </w:rPr>
            </w:pPr>
            <w:r w:rsidRPr="009C01D5">
              <w:rPr>
                <w:rFonts w:ascii="Arial Narrow" w:hAnsi="Arial Narrow"/>
                <w:sz w:val="20"/>
                <w:szCs w:val="20"/>
              </w:rPr>
              <w:t>RGH-MD-05</w:t>
            </w:r>
          </w:p>
        </w:tc>
        <w:tc>
          <w:tcPr>
            <w:tcW w:w="3636" w:type="dxa"/>
            <w:tcBorders>
              <w:top w:val="single" w:sz="4" w:space="0" w:color="auto"/>
              <w:left w:val="single" w:sz="4" w:space="0" w:color="auto"/>
              <w:bottom w:val="nil"/>
              <w:right w:val="single" w:sz="4" w:space="0" w:color="auto"/>
            </w:tcBorders>
          </w:tcPr>
          <w:p w14:paraId="482405F7"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 Double-Blind, Placebo and Active-Controlled Evaluation of the Safety and Efficacy of Cariprazine in the Acute Exacerbation of Schizophrenia.</w:t>
            </w:r>
          </w:p>
        </w:tc>
        <w:tc>
          <w:tcPr>
            <w:tcW w:w="3543" w:type="dxa"/>
            <w:tcBorders>
              <w:top w:val="single" w:sz="4" w:space="0" w:color="auto"/>
              <w:left w:val="single" w:sz="4" w:space="0" w:color="auto"/>
              <w:bottom w:val="nil"/>
              <w:right w:val="single" w:sz="4" w:space="0" w:color="auto"/>
            </w:tcBorders>
          </w:tcPr>
          <w:p w14:paraId="2905B5FD"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April 2010</w:t>
            </w:r>
          </w:p>
        </w:tc>
      </w:tr>
      <w:tr w:rsidR="00936AB1" w:rsidRPr="009C01D5" w14:paraId="3C9C89C7" w14:textId="77777777" w:rsidTr="00FA4235">
        <w:trPr>
          <w:trHeight w:val="20"/>
        </w:trPr>
        <w:tc>
          <w:tcPr>
            <w:tcW w:w="1843" w:type="dxa"/>
            <w:tcBorders>
              <w:top w:val="nil"/>
              <w:left w:val="single" w:sz="4" w:space="0" w:color="auto"/>
              <w:bottom w:val="nil"/>
              <w:right w:val="single" w:sz="4" w:space="0" w:color="auto"/>
            </w:tcBorders>
          </w:tcPr>
          <w:p w14:paraId="7B555AAE"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nil"/>
              <w:right w:val="single" w:sz="4" w:space="0" w:color="auto"/>
            </w:tcBorders>
          </w:tcPr>
          <w:p w14:paraId="1484B887"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Kane et al. Efficacy and Safety of Cariprazine in Acute Exacerbation of Schizophrenia. Results from an International, Phase III Clinical Trial.</w:t>
            </w:r>
          </w:p>
        </w:tc>
        <w:tc>
          <w:tcPr>
            <w:tcW w:w="3543" w:type="dxa"/>
            <w:tcBorders>
              <w:top w:val="nil"/>
              <w:left w:val="single" w:sz="4" w:space="0" w:color="auto"/>
              <w:bottom w:val="nil"/>
              <w:right w:val="single" w:sz="4" w:space="0" w:color="auto"/>
            </w:tcBorders>
          </w:tcPr>
          <w:p w14:paraId="42A7DB80"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Journal of Clinical Psychopharmacology, 2015;35(4):367-373</w:t>
            </w:r>
          </w:p>
        </w:tc>
      </w:tr>
      <w:tr w:rsidR="00936AB1" w:rsidRPr="009C01D5" w14:paraId="2BB797F0" w14:textId="77777777" w:rsidTr="00FA4235">
        <w:trPr>
          <w:trHeight w:val="20"/>
        </w:trPr>
        <w:tc>
          <w:tcPr>
            <w:tcW w:w="1843" w:type="dxa"/>
            <w:tcBorders>
              <w:top w:val="nil"/>
              <w:left w:val="single" w:sz="4" w:space="0" w:color="auto"/>
              <w:bottom w:val="single" w:sz="4" w:space="0" w:color="auto"/>
              <w:right w:val="single" w:sz="4" w:space="0" w:color="auto"/>
            </w:tcBorders>
          </w:tcPr>
          <w:p w14:paraId="5C5E6DAF"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2DA2BCF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A double-blind, placebo-controlled evaluation of the safety and efficacy of cariprazine in the acute exacerbation of schizophrenia. </w:t>
            </w:r>
          </w:p>
        </w:tc>
        <w:tc>
          <w:tcPr>
            <w:tcW w:w="3543" w:type="dxa"/>
            <w:tcBorders>
              <w:top w:val="nil"/>
              <w:left w:val="single" w:sz="4" w:space="0" w:color="auto"/>
              <w:bottom w:val="single" w:sz="4" w:space="0" w:color="auto"/>
              <w:right w:val="single" w:sz="4" w:space="0" w:color="auto"/>
            </w:tcBorders>
          </w:tcPr>
          <w:p w14:paraId="57387399"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Clinicaltrials.gov NCT01104779; ICTRP No. 8717948, 4673768</w:t>
            </w:r>
          </w:p>
        </w:tc>
      </w:tr>
      <w:tr w:rsidR="00936AB1" w:rsidRPr="009C01D5" w14:paraId="31DF0469" w14:textId="77777777" w:rsidTr="00FA4235">
        <w:trPr>
          <w:trHeight w:val="20"/>
        </w:trPr>
        <w:tc>
          <w:tcPr>
            <w:tcW w:w="1843" w:type="dxa"/>
            <w:tcBorders>
              <w:top w:val="single" w:sz="4" w:space="0" w:color="auto"/>
              <w:left w:val="single" w:sz="4" w:space="0" w:color="auto"/>
              <w:bottom w:val="nil"/>
              <w:right w:val="single" w:sz="4" w:space="0" w:color="auto"/>
            </w:tcBorders>
          </w:tcPr>
          <w:p w14:paraId="3D4CA67B" w14:textId="77777777" w:rsidR="00936AB1" w:rsidRPr="009C01D5" w:rsidRDefault="00936AB1" w:rsidP="002A7BB0">
            <w:pPr>
              <w:pStyle w:val="TableTextleftalign"/>
              <w:rPr>
                <w:rFonts w:ascii="Arial Narrow" w:hAnsi="Arial Narrow"/>
                <w:sz w:val="20"/>
                <w:szCs w:val="20"/>
                <w:highlight w:val="yellow"/>
              </w:rPr>
            </w:pPr>
            <w:r w:rsidRPr="009C01D5">
              <w:rPr>
                <w:rFonts w:ascii="Arial Narrow" w:hAnsi="Arial Narrow"/>
                <w:sz w:val="20"/>
                <w:szCs w:val="20"/>
              </w:rPr>
              <w:t>RGH-MD-16</w:t>
            </w:r>
          </w:p>
        </w:tc>
        <w:tc>
          <w:tcPr>
            <w:tcW w:w="3636" w:type="dxa"/>
            <w:tcBorders>
              <w:top w:val="single" w:sz="4" w:space="0" w:color="auto"/>
              <w:left w:val="single" w:sz="4" w:space="0" w:color="auto"/>
              <w:bottom w:val="nil"/>
              <w:right w:val="single" w:sz="4" w:space="0" w:color="auto"/>
            </w:tcBorders>
          </w:tcPr>
          <w:p w14:paraId="409BA3C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Evaluation of the Safety and Efficacy of RGH-188 in the Acute Exacerbation of Schizophrenia.</w:t>
            </w:r>
          </w:p>
          <w:p w14:paraId="2DE72D76" w14:textId="77777777" w:rsidR="00936AB1" w:rsidRPr="009C01D5" w:rsidRDefault="00936AB1" w:rsidP="002A7BB0">
            <w:pPr>
              <w:pStyle w:val="TableTextleftalign"/>
              <w:rPr>
                <w:rFonts w:ascii="Arial Narrow" w:hAnsi="Arial Narrow"/>
                <w:sz w:val="20"/>
                <w:szCs w:val="20"/>
                <w:u w:val="single"/>
              </w:rPr>
            </w:pPr>
          </w:p>
          <w:p w14:paraId="18C7E0BC" w14:textId="77777777" w:rsidR="00936AB1" w:rsidRPr="009C01D5" w:rsidRDefault="00936AB1" w:rsidP="002A7BB0">
            <w:pPr>
              <w:pStyle w:val="TableTextleftalign"/>
              <w:rPr>
                <w:rFonts w:ascii="Arial Narrow" w:hAnsi="Arial Narrow"/>
                <w:sz w:val="20"/>
                <w:szCs w:val="20"/>
              </w:rPr>
            </w:pPr>
          </w:p>
        </w:tc>
        <w:tc>
          <w:tcPr>
            <w:tcW w:w="3543" w:type="dxa"/>
            <w:tcBorders>
              <w:top w:val="single" w:sz="4" w:space="0" w:color="auto"/>
              <w:left w:val="single" w:sz="4" w:space="0" w:color="auto"/>
              <w:bottom w:val="nil"/>
              <w:right w:val="single" w:sz="4" w:space="0" w:color="auto"/>
            </w:tcBorders>
          </w:tcPr>
          <w:p w14:paraId="4705501B"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June 2008</w:t>
            </w:r>
          </w:p>
        </w:tc>
      </w:tr>
      <w:tr w:rsidR="00936AB1" w:rsidRPr="009C01D5" w14:paraId="3DB660FD" w14:textId="77777777" w:rsidTr="00FA4235">
        <w:trPr>
          <w:trHeight w:val="20"/>
        </w:trPr>
        <w:tc>
          <w:tcPr>
            <w:tcW w:w="1843" w:type="dxa"/>
            <w:tcBorders>
              <w:top w:val="nil"/>
              <w:left w:val="single" w:sz="4" w:space="0" w:color="auto"/>
              <w:bottom w:val="nil"/>
              <w:right w:val="single" w:sz="4" w:space="0" w:color="auto"/>
            </w:tcBorders>
          </w:tcPr>
          <w:p w14:paraId="53B8F980"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nil"/>
              <w:right w:val="single" w:sz="4" w:space="0" w:color="auto"/>
            </w:tcBorders>
          </w:tcPr>
          <w:p w14:paraId="7A4876AB"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Durgam et al. An evaluation of the safety and efficacy of cariprazine in patients with acute exacerbation of schizophrenia: A phase II, randomized clinical trial.</w:t>
            </w:r>
          </w:p>
        </w:tc>
        <w:tc>
          <w:tcPr>
            <w:tcW w:w="3543" w:type="dxa"/>
            <w:tcBorders>
              <w:top w:val="nil"/>
              <w:left w:val="single" w:sz="4" w:space="0" w:color="auto"/>
              <w:bottom w:val="nil"/>
              <w:right w:val="single" w:sz="4" w:space="0" w:color="auto"/>
            </w:tcBorders>
          </w:tcPr>
          <w:p w14:paraId="48FD6FC9"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Schizophrenia Research, 2014;152:450-457</w:t>
            </w:r>
          </w:p>
        </w:tc>
      </w:tr>
      <w:tr w:rsidR="00936AB1" w:rsidRPr="009C01D5" w14:paraId="315AFF5D" w14:textId="77777777" w:rsidTr="00FA4235">
        <w:trPr>
          <w:trHeight w:val="20"/>
        </w:trPr>
        <w:tc>
          <w:tcPr>
            <w:tcW w:w="1843" w:type="dxa"/>
            <w:tcBorders>
              <w:top w:val="nil"/>
              <w:left w:val="single" w:sz="4" w:space="0" w:color="auto"/>
              <w:bottom w:val="single" w:sz="4" w:space="0" w:color="auto"/>
              <w:right w:val="single" w:sz="4" w:space="0" w:color="auto"/>
            </w:tcBorders>
          </w:tcPr>
          <w:p w14:paraId="18B3A420"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3EAC2DC7"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Safety and efficacy of cariprazine (RGH-188) in the acute exacerbation of schizophrenia </w:t>
            </w:r>
          </w:p>
        </w:tc>
        <w:tc>
          <w:tcPr>
            <w:tcW w:w="3543" w:type="dxa"/>
            <w:tcBorders>
              <w:top w:val="nil"/>
              <w:left w:val="single" w:sz="4" w:space="0" w:color="auto"/>
              <w:bottom w:val="single" w:sz="4" w:space="0" w:color="auto"/>
              <w:right w:val="single" w:sz="4" w:space="0" w:color="auto"/>
            </w:tcBorders>
          </w:tcPr>
          <w:p w14:paraId="6E64F013" w14:textId="77777777" w:rsidR="00936AB1" w:rsidRPr="009C01D5" w:rsidRDefault="00936AB1" w:rsidP="002A7BB0">
            <w:pPr>
              <w:pStyle w:val="TableTextleftalign"/>
              <w:rPr>
                <w:rFonts w:ascii="Arial Narrow" w:hAnsi="Arial Narrow"/>
                <w:sz w:val="20"/>
                <w:szCs w:val="20"/>
                <w:u w:val="single"/>
              </w:rPr>
            </w:pPr>
            <w:r w:rsidRPr="009C01D5">
              <w:rPr>
                <w:rFonts w:ascii="Arial Narrow" w:hAnsi="Arial Narrow"/>
                <w:sz w:val="20"/>
                <w:szCs w:val="20"/>
              </w:rPr>
              <w:t>Clinicaltrials.gov NCT00694707</w:t>
            </w:r>
          </w:p>
        </w:tc>
      </w:tr>
      <w:tr w:rsidR="00936AB1" w:rsidRPr="009C01D5" w14:paraId="1E6DBC29" w14:textId="77777777" w:rsidTr="00BD78AF">
        <w:trPr>
          <w:trHeight w:val="20"/>
        </w:trPr>
        <w:tc>
          <w:tcPr>
            <w:tcW w:w="9022" w:type="dxa"/>
            <w:gridSpan w:val="3"/>
            <w:tcBorders>
              <w:top w:val="single" w:sz="4" w:space="0" w:color="auto"/>
              <w:left w:val="single" w:sz="4" w:space="0" w:color="auto"/>
              <w:bottom w:val="single" w:sz="4" w:space="0" w:color="auto"/>
              <w:right w:val="single" w:sz="4" w:space="0" w:color="auto"/>
            </w:tcBorders>
          </w:tcPr>
          <w:p w14:paraId="0B03735F"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Aripiprazole</w:t>
            </w:r>
          </w:p>
        </w:tc>
      </w:tr>
      <w:tr w:rsidR="00936AB1" w:rsidRPr="009C01D5" w14:paraId="7C064A86" w14:textId="77777777" w:rsidTr="00FA4235">
        <w:trPr>
          <w:trHeight w:val="20"/>
        </w:trPr>
        <w:tc>
          <w:tcPr>
            <w:tcW w:w="1843" w:type="dxa"/>
            <w:tcBorders>
              <w:top w:val="nil"/>
              <w:left w:val="single" w:sz="4" w:space="0" w:color="auto"/>
              <w:bottom w:val="single" w:sz="4" w:space="0" w:color="auto"/>
              <w:right w:val="single" w:sz="4" w:space="0" w:color="auto"/>
            </w:tcBorders>
          </w:tcPr>
          <w:p w14:paraId="72D830A8"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Kane (2002)</w:t>
            </w:r>
          </w:p>
        </w:tc>
        <w:tc>
          <w:tcPr>
            <w:tcW w:w="3636" w:type="dxa"/>
            <w:tcBorders>
              <w:top w:val="nil"/>
              <w:left w:val="single" w:sz="4" w:space="0" w:color="auto"/>
              <w:bottom w:val="single" w:sz="4" w:space="0" w:color="auto"/>
              <w:right w:val="single" w:sz="4" w:space="0" w:color="auto"/>
            </w:tcBorders>
          </w:tcPr>
          <w:p w14:paraId="6ACF8CF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Kane et al. Efficacy and Safety of Aripiprazole and Haloperidol Versus Placebo in Patients with Schizophrenia and Schizoaffective Disorder. </w:t>
            </w:r>
          </w:p>
        </w:tc>
        <w:tc>
          <w:tcPr>
            <w:tcW w:w="3543" w:type="dxa"/>
            <w:tcBorders>
              <w:top w:val="nil"/>
              <w:left w:val="single" w:sz="4" w:space="0" w:color="auto"/>
              <w:bottom w:val="single" w:sz="4" w:space="0" w:color="auto"/>
              <w:right w:val="single" w:sz="4" w:space="0" w:color="auto"/>
            </w:tcBorders>
          </w:tcPr>
          <w:p w14:paraId="376014AF"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J Clin Psychiatry, 2002</w:t>
            </w:r>
            <w:r w:rsidR="005B06F3" w:rsidRPr="009C01D5">
              <w:rPr>
                <w:rFonts w:ascii="Arial Narrow" w:hAnsi="Arial Narrow"/>
                <w:sz w:val="20"/>
                <w:szCs w:val="20"/>
              </w:rPr>
              <w:t>; 63</w:t>
            </w:r>
            <w:r w:rsidRPr="009C01D5">
              <w:rPr>
                <w:rFonts w:ascii="Arial Narrow" w:hAnsi="Arial Narrow"/>
                <w:sz w:val="20"/>
                <w:szCs w:val="20"/>
              </w:rPr>
              <w:t>(9):763-771.</w:t>
            </w:r>
          </w:p>
        </w:tc>
      </w:tr>
      <w:tr w:rsidR="00936AB1" w:rsidRPr="009C01D5" w14:paraId="6969728C" w14:textId="77777777" w:rsidTr="00FA4235">
        <w:trPr>
          <w:trHeight w:val="20"/>
        </w:trPr>
        <w:tc>
          <w:tcPr>
            <w:tcW w:w="1843" w:type="dxa"/>
            <w:tcBorders>
              <w:bottom w:val="single" w:sz="4" w:space="0" w:color="auto"/>
            </w:tcBorders>
          </w:tcPr>
          <w:p w14:paraId="1865E56D"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Potkin (2003)</w:t>
            </w:r>
          </w:p>
        </w:tc>
        <w:tc>
          <w:tcPr>
            <w:tcW w:w="3636" w:type="dxa"/>
            <w:tcBorders>
              <w:bottom w:val="single" w:sz="4" w:space="0" w:color="auto"/>
            </w:tcBorders>
          </w:tcPr>
          <w:p w14:paraId="181F4C0F"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Potkin et al. Aripiprazole, an Antipsychotic With a Novel Mechanism of Action, and Risperidone vs Placebo in Patients With Schizophrenia and Schizoaffective Disorder. </w:t>
            </w:r>
          </w:p>
        </w:tc>
        <w:tc>
          <w:tcPr>
            <w:tcW w:w="3543" w:type="dxa"/>
            <w:tcBorders>
              <w:top w:val="nil"/>
              <w:left w:val="single" w:sz="4" w:space="0" w:color="auto"/>
              <w:bottom w:val="single" w:sz="4" w:space="0" w:color="auto"/>
              <w:right w:val="single" w:sz="4" w:space="0" w:color="auto"/>
            </w:tcBorders>
          </w:tcPr>
          <w:p w14:paraId="03B59D8A"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Arch Gen Psychiatry, 2003;60:681-690</w:t>
            </w:r>
          </w:p>
        </w:tc>
      </w:tr>
      <w:tr w:rsidR="00936AB1" w:rsidRPr="009C01D5" w14:paraId="6A9DEB82" w14:textId="77777777" w:rsidTr="00FA4235">
        <w:trPr>
          <w:trHeight w:val="20"/>
        </w:trPr>
        <w:tc>
          <w:tcPr>
            <w:tcW w:w="1843" w:type="dxa"/>
            <w:tcBorders>
              <w:top w:val="single" w:sz="4" w:space="0" w:color="auto"/>
              <w:left w:val="single" w:sz="4" w:space="0" w:color="auto"/>
              <w:bottom w:val="nil"/>
              <w:right w:val="single" w:sz="4" w:space="0" w:color="auto"/>
            </w:tcBorders>
          </w:tcPr>
          <w:p w14:paraId="0D5C66A3" w14:textId="77777777" w:rsidR="00936AB1" w:rsidRPr="009C01D5" w:rsidRDefault="00936AB1" w:rsidP="002A7BB0">
            <w:pPr>
              <w:pStyle w:val="TableTextleftalign"/>
              <w:rPr>
                <w:rFonts w:ascii="Arial Narrow" w:hAnsi="Arial Narrow"/>
                <w:bCs/>
                <w:sz w:val="20"/>
                <w:szCs w:val="20"/>
              </w:rPr>
            </w:pPr>
            <w:r w:rsidRPr="009C01D5">
              <w:rPr>
                <w:rFonts w:ascii="Arial Narrow" w:hAnsi="Arial Narrow"/>
                <w:bCs/>
                <w:sz w:val="20"/>
                <w:szCs w:val="20"/>
              </w:rPr>
              <w:t>Cutler (2006)</w:t>
            </w:r>
          </w:p>
          <w:p w14:paraId="2CDA45C5"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CN138113</w:t>
            </w:r>
          </w:p>
        </w:tc>
        <w:tc>
          <w:tcPr>
            <w:tcW w:w="3636" w:type="dxa"/>
            <w:tcBorders>
              <w:top w:val="single" w:sz="4" w:space="0" w:color="auto"/>
              <w:left w:val="single" w:sz="4" w:space="0" w:color="auto"/>
              <w:bottom w:val="nil"/>
              <w:right w:val="single" w:sz="4" w:space="0" w:color="auto"/>
            </w:tcBorders>
          </w:tcPr>
          <w:p w14:paraId="4CB36624"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Cutler et al. The Efficacy and Safety of Lower Doses of Aripiprazole for the Treatment of Patients with Acute Exacerbation of Schizophrenia. </w:t>
            </w:r>
          </w:p>
        </w:tc>
        <w:tc>
          <w:tcPr>
            <w:tcW w:w="3543" w:type="dxa"/>
            <w:tcBorders>
              <w:top w:val="single" w:sz="4" w:space="0" w:color="auto"/>
              <w:left w:val="single" w:sz="4" w:space="0" w:color="auto"/>
              <w:bottom w:val="nil"/>
              <w:right w:val="single" w:sz="4" w:space="0" w:color="auto"/>
            </w:tcBorders>
          </w:tcPr>
          <w:p w14:paraId="1962492C"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CNS Spectr, 2006</w:t>
            </w:r>
            <w:r w:rsidR="005B06F3" w:rsidRPr="009C01D5">
              <w:rPr>
                <w:rFonts w:ascii="Arial Narrow" w:hAnsi="Arial Narrow"/>
                <w:sz w:val="20"/>
                <w:szCs w:val="20"/>
              </w:rPr>
              <w:t>; 11</w:t>
            </w:r>
            <w:r w:rsidRPr="009C01D5">
              <w:rPr>
                <w:rFonts w:ascii="Arial Narrow" w:hAnsi="Arial Narrow"/>
                <w:sz w:val="20"/>
                <w:szCs w:val="20"/>
              </w:rPr>
              <w:t>(9):691-702.</w:t>
            </w:r>
          </w:p>
        </w:tc>
      </w:tr>
      <w:tr w:rsidR="00936AB1" w:rsidRPr="009C01D5" w14:paraId="5C9AAD3D" w14:textId="77777777" w:rsidTr="00FA4235">
        <w:trPr>
          <w:trHeight w:val="20"/>
        </w:trPr>
        <w:tc>
          <w:tcPr>
            <w:tcW w:w="1843" w:type="dxa"/>
            <w:tcBorders>
              <w:top w:val="nil"/>
              <w:left w:val="single" w:sz="4" w:space="0" w:color="auto"/>
              <w:bottom w:val="single" w:sz="4" w:space="0" w:color="auto"/>
              <w:right w:val="single" w:sz="4" w:space="0" w:color="auto"/>
            </w:tcBorders>
          </w:tcPr>
          <w:p w14:paraId="4760C1DA" w14:textId="77777777" w:rsidR="00936AB1" w:rsidRPr="009C01D5" w:rsidRDefault="00936AB1" w:rsidP="002A7BB0">
            <w:pPr>
              <w:pStyle w:val="TableTextleftalign"/>
              <w:rPr>
                <w:rFonts w:ascii="Arial Narrow" w:hAnsi="Arial Narrow"/>
                <w:bCs/>
                <w:sz w:val="20"/>
                <w:szCs w:val="20"/>
              </w:rPr>
            </w:pPr>
          </w:p>
        </w:tc>
        <w:tc>
          <w:tcPr>
            <w:tcW w:w="3636" w:type="dxa"/>
            <w:tcBorders>
              <w:top w:val="nil"/>
              <w:left w:val="single" w:sz="4" w:space="0" w:color="auto"/>
              <w:bottom w:val="single" w:sz="4" w:space="0" w:color="auto"/>
              <w:right w:val="single" w:sz="4" w:space="0" w:color="auto"/>
            </w:tcBorders>
          </w:tcPr>
          <w:p w14:paraId="65F9AA0D"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Study of three doses of aripiprazole in patients with acute schizophrenia. [No results posted]</w:t>
            </w:r>
          </w:p>
        </w:tc>
        <w:tc>
          <w:tcPr>
            <w:tcW w:w="3543" w:type="dxa"/>
            <w:tcBorders>
              <w:top w:val="nil"/>
              <w:left w:val="single" w:sz="4" w:space="0" w:color="auto"/>
              <w:bottom w:val="single" w:sz="4" w:space="0" w:color="auto"/>
              <w:right w:val="single" w:sz="4" w:space="0" w:color="auto"/>
            </w:tcBorders>
          </w:tcPr>
          <w:p w14:paraId="35FD971B"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Clinicaltrials.gov NCT00080327; ICTRP No. 4596609</w:t>
            </w:r>
          </w:p>
        </w:tc>
      </w:tr>
      <w:tr w:rsidR="00936AB1" w:rsidRPr="009C01D5" w14:paraId="41347BA7" w14:textId="77777777" w:rsidTr="00FA4235">
        <w:trPr>
          <w:trHeight w:val="20"/>
        </w:trPr>
        <w:tc>
          <w:tcPr>
            <w:tcW w:w="1843" w:type="dxa"/>
            <w:tcBorders>
              <w:top w:val="single" w:sz="4" w:space="0" w:color="auto"/>
              <w:bottom w:val="single" w:sz="4" w:space="0" w:color="auto"/>
            </w:tcBorders>
          </w:tcPr>
          <w:p w14:paraId="34F4F37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McEvoy (2007)</w:t>
            </w:r>
          </w:p>
        </w:tc>
        <w:tc>
          <w:tcPr>
            <w:tcW w:w="3636" w:type="dxa"/>
            <w:tcBorders>
              <w:top w:val="single" w:sz="4" w:space="0" w:color="auto"/>
              <w:bottom w:val="single" w:sz="4" w:space="0" w:color="auto"/>
            </w:tcBorders>
          </w:tcPr>
          <w:p w14:paraId="342D3B87"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McEvoy et al. A randomized, double-blind, placebo-controlled, study of the efficacy and safety of aripiprazole 10, 15 or 20mg/day for the treatment of patients with acute exacerbations of schizophrenia.</w:t>
            </w:r>
          </w:p>
        </w:tc>
        <w:tc>
          <w:tcPr>
            <w:tcW w:w="3543" w:type="dxa"/>
            <w:tcBorders>
              <w:top w:val="single" w:sz="4" w:space="0" w:color="auto"/>
              <w:left w:val="single" w:sz="4" w:space="0" w:color="auto"/>
              <w:bottom w:val="single" w:sz="4" w:space="0" w:color="auto"/>
              <w:right w:val="single" w:sz="4" w:space="0" w:color="auto"/>
            </w:tcBorders>
          </w:tcPr>
          <w:p w14:paraId="46518A53"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J. Psych Res, 2007;41:895-905</w:t>
            </w:r>
          </w:p>
        </w:tc>
      </w:tr>
      <w:tr w:rsidR="00936AB1" w:rsidRPr="009C01D5" w14:paraId="4BB65074" w14:textId="77777777" w:rsidTr="00FA4235">
        <w:trPr>
          <w:trHeight w:val="20"/>
        </w:trPr>
        <w:tc>
          <w:tcPr>
            <w:tcW w:w="9022" w:type="dxa"/>
            <w:gridSpan w:val="3"/>
            <w:tcBorders>
              <w:top w:val="nil"/>
              <w:left w:val="single" w:sz="4" w:space="0" w:color="auto"/>
              <w:bottom w:val="single" w:sz="4" w:space="0" w:color="auto"/>
              <w:right w:val="single" w:sz="4" w:space="0" w:color="auto"/>
            </w:tcBorders>
          </w:tcPr>
          <w:p w14:paraId="157885EB" w14:textId="77777777" w:rsidR="00936AB1" w:rsidRPr="009C01D5" w:rsidRDefault="00936AB1" w:rsidP="002A7BB0">
            <w:pPr>
              <w:pStyle w:val="TableTextleftalign"/>
              <w:rPr>
                <w:rFonts w:ascii="Arial Narrow" w:hAnsi="Arial Narrow"/>
                <w:b/>
                <w:sz w:val="20"/>
                <w:szCs w:val="20"/>
              </w:rPr>
            </w:pPr>
            <w:r w:rsidRPr="009C01D5">
              <w:rPr>
                <w:rFonts w:ascii="Arial Narrow" w:hAnsi="Arial Narrow"/>
                <w:b/>
                <w:sz w:val="20"/>
                <w:szCs w:val="20"/>
              </w:rPr>
              <w:t>Brexpiprazole</w:t>
            </w:r>
          </w:p>
        </w:tc>
      </w:tr>
      <w:tr w:rsidR="00936AB1" w:rsidRPr="009C01D5" w14:paraId="2096D456" w14:textId="77777777" w:rsidTr="00FA4235">
        <w:trPr>
          <w:trHeight w:val="20"/>
        </w:trPr>
        <w:tc>
          <w:tcPr>
            <w:tcW w:w="1843" w:type="dxa"/>
            <w:tcBorders>
              <w:top w:val="single" w:sz="4" w:space="0" w:color="auto"/>
              <w:left w:val="single" w:sz="4" w:space="0" w:color="auto"/>
              <w:bottom w:val="nil"/>
              <w:right w:val="single" w:sz="4" w:space="0" w:color="auto"/>
            </w:tcBorders>
          </w:tcPr>
          <w:p w14:paraId="2C3941F1"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BEACON</w:t>
            </w:r>
          </w:p>
        </w:tc>
        <w:tc>
          <w:tcPr>
            <w:tcW w:w="3636" w:type="dxa"/>
            <w:tcBorders>
              <w:top w:val="single" w:sz="4" w:space="0" w:color="auto"/>
              <w:left w:val="single" w:sz="4" w:space="0" w:color="auto"/>
              <w:bottom w:val="nil"/>
              <w:right w:val="single" w:sz="4" w:space="0" w:color="auto"/>
            </w:tcBorders>
          </w:tcPr>
          <w:p w14:paraId="2BA37F30"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Kane et al. A multicenter, randomized, double-blind, controlled phase 3 trial of fixed-dose brexpiprazole for the treatment of adults with acute schizophrenia. </w:t>
            </w:r>
          </w:p>
        </w:tc>
        <w:tc>
          <w:tcPr>
            <w:tcW w:w="3543" w:type="dxa"/>
            <w:tcBorders>
              <w:top w:val="single" w:sz="4" w:space="0" w:color="auto"/>
              <w:left w:val="single" w:sz="4" w:space="0" w:color="auto"/>
              <w:bottom w:val="nil"/>
              <w:right w:val="single" w:sz="4" w:space="0" w:color="auto"/>
            </w:tcBorders>
          </w:tcPr>
          <w:p w14:paraId="3A53169A"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Schizophr Res, 2015</w:t>
            </w:r>
            <w:r w:rsidR="005B06F3" w:rsidRPr="009C01D5">
              <w:rPr>
                <w:rFonts w:ascii="Arial Narrow" w:hAnsi="Arial Narrow"/>
                <w:sz w:val="20"/>
                <w:szCs w:val="20"/>
              </w:rPr>
              <w:t>; 164</w:t>
            </w:r>
            <w:r w:rsidRPr="009C01D5">
              <w:rPr>
                <w:rFonts w:ascii="Arial Narrow" w:hAnsi="Arial Narrow"/>
                <w:sz w:val="20"/>
                <w:szCs w:val="20"/>
              </w:rPr>
              <w:t>(1-3): 127-135.</w:t>
            </w:r>
          </w:p>
        </w:tc>
      </w:tr>
      <w:tr w:rsidR="00936AB1" w:rsidRPr="009C01D5" w14:paraId="0F615A4E" w14:textId="77777777" w:rsidTr="00FA4235">
        <w:trPr>
          <w:trHeight w:val="20"/>
        </w:trPr>
        <w:tc>
          <w:tcPr>
            <w:tcW w:w="1843" w:type="dxa"/>
            <w:tcBorders>
              <w:top w:val="nil"/>
              <w:left w:val="single" w:sz="4" w:space="0" w:color="auto"/>
              <w:bottom w:val="single" w:sz="4" w:space="0" w:color="auto"/>
              <w:right w:val="single" w:sz="4" w:space="0" w:color="auto"/>
            </w:tcBorders>
          </w:tcPr>
          <w:p w14:paraId="555C982B"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5C469AE9"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Efficacy study of OPC-34712 in adults with acute schizophrenia. </w:t>
            </w:r>
          </w:p>
        </w:tc>
        <w:tc>
          <w:tcPr>
            <w:tcW w:w="3543" w:type="dxa"/>
            <w:tcBorders>
              <w:top w:val="nil"/>
              <w:left w:val="single" w:sz="4" w:space="0" w:color="auto"/>
              <w:bottom w:val="single" w:sz="4" w:space="0" w:color="auto"/>
              <w:right w:val="single" w:sz="4" w:space="0" w:color="auto"/>
            </w:tcBorders>
          </w:tcPr>
          <w:p w14:paraId="1BB1CF10"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Clinicaltrials.gov NCT01393613</w:t>
            </w:r>
          </w:p>
        </w:tc>
      </w:tr>
      <w:tr w:rsidR="00936AB1" w:rsidRPr="009C01D5" w14:paraId="4A32AF1D" w14:textId="77777777" w:rsidTr="00FA4235">
        <w:trPr>
          <w:trHeight w:val="20"/>
        </w:trPr>
        <w:tc>
          <w:tcPr>
            <w:tcW w:w="1843" w:type="dxa"/>
            <w:tcBorders>
              <w:top w:val="single" w:sz="4" w:space="0" w:color="auto"/>
              <w:left w:val="single" w:sz="4" w:space="0" w:color="auto"/>
              <w:bottom w:val="nil"/>
              <w:right w:val="single" w:sz="4" w:space="0" w:color="auto"/>
            </w:tcBorders>
          </w:tcPr>
          <w:p w14:paraId="24D20C5F"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VECTOR</w:t>
            </w:r>
          </w:p>
        </w:tc>
        <w:tc>
          <w:tcPr>
            <w:tcW w:w="3636" w:type="dxa"/>
            <w:tcBorders>
              <w:top w:val="single" w:sz="4" w:space="0" w:color="auto"/>
              <w:left w:val="single" w:sz="4" w:space="0" w:color="auto"/>
              <w:bottom w:val="nil"/>
              <w:right w:val="single" w:sz="4" w:space="0" w:color="auto"/>
            </w:tcBorders>
          </w:tcPr>
          <w:p w14:paraId="29316E88"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Correll et al. Efficacy and safety of Brexpiprazole for the Treatment of Acute Schizophrenia: A 6-Week Randomized, Double-Blind, Placebo-Controlled Trial. </w:t>
            </w:r>
          </w:p>
        </w:tc>
        <w:tc>
          <w:tcPr>
            <w:tcW w:w="3543" w:type="dxa"/>
            <w:tcBorders>
              <w:top w:val="single" w:sz="4" w:space="0" w:color="auto"/>
              <w:left w:val="single" w:sz="4" w:space="0" w:color="auto"/>
              <w:bottom w:val="nil"/>
              <w:right w:val="single" w:sz="4" w:space="0" w:color="auto"/>
            </w:tcBorders>
          </w:tcPr>
          <w:p w14:paraId="686A1EF6"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Am J Psychiatry, 2015</w:t>
            </w:r>
            <w:r w:rsidR="005B06F3" w:rsidRPr="009C01D5">
              <w:rPr>
                <w:rFonts w:ascii="Arial Narrow" w:hAnsi="Arial Narrow"/>
                <w:sz w:val="20"/>
                <w:szCs w:val="20"/>
              </w:rPr>
              <w:t>; 172</w:t>
            </w:r>
            <w:r w:rsidRPr="009C01D5">
              <w:rPr>
                <w:rFonts w:ascii="Arial Narrow" w:hAnsi="Arial Narrow"/>
                <w:sz w:val="20"/>
                <w:szCs w:val="20"/>
              </w:rPr>
              <w:t>(9)</w:t>
            </w:r>
            <w:r w:rsidR="005B06F3" w:rsidRPr="009C01D5">
              <w:rPr>
                <w:rFonts w:ascii="Arial Narrow" w:hAnsi="Arial Narrow"/>
                <w:sz w:val="20"/>
                <w:szCs w:val="20"/>
              </w:rPr>
              <w:t>; 870</w:t>
            </w:r>
            <w:r w:rsidRPr="009C01D5">
              <w:rPr>
                <w:rFonts w:ascii="Arial Narrow" w:hAnsi="Arial Narrow"/>
                <w:sz w:val="20"/>
                <w:szCs w:val="20"/>
              </w:rPr>
              <w:t>-880.</w:t>
            </w:r>
          </w:p>
        </w:tc>
      </w:tr>
      <w:tr w:rsidR="00936AB1" w:rsidRPr="009C01D5" w14:paraId="7A300B27" w14:textId="77777777" w:rsidTr="00FA4235">
        <w:trPr>
          <w:trHeight w:val="20"/>
        </w:trPr>
        <w:tc>
          <w:tcPr>
            <w:tcW w:w="1843" w:type="dxa"/>
            <w:tcBorders>
              <w:top w:val="nil"/>
              <w:left w:val="single" w:sz="4" w:space="0" w:color="auto"/>
              <w:bottom w:val="nil"/>
              <w:right w:val="single" w:sz="4" w:space="0" w:color="auto"/>
            </w:tcBorders>
          </w:tcPr>
          <w:p w14:paraId="1574CD05" w14:textId="77777777" w:rsidR="00936AB1" w:rsidRPr="009C01D5" w:rsidRDefault="00936AB1" w:rsidP="002A7BB0">
            <w:pPr>
              <w:pStyle w:val="TableTextleftalign"/>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3CE9F85B"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Correll et al. Brexpiprazole for the treatment of acute schizophrenia: A randomized, controlled trial.</w:t>
            </w:r>
          </w:p>
        </w:tc>
        <w:tc>
          <w:tcPr>
            <w:tcW w:w="3543" w:type="dxa"/>
            <w:tcBorders>
              <w:top w:val="nil"/>
              <w:left w:val="single" w:sz="4" w:space="0" w:color="auto"/>
              <w:bottom w:val="nil"/>
              <w:right w:val="single" w:sz="4" w:space="0" w:color="auto"/>
            </w:tcBorders>
          </w:tcPr>
          <w:p w14:paraId="76E99618"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Neuropsychopharmacology, 2014;39: S474</w:t>
            </w:r>
          </w:p>
        </w:tc>
      </w:tr>
      <w:tr w:rsidR="00936AB1" w:rsidRPr="009C01D5" w14:paraId="128AEEBD" w14:textId="77777777" w:rsidTr="00FA4235">
        <w:trPr>
          <w:trHeight w:val="20"/>
        </w:trPr>
        <w:tc>
          <w:tcPr>
            <w:tcW w:w="1843" w:type="dxa"/>
            <w:tcBorders>
              <w:top w:val="nil"/>
              <w:left w:val="single" w:sz="4" w:space="0" w:color="auto"/>
              <w:bottom w:val="single" w:sz="4" w:space="0" w:color="auto"/>
              <w:right w:val="single" w:sz="4" w:space="0" w:color="auto"/>
            </w:tcBorders>
          </w:tcPr>
          <w:p w14:paraId="2028E1DD" w14:textId="77777777" w:rsidR="00936AB1" w:rsidRPr="009C01D5" w:rsidRDefault="00936AB1" w:rsidP="002A7BB0">
            <w:pPr>
              <w:pStyle w:val="TableTextleftalign"/>
              <w:rPr>
                <w:rFonts w:ascii="Arial Narrow" w:hAnsi="Arial Narrow"/>
                <w:bCs/>
                <w:sz w:val="20"/>
                <w:szCs w:val="20"/>
              </w:rPr>
            </w:pPr>
          </w:p>
        </w:tc>
        <w:tc>
          <w:tcPr>
            <w:tcW w:w="3636" w:type="dxa"/>
            <w:tcBorders>
              <w:top w:val="nil"/>
              <w:left w:val="single" w:sz="4" w:space="0" w:color="auto"/>
              <w:bottom w:val="single" w:sz="4" w:space="0" w:color="auto"/>
              <w:right w:val="single" w:sz="4" w:space="0" w:color="auto"/>
            </w:tcBorders>
          </w:tcPr>
          <w:p w14:paraId="5B6D9727" w14:textId="77777777" w:rsidR="00936AB1" w:rsidRPr="009C01D5" w:rsidRDefault="00936AB1" w:rsidP="002A7BB0">
            <w:pPr>
              <w:pStyle w:val="TableTextleftalign"/>
              <w:rPr>
                <w:rFonts w:ascii="Arial Narrow" w:hAnsi="Arial Narrow"/>
                <w:bCs/>
                <w:sz w:val="20"/>
                <w:szCs w:val="20"/>
              </w:rPr>
            </w:pPr>
            <w:r w:rsidRPr="009C01D5">
              <w:rPr>
                <w:rFonts w:ascii="Arial Narrow" w:hAnsi="Arial Narrow"/>
                <w:sz w:val="20"/>
                <w:szCs w:val="20"/>
              </w:rPr>
              <w:t>Study of the effectiveness of three different doses of OPC-34712 in the treatment of adults with acute schizophrenia</w:t>
            </w:r>
            <w:r w:rsidR="009C01D5">
              <w:rPr>
                <w:rFonts w:ascii="Arial Narrow" w:hAnsi="Arial Narrow"/>
                <w:sz w:val="20"/>
                <w:szCs w:val="20"/>
              </w:rPr>
              <w:t xml:space="preserve">. </w:t>
            </w:r>
          </w:p>
        </w:tc>
        <w:tc>
          <w:tcPr>
            <w:tcW w:w="3543" w:type="dxa"/>
            <w:tcBorders>
              <w:top w:val="nil"/>
              <w:left w:val="single" w:sz="4" w:space="0" w:color="auto"/>
              <w:bottom w:val="single" w:sz="4" w:space="0" w:color="auto"/>
              <w:right w:val="single" w:sz="4" w:space="0" w:color="auto"/>
            </w:tcBorders>
          </w:tcPr>
          <w:p w14:paraId="164C9208"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bCs/>
                <w:sz w:val="20"/>
                <w:szCs w:val="20"/>
              </w:rPr>
              <w:t>Clinicaltrials.gov NCT01396421; ICTRP No. 6501113</w:t>
            </w:r>
          </w:p>
        </w:tc>
      </w:tr>
      <w:tr w:rsidR="00936AB1" w:rsidRPr="009C01D5" w14:paraId="05EA5A76" w14:textId="77777777" w:rsidTr="00FA4235">
        <w:trPr>
          <w:trHeight w:val="20"/>
        </w:trPr>
        <w:tc>
          <w:tcPr>
            <w:tcW w:w="1843" w:type="dxa"/>
            <w:tcBorders>
              <w:top w:val="single" w:sz="4" w:space="0" w:color="auto"/>
              <w:left w:val="single" w:sz="4" w:space="0" w:color="auto"/>
              <w:bottom w:val="nil"/>
              <w:right w:val="single" w:sz="4" w:space="0" w:color="auto"/>
            </w:tcBorders>
          </w:tcPr>
          <w:p w14:paraId="76F5741E" w14:textId="77777777" w:rsidR="00936AB1" w:rsidRPr="009C01D5" w:rsidRDefault="00936AB1" w:rsidP="002A7BB0">
            <w:pPr>
              <w:pStyle w:val="TableTextleftalign"/>
              <w:rPr>
                <w:rFonts w:ascii="Arial Narrow" w:hAnsi="Arial Narrow"/>
                <w:bCs/>
                <w:sz w:val="20"/>
                <w:szCs w:val="20"/>
              </w:rPr>
            </w:pPr>
            <w:r w:rsidRPr="009C01D5">
              <w:rPr>
                <w:rFonts w:ascii="Arial Narrow" w:hAnsi="Arial Narrow"/>
                <w:bCs/>
                <w:sz w:val="20"/>
                <w:szCs w:val="20"/>
              </w:rPr>
              <w:t>LIGHTHOUSE</w:t>
            </w:r>
          </w:p>
        </w:tc>
        <w:tc>
          <w:tcPr>
            <w:tcW w:w="3636" w:type="dxa"/>
            <w:tcBorders>
              <w:top w:val="single" w:sz="4" w:space="0" w:color="auto"/>
              <w:left w:val="single" w:sz="4" w:space="0" w:color="auto"/>
              <w:bottom w:val="nil"/>
              <w:right w:val="single" w:sz="4" w:space="0" w:color="auto"/>
            </w:tcBorders>
          </w:tcPr>
          <w:p w14:paraId="41748A3A" w14:textId="77777777" w:rsidR="00936AB1" w:rsidRPr="009C01D5" w:rsidRDefault="00936AB1" w:rsidP="002A7BB0">
            <w:pPr>
              <w:pStyle w:val="TableTextleftalign"/>
              <w:rPr>
                <w:rFonts w:ascii="Arial Narrow" w:hAnsi="Arial Narrow"/>
                <w:bCs/>
                <w:sz w:val="20"/>
                <w:szCs w:val="20"/>
              </w:rPr>
            </w:pPr>
            <w:r w:rsidRPr="009C01D5">
              <w:rPr>
                <w:rFonts w:ascii="Arial Narrow" w:hAnsi="Arial Narrow"/>
                <w:sz w:val="20"/>
                <w:szCs w:val="20"/>
              </w:rPr>
              <w:t>An interventional, multi-center, randomized, double-blind, placebo-controlled, active reference, flexible dose study of brexpiprazole in adults with acute schizophrenia. Abstract FC71, 24th European Congress of Psychiatry</w:t>
            </w:r>
            <w:r w:rsidRPr="009C01D5">
              <w:rPr>
                <w:rFonts w:ascii="Arial Narrow" w:hAnsi="Arial Narrow"/>
                <w:i/>
                <w:sz w:val="20"/>
                <w:szCs w:val="20"/>
              </w:rPr>
              <w:t xml:space="preserve">. </w:t>
            </w:r>
          </w:p>
        </w:tc>
        <w:tc>
          <w:tcPr>
            <w:tcW w:w="3543" w:type="dxa"/>
            <w:tcBorders>
              <w:top w:val="single" w:sz="4" w:space="0" w:color="auto"/>
              <w:left w:val="single" w:sz="4" w:space="0" w:color="auto"/>
              <w:bottom w:val="nil"/>
              <w:right w:val="single" w:sz="4" w:space="0" w:color="auto"/>
            </w:tcBorders>
          </w:tcPr>
          <w:p w14:paraId="2EE79921"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European Psychiatry, 33S, 2016;S72-S113.</w:t>
            </w:r>
          </w:p>
        </w:tc>
      </w:tr>
      <w:tr w:rsidR="00936AB1" w:rsidRPr="009C01D5" w14:paraId="72BB2569" w14:textId="77777777" w:rsidTr="00FA4235">
        <w:trPr>
          <w:trHeight w:val="20"/>
        </w:trPr>
        <w:tc>
          <w:tcPr>
            <w:tcW w:w="1843" w:type="dxa"/>
            <w:tcBorders>
              <w:top w:val="nil"/>
              <w:left w:val="single" w:sz="4" w:space="0" w:color="auto"/>
              <w:bottom w:val="single" w:sz="4" w:space="0" w:color="auto"/>
              <w:right w:val="single" w:sz="4" w:space="0" w:color="auto"/>
            </w:tcBorders>
          </w:tcPr>
          <w:p w14:paraId="0A9D21AF" w14:textId="77777777" w:rsidR="00936AB1" w:rsidRPr="009C01D5" w:rsidRDefault="00936AB1"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4921EE9F"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Brexpiprazole in patients with acute schizophrenia. </w:t>
            </w:r>
          </w:p>
        </w:tc>
        <w:tc>
          <w:tcPr>
            <w:tcW w:w="3543" w:type="dxa"/>
            <w:tcBorders>
              <w:top w:val="nil"/>
              <w:left w:val="single" w:sz="4" w:space="0" w:color="auto"/>
              <w:bottom w:val="single" w:sz="4" w:space="0" w:color="auto"/>
              <w:right w:val="single" w:sz="4" w:space="0" w:color="auto"/>
            </w:tcBorders>
          </w:tcPr>
          <w:p w14:paraId="35CC1E82" w14:textId="77777777" w:rsidR="00936AB1" w:rsidRPr="009C01D5" w:rsidRDefault="00936AB1" w:rsidP="002A7BB0">
            <w:pPr>
              <w:pStyle w:val="TableTextleftalign"/>
              <w:rPr>
                <w:rFonts w:ascii="Arial Narrow" w:hAnsi="Arial Narrow"/>
                <w:sz w:val="20"/>
                <w:szCs w:val="20"/>
              </w:rPr>
            </w:pPr>
            <w:r w:rsidRPr="009C01D5">
              <w:rPr>
                <w:rFonts w:ascii="Arial Narrow" w:hAnsi="Arial Narrow"/>
                <w:sz w:val="20"/>
                <w:szCs w:val="20"/>
              </w:rPr>
              <w:t xml:space="preserve">Clinicaltrials.gov </w:t>
            </w:r>
            <w:r w:rsidRPr="009C01D5">
              <w:rPr>
                <w:rFonts w:ascii="Arial Narrow" w:hAnsi="Arial Narrow"/>
                <w:bCs/>
                <w:sz w:val="20"/>
                <w:szCs w:val="20"/>
              </w:rPr>
              <w:t xml:space="preserve">NCT01810380; ICTRP </w:t>
            </w:r>
            <w:r w:rsidRPr="009C01D5">
              <w:rPr>
                <w:rFonts w:ascii="Arial Narrow" w:hAnsi="Arial Narrow"/>
                <w:sz w:val="20"/>
                <w:szCs w:val="20"/>
              </w:rPr>
              <w:t>5884084</w:t>
            </w:r>
          </w:p>
        </w:tc>
      </w:tr>
      <w:tr w:rsidR="00F344A0" w:rsidRPr="009C01D5" w14:paraId="1546A6D5" w14:textId="77777777" w:rsidTr="00BD78AF">
        <w:trPr>
          <w:trHeight w:val="20"/>
        </w:trPr>
        <w:tc>
          <w:tcPr>
            <w:tcW w:w="1843" w:type="dxa"/>
            <w:tcBorders>
              <w:top w:val="single" w:sz="4" w:space="0" w:color="auto"/>
              <w:left w:val="single" w:sz="4" w:space="0" w:color="auto"/>
              <w:bottom w:val="single" w:sz="4" w:space="0" w:color="auto"/>
              <w:right w:val="single" w:sz="4" w:space="0" w:color="auto"/>
            </w:tcBorders>
          </w:tcPr>
          <w:p w14:paraId="1097123A"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STEP 203</w:t>
            </w:r>
            <w:r w:rsidRPr="009C01D5">
              <w:rPr>
                <w:rFonts w:ascii="Arial Narrow" w:hAnsi="Arial Narrow"/>
                <w:sz w:val="20"/>
                <w:szCs w:val="20"/>
                <w:vertAlign w:val="superscript"/>
              </w:rPr>
              <w:t>1</w:t>
            </w:r>
          </w:p>
        </w:tc>
        <w:tc>
          <w:tcPr>
            <w:tcW w:w="3636" w:type="dxa"/>
            <w:tcBorders>
              <w:top w:val="single" w:sz="4" w:space="0" w:color="auto"/>
              <w:left w:val="single" w:sz="4" w:space="0" w:color="auto"/>
              <w:bottom w:val="nil"/>
              <w:right w:val="single" w:sz="4" w:space="0" w:color="auto"/>
            </w:tcBorders>
          </w:tcPr>
          <w:p w14:paraId="0EA2EFE6"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A Phase 2, 6-Week, Multicenter, Randomized, Double-blind, Placebo-controlled Study to Evaluate the Efficacy, Safety, and Tolerability of Oral OPC-34712 Once Daily and Aripiprazole Once Daily for Treatment of Hospitalized Adult Patients with Acute Schizophrenia. </w:t>
            </w:r>
          </w:p>
        </w:tc>
        <w:tc>
          <w:tcPr>
            <w:tcW w:w="3543" w:type="dxa"/>
            <w:tcBorders>
              <w:top w:val="single" w:sz="4" w:space="0" w:color="auto"/>
              <w:left w:val="single" w:sz="4" w:space="0" w:color="auto"/>
              <w:bottom w:val="nil"/>
              <w:right w:val="single" w:sz="4" w:space="0" w:color="auto"/>
            </w:tcBorders>
          </w:tcPr>
          <w:p w14:paraId="1BDA0035"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https://www.clinicaltrialsregister.eu/ctr-search/search?query=eudract_number:2009-012567-33</w:t>
            </w:r>
          </w:p>
        </w:tc>
      </w:tr>
      <w:tr w:rsidR="00F344A0" w:rsidRPr="009C01D5" w14:paraId="21BF96B3" w14:textId="77777777" w:rsidTr="00BD78AF">
        <w:trPr>
          <w:trHeight w:val="20"/>
        </w:trPr>
        <w:tc>
          <w:tcPr>
            <w:tcW w:w="1843" w:type="dxa"/>
            <w:tcBorders>
              <w:top w:val="single" w:sz="4" w:space="0" w:color="auto"/>
              <w:left w:val="single" w:sz="4" w:space="0" w:color="auto"/>
              <w:bottom w:val="single" w:sz="4" w:space="0" w:color="auto"/>
              <w:right w:val="single" w:sz="4" w:space="0" w:color="auto"/>
            </w:tcBorders>
          </w:tcPr>
          <w:p w14:paraId="527AE7FC" w14:textId="77777777" w:rsidR="00F344A0" w:rsidRPr="009C01D5" w:rsidRDefault="00F344A0" w:rsidP="002A7BB0">
            <w:pPr>
              <w:pStyle w:val="TableTextleftalign"/>
              <w:rPr>
                <w:rFonts w:ascii="Arial Narrow" w:hAnsi="Arial Narrow"/>
                <w:sz w:val="20"/>
                <w:szCs w:val="20"/>
              </w:rPr>
            </w:pPr>
          </w:p>
        </w:tc>
        <w:tc>
          <w:tcPr>
            <w:tcW w:w="3636" w:type="dxa"/>
            <w:tcBorders>
              <w:top w:val="nil"/>
              <w:left w:val="single" w:sz="4" w:space="0" w:color="auto"/>
              <w:bottom w:val="single" w:sz="4" w:space="0" w:color="auto"/>
              <w:right w:val="single" w:sz="4" w:space="0" w:color="auto"/>
            </w:tcBorders>
          </w:tcPr>
          <w:p w14:paraId="502287A3"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Study to evaluate the efficacy, safety, and tolerability of oral OPC-34712 and aripiprazole for treatment of acute schizophrenia </w:t>
            </w:r>
          </w:p>
        </w:tc>
        <w:tc>
          <w:tcPr>
            <w:tcW w:w="3543" w:type="dxa"/>
            <w:tcBorders>
              <w:top w:val="nil"/>
              <w:left w:val="single" w:sz="4" w:space="0" w:color="auto"/>
              <w:bottom w:val="single" w:sz="4" w:space="0" w:color="auto"/>
              <w:right w:val="single" w:sz="4" w:space="0" w:color="auto"/>
            </w:tcBorders>
          </w:tcPr>
          <w:p w14:paraId="57BA50EE"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Clinicaltrials.gov NCT00905307; ICTRP No. 2478534, 6493997, 8717286</w:t>
            </w:r>
          </w:p>
        </w:tc>
      </w:tr>
      <w:tr w:rsidR="00F344A0" w:rsidRPr="009C01D5" w14:paraId="34FD12D5" w14:textId="77777777" w:rsidTr="00FA4235">
        <w:trPr>
          <w:trHeight w:val="20"/>
        </w:trPr>
        <w:tc>
          <w:tcPr>
            <w:tcW w:w="9022" w:type="dxa"/>
            <w:gridSpan w:val="3"/>
            <w:tcBorders>
              <w:top w:val="single" w:sz="4" w:space="0" w:color="auto"/>
              <w:bottom w:val="single" w:sz="4" w:space="0" w:color="auto"/>
            </w:tcBorders>
            <w:shd w:val="clear" w:color="auto" w:fill="auto"/>
          </w:tcPr>
          <w:p w14:paraId="4E051B81" w14:textId="77777777" w:rsidR="00F344A0" w:rsidRPr="009C01D5" w:rsidRDefault="00F344A0" w:rsidP="002A7BB0">
            <w:pPr>
              <w:pStyle w:val="TableTextleftalign"/>
              <w:rPr>
                <w:rFonts w:ascii="Arial Narrow" w:hAnsi="Arial Narrow"/>
                <w:b/>
                <w:sz w:val="20"/>
                <w:szCs w:val="20"/>
              </w:rPr>
            </w:pPr>
            <w:r w:rsidRPr="009C01D5">
              <w:rPr>
                <w:rFonts w:ascii="Arial Narrow" w:hAnsi="Arial Narrow"/>
                <w:b/>
                <w:sz w:val="20"/>
                <w:szCs w:val="20"/>
              </w:rPr>
              <w:t>Maintenance trials in adults with schizophrenia</w:t>
            </w:r>
          </w:p>
        </w:tc>
      </w:tr>
      <w:tr w:rsidR="00F344A0" w:rsidRPr="009C01D5" w14:paraId="7EA2485E" w14:textId="77777777" w:rsidTr="00FA4235">
        <w:trPr>
          <w:trHeight w:val="20"/>
        </w:trPr>
        <w:tc>
          <w:tcPr>
            <w:tcW w:w="9022" w:type="dxa"/>
            <w:gridSpan w:val="3"/>
            <w:tcBorders>
              <w:top w:val="single" w:sz="4" w:space="0" w:color="auto"/>
              <w:bottom w:val="single" w:sz="4" w:space="0" w:color="auto"/>
            </w:tcBorders>
            <w:shd w:val="clear" w:color="auto" w:fill="auto"/>
          </w:tcPr>
          <w:p w14:paraId="6BC84F97" w14:textId="77777777" w:rsidR="00F344A0" w:rsidRPr="009C01D5" w:rsidRDefault="00F344A0" w:rsidP="002A7BB0">
            <w:pPr>
              <w:pStyle w:val="TableTextleftalign"/>
              <w:rPr>
                <w:rFonts w:ascii="Arial Narrow" w:hAnsi="Arial Narrow"/>
                <w:b/>
                <w:sz w:val="20"/>
                <w:szCs w:val="20"/>
              </w:rPr>
            </w:pPr>
            <w:r w:rsidRPr="009C01D5">
              <w:rPr>
                <w:rFonts w:ascii="Arial Narrow" w:hAnsi="Arial Narrow"/>
                <w:b/>
                <w:sz w:val="20"/>
                <w:szCs w:val="20"/>
              </w:rPr>
              <w:t>Cariprazine</w:t>
            </w:r>
          </w:p>
        </w:tc>
      </w:tr>
      <w:tr w:rsidR="00F344A0" w:rsidRPr="009C01D5" w14:paraId="2B9C747A" w14:textId="77777777" w:rsidTr="00FA4235">
        <w:trPr>
          <w:trHeight w:val="20"/>
        </w:trPr>
        <w:tc>
          <w:tcPr>
            <w:tcW w:w="1843" w:type="dxa"/>
            <w:tcBorders>
              <w:top w:val="single" w:sz="4" w:space="0" w:color="auto"/>
              <w:left w:val="single" w:sz="4" w:space="0" w:color="auto"/>
              <w:bottom w:val="nil"/>
              <w:right w:val="single" w:sz="4" w:space="0" w:color="auto"/>
            </w:tcBorders>
          </w:tcPr>
          <w:p w14:paraId="32BF295F" w14:textId="77777777" w:rsidR="00F344A0" w:rsidRPr="009C01D5" w:rsidRDefault="00F344A0" w:rsidP="002A7BB0">
            <w:pPr>
              <w:pStyle w:val="TableTextleftalign"/>
              <w:rPr>
                <w:rFonts w:ascii="Arial Narrow" w:hAnsi="Arial Narrow"/>
                <w:b/>
                <w:sz w:val="20"/>
                <w:szCs w:val="20"/>
              </w:rPr>
            </w:pPr>
            <w:r w:rsidRPr="009C01D5">
              <w:rPr>
                <w:rFonts w:ascii="Arial Narrow" w:hAnsi="Arial Narrow"/>
                <w:bCs/>
                <w:sz w:val="20"/>
                <w:szCs w:val="20"/>
              </w:rPr>
              <w:t>RGH-MD-06</w:t>
            </w:r>
          </w:p>
        </w:tc>
        <w:tc>
          <w:tcPr>
            <w:tcW w:w="3636" w:type="dxa"/>
            <w:tcBorders>
              <w:top w:val="single" w:sz="4" w:space="0" w:color="auto"/>
              <w:left w:val="single" w:sz="4" w:space="0" w:color="auto"/>
              <w:bottom w:val="nil"/>
              <w:right w:val="single" w:sz="4" w:space="0" w:color="auto"/>
            </w:tcBorders>
          </w:tcPr>
          <w:p w14:paraId="6AA2F8A7"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A Randomized, Double-blind, Placebo-Controlled, Parallel-Group Study of Cariprazine (RGH-188) in the Prevention of Relapse in Patients With Schizophrenia.</w:t>
            </w:r>
          </w:p>
        </w:tc>
        <w:tc>
          <w:tcPr>
            <w:tcW w:w="3543" w:type="dxa"/>
            <w:tcBorders>
              <w:top w:val="single" w:sz="4" w:space="0" w:color="auto"/>
              <w:left w:val="single" w:sz="4" w:space="0" w:color="auto"/>
              <w:bottom w:val="nil"/>
              <w:right w:val="single" w:sz="4" w:space="0" w:color="auto"/>
            </w:tcBorders>
          </w:tcPr>
          <w:p w14:paraId="092A0207"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June 2015</w:t>
            </w:r>
          </w:p>
        </w:tc>
      </w:tr>
      <w:tr w:rsidR="00F344A0" w:rsidRPr="009C01D5" w14:paraId="00CDAE7A" w14:textId="77777777" w:rsidTr="00FA4235">
        <w:trPr>
          <w:trHeight w:val="20"/>
        </w:trPr>
        <w:tc>
          <w:tcPr>
            <w:tcW w:w="1843" w:type="dxa"/>
            <w:tcBorders>
              <w:top w:val="nil"/>
              <w:left w:val="single" w:sz="4" w:space="0" w:color="auto"/>
              <w:bottom w:val="nil"/>
              <w:right w:val="single" w:sz="4" w:space="0" w:color="auto"/>
            </w:tcBorders>
          </w:tcPr>
          <w:p w14:paraId="2C2D2D0F"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5C266FE4"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Durgam et al. Long-term cariprazine treatment for the prevention of relapse in patients with schizophrenia: A randomised, double-blind, placebo-controlled trial. </w:t>
            </w:r>
          </w:p>
        </w:tc>
        <w:tc>
          <w:tcPr>
            <w:tcW w:w="3543" w:type="dxa"/>
            <w:tcBorders>
              <w:top w:val="nil"/>
              <w:left w:val="single" w:sz="4" w:space="0" w:color="auto"/>
              <w:bottom w:val="nil"/>
              <w:right w:val="single" w:sz="4" w:space="0" w:color="auto"/>
            </w:tcBorders>
          </w:tcPr>
          <w:p w14:paraId="499F56B1"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Schizophrenia Research, 2016;176: 264-271.</w:t>
            </w:r>
          </w:p>
        </w:tc>
      </w:tr>
      <w:tr w:rsidR="00F344A0" w:rsidRPr="009C01D5" w14:paraId="6007D87B" w14:textId="77777777" w:rsidTr="00FA4235">
        <w:trPr>
          <w:trHeight w:val="20"/>
        </w:trPr>
        <w:tc>
          <w:tcPr>
            <w:tcW w:w="1843" w:type="dxa"/>
            <w:tcBorders>
              <w:top w:val="nil"/>
              <w:left w:val="single" w:sz="4" w:space="0" w:color="auto"/>
              <w:bottom w:val="nil"/>
              <w:right w:val="single" w:sz="4" w:space="0" w:color="auto"/>
            </w:tcBorders>
          </w:tcPr>
          <w:p w14:paraId="6DAB408E"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5DD8774E"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Durgam et al. Corrigendum to Long-term cariprazine treatment for the prevention of relapse in patients with schizophrenia: A randomized, double-blind, placebo-controlled trial. [Schizophr. Res. 176 (2016) 264-271].</w:t>
            </w:r>
          </w:p>
        </w:tc>
        <w:tc>
          <w:tcPr>
            <w:tcW w:w="3543" w:type="dxa"/>
            <w:tcBorders>
              <w:top w:val="nil"/>
              <w:left w:val="single" w:sz="4" w:space="0" w:color="auto"/>
              <w:bottom w:val="nil"/>
              <w:right w:val="single" w:sz="4" w:space="0" w:color="auto"/>
            </w:tcBorders>
          </w:tcPr>
          <w:p w14:paraId="5465CA1F"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Schizophrenia Research, 2018;192: 493</w:t>
            </w:r>
          </w:p>
        </w:tc>
      </w:tr>
      <w:tr w:rsidR="00F344A0" w:rsidRPr="009C01D5" w14:paraId="5853CB90" w14:textId="77777777" w:rsidTr="00FA4235">
        <w:trPr>
          <w:trHeight w:val="20"/>
        </w:trPr>
        <w:tc>
          <w:tcPr>
            <w:tcW w:w="1843" w:type="dxa"/>
            <w:tcBorders>
              <w:top w:val="nil"/>
              <w:left w:val="single" w:sz="4" w:space="0" w:color="auto"/>
              <w:bottom w:val="nil"/>
              <w:right w:val="single" w:sz="4" w:space="0" w:color="auto"/>
            </w:tcBorders>
          </w:tcPr>
          <w:p w14:paraId="2808E2FE"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77F8EADC"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Correll et al. Long-Term Remission With Cariprazine Treatment in Patients With Schizophrenia: A Post Hoc Analysis of a Randomized, Double-Blind, Placebo-Controlled, Relapse Prevention Trial. </w:t>
            </w:r>
          </w:p>
        </w:tc>
        <w:tc>
          <w:tcPr>
            <w:tcW w:w="3543" w:type="dxa"/>
            <w:tcBorders>
              <w:top w:val="nil"/>
              <w:left w:val="single" w:sz="4" w:space="0" w:color="auto"/>
              <w:bottom w:val="nil"/>
              <w:right w:val="single" w:sz="4" w:space="0" w:color="auto"/>
            </w:tcBorders>
          </w:tcPr>
          <w:p w14:paraId="2356E9CB"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J Clin Psych, 2019;</w:t>
            </w:r>
            <w:r w:rsidR="00967438" w:rsidRPr="009C01D5">
              <w:rPr>
                <w:rFonts w:ascii="Arial Narrow" w:hAnsi="Arial Narrow"/>
                <w:sz w:val="20"/>
                <w:szCs w:val="20"/>
              </w:rPr>
              <w:t xml:space="preserve"> </w:t>
            </w:r>
            <w:r w:rsidRPr="009C01D5">
              <w:rPr>
                <w:rFonts w:ascii="Arial Narrow" w:hAnsi="Arial Narrow"/>
                <w:sz w:val="20"/>
                <w:szCs w:val="20"/>
              </w:rPr>
              <w:t>80(2).</w:t>
            </w:r>
          </w:p>
        </w:tc>
      </w:tr>
      <w:tr w:rsidR="00F344A0" w:rsidRPr="009C01D5" w14:paraId="75DCE264" w14:textId="77777777" w:rsidTr="00FA4235">
        <w:trPr>
          <w:trHeight w:val="20"/>
        </w:trPr>
        <w:tc>
          <w:tcPr>
            <w:tcW w:w="1843" w:type="dxa"/>
            <w:tcBorders>
              <w:top w:val="nil"/>
              <w:left w:val="single" w:sz="4" w:space="0" w:color="auto"/>
              <w:bottom w:val="single" w:sz="4" w:space="0" w:color="auto"/>
              <w:right w:val="single" w:sz="4" w:space="0" w:color="auto"/>
            </w:tcBorders>
          </w:tcPr>
          <w:p w14:paraId="21B543B5"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single" w:sz="4" w:space="0" w:color="auto"/>
              <w:right w:val="single" w:sz="4" w:space="0" w:color="auto"/>
            </w:tcBorders>
          </w:tcPr>
          <w:p w14:paraId="41F33BEA"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 xml:space="preserve">A randomized, double-blind, placebo-controlled, parallel-group study of cariprazine (RGH-188) in the prevention of relapse in patients with schizophrenia. </w:t>
            </w:r>
          </w:p>
        </w:tc>
        <w:tc>
          <w:tcPr>
            <w:tcW w:w="3543" w:type="dxa"/>
            <w:tcBorders>
              <w:top w:val="nil"/>
              <w:left w:val="single" w:sz="4" w:space="0" w:color="auto"/>
              <w:bottom w:val="single" w:sz="4" w:space="0" w:color="auto"/>
              <w:right w:val="single" w:sz="4" w:space="0" w:color="auto"/>
            </w:tcBorders>
          </w:tcPr>
          <w:p w14:paraId="2B4E4C96"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Clinicaltrials.gov NCT01412060; ICTRP No. 5133438, 8719175</w:t>
            </w:r>
          </w:p>
        </w:tc>
      </w:tr>
      <w:tr w:rsidR="00F344A0" w:rsidRPr="009C01D5" w14:paraId="56FE10F3" w14:textId="77777777" w:rsidTr="00FA4235">
        <w:trPr>
          <w:trHeight w:val="20"/>
        </w:trPr>
        <w:tc>
          <w:tcPr>
            <w:tcW w:w="9022" w:type="dxa"/>
            <w:gridSpan w:val="3"/>
            <w:tcBorders>
              <w:bottom w:val="single" w:sz="4" w:space="0" w:color="auto"/>
              <w:right w:val="single" w:sz="4" w:space="0" w:color="auto"/>
            </w:tcBorders>
          </w:tcPr>
          <w:p w14:paraId="35E6169B" w14:textId="77777777" w:rsidR="00F344A0" w:rsidRPr="009C01D5" w:rsidRDefault="00F344A0" w:rsidP="002A7BB0">
            <w:pPr>
              <w:pStyle w:val="TableTextleftalign"/>
              <w:rPr>
                <w:rFonts w:ascii="Arial Narrow" w:hAnsi="Arial Narrow"/>
                <w:b/>
                <w:sz w:val="20"/>
                <w:szCs w:val="20"/>
              </w:rPr>
            </w:pPr>
            <w:r w:rsidRPr="009C01D5">
              <w:rPr>
                <w:rFonts w:ascii="Arial Narrow" w:hAnsi="Arial Narrow"/>
                <w:b/>
                <w:iCs/>
                <w:sz w:val="20"/>
                <w:szCs w:val="20"/>
              </w:rPr>
              <w:t xml:space="preserve">Aripiprazole </w:t>
            </w:r>
          </w:p>
        </w:tc>
      </w:tr>
      <w:tr w:rsidR="00F344A0" w:rsidRPr="009C01D5" w14:paraId="5CC3D3B0" w14:textId="77777777" w:rsidTr="00FA4235">
        <w:trPr>
          <w:trHeight w:val="20"/>
        </w:trPr>
        <w:tc>
          <w:tcPr>
            <w:tcW w:w="1843" w:type="dxa"/>
            <w:tcBorders>
              <w:bottom w:val="single" w:sz="4" w:space="0" w:color="auto"/>
            </w:tcBorders>
          </w:tcPr>
          <w:p w14:paraId="6BDD0F8B" w14:textId="77777777" w:rsidR="00F344A0" w:rsidRPr="009C01D5" w:rsidRDefault="00F344A0" w:rsidP="002A7BB0">
            <w:pPr>
              <w:pStyle w:val="TableTextleftalign"/>
              <w:rPr>
                <w:rFonts w:ascii="Arial Narrow" w:hAnsi="Arial Narrow"/>
                <w:bCs/>
                <w:sz w:val="20"/>
                <w:szCs w:val="20"/>
              </w:rPr>
            </w:pPr>
            <w:r w:rsidRPr="009C01D5">
              <w:rPr>
                <w:rFonts w:ascii="Arial Narrow" w:hAnsi="Arial Narrow"/>
                <w:iCs/>
                <w:sz w:val="20"/>
                <w:szCs w:val="20"/>
              </w:rPr>
              <w:t xml:space="preserve">Pigott (2003) </w:t>
            </w:r>
          </w:p>
        </w:tc>
        <w:tc>
          <w:tcPr>
            <w:tcW w:w="3636" w:type="dxa"/>
            <w:tcBorders>
              <w:bottom w:val="single" w:sz="4" w:space="0" w:color="auto"/>
            </w:tcBorders>
          </w:tcPr>
          <w:p w14:paraId="1AAA3C76"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Pigott et al. Aripiprazole for the Prevention of relapse in Stabilized Patients With Chronic Schizophrenia: A Placebo-Controlled 26-Week Study</w:t>
            </w:r>
          </w:p>
        </w:tc>
        <w:tc>
          <w:tcPr>
            <w:tcW w:w="3543" w:type="dxa"/>
            <w:tcBorders>
              <w:top w:val="nil"/>
              <w:left w:val="single" w:sz="4" w:space="0" w:color="auto"/>
              <w:bottom w:val="single" w:sz="4" w:space="0" w:color="auto"/>
              <w:right w:val="single" w:sz="4" w:space="0" w:color="auto"/>
            </w:tcBorders>
          </w:tcPr>
          <w:p w14:paraId="0FDE432D"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J Clin Psychiatry 2003</w:t>
            </w:r>
            <w:r w:rsidR="00967438" w:rsidRPr="009C01D5">
              <w:rPr>
                <w:rFonts w:ascii="Arial Narrow" w:hAnsi="Arial Narrow"/>
                <w:sz w:val="20"/>
                <w:szCs w:val="20"/>
              </w:rPr>
              <w:t>; 64</w:t>
            </w:r>
            <w:r w:rsidRPr="009C01D5">
              <w:rPr>
                <w:rFonts w:ascii="Arial Narrow" w:hAnsi="Arial Narrow"/>
                <w:sz w:val="20"/>
                <w:szCs w:val="20"/>
              </w:rPr>
              <w:t>(9):1048-1056.</w:t>
            </w:r>
          </w:p>
        </w:tc>
      </w:tr>
      <w:tr w:rsidR="00F344A0" w:rsidRPr="009C01D5" w14:paraId="211FFBB1" w14:textId="77777777" w:rsidTr="00FA4235">
        <w:trPr>
          <w:trHeight w:val="20"/>
        </w:trPr>
        <w:tc>
          <w:tcPr>
            <w:tcW w:w="9022" w:type="dxa"/>
            <w:gridSpan w:val="3"/>
            <w:tcBorders>
              <w:top w:val="single" w:sz="4" w:space="0" w:color="auto"/>
              <w:left w:val="single" w:sz="4" w:space="0" w:color="auto"/>
              <w:bottom w:val="nil"/>
              <w:right w:val="single" w:sz="4" w:space="0" w:color="auto"/>
            </w:tcBorders>
          </w:tcPr>
          <w:p w14:paraId="5F9CE592" w14:textId="77777777" w:rsidR="00F344A0" w:rsidRPr="009C01D5" w:rsidRDefault="00F344A0" w:rsidP="002A7BB0">
            <w:pPr>
              <w:pStyle w:val="TableTextleftalign"/>
              <w:rPr>
                <w:rFonts w:ascii="Arial Narrow" w:hAnsi="Arial Narrow"/>
                <w:b/>
                <w:sz w:val="20"/>
                <w:szCs w:val="20"/>
              </w:rPr>
            </w:pPr>
            <w:r w:rsidRPr="009C01D5">
              <w:rPr>
                <w:rFonts w:ascii="Arial Narrow" w:hAnsi="Arial Narrow"/>
                <w:b/>
                <w:sz w:val="20"/>
                <w:szCs w:val="20"/>
              </w:rPr>
              <w:t>Brexpiprazole</w:t>
            </w:r>
          </w:p>
        </w:tc>
      </w:tr>
      <w:tr w:rsidR="00F344A0" w:rsidRPr="009C01D5" w14:paraId="7E7CEB3E" w14:textId="77777777" w:rsidTr="00FA4235">
        <w:trPr>
          <w:trHeight w:val="20"/>
        </w:trPr>
        <w:tc>
          <w:tcPr>
            <w:tcW w:w="1843" w:type="dxa"/>
            <w:tcBorders>
              <w:top w:val="single" w:sz="4" w:space="0" w:color="auto"/>
              <w:left w:val="single" w:sz="4" w:space="0" w:color="auto"/>
              <w:bottom w:val="nil"/>
              <w:right w:val="single" w:sz="4" w:space="0" w:color="auto"/>
            </w:tcBorders>
          </w:tcPr>
          <w:p w14:paraId="63076D1F" w14:textId="77777777" w:rsidR="00F344A0" w:rsidRPr="009C01D5" w:rsidRDefault="00F344A0" w:rsidP="002A7BB0">
            <w:pPr>
              <w:pStyle w:val="TableTextleftalign"/>
              <w:rPr>
                <w:rFonts w:ascii="Arial Narrow" w:hAnsi="Arial Narrow"/>
                <w:iCs/>
                <w:sz w:val="20"/>
                <w:szCs w:val="20"/>
              </w:rPr>
            </w:pPr>
            <w:r w:rsidRPr="009C01D5">
              <w:rPr>
                <w:rFonts w:ascii="Arial Narrow" w:hAnsi="Arial Narrow"/>
                <w:bCs/>
                <w:sz w:val="20"/>
                <w:szCs w:val="20"/>
              </w:rPr>
              <w:t>EQUATOR</w:t>
            </w:r>
          </w:p>
        </w:tc>
        <w:tc>
          <w:tcPr>
            <w:tcW w:w="3636" w:type="dxa"/>
            <w:tcBorders>
              <w:top w:val="single" w:sz="4" w:space="0" w:color="auto"/>
              <w:left w:val="single" w:sz="4" w:space="0" w:color="auto"/>
              <w:bottom w:val="nil"/>
              <w:right w:val="single" w:sz="4" w:space="0" w:color="auto"/>
            </w:tcBorders>
          </w:tcPr>
          <w:p w14:paraId="2EF22477" w14:textId="77777777" w:rsidR="00F344A0" w:rsidRPr="009C01D5" w:rsidRDefault="00F344A0" w:rsidP="002A7BB0">
            <w:pPr>
              <w:pStyle w:val="TableTextleftalign"/>
              <w:keepNext/>
              <w:rPr>
                <w:rFonts w:ascii="Arial Narrow" w:hAnsi="Arial Narrow"/>
                <w:sz w:val="20"/>
                <w:szCs w:val="20"/>
              </w:rPr>
            </w:pPr>
            <w:r w:rsidRPr="009C01D5">
              <w:rPr>
                <w:rFonts w:ascii="Arial Narrow" w:hAnsi="Arial Narrow"/>
                <w:sz w:val="20"/>
                <w:szCs w:val="20"/>
              </w:rPr>
              <w:t>Fleischhacker et al. Efficacy and safety of brexpiprazole (OPC-34712) as maintenance treatment in adults with schizophrenia: a randomised, double-blind, placebo-controlled study.</w:t>
            </w:r>
          </w:p>
        </w:tc>
        <w:tc>
          <w:tcPr>
            <w:tcW w:w="3543" w:type="dxa"/>
            <w:tcBorders>
              <w:top w:val="single" w:sz="4" w:space="0" w:color="auto"/>
              <w:left w:val="single" w:sz="4" w:space="0" w:color="auto"/>
              <w:bottom w:val="nil"/>
              <w:right w:val="single" w:sz="4" w:space="0" w:color="auto"/>
            </w:tcBorders>
          </w:tcPr>
          <w:p w14:paraId="1A6DB9C8"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Int J Neuropharmacol, 2017 Jan 1;20(1):11-21</w:t>
            </w:r>
          </w:p>
        </w:tc>
      </w:tr>
      <w:tr w:rsidR="00F344A0" w:rsidRPr="009C01D5" w14:paraId="7534C628" w14:textId="77777777" w:rsidTr="00FA4235">
        <w:trPr>
          <w:trHeight w:val="20"/>
        </w:trPr>
        <w:tc>
          <w:tcPr>
            <w:tcW w:w="1843" w:type="dxa"/>
            <w:tcBorders>
              <w:top w:val="nil"/>
              <w:left w:val="single" w:sz="4" w:space="0" w:color="auto"/>
              <w:bottom w:val="single" w:sz="4" w:space="0" w:color="auto"/>
              <w:right w:val="single" w:sz="4" w:space="0" w:color="auto"/>
            </w:tcBorders>
          </w:tcPr>
          <w:p w14:paraId="1959B591" w14:textId="77777777" w:rsidR="00F344A0" w:rsidRPr="009C01D5" w:rsidRDefault="00F344A0" w:rsidP="002A7BB0">
            <w:pPr>
              <w:pStyle w:val="TableTextleftalign"/>
              <w:rPr>
                <w:rFonts w:ascii="Arial Narrow" w:hAnsi="Arial Narrow"/>
                <w:iCs/>
                <w:sz w:val="20"/>
                <w:szCs w:val="20"/>
              </w:rPr>
            </w:pPr>
          </w:p>
        </w:tc>
        <w:tc>
          <w:tcPr>
            <w:tcW w:w="3636" w:type="dxa"/>
            <w:tcBorders>
              <w:top w:val="nil"/>
              <w:left w:val="single" w:sz="4" w:space="0" w:color="auto"/>
              <w:bottom w:val="single" w:sz="4" w:space="0" w:color="auto"/>
              <w:right w:val="single" w:sz="4" w:space="0" w:color="auto"/>
            </w:tcBorders>
          </w:tcPr>
          <w:p w14:paraId="219741E3" w14:textId="77777777" w:rsidR="00F344A0" w:rsidRPr="009C01D5" w:rsidRDefault="00F344A0" w:rsidP="002A7BB0">
            <w:pPr>
              <w:pStyle w:val="TableTextleftalign"/>
              <w:keepNext/>
              <w:rPr>
                <w:rFonts w:ascii="Arial Narrow" w:hAnsi="Arial Narrow"/>
                <w:sz w:val="20"/>
                <w:szCs w:val="20"/>
              </w:rPr>
            </w:pPr>
            <w:r w:rsidRPr="009C01D5">
              <w:rPr>
                <w:rFonts w:ascii="Arial Narrow" w:hAnsi="Arial Narrow"/>
                <w:bCs/>
                <w:sz w:val="20"/>
                <w:szCs w:val="20"/>
              </w:rPr>
              <w:t>Efficacy, Safety, and Tolerability of Brexpiprazole (OPC-34712) as Maintenance Treatment in Adults With Schizophrenia</w:t>
            </w:r>
            <w:r w:rsidR="002A7BB0" w:rsidRPr="009C01D5">
              <w:rPr>
                <w:rFonts w:ascii="Arial Narrow" w:hAnsi="Arial Narrow"/>
                <w:sz w:val="20"/>
                <w:szCs w:val="20"/>
              </w:rPr>
              <w:t>.</w:t>
            </w:r>
          </w:p>
        </w:tc>
        <w:tc>
          <w:tcPr>
            <w:tcW w:w="3543" w:type="dxa"/>
            <w:tcBorders>
              <w:top w:val="nil"/>
              <w:left w:val="single" w:sz="4" w:space="0" w:color="auto"/>
              <w:bottom w:val="single" w:sz="4" w:space="0" w:color="auto"/>
              <w:right w:val="single" w:sz="4" w:space="0" w:color="auto"/>
            </w:tcBorders>
          </w:tcPr>
          <w:p w14:paraId="42C75C82"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bCs/>
                <w:sz w:val="20"/>
                <w:szCs w:val="20"/>
              </w:rPr>
              <w:t>Clinicaltrials.gov NCT01668797; ICTRP No. 6504056</w:t>
            </w:r>
          </w:p>
        </w:tc>
      </w:tr>
      <w:tr w:rsidR="00F344A0" w:rsidRPr="009C01D5" w14:paraId="7A2CD0EF" w14:textId="77777777" w:rsidTr="00FA4235">
        <w:trPr>
          <w:trHeight w:val="20"/>
        </w:trPr>
        <w:tc>
          <w:tcPr>
            <w:tcW w:w="9022" w:type="dxa"/>
            <w:gridSpan w:val="3"/>
            <w:tcBorders>
              <w:top w:val="single" w:sz="4" w:space="0" w:color="auto"/>
              <w:bottom w:val="single" w:sz="4" w:space="0" w:color="auto"/>
            </w:tcBorders>
            <w:shd w:val="clear" w:color="auto" w:fill="auto"/>
          </w:tcPr>
          <w:p w14:paraId="04A2F20F" w14:textId="77777777" w:rsidR="00F344A0" w:rsidRPr="009C01D5" w:rsidRDefault="00F344A0" w:rsidP="002A7BB0">
            <w:pPr>
              <w:pStyle w:val="TableTextleftalign"/>
              <w:keepNext/>
              <w:rPr>
                <w:rFonts w:ascii="Arial Narrow" w:hAnsi="Arial Narrow"/>
                <w:b/>
                <w:bCs/>
                <w:sz w:val="20"/>
                <w:szCs w:val="20"/>
              </w:rPr>
            </w:pPr>
            <w:r w:rsidRPr="009C01D5">
              <w:rPr>
                <w:rFonts w:ascii="Arial Narrow" w:hAnsi="Arial Narrow"/>
                <w:b/>
                <w:bCs/>
                <w:sz w:val="20"/>
                <w:szCs w:val="20"/>
              </w:rPr>
              <w:t>Open-label extension studies</w:t>
            </w:r>
          </w:p>
        </w:tc>
      </w:tr>
      <w:tr w:rsidR="00F344A0" w:rsidRPr="009C01D5" w14:paraId="2DAC9559" w14:textId="77777777" w:rsidTr="00FA4235">
        <w:trPr>
          <w:trHeight w:val="20"/>
        </w:trPr>
        <w:tc>
          <w:tcPr>
            <w:tcW w:w="1843" w:type="dxa"/>
            <w:tcBorders>
              <w:top w:val="single" w:sz="4" w:space="0" w:color="auto"/>
              <w:left w:val="single" w:sz="4" w:space="0" w:color="auto"/>
              <w:bottom w:val="nil"/>
              <w:right w:val="single" w:sz="4" w:space="0" w:color="auto"/>
            </w:tcBorders>
          </w:tcPr>
          <w:p w14:paraId="24585677" w14:textId="77777777" w:rsidR="00F344A0" w:rsidRPr="009C01D5" w:rsidRDefault="00F344A0" w:rsidP="002A7BB0">
            <w:pPr>
              <w:pStyle w:val="TableTextleftalign"/>
              <w:keepNext/>
              <w:rPr>
                <w:rFonts w:ascii="Arial Narrow" w:hAnsi="Arial Narrow"/>
                <w:bCs/>
                <w:sz w:val="20"/>
                <w:szCs w:val="20"/>
              </w:rPr>
            </w:pPr>
            <w:r w:rsidRPr="009C01D5">
              <w:rPr>
                <w:rFonts w:ascii="Arial Narrow" w:hAnsi="Arial Narrow"/>
                <w:bCs/>
                <w:sz w:val="20"/>
                <w:szCs w:val="20"/>
              </w:rPr>
              <w:t>RGH-MD-11</w:t>
            </w:r>
          </w:p>
          <w:p w14:paraId="6BF9CD99" w14:textId="77777777" w:rsidR="00F344A0" w:rsidRPr="009C01D5" w:rsidRDefault="00F344A0" w:rsidP="002A7BB0">
            <w:pPr>
              <w:pStyle w:val="TableTextleftalign"/>
              <w:keepNext/>
              <w:rPr>
                <w:rFonts w:ascii="Arial Narrow" w:hAnsi="Arial Narrow"/>
                <w:sz w:val="20"/>
                <w:szCs w:val="20"/>
                <w:highlight w:val="yellow"/>
              </w:rPr>
            </w:pPr>
            <w:r w:rsidRPr="009C01D5">
              <w:rPr>
                <w:rFonts w:ascii="Arial Narrow" w:hAnsi="Arial Narrow"/>
                <w:bCs/>
                <w:sz w:val="20"/>
                <w:szCs w:val="20"/>
              </w:rPr>
              <w:t xml:space="preserve">(extension of </w:t>
            </w:r>
            <w:r w:rsidRPr="009C01D5">
              <w:rPr>
                <w:rFonts w:ascii="Arial Narrow" w:hAnsi="Arial Narrow"/>
                <w:bCs/>
                <w:sz w:val="20"/>
                <w:szCs w:val="20"/>
              </w:rPr>
              <w:br/>
              <w:t>RGH-MD-04 and RGH-MD-05)</w:t>
            </w:r>
          </w:p>
          <w:p w14:paraId="69515387" w14:textId="77777777" w:rsidR="00F344A0" w:rsidRPr="009C01D5" w:rsidRDefault="00F344A0" w:rsidP="002A7BB0">
            <w:pPr>
              <w:pStyle w:val="TableTextleftalign"/>
              <w:keepNext/>
              <w:rPr>
                <w:rFonts w:ascii="Arial Narrow" w:hAnsi="Arial Narrow"/>
                <w:sz w:val="20"/>
                <w:szCs w:val="20"/>
                <w:highlight w:val="yellow"/>
              </w:rPr>
            </w:pPr>
          </w:p>
        </w:tc>
        <w:tc>
          <w:tcPr>
            <w:tcW w:w="3636" w:type="dxa"/>
            <w:tcBorders>
              <w:top w:val="single" w:sz="4" w:space="0" w:color="auto"/>
              <w:left w:val="single" w:sz="4" w:space="0" w:color="auto"/>
              <w:bottom w:val="nil"/>
              <w:right w:val="single" w:sz="4" w:space="0" w:color="auto"/>
            </w:tcBorders>
          </w:tcPr>
          <w:p w14:paraId="6FFE4013" w14:textId="77777777" w:rsidR="00F344A0" w:rsidRPr="009C01D5" w:rsidRDefault="00F344A0" w:rsidP="002A7BB0">
            <w:pPr>
              <w:pStyle w:val="TableTextleftalign"/>
              <w:keepNext/>
              <w:rPr>
                <w:rFonts w:ascii="Arial Narrow" w:hAnsi="Arial Narrow"/>
                <w:sz w:val="20"/>
                <w:szCs w:val="20"/>
              </w:rPr>
            </w:pPr>
            <w:r w:rsidRPr="009C01D5">
              <w:rPr>
                <w:rFonts w:ascii="Arial Narrow" w:hAnsi="Arial Narrow"/>
                <w:sz w:val="20"/>
                <w:szCs w:val="20"/>
              </w:rPr>
              <w:t>Evaluation of the Long-term Safety, Tolerability, and Pharmacokinetics of Cariprazine in Patients With Schizophrenia.</w:t>
            </w:r>
          </w:p>
        </w:tc>
        <w:tc>
          <w:tcPr>
            <w:tcW w:w="3543" w:type="dxa"/>
            <w:tcBorders>
              <w:top w:val="single" w:sz="4" w:space="0" w:color="auto"/>
              <w:left w:val="single" w:sz="4" w:space="0" w:color="auto"/>
              <w:bottom w:val="nil"/>
              <w:right w:val="single" w:sz="4" w:space="0" w:color="auto"/>
            </w:tcBorders>
          </w:tcPr>
          <w:p w14:paraId="07ED1789" w14:textId="77777777" w:rsidR="00F344A0" w:rsidRPr="009C01D5" w:rsidRDefault="00F344A0" w:rsidP="002A7BB0">
            <w:pPr>
              <w:pStyle w:val="TableTextleftalign"/>
              <w:keepNext/>
              <w:rPr>
                <w:rFonts w:ascii="Arial Narrow" w:hAnsi="Arial Narrow"/>
                <w:sz w:val="20"/>
                <w:szCs w:val="20"/>
              </w:rPr>
            </w:pPr>
            <w:r w:rsidRPr="009C01D5">
              <w:rPr>
                <w:rFonts w:ascii="Arial Narrow" w:hAnsi="Arial Narrow"/>
                <w:sz w:val="20"/>
                <w:szCs w:val="20"/>
              </w:rPr>
              <w:t>September 2013</w:t>
            </w:r>
          </w:p>
        </w:tc>
      </w:tr>
      <w:tr w:rsidR="00F344A0" w:rsidRPr="009C01D5" w14:paraId="5A8438B4" w14:textId="77777777" w:rsidTr="00FA4235">
        <w:trPr>
          <w:trHeight w:val="20"/>
        </w:trPr>
        <w:tc>
          <w:tcPr>
            <w:tcW w:w="1843" w:type="dxa"/>
            <w:tcBorders>
              <w:top w:val="nil"/>
              <w:left w:val="single" w:sz="4" w:space="0" w:color="auto"/>
              <w:bottom w:val="nil"/>
              <w:right w:val="single" w:sz="4" w:space="0" w:color="auto"/>
            </w:tcBorders>
          </w:tcPr>
          <w:p w14:paraId="50EA421C" w14:textId="77777777" w:rsidR="00F344A0" w:rsidRPr="009C01D5" w:rsidRDefault="00F344A0" w:rsidP="002A7BB0">
            <w:pPr>
              <w:pStyle w:val="TableTextleftalign"/>
              <w:keepNext/>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45F710A7" w14:textId="77777777" w:rsidR="00F344A0" w:rsidRPr="009C01D5" w:rsidRDefault="00F344A0" w:rsidP="002A7BB0">
            <w:pPr>
              <w:pStyle w:val="TableTextleftalign"/>
              <w:keepNext/>
              <w:rPr>
                <w:rFonts w:ascii="Arial Narrow" w:hAnsi="Arial Narrow"/>
                <w:sz w:val="20"/>
                <w:szCs w:val="20"/>
                <w:u w:val="single"/>
              </w:rPr>
            </w:pPr>
            <w:r w:rsidRPr="009C01D5">
              <w:rPr>
                <w:rFonts w:ascii="Arial Narrow" w:hAnsi="Arial Narrow"/>
                <w:sz w:val="20"/>
                <w:szCs w:val="20"/>
              </w:rPr>
              <w:t xml:space="preserve">Cutler et al. Evaluation of the long-term safety and tolerability of cariprazine in patients with schizophrenia: results from a 1-year open-label study. </w:t>
            </w:r>
          </w:p>
        </w:tc>
        <w:tc>
          <w:tcPr>
            <w:tcW w:w="3543" w:type="dxa"/>
            <w:tcBorders>
              <w:top w:val="nil"/>
              <w:left w:val="single" w:sz="4" w:space="0" w:color="auto"/>
              <w:bottom w:val="nil"/>
              <w:right w:val="single" w:sz="4" w:space="0" w:color="auto"/>
            </w:tcBorders>
          </w:tcPr>
          <w:p w14:paraId="3246A066" w14:textId="77777777" w:rsidR="00F344A0" w:rsidRPr="009C01D5" w:rsidRDefault="00F344A0" w:rsidP="002A7BB0">
            <w:pPr>
              <w:pStyle w:val="TableTextleftalign"/>
              <w:keepNext/>
              <w:rPr>
                <w:rFonts w:ascii="Arial Narrow" w:hAnsi="Arial Narrow"/>
                <w:sz w:val="20"/>
                <w:szCs w:val="20"/>
                <w:u w:val="single"/>
              </w:rPr>
            </w:pPr>
            <w:r w:rsidRPr="009C01D5">
              <w:rPr>
                <w:rFonts w:ascii="Arial Narrow" w:hAnsi="Arial Narrow"/>
                <w:sz w:val="20"/>
                <w:szCs w:val="20"/>
              </w:rPr>
              <w:t>CNS Spectrums, 2018;23: 39-50</w:t>
            </w:r>
          </w:p>
        </w:tc>
      </w:tr>
      <w:tr w:rsidR="00F344A0" w:rsidRPr="009C01D5" w14:paraId="7EE6A478" w14:textId="77777777" w:rsidTr="00FA4235">
        <w:trPr>
          <w:trHeight w:val="20"/>
        </w:trPr>
        <w:tc>
          <w:tcPr>
            <w:tcW w:w="1843" w:type="dxa"/>
            <w:tcBorders>
              <w:top w:val="nil"/>
              <w:left w:val="single" w:sz="4" w:space="0" w:color="auto"/>
              <w:bottom w:val="single" w:sz="4" w:space="0" w:color="auto"/>
              <w:right w:val="single" w:sz="4" w:space="0" w:color="auto"/>
            </w:tcBorders>
          </w:tcPr>
          <w:p w14:paraId="1D802E74" w14:textId="77777777" w:rsidR="00F344A0" w:rsidRPr="009C01D5" w:rsidRDefault="00F344A0" w:rsidP="002A7BB0">
            <w:pPr>
              <w:pStyle w:val="TableTextleftalign"/>
              <w:keepNext/>
              <w:rPr>
                <w:rFonts w:ascii="Arial Narrow" w:hAnsi="Arial Narrow"/>
                <w:bCs/>
                <w:sz w:val="20"/>
                <w:szCs w:val="20"/>
              </w:rPr>
            </w:pPr>
          </w:p>
        </w:tc>
        <w:tc>
          <w:tcPr>
            <w:tcW w:w="3636" w:type="dxa"/>
            <w:tcBorders>
              <w:top w:val="nil"/>
              <w:left w:val="single" w:sz="4" w:space="0" w:color="auto"/>
              <w:bottom w:val="single" w:sz="4" w:space="0" w:color="auto"/>
              <w:right w:val="single" w:sz="4" w:space="0" w:color="auto"/>
            </w:tcBorders>
          </w:tcPr>
          <w:p w14:paraId="5982E28B" w14:textId="77777777" w:rsidR="00F344A0" w:rsidRPr="009C01D5" w:rsidRDefault="00F344A0" w:rsidP="002A7BB0">
            <w:pPr>
              <w:pStyle w:val="TableTextleftalign"/>
              <w:keepNext/>
              <w:rPr>
                <w:rFonts w:ascii="Arial Narrow" w:hAnsi="Arial Narrow"/>
                <w:sz w:val="20"/>
                <w:szCs w:val="20"/>
                <w:u w:val="single"/>
              </w:rPr>
            </w:pPr>
            <w:r w:rsidRPr="009C01D5">
              <w:rPr>
                <w:rFonts w:ascii="Arial Narrow" w:hAnsi="Arial Narrow"/>
                <w:sz w:val="20"/>
                <w:szCs w:val="20"/>
              </w:rPr>
              <w:t>Evaluation of the long-term safety, tolerability, and pharmacokinetics of cariprazine in patients with schizophrenia.</w:t>
            </w:r>
          </w:p>
        </w:tc>
        <w:tc>
          <w:tcPr>
            <w:tcW w:w="3543" w:type="dxa"/>
            <w:tcBorders>
              <w:top w:val="nil"/>
              <w:left w:val="single" w:sz="4" w:space="0" w:color="auto"/>
              <w:bottom w:val="single" w:sz="4" w:space="0" w:color="auto"/>
              <w:right w:val="single" w:sz="4" w:space="0" w:color="auto"/>
            </w:tcBorders>
          </w:tcPr>
          <w:p w14:paraId="0D39D680" w14:textId="77777777" w:rsidR="00F344A0" w:rsidRPr="009C01D5" w:rsidRDefault="00F344A0" w:rsidP="002A7BB0">
            <w:pPr>
              <w:pStyle w:val="TableTextleftalign"/>
              <w:keepNext/>
              <w:rPr>
                <w:rFonts w:ascii="Arial Narrow" w:hAnsi="Arial Narrow"/>
                <w:sz w:val="20"/>
                <w:szCs w:val="20"/>
                <w:u w:val="single"/>
              </w:rPr>
            </w:pPr>
            <w:r w:rsidRPr="009C01D5">
              <w:rPr>
                <w:rFonts w:ascii="Arial Narrow" w:hAnsi="Arial Narrow"/>
                <w:sz w:val="20"/>
                <w:szCs w:val="20"/>
              </w:rPr>
              <w:t>Clinicaltrials.gov NCT01104792; ICTRP: 8717945, 8270579</w:t>
            </w:r>
          </w:p>
        </w:tc>
      </w:tr>
      <w:tr w:rsidR="00F344A0" w:rsidRPr="009C01D5" w14:paraId="30A0CFDE" w14:textId="77777777" w:rsidTr="00FA4235">
        <w:trPr>
          <w:trHeight w:val="20"/>
        </w:trPr>
        <w:tc>
          <w:tcPr>
            <w:tcW w:w="1843" w:type="dxa"/>
            <w:tcBorders>
              <w:top w:val="single" w:sz="4" w:space="0" w:color="auto"/>
              <w:left w:val="single" w:sz="4" w:space="0" w:color="auto"/>
              <w:bottom w:val="nil"/>
              <w:right w:val="single" w:sz="4" w:space="0" w:color="auto"/>
            </w:tcBorders>
          </w:tcPr>
          <w:p w14:paraId="714083BB" w14:textId="77777777" w:rsidR="00F344A0" w:rsidRPr="009C01D5" w:rsidRDefault="00F344A0" w:rsidP="002A7BB0">
            <w:pPr>
              <w:pStyle w:val="TableTextleftalign"/>
              <w:rPr>
                <w:rFonts w:ascii="Arial Narrow" w:hAnsi="Arial Narrow"/>
                <w:bCs/>
                <w:sz w:val="20"/>
                <w:szCs w:val="20"/>
              </w:rPr>
            </w:pPr>
            <w:r w:rsidRPr="009C01D5">
              <w:rPr>
                <w:rFonts w:ascii="Arial Narrow" w:hAnsi="Arial Narrow"/>
                <w:bCs/>
                <w:sz w:val="20"/>
                <w:szCs w:val="20"/>
              </w:rPr>
              <w:t>RGH-MD-17</w:t>
            </w:r>
          </w:p>
          <w:p w14:paraId="530A8BC0" w14:textId="77777777" w:rsidR="00F344A0" w:rsidRPr="009C01D5" w:rsidRDefault="00F344A0" w:rsidP="002A7BB0">
            <w:pPr>
              <w:pStyle w:val="TableTextleftalign"/>
              <w:rPr>
                <w:rFonts w:ascii="Arial Narrow" w:hAnsi="Arial Narrow"/>
                <w:bCs/>
                <w:sz w:val="20"/>
                <w:szCs w:val="20"/>
              </w:rPr>
            </w:pPr>
            <w:r w:rsidRPr="009C01D5">
              <w:rPr>
                <w:rFonts w:ascii="Arial Narrow" w:hAnsi="Arial Narrow"/>
                <w:bCs/>
                <w:sz w:val="20"/>
                <w:szCs w:val="20"/>
              </w:rPr>
              <w:t>(extension of</w:t>
            </w:r>
          </w:p>
          <w:p w14:paraId="56A03777" w14:textId="77777777" w:rsidR="00F344A0" w:rsidRPr="009C01D5" w:rsidRDefault="00F344A0" w:rsidP="002A7BB0">
            <w:pPr>
              <w:pStyle w:val="TableTextleftalign"/>
              <w:rPr>
                <w:rFonts w:ascii="Arial Narrow" w:hAnsi="Arial Narrow"/>
                <w:sz w:val="20"/>
                <w:szCs w:val="20"/>
                <w:highlight w:val="yellow"/>
              </w:rPr>
            </w:pPr>
            <w:r w:rsidRPr="009C01D5">
              <w:rPr>
                <w:rFonts w:ascii="Arial Narrow" w:hAnsi="Arial Narrow"/>
                <w:bCs/>
                <w:sz w:val="20"/>
                <w:szCs w:val="20"/>
              </w:rPr>
              <w:t>RGH-MD-16)</w:t>
            </w:r>
          </w:p>
        </w:tc>
        <w:tc>
          <w:tcPr>
            <w:tcW w:w="3636" w:type="dxa"/>
            <w:tcBorders>
              <w:top w:val="single" w:sz="4" w:space="0" w:color="auto"/>
              <w:left w:val="single" w:sz="4" w:space="0" w:color="auto"/>
              <w:bottom w:val="nil"/>
              <w:right w:val="single" w:sz="4" w:space="0" w:color="auto"/>
            </w:tcBorders>
          </w:tcPr>
          <w:p w14:paraId="5B7CAD97"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A Long-term, Open-label Extension Study of the Safety and Tolerability of RGH-188 (Cariprazine) in Patients with Schizophrenia.</w:t>
            </w:r>
          </w:p>
        </w:tc>
        <w:tc>
          <w:tcPr>
            <w:tcW w:w="3543" w:type="dxa"/>
            <w:tcBorders>
              <w:top w:val="single" w:sz="4" w:space="0" w:color="auto"/>
              <w:left w:val="single" w:sz="4" w:space="0" w:color="auto"/>
              <w:bottom w:val="nil"/>
              <w:right w:val="single" w:sz="4" w:space="0" w:color="auto"/>
            </w:tcBorders>
          </w:tcPr>
          <w:p w14:paraId="591C6022"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May 2012</w:t>
            </w:r>
          </w:p>
        </w:tc>
      </w:tr>
      <w:tr w:rsidR="00F344A0" w:rsidRPr="009C01D5" w14:paraId="31578B44" w14:textId="77777777" w:rsidTr="00FA4235">
        <w:trPr>
          <w:trHeight w:val="20"/>
        </w:trPr>
        <w:tc>
          <w:tcPr>
            <w:tcW w:w="1843" w:type="dxa"/>
            <w:tcBorders>
              <w:top w:val="nil"/>
              <w:left w:val="single" w:sz="4" w:space="0" w:color="auto"/>
              <w:bottom w:val="nil"/>
              <w:right w:val="single" w:sz="4" w:space="0" w:color="auto"/>
            </w:tcBorders>
          </w:tcPr>
          <w:p w14:paraId="2453577C"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nil"/>
              <w:right w:val="single" w:sz="4" w:space="0" w:color="auto"/>
            </w:tcBorders>
          </w:tcPr>
          <w:p w14:paraId="2C4FEFBD"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Durgam et al. Safety and tolerability of cariprazine in the long-term treatment of schizophrenia: results from a 48-week, single-arm, open-label extension study. </w:t>
            </w:r>
          </w:p>
        </w:tc>
        <w:tc>
          <w:tcPr>
            <w:tcW w:w="3543" w:type="dxa"/>
            <w:tcBorders>
              <w:top w:val="nil"/>
              <w:left w:val="single" w:sz="4" w:space="0" w:color="auto"/>
              <w:bottom w:val="nil"/>
              <w:right w:val="single" w:sz="4" w:space="0" w:color="auto"/>
            </w:tcBorders>
          </w:tcPr>
          <w:p w14:paraId="11ACE846"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Psychopharmacology (Berl), 2017</w:t>
            </w:r>
            <w:r w:rsidR="00967438" w:rsidRPr="009C01D5">
              <w:rPr>
                <w:rFonts w:ascii="Arial Narrow" w:hAnsi="Arial Narrow"/>
                <w:sz w:val="20"/>
                <w:szCs w:val="20"/>
              </w:rPr>
              <w:t>; 234</w:t>
            </w:r>
            <w:r w:rsidRPr="009C01D5">
              <w:rPr>
                <w:rFonts w:ascii="Arial Narrow" w:hAnsi="Arial Narrow"/>
                <w:sz w:val="20"/>
                <w:szCs w:val="20"/>
              </w:rPr>
              <w:t>(2): 199-209.</w:t>
            </w:r>
          </w:p>
        </w:tc>
      </w:tr>
      <w:tr w:rsidR="00F344A0" w:rsidRPr="009C01D5" w14:paraId="43517995" w14:textId="77777777" w:rsidTr="00FA4235">
        <w:trPr>
          <w:trHeight w:val="20"/>
        </w:trPr>
        <w:tc>
          <w:tcPr>
            <w:tcW w:w="1843" w:type="dxa"/>
            <w:tcBorders>
              <w:top w:val="nil"/>
              <w:left w:val="single" w:sz="4" w:space="0" w:color="auto"/>
              <w:bottom w:val="single" w:sz="4" w:space="0" w:color="auto"/>
              <w:right w:val="single" w:sz="4" w:space="0" w:color="auto"/>
            </w:tcBorders>
          </w:tcPr>
          <w:p w14:paraId="06866E46" w14:textId="77777777" w:rsidR="00F344A0" w:rsidRPr="009C01D5" w:rsidRDefault="00F344A0" w:rsidP="002A7BB0">
            <w:pPr>
              <w:pStyle w:val="TableTextleftalign"/>
              <w:rPr>
                <w:rFonts w:ascii="Arial Narrow" w:hAnsi="Arial Narrow"/>
                <w:bCs/>
                <w:sz w:val="20"/>
                <w:szCs w:val="20"/>
              </w:rPr>
            </w:pPr>
          </w:p>
        </w:tc>
        <w:tc>
          <w:tcPr>
            <w:tcW w:w="3636" w:type="dxa"/>
            <w:tcBorders>
              <w:top w:val="nil"/>
              <w:left w:val="single" w:sz="4" w:space="0" w:color="auto"/>
              <w:bottom w:val="single" w:sz="4" w:space="0" w:color="auto"/>
              <w:right w:val="single" w:sz="4" w:space="0" w:color="auto"/>
            </w:tcBorders>
          </w:tcPr>
          <w:p w14:paraId="6E411A3D" w14:textId="77777777" w:rsidR="00F344A0" w:rsidRPr="009C01D5" w:rsidRDefault="00F344A0" w:rsidP="002A7BB0">
            <w:pPr>
              <w:pStyle w:val="TableTextleftalign"/>
              <w:rPr>
                <w:rFonts w:ascii="Arial Narrow" w:hAnsi="Arial Narrow"/>
                <w:sz w:val="20"/>
                <w:szCs w:val="20"/>
              </w:rPr>
            </w:pPr>
            <w:r w:rsidRPr="009C01D5">
              <w:rPr>
                <w:rFonts w:ascii="Arial Narrow" w:hAnsi="Arial Narrow"/>
                <w:sz w:val="20"/>
                <w:szCs w:val="20"/>
              </w:rPr>
              <w:t xml:space="preserve">A long-term, open-label extension study of the safety and tolerability of RGH-188 (cariprazine) in patients with schizophrenia. </w:t>
            </w:r>
          </w:p>
        </w:tc>
        <w:tc>
          <w:tcPr>
            <w:tcW w:w="3543" w:type="dxa"/>
            <w:tcBorders>
              <w:top w:val="nil"/>
              <w:left w:val="single" w:sz="4" w:space="0" w:color="auto"/>
              <w:bottom w:val="single" w:sz="4" w:space="0" w:color="auto"/>
              <w:right w:val="single" w:sz="4" w:space="0" w:color="auto"/>
            </w:tcBorders>
          </w:tcPr>
          <w:p w14:paraId="529899CF" w14:textId="77777777" w:rsidR="00F344A0" w:rsidRPr="009C01D5" w:rsidRDefault="00F344A0" w:rsidP="002A7BB0">
            <w:pPr>
              <w:pStyle w:val="TableTextleftalign"/>
              <w:rPr>
                <w:rFonts w:ascii="Arial Narrow" w:hAnsi="Arial Narrow"/>
                <w:sz w:val="20"/>
                <w:szCs w:val="20"/>
                <w:u w:val="single"/>
              </w:rPr>
            </w:pPr>
            <w:r w:rsidRPr="009C01D5">
              <w:rPr>
                <w:rFonts w:ascii="Arial Narrow" w:hAnsi="Arial Narrow"/>
                <w:sz w:val="20"/>
                <w:szCs w:val="20"/>
              </w:rPr>
              <w:t>Clinicaltrials.gov NCT00839852; ICTRP No. 8270313, 8717030</w:t>
            </w:r>
          </w:p>
        </w:tc>
      </w:tr>
    </w:tbl>
    <w:p w14:paraId="27B22BBD" w14:textId="77777777" w:rsidR="00936AB1" w:rsidRPr="009C01D5" w:rsidRDefault="00936AB1" w:rsidP="002E5421">
      <w:pPr>
        <w:pStyle w:val="In-tableHeading"/>
        <w:jc w:val="both"/>
        <w:rPr>
          <w:b w:val="0"/>
          <w:sz w:val="18"/>
          <w:szCs w:val="18"/>
          <w:lang w:val="en-AU"/>
        </w:rPr>
      </w:pPr>
      <w:r w:rsidRPr="009C01D5">
        <w:rPr>
          <w:b w:val="0"/>
          <w:sz w:val="18"/>
          <w:szCs w:val="18"/>
          <w:lang w:val="en-AU"/>
        </w:rPr>
        <w:t>Source: Table 2.2.1 p54 of the submission</w:t>
      </w:r>
    </w:p>
    <w:p w14:paraId="7944A6A2" w14:textId="77777777" w:rsidR="00792C7E" w:rsidRPr="009C01D5" w:rsidRDefault="00792C7E" w:rsidP="002E5421">
      <w:pPr>
        <w:pStyle w:val="In-tableHeading"/>
        <w:jc w:val="both"/>
        <w:rPr>
          <w:b w:val="0"/>
          <w:sz w:val="18"/>
          <w:szCs w:val="18"/>
          <w:lang w:val="en-AU"/>
        </w:rPr>
      </w:pPr>
      <w:r w:rsidRPr="009C01D5">
        <w:rPr>
          <w:b w:val="0"/>
          <w:sz w:val="18"/>
          <w:szCs w:val="18"/>
          <w:lang w:val="en-AU"/>
        </w:rPr>
        <w:t xml:space="preserve">Note: </w:t>
      </w:r>
      <w:r w:rsidR="00CD3356" w:rsidRPr="009C01D5">
        <w:rPr>
          <w:b w:val="0"/>
          <w:sz w:val="18"/>
          <w:szCs w:val="18"/>
          <w:lang w:val="en-AU"/>
        </w:rPr>
        <w:t>The table only shows the main publications</w:t>
      </w:r>
      <w:r w:rsidR="00A02F44" w:rsidRPr="009C01D5">
        <w:rPr>
          <w:b w:val="0"/>
          <w:sz w:val="18"/>
          <w:szCs w:val="18"/>
          <w:lang w:val="en-AU"/>
        </w:rPr>
        <w:t xml:space="preserve"> and associated reports</w:t>
      </w:r>
      <w:r w:rsidR="00CD3356" w:rsidRPr="009C01D5">
        <w:rPr>
          <w:b w:val="0"/>
          <w:sz w:val="18"/>
          <w:szCs w:val="18"/>
          <w:lang w:val="en-AU"/>
        </w:rPr>
        <w:t xml:space="preserve"> for the included trials</w:t>
      </w:r>
      <w:r w:rsidR="009C01D5">
        <w:rPr>
          <w:b w:val="0"/>
          <w:sz w:val="18"/>
          <w:szCs w:val="18"/>
          <w:lang w:val="en-AU"/>
        </w:rPr>
        <w:t xml:space="preserve">. </w:t>
      </w:r>
      <w:r w:rsidR="00CD3356" w:rsidRPr="009C01D5">
        <w:rPr>
          <w:b w:val="0"/>
          <w:sz w:val="18"/>
          <w:szCs w:val="18"/>
          <w:lang w:val="en-AU"/>
        </w:rPr>
        <w:t>The full list of list of</w:t>
      </w:r>
      <w:r w:rsidR="00A02F44" w:rsidRPr="009C01D5">
        <w:rPr>
          <w:b w:val="0"/>
          <w:sz w:val="18"/>
          <w:szCs w:val="18"/>
          <w:lang w:val="en-AU"/>
        </w:rPr>
        <w:t xml:space="preserve"> publications/associated reports is</w:t>
      </w:r>
      <w:r w:rsidR="00CD3356" w:rsidRPr="009C01D5">
        <w:rPr>
          <w:b w:val="0"/>
          <w:sz w:val="18"/>
          <w:szCs w:val="18"/>
          <w:lang w:val="en-AU"/>
        </w:rPr>
        <w:t xml:space="preserve"> </w:t>
      </w:r>
      <w:r w:rsidR="00A02F44" w:rsidRPr="009C01D5">
        <w:rPr>
          <w:b w:val="0"/>
          <w:sz w:val="18"/>
          <w:szCs w:val="18"/>
          <w:lang w:val="en-AU"/>
        </w:rPr>
        <w:t xml:space="preserve">provided in </w:t>
      </w:r>
      <w:r w:rsidR="00512BBE" w:rsidRPr="009C01D5">
        <w:rPr>
          <w:b w:val="0"/>
          <w:sz w:val="18"/>
          <w:szCs w:val="18"/>
          <w:lang w:val="en-AU"/>
        </w:rPr>
        <w:t>Table 2.2.1, pg</w:t>
      </w:r>
      <w:r w:rsidR="0097757F" w:rsidRPr="009C01D5">
        <w:rPr>
          <w:b w:val="0"/>
          <w:sz w:val="18"/>
          <w:szCs w:val="18"/>
          <w:lang w:val="en-AU"/>
        </w:rPr>
        <w:t>54 of the submission.</w:t>
      </w:r>
    </w:p>
    <w:p w14:paraId="59B97ECD" w14:textId="77777777" w:rsidR="00936AB1" w:rsidRPr="009C01D5" w:rsidRDefault="00F344A0" w:rsidP="00CD3BC7">
      <w:pPr>
        <w:pStyle w:val="In-tableHeading"/>
        <w:numPr>
          <w:ilvl w:val="0"/>
          <w:numId w:val="13"/>
        </w:numPr>
        <w:spacing w:after="120"/>
        <w:ind w:left="142" w:hanging="142"/>
        <w:jc w:val="both"/>
        <w:rPr>
          <w:b w:val="0"/>
          <w:sz w:val="18"/>
          <w:szCs w:val="18"/>
          <w:lang w:val="en-AU"/>
        </w:rPr>
      </w:pPr>
      <w:r w:rsidRPr="009C01D5">
        <w:rPr>
          <w:b w:val="0"/>
          <w:sz w:val="18"/>
          <w:szCs w:val="18"/>
          <w:lang w:val="en-AU"/>
        </w:rPr>
        <w:t>RGH-MD-04, STEP-203 also included an aripiprazole positive control arm.</w:t>
      </w:r>
    </w:p>
    <w:p w14:paraId="3C425251" w14:textId="77777777" w:rsidR="00936AB1" w:rsidRPr="009C01D5" w:rsidRDefault="00936AB1" w:rsidP="00936AB1">
      <w:pPr>
        <w:pStyle w:val="3-BodyText"/>
        <w:rPr>
          <w:rFonts w:ascii="Arial Narrow" w:hAnsi="Arial Narrow"/>
          <w:b/>
          <w:sz w:val="20"/>
        </w:rPr>
      </w:pPr>
      <w:r w:rsidRPr="009C01D5">
        <w:t>The key features of the included trials are presented in Table 3.</w:t>
      </w:r>
    </w:p>
    <w:p w14:paraId="575CD114" w14:textId="77777777" w:rsidR="00936AB1" w:rsidRPr="009C01D5" w:rsidRDefault="00936AB1" w:rsidP="00936AB1">
      <w:pPr>
        <w:pStyle w:val="TableFigureHeading"/>
        <w:rPr>
          <w:rStyle w:val="TableFigureHeadingChar"/>
          <w:b/>
          <w:bCs/>
        </w:rPr>
      </w:pPr>
      <w:bookmarkStart w:id="15" w:name="_Ref50100911"/>
      <w:r w:rsidRPr="009C01D5">
        <w:t>Tab</w:t>
      </w:r>
      <w:r w:rsidRPr="009C01D5">
        <w:rPr>
          <w:rStyle w:val="TableFigureHeadingChar"/>
          <w:b/>
          <w:bCs/>
        </w:rPr>
        <w:t>le</w:t>
      </w:r>
      <w:bookmarkEnd w:id="15"/>
      <w:r w:rsidRPr="009C01D5">
        <w:rPr>
          <w:rStyle w:val="TableFigureHeadingChar"/>
          <w:b/>
          <w:bCs/>
        </w:rPr>
        <w:t xml:space="preserve"> 3: Key features of the included evidence</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1"/>
        <w:gridCol w:w="968"/>
        <w:gridCol w:w="1222"/>
        <w:gridCol w:w="812"/>
        <w:gridCol w:w="2789"/>
        <w:gridCol w:w="1542"/>
      </w:tblGrid>
      <w:tr w:rsidR="00936AB1" w:rsidRPr="009C01D5" w14:paraId="150FFEEA" w14:textId="77777777" w:rsidTr="000B01B2">
        <w:trPr>
          <w:cantSplit/>
          <w:trHeight w:val="20"/>
          <w:tblHeader/>
        </w:trPr>
        <w:tc>
          <w:tcPr>
            <w:tcW w:w="854" w:type="pct"/>
            <w:shd w:val="clear" w:color="auto" w:fill="auto"/>
          </w:tcPr>
          <w:p w14:paraId="1ECDDC70" w14:textId="77777777" w:rsidR="00936AB1" w:rsidRPr="009C01D5" w:rsidRDefault="00936AB1" w:rsidP="002C5E3C">
            <w:pPr>
              <w:pStyle w:val="In-tableHeading"/>
              <w:keepNext w:val="0"/>
              <w:widowControl w:val="0"/>
              <w:contextualSpacing/>
              <w:rPr>
                <w:szCs w:val="20"/>
                <w:lang w:val="en-AU"/>
              </w:rPr>
            </w:pPr>
            <w:r w:rsidRPr="009C01D5">
              <w:rPr>
                <w:szCs w:val="20"/>
                <w:lang w:val="en-AU"/>
              </w:rPr>
              <w:t>Trial</w:t>
            </w:r>
          </w:p>
        </w:tc>
        <w:tc>
          <w:tcPr>
            <w:tcW w:w="547" w:type="pct"/>
            <w:shd w:val="clear" w:color="auto" w:fill="auto"/>
          </w:tcPr>
          <w:p w14:paraId="5A8E64F1" w14:textId="77777777" w:rsidR="00936AB1" w:rsidRPr="009C01D5" w:rsidRDefault="00936AB1" w:rsidP="002C5E3C">
            <w:pPr>
              <w:pStyle w:val="In-tableHeading"/>
              <w:keepNext w:val="0"/>
              <w:widowControl w:val="0"/>
              <w:contextualSpacing/>
              <w:jc w:val="center"/>
              <w:rPr>
                <w:szCs w:val="20"/>
                <w:lang w:val="en-AU"/>
              </w:rPr>
            </w:pPr>
            <w:r w:rsidRPr="009C01D5">
              <w:rPr>
                <w:szCs w:val="20"/>
                <w:lang w:val="en-AU"/>
              </w:rPr>
              <w:t>N</w:t>
            </w:r>
          </w:p>
        </w:tc>
        <w:tc>
          <w:tcPr>
            <w:tcW w:w="691" w:type="pct"/>
            <w:shd w:val="clear" w:color="auto" w:fill="auto"/>
          </w:tcPr>
          <w:p w14:paraId="23C34A7E" w14:textId="77777777" w:rsidR="00936AB1" w:rsidRPr="009C01D5" w:rsidRDefault="00936AB1" w:rsidP="002C5E3C">
            <w:pPr>
              <w:pStyle w:val="In-tableHeading"/>
              <w:keepNext w:val="0"/>
              <w:widowControl w:val="0"/>
              <w:contextualSpacing/>
              <w:jc w:val="center"/>
              <w:rPr>
                <w:szCs w:val="20"/>
                <w:lang w:val="en-AU"/>
              </w:rPr>
            </w:pPr>
            <w:r w:rsidRPr="009C01D5">
              <w:rPr>
                <w:szCs w:val="20"/>
                <w:lang w:val="en-AU"/>
              </w:rPr>
              <w:t>Design/ duration</w:t>
            </w:r>
          </w:p>
        </w:tc>
        <w:tc>
          <w:tcPr>
            <w:tcW w:w="459" w:type="pct"/>
            <w:shd w:val="clear" w:color="auto" w:fill="auto"/>
          </w:tcPr>
          <w:p w14:paraId="160D8E8E" w14:textId="77777777" w:rsidR="00936AB1" w:rsidRPr="009C01D5" w:rsidRDefault="00936AB1" w:rsidP="002C5E3C">
            <w:pPr>
              <w:pStyle w:val="In-tableHeading"/>
              <w:keepNext w:val="0"/>
              <w:widowControl w:val="0"/>
              <w:contextualSpacing/>
              <w:jc w:val="center"/>
              <w:rPr>
                <w:szCs w:val="20"/>
                <w:lang w:val="en-AU"/>
              </w:rPr>
            </w:pPr>
            <w:r w:rsidRPr="009C01D5">
              <w:rPr>
                <w:szCs w:val="20"/>
                <w:lang w:val="en-AU"/>
              </w:rPr>
              <w:t>Risk of bias</w:t>
            </w:r>
          </w:p>
        </w:tc>
        <w:tc>
          <w:tcPr>
            <w:tcW w:w="1577" w:type="pct"/>
            <w:shd w:val="clear" w:color="auto" w:fill="auto"/>
          </w:tcPr>
          <w:p w14:paraId="21229BB4" w14:textId="77777777" w:rsidR="00936AB1" w:rsidRPr="009C01D5" w:rsidRDefault="00936AB1" w:rsidP="00023F66">
            <w:pPr>
              <w:pStyle w:val="In-tableHeading"/>
              <w:keepNext w:val="0"/>
              <w:widowControl w:val="0"/>
              <w:contextualSpacing/>
              <w:jc w:val="center"/>
              <w:rPr>
                <w:szCs w:val="20"/>
                <w:lang w:val="en-AU"/>
              </w:rPr>
            </w:pPr>
            <w:r w:rsidRPr="009C01D5">
              <w:rPr>
                <w:szCs w:val="20"/>
                <w:lang w:val="en-AU"/>
              </w:rPr>
              <w:t>Patient population</w:t>
            </w:r>
          </w:p>
        </w:tc>
        <w:tc>
          <w:tcPr>
            <w:tcW w:w="872" w:type="pct"/>
            <w:shd w:val="clear" w:color="auto" w:fill="auto"/>
          </w:tcPr>
          <w:p w14:paraId="47BC121F" w14:textId="77777777" w:rsidR="00936AB1" w:rsidRPr="009C01D5" w:rsidRDefault="00936AB1" w:rsidP="00023F66">
            <w:pPr>
              <w:pStyle w:val="In-tableHeading"/>
              <w:keepNext w:val="0"/>
              <w:widowControl w:val="0"/>
              <w:contextualSpacing/>
              <w:jc w:val="center"/>
              <w:rPr>
                <w:szCs w:val="20"/>
                <w:lang w:val="en-AU"/>
              </w:rPr>
            </w:pPr>
            <w:r w:rsidRPr="009C01D5">
              <w:rPr>
                <w:szCs w:val="20"/>
                <w:lang w:val="en-AU"/>
              </w:rPr>
              <w:t>Outcome(s)</w:t>
            </w:r>
          </w:p>
        </w:tc>
      </w:tr>
      <w:tr w:rsidR="00936AB1" w:rsidRPr="009C01D5" w14:paraId="6D21A328" w14:textId="77777777" w:rsidTr="002C5E3C">
        <w:trPr>
          <w:cantSplit/>
          <w:trHeight w:val="20"/>
          <w:tblHeader/>
        </w:trPr>
        <w:tc>
          <w:tcPr>
            <w:tcW w:w="5000" w:type="pct"/>
            <w:gridSpan w:val="6"/>
            <w:shd w:val="clear" w:color="auto" w:fill="auto"/>
          </w:tcPr>
          <w:p w14:paraId="21B30DB5" w14:textId="77777777" w:rsidR="00936AB1" w:rsidRPr="009C01D5" w:rsidRDefault="00936AB1" w:rsidP="00023F66">
            <w:pPr>
              <w:pStyle w:val="In-tableHeading"/>
              <w:keepNext w:val="0"/>
              <w:widowControl w:val="0"/>
              <w:rPr>
                <w:szCs w:val="20"/>
                <w:lang w:val="en-AU"/>
              </w:rPr>
            </w:pPr>
            <w:r w:rsidRPr="009C01D5">
              <w:rPr>
                <w:szCs w:val="20"/>
                <w:lang w:val="en-AU"/>
              </w:rPr>
              <w:t xml:space="preserve">Acute setting </w:t>
            </w:r>
          </w:p>
        </w:tc>
      </w:tr>
      <w:tr w:rsidR="00936AB1" w:rsidRPr="009C01D5" w14:paraId="60E2C8BD" w14:textId="77777777" w:rsidTr="002C5E3C">
        <w:trPr>
          <w:cantSplit/>
          <w:trHeight w:val="20"/>
        </w:trPr>
        <w:tc>
          <w:tcPr>
            <w:tcW w:w="5000" w:type="pct"/>
            <w:gridSpan w:val="6"/>
            <w:shd w:val="clear" w:color="auto" w:fill="auto"/>
          </w:tcPr>
          <w:p w14:paraId="3E7D1D88" w14:textId="77777777" w:rsidR="00936AB1" w:rsidRPr="009C01D5" w:rsidRDefault="00936AB1" w:rsidP="00023F66">
            <w:pPr>
              <w:pStyle w:val="In-tableHeading"/>
              <w:keepNext w:val="0"/>
              <w:widowControl w:val="0"/>
              <w:rPr>
                <w:szCs w:val="20"/>
                <w:lang w:val="en-AU"/>
              </w:rPr>
            </w:pPr>
            <w:r w:rsidRPr="009C01D5">
              <w:rPr>
                <w:szCs w:val="20"/>
                <w:lang w:val="en-AU"/>
              </w:rPr>
              <w:t>Cariprazine</w:t>
            </w:r>
          </w:p>
        </w:tc>
      </w:tr>
      <w:tr w:rsidR="00936AB1" w:rsidRPr="009C01D5" w14:paraId="0B5076D3" w14:textId="77777777" w:rsidTr="000B01B2">
        <w:trPr>
          <w:cantSplit/>
          <w:trHeight w:val="20"/>
        </w:trPr>
        <w:tc>
          <w:tcPr>
            <w:tcW w:w="854" w:type="pct"/>
            <w:tcBorders>
              <w:top w:val="single" w:sz="4" w:space="0" w:color="auto"/>
            </w:tcBorders>
          </w:tcPr>
          <w:p w14:paraId="773BEECC" w14:textId="77777777" w:rsidR="00936AB1" w:rsidRPr="009C01D5" w:rsidRDefault="00936AB1" w:rsidP="002C5E3C">
            <w:pPr>
              <w:pStyle w:val="TableText0"/>
              <w:keepNext w:val="0"/>
              <w:widowControl w:val="0"/>
              <w:rPr>
                <w:szCs w:val="20"/>
                <w:vertAlign w:val="superscript"/>
              </w:rPr>
            </w:pPr>
            <w:r w:rsidRPr="009C01D5">
              <w:rPr>
                <w:szCs w:val="20"/>
              </w:rPr>
              <w:t>RGH-MD-04</w:t>
            </w:r>
            <w:r w:rsidRPr="009C01D5">
              <w:rPr>
                <w:szCs w:val="20"/>
                <w:vertAlign w:val="superscript"/>
              </w:rPr>
              <w:t>1</w:t>
            </w:r>
          </w:p>
        </w:tc>
        <w:tc>
          <w:tcPr>
            <w:tcW w:w="547" w:type="pct"/>
            <w:shd w:val="clear" w:color="auto" w:fill="auto"/>
          </w:tcPr>
          <w:p w14:paraId="5144F6C7" w14:textId="77777777" w:rsidR="00936AB1" w:rsidRPr="009C01D5" w:rsidRDefault="00936AB1" w:rsidP="002C5E3C">
            <w:pPr>
              <w:pStyle w:val="TableText0"/>
              <w:keepNext w:val="0"/>
              <w:widowControl w:val="0"/>
              <w:jc w:val="center"/>
              <w:rPr>
                <w:szCs w:val="20"/>
              </w:rPr>
            </w:pPr>
            <w:r w:rsidRPr="009C01D5">
              <w:rPr>
                <w:szCs w:val="20"/>
              </w:rPr>
              <w:t>604</w:t>
            </w:r>
          </w:p>
        </w:tc>
        <w:tc>
          <w:tcPr>
            <w:tcW w:w="691" w:type="pct"/>
            <w:shd w:val="clear" w:color="auto" w:fill="auto"/>
          </w:tcPr>
          <w:p w14:paraId="5DBC1512" w14:textId="77777777" w:rsidR="00936AB1" w:rsidRPr="009C01D5" w:rsidRDefault="00936AB1" w:rsidP="002C5E3C">
            <w:pPr>
              <w:pStyle w:val="TableText0"/>
              <w:keepNext w:val="0"/>
              <w:widowControl w:val="0"/>
              <w:jc w:val="center"/>
              <w:rPr>
                <w:szCs w:val="20"/>
              </w:rPr>
            </w:pPr>
            <w:r w:rsidRPr="009C01D5">
              <w:rPr>
                <w:szCs w:val="20"/>
              </w:rPr>
              <w:t>Phase III, R, DB</w:t>
            </w:r>
          </w:p>
          <w:p w14:paraId="13813925" w14:textId="77777777" w:rsidR="00936AB1" w:rsidRPr="009C01D5" w:rsidRDefault="00936AB1" w:rsidP="002C5E3C">
            <w:pPr>
              <w:pStyle w:val="TableText0"/>
              <w:keepNext w:val="0"/>
              <w:widowControl w:val="0"/>
              <w:jc w:val="center"/>
              <w:rPr>
                <w:szCs w:val="20"/>
              </w:rPr>
            </w:pPr>
            <w:r w:rsidRPr="009C01D5">
              <w:rPr>
                <w:szCs w:val="20"/>
              </w:rPr>
              <w:t>6 weeks</w:t>
            </w:r>
          </w:p>
        </w:tc>
        <w:tc>
          <w:tcPr>
            <w:tcW w:w="459" w:type="pct"/>
            <w:shd w:val="clear" w:color="auto" w:fill="auto"/>
          </w:tcPr>
          <w:p w14:paraId="5F79FF9B"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664FBBDE" w14:textId="77777777" w:rsidR="00936AB1" w:rsidRPr="009C01D5" w:rsidRDefault="00936AB1" w:rsidP="00023F66">
            <w:pPr>
              <w:pStyle w:val="TableText0"/>
              <w:keepNext w:val="0"/>
              <w:widowControl w:val="0"/>
              <w:rPr>
                <w:szCs w:val="20"/>
              </w:rPr>
            </w:pPr>
            <w:r w:rsidRPr="009C01D5">
              <w:rPr>
                <w:szCs w:val="20"/>
              </w:rPr>
              <w:t>Adults (18–60 years) with an acute exacerbation of schizophrenia.</w:t>
            </w:r>
          </w:p>
        </w:tc>
        <w:tc>
          <w:tcPr>
            <w:tcW w:w="872" w:type="pct"/>
            <w:shd w:val="clear" w:color="auto" w:fill="auto"/>
          </w:tcPr>
          <w:p w14:paraId="1BE71655" w14:textId="77777777" w:rsidR="00936AB1" w:rsidRPr="009C01D5" w:rsidRDefault="00936AB1" w:rsidP="00023F66">
            <w:pPr>
              <w:pStyle w:val="TableText0"/>
              <w:keepNext w:val="0"/>
              <w:widowControl w:val="0"/>
              <w:rPr>
                <w:szCs w:val="20"/>
              </w:rPr>
            </w:pPr>
            <w:r w:rsidRPr="009C01D5">
              <w:rPr>
                <w:szCs w:val="20"/>
              </w:rPr>
              <w:t xml:space="preserve">Efficacy and safety </w:t>
            </w:r>
          </w:p>
        </w:tc>
      </w:tr>
      <w:tr w:rsidR="000B01B2" w:rsidRPr="009C01D5" w14:paraId="0C67228E" w14:textId="77777777" w:rsidTr="000B01B2">
        <w:trPr>
          <w:cantSplit/>
          <w:trHeight w:val="20"/>
        </w:trPr>
        <w:tc>
          <w:tcPr>
            <w:tcW w:w="854" w:type="pct"/>
          </w:tcPr>
          <w:p w14:paraId="28EB3C1E" w14:textId="77777777" w:rsidR="000B01B2" w:rsidRPr="009C01D5" w:rsidRDefault="000B01B2" w:rsidP="00BB2BB1">
            <w:pPr>
              <w:pStyle w:val="TableText0"/>
              <w:keepNext w:val="0"/>
              <w:widowControl w:val="0"/>
              <w:rPr>
                <w:szCs w:val="20"/>
              </w:rPr>
            </w:pPr>
            <w:r w:rsidRPr="009C01D5">
              <w:rPr>
                <w:szCs w:val="20"/>
              </w:rPr>
              <w:t>RGH-MD-05</w:t>
            </w:r>
          </w:p>
        </w:tc>
        <w:tc>
          <w:tcPr>
            <w:tcW w:w="547" w:type="pct"/>
            <w:shd w:val="clear" w:color="auto" w:fill="auto"/>
          </w:tcPr>
          <w:p w14:paraId="636E1EF7" w14:textId="77777777" w:rsidR="000B01B2" w:rsidRPr="009C01D5" w:rsidRDefault="000B01B2" w:rsidP="00BB2BB1">
            <w:pPr>
              <w:pStyle w:val="TableText0"/>
              <w:keepNext w:val="0"/>
              <w:widowControl w:val="0"/>
              <w:jc w:val="center"/>
              <w:rPr>
                <w:szCs w:val="20"/>
              </w:rPr>
            </w:pPr>
            <w:r w:rsidRPr="009C01D5">
              <w:rPr>
                <w:szCs w:val="20"/>
              </w:rPr>
              <w:t>439</w:t>
            </w:r>
          </w:p>
        </w:tc>
        <w:tc>
          <w:tcPr>
            <w:tcW w:w="691" w:type="pct"/>
            <w:shd w:val="clear" w:color="auto" w:fill="auto"/>
          </w:tcPr>
          <w:p w14:paraId="12A6E24B" w14:textId="77777777" w:rsidR="000B01B2" w:rsidRPr="009C01D5" w:rsidRDefault="000B01B2" w:rsidP="00BB2BB1">
            <w:pPr>
              <w:pStyle w:val="TableText0"/>
              <w:keepNext w:val="0"/>
              <w:widowControl w:val="0"/>
              <w:jc w:val="center"/>
              <w:rPr>
                <w:szCs w:val="20"/>
              </w:rPr>
            </w:pPr>
            <w:r w:rsidRPr="009C01D5">
              <w:rPr>
                <w:szCs w:val="20"/>
              </w:rPr>
              <w:t>Phase III, MC, R, DB</w:t>
            </w:r>
          </w:p>
          <w:p w14:paraId="274414B0" w14:textId="77777777" w:rsidR="000B01B2" w:rsidRPr="009C01D5" w:rsidRDefault="000B01B2" w:rsidP="00BB2BB1">
            <w:pPr>
              <w:pStyle w:val="TableText0"/>
              <w:keepNext w:val="0"/>
              <w:widowControl w:val="0"/>
              <w:jc w:val="center"/>
              <w:rPr>
                <w:szCs w:val="20"/>
              </w:rPr>
            </w:pPr>
            <w:r w:rsidRPr="009C01D5">
              <w:rPr>
                <w:szCs w:val="20"/>
              </w:rPr>
              <w:t>6 weeks</w:t>
            </w:r>
          </w:p>
        </w:tc>
        <w:tc>
          <w:tcPr>
            <w:tcW w:w="459" w:type="pct"/>
            <w:shd w:val="clear" w:color="auto" w:fill="auto"/>
          </w:tcPr>
          <w:p w14:paraId="79DA7BAD" w14:textId="77777777" w:rsidR="000B01B2" w:rsidRPr="009C01D5" w:rsidRDefault="000B01B2" w:rsidP="00BB2BB1">
            <w:pPr>
              <w:pStyle w:val="TableText0"/>
              <w:keepNext w:val="0"/>
              <w:widowControl w:val="0"/>
              <w:jc w:val="center"/>
              <w:rPr>
                <w:szCs w:val="20"/>
              </w:rPr>
            </w:pPr>
            <w:r w:rsidRPr="009C01D5">
              <w:rPr>
                <w:szCs w:val="20"/>
              </w:rPr>
              <w:t>Low</w:t>
            </w:r>
          </w:p>
        </w:tc>
        <w:tc>
          <w:tcPr>
            <w:tcW w:w="1577" w:type="pct"/>
            <w:shd w:val="clear" w:color="auto" w:fill="auto"/>
          </w:tcPr>
          <w:p w14:paraId="4DC79096" w14:textId="77777777" w:rsidR="000B01B2" w:rsidRPr="009C01D5" w:rsidRDefault="000B01B2" w:rsidP="00BB2BB1">
            <w:pPr>
              <w:pStyle w:val="TableText0"/>
              <w:keepNext w:val="0"/>
              <w:widowControl w:val="0"/>
              <w:rPr>
                <w:szCs w:val="20"/>
              </w:rPr>
            </w:pPr>
            <w:r w:rsidRPr="009C01D5">
              <w:rPr>
                <w:szCs w:val="20"/>
              </w:rPr>
              <w:t>Adults (18–60 years) with an acute exacerbation of schizophrenia</w:t>
            </w:r>
          </w:p>
        </w:tc>
        <w:tc>
          <w:tcPr>
            <w:tcW w:w="872" w:type="pct"/>
            <w:shd w:val="clear" w:color="auto" w:fill="auto"/>
          </w:tcPr>
          <w:p w14:paraId="7C02A454" w14:textId="77777777" w:rsidR="000B01B2" w:rsidRPr="009C01D5" w:rsidRDefault="000B01B2" w:rsidP="00BB2BB1">
            <w:pPr>
              <w:pStyle w:val="TableText0"/>
              <w:keepNext w:val="0"/>
              <w:widowControl w:val="0"/>
              <w:rPr>
                <w:szCs w:val="20"/>
              </w:rPr>
            </w:pPr>
            <w:r w:rsidRPr="009C01D5">
              <w:rPr>
                <w:szCs w:val="20"/>
              </w:rPr>
              <w:t>Safety and tolerability</w:t>
            </w:r>
          </w:p>
        </w:tc>
      </w:tr>
      <w:tr w:rsidR="00936AB1" w:rsidRPr="009C01D5" w14:paraId="36EC49FD" w14:textId="77777777" w:rsidTr="000B01B2">
        <w:trPr>
          <w:cantSplit/>
          <w:trHeight w:val="20"/>
        </w:trPr>
        <w:tc>
          <w:tcPr>
            <w:tcW w:w="854" w:type="pct"/>
          </w:tcPr>
          <w:p w14:paraId="6BA554C2" w14:textId="77777777" w:rsidR="00936AB1" w:rsidRPr="009C01D5" w:rsidRDefault="00936AB1" w:rsidP="002C5E3C">
            <w:pPr>
              <w:pStyle w:val="TableText0"/>
              <w:keepNext w:val="0"/>
              <w:widowControl w:val="0"/>
              <w:rPr>
                <w:szCs w:val="20"/>
              </w:rPr>
            </w:pPr>
            <w:r w:rsidRPr="009C01D5">
              <w:rPr>
                <w:szCs w:val="20"/>
              </w:rPr>
              <w:t>RGH-MD-03</w:t>
            </w:r>
          </w:p>
        </w:tc>
        <w:tc>
          <w:tcPr>
            <w:tcW w:w="547" w:type="pct"/>
            <w:shd w:val="clear" w:color="auto" w:fill="auto"/>
          </w:tcPr>
          <w:p w14:paraId="40B19900" w14:textId="77777777" w:rsidR="00936AB1" w:rsidRPr="009C01D5" w:rsidRDefault="00936AB1" w:rsidP="002C5E3C">
            <w:pPr>
              <w:pStyle w:val="TableText0"/>
              <w:keepNext w:val="0"/>
              <w:widowControl w:val="0"/>
              <w:jc w:val="center"/>
              <w:rPr>
                <w:szCs w:val="20"/>
              </w:rPr>
            </w:pPr>
            <w:r w:rsidRPr="009C01D5">
              <w:rPr>
                <w:szCs w:val="20"/>
              </w:rPr>
              <w:t>377</w:t>
            </w:r>
          </w:p>
        </w:tc>
        <w:tc>
          <w:tcPr>
            <w:tcW w:w="691" w:type="pct"/>
            <w:shd w:val="clear" w:color="auto" w:fill="auto"/>
          </w:tcPr>
          <w:p w14:paraId="78477F05" w14:textId="77777777" w:rsidR="00936AB1" w:rsidRPr="009C01D5" w:rsidRDefault="00936AB1" w:rsidP="002C5E3C">
            <w:pPr>
              <w:pStyle w:val="TableText0"/>
              <w:keepNext w:val="0"/>
              <w:widowControl w:val="0"/>
              <w:jc w:val="center"/>
              <w:rPr>
                <w:szCs w:val="20"/>
              </w:rPr>
            </w:pPr>
            <w:r w:rsidRPr="009C01D5">
              <w:rPr>
                <w:szCs w:val="20"/>
              </w:rPr>
              <w:t>Phase II, MC, R, DB</w:t>
            </w:r>
          </w:p>
          <w:p w14:paraId="69E0E3D7" w14:textId="77777777" w:rsidR="00936AB1" w:rsidRPr="009C01D5" w:rsidRDefault="00936AB1" w:rsidP="002C5E3C">
            <w:pPr>
              <w:pStyle w:val="TableText0"/>
              <w:keepNext w:val="0"/>
              <w:widowControl w:val="0"/>
              <w:jc w:val="center"/>
              <w:rPr>
                <w:szCs w:val="20"/>
              </w:rPr>
            </w:pPr>
            <w:r w:rsidRPr="009C01D5">
              <w:rPr>
                <w:szCs w:val="20"/>
              </w:rPr>
              <w:t>6 weeks</w:t>
            </w:r>
          </w:p>
        </w:tc>
        <w:tc>
          <w:tcPr>
            <w:tcW w:w="459" w:type="pct"/>
            <w:shd w:val="clear" w:color="auto" w:fill="auto"/>
          </w:tcPr>
          <w:p w14:paraId="7391A736"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35C8C957" w14:textId="77777777" w:rsidR="00936AB1" w:rsidRPr="009C01D5" w:rsidRDefault="00936AB1" w:rsidP="00023F66">
            <w:pPr>
              <w:pStyle w:val="TableText0"/>
              <w:keepNext w:val="0"/>
              <w:widowControl w:val="0"/>
              <w:rPr>
                <w:szCs w:val="20"/>
              </w:rPr>
            </w:pPr>
            <w:r w:rsidRPr="009C01D5">
              <w:rPr>
                <w:szCs w:val="20"/>
              </w:rPr>
              <w:t>Adults (18–65 years) with an acute exacerbation of schizophrenia</w:t>
            </w:r>
          </w:p>
        </w:tc>
        <w:tc>
          <w:tcPr>
            <w:tcW w:w="872" w:type="pct"/>
            <w:shd w:val="clear" w:color="auto" w:fill="auto"/>
          </w:tcPr>
          <w:p w14:paraId="72E0D8DB"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77E2BB4C" w14:textId="77777777" w:rsidTr="000B01B2">
        <w:trPr>
          <w:cantSplit/>
          <w:trHeight w:val="20"/>
        </w:trPr>
        <w:tc>
          <w:tcPr>
            <w:tcW w:w="854" w:type="pct"/>
            <w:tcBorders>
              <w:bottom w:val="single" w:sz="4" w:space="0" w:color="auto"/>
            </w:tcBorders>
          </w:tcPr>
          <w:p w14:paraId="21DF2F47" w14:textId="77777777" w:rsidR="00936AB1" w:rsidRPr="009C01D5" w:rsidRDefault="00936AB1" w:rsidP="002C5E3C">
            <w:pPr>
              <w:pStyle w:val="TableText0"/>
              <w:keepNext w:val="0"/>
              <w:widowControl w:val="0"/>
              <w:rPr>
                <w:szCs w:val="20"/>
              </w:rPr>
            </w:pPr>
            <w:r w:rsidRPr="009C01D5">
              <w:rPr>
                <w:szCs w:val="20"/>
              </w:rPr>
              <w:t>RGH-MD-16</w:t>
            </w:r>
          </w:p>
        </w:tc>
        <w:tc>
          <w:tcPr>
            <w:tcW w:w="547" w:type="pct"/>
            <w:shd w:val="clear" w:color="auto" w:fill="auto"/>
          </w:tcPr>
          <w:p w14:paraId="0A256B65" w14:textId="77777777" w:rsidR="00936AB1" w:rsidRPr="009C01D5" w:rsidRDefault="00936AB1" w:rsidP="002C5E3C">
            <w:pPr>
              <w:pStyle w:val="TableText0"/>
              <w:keepNext w:val="0"/>
              <w:widowControl w:val="0"/>
              <w:jc w:val="center"/>
              <w:rPr>
                <w:szCs w:val="20"/>
              </w:rPr>
            </w:pPr>
            <w:r w:rsidRPr="009C01D5">
              <w:rPr>
                <w:szCs w:val="20"/>
              </w:rPr>
              <w:t>711</w:t>
            </w:r>
          </w:p>
        </w:tc>
        <w:tc>
          <w:tcPr>
            <w:tcW w:w="691" w:type="pct"/>
            <w:shd w:val="clear" w:color="auto" w:fill="auto"/>
          </w:tcPr>
          <w:p w14:paraId="5895C8CC" w14:textId="77777777" w:rsidR="00936AB1" w:rsidRPr="009C01D5" w:rsidRDefault="00936AB1" w:rsidP="002C5E3C">
            <w:pPr>
              <w:pStyle w:val="TableText0"/>
              <w:keepNext w:val="0"/>
              <w:widowControl w:val="0"/>
              <w:jc w:val="center"/>
              <w:rPr>
                <w:szCs w:val="20"/>
              </w:rPr>
            </w:pPr>
            <w:r w:rsidRPr="009C01D5">
              <w:rPr>
                <w:szCs w:val="20"/>
              </w:rPr>
              <w:t>Phase II, MC, R, DB</w:t>
            </w:r>
          </w:p>
          <w:p w14:paraId="0545226A" w14:textId="77777777" w:rsidR="00936AB1" w:rsidRPr="009C01D5" w:rsidRDefault="00936AB1" w:rsidP="002C5E3C">
            <w:pPr>
              <w:pStyle w:val="TableText0"/>
              <w:keepNext w:val="0"/>
              <w:widowControl w:val="0"/>
              <w:jc w:val="center"/>
              <w:rPr>
                <w:szCs w:val="20"/>
              </w:rPr>
            </w:pPr>
            <w:r w:rsidRPr="009C01D5">
              <w:rPr>
                <w:szCs w:val="20"/>
              </w:rPr>
              <w:t>6 weeks</w:t>
            </w:r>
          </w:p>
        </w:tc>
        <w:tc>
          <w:tcPr>
            <w:tcW w:w="459" w:type="pct"/>
            <w:shd w:val="clear" w:color="auto" w:fill="auto"/>
          </w:tcPr>
          <w:p w14:paraId="4845E9FD"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3D2E7291" w14:textId="77777777" w:rsidR="00936AB1" w:rsidRPr="009C01D5" w:rsidRDefault="00936AB1" w:rsidP="00023F66">
            <w:pPr>
              <w:pStyle w:val="TableText0"/>
              <w:keepNext w:val="0"/>
              <w:widowControl w:val="0"/>
              <w:rPr>
                <w:szCs w:val="20"/>
              </w:rPr>
            </w:pPr>
            <w:r w:rsidRPr="009C01D5">
              <w:rPr>
                <w:szCs w:val="20"/>
              </w:rPr>
              <w:t>Adults (18–60 years) with an acute exacerbation of schizophrenia</w:t>
            </w:r>
          </w:p>
        </w:tc>
        <w:tc>
          <w:tcPr>
            <w:tcW w:w="872" w:type="pct"/>
            <w:shd w:val="clear" w:color="auto" w:fill="auto"/>
          </w:tcPr>
          <w:p w14:paraId="39EDEE7B" w14:textId="77777777" w:rsidR="00936AB1" w:rsidRPr="009C01D5" w:rsidRDefault="00936AB1" w:rsidP="00023F66">
            <w:pPr>
              <w:pStyle w:val="TableText0"/>
              <w:keepNext w:val="0"/>
              <w:widowControl w:val="0"/>
              <w:rPr>
                <w:szCs w:val="20"/>
              </w:rPr>
            </w:pPr>
            <w:r w:rsidRPr="009C01D5">
              <w:rPr>
                <w:szCs w:val="20"/>
              </w:rPr>
              <w:t xml:space="preserve"> </w:t>
            </w:r>
            <w:r w:rsidR="000B59D0" w:rsidRPr="009C01D5">
              <w:rPr>
                <w:szCs w:val="20"/>
              </w:rPr>
              <w:t>E</w:t>
            </w:r>
            <w:r w:rsidRPr="009C01D5">
              <w:rPr>
                <w:szCs w:val="20"/>
              </w:rPr>
              <w:t>fficacy</w:t>
            </w:r>
            <w:r w:rsidR="00AB23B7" w:rsidRPr="009C01D5">
              <w:rPr>
                <w:szCs w:val="20"/>
              </w:rPr>
              <w:t xml:space="preserve">, </w:t>
            </w:r>
            <w:r w:rsidR="00967438" w:rsidRPr="009C01D5">
              <w:rPr>
                <w:szCs w:val="20"/>
              </w:rPr>
              <w:t>safety and</w:t>
            </w:r>
            <w:r w:rsidRPr="009C01D5">
              <w:rPr>
                <w:szCs w:val="20"/>
              </w:rPr>
              <w:t xml:space="preserve"> tolerability</w:t>
            </w:r>
          </w:p>
        </w:tc>
      </w:tr>
      <w:tr w:rsidR="00936AB1" w:rsidRPr="009C01D5" w14:paraId="085B4097" w14:textId="77777777" w:rsidTr="000B01B2">
        <w:trPr>
          <w:cantSplit/>
          <w:trHeight w:val="20"/>
        </w:trPr>
        <w:tc>
          <w:tcPr>
            <w:tcW w:w="854" w:type="pct"/>
            <w:tcBorders>
              <w:bottom w:val="single" w:sz="4" w:space="0" w:color="auto"/>
            </w:tcBorders>
          </w:tcPr>
          <w:p w14:paraId="503851E9" w14:textId="77777777" w:rsidR="00936AB1" w:rsidRPr="009C01D5" w:rsidRDefault="00936AB1" w:rsidP="002C5E3C">
            <w:pPr>
              <w:pStyle w:val="TableText0"/>
              <w:keepNext w:val="0"/>
              <w:widowControl w:val="0"/>
              <w:rPr>
                <w:szCs w:val="20"/>
              </w:rPr>
            </w:pPr>
            <w:r w:rsidRPr="009C01D5">
              <w:rPr>
                <w:szCs w:val="20"/>
              </w:rPr>
              <w:t>RGH-MD-11</w:t>
            </w:r>
          </w:p>
        </w:tc>
        <w:tc>
          <w:tcPr>
            <w:tcW w:w="547" w:type="pct"/>
            <w:shd w:val="clear" w:color="auto" w:fill="auto"/>
          </w:tcPr>
          <w:p w14:paraId="1BAB48DD" w14:textId="77777777" w:rsidR="00936AB1" w:rsidRPr="009C01D5" w:rsidRDefault="00936AB1" w:rsidP="002C5E3C">
            <w:pPr>
              <w:pStyle w:val="TableText0"/>
              <w:keepNext w:val="0"/>
              <w:widowControl w:val="0"/>
              <w:jc w:val="center"/>
              <w:rPr>
                <w:szCs w:val="20"/>
              </w:rPr>
            </w:pPr>
            <w:r w:rsidRPr="009C01D5">
              <w:rPr>
                <w:szCs w:val="20"/>
              </w:rPr>
              <w:t>578</w:t>
            </w:r>
          </w:p>
        </w:tc>
        <w:tc>
          <w:tcPr>
            <w:tcW w:w="691" w:type="pct"/>
            <w:shd w:val="clear" w:color="auto" w:fill="auto"/>
          </w:tcPr>
          <w:p w14:paraId="15170B5F" w14:textId="77777777" w:rsidR="00936AB1" w:rsidRPr="009C01D5" w:rsidRDefault="00936AB1" w:rsidP="002C5E3C">
            <w:pPr>
              <w:pStyle w:val="TableText0"/>
              <w:keepNext w:val="0"/>
              <w:widowControl w:val="0"/>
              <w:jc w:val="center"/>
              <w:rPr>
                <w:szCs w:val="20"/>
              </w:rPr>
            </w:pPr>
            <w:r w:rsidRPr="009C01D5">
              <w:rPr>
                <w:szCs w:val="20"/>
              </w:rPr>
              <w:t>Phase III, MC, OL</w:t>
            </w:r>
          </w:p>
          <w:p w14:paraId="301C011F" w14:textId="77777777" w:rsidR="00936AB1" w:rsidRPr="009C01D5" w:rsidRDefault="00936AB1" w:rsidP="002C5E3C">
            <w:pPr>
              <w:pStyle w:val="TableText0"/>
              <w:keepNext w:val="0"/>
              <w:widowControl w:val="0"/>
              <w:jc w:val="center"/>
              <w:rPr>
                <w:szCs w:val="20"/>
              </w:rPr>
            </w:pPr>
            <w:r w:rsidRPr="009C01D5">
              <w:rPr>
                <w:szCs w:val="20"/>
              </w:rPr>
              <w:t xml:space="preserve">48 week </w:t>
            </w:r>
          </w:p>
        </w:tc>
        <w:tc>
          <w:tcPr>
            <w:tcW w:w="459" w:type="pct"/>
            <w:shd w:val="clear" w:color="auto" w:fill="auto"/>
          </w:tcPr>
          <w:p w14:paraId="3D63D249" w14:textId="77777777" w:rsidR="00936AB1" w:rsidRPr="009C01D5" w:rsidRDefault="00936AB1" w:rsidP="002C5E3C">
            <w:pPr>
              <w:pStyle w:val="TableText0"/>
              <w:keepNext w:val="0"/>
              <w:widowControl w:val="0"/>
              <w:jc w:val="center"/>
              <w:rPr>
                <w:szCs w:val="20"/>
              </w:rPr>
            </w:pPr>
            <w:r w:rsidRPr="009C01D5">
              <w:rPr>
                <w:szCs w:val="20"/>
              </w:rPr>
              <w:t>N/A</w:t>
            </w:r>
          </w:p>
        </w:tc>
        <w:tc>
          <w:tcPr>
            <w:tcW w:w="1577" w:type="pct"/>
            <w:shd w:val="clear" w:color="auto" w:fill="auto"/>
          </w:tcPr>
          <w:p w14:paraId="3987140F" w14:textId="77777777" w:rsidR="00936AB1" w:rsidRPr="009C01D5" w:rsidRDefault="00936AB1" w:rsidP="00023F66">
            <w:pPr>
              <w:pStyle w:val="TableText0"/>
              <w:keepNext w:val="0"/>
              <w:widowControl w:val="0"/>
              <w:rPr>
                <w:szCs w:val="20"/>
              </w:rPr>
            </w:pPr>
            <w:r w:rsidRPr="009C01D5">
              <w:rPr>
                <w:szCs w:val="20"/>
              </w:rPr>
              <w:t>Adults (18–60 years) with schizophrenia and those that had completed treatment in RGH-MD-04 and RGH-MD-05</w:t>
            </w:r>
          </w:p>
        </w:tc>
        <w:tc>
          <w:tcPr>
            <w:tcW w:w="872" w:type="pct"/>
            <w:shd w:val="clear" w:color="auto" w:fill="auto"/>
          </w:tcPr>
          <w:p w14:paraId="0E195F9D" w14:textId="77777777" w:rsidR="00936AB1" w:rsidRPr="009C01D5" w:rsidRDefault="00936AB1" w:rsidP="00023F66">
            <w:pPr>
              <w:pStyle w:val="TableText0"/>
              <w:keepNext w:val="0"/>
              <w:widowControl w:val="0"/>
              <w:rPr>
                <w:szCs w:val="20"/>
              </w:rPr>
            </w:pPr>
            <w:r w:rsidRPr="009C01D5">
              <w:rPr>
                <w:szCs w:val="20"/>
              </w:rPr>
              <w:t>Long term</w:t>
            </w:r>
          </w:p>
          <w:p w14:paraId="7E75CD8B" w14:textId="77777777" w:rsidR="00936AB1" w:rsidRPr="009C01D5" w:rsidRDefault="00936AB1" w:rsidP="00023F66">
            <w:pPr>
              <w:pStyle w:val="TableText0"/>
              <w:keepNext w:val="0"/>
              <w:widowControl w:val="0"/>
              <w:rPr>
                <w:szCs w:val="20"/>
              </w:rPr>
            </w:pPr>
            <w:r w:rsidRPr="009C01D5">
              <w:rPr>
                <w:szCs w:val="20"/>
              </w:rPr>
              <w:t>safety and tolerability</w:t>
            </w:r>
          </w:p>
        </w:tc>
      </w:tr>
      <w:tr w:rsidR="00936AB1" w:rsidRPr="009C01D5" w14:paraId="00336FB0" w14:textId="77777777" w:rsidTr="000B01B2">
        <w:trPr>
          <w:cantSplit/>
          <w:trHeight w:val="20"/>
        </w:trPr>
        <w:tc>
          <w:tcPr>
            <w:tcW w:w="854" w:type="pct"/>
            <w:tcBorders>
              <w:bottom w:val="single" w:sz="4" w:space="0" w:color="auto"/>
            </w:tcBorders>
          </w:tcPr>
          <w:p w14:paraId="2FC99455" w14:textId="77777777" w:rsidR="00936AB1" w:rsidRPr="009C01D5" w:rsidRDefault="00936AB1" w:rsidP="002C5E3C">
            <w:pPr>
              <w:pStyle w:val="TableText0"/>
              <w:keepNext w:val="0"/>
              <w:widowControl w:val="0"/>
              <w:rPr>
                <w:szCs w:val="20"/>
              </w:rPr>
            </w:pPr>
            <w:r w:rsidRPr="009C01D5">
              <w:rPr>
                <w:szCs w:val="20"/>
              </w:rPr>
              <w:t>RGH-MD-17</w:t>
            </w:r>
          </w:p>
        </w:tc>
        <w:tc>
          <w:tcPr>
            <w:tcW w:w="547" w:type="pct"/>
            <w:shd w:val="clear" w:color="auto" w:fill="auto"/>
          </w:tcPr>
          <w:p w14:paraId="634C528D" w14:textId="77777777" w:rsidR="00936AB1" w:rsidRPr="009C01D5" w:rsidRDefault="00936AB1" w:rsidP="002C5E3C">
            <w:pPr>
              <w:pStyle w:val="TableText0"/>
              <w:keepNext w:val="0"/>
              <w:widowControl w:val="0"/>
              <w:jc w:val="center"/>
              <w:rPr>
                <w:szCs w:val="20"/>
              </w:rPr>
            </w:pPr>
            <w:r w:rsidRPr="009C01D5">
              <w:rPr>
                <w:szCs w:val="20"/>
              </w:rPr>
              <w:t>92</w:t>
            </w:r>
          </w:p>
        </w:tc>
        <w:tc>
          <w:tcPr>
            <w:tcW w:w="691" w:type="pct"/>
            <w:shd w:val="clear" w:color="auto" w:fill="auto"/>
          </w:tcPr>
          <w:p w14:paraId="0207C49E" w14:textId="77777777" w:rsidR="00936AB1" w:rsidRPr="009C01D5" w:rsidRDefault="00936AB1" w:rsidP="002C5E3C">
            <w:pPr>
              <w:pStyle w:val="TableText0"/>
              <w:keepNext w:val="0"/>
              <w:widowControl w:val="0"/>
              <w:jc w:val="center"/>
              <w:rPr>
                <w:szCs w:val="20"/>
              </w:rPr>
            </w:pPr>
            <w:r w:rsidRPr="009C01D5">
              <w:rPr>
                <w:szCs w:val="20"/>
              </w:rPr>
              <w:t>Phase II, MC, OL</w:t>
            </w:r>
          </w:p>
          <w:p w14:paraId="7F0E8942" w14:textId="77777777" w:rsidR="00936AB1" w:rsidRPr="009C01D5" w:rsidRDefault="00936AB1" w:rsidP="002C5E3C">
            <w:pPr>
              <w:pStyle w:val="TableText0"/>
              <w:keepNext w:val="0"/>
              <w:widowControl w:val="0"/>
              <w:jc w:val="center"/>
              <w:rPr>
                <w:szCs w:val="20"/>
              </w:rPr>
            </w:pPr>
            <w:r w:rsidRPr="009C01D5">
              <w:rPr>
                <w:szCs w:val="20"/>
              </w:rPr>
              <w:t>48 week</w:t>
            </w:r>
          </w:p>
        </w:tc>
        <w:tc>
          <w:tcPr>
            <w:tcW w:w="459" w:type="pct"/>
            <w:shd w:val="clear" w:color="auto" w:fill="auto"/>
          </w:tcPr>
          <w:p w14:paraId="6BB49B18" w14:textId="77777777" w:rsidR="00936AB1" w:rsidRPr="009C01D5" w:rsidRDefault="00936AB1" w:rsidP="002C5E3C">
            <w:pPr>
              <w:pStyle w:val="TableText0"/>
              <w:keepNext w:val="0"/>
              <w:widowControl w:val="0"/>
              <w:jc w:val="center"/>
              <w:rPr>
                <w:szCs w:val="20"/>
              </w:rPr>
            </w:pPr>
            <w:r w:rsidRPr="009C01D5">
              <w:rPr>
                <w:szCs w:val="20"/>
              </w:rPr>
              <w:t>N/A</w:t>
            </w:r>
          </w:p>
        </w:tc>
        <w:tc>
          <w:tcPr>
            <w:tcW w:w="1577" w:type="pct"/>
            <w:shd w:val="clear" w:color="auto" w:fill="auto"/>
          </w:tcPr>
          <w:p w14:paraId="0AAECAB4" w14:textId="77777777" w:rsidR="00936AB1" w:rsidRPr="009C01D5" w:rsidRDefault="00936AB1" w:rsidP="00023F66">
            <w:pPr>
              <w:pStyle w:val="TableText0"/>
              <w:keepNext w:val="0"/>
              <w:widowControl w:val="0"/>
              <w:rPr>
                <w:szCs w:val="20"/>
              </w:rPr>
            </w:pPr>
            <w:r w:rsidRPr="009C01D5">
              <w:rPr>
                <w:szCs w:val="20"/>
              </w:rPr>
              <w:t>Adults (18–60 years) with schizophrenia that had completed study RGH-MD-16</w:t>
            </w:r>
          </w:p>
        </w:tc>
        <w:tc>
          <w:tcPr>
            <w:tcW w:w="872" w:type="pct"/>
            <w:shd w:val="clear" w:color="auto" w:fill="auto"/>
          </w:tcPr>
          <w:p w14:paraId="6EA30CEA" w14:textId="77777777" w:rsidR="00936AB1" w:rsidRPr="009C01D5" w:rsidRDefault="00936AB1" w:rsidP="00023F66">
            <w:pPr>
              <w:pStyle w:val="TableText0"/>
              <w:keepNext w:val="0"/>
              <w:widowControl w:val="0"/>
              <w:rPr>
                <w:szCs w:val="20"/>
              </w:rPr>
            </w:pPr>
            <w:r w:rsidRPr="009C01D5">
              <w:rPr>
                <w:szCs w:val="20"/>
              </w:rPr>
              <w:t>Long term efficacy, safety and tolerability</w:t>
            </w:r>
          </w:p>
        </w:tc>
      </w:tr>
      <w:tr w:rsidR="00936AB1" w:rsidRPr="009C01D5" w14:paraId="3633D0AB" w14:textId="77777777" w:rsidTr="002C5E3C">
        <w:trPr>
          <w:cantSplit/>
          <w:trHeight w:val="20"/>
        </w:trPr>
        <w:tc>
          <w:tcPr>
            <w:tcW w:w="5000" w:type="pct"/>
            <w:gridSpan w:val="6"/>
            <w:shd w:val="clear" w:color="auto" w:fill="auto"/>
          </w:tcPr>
          <w:p w14:paraId="50505E05" w14:textId="77777777" w:rsidR="00936AB1" w:rsidRPr="009C01D5" w:rsidRDefault="00936AB1" w:rsidP="00023F66">
            <w:pPr>
              <w:pStyle w:val="TableText0"/>
              <w:keepNext w:val="0"/>
              <w:widowControl w:val="0"/>
              <w:rPr>
                <w:b/>
                <w:szCs w:val="20"/>
              </w:rPr>
            </w:pPr>
            <w:r w:rsidRPr="009C01D5">
              <w:rPr>
                <w:b/>
                <w:szCs w:val="20"/>
              </w:rPr>
              <w:t xml:space="preserve">Aripiprazole </w:t>
            </w:r>
          </w:p>
        </w:tc>
      </w:tr>
      <w:tr w:rsidR="00936AB1" w:rsidRPr="009C01D5" w14:paraId="0DD5826D" w14:textId="77777777" w:rsidTr="000B01B2">
        <w:trPr>
          <w:cantSplit/>
          <w:trHeight w:val="20"/>
        </w:trPr>
        <w:tc>
          <w:tcPr>
            <w:tcW w:w="854" w:type="pct"/>
            <w:tcBorders>
              <w:top w:val="single" w:sz="4" w:space="0" w:color="auto"/>
            </w:tcBorders>
          </w:tcPr>
          <w:p w14:paraId="7CD8F2BB" w14:textId="77777777" w:rsidR="00936AB1" w:rsidRPr="009C01D5" w:rsidRDefault="00936AB1" w:rsidP="002C5E3C">
            <w:pPr>
              <w:pStyle w:val="TableText0"/>
              <w:keepNext w:val="0"/>
              <w:widowControl w:val="0"/>
              <w:rPr>
                <w:szCs w:val="20"/>
              </w:rPr>
            </w:pPr>
            <w:r w:rsidRPr="009C01D5">
              <w:t xml:space="preserve">Kane </w:t>
            </w:r>
            <w:r w:rsidR="00AB23B7" w:rsidRPr="009C01D5">
              <w:t>(</w:t>
            </w:r>
            <w:r w:rsidRPr="009C01D5">
              <w:t>2002)</w:t>
            </w:r>
          </w:p>
        </w:tc>
        <w:tc>
          <w:tcPr>
            <w:tcW w:w="547" w:type="pct"/>
            <w:shd w:val="clear" w:color="auto" w:fill="auto"/>
          </w:tcPr>
          <w:p w14:paraId="29E4DC22" w14:textId="77777777" w:rsidR="00936AB1" w:rsidRPr="009C01D5" w:rsidRDefault="00936AB1" w:rsidP="002C5E3C">
            <w:pPr>
              <w:pStyle w:val="TableText0"/>
              <w:keepNext w:val="0"/>
              <w:widowControl w:val="0"/>
              <w:jc w:val="center"/>
              <w:rPr>
                <w:szCs w:val="20"/>
              </w:rPr>
            </w:pPr>
            <w:r w:rsidRPr="009C01D5">
              <w:rPr>
                <w:szCs w:val="20"/>
              </w:rPr>
              <w:t>414</w:t>
            </w:r>
          </w:p>
        </w:tc>
        <w:tc>
          <w:tcPr>
            <w:tcW w:w="691" w:type="pct"/>
            <w:shd w:val="clear" w:color="auto" w:fill="auto"/>
          </w:tcPr>
          <w:p w14:paraId="4BDDC2EB" w14:textId="77777777" w:rsidR="00936AB1" w:rsidRPr="009C01D5" w:rsidRDefault="00936AB1" w:rsidP="002C5E3C">
            <w:pPr>
              <w:pStyle w:val="TableText0"/>
              <w:keepNext w:val="0"/>
              <w:widowControl w:val="0"/>
              <w:jc w:val="center"/>
              <w:rPr>
                <w:szCs w:val="20"/>
              </w:rPr>
            </w:pPr>
            <w:r w:rsidRPr="009C01D5">
              <w:rPr>
                <w:szCs w:val="20"/>
              </w:rPr>
              <w:t>Phase III, MC, R, DB</w:t>
            </w:r>
          </w:p>
          <w:p w14:paraId="158B7E8D" w14:textId="77777777" w:rsidR="00936AB1" w:rsidRPr="009C01D5" w:rsidRDefault="00936AB1" w:rsidP="002C5E3C">
            <w:pPr>
              <w:pStyle w:val="TableText0"/>
              <w:keepNext w:val="0"/>
              <w:widowControl w:val="0"/>
              <w:jc w:val="center"/>
              <w:rPr>
                <w:szCs w:val="20"/>
              </w:rPr>
            </w:pPr>
            <w:r w:rsidRPr="009C01D5">
              <w:rPr>
                <w:szCs w:val="20"/>
              </w:rPr>
              <w:t>4 week</w:t>
            </w:r>
          </w:p>
        </w:tc>
        <w:tc>
          <w:tcPr>
            <w:tcW w:w="459" w:type="pct"/>
            <w:shd w:val="clear" w:color="auto" w:fill="auto"/>
          </w:tcPr>
          <w:p w14:paraId="23829E26" w14:textId="77777777" w:rsidR="00936AB1" w:rsidRPr="009C01D5" w:rsidRDefault="00936AB1" w:rsidP="002C5E3C">
            <w:pPr>
              <w:pStyle w:val="TableText0"/>
              <w:keepNext w:val="0"/>
              <w:widowControl w:val="0"/>
              <w:jc w:val="center"/>
              <w:rPr>
                <w:szCs w:val="20"/>
              </w:rPr>
            </w:pPr>
            <w:r w:rsidRPr="009C01D5">
              <w:rPr>
                <w:szCs w:val="20"/>
              </w:rPr>
              <w:t>Unclear</w:t>
            </w:r>
          </w:p>
        </w:tc>
        <w:tc>
          <w:tcPr>
            <w:tcW w:w="1577" w:type="pct"/>
            <w:shd w:val="clear" w:color="auto" w:fill="auto"/>
          </w:tcPr>
          <w:p w14:paraId="64F9D0C0" w14:textId="77777777" w:rsidR="00936AB1" w:rsidRPr="009C01D5" w:rsidRDefault="00936AB1" w:rsidP="00023F66">
            <w:pPr>
              <w:pStyle w:val="TableText0"/>
              <w:keepNext w:val="0"/>
              <w:widowControl w:val="0"/>
              <w:rPr>
                <w:szCs w:val="20"/>
              </w:rPr>
            </w:pPr>
            <w:r w:rsidRPr="009C01D5">
              <w:rPr>
                <w:szCs w:val="20"/>
              </w:rPr>
              <w:t>Adults (18–65 years) hospitalised for an acute relapse of schizophrenia or schizoaffective disorder</w:t>
            </w:r>
          </w:p>
        </w:tc>
        <w:tc>
          <w:tcPr>
            <w:tcW w:w="872" w:type="pct"/>
            <w:shd w:val="clear" w:color="auto" w:fill="auto"/>
          </w:tcPr>
          <w:p w14:paraId="5ECA3163"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3B7164D1" w14:textId="77777777" w:rsidTr="000B01B2">
        <w:trPr>
          <w:cantSplit/>
          <w:trHeight w:val="20"/>
        </w:trPr>
        <w:tc>
          <w:tcPr>
            <w:tcW w:w="854" w:type="pct"/>
            <w:shd w:val="clear" w:color="auto" w:fill="FFFFFF" w:themeFill="background1"/>
          </w:tcPr>
          <w:p w14:paraId="52F952CF" w14:textId="77777777" w:rsidR="00936AB1" w:rsidRPr="009C01D5" w:rsidRDefault="00AB23B7" w:rsidP="002C5E3C">
            <w:pPr>
              <w:pStyle w:val="TableText0"/>
              <w:keepNext w:val="0"/>
              <w:widowControl w:val="0"/>
              <w:rPr>
                <w:szCs w:val="20"/>
              </w:rPr>
            </w:pPr>
            <w:r w:rsidRPr="009C01D5">
              <w:t xml:space="preserve">Potkin (2003) </w:t>
            </w:r>
          </w:p>
        </w:tc>
        <w:tc>
          <w:tcPr>
            <w:tcW w:w="547" w:type="pct"/>
            <w:shd w:val="clear" w:color="auto" w:fill="auto"/>
          </w:tcPr>
          <w:p w14:paraId="41EAA66A" w14:textId="77777777" w:rsidR="00936AB1" w:rsidRPr="009C01D5" w:rsidRDefault="00936AB1" w:rsidP="002C5E3C">
            <w:pPr>
              <w:pStyle w:val="TableText0"/>
              <w:keepNext w:val="0"/>
              <w:widowControl w:val="0"/>
              <w:jc w:val="center"/>
              <w:rPr>
                <w:szCs w:val="20"/>
              </w:rPr>
            </w:pPr>
            <w:r w:rsidRPr="009C01D5">
              <w:rPr>
                <w:szCs w:val="20"/>
              </w:rPr>
              <w:t>404</w:t>
            </w:r>
          </w:p>
        </w:tc>
        <w:tc>
          <w:tcPr>
            <w:tcW w:w="691" w:type="pct"/>
            <w:shd w:val="clear" w:color="auto" w:fill="auto"/>
          </w:tcPr>
          <w:p w14:paraId="61FF1AD4" w14:textId="77777777" w:rsidR="00936AB1" w:rsidRPr="009C01D5" w:rsidRDefault="00936AB1" w:rsidP="002C5E3C">
            <w:pPr>
              <w:pStyle w:val="TableText0"/>
              <w:keepNext w:val="0"/>
              <w:widowControl w:val="0"/>
              <w:jc w:val="center"/>
              <w:rPr>
                <w:szCs w:val="20"/>
              </w:rPr>
            </w:pPr>
            <w:r w:rsidRPr="009C01D5">
              <w:rPr>
                <w:szCs w:val="20"/>
              </w:rPr>
              <w:t>Phase III, R, DB</w:t>
            </w:r>
          </w:p>
          <w:p w14:paraId="12B52D8E" w14:textId="77777777" w:rsidR="00936AB1" w:rsidRPr="009C01D5" w:rsidRDefault="00936AB1" w:rsidP="002C5E3C">
            <w:pPr>
              <w:pStyle w:val="TableText0"/>
              <w:keepNext w:val="0"/>
              <w:widowControl w:val="0"/>
              <w:jc w:val="center"/>
              <w:rPr>
                <w:szCs w:val="20"/>
              </w:rPr>
            </w:pPr>
            <w:r w:rsidRPr="009C01D5">
              <w:rPr>
                <w:szCs w:val="20"/>
              </w:rPr>
              <w:t>4 weeks</w:t>
            </w:r>
          </w:p>
        </w:tc>
        <w:tc>
          <w:tcPr>
            <w:tcW w:w="459" w:type="pct"/>
            <w:shd w:val="clear" w:color="auto" w:fill="auto"/>
          </w:tcPr>
          <w:p w14:paraId="4BA161B3" w14:textId="77777777" w:rsidR="00936AB1" w:rsidRPr="009C01D5" w:rsidRDefault="00936AB1" w:rsidP="002C5E3C">
            <w:pPr>
              <w:pStyle w:val="TableText0"/>
              <w:keepNext w:val="0"/>
              <w:widowControl w:val="0"/>
              <w:jc w:val="center"/>
              <w:rPr>
                <w:szCs w:val="20"/>
              </w:rPr>
            </w:pPr>
            <w:r w:rsidRPr="009C01D5">
              <w:rPr>
                <w:szCs w:val="20"/>
              </w:rPr>
              <w:t>Unclear</w:t>
            </w:r>
          </w:p>
        </w:tc>
        <w:tc>
          <w:tcPr>
            <w:tcW w:w="1577" w:type="pct"/>
            <w:shd w:val="clear" w:color="auto" w:fill="auto"/>
          </w:tcPr>
          <w:p w14:paraId="092DE3F3" w14:textId="77777777" w:rsidR="00936AB1" w:rsidRPr="009C01D5" w:rsidRDefault="00936AB1" w:rsidP="00023F66">
            <w:pPr>
              <w:pStyle w:val="TableText0"/>
              <w:keepNext w:val="0"/>
              <w:widowControl w:val="0"/>
              <w:rPr>
                <w:szCs w:val="20"/>
              </w:rPr>
            </w:pPr>
            <w:r w:rsidRPr="009C01D5">
              <w:rPr>
                <w:szCs w:val="20"/>
              </w:rPr>
              <w:t>Adults (18–65 years) hospitalised for an acute relapse of schizophrenia or schizoaffective disorder</w:t>
            </w:r>
          </w:p>
        </w:tc>
        <w:tc>
          <w:tcPr>
            <w:tcW w:w="872" w:type="pct"/>
          </w:tcPr>
          <w:p w14:paraId="408EA58A"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2A6D7968" w14:textId="77777777" w:rsidTr="000B01B2">
        <w:trPr>
          <w:cantSplit/>
          <w:trHeight w:val="20"/>
        </w:trPr>
        <w:tc>
          <w:tcPr>
            <w:tcW w:w="854" w:type="pct"/>
            <w:shd w:val="clear" w:color="auto" w:fill="FFFFFF" w:themeFill="background1"/>
          </w:tcPr>
          <w:p w14:paraId="08357CEC" w14:textId="77777777" w:rsidR="00936AB1" w:rsidRPr="009C01D5" w:rsidRDefault="00AB23B7" w:rsidP="002C5E3C">
            <w:pPr>
              <w:pStyle w:val="TableText0"/>
              <w:keepNext w:val="0"/>
              <w:widowControl w:val="0"/>
              <w:rPr>
                <w:szCs w:val="20"/>
              </w:rPr>
            </w:pPr>
            <w:r w:rsidRPr="009C01D5">
              <w:t xml:space="preserve">Cutler (2006) </w:t>
            </w:r>
          </w:p>
        </w:tc>
        <w:tc>
          <w:tcPr>
            <w:tcW w:w="547" w:type="pct"/>
            <w:shd w:val="clear" w:color="auto" w:fill="auto"/>
          </w:tcPr>
          <w:p w14:paraId="070618CB" w14:textId="77777777" w:rsidR="00936AB1" w:rsidRPr="009C01D5" w:rsidRDefault="00936AB1" w:rsidP="002C5E3C">
            <w:pPr>
              <w:pStyle w:val="TableText0"/>
              <w:keepNext w:val="0"/>
              <w:widowControl w:val="0"/>
              <w:jc w:val="center"/>
              <w:rPr>
                <w:szCs w:val="20"/>
              </w:rPr>
            </w:pPr>
            <w:r w:rsidRPr="009C01D5">
              <w:rPr>
                <w:szCs w:val="20"/>
              </w:rPr>
              <w:t>367</w:t>
            </w:r>
          </w:p>
        </w:tc>
        <w:tc>
          <w:tcPr>
            <w:tcW w:w="691" w:type="pct"/>
            <w:shd w:val="clear" w:color="auto" w:fill="auto"/>
          </w:tcPr>
          <w:p w14:paraId="0FF1D9EC" w14:textId="77777777" w:rsidR="00936AB1" w:rsidRPr="009C01D5" w:rsidRDefault="00936AB1" w:rsidP="002C5E3C">
            <w:pPr>
              <w:pStyle w:val="TableText0"/>
              <w:keepNext w:val="0"/>
              <w:widowControl w:val="0"/>
              <w:jc w:val="center"/>
              <w:rPr>
                <w:szCs w:val="20"/>
              </w:rPr>
            </w:pPr>
            <w:r w:rsidRPr="009C01D5">
              <w:rPr>
                <w:szCs w:val="20"/>
              </w:rPr>
              <w:t>MC, R, DB</w:t>
            </w:r>
          </w:p>
          <w:p w14:paraId="4C41F2B9" w14:textId="77777777" w:rsidR="00936AB1" w:rsidRPr="009C01D5" w:rsidRDefault="00936AB1" w:rsidP="002C5E3C">
            <w:pPr>
              <w:pStyle w:val="TableText0"/>
              <w:keepNext w:val="0"/>
              <w:widowControl w:val="0"/>
              <w:jc w:val="center"/>
              <w:rPr>
                <w:szCs w:val="20"/>
              </w:rPr>
            </w:pPr>
            <w:r w:rsidRPr="009C01D5">
              <w:rPr>
                <w:szCs w:val="20"/>
              </w:rPr>
              <w:t>6 week</w:t>
            </w:r>
          </w:p>
        </w:tc>
        <w:tc>
          <w:tcPr>
            <w:tcW w:w="459" w:type="pct"/>
            <w:shd w:val="clear" w:color="auto" w:fill="auto"/>
          </w:tcPr>
          <w:p w14:paraId="190981B2" w14:textId="77777777" w:rsidR="00936AB1" w:rsidRPr="009C01D5" w:rsidRDefault="00936AB1" w:rsidP="002C5E3C">
            <w:pPr>
              <w:pStyle w:val="TableText0"/>
              <w:keepNext w:val="0"/>
              <w:widowControl w:val="0"/>
              <w:jc w:val="center"/>
              <w:rPr>
                <w:szCs w:val="20"/>
              </w:rPr>
            </w:pPr>
            <w:r w:rsidRPr="009C01D5">
              <w:rPr>
                <w:szCs w:val="20"/>
              </w:rPr>
              <w:t>Unclear</w:t>
            </w:r>
          </w:p>
        </w:tc>
        <w:tc>
          <w:tcPr>
            <w:tcW w:w="1577" w:type="pct"/>
            <w:shd w:val="clear" w:color="auto" w:fill="auto"/>
          </w:tcPr>
          <w:p w14:paraId="1CC13F04" w14:textId="77777777" w:rsidR="00936AB1" w:rsidRPr="009C01D5" w:rsidRDefault="00936AB1" w:rsidP="00023F66">
            <w:pPr>
              <w:pStyle w:val="TableText0"/>
              <w:keepNext w:val="0"/>
              <w:widowControl w:val="0"/>
              <w:rPr>
                <w:szCs w:val="20"/>
              </w:rPr>
            </w:pPr>
            <w:r w:rsidRPr="009C01D5">
              <w:rPr>
                <w:szCs w:val="20"/>
              </w:rPr>
              <w:t>Adults (≥ 18 years) with an acute relapse of schizophrenia, and a documented worsening of symptoms in the previous 3 months and requiring inpatient hospitalisation</w:t>
            </w:r>
          </w:p>
        </w:tc>
        <w:tc>
          <w:tcPr>
            <w:tcW w:w="872" w:type="pct"/>
          </w:tcPr>
          <w:p w14:paraId="3C9B3C84"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6098BCA6" w14:textId="77777777" w:rsidTr="000B01B2">
        <w:trPr>
          <w:cantSplit/>
          <w:trHeight w:val="20"/>
        </w:trPr>
        <w:tc>
          <w:tcPr>
            <w:tcW w:w="854" w:type="pct"/>
            <w:tcBorders>
              <w:bottom w:val="single" w:sz="4" w:space="0" w:color="auto"/>
            </w:tcBorders>
            <w:shd w:val="clear" w:color="auto" w:fill="FFFFFF" w:themeFill="background1"/>
          </w:tcPr>
          <w:p w14:paraId="44D7625F" w14:textId="77777777" w:rsidR="00936AB1" w:rsidRPr="009C01D5" w:rsidRDefault="00AB23B7" w:rsidP="002C5E3C">
            <w:pPr>
              <w:pStyle w:val="TableText0"/>
              <w:keepNext w:val="0"/>
              <w:widowControl w:val="0"/>
              <w:rPr>
                <w:szCs w:val="20"/>
              </w:rPr>
            </w:pPr>
            <w:r w:rsidRPr="009C01D5">
              <w:t>McEvoy (2007)</w:t>
            </w:r>
          </w:p>
        </w:tc>
        <w:tc>
          <w:tcPr>
            <w:tcW w:w="547" w:type="pct"/>
            <w:shd w:val="clear" w:color="auto" w:fill="auto"/>
          </w:tcPr>
          <w:p w14:paraId="15E5BD51" w14:textId="77777777" w:rsidR="00936AB1" w:rsidRPr="009C01D5" w:rsidRDefault="00936AB1" w:rsidP="002C5E3C">
            <w:pPr>
              <w:pStyle w:val="TableText0"/>
              <w:keepNext w:val="0"/>
              <w:widowControl w:val="0"/>
              <w:jc w:val="center"/>
              <w:rPr>
                <w:szCs w:val="20"/>
              </w:rPr>
            </w:pPr>
            <w:r w:rsidRPr="009C01D5">
              <w:rPr>
                <w:szCs w:val="20"/>
              </w:rPr>
              <w:t>420</w:t>
            </w:r>
          </w:p>
        </w:tc>
        <w:tc>
          <w:tcPr>
            <w:tcW w:w="691" w:type="pct"/>
            <w:shd w:val="clear" w:color="auto" w:fill="auto"/>
          </w:tcPr>
          <w:p w14:paraId="299C87FF" w14:textId="77777777" w:rsidR="00936AB1" w:rsidRPr="009C01D5" w:rsidRDefault="00936AB1" w:rsidP="002C5E3C">
            <w:pPr>
              <w:pStyle w:val="TableText0"/>
              <w:keepNext w:val="0"/>
              <w:widowControl w:val="0"/>
              <w:jc w:val="center"/>
              <w:rPr>
                <w:szCs w:val="20"/>
              </w:rPr>
            </w:pPr>
            <w:r w:rsidRPr="009C01D5">
              <w:rPr>
                <w:szCs w:val="20"/>
              </w:rPr>
              <w:t>MC, R, DB</w:t>
            </w:r>
          </w:p>
          <w:p w14:paraId="751A049F" w14:textId="77777777" w:rsidR="00936AB1" w:rsidRPr="009C01D5" w:rsidRDefault="00936AB1" w:rsidP="002C5E3C">
            <w:pPr>
              <w:pStyle w:val="TableText0"/>
              <w:keepNext w:val="0"/>
              <w:widowControl w:val="0"/>
              <w:jc w:val="center"/>
              <w:rPr>
                <w:szCs w:val="20"/>
              </w:rPr>
            </w:pPr>
            <w:r w:rsidRPr="009C01D5">
              <w:rPr>
                <w:szCs w:val="20"/>
              </w:rPr>
              <w:t>6 week</w:t>
            </w:r>
          </w:p>
        </w:tc>
        <w:tc>
          <w:tcPr>
            <w:tcW w:w="459" w:type="pct"/>
            <w:shd w:val="clear" w:color="auto" w:fill="auto"/>
          </w:tcPr>
          <w:p w14:paraId="02303071" w14:textId="77777777" w:rsidR="00936AB1" w:rsidRPr="009C01D5" w:rsidRDefault="00936AB1" w:rsidP="002C5E3C">
            <w:pPr>
              <w:pStyle w:val="TableText0"/>
              <w:keepNext w:val="0"/>
              <w:widowControl w:val="0"/>
              <w:jc w:val="center"/>
              <w:rPr>
                <w:szCs w:val="20"/>
              </w:rPr>
            </w:pPr>
            <w:r w:rsidRPr="009C01D5">
              <w:rPr>
                <w:szCs w:val="20"/>
              </w:rPr>
              <w:t>Unclear</w:t>
            </w:r>
          </w:p>
        </w:tc>
        <w:tc>
          <w:tcPr>
            <w:tcW w:w="1577" w:type="pct"/>
            <w:shd w:val="clear" w:color="auto" w:fill="auto"/>
          </w:tcPr>
          <w:p w14:paraId="0DBF0917" w14:textId="77777777" w:rsidR="00936AB1" w:rsidRPr="009C01D5" w:rsidRDefault="00936AB1" w:rsidP="00023F66">
            <w:pPr>
              <w:pStyle w:val="TableText0"/>
              <w:keepNext w:val="0"/>
              <w:widowControl w:val="0"/>
              <w:rPr>
                <w:szCs w:val="20"/>
              </w:rPr>
            </w:pPr>
            <w:r w:rsidRPr="009C01D5">
              <w:rPr>
                <w:szCs w:val="20"/>
              </w:rPr>
              <w:t>Adults (≥ 18 years) with an acute exacerbation of schizophrenia requiring hospitalisation</w:t>
            </w:r>
          </w:p>
        </w:tc>
        <w:tc>
          <w:tcPr>
            <w:tcW w:w="872" w:type="pct"/>
          </w:tcPr>
          <w:p w14:paraId="74CC6702"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71737B97" w14:textId="77777777" w:rsidTr="002C5E3C">
        <w:trPr>
          <w:cantSplit/>
          <w:trHeight w:val="20"/>
        </w:trPr>
        <w:tc>
          <w:tcPr>
            <w:tcW w:w="5000" w:type="pct"/>
            <w:gridSpan w:val="6"/>
            <w:shd w:val="clear" w:color="auto" w:fill="auto"/>
          </w:tcPr>
          <w:p w14:paraId="5E8A0F22" w14:textId="77777777" w:rsidR="00936AB1" w:rsidRPr="009C01D5" w:rsidRDefault="00936AB1" w:rsidP="00023F66">
            <w:pPr>
              <w:pStyle w:val="TableText0"/>
              <w:keepNext w:val="0"/>
              <w:widowControl w:val="0"/>
              <w:rPr>
                <w:b/>
                <w:szCs w:val="20"/>
              </w:rPr>
            </w:pPr>
            <w:r w:rsidRPr="009C01D5">
              <w:rPr>
                <w:b/>
                <w:szCs w:val="20"/>
              </w:rPr>
              <w:t xml:space="preserve">Brexpiprazole </w:t>
            </w:r>
          </w:p>
        </w:tc>
      </w:tr>
      <w:tr w:rsidR="00936AB1" w:rsidRPr="009C01D5" w14:paraId="7A0328ED" w14:textId="77777777" w:rsidTr="000B01B2">
        <w:trPr>
          <w:cantSplit/>
          <w:trHeight w:val="20"/>
        </w:trPr>
        <w:tc>
          <w:tcPr>
            <w:tcW w:w="854" w:type="pct"/>
            <w:tcBorders>
              <w:top w:val="single" w:sz="4" w:space="0" w:color="auto"/>
            </w:tcBorders>
            <w:shd w:val="clear" w:color="auto" w:fill="FFFFFF" w:themeFill="background1"/>
          </w:tcPr>
          <w:p w14:paraId="765953CD" w14:textId="77777777" w:rsidR="00936AB1" w:rsidRPr="009C01D5" w:rsidRDefault="00936AB1" w:rsidP="002C5E3C">
            <w:pPr>
              <w:pStyle w:val="TableText0"/>
              <w:keepNext w:val="0"/>
              <w:widowControl w:val="0"/>
              <w:rPr>
                <w:szCs w:val="20"/>
              </w:rPr>
            </w:pPr>
            <w:r w:rsidRPr="009C01D5">
              <w:t xml:space="preserve">BEACON </w:t>
            </w:r>
          </w:p>
        </w:tc>
        <w:tc>
          <w:tcPr>
            <w:tcW w:w="547" w:type="pct"/>
            <w:shd w:val="clear" w:color="auto" w:fill="auto"/>
          </w:tcPr>
          <w:p w14:paraId="5BF0DABA" w14:textId="77777777" w:rsidR="00936AB1" w:rsidRPr="009C01D5" w:rsidRDefault="00936AB1" w:rsidP="002C5E3C">
            <w:pPr>
              <w:pStyle w:val="TableText0"/>
              <w:keepNext w:val="0"/>
              <w:widowControl w:val="0"/>
              <w:jc w:val="center"/>
              <w:rPr>
                <w:szCs w:val="20"/>
              </w:rPr>
            </w:pPr>
            <w:r w:rsidRPr="009C01D5">
              <w:rPr>
                <w:szCs w:val="20"/>
              </w:rPr>
              <w:t>674</w:t>
            </w:r>
          </w:p>
        </w:tc>
        <w:tc>
          <w:tcPr>
            <w:tcW w:w="691" w:type="pct"/>
            <w:shd w:val="clear" w:color="auto" w:fill="auto"/>
          </w:tcPr>
          <w:p w14:paraId="42040A21" w14:textId="77777777" w:rsidR="00936AB1" w:rsidRPr="009C01D5" w:rsidRDefault="00936AB1" w:rsidP="002C5E3C">
            <w:pPr>
              <w:pStyle w:val="TableText0"/>
              <w:keepNext w:val="0"/>
              <w:widowControl w:val="0"/>
              <w:jc w:val="center"/>
              <w:rPr>
                <w:szCs w:val="20"/>
              </w:rPr>
            </w:pPr>
            <w:r w:rsidRPr="009C01D5">
              <w:rPr>
                <w:szCs w:val="20"/>
              </w:rPr>
              <w:t>Phase III, MC, R, DB</w:t>
            </w:r>
          </w:p>
          <w:p w14:paraId="300577CB" w14:textId="77777777" w:rsidR="00936AB1" w:rsidRPr="009C01D5" w:rsidRDefault="00936AB1" w:rsidP="002C5E3C">
            <w:pPr>
              <w:pStyle w:val="TableText0"/>
              <w:keepNext w:val="0"/>
              <w:widowControl w:val="0"/>
              <w:jc w:val="center"/>
              <w:rPr>
                <w:szCs w:val="20"/>
              </w:rPr>
            </w:pPr>
            <w:r w:rsidRPr="009C01D5">
              <w:rPr>
                <w:szCs w:val="20"/>
              </w:rPr>
              <w:t xml:space="preserve">6 week </w:t>
            </w:r>
          </w:p>
        </w:tc>
        <w:tc>
          <w:tcPr>
            <w:tcW w:w="459" w:type="pct"/>
            <w:shd w:val="clear" w:color="auto" w:fill="auto"/>
          </w:tcPr>
          <w:p w14:paraId="5CD17E7C"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6BEE4FC8" w14:textId="77777777" w:rsidR="00936AB1" w:rsidRPr="009C01D5" w:rsidRDefault="00936AB1" w:rsidP="00023F66">
            <w:pPr>
              <w:pStyle w:val="TableText0"/>
              <w:keepNext w:val="0"/>
              <w:widowControl w:val="0"/>
              <w:rPr>
                <w:szCs w:val="20"/>
              </w:rPr>
            </w:pPr>
            <w:r w:rsidRPr="009C01D5">
              <w:rPr>
                <w:szCs w:val="20"/>
              </w:rPr>
              <w:t>Adults (18–65 years) who have been recently hospitalised or would benefit from hospitalisation for an acute relapse of schizophrenia</w:t>
            </w:r>
          </w:p>
        </w:tc>
        <w:tc>
          <w:tcPr>
            <w:tcW w:w="872" w:type="pct"/>
          </w:tcPr>
          <w:p w14:paraId="3077ABB6"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7AB12BF1" w14:textId="77777777" w:rsidTr="000B01B2">
        <w:trPr>
          <w:cantSplit/>
          <w:trHeight w:val="20"/>
        </w:trPr>
        <w:tc>
          <w:tcPr>
            <w:tcW w:w="854" w:type="pct"/>
            <w:shd w:val="clear" w:color="auto" w:fill="FFFFFF" w:themeFill="background1"/>
          </w:tcPr>
          <w:p w14:paraId="6645F4B2" w14:textId="77777777" w:rsidR="00936AB1" w:rsidRPr="009C01D5" w:rsidRDefault="00936AB1" w:rsidP="002C5E3C">
            <w:pPr>
              <w:pStyle w:val="TableText0"/>
              <w:keepNext w:val="0"/>
              <w:widowControl w:val="0"/>
              <w:rPr>
                <w:szCs w:val="20"/>
              </w:rPr>
            </w:pPr>
            <w:r w:rsidRPr="009C01D5">
              <w:t>VECTOR</w:t>
            </w:r>
          </w:p>
        </w:tc>
        <w:tc>
          <w:tcPr>
            <w:tcW w:w="547" w:type="pct"/>
            <w:shd w:val="clear" w:color="auto" w:fill="auto"/>
          </w:tcPr>
          <w:p w14:paraId="24C94062" w14:textId="77777777" w:rsidR="00936AB1" w:rsidRPr="009C01D5" w:rsidRDefault="00936AB1" w:rsidP="002C5E3C">
            <w:pPr>
              <w:pStyle w:val="TableText0"/>
              <w:keepNext w:val="0"/>
              <w:widowControl w:val="0"/>
              <w:jc w:val="center"/>
              <w:rPr>
                <w:szCs w:val="20"/>
              </w:rPr>
            </w:pPr>
            <w:r w:rsidRPr="009C01D5">
              <w:rPr>
                <w:szCs w:val="20"/>
              </w:rPr>
              <w:t>636</w:t>
            </w:r>
          </w:p>
        </w:tc>
        <w:tc>
          <w:tcPr>
            <w:tcW w:w="691" w:type="pct"/>
            <w:shd w:val="clear" w:color="auto" w:fill="auto"/>
          </w:tcPr>
          <w:p w14:paraId="57B7C2C5" w14:textId="77777777" w:rsidR="00936AB1" w:rsidRPr="009C01D5" w:rsidRDefault="00936AB1" w:rsidP="002C5E3C">
            <w:pPr>
              <w:pStyle w:val="TableText0"/>
              <w:keepNext w:val="0"/>
              <w:widowControl w:val="0"/>
              <w:jc w:val="center"/>
              <w:rPr>
                <w:szCs w:val="20"/>
              </w:rPr>
            </w:pPr>
            <w:r w:rsidRPr="009C01D5">
              <w:rPr>
                <w:szCs w:val="20"/>
              </w:rPr>
              <w:t>Phase III, MC, R, DB</w:t>
            </w:r>
          </w:p>
          <w:p w14:paraId="3FB7F13C" w14:textId="77777777" w:rsidR="00936AB1" w:rsidRPr="009C01D5" w:rsidRDefault="00936AB1" w:rsidP="002C5E3C">
            <w:pPr>
              <w:pStyle w:val="TableText0"/>
              <w:keepNext w:val="0"/>
              <w:widowControl w:val="0"/>
              <w:jc w:val="center"/>
              <w:rPr>
                <w:szCs w:val="20"/>
              </w:rPr>
            </w:pPr>
            <w:r w:rsidRPr="009C01D5">
              <w:rPr>
                <w:szCs w:val="20"/>
              </w:rPr>
              <w:t>6 week</w:t>
            </w:r>
          </w:p>
        </w:tc>
        <w:tc>
          <w:tcPr>
            <w:tcW w:w="459" w:type="pct"/>
            <w:shd w:val="clear" w:color="auto" w:fill="auto"/>
          </w:tcPr>
          <w:p w14:paraId="0EAE5355"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50BF90C3" w14:textId="77777777" w:rsidR="00936AB1" w:rsidRPr="009C01D5" w:rsidRDefault="00936AB1" w:rsidP="00023F66">
            <w:pPr>
              <w:pStyle w:val="TableText0"/>
              <w:keepNext w:val="0"/>
              <w:widowControl w:val="0"/>
              <w:rPr>
                <w:szCs w:val="20"/>
              </w:rPr>
            </w:pPr>
            <w:r w:rsidRPr="009C01D5">
              <w:rPr>
                <w:szCs w:val="20"/>
              </w:rPr>
              <w:t>Adults (18–65 years) who have been recently hospitalised or would benefit from hospitalisation for an acute relapse of schizophrenia</w:t>
            </w:r>
          </w:p>
        </w:tc>
        <w:tc>
          <w:tcPr>
            <w:tcW w:w="872" w:type="pct"/>
          </w:tcPr>
          <w:p w14:paraId="60215B1C"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184F21C5" w14:textId="77777777" w:rsidTr="000B01B2">
        <w:trPr>
          <w:cantSplit/>
          <w:trHeight w:val="20"/>
        </w:trPr>
        <w:tc>
          <w:tcPr>
            <w:tcW w:w="854" w:type="pct"/>
          </w:tcPr>
          <w:p w14:paraId="79EFB688" w14:textId="77777777" w:rsidR="00936AB1" w:rsidRPr="009C01D5" w:rsidRDefault="00936AB1" w:rsidP="002C5E3C">
            <w:pPr>
              <w:pStyle w:val="TableText0"/>
              <w:keepNext w:val="0"/>
              <w:widowControl w:val="0"/>
              <w:rPr>
                <w:szCs w:val="20"/>
              </w:rPr>
            </w:pPr>
            <w:r w:rsidRPr="009C01D5">
              <w:t>LIGHTHOUSE</w:t>
            </w:r>
          </w:p>
        </w:tc>
        <w:tc>
          <w:tcPr>
            <w:tcW w:w="547" w:type="pct"/>
            <w:shd w:val="clear" w:color="auto" w:fill="auto"/>
          </w:tcPr>
          <w:p w14:paraId="7C3A7484" w14:textId="77777777" w:rsidR="00936AB1" w:rsidRPr="009C01D5" w:rsidRDefault="00936AB1" w:rsidP="002C5E3C">
            <w:pPr>
              <w:pStyle w:val="TableText0"/>
              <w:keepNext w:val="0"/>
              <w:widowControl w:val="0"/>
              <w:jc w:val="center"/>
              <w:rPr>
                <w:szCs w:val="20"/>
              </w:rPr>
            </w:pPr>
            <w:r w:rsidRPr="009C01D5">
              <w:rPr>
                <w:szCs w:val="20"/>
              </w:rPr>
              <w:t>311</w:t>
            </w:r>
          </w:p>
        </w:tc>
        <w:tc>
          <w:tcPr>
            <w:tcW w:w="691" w:type="pct"/>
            <w:shd w:val="clear" w:color="auto" w:fill="auto"/>
          </w:tcPr>
          <w:p w14:paraId="6994E88F" w14:textId="77777777" w:rsidR="00936AB1" w:rsidRPr="009C01D5" w:rsidRDefault="00936AB1" w:rsidP="002C5E3C">
            <w:pPr>
              <w:pStyle w:val="TableText0"/>
              <w:keepNext w:val="0"/>
              <w:widowControl w:val="0"/>
              <w:jc w:val="center"/>
              <w:rPr>
                <w:szCs w:val="20"/>
              </w:rPr>
            </w:pPr>
            <w:r w:rsidRPr="009C01D5">
              <w:rPr>
                <w:szCs w:val="20"/>
              </w:rPr>
              <w:t>Phase III, MC, R, DB</w:t>
            </w:r>
          </w:p>
          <w:p w14:paraId="10AA927D" w14:textId="77777777" w:rsidR="00936AB1" w:rsidRPr="009C01D5" w:rsidRDefault="00936AB1" w:rsidP="002C5E3C">
            <w:pPr>
              <w:pStyle w:val="TableText0"/>
              <w:keepNext w:val="0"/>
              <w:widowControl w:val="0"/>
              <w:jc w:val="center"/>
              <w:rPr>
                <w:szCs w:val="20"/>
              </w:rPr>
            </w:pPr>
            <w:r w:rsidRPr="009C01D5">
              <w:rPr>
                <w:szCs w:val="20"/>
              </w:rPr>
              <w:t>6 week</w:t>
            </w:r>
          </w:p>
        </w:tc>
        <w:tc>
          <w:tcPr>
            <w:tcW w:w="459" w:type="pct"/>
            <w:shd w:val="clear" w:color="auto" w:fill="auto"/>
          </w:tcPr>
          <w:p w14:paraId="7AC28565"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1384788B" w14:textId="77777777" w:rsidR="00936AB1" w:rsidRPr="009C01D5" w:rsidRDefault="00936AB1" w:rsidP="00023F66">
            <w:pPr>
              <w:pStyle w:val="TableText0"/>
              <w:keepNext w:val="0"/>
              <w:widowControl w:val="0"/>
              <w:rPr>
                <w:szCs w:val="20"/>
              </w:rPr>
            </w:pPr>
            <w:r w:rsidRPr="009C01D5">
              <w:rPr>
                <w:szCs w:val="20"/>
              </w:rPr>
              <w:t>Adults (18–65 years) who would benefit from hospitalisation or continued hospitalisation for an acute relapse of schizophrenia.</w:t>
            </w:r>
          </w:p>
        </w:tc>
        <w:tc>
          <w:tcPr>
            <w:tcW w:w="872" w:type="pct"/>
          </w:tcPr>
          <w:p w14:paraId="5C1121EB"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2B82F783" w14:textId="77777777" w:rsidTr="000B01B2">
        <w:trPr>
          <w:cantSplit/>
          <w:trHeight w:val="20"/>
        </w:trPr>
        <w:tc>
          <w:tcPr>
            <w:tcW w:w="854" w:type="pct"/>
            <w:shd w:val="clear" w:color="auto" w:fill="FFFFFF" w:themeFill="background1"/>
          </w:tcPr>
          <w:p w14:paraId="2ECF3D89" w14:textId="77777777" w:rsidR="00936AB1" w:rsidRPr="009C01D5" w:rsidRDefault="00936AB1" w:rsidP="002C5E3C">
            <w:pPr>
              <w:pStyle w:val="TableText0"/>
              <w:keepNext w:val="0"/>
              <w:widowControl w:val="0"/>
              <w:rPr>
                <w:szCs w:val="20"/>
                <w:vertAlign w:val="superscript"/>
              </w:rPr>
            </w:pPr>
            <w:r w:rsidRPr="009C01D5">
              <w:t>STEP-203</w:t>
            </w:r>
            <w:r w:rsidRPr="009C01D5">
              <w:rPr>
                <w:vertAlign w:val="superscript"/>
              </w:rPr>
              <w:t>1</w:t>
            </w:r>
          </w:p>
        </w:tc>
        <w:tc>
          <w:tcPr>
            <w:tcW w:w="547" w:type="pct"/>
            <w:shd w:val="clear" w:color="auto" w:fill="auto"/>
          </w:tcPr>
          <w:p w14:paraId="5F7888BC" w14:textId="77777777" w:rsidR="00936AB1" w:rsidRPr="009C01D5" w:rsidRDefault="00936AB1" w:rsidP="002C5E3C">
            <w:pPr>
              <w:pStyle w:val="TableText0"/>
              <w:keepNext w:val="0"/>
              <w:widowControl w:val="0"/>
              <w:jc w:val="center"/>
              <w:rPr>
                <w:szCs w:val="20"/>
              </w:rPr>
            </w:pPr>
            <w:r w:rsidRPr="009C01D5">
              <w:rPr>
                <w:szCs w:val="20"/>
              </w:rPr>
              <w:t>765</w:t>
            </w:r>
          </w:p>
        </w:tc>
        <w:tc>
          <w:tcPr>
            <w:tcW w:w="691" w:type="pct"/>
            <w:shd w:val="clear" w:color="auto" w:fill="auto"/>
          </w:tcPr>
          <w:p w14:paraId="2E227794" w14:textId="77777777" w:rsidR="00936AB1" w:rsidRPr="009C01D5" w:rsidRDefault="00936AB1" w:rsidP="002C5E3C">
            <w:pPr>
              <w:pStyle w:val="TableText0"/>
              <w:keepNext w:val="0"/>
              <w:widowControl w:val="0"/>
              <w:jc w:val="center"/>
              <w:rPr>
                <w:szCs w:val="20"/>
              </w:rPr>
            </w:pPr>
            <w:r w:rsidRPr="009C01D5">
              <w:rPr>
                <w:szCs w:val="20"/>
              </w:rPr>
              <w:t>Phase II, MC, R, DB</w:t>
            </w:r>
          </w:p>
          <w:p w14:paraId="7B523617" w14:textId="77777777" w:rsidR="00936AB1" w:rsidRPr="009C01D5" w:rsidRDefault="00936AB1" w:rsidP="002C5E3C">
            <w:pPr>
              <w:pStyle w:val="TableText0"/>
              <w:keepNext w:val="0"/>
              <w:widowControl w:val="0"/>
              <w:jc w:val="center"/>
              <w:rPr>
                <w:szCs w:val="20"/>
              </w:rPr>
            </w:pPr>
            <w:r w:rsidRPr="009C01D5">
              <w:rPr>
                <w:szCs w:val="20"/>
              </w:rPr>
              <w:t xml:space="preserve">6 week </w:t>
            </w:r>
          </w:p>
        </w:tc>
        <w:tc>
          <w:tcPr>
            <w:tcW w:w="459" w:type="pct"/>
            <w:shd w:val="clear" w:color="auto" w:fill="auto"/>
          </w:tcPr>
          <w:p w14:paraId="1BF1FB95" w14:textId="77777777" w:rsidR="00936AB1" w:rsidRPr="009C01D5" w:rsidRDefault="00936AB1" w:rsidP="002C5E3C">
            <w:pPr>
              <w:pStyle w:val="TableText0"/>
              <w:keepNext w:val="0"/>
              <w:widowControl w:val="0"/>
              <w:jc w:val="center"/>
              <w:rPr>
                <w:szCs w:val="20"/>
              </w:rPr>
            </w:pPr>
            <w:r w:rsidRPr="009C01D5">
              <w:rPr>
                <w:szCs w:val="20"/>
              </w:rPr>
              <w:t>Unclear</w:t>
            </w:r>
          </w:p>
        </w:tc>
        <w:tc>
          <w:tcPr>
            <w:tcW w:w="1577" w:type="pct"/>
            <w:shd w:val="clear" w:color="auto" w:fill="auto"/>
          </w:tcPr>
          <w:p w14:paraId="2D4D33E9" w14:textId="77777777" w:rsidR="00936AB1" w:rsidRPr="009C01D5" w:rsidRDefault="00936AB1" w:rsidP="00023F66">
            <w:pPr>
              <w:pStyle w:val="TableText0"/>
              <w:keepNext w:val="0"/>
              <w:widowControl w:val="0"/>
              <w:rPr>
                <w:szCs w:val="20"/>
              </w:rPr>
            </w:pPr>
            <w:r w:rsidRPr="009C01D5">
              <w:rPr>
                <w:szCs w:val="20"/>
              </w:rPr>
              <w:t>Adults (18–65 years) who have been recently hospitalised or would benefit from hospitalisation for an acute relapse of schizophrenia.</w:t>
            </w:r>
          </w:p>
        </w:tc>
        <w:tc>
          <w:tcPr>
            <w:tcW w:w="872" w:type="pct"/>
            <w:shd w:val="clear" w:color="auto" w:fill="auto"/>
          </w:tcPr>
          <w:p w14:paraId="05CD2EA4"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6797F6F4" w14:textId="77777777" w:rsidTr="002C5E3C">
        <w:trPr>
          <w:cantSplit/>
          <w:trHeight w:val="20"/>
        </w:trPr>
        <w:tc>
          <w:tcPr>
            <w:tcW w:w="5000" w:type="pct"/>
            <w:gridSpan w:val="6"/>
            <w:shd w:val="clear" w:color="auto" w:fill="FFFFFF" w:themeFill="background1"/>
          </w:tcPr>
          <w:p w14:paraId="5A5E1D54" w14:textId="77777777" w:rsidR="00936AB1" w:rsidRPr="009C01D5" w:rsidRDefault="00936AB1" w:rsidP="00023F66">
            <w:pPr>
              <w:pStyle w:val="TableText0"/>
              <w:keepNext w:val="0"/>
              <w:widowControl w:val="0"/>
              <w:rPr>
                <w:b/>
                <w:szCs w:val="20"/>
              </w:rPr>
            </w:pPr>
            <w:r w:rsidRPr="009C01D5">
              <w:rPr>
                <w:b/>
              </w:rPr>
              <w:t xml:space="preserve">Maintenance setting </w:t>
            </w:r>
          </w:p>
        </w:tc>
      </w:tr>
      <w:tr w:rsidR="00936AB1" w:rsidRPr="009C01D5" w14:paraId="7C55F566" w14:textId="77777777" w:rsidTr="000B01B2">
        <w:trPr>
          <w:cantSplit/>
          <w:trHeight w:val="20"/>
        </w:trPr>
        <w:tc>
          <w:tcPr>
            <w:tcW w:w="854" w:type="pct"/>
            <w:shd w:val="clear" w:color="auto" w:fill="FFFFFF" w:themeFill="background1"/>
          </w:tcPr>
          <w:p w14:paraId="4BE9EDDE" w14:textId="77777777" w:rsidR="00936AB1" w:rsidRPr="009C01D5" w:rsidRDefault="00936AB1" w:rsidP="002C5E3C">
            <w:pPr>
              <w:pStyle w:val="TableText0"/>
              <w:keepNext w:val="0"/>
              <w:widowControl w:val="0"/>
            </w:pPr>
            <w:r w:rsidRPr="009C01D5">
              <w:t xml:space="preserve">RGH-MD-06 </w:t>
            </w:r>
          </w:p>
        </w:tc>
        <w:tc>
          <w:tcPr>
            <w:tcW w:w="547" w:type="pct"/>
            <w:shd w:val="clear" w:color="auto" w:fill="auto"/>
          </w:tcPr>
          <w:p w14:paraId="685747D2" w14:textId="77777777" w:rsidR="00936AB1" w:rsidRPr="009C01D5" w:rsidRDefault="00936AB1" w:rsidP="002C5E3C">
            <w:pPr>
              <w:pStyle w:val="TableText0"/>
              <w:keepNext w:val="0"/>
              <w:widowControl w:val="0"/>
              <w:jc w:val="center"/>
              <w:rPr>
                <w:szCs w:val="20"/>
              </w:rPr>
            </w:pPr>
            <w:r w:rsidRPr="009C01D5">
              <w:rPr>
                <w:szCs w:val="20"/>
              </w:rPr>
              <w:t>200</w:t>
            </w:r>
          </w:p>
        </w:tc>
        <w:tc>
          <w:tcPr>
            <w:tcW w:w="691" w:type="pct"/>
            <w:shd w:val="clear" w:color="auto" w:fill="auto"/>
          </w:tcPr>
          <w:p w14:paraId="776B2BE3" w14:textId="77777777" w:rsidR="00936AB1" w:rsidRPr="009C01D5" w:rsidRDefault="00936AB1" w:rsidP="002C5E3C">
            <w:pPr>
              <w:pStyle w:val="TableText0"/>
              <w:keepNext w:val="0"/>
              <w:widowControl w:val="0"/>
              <w:jc w:val="center"/>
              <w:rPr>
                <w:szCs w:val="20"/>
              </w:rPr>
            </w:pPr>
            <w:r w:rsidRPr="009C01D5">
              <w:rPr>
                <w:szCs w:val="20"/>
              </w:rPr>
              <w:t xml:space="preserve">Phase III, MC, R, DB </w:t>
            </w:r>
          </w:p>
          <w:p w14:paraId="657F932E" w14:textId="77777777" w:rsidR="00936AB1" w:rsidRPr="009C01D5" w:rsidRDefault="00936AB1" w:rsidP="002C5E3C">
            <w:pPr>
              <w:pStyle w:val="TableText0"/>
              <w:keepNext w:val="0"/>
              <w:widowControl w:val="0"/>
              <w:jc w:val="center"/>
              <w:rPr>
                <w:szCs w:val="20"/>
              </w:rPr>
            </w:pPr>
            <w:r w:rsidRPr="009C01D5">
              <w:rPr>
                <w:szCs w:val="20"/>
              </w:rPr>
              <w:t>72 week</w:t>
            </w:r>
          </w:p>
        </w:tc>
        <w:tc>
          <w:tcPr>
            <w:tcW w:w="459" w:type="pct"/>
            <w:shd w:val="clear" w:color="auto" w:fill="auto"/>
          </w:tcPr>
          <w:p w14:paraId="6A3E4551" w14:textId="77777777" w:rsidR="00936AB1" w:rsidRPr="009C01D5" w:rsidRDefault="00936AB1" w:rsidP="002C5E3C">
            <w:pPr>
              <w:pStyle w:val="TableText0"/>
              <w:keepNext w:val="0"/>
              <w:widowControl w:val="0"/>
              <w:jc w:val="center"/>
              <w:rPr>
                <w:szCs w:val="20"/>
              </w:rPr>
            </w:pPr>
            <w:r w:rsidRPr="009C01D5">
              <w:rPr>
                <w:szCs w:val="20"/>
              </w:rPr>
              <w:t>Low</w:t>
            </w:r>
          </w:p>
        </w:tc>
        <w:tc>
          <w:tcPr>
            <w:tcW w:w="1577" w:type="pct"/>
            <w:shd w:val="clear" w:color="auto" w:fill="auto"/>
          </w:tcPr>
          <w:p w14:paraId="71F62D0F" w14:textId="77777777" w:rsidR="00936AB1" w:rsidRPr="009C01D5" w:rsidRDefault="00936AB1" w:rsidP="00023F66">
            <w:pPr>
              <w:pStyle w:val="TableText0"/>
              <w:keepNext w:val="0"/>
              <w:widowControl w:val="0"/>
              <w:rPr>
                <w:szCs w:val="20"/>
              </w:rPr>
            </w:pPr>
            <w:r w:rsidRPr="009C01D5">
              <w:rPr>
                <w:szCs w:val="20"/>
              </w:rPr>
              <w:t>Adults (18–60 years) with schizophrenia</w:t>
            </w:r>
          </w:p>
        </w:tc>
        <w:tc>
          <w:tcPr>
            <w:tcW w:w="872" w:type="pct"/>
            <w:shd w:val="clear" w:color="auto" w:fill="auto"/>
          </w:tcPr>
          <w:p w14:paraId="0C2B833A" w14:textId="77777777" w:rsidR="00936AB1" w:rsidRPr="009C01D5" w:rsidRDefault="00936AB1" w:rsidP="00023F66">
            <w:pPr>
              <w:pStyle w:val="TableText0"/>
              <w:keepNext w:val="0"/>
              <w:widowControl w:val="0"/>
              <w:rPr>
                <w:szCs w:val="20"/>
              </w:rPr>
            </w:pPr>
            <w:r w:rsidRPr="009C01D5">
              <w:rPr>
                <w:szCs w:val="20"/>
              </w:rPr>
              <w:t>Long term efficacy, safety and tolerability</w:t>
            </w:r>
          </w:p>
        </w:tc>
      </w:tr>
      <w:tr w:rsidR="00936AB1" w:rsidRPr="009C01D5" w14:paraId="46495BFF" w14:textId="77777777" w:rsidTr="000B01B2">
        <w:trPr>
          <w:cantSplit/>
          <w:trHeight w:val="20"/>
        </w:trPr>
        <w:tc>
          <w:tcPr>
            <w:tcW w:w="854" w:type="pct"/>
            <w:shd w:val="clear" w:color="auto" w:fill="FFFFFF" w:themeFill="background1"/>
          </w:tcPr>
          <w:p w14:paraId="08B44624" w14:textId="77777777" w:rsidR="00936AB1" w:rsidRPr="009C01D5" w:rsidRDefault="00936AB1" w:rsidP="002C5E3C">
            <w:pPr>
              <w:pStyle w:val="TableText0"/>
              <w:keepNext w:val="0"/>
              <w:widowControl w:val="0"/>
            </w:pPr>
            <w:r w:rsidRPr="009C01D5">
              <w:t>Pigott (2003)</w:t>
            </w:r>
          </w:p>
        </w:tc>
        <w:tc>
          <w:tcPr>
            <w:tcW w:w="547" w:type="pct"/>
            <w:shd w:val="clear" w:color="auto" w:fill="auto"/>
          </w:tcPr>
          <w:p w14:paraId="06F37EC4" w14:textId="77777777" w:rsidR="00936AB1" w:rsidRPr="009C01D5" w:rsidRDefault="00936AB1" w:rsidP="002C5E3C">
            <w:pPr>
              <w:pStyle w:val="TableText0"/>
              <w:keepNext w:val="0"/>
              <w:widowControl w:val="0"/>
              <w:jc w:val="center"/>
              <w:rPr>
                <w:szCs w:val="20"/>
              </w:rPr>
            </w:pPr>
            <w:r w:rsidRPr="009C01D5">
              <w:rPr>
                <w:szCs w:val="20"/>
              </w:rPr>
              <w:t>310</w:t>
            </w:r>
          </w:p>
        </w:tc>
        <w:tc>
          <w:tcPr>
            <w:tcW w:w="691" w:type="pct"/>
            <w:shd w:val="clear" w:color="auto" w:fill="auto"/>
          </w:tcPr>
          <w:p w14:paraId="4652D4B5" w14:textId="77777777" w:rsidR="00936AB1" w:rsidRPr="009C01D5" w:rsidRDefault="00936AB1" w:rsidP="002C5E3C">
            <w:pPr>
              <w:pStyle w:val="TableText0"/>
              <w:keepNext w:val="0"/>
              <w:widowControl w:val="0"/>
              <w:jc w:val="center"/>
              <w:rPr>
                <w:szCs w:val="20"/>
              </w:rPr>
            </w:pPr>
            <w:r w:rsidRPr="009C01D5">
              <w:rPr>
                <w:szCs w:val="20"/>
              </w:rPr>
              <w:t xml:space="preserve">Phase III, MC, R, DB </w:t>
            </w:r>
          </w:p>
          <w:p w14:paraId="72B703BC" w14:textId="77777777" w:rsidR="00936AB1" w:rsidRPr="009C01D5" w:rsidRDefault="00936AB1" w:rsidP="002C5E3C">
            <w:pPr>
              <w:pStyle w:val="TableText0"/>
              <w:keepNext w:val="0"/>
              <w:widowControl w:val="0"/>
              <w:jc w:val="center"/>
              <w:rPr>
                <w:szCs w:val="20"/>
              </w:rPr>
            </w:pPr>
            <w:r w:rsidRPr="009C01D5">
              <w:rPr>
                <w:szCs w:val="20"/>
              </w:rPr>
              <w:t>26 week</w:t>
            </w:r>
          </w:p>
        </w:tc>
        <w:tc>
          <w:tcPr>
            <w:tcW w:w="459" w:type="pct"/>
            <w:shd w:val="clear" w:color="auto" w:fill="auto"/>
          </w:tcPr>
          <w:p w14:paraId="72173748" w14:textId="77777777" w:rsidR="00936AB1" w:rsidRPr="009C01D5" w:rsidRDefault="00A85206" w:rsidP="002C5E3C">
            <w:pPr>
              <w:pStyle w:val="TableText0"/>
              <w:keepNext w:val="0"/>
              <w:widowControl w:val="0"/>
              <w:jc w:val="center"/>
              <w:rPr>
                <w:szCs w:val="20"/>
              </w:rPr>
            </w:pPr>
            <w:r w:rsidRPr="009C01D5">
              <w:rPr>
                <w:szCs w:val="20"/>
              </w:rPr>
              <w:t>Unclear</w:t>
            </w:r>
          </w:p>
        </w:tc>
        <w:tc>
          <w:tcPr>
            <w:tcW w:w="1577" w:type="pct"/>
            <w:shd w:val="clear" w:color="auto" w:fill="auto"/>
          </w:tcPr>
          <w:p w14:paraId="7FB0CC40" w14:textId="77777777" w:rsidR="00936AB1" w:rsidRPr="009C01D5" w:rsidRDefault="00936AB1" w:rsidP="00023F66">
            <w:pPr>
              <w:pStyle w:val="TableText0"/>
              <w:keepNext w:val="0"/>
              <w:widowControl w:val="0"/>
              <w:rPr>
                <w:szCs w:val="20"/>
              </w:rPr>
            </w:pPr>
            <w:r w:rsidRPr="009C01D5">
              <w:rPr>
                <w:szCs w:val="20"/>
              </w:rPr>
              <w:t>Adults (≥ 18 years) with stable schizophrenia</w:t>
            </w:r>
          </w:p>
        </w:tc>
        <w:tc>
          <w:tcPr>
            <w:tcW w:w="872" w:type="pct"/>
            <w:shd w:val="clear" w:color="auto" w:fill="auto"/>
          </w:tcPr>
          <w:p w14:paraId="3C98A045" w14:textId="77777777" w:rsidR="00936AB1" w:rsidRPr="009C01D5" w:rsidRDefault="00936AB1" w:rsidP="00023F66">
            <w:pPr>
              <w:pStyle w:val="TableText0"/>
              <w:keepNext w:val="0"/>
              <w:widowControl w:val="0"/>
              <w:rPr>
                <w:szCs w:val="20"/>
              </w:rPr>
            </w:pPr>
            <w:r w:rsidRPr="009C01D5">
              <w:rPr>
                <w:szCs w:val="20"/>
              </w:rPr>
              <w:t>Efficacy, safety and tolerability</w:t>
            </w:r>
          </w:p>
        </w:tc>
      </w:tr>
      <w:tr w:rsidR="00936AB1" w:rsidRPr="009C01D5" w14:paraId="5013909C" w14:textId="77777777" w:rsidTr="000B01B2">
        <w:trPr>
          <w:cantSplit/>
          <w:trHeight w:val="20"/>
        </w:trPr>
        <w:tc>
          <w:tcPr>
            <w:tcW w:w="854" w:type="pct"/>
            <w:shd w:val="clear" w:color="auto" w:fill="FFFFFF" w:themeFill="background1"/>
          </w:tcPr>
          <w:p w14:paraId="075B12D1" w14:textId="77777777" w:rsidR="00936AB1" w:rsidRPr="009C01D5" w:rsidRDefault="00936AB1" w:rsidP="002C5E3C">
            <w:pPr>
              <w:pStyle w:val="TableText0"/>
              <w:keepNext w:val="0"/>
              <w:widowControl w:val="0"/>
            </w:pPr>
            <w:r w:rsidRPr="009C01D5">
              <w:t>EQUATOR</w:t>
            </w:r>
          </w:p>
        </w:tc>
        <w:tc>
          <w:tcPr>
            <w:tcW w:w="547" w:type="pct"/>
            <w:shd w:val="clear" w:color="auto" w:fill="auto"/>
          </w:tcPr>
          <w:p w14:paraId="4BED92D9" w14:textId="77777777" w:rsidR="00936AB1" w:rsidRPr="009C01D5" w:rsidRDefault="00936AB1" w:rsidP="002C5E3C">
            <w:pPr>
              <w:pStyle w:val="TableText0"/>
              <w:keepNext w:val="0"/>
              <w:widowControl w:val="0"/>
              <w:jc w:val="center"/>
              <w:rPr>
                <w:szCs w:val="20"/>
              </w:rPr>
            </w:pPr>
            <w:r w:rsidRPr="009C01D5">
              <w:rPr>
                <w:szCs w:val="20"/>
              </w:rPr>
              <w:t>202</w:t>
            </w:r>
          </w:p>
        </w:tc>
        <w:tc>
          <w:tcPr>
            <w:tcW w:w="691" w:type="pct"/>
            <w:shd w:val="clear" w:color="auto" w:fill="auto"/>
          </w:tcPr>
          <w:p w14:paraId="74276E23" w14:textId="77777777" w:rsidR="00936AB1" w:rsidRPr="009C01D5" w:rsidRDefault="00936AB1" w:rsidP="002C5E3C">
            <w:pPr>
              <w:pStyle w:val="TableText0"/>
              <w:keepNext w:val="0"/>
              <w:widowControl w:val="0"/>
              <w:jc w:val="center"/>
              <w:rPr>
                <w:szCs w:val="20"/>
              </w:rPr>
            </w:pPr>
            <w:r w:rsidRPr="009C01D5">
              <w:rPr>
                <w:szCs w:val="20"/>
              </w:rPr>
              <w:t xml:space="preserve">Phase III, MC, R, DB </w:t>
            </w:r>
          </w:p>
          <w:p w14:paraId="27B936B8" w14:textId="77777777" w:rsidR="00936AB1" w:rsidRPr="009C01D5" w:rsidRDefault="00936AB1" w:rsidP="002C5E3C">
            <w:pPr>
              <w:pStyle w:val="TableText0"/>
              <w:keepNext w:val="0"/>
              <w:widowControl w:val="0"/>
              <w:jc w:val="center"/>
              <w:rPr>
                <w:szCs w:val="20"/>
              </w:rPr>
            </w:pPr>
            <w:r w:rsidRPr="009C01D5">
              <w:rPr>
                <w:szCs w:val="20"/>
              </w:rPr>
              <w:t>52 week</w:t>
            </w:r>
          </w:p>
        </w:tc>
        <w:tc>
          <w:tcPr>
            <w:tcW w:w="459" w:type="pct"/>
            <w:shd w:val="clear" w:color="auto" w:fill="auto"/>
          </w:tcPr>
          <w:p w14:paraId="0774EA05" w14:textId="77777777" w:rsidR="00936AB1" w:rsidRPr="009C01D5" w:rsidRDefault="00A85206" w:rsidP="002C5E3C">
            <w:pPr>
              <w:pStyle w:val="TableText0"/>
              <w:keepNext w:val="0"/>
              <w:widowControl w:val="0"/>
              <w:jc w:val="center"/>
              <w:rPr>
                <w:szCs w:val="20"/>
              </w:rPr>
            </w:pPr>
            <w:r w:rsidRPr="009C01D5">
              <w:rPr>
                <w:szCs w:val="20"/>
              </w:rPr>
              <w:t>Low</w:t>
            </w:r>
          </w:p>
        </w:tc>
        <w:tc>
          <w:tcPr>
            <w:tcW w:w="1577" w:type="pct"/>
            <w:shd w:val="clear" w:color="auto" w:fill="auto"/>
          </w:tcPr>
          <w:p w14:paraId="2B4265A2" w14:textId="77777777" w:rsidR="00936AB1" w:rsidRPr="009C01D5" w:rsidRDefault="00936AB1" w:rsidP="00023F66">
            <w:pPr>
              <w:pStyle w:val="TableText0"/>
              <w:keepNext w:val="0"/>
              <w:widowControl w:val="0"/>
              <w:rPr>
                <w:szCs w:val="20"/>
              </w:rPr>
            </w:pPr>
            <w:r w:rsidRPr="009C01D5">
              <w:rPr>
                <w:szCs w:val="20"/>
              </w:rPr>
              <w:t>Adults (18–65 years) with an acute exacerbation of schizophrenia requiring stabilisation or a history of relapse/exacerbation when they are not receiving anti-psychotic treatment.</w:t>
            </w:r>
          </w:p>
        </w:tc>
        <w:tc>
          <w:tcPr>
            <w:tcW w:w="872" w:type="pct"/>
            <w:shd w:val="clear" w:color="auto" w:fill="auto"/>
          </w:tcPr>
          <w:p w14:paraId="2D41CAF3" w14:textId="77777777" w:rsidR="00936AB1" w:rsidRPr="009C01D5" w:rsidRDefault="00936AB1" w:rsidP="00023F66">
            <w:pPr>
              <w:pStyle w:val="TableText0"/>
              <w:keepNext w:val="0"/>
              <w:widowControl w:val="0"/>
              <w:rPr>
                <w:szCs w:val="20"/>
              </w:rPr>
            </w:pPr>
            <w:r w:rsidRPr="009C01D5">
              <w:rPr>
                <w:szCs w:val="20"/>
              </w:rPr>
              <w:t>Efficacy, safety and tolerability</w:t>
            </w:r>
          </w:p>
        </w:tc>
      </w:tr>
    </w:tbl>
    <w:p w14:paraId="199FA3B1" w14:textId="77777777" w:rsidR="00936AB1" w:rsidRPr="009C01D5" w:rsidRDefault="00936AB1" w:rsidP="00936AB1">
      <w:pPr>
        <w:pStyle w:val="TableFigureFooter"/>
      </w:pPr>
      <w:r w:rsidRPr="009C01D5">
        <w:t xml:space="preserve">Source: Prepared by the Commentary based on the submission </w:t>
      </w:r>
    </w:p>
    <w:p w14:paraId="1C5769D0" w14:textId="77777777" w:rsidR="00936AB1" w:rsidRPr="009C01D5" w:rsidRDefault="00936AB1" w:rsidP="00936AB1">
      <w:pPr>
        <w:pStyle w:val="TableFigureFooter"/>
      </w:pPr>
      <w:r w:rsidRPr="009C01D5">
        <w:t>Abbreviations: DB = double-blind, MC = multi-centre; OL = open-label; R = randomised</w:t>
      </w:r>
      <w:r w:rsidR="002A7BB0" w:rsidRPr="009C01D5">
        <w:t>.</w:t>
      </w:r>
      <w:r w:rsidRPr="009C01D5">
        <w:t xml:space="preserve"> </w:t>
      </w:r>
    </w:p>
    <w:p w14:paraId="6082FFFE" w14:textId="77777777" w:rsidR="00936AB1" w:rsidRPr="009C01D5" w:rsidRDefault="00936AB1" w:rsidP="002E5421">
      <w:pPr>
        <w:pStyle w:val="TableFigureFooter"/>
        <w:contextualSpacing w:val="0"/>
      </w:pPr>
      <w:r w:rsidRPr="009C01D5">
        <w:t xml:space="preserve">Notes: 1. The RGH-MD-04 and STEP-203 trials are also included in the master list of trials for cariprazine </w:t>
      </w:r>
      <w:r w:rsidR="002E5421" w:rsidRPr="009C01D5">
        <w:t>and brexpiprazole, respectively</w:t>
      </w:r>
    </w:p>
    <w:p w14:paraId="1CA38C4A" w14:textId="77777777" w:rsidR="000B01B2" w:rsidRPr="009C01D5" w:rsidRDefault="00BB2BB1" w:rsidP="002E5421">
      <w:pPr>
        <w:jc w:val="left"/>
        <w:rPr>
          <w:rFonts w:asciiTheme="minorHAnsi" w:hAnsiTheme="minorHAnsi" w:cstheme="minorHAnsi"/>
          <w:snapToGrid w:val="0"/>
          <w:u w:val="single"/>
        </w:rPr>
      </w:pPr>
      <w:r w:rsidRPr="009C01D5">
        <w:rPr>
          <w:rFonts w:asciiTheme="minorHAnsi" w:hAnsiTheme="minorHAnsi" w:cstheme="minorHAnsi"/>
          <w:u w:val="single"/>
        </w:rPr>
        <w:t>Acute setting trials</w:t>
      </w:r>
    </w:p>
    <w:p w14:paraId="4949C4A1" w14:textId="77777777" w:rsidR="00BB2BB1" w:rsidRPr="009C01D5" w:rsidRDefault="00BB2BB1" w:rsidP="00BB2BB1">
      <w:pPr>
        <w:pStyle w:val="3-BodyText"/>
        <w:rPr>
          <w:i/>
          <w:iCs/>
        </w:rPr>
      </w:pPr>
      <w:r w:rsidRPr="009C01D5">
        <w:rPr>
          <w:iCs/>
        </w:rPr>
        <w:t xml:space="preserve">The submission noted that there were potential issues of transitivity between the trials that would influence the interpretation of their meta-analysed results and the results from the ITC: </w:t>
      </w:r>
    </w:p>
    <w:p w14:paraId="2E0934D9" w14:textId="77777777" w:rsidR="00BB2BB1" w:rsidRPr="009C01D5" w:rsidRDefault="00BB2BB1" w:rsidP="00CD3BC7">
      <w:pPr>
        <w:pStyle w:val="ListParagraph"/>
        <w:numPr>
          <w:ilvl w:val="0"/>
          <w:numId w:val="10"/>
        </w:numPr>
        <w:spacing w:after="0"/>
        <w:ind w:left="992" w:hanging="357"/>
      </w:pPr>
      <w:r w:rsidRPr="009C01D5">
        <w:t xml:space="preserve">Two of the aripiprazole trials were of shorter duration compared with the cariprazine and brexpiprazole acute trials (4 weeks vs. 6 weeks). The submission claimed that this difference did not result in statistical heterogeneity. </w:t>
      </w:r>
      <w:r w:rsidRPr="009C01D5">
        <w:rPr>
          <w:iCs/>
        </w:rPr>
        <w:t xml:space="preserve">However, shorter exposure to aripiprazole may have reduced the potential benefit </w:t>
      </w:r>
      <w:r w:rsidR="00A967EE" w:rsidRPr="009C01D5">
        <w:rPr>
          <w:iCs/>
        </w:rPr>
        <w:t xml:space="preserve">of the </w:t>
      </w:r>
      <w:r w:rsidRPr="009C01D5">
        <w:rPr>
          <w:iCs/>
        </w:rPr>
        <w:t>treatment (biasing against aripiprazole).</w:t>
      </w:r>
    </w:p>
    <w:p w14:paraId="323D32F0" w14:textId="77777777" w:rsidR="00BB2BB1" w:rsidRPr="009C01D5" w:rsidRDefault="00BB2BB1" w:rsidP="00F170F6">
      <w:pPr>
        <w:pStyle w:val="ListBullet"/>
        <w:tabs>
          <w:tab w:val="clear" w:pos="360"/>
          <w:tab w:val="num" w:pos="720"/>
        </w:tabs>
        <w:ind w:left="992" w:hanging="357"/>
      </w:pPr>
      <w:r w:rsidRPr="009C01D5">
        <w:t>The aripiprazole trials (Kane 2002 and Potkin 2003) included 30% of patients with schizoaffective disorder. The submission stated that patient</w:t>
      </w:r>
      <w:r w:rsidR="009729BF" w:rsidRPr="009C01D5">
        <w:t>s</w:t>
      </w:r>
      <w:r w:rsidRPr="009C01D5">
        <w:t xml:space="preserve"> with schizoaffective disorder may have responded differently to aripiprazole treatment. </w:t>
      </w:r>
      <w:r w:rsidRPr="009C01D5">
        <w:rPr>
          <w:iCs/>
        </w:rPr>
        <w:t>The submission did not present evidence to support any potential difference in response by patients with schizoaffective disorder.</w:t>
      </w:r>
    </w:p>
    <w:p w14:paraId="70D7ED50" w14:textId="77777777" w:rsidR="00BB2BB1" w:rsidRPr="009C01D5" w:rsidRDefault="00BB2BB1" w:rsidP="00F170F6">
      <w:pPr>
        <w:pStyle w:val="ListBullet"/>
        <w:tabs>
          <w:tab w:val="clear" w:pos="360"/>
          <w:tab w:val="num" w:pos="720"/>
        </w:tabs>
        <w:ind w:left="992" w:hanging="357"/>
      </w:pPr>
      <w:r w:rsidRPr="009C01D5">
        <w:t xml:space="preserve">There were differences in the locations and time periods of the trials. The aripiprazole trials were conducted earlier than the cariprazine and brexpiprazole trials. The submission noted that this may have led to a smaller effect size in the cariprazine and brexpiprazole trials due to an increasing placebo response observed over time, resulting in smaller effect sizes in antipsychotics studied more recently. </w:t>
      </w:r>
      <w:r w:rsidRPr="009C01D5">
        <w:rPr>
          <w:iCs/>
        </w:rPr>
        <w:t>The mechanism by which placebo responses have been increasing over time is unclear.</w:t>
      </w:r>
    </w:p>
    <w:p w14:paraId="26B804E2" w14:textId="77777777" w:rsidR="000C01D4" w:rsidRPr="009C01D5" w:rsidRDefault="000C01D4" w:rsidP="002A7BB0">
      <w:pPr>
        <w:pStyle w:val="ListBullet"/>
        <w:numPr>
          <w:ilvl w:val="0"/>
          <w:numId w:val="0"/>
        </w:numPr>
        <w:rPr>
          <w:rFonts w:asciiTheme="minorHAnsi" w:hAnsiTheme="minorHAnsi"/>
          <w:i/>
          <w:snapToGrid w:val="0"/>
        </w:rPr>
      </w:pPr>
    </w:p>
    <w:p w14:paraId="7CA01E73" w14:textId="77777777" w:rsidR="00F0161C" w:rsidRPr="009C01D5" w:rsidRDefault="00F0161C" w:rsidP="002A7BB0">
      <w:pPr>
        <w:pStyle w:val="ListBullet"/>
        <w:numPr>
          <w:ilvl w:val="0"/>
          <w:numId w:val="0"/>
        </w:numPr>
      </w:pPr>
      <w:r w:rsidRPr="009C01D5">
        <w:rPr>
          <w:iCs/>
          <w:u w:val="single"/>
        </w:rPr>
        <w:t xml:space="preserve">Maintenance trials </w:t>
      </w:r>
    </w:p>
    <w:p w14:paraId="25BD2581" w14:textId="77777777" w:rsidR="00F0161C" w:rsidRPr="009C01D5" w:rsidRDefault="00F0161C" w:rsidP="00F0161C">
      <w:pPr>
        <w:pStyle w:val="3-BodyText"/>
        <w:rPr>
          <w:i/>
          <w:iCs/>
        </w:rPr>
      </w:pPr>
      <w:r w:rsidRPr="009C01D5">
        <w:rPr>
          <w:rFonts w:cstheme="minorHAnsi"/>
        </w:rPr>
        <w:t>The submission stated that although the trials in the maintenance setting were placebo controlled, there were potential important differences in the trial design that precluded formal indirect comparisons. All three maintenance trials evaluated the time to relapse as the primary outcome. However, the</w:t>
      </w:r>
      <w:r w:rsidRPr="009C01D5">
        <w:rPr>
          <w:rFonts w:cstheme="minorHAnsi"/>
          <w:iCs/>
        </w:rPr>
        <w:t xml:space="preserve"> definitions of </w:t>
      </w:r>
      <w:r w:rsidR="008B1711" w:rsidRPr="009C01D5">
        <w:rPr>
          <w:rFonts w:cstheme="minorHAnsi"/>
          <w:iCs/>
        </w:rPr>
        <w:t>‘</w:t>
      </w:r>
      <w:r w:rsidRPr="009C01D5">
        <w:rPr>
          <w:rFonts w:cstheme="minorHAnsi"/>
          <w:iCs/>
        </w:rPr>
        <w:t>relapse</w:t>
      </w:r>
      <w:r w:rsidR="008B1711" w:rsidRPr="009C01D5">
        <w:rPr>
          <w:rFonts w:cstheme="minorHAnsi"/>
          <w:iCs/>
        </w:rPr>
        <w:t>’</w:t>
      </w:r>
      <w:r w:rsidRPr="009C01D5">
        <w:rPr>
          <w:rFonts w:cstheme="minorHAnsi"/>
          <w:iCs/>
        </w:rPr>
        <w:t xml:space="preserve"> or </w:t>
      </w:r>
      <w:r w:rsidR="008B1711" w:rsidRPr="009C01D5">
        <w:rPr>
          <w:rFonts w:cstheme="minorHAnsi"/>
          <w:iCs/>
        </w:rPr>
        <w:t>‘</w:t>
      </w:r>
      <w:r w:rsidRPr="009C01D5">
        <w:rPr>
          <w:rFonts w:cstheme="minorHAnsi"/>
          <w:iCs/>
        </w:rPr>
        <w:t>impending relapse</w:t>
      </w:r>
      <w:r w:rsidR="008B1711" w:rsidRPr="009C01D5">
        <w:rPr>
          <w:rFonts w:cstheme="minorHAnsi"/>
          <w:iCs/>
        </w:rPr>
        <w:t>’</w:t>
      </w:r>
      <w:r w:rsidRPr="009C01D5">
        <w:rPr>
          <w:rFonts w:cstheme="minorHAnsi"/>
          <w:iCs/>
        </w:rPr>
        <w:t xml:space="preserve"> differed across the trials. </w:t>
      </w:r>
    </w:p>
    <w:p w14:paraId="645485ED" w14:textId="77777777" w:rsidR="00936AB1" w:rsidRPr="009C01D5" w:rsidRDefault="00936AB1" w:rsidP="00936AB1">
      <w:pPr>
        <w:pStyle w:val="4-SubsectionHeading"/>
      </w:pPr>
      <w:bookmarkStart w:id="16" w:name="_Toc22897641"/>
      <w:bookmarkStart w:id="17" w:name="_Toc51163084"/>
      <w:r w:rsidRPr="009C01D5">
        <w:t>Comparative effectiveness</w:t>
      </w:r>
      <w:bookmarkEnd w:id="16"/>
      <w:bookmarkEnd w:id="17"/>
    </w:p>
    <w:p w14:paraId="19A2BA8E" w14:textId="77777777" w:rsidR="00936AB1" w:rsidRPr="009C01D5" w:rsidRDefault="00936AB1" w:rsidP="00C11921">
      <w:pPr>
        <w:pStyle w:val="3-BodyText"/>
        <w:rPr>
          <w:color w:val="0066FF"/>
        </w:rPr>
      </w:pPr>
      <w:r w:rsidRPr="009C01D5">
        <w:t xml:space="preserve">The primary outcome in the acute </w:t>
      </w:r>
      <w:r w:rsidR="000B01B2" w:rsidRPr="009C01D5">
        <w:t xml:space="preserve">setting </w:t>
      </w:r>
      <w:r w:rsidRPr="009C01D5">
        <w:t xml:space="preserve">trials was </w:t>
      </w:r>
      <w:r w:rsidR="000B01B2" w:rsidRPr="009C01D5">
        <w:t xml:space="preserve">the change in the </w:t>
      </w:r>
      <w:r w:rsidRPr="009C01D5">
        <w:t>Positive and Negative Syndrome Scale (for schizophrenia) (PANSS) total score.</w:t>
      </w:r>
      <w:r w:rsidR="002A7BB0" w:rsidRPr="009C01D5">
        <w:t xml:space="preserve"> </w:t>
      </w:r>
      <w:r w:rsidR="00775BF1" w:rsidRPr="009C01D5">
        <w:t>The methodology used for analyses of the primary efficacy outcome varied between the aripiprazole and brexpiprazole trials (ANCOVA LOCF vs. MMRM approach respectively). The cariprazine trial results were analysed using both approaches.</w:t>
      </w:r>
      <w:r w:rsidR="00D970CF" w:rsidRPr="009C01D5">
        <w:t xml:space="preserve"> </w:t>
      </w:r>
      <w:r w:rsidR="000B01B2" w:rsidRPr="009C01D5">
        <w:t xml:space="preserve">The submission nominated a difference of 7 points in the change in PANSS as being the minimum clinically important difference (MCID). </w:t>
      </w:r>
      <w:r w:rsidR="000B01B2" w:rsidRPr="009C01D5">
        <w:rPr>
          <w:iCs/>
        </w:rPr>
        <w:t>Th</w:t>
      </w:r>
      <w:r w:rsidR="005426AC" w:rsidRPr="009C01D5">
        <w:rPr>
          <w:iCs/>
        </w:rPr>
        <w:t>e</w:t>
      </w:r>
      <w:r w:rsidR="000B01B2" w:rsidRPr="009C01D5">
        <w:rPr>
          <w:iCs/>
        </w:rPr>
        <w:t xml:space="preserve"> </w:t>
      </w:r>
      <w:r w:rsidR="005426AC" w:rsidRPr="009C01D5">
        <w:rPr>
          <w:iCs/>
        </w:rPr>
        <w:t>ESC considered this</w:t>
      </w:r>
      <w:r w:rsidR="005426AC" w:rsidRPr="009C01D5">
        <w:rPr>
          <w:i/>
          <w:iCs/>
        </w:rPr>
        <w:t xml:space="preserve"> </w:t>
      </w:r>
      <w:r w:rsidR="000B01B2" w:rsidRPr="009C01D5">
        <w:rPr>
          <w:iCs/>
        </w:rPr>
        <w:t>was appropriate and consistent with evidence previously considered by the PBAC for brexpiprazole (</w:t>
      </w:r>
      <w:r w:rsidR="00C11921" w:rsidRPr="009C01D5">
        <w:rPr>
          <w:iCs/>
        </w:rPr>
        <w:t>Brexpiprazole PSD, March 2017; Lurasidone PSD, March 2015; Paliperidone PSD, November 2007</w:t>
      </w:r>
      <w:r w:rsidR="000B01B2" w:rsidRPr="009C01D5">
        <w:rPr>
          <w:iCs/>
        </w:rPr>
        <w:t>).</w:t>
      </w:r>
    </w:p>
    <w:p w14:paraId="12DB8AD1" w14:textId="77777777" w:rsidR="0007050B" w:rsidRPr="009C01D5" w:rsidRDefault="00C11921" w:rsidP="0020200E">
      <w:pPr>
        <w:pStyle w:val="3-BodyText"/>
        <w:rPr>
          <w:color w:val="0066FF"/>
        </w:rPr>
      </w:pPr>
      <w:r w:rsidRPr="009C01D5">
        <w:t>The primary eff</w:t>
      </w:r>
      <w:r w:rsidR="00F170F6" w:rsidRPr="009C01D5">
        <w:t xml:space="preserve">icacy </w:t>
      </w:r>
      <w:r w:rsidRPr="009C01D5">
        <w:t xml:space="preserve">outcome in the </w:t>
      </w:r>
      <w:r w:rsidR="0020200E" w:rsidRPr="009C01D5">
        <w:t>maintenance</w:t>
      </w:r>
      <w:r w:rsidRPr="009C01D5">
        <w:t xml:space="preserve"> trials was time to relapse. The trials used different </w:t>
      </w:r>
      <w:r w:rsidR="00344419" w:rsidRPr="009C01D5">
        <w:t xml:space="preserve">criteria </w:t>
      </w:r>
      <w:r w:rsidR="00A7172C" w:rsidRPr="009C01D5">
        <w:t xml:space="preserve">to </w:t>
      </w:r>
      <w:r w:rsidR="00344419" w:rsidRPr="009C01D5">
        <w:t>defin</w:t>
      </w:r>
      <w:r w:rsidR="00854C8F" w:rsidRPr="009C01D5">
        <w:t>e</w:t>
      </w:r>
      <w:r w:rsidRPr="009C01D5">
        <w:t xml:space="preserve"> </w:t>
      </w:r>
      <w:r w:rsidR="00A7172C" w:rsidRPr="009C01D5">
        <w:t>‘</w:t>
      </w:r>
      <w:r w:rsidRPr="009C01D5">
        <w:t>relapse</w:t>
      </w:r>
      <w:r w:rsidR="00A7172C" w:rsidRPr="009C01D5">
        <w:t>’</w:t>
      </w:r>
      <w:r w:rsidRPr="009C01D5">
        <w:t xml:space="preserve"> and </w:t>
      </w:r>
      <w:r w:rsidR="00A7172C" w:rsidRPr="009C01D5">
        <w:t>‘</w:t>
      </w:r>
      <w:r w:rsidRPr="009C01D5">
        <w:t>impending relapse</w:t>
      </w:r>
      <w:r w:rsidR="00A7172C" w:rsidRPr="009C01D5">
        <w:t>’</w:t>
      </w:r>
      <w:r w:rsidR="00F170F6" w:rsidRPr="009C01D5">
        <w:t xml:space="preserve">, which differed based on the </w:t>
      </w:r>
      <w:r w:rsidR="00344419" w:rsidRPr="009C01D5">
        <w:t xml:space="preserve">combination of objective rating scales and subjective clinical criteria </w:t>
      </w:r>
      <w:r w:rsidR="00F170F6" w:rsidRPr="009C01D5">
        <w:t>applied in the definition of relapse</w:t>
      </w:r>
      <w:r w:rsidR="00344419" w:rsidRPr="009C01D5">
        <w:t xml:space="preserve">. </w:t>
      </w:r>
      <w:r w:rsidR="00344419" w:rsidRPr="009C01D5">
        <w:rPr>
          <w:iCs/>
        </w:rPr>
        <w:t>The criteria were mutually exclusive, such that a patient achieving any one was classified as having relapsed, with the exception of the increases in PANSS individual items and CGI-S score in the EQUATOR trial, which had to be achieved in combination. Although it seems that the intention of all three studies was to detect patients at a similar stage of relapse in their disease, this is unlikely to have been achieved in practice, due to the different criteria used in each study.</w:t>
      </w:r>
      <w:r w:rsidR="0020200E" w:rsidRPr="009C01D5">
        <w:t xml:space="preserve"> </w:t>
      </w:r>
      <w:r w:rsidR="0020200E" w:rsidRPr="009C01D5">
        <w:rPr>
          <w:iCs/>
        </w:rPr>
        <w:t xml:space="preserve">The </w:t>
      </w:r>
      <w:r w:rsidR="004D1B2E" w:rsidRPr="009C01D5">
        <w:rPr>
          <w:iCs/>
        </w:rPr>
        <w:t>ESC considered that the</w:t>
      </w:r>
      <w:r w:rsidR="004D1B2E" w:rsidRPr="009C01D5">
        <w:rPr>
          <w:i/>
          <w:iCs/>
        </w:rPr>
        <w:t xml:space="preserve"> </w:t>
      </w:r>
      <w:r w:rsidR="0020200E" w:rsidRPr="009C01D5">
        <w:rPr>
          <w:iCs/>
        </w:rPr>
        <w:t xml:space="preserve">submission’s assessment was reasonable. The differences in trial assessments of response/relapse would confound transitivity of the trials. Therefore, exclusion of the maintenance trials from the </w:t>
      </w:r>
      <w:r w:rsidR="002A7BB0" w:rsidRPr="009C01D5">
        <w:rPr>
          <w:iCs/>
        </w:rPr>
        <w:t>ITC</w:t>
      </w:r>
      <w:r w:rsidR="0020200E" w:rsidRPr="009C01D5">
        <w:rPr>
          <w:iCs/>
        </w:rPr>
        <w:t xml:space="preserve"> was appropriate</w:t>
      </w:r>
      <w:r w:rsidR="009C01D5">
        <w:rPr>
          <w:iCs/>
        </w:rPr>
        <w:t xml:space="preserve">. </w:t>
      </w:r>
    </w:p>
    <w:p w14:paraId="0B69345E" w14:textId="77777777" w:rsidR="0007050B" w:rsidRPr="009C01D5" w:rsidRDefault="0007050B" w:rsidP="0007050B">
      <w:pPr>
        <w:pStyle w:val="3-BodyText"/>
        <w:numPr>
          <w:ilvl w:val="0"/>
          <w:numId w:val="0"/>
        </w:numPr>
        <w:rPr>
          <w:color w:val="0066FF"/>
          <w:u w:val="single"/>
        </w:rPr>
      </w:pPr>
      <w:r w:rsidRPr="009C01D5">
        <w:rPr>
          <w:u w:val="single"/>
        </w:rPr>
        <w:t>Acute setting results</w:t>
      </w:r>
    </w:p>
    <w:p w14:paraId="5E0AB5B7" w14:textId="77777777" w:rsidR="00936AB1" w:rsidRPr="009C01D5" w:rsidRDefault="00936AB1" w:rsidP="00936AB1">
      <w:pPr>
        <w:pStyle w:val="3-BodyText"/>
        <w:rPr>
          <w:color w:val="0066FF"/>
        </w:rPr>
      </w:pPr>
      <w:r w:rsidRPr="009C01D5">
        <w:t xml:space="preserve">The results showing change in PANSS total score </w:t>
      </w:r>
      <w:r w:rsidR="002B3FE6" w:rsidRPr="009C01D5">
        <w:t xml:space="preserve">from baseline to week 6 </w:t>
      </w:r>
      <w:r w:rsidRPr="009C01D5">
        <w:t xml:space="preserve">in the RGH-MD-04 trial are presented in Table 4. The results of </w:t>
      </w:r>
      <w:r w:rsidR="000B01B2" w:rsidRPr="009C01D5">
        <w:t xml:space="preserve">the </w:t>
      </w:r>
      <w:r w:rsidRPr="009C01D5">
        <w:t xml:space="preserve">post-hoc </w:t>
      </w:r>
      <w:r w:rsidR="000B01B2" w:rsidRPr="009C01D5">
        <w:t xml:space="preserve">analyses for cariprazine and aripiprazole in RGH-MD-04 </w:t>
      </w:r>
      <w:r w:rsidRPr="009C01D5">
        <w:t xml:space="preserve">showed statistically significant differences in favour of each </w:t>
      </w:r>
      <w:r w:rsidR="000B01B2" w:rsidRPr="009C01D5">
        <w:t>treatment</w:t>
      </w:r>
      <w:r w:rsidRPr="009C01D5">
        <w:t xml:space="preserve"> compared with placebo for the</w:t>
      </w:r>
      <w:r w:rsidR="000B01B2" w:rsidRPr="009C01D5">
        <w:t xml:space="preserve"> change in PANSS</w:t>
      </w:r>
      <w:r w:rsidRPr="009C01D5">
        <w:t xml:space="preserve">. The post-hoc comparisons did not demonstrate a statistically or clinically significant difference between cariprazine </w:t>
      </w:r>
      <w:r w:rsidR="00D4509B" w:rsidRPr="009C01D5">
        <w:t xml:space="preserve">(3 mg/day or 6 mg/day) </w:t>
      </w:r>
      <w:r w:rsidRPr="009C01D5">
        <w:t xml:space="preserve">and aripiprazole </w:t>
      </w:r>
      <w:r w:rsidR="00D4509B" w:rsidRPr="009C01D5">
        <w:t xml:space="preserve">(10 mg/day) </w:t>
      </w:r>
      <w:r w:rsidRPr="009C01D5">
        <w:t xml:space="preserve">as the 95% </w:t>
      </w:r>
      <w:r w:rsidR="0078377C" w:rsidRPr="009C01D5">
        <w:t>confidence interval (</w:t>
      </w:r>
      <w:r w:rsidRPr="009C01D5">
        <w:t>CI</w:t>
      </w:r>
      <w:r w:rsidR="0078377C" w:rsidRPr="009C01D5">
        <w:t>)</w:t>
      </w:r>
      <w:r w:rsidRPr="009C01D5">
        <w:t xml:space="preserve"> around the estimated mean difference </w:t>
      </w:r>
      <w:r w:rsidR="000B01B2" w:rsidRPr="009C01D5">
        <w:t xml:space="preserve">in PANSS </w:t>
      </w:r>
      <w:r w:rsidRPr="009C01D5">
        <w:t>d</w:t>
      </w:r>
      <w:r w:rsidR="000B01B2" w:rsidRPr="009C01D5">
        <w:t xml:space="preserve">id </w:t>
      </w:r>
      <w:r w:rsidRPr="009C01D5">
        <w:t xml:space="preserve">not include the MCID of ≥7 points. </w:t>
      </w:r>
    </w:p>
    <w:p w14:paraId="5BEA16D4" w14:textId="77777777" w:rsidR="00936AB1" w:rsidRPr="009C01D5" w:rsidRDefault="00936AB1" w:rsidP="00936AB1">
      <w:pPr>
        <w:pStyle w:val="TableFigureHeading"/>
        <w:rPr>
          <w:rStyle w:val="CommentReference"/>
          <w:szCs w:val="20"/>
        </w:rPr>
      </w:pPr>
      <w:bookmarkStart w:id="18" w:name="_Ref50100958"/>
      <w:r w:rsidRPr="009C01D5">
        <w:t>Table</w:t>
      </w:r>
      <w:bookmarkEnd w:id="18"/>
      <w:r w:rsidRPr="009C01D5">
        <w:t xml:space="preserve"> 4: </w:t>
      </w:r>
      <w:r w:rsidRPr="009C01D5">
        <w:rPr>
          <w:rStyle w:val="CommentReference"/>
          <w:b/>
          <w:szCs w:val="20"/>
        </w:rPr>
        <w:t>Summary of primary outcomes in RGH-MD-04</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6"/>
        <w:gridCol w:w="873"/>
        <w:gridCol w:w="1238"/>
        <w:gridCol w:w="1014"/>
        <w:gridCol w:w="873"/>
        <w:gridCol w:w="1123"/>
        <w:gridCol w:w="1701"/>
      </w:tblGrid>
      <w:tr w:rsidR="00936AB1" w:rsidRPr="009C01D5" w14:paraId="7A7409AA" w14:textId="77777777" w:rsidTr="00BD3A46">
        <w:trPr>
          <w:trHeight w:val="20"/>
          <w:tblHeader/>
        </w:trPr>
        <w:tc>
          <w:tcPr>
            <w:tcW w:w="1163" w:type="dxa"/>
          </w:tcPr>
          <w:p w14:paraId="3E7AABB1" w14:textId="77777777" w:rsidR="00936AB1" w:rsidRPr="009C01D5" w:rsidRDefault="00936AB1" w:rsidP="002A7BB0">
            <w:pPr>
              <w:pStyle w:val="In-tableHeading"/>
              <w:keepNext w:val="0"/>
              <w:widowControl w:val="0"/>
              <w:jc w:val="center"/>
              <w:rPr>
                <w:szCs w:val="20"/>
                <w:lang w:val="en-AU"/>
              </w:rPr>
            </w:pPr>
          </w:p>
        </w:tc>
        <w:tc>
          <w:tcPr>
            <w:tcW w:w="3057" w:type="dxa"/>
            <w:gridSpan w:val="3"/>
          </w:tcPr>
          <w:p w14:paraId="031975A1" w14:textId="77777777" w:rsidR="00936AB1" w:rsidRPr="009C01D5" w:rsidRDefault="00936AB1" w:rsidP="002A7BB0">
            <w:pPr>
              <w:pStyle w:val="In-tableHeading"/>
              <w:keepNext w:val="0"/>
              <w:widowControl w:val="0"/>
              <w:jc w:val="center"/>
              <w:rPr>
                <w:szCs w:val="20"/>
                <w:lang w:val="en-AU"/>
              </w:rPr>
            </w:pPr>
            <w:r w:rsidRPr="009C01D5">
              <w:rPr>
                <w:szCs w:val="20"/>
                <w:lang w:val="en-AU"/>
              </w:rPr>
              <w:t>Cariprazine n/N (%)</w:t>
            </w:r>
          </w:p>
        </w:tc>
        <w:tc>
          <w:tcPr>
            <w:tcW w:w="3010" w:type="dxa"/>
            <w:gridSpan w:val="3"/>
          </w:tcPr>
          <w:p w14:paraId="02C24A2E" w14:textId="77777777" w:rsidR="00936AB1" w:rsidRPr="009C01D5" w:rsidRDefault="00936AB1" w:rsidP="002A7BB0">
            <w:pPr>
              <w:pStyle w:val="In-tableHeading"/>
              <w:keepNext w:val="0"/>
              <w:widowControl w:val="0"/>
              <w:jc w:val="center"/>
              <w:rPr>
                <w:szCs w:val="20"/>
                <w:lang w:val="en-AU"/>
              </w:rPr>
            </w:pPr>
            <w:r w:rsidRPr="009C01D5">
              <w:rPr>
                <w:szCs w:val="20"/>
                <w:lang w:val="en-AU"/>
              </w:rPr>
              <w:t xml:space="preserve">Aripiprazole </w:t>
            </w:r>
            <w:r w:rsidR="00BD796F" w:rsidRPr="009C01D5">
              <w:rPr>
                <w:szCs w:val="20"/>
                <w:lang w:val="en-AU"/>
              </w:rPr>
              <w:t xml:space="preserve">10 mg/day </w:t>
            </w:r>
            <w:r w:rsidRPr="009C01D5">
              <w:rPr>
                <w:szCs w:val="20"/>
                <w:lang w:val="en-AU"/>
              </w:rPr>
              <w:t>n</w:t>
            </w:r>
            <w:r w:rsidR="00BD796F" w:rsidRPr="009C01D5">
              <w:rPr>
                <w:szCs w:val="20"/>
                <w:lang w:val="en-AU"/>
              </w:rPr>
              <w:t xml:space="preserve"> with event</w:t>
            </w:r>
            <w:r w:rsidRPr="009C01D5">
              <w:rPr>
                <w:szCs w:val="20"/>
                <w:lang w:val="en-AU"/>
              </w:rPr>
              <w:t>/N (%)</w:t>
            </w:r>
          </w:p>
        </w:tc>
        <w:tc>
          <w:tcPr>
            <w:tcW w:w="1701" w:type="dxa"/>
            <w:vMerge w:val="restart"/>
          </w:tcPr>
          <w:p w14:paraId="72A46C06" w14:textId="77777777" w:rsidR="00936AB1" w:rsidRPr="009C01D5" w:rsidRDefault="00936AB1" w:rsidP="002A7BB0">
            <w:pPr>
              <w:pStyle w:val="In-tableHeading"/>
              <w:keepNext w:val="0"/>
              <w:widowControl w:val="0"/>
              <w:jc w:val="center"/>
              <w:rPr>
                <w:szCs w:val="20"/>
                <w:lang w:val="en-AU"/>
              </w:rPr>
            </w:pPr>
            <w:r w:rsidRPr="009C01D5">
              <w:rPr>
                <w:szCs w:val="20"/>
                <w:lang w:val="en-AU"/>
              </w:rPr>
              <w:t>Absolute difference</w:t>
            </w:r>
          </w:p>
          <w:p w14:paraId="28D1248D" w14:textId="77777777" w:rsidR="00936AB1" w:rsidRPr="009C01D5" w:rsidRDefault="00936AB1" w:rsidP="002A7BB0">
            <w:pPr>
              <w:pStyle w:val="In-tableHeading"/>
              <w:keepNext w:val="0"/>
              <w:widowControl w:val="0"/>
              <w:jc w:val="center"/>
              <w:rPr>
                <w:szCs w:val="20"/>
                <w:lang w:val="en-AU"/>
              </w:rPr>
            </w:pPr>
            <w:r w:rsidRPr="009C01D5">
              <w:rPr>
                <w:szCs w:val="20"/>
                <w:lang w:val="en-AU"/>
              </w:rPr>
              <w:t>(95% CI)</w:t>
            </w:r>
          </w:p>
        </w:tc>
      </w:tr>
      <w:tr w:rsidR="00936AB1" w:rsidRPr="009C01D5" w14:paraId="3FD2D41E" w14:textId="77777777" w:rsidTr="00BD3A46">
        <w:trPr>
          <w:trHeight w:val="20"/>
          <w:tblHeader/>
        </w:trPr>
        <w:tc>
          <w:tcPr>
            <w:tcW w:w="1163" w:type="dxa"/>
          </w:tcPr>
          <w:p w14:paraId="50A3B3CC" w14:textId="77777777" w:rsidR="00936AB1" w:rsidRPr="009C01D5" w:rsidRDefault="00936AB1" w:rsidP="002A7BB0">
            <w:pPr>
              <w:pStyle w:val="In-tableHeading"/>
              <w:keepNext w:val="0"/>
              <w:widowControl w:val="0"/>
              <w:jc w:val="center"/>
              <w:rPr>
                <w:szCs w:val="20"/>
                <w:lang w:val="en-AU"/>
              </w:rPr>
            </w:pPr>
          </w:p>
        </w:tc>
        <w:tc>
          <w:tcPr>
            <w:tcW w:w="946" w:type="dxa"/>
            <w:shd w:val="clear" w:color="auto" w:fill="auto"/>
          </w:tcPr>
          <w:p w14:paraId="33356876" w14:textId="77777777" w:rsidR="00936AB1" w:rsidRPr="009C01D5" w:rsidRDefault="00936AB1" w:rsidP="002A7BB0">
            <w:pPr>
              <w:pStyle w:val="TableTitlecentred"/>
              <w:widowControl w:val="0"/>
              <w:rPr>
                <w:rFonts w:ascii="Arial Narrow" w:hAnsi="Arial Narrow"/>
                <w:sz w:val="20"/>
              </w:rPr>
            </w:pPr>
            <w:r w:rsidRPr="009C01D5">
              <w:rPr>
                <w:rFonts w:ascii="Arial Narrow" w:hAnsi="Arial Narrow"/>
                <w:sz w:val="20"/>
              </w:rPr>
              <w:t>Baseline mean</w:t>
            </w:r>
          </w:p>
          <w:p w14:paraId="22F5380F" w14:textId="77777777" w:rsidR="00936AB1" w:rsidRPr="009C01D5" w:rsidRDefault="00936AB1" w:rsidP="002A7BB0">
            <w:pPr>
              <w:pStyle w:val="In-tableHeading"/>
              <w:keepNext w:val="0"/>
              <w:widowControl w:val="0"/>
              <w:jc w:val="center"/>
              <w:rPr>
                <w:szCs w:val="20"/>
                <w:lang w:val="en-AU"/>
              </w:rPr>
            </w:pPr>
            <w:r w:rsidRPr="009C01D5">
              <w:rPr>
                <w:szCs w:val="20"/>
                <w:lang w:val="en-AU"/>
              </w:rPr>
              <w:t>± [SD]</w:t>
            </w:r>
          </w:p>
        </w:tc>
        <w:tc>
          <w:tcPr>
            <w:tcW w:w="873" w:type="dxa"/>
            <w:shd w:val="clear" w:color="auto" w:fill="auto"/>
          </w:tcPr>
          <w:p w14:paraId="34744BFA" w14:textId="77777777" w:rsidR="00936AB1" w:rsidRPr="009C01D5" w:rsidRDefault="00936AB1" w:rsidP="002A7BB0">
            <w:pPr>
              <w:pStyle w:val="In-tableHeading"/>
              <w:keepNext w:val="0"/>
              <w:widowControl w:val="0"/>
              <w:jc w:val="center"/>
              <w:rPr>
                <w:szCs w:val="20"/>
                <w:lang w:val="en-AU"/>
              </w:rPr>
            </w:pPr>
            <w:r w:rsidRPr="009C01D5">
              <w:rPr>
                <w:szCs w:val="20"/>
                <w:lang w:val="en-AU"/>
              </w:rPr>
              <w:t>Change from baseline LS mean (SE)</w:t>
            </w:r>
          </w:p>
        </w:tc>
        <w:tc>
          <w:tcPr>
            <w:tcW w:w="1238" w:type="dxa"/>
            <w:shd w:val="clear" w:color="auto" w:fill="auto"/>
          </w:tcPr>
          <w:p w14:paraId="6C9375F5" w14:textId="77777777" w:rsidR="00936AB1" w:rsidRPr="009C01D5" w:rsidRDefault="00936AB1" w:rsidP="002A7BB0">
            <w:pPr>
              <w:pStyle w:val="TableTitlecentred"/>
              <w:widowControl w:val="0"/>
              <w:rPr>
                <w:rFonts w:ascii="Arial Narrow" w:hAnsi="Arial Narrow"/>
                <w:sz w:val="20"/>
                <w:vertAlign w:val="superscript"/>
              </w:rPr>
            </w:pPr>
            <w:r w:rsidRPr="009C01D5">
              <w:rPr>
                <w:rFonts w:ascii="Arial Narrow" w:hAnsi="Arial Narrow"/>
                <w:sz w:val="20"/>
              </w:rPr>
              <w:t>Difference vs placebo</w:t>
            </w:r>
            <w:r w:rsidRPr="009C01D5">
              <w:rPr>
                <w:rFonts w:ascii="Arial Narrow" w:hAnsi="Arial Narrow"/>
                <w:sz w:val="20"/>
                <w:vertAlign w:val="superscript"/>
              </w:rPr>
              <w:t>1</w:t>
            </w:r>
          </w:p>
          <w:p w14:paraId="7021246C" w14:textId="77777777" w:rsidR="00936AB1" w:rsidRPr="009C01D5" w:rsidRDefault="00936AB1" w:rsidP="002A7BB0">
            <w:pPr>
              <w:pStyle w:val="In-tableHeading"/>
              <w:keepNext w:val="0"/>
              <w:widowControl w:val="0"/>
              <w:jc w:val="center"/>
              <w:rPr>
                <w:szCs w:val="20"/>
                <w:lang w:val="en-AU"/>
              </w:rPr>
            </w:pPr>
            <w:r w:rsidRPr="009C01D5">
              <w:rPr>
                <w:szCs w:val="20"/>
                <w:lang w:val="en-AU"/>
              </w:rPr>
              <w:t>LSMD (95% CI)</w:t>
            </w:r>
          </w:p>
        </w:tc>
        <w:tc>
          <w:tcPr>
            <w:tcW w:w="1014" w:type="dxa"/>
            <w:shd w:val="clear" w:color="auto" w:fill="auto"/>
          </w:tcPr>
          <w:p w14:paraId="427F3D25" w14:textId="77777777" w:rsidR="00936AB1" w:rsidRPr="009C01D5" w:rsidRDefault="00936AB1" w:rsidP="002A7BB0">
            <w:pPr>
              <w:pStyle w:val="TableTitlecentred"/>
              <w:widowControl w:val="0"/>
              <w:rPr>
                <w:rFonts w:ascii="Arial Narrow" w:hAnsi="Arial Narrow"/>
                <w:sz w:val="20"/>
              </w:rPr>
            </w:pPr>
            <w:r w:rsidRPr="009C01D5">
              <w:rPr>
                <w:rFonts w:ascii="Arial Narrow" w:hAnsi="Arial Narrow"/>
                <w:sz w:val="20"/>
              </w:rPr>
              <w:t>Baseline mean</w:t>
            </w:r>
          </w:p>
          <w:p w14:paraId="26597C4D" w14:textId="77777777" w:rsidR="00936AB1" w:rsidRPr="009C01D5" w:rsidRDefault="00936AB1" w:rsidP="002A7BB0">
            <w:pPr>
              <w:pStyle w:val="In-tableHeading"/>
              <w:keepNext w:val="0"/>
              <w:widowControl w:val="0"/>
              <w:jc w:val="center"/>
              <w:rPr>
                <w:szCs w:val="20"/>
                <w:lang w:val="en-AU"/>
              </w:rPr>
            </w:pPr>
            <w:r w:rsidRPr="009C01D5">
              <w:rPr>
                <w:szCs w:val="20"/>
                <w:lang w:val="en-AU"/>
              </w:rPr>
              <w:t>± [SD]</w:t>
            </w:r>
          </w:p>
        </w:tc>
        <w:tc>
          <w:tcPr>
            <w:tcW w:w="873" w:type="dxa"/>
            <w:shd w:val="clear" w:color="auto" w:fill="auto"/>
          </w:tcPr>
          <w:p w14:paraId="520250DE" w14:textId="77777777" w:rsidR="00936AB1" w:rsidRPr="009C01D5" w:rsidRDefault="00936AB1" w:rsidP="002A7BB0">
            <w:pPr>
              <w:pStyle w:val="In-tableHeading"/>
              <w:keepNext w:val="0"/>
              <w:widowControl w:val="0"/>
              <w:jc w:val="center"/>
              <w:rPr>
                <w:szCs w:val="20"/>
                <w:lang w:val="en-AU"/>
              </w:rPr>
            </w:pPr>
            <w:r w:rsidRPr="009C01D5">
              <w:rPr>
                <w:szCs w:val="20"/>
                <w:lang w:val="en-AU"/>
              </w:rPr>
              <w:t>Change from baseline LS mean (SE)</w:t>
            </w:r>
          </w:p>
        </w:tc>
        <w:tc>
          <w:tcPr>
            <w:tcW w:w="1123" w:type="dxa"/>
            <w:shd w:val="clear" w:color="auto" w:fill="auto"/>
          </w:tcPr>
          <w:p w14:paraId="3DE525A5" w14:textId="77777777" w:rsidR="00936AB1" w:rsidRPr="009C01D5" w:rsidRDefault="00936AB1" w:rsidP="002A7BB0">
            <w:pPr>
              <w:pStyle w:val="TableTitlecentred"/>
              <w:widowControl w:val="0"/>
              <w:rPr>
                <w:rFonts w:ascii="Arial Narrow" w:hAnsi="Arial Narrow"/>
                <w:sz w:val="20"/>
                <w:vertAlign w:val="superscript"/>
              </w:rPr>
            </w:pPr>
            <w:r w:rsidRPr="009C01D5">
              <w:rPr>
                <w:rFonts w:ascii="Arial Narrow" w:hAnsi="Arial Narrow"/>
                <w:sz w:val="20"/>
              </w:rPr>
              <w:t>Difference vs placebo</w:t>
            </w:r>
            <w:r w:rsidRPr="009C01D5">
              <w:rPr>
                <w:rFonts w:ascii="Arial Narrow" w:hAnsi="Arial Narrow"/>
                <w:sz w:val="20"/>
                <w:vertAlign w:val="superscript"/>
              </w:rPr>
              <w:t>1</w:t>
            </w:r>
          </w:p>
          <w:p w14:paraId="1AE21258" w14:textId="77777777" w:rsidR="00936AB1" w:rsidRPr="009C01D5" w:rsidRDefault="00936AB1" w:rsidP="002A7BB0">
            <w:pPr>
              <w:pStyle w:val="In-tableHeading"/>
              <w:keepNext w:val="0"/>
              <w:widowControl w:val="0"/>
              <w:jc w:val="center"/>
              <w:rPr>
                <w:szCs w:val="20"/>
                <w:lang w:val="en-AU"/>
              </w:rPr>
            </w:pPr>
            <w:r w:rsidRPr="009C01D5">
              <w:rPr>
                <w:szCs w:val="20"/>
                <w:lang w:val="en-AU"/>
              </w:rPr>
              <w:t>LSMD (95% CI)</w:t>
            </w:r>
          </w:p>
        </w:tc>
        <w:tc>
          <w:tcPr>
            <w:tcW w:w="1701" w:type="dxa"/>
            <w:vMerge/>
          </w:tcPr>
          <w:p w14:paraId="6DE686EB" w14:textId="77777777" w:rsidR="00936AB1" w:rsidRPr="009C01D5" w:rsidRDefault="00936AB1" w:rsidP="002A7BB0">
            <w:pPr>
              <w:pStyle w:val="In-tableHeading"/>
              <w:keepNext w:val="0"/>
              <w:widowControl w:val="0"/>
              <w:jc w:val="center"/>
              <w:rPr>
                <w:szCs w:val="20"/>
                <w:lang w:val="en-AU"/>
              </w:rPr>
            </w:pPr>
          </w:p>
        </w:tc>
      </w:tr>
      <w:tr w:rsidR="00936AB1" w:rsidRPr="009C01D5" w14:paraId="6F84B382" w14:textId="77777777" w:rsidTr="00BD3A46">
        <w:trPr>
          <w:trHeight w:val="20"/>
        </w:trPr>
        <w:tc>
          <w:tcPr>
            <w:tcW w:w="8931" w:type="dxa"/>
            <w:gridSpan w:val="8"/>
            <w:shd w:val="clear" w:color="auto" w:fill="auto"/>
          </w:tcPr>
          <w:p w14:paraId="1620485C" w14:textId="77777777" w:rsidR="00936AB1" w:rsidRPr="009C01D5" w:rsidRDefault="00936AB1" w:rsidP="002A7BB0">
            <w:pPr>
              <w:pStyle w:val="TableText0"/>
              <w:keepNext w:val="0"/>
              <w:widowControl w:val="0"/>
              <w:rPr>
                <w:b/>
              </w:rPr>
            </w:pPr>
            <w:r w:rsidRPr="009C01D5">
              <w:rPr>
                <w:b/>
                <w:szCs w:val="20"/>
              </w:rPr>
              <w:t>PANSS total score-MMRM</w:t>
            </w:r>
          </w:p>
        </w:tc>
      </w:tr>
      <w:tr w:rsidR="00936AB1" w:rsidRPr="009C01D5" w14:paraId="5822D802" w14:textId="77777777" w:rsidTr="00BD3A46">
        <w:trPr>
          <w:trHeight w:val="20"/>
        </w:trPr>
        <w:tc>
          <w:tcPr>
            <w:tcW w:w="1163" w:type="dxa"/>
            <w:shd w:val="clear" w:color="auto" w:fill="auto"/>
          </w:tcPr>
          <w:p w14:paraId="50E76402" w14:textId="77777777" w:rsidR="00936AB1" w:rsidRPr="009C01D5" w:rsidRDefault="00936AB1" w:rsidP="002A7BB0">
            <w:pPr>
              <w:pStyle w:val="TableText0"/>
              <w:keepNext w:val="0"/>
              <w:widowControl w:val="0"/>
              <w:rPr>
                <w:szCs w:val="20"/>
              </w:rPr>
            </w:pPr>
            <w:r w:rsidRPr="009C01D5">
              <w:rPr>
                <w:szCs w:val="20"/>
              </w:rPr>
              <w:t>Cariprazine 3 mg/day</w:t>
            </w:r>
          </w:p>
        </w:tc>
        <w:tc>
          <w:tcPr>
            <w:tcW w:w="946" w:type="dxa"/>
            <w:shd w:val="clear" w:color="auto" w:fill="auto"/>
          </w:tcPr>
          <w:p w14:paraId="57F47C36" w14:textId="77777777" w:rsidR="00936AB1" w:rsidRPr="009C01D5" w:rsidRDefault="00936AB1" w:rsidP="002A7BB0">
            <w:pPr>
              <w:pStyle w:val="TableText0"/>
              <w:keepNext w:val="0"/>
              <w:widowControl w:val="0"/>
              <w:jc w:val="center"/>
              <w:rPr>
                <w:szCs w:val="20"/>
              </w:rPr>
            </w:pPr>
            <w:r w:rsidRPr="009C01D5">
              <w:t>96.1 [8.7]</w:t>
            </w:r>
          </w:p>
        </w:tc>
        <w:tc>
          <w:tcPr>
            <w:tcW w:w="873" w:type="dxa"/>
            <w:shd w:val="clear" w:color="auto" w:fill="auto"/>
          </w:tcPr>
          <w:p w14:paraId="594E1B80" w14:textId="77777777" w:rsidR="00936AB1" w:rsidRPr="009C01D5" w:rsidRDefault="00936AB1" w:rsidP="002A7BB0">
            <w:pPr>
              <w:pStyle w:val="TableText0"/>
              <w:keepNext w:val="0"/>
              <w:widowControl w:val="0"/>
              <w:jc w:val="center"/>
              <w:rPr>
                <w:szCs w:val="20"/>
              </w:rPr>
            </w:pPr>
            <w:r w:rsidRPr="009C01D5">
              <w:t>-20.2 (1.5)</w:t>
            </w:r>
          </w:p>
        </w:tc>
        <w:tc>
          <w:tcPr>
            <w:tcW w:w="1238" w:type="dxa"/>
            <w:shd w:val="clear" w:color="auto" w:fill="auto"/>
          </w:tcPr>
          <w:p w14:paraId="2481EF51" w14:textId="77777777" w:rsidR="00BD3A46" w:rsidRPr="009C01D5" w:rsidRDefault="00936AB1" w:rsidP="002A7BB0">
            <w:pPr>
              <w:pStyle w:val="TableText0"/>
              <w:keepNext w:val="0"/>
              <w:widowControl w:val="0"/>
              <w:jc w:val="center"/>
            </w:pPr>
            <w:r w:rsidRPr="009C01D5">
              <w:t xml:space="preserve">-6.0 </w:t>
            </w:r>
          </w:p>
          <w:p w14:paraId="27C6CCE5" w14:textId="77777777" w:rsidR="00936AB1" w:rsidRPr="009C01D5" w:rsidRDefault="00936AB1" w:rsidP="002A7BB0">
            <w:pPr>
              <w:pStyle w:val="TableText0"/>
              <w:keepNext w:val="0"/>
              <w:widowControl w:val="0"/>
              <w:jc w:val="center"/>
              <w:rPr>
                <w:szCs w:val="20"/>
              </w:rPr>
            </w:pPr>
            <w:r w:rsidRPr="009C01D5">
              <w:t>(-10.1, -1.9)</w:t>
            </w:r>
          </w:p>
        </w:tc>
        <w:tc>
          <w:tcPr>
            <w:tcW w:w="1014" w:type="dxa"/>
            <w:shd w:val="clear" w:color="auto" w:fill="auto"/>
          </w:tcPr>
          <w:p w14:paraId="10AF3833" w14:textId="77777777" w:rsidR="00936AB1" w:rsidRPr="009C01D5" w:rsidRDefault="00936AB1" w:rsidP="002A7BB0">
            <w:pPr>
              <w:pStyle w:val="TableText0"/>
              <w:keepNext w:val="0"/>
              <w:widowControl w:val="0"/>
              <w:jc w:val="center"/>
              <w:rPr>
                <w:szCs w:val="20"/>
              </w:rPr>
            </w:pPr>
            <w:r w:rsidRPr="009C01D5">
              <w:t>95.6 [9.0]</w:t>
            </w:r>
          </w:p>
        </w:tc>
        <w:tc>
          <w:tcPr>
            <w:tcW w:w="873" w:type="dxa"/>
            <w:shd w:val="clear" w:color="auto" w:fill="auto"/>
          </w:tcPr>
          <w:p w14:paraId="2D0BA930" w14:textId="77777777" w:rsidR="00936AB1" w:rsidRPr="009C01D5" w:rsidRDefault="00936AB1" w:rsidP="002A7BB0">
            <w:pPr>
              <w:pStyle w:val="TableText0"/>
              <w:keepNext w:val="0"/>
              <w:widowControl w:val="0"/>
              <w:jc w:val="center"/>
              <w:rPr>
                <w:szCs w:val="20"/>
              </w:rPr>
            </w:pPr>
            <w:r w:rsidRPr="009C01D5">
              <w:t>-21.2 (1.4)</w:t>
            </w:r>
          </w:p>
        </w:tc>
        <w:tc>
          <w:tcPr>
            <w:tcW w:w="1123" w:type="dxa"/>
            <w:shd w:val="clear" w:color="auto" w:fill="auto"/>
          </w:tcPr>
          <w:p w14:paraId="336653CE" w14:textId="77777777" w:rsidR="00BD3A46" w:rsidRPr="009C01D5" w:rsidRDefault="00936AB1" w:rsidP="002A7BB0">
            <w:pPr>
              <w:pStyle w:val="TableText0"/>
              <w:keepNext w:val="0"/>
              <w:widowControl w:val="0"/>
              <w:jc w:val="center"/>
            </w:pPr>
            <w:r w:rsidRPr="009C01D5">
              <w:t xml:space="preserve">-7.0 </w:t>
            </w:r>
          </w:p>
          <w:p w14:paraId="77A9D69B" w14:textId="77777777" w:rsidR="00936AB1" w:rsidRPr="009C01D5" w:rsidRDefault="00936AB1" w:rsidP="002A7BB0">
            <w:pPr>
              <w:pStyle w:val="TableText0"/>
              <w:keepNext w:val="0"/>
              <w:widowControl w:val="0"/>
              <w:jc w:val="center"/>
              <w:rPr>
                <w:szCs w:val="20"/>
              </w:rPr>
            </w:pPr>
            <w:r w:rsidRPr="009C01D5">
              <w:t>(-11.0, -2.9)</w:t>
            </w:r>
          </w:p>
        </w:tc>
        <w:tc>
          <w:tcPr>
            <w:tcW w:w="1701" w:type="dxa"/>
            <w:shd w:val="clear" w:color="auto" w:fill="auto"/>
          </w:tcPr>
          <w:p w14:paraId="499AF12B" w14:textId="77777777" w:rsidR="00936AB1" w:rsidRPr="009C01D5" w:rsidRDefault="00936AB1" w:rsidP="002A7BB0">
            <w:pPr>
              <w:pStyle w:val="TableText0"/>
              <w:keepNext w:val="0"/>
              <w:widowControl w:val="0"/>
              <w:jc w:val="center"/>
              <w:rPr>
                <w:szCs w:val="20"/>
              </w:rPr>
            </w:pPr>
            <w:r w:rsidRPr="009C01D5">
              <w:t>1.0 (-3.02, 5.02)</w:t>
            </w:r>
          </w:p>
        </w:tc>
      </w:tr>
      <w:tr w:rsidR="00936AB1" w:rsidRPr="009C01D5" w14:paraId="1AA847DF" w14:textId="77777777" w:rsidTr="00BD3A46">
        <w:trPr>
          <w:trHeight w:val="20"/>
        </w:trPr>
        <w:tc>
          <w:tcPr>
            <w:tcW w:w="1163" w:type="dxa"/>
            <w:shd w:val="clear" w:color="auto" w:fill="auto"/>
          </w:tcPr>
          <w:p w14:paraId="4BC5B951" w14:textId="77777777" w:rsidR="00936AB1" w:rsidRPr="009C01D5" w:rsidRDefault="00936AB1" w:rsidP="002A7BB0">
            <w:pPr>
              <w:pStyle w:val="TableText0"/>
              <w:keepNext w:val="0"/>
              <w:widowControl w:val="0"/>
              <w:rPr>
                <w:szCs w:val="20"/>
              </w:rPr>
            </w:pPr>
            <w:r w:rsidRPr="009C01D5">
              <w:rPr>
                <w:szCs w:val="20"/>
              </w:rPr>
              <w:t>Cariprazine 6 mg/day</w:t>
            </w:r>
          </w:p>
        </w:tc>
        <w:tc>
          <w:tcPr>
            <w:tcW w:w="946" w:type="dxa"/>
            <w:tcBorders>
              <w:bottom w:val="single" w:sz="4" w:space="0" w:color="auto"/>
            </w:tcBorders>
            <w:shd w:val="clear" w:color="auto" w:fill="auto"/>
          </w:tcPr>
          <w:p w14:paraId="7B63242D" w14:textId="77777777" w:rsidR="00936AB1" w:rsidRPr="009C01D5" w:rsidRDefault="00936AB1" w:rsidP="002A7BB0">
            <w:pPr>
              <w:pStyle w:val="TableText0"/>
              <w:keepNext w:val="0"/>
              <w:widowControl w:val="0"/>
              <w:jc w:val="center"/>
              <w:rPr>
                <w:szCs w:val="20"/>
              </w:rPr>
            </w:pPr>
            <w:r w:rsidRPr="009C01D5">
              <w:t>95.7 [9.4]</w:t>
            </w:r>
          </w:p>
        </w:tc>
        <w:tc>
          <w:tcPr>
            <w:tcW w:w="873" w:type="dxa"/>
            <w:tcBorders>
              <w:bottom w:val="single" w:sz="4" w:space="0" w:color="auto"/>
            </w:tcBorders>
            <w:shd w:val="clear" w:color="auto" w:fill="auto"/>
          </w:tcPr>
          <w:p w14:paraId="256FC4B1" w14:textId="77777777" w:rsidR="00936AB1" w:rsidRPr="009C01D5" w:rsidRDefault="00936AB1" w:rsidP="002A7BB0">
            <w:pPr>
              <w:pStyle w:val="TableText0"/>
              <w:keepNext w:val="0"/>
              <w:widowControl w:val="0"/>
              <w:jc w:val="center"/>
              <w:rPr>
                <w:szCs w:val="20"/>
              </w:rPr>
            </w:pPr>
            <w:r w:rsidRPr="009C01D5">
              <w:t>-23.0 (1.5)</w:t>
            </w:r>
          </w:p>
        </w:tc>
        <w:tc>
          <w:tcPr>
            <w:tcW w:w="1238" w:type="dxa"/>
            <w:tcBorders>
              <w:bottom w:val="single" w:sz="4" w:space="0" w:color="auto"/>
            </w:tcBorders>
            <w:shd w:val="clear" w:color="auto" w:fill="auto"/>
          </w:tcPr>
          <w:p w14:paraId="4BD974F8" w14:textId="77777777" w:rsidR="00BD3A46" w:rsidRPr="009C01D5" w:rsidRDefault="00936AB1" w:rsidP="002A7BB0">
            <w:pPr>
              <w:pStyle w:val="TableText0"/>
              <w:keepNext w:val="0"/>
              <w:widowControl w:val="0"/>
              <w:jc w:val="center"/>
            </w:pPr>
            <w:r w:rsidRPr="009C01D5">
              <w:t xml:space="preserve">-8.8 </w:t>
            </w:r>
          </w:p>
          <w:p w14:paraId="7069308C" w14:textId="77777777" w:rsidR="00936AB1" w:rsidRPr="009C01D5" w:rsidRDefault="00936AB1" w:rsidP="002A7BB0">
            <w:pPr>
              <w:pStyle w:val="TableText0"/>
              <w:keepNext w:val="0"/>
              <w:widowControl w:val="0"/>
              <w:jc w:val="center"/>
              <w:rPr>
                <w:szCs w:val="20"/>
              </w:rPr>
            </w:pPr>
            <w:r w:rsidRPr="009C01D5">
              <w:t>(-12.9, -4.7)</w:t>
            </w:r>
          </w:p>
        </w:tc>
        <w:tc>
          <w:tcPr>
            <w:tcW w:w="1014" w:type="dxa"/>
            <w:tcBorders>
              <w:bottom w:val="single" w:sz="4" w:space="0" w:color="auto"/>
            </w:tcBorders>
            <w:shd w:val="clear" w:color="auto" w:fill="auto"/>
          </w:tcPr>
          <w:p w14:paraId="0E785EA0" w14:textId="77777777" w:rsidR="00936AB1" w:rsidRPr="009C01D5" w:rsidRDefault="00936AB1" w:rsidP="002A7BB0">
            <w:pPr>
              <w:pStyle w:val="TableText0"/>
              <w:keepNext w:val="0"/>
              <w:widowControl w:val="0"/>
              <w:jc w:val="center"/>
              <w:rPr>
                <w:szCs w:val="20"/>
              </w:rPr>
            </w:pPr>
            <w:r w:rsidRPr="009C01D5">
              <w:t>95.6 [9.0]</w:t>
            </w:r>
          </w:p>
        </w:tc>
        <w:tc>
          <w:tcPr>
            <w:tcW w:w="873" w:type="dxa"/>
            <w:tcBorders>
              <w:bottom w:val="single" w:sz="4" w:space="0" w:color="auto"/>
            </w:tcBorders>
            <w:shd w:val="clear" w:color="auto" w:fill="auto"/>
          </w:tcPr>
          <w:p w14:paraId="3AD2EC07" w14:textId="77777777" w:rsidR="00936AB1" w:rsidRPr="009C01D5" w:rsidRDefault="00936AB1" w:rsidP="002A7BB0">
            <w:pPr>
              <w:pStyle w:val="TableText0"/>
              <w:keepNext w:val="0"/>
              <w:widowControl w:val="0"/>
              <w:jc w:val="center"/>
              <w:rPr>
                <w:szCs w:val="20"/>
              </w:rPr>
            </w:pPr>
            <w:r w:rsidRPr="009C01D5">
              <w:t>-21.2 (1.4)</w:t>
            </w:r>
          </w:p>
        </w:tc>
        <w:tc>
          <w:tcPr>
            <w:tcW w:w="1123" w:type="dxa"/>
            <w:tcBorders>
              <w:bottom w:val="single" w:sz="4" w:space="0" w:color="auto"/>
            </w:tcBorders>
            <w:shd w:val="clear" w:color="auto" w:fill="auto"/>
          </w:tcPr>
          <w:p w14:paraId="48B5A275" w14:textId="77777777" w:rsidR="00BD3A46" w:rsidRPr="009C01D5" w:rsidRDefault="00936AB1" w:rsidP="002A7BB0">
            <w:pPr>
              <w:pStyle w:val="TableText0"/>
              <w:keepNext w:val="0"/>
              <w:widowControl w:val="0"/>
              <w:jc w:val="center"/>
            </w:pPr>
            <w:r w:rsidRPr="009C01D5">
              <w:t xml:space="preserve">-7.0 </w:t>
            </w:r>
          </w:p>
          <w:p w14:paraId="7B263B24" w14:textId="77777777" w:rsidR="00936AB1" w:rsidRPr="009C01D5" w:rsidRDefault="00936AB1" w:rsidP="002A7BB0">
            <w:pPr>
              <w:pStyle w:val="TableText0"/>
              <w:keepNext w:val="0"/>
              <w:widowControl w:val="0"/>
              <w:jc w:val="center"/>
              <w:rPr>
                <w:szCs w:val="20"/>
              </w:rPr>
            </w:pPr>
            <w:r w:rsidRPr="009C01D5">
              <w:t>(-11.0, -2.9)</w:t>
            </w:r>
          </w:p>
        </w:tc>
        <w:tc>
          <w:tcPr>
            <w:tcW w:w="1701" w:type="dxa"/>
            <w:tcBorders>
              <w:bottom w:val="single" w:sz="4" w:space="0" w:color="auto"/>
            </w:tcBorders>
            <w:shd w:val="clear" w:color="auto" w:fill="auto"/>
          </w:tcPr>
          <w:p w14:paraId="04B7CFB7" w14:textId="77777777" w:rsidR="00936AB1" w:rsidRPr="009C01D5" w:rsidRDefault="00936AB1" w:rsidP="002A7BB0">
            <w:pPr>
              <w:pStyle w:val="TableText0"/>
              <w:keepNext w:val="0"/>
              <w:widowControl w:val="0"/>
              <w:jc w:val="center"/>
              <w:rPr>
                <w:szCs w:val="20"/>
              </w:rPr>
            </w:pPr>
            <w:r w:rsidRPr="009C01D5">
              <w:t>-1.8 (-5.82, 2.22)</w:t>
            </w:r>
          </w:p>
        </w:tc>
      </w:tr>
      <w:tr w:rsidR="00936AB1" w:rsidRPr="009C01D5" w14:paraId="7652586A" w14:textId="77777777" w:rsidTr="00BD3A46">
        <w:trPr>
          <w:trHeight w:val="20"/>
        </w:trPr>
        <w:tc>
          <w:tcPr>
            <w:tcW w:w="8931" w:type="dxa"/>
            <w:gridSpan w:val="8"/>
            <w:tcBorders>
              <w:top w:val="single" w:sz="4" w:space="0" w:color="auto"/>
            </w:tcBorders>
            <w:shd w:val="clear" w:color="auto" w:fill="auto"/>
          </w:tcPr>
          <w:p w14:paraId="44D9E5D1" w14:textId="77777777" w:rsidR="00936AB1" w:rsidRPr="009C01D5" w:rsidRDefault="00936AB1" w:rsidP="002A7BB0">
            <w:pPr>
              <w:pStyle w:val="TableText0"/>
              <w:keepNext w:val="0"/>
              <w:widowControl w:val="0"/>
            </w:pPr>
            <w:r w:rsidRPr="009C01D5">
              <w:rPr>
                <w:b/>
                <w:szCs w:val="20"/>
              </w:rPr>
              <w:t>PANSS total score – LOCF</w:t>
            </w:r>
          </w:p>
        </w:tc>
      </w:tr>
      <w:tr w:rsidR="00936AB1" w:rsidRPr="009C01D5" w14:paraId="1E8D9B5B" w14:textId="77777777" w:rsidTr="00BD3A46">
        <w:trPr>
          <w:trHeight w:val="20"/>
        </w:trPr>
        <w:tc>
          <w:tcPr>
            <w:tcW w:w="1163" w:type="dxa"/>
            <w:tcBorders>
              <w:top w:val="single" w:sz="4" w:space="0" w:color="auto"/>
            </w:tcBorders>
            <w:shd w:val="clear" w:color="auto" w:fill="auto"/>
          </w:tcPr>
          <w:p w14:paraId="5016E460" w14:textId="77777777" w:rsidR="00936AB1" w:rsidRPr="009C01D5" w:rsidRDefault="00936AB1" w:rsidP="002A7BB0">
            <w:pPr>
              <w:pStyle w:val="TableText0"/>
              <w:keepNext w:val="0"/>
              <w:widowControl w:val="0"/>
              <w:rPr>
                <w:szCs w:val="20"/>
              </w:rPr>
            </w:pPr>
            <w:r w:rsidRPr="009C01D5">
              <w:t>Cariprazine 3 mg/day</w:t>
            </w:r>
          </w:p>
        </w:tc>
        <w:tc>
          <w:tcPr>
            <w:tcW w:w="946" w:type="dxa"/>
            <w:tcBorders>
              <w:top w:val="single" w:sz="4" w:space="0" w:color="auto"/>
            </w:tcBorders>
            <w:shd w:val="clear" w:color="auto" w:fill="auto"/>
          </w:tcPr>
          <w:p w14:paraId="1944191C" w14:textId="77777777" w:rsidR="00936AB1" w:rsidRPr="009C01D5" w:rsidRDefault="00936AB1" w:rsidP="002A7BB0">
            <w:pPr>
              <w:pStyle w:val="TableText0"/>
              <w:keepNext w:val="0"/>
              <w:widowControl w:val="0"/>
              <w:jc w:val="center"/>
              <w:rPr>
                <w:szCs w:val="20"/>
              </w:rPr>
            </w:pPr>
            <w:r w:rsidRPr="009C01D5">
              <w:t>96.1 [8.7]</w:t>
            </w:r>
          </w:p>
        </w:tc>
        <w:tc>
          <w:tcPr>
            <w:tcW w:w="873" w:type="dxa"/>
            <w:tcBorders>
              <w:top w:val="single" w:sz="4" w:space="0" w:color="auto"/>
              <w:bottom w:val="single" w:sz="4" w:space="0" w:color="000000"/>
            </w:tcBorders>
            <w:shd w:val="clear" w:color="auto" w:fill="auto"/>
          </w:tcPr>
          <w:p w14:paraId="6483FFAA" w14:textId="77777777" w:rsidR="00936AB1" w:rsidRPr="009C01D5" w:rsidRDefault="00936AB1" w:rsidP="002A7BB0">
            <w:pPr>
              <w:pStyle w:val="TableText0"/>
              <w:keepNext w:val="0"/>
              <w:widowControl w:val="0"/>
              <w:jc w:val="center"/>
              <w:rPr>
                <w:szCs w:val="20"/>
              </w:rPr>
            </w:pPr>
            <w:r w:rsidRPr="009C01D5">
              <w:t>-16.4 (1.4)</w:t>
            </w:r>
          </w:p>
        </w:tc>
        <w:tc>
          <w:tcPr>
            <w:tcW w:w="1238" w:type="dxa"/>
            <w:tcBorders>
              <w:top w:val="single" w:sz="4" w:space="0" w:color="auto"/>
              <w:bottom w:val="single" w:sz="4" w:space="0" w:color="000000"/>
            </w:tcBorders>
            <w:shd w:val="clear" w:color="auto" w:fill="auto"/>
          </w:tcPr>
          <w:p w14:paraId="36F41B50" w14:textId="77777777" w:rsidR="00BD3A46" w:rsidRPr="009C01D5" w:rsidRDefault="00936AB1" w:rsidP="002A7BB0">
            <w:pPr>
              <w:pStyle w:val="TableText0"/>
              <w:keepNext w:val="0"/>
              <w:widowControl w:val="0"/>
              <w:jc w:val="center"/>
            </w:pPr>
            <w:r w:rsidRPr="009C01D5">
              <w:t xml:space="preserve">-5.4 </w:t>
            </w:r>
          </w:p>
          <w:p w14:paraId="4DC89DE2" w14:textId="77777777" w:rsidR="00936AB1" w:rsidRPr="009C01D5" w:rsidRDefault="00936AB1" w:rsidP="002A7BB0">
            <w:pPr>
              <w:pStyle w:val="TableText0"/>
              <w:keepNext w:val="0"/>
              <w:widowControl w:val="0"/>
              <w:jc w:val="center"/>
              <w:rPr>
                <w:szCs w:val="20"/>
              </w:rPr>
            </w:pPr>
            <w:r w:rsidRPr="009C01D5">
              <w:t>(-9.3, -1.4)</w:t>
            </w:r>
          </w:p>
        </w:tc>
        <w:tc>
          <w:tcPr>
            <w:tcW w:w="1014" w:type="dxa"/>
            <w:tcBorders>
              <w:top w:val="single" w:sz="4" w:space="0" w:color="auto"/>
            </w:tcBorders>
            <w:shd w:val="clear" w:color="auto" w:fill="auto"/>
          </w:tcPr>
          <w:p w14:paraId="245DCE6E" w14:textId="77777777" w:rsidR="00936AB1" w:rsidRPr="009C01D5" w:rsidRDefault="00936AB1" w:rsidP="002A7BB0">
            <w:pPr>
              <w:pStyle w:val="TableText0"/>
              <w:keepNext w:val="0"/>
              <w:widowControl w:val="0"/>
              <w:jc w:val="center"/>
              <w:rPr>
                <w:szCs w:val="20"/>
              </w:rPr>
            </w:pPr>
            <w:r w:rsidRPr="009C01D5">
              <w:t>95.6 [9.0]</w:t>
            </w:r>
          </w:p>
        </w:tc>
        <w:tc>
          <w:tcPr>
            <w:tcW w:w="873" w:type="dxa"/>
            <w:tcBorders>
              <w:top w:val="single" w:sz="4" w:space="0" w:color="auto"/>
              <w:bottom w:val="single" w:sz="4" w:space="0" w:color="000000"/>
            </w:tcBorders>
            <w:shd w:val="clear" w:color="auto" w:fill="auto"/>
          </w:tcPr>
          <w:p w14:paraId="3DC517F2" w14:textId="77777777" w:rsidR="00936AB1" w:rsidRPr="009C01D5" w:rsidRDefault="00936AB1" w:rsidP="002A7BB0">
            <w:pPr>
              <w:pStyle w:val="TableText0"/>
              <w:keepNext w:val="0"/>
              <w:widowControl w:val="0"/>
              <w:jc w:val="center"/>
              <w:rPr>
                <w:szCs w:val="20"/>
              </w:rPr>
            </w:pPr>
            <w:r w:rsidRPr="009C01D5">
              <w:t>-18.8 (1.4)</w:t>
            </w:r>
          </w:p>
        </w:tc>
        <w:tc>
          <w:tcPr>
            <w:tcW w:w="1123" w:type="dxa"/>
            <w:tcBorders>
              <w:top w:val="single" w:sz="4" w:space="0" w:color="auto"/>
              <w:bottom w:val="single" w:sz="4" w:space="0" w:color="000000"/>
            </w:tcBorders>
            <w:shd w:val="clear" w:color="auto" w:fill="auto"/>
          </w:tcPr>
          <w:p w14:paraId="4D346B6A" w14:textId="77777777" w:rsidR="00BD3A46" w:rsidRPr="009C01D5" w:rsidRDefault="00936AB1" w:rsidP="002A7BB0">
            <w:pPr>
              <w:pStyle w:val="TableText0"/>
              <w:keepNext w:val="0"/>
              <w:widowControl w:val="0"/>
              <w:jc w:val="center"/>
            </w:pPr>
            <w:r w:rsidRPr="009C01D5">
              <w:t xml:space="preserve">-7.7 </w:t>
            </w:r>
          </w:p>
          <w:p w14:paraId="6F09ACCD" w14:textId="77777777" w:rsidR="00936AB1" w:rsidRPr="009C01D5" w:rsidRDefault="00936AB1" w:rsidP="002A7BB0">
            <w:pPr>
              <w:pStyle w:val="TableText0"/>
              <w:keepNext w:val="0"/>
              <w:widowControl w:val="0"/>
              <w:jc w:val="center"/>
              <w:rPr>
                <w:szCs w:val="20"/>
              </w:rPr>
            </w:pPr>
            <w:r w:rsidRPr="009C01D5">
              <w:t>(-11.7, -3.8)</w:t>
            </w:r>
          </w:p>
        </w:tc>
        <w:tc>
          <w:tcPr>
            <w:tcW w:w="1701" w:type="dxa"/>
            <w:tcBorders>
              <w:top w:val="single" w:sz="4" w:space="0" w:color="auto"/>
              <w:bottom w:val="single" w:sz="4" w:space="0" w:color="000000"/>
            </w:tcBorders>
            <w:shd w:val="clear" w:color="auto" w:fill="auto"/>
          </w:tcPr>
          <w:p w14:paraId="613738DF" w14:textId="77777777" w:rsidR="00936AB1" w:rsidRPr="009C01D5" w:rsidRDefault="00936AB1" w:rsidP="002A7BB0">
            <w:pPr>
              <w:pStyle w:val="TableText0"/>
              <w:keepNext w:val="0"/>
              <w:widowControl w:val="0"/>
              <w:jc w:val="center"/>
              <w:rPr>
                <w:szCs w:val="20"/>
              </w:rPr>
            </w:pPr>
            <w:r w:rsidRPr="009C01D5">
              <w:t>2.4 (-1.48, 6.28)</w:t>
            </w:r>
          </w:p>
        </w:tc>
      </w:tr>
      <w:tr w:rsidR="00936AB1" w:rsidRPr="009C01D5" w14:paraId="547B0FB2" w14:textId="77777777" w:rsidTr="00BD3A46">
        <w:trPr>
          <w:trHeight w:val="20"/>
        </w:trPr>
        <w:tc>
          <w:tcPr>
            <w:tcW w:w="1163" w:type="dxa"/>
            <w:tcBorders>
              <w:bottom w:val="single" w:sz="4" w:space="0" w:color="000000"/>
            </w:tcBorders>
            <w:shd w:val="clear" w:color="auto" w:fill="auto"/>
          </w:tcPr>
          <w:p w14:paraId="398DAB74" w14:textId="77777777" w:rsidR="00936AB1" w:rsidRPr="009C01D5" w:rsidRDefault="00936AB1" w:rsidP="002A7BB0">
            <w:pPr>
              <w:pStyle w:val="TableText0"/>
              <w:keepNext w:val="0"/>
              <w:widowControl w:val="0"/>
              <w:rPr>
                <w:szCs w:val="20"/>
              </w:rPr>
            </w:pPr>
            <w:r w:rsidRPr="009C01D5">
              <w:t>Cariprazine 6 mg/day</w:t>
            </w:r>
          </w:p>
        </w:tc>
        <w:tc>
          <w:tcPr>
            <w:tcW w:w="946" w:type="dxa"/>
            <w:tcBorders>
              <w:bottom w:val="single" w:sz="4" w:space="0" w:color="000000"/>
            </w:tcBorders>
            <w:shd w:val="clear" w:color="auto" w:fill="auto"/>
          </w:tcPr>
          <w:p w14:paraId="0AF7603A" w14:textId="77777777" w:rsidR="00936AB1" w:rsidRPr="009C01D5" w:rsidRDefault="00936AB1" w:rsidP="002A7BB0">
            <w:pPr>
              <w:pStyle w:val="TableText0"/>
              <w:keepNext w:val="0"/>
              <w:widowControl w:val="0"/>
              <w:jc w:val="center"/>
              <w:rPr>
                <w:szCs w:val="20"/>
              </w:rPr>
            </w:pPr>
            <w:r w:rsidRPr="009C01D5">
              <w:t>95.7 [9.4]</w:t>
            </w:r>
          </w:p>
        </w:tc>
        <w:tc>
          <w:tcPr>
            <w:tcW w:w="873" w:type="dxa"/>
            <w:tcBorders>
              <w:bottom w:val="single" w:sz="4" w:space="0" w:color="000000"/>
            </w:tcBorders>
            <w:shd w:val="clear" w:color="auto" w:fill="auto"/>
          </w:tcPr>
          <w:p w14:paraId="4F3357CD" w14:textId="77777777" w:rsidR="00936AB1" w:rsidRPr="009C01D5" w:rsidRDefault="00936AB1" w:rsidP="002A7BB0">
            <w:pPr>
              <w:pStyle w:val="TableText0"/>
              <w:keepNext w:val="0"/>
              <w:widowControl w:val="0"/>
              <w:jc w:val="center"/>
              <w:rPr>
                <w:szCs w:val="20"/>
              </w:rPr>
            </w:pPr>
            <w:r w:rsidRPr="009C01D5">
              <w:t>-18.9 (1.4)</w:t>
            </w:r>
          </w:p>
        </w:tc>
        <w:tc>
          <w:tcPr>
            <w:tcW w:w="1238" w:type="dxa"/>
            <w:tcBorders>
              <w:bottom w:val="single" w:sz="4" w:space="0" w:color="000000"/>
            </w:tcBorders>
            <w:shd w:val="clear" w:color="auto" w:fill="auto"/>
          </w:tcPr>
          <w:p w14:paraId="7FBC3F4A" w14:textId="77777777" w:rsidR="00BD3A46" w:rsidRPr="009C01D5" w:rsidRDefault="00936AB1" w:rsidP="002A7BB0">
            <w:pPr>
              <w:pStyle w:val="TableText0"/>
              <w:keepNext w:val="0"/>
              <w:widowControl w:val="0"/>
              <w:jc w:val="center"/>
            </w:pPr>
            <w:r w:rsidRPr="009C01D5">
              <w:t xml:space="preserve">-7.9 </w:t>
            </w:r>
          </w:p>
          <w:p w14:paraId="73D508B1" w14:textId="77777777" w:rsidR="00936AB1" w:rsidRPr="009C01D5" w:rsidRDefault="00936AB1" w:rsidP="002A7BB0">
            <w:pPr>
              <w:pStyle w:val="TableText0"/>
              <w:keepNext w:val="0"/>
              <w:widowControl w:val="0"/>
              <w:jc w:val="center"/>
              <w:rPr>
                <w:szCs w:val="20"/>
              </w:rPr>
            </w:pPr>
            <w:r w:rsidRPr="009C01D5">
              <w:t>(-11.8, -4.0)</w:t>
            </w:r>
          </w:p>
        </w:tc>
        <w:tc>
          <w:tcPr>
            <w:tcW w:w="1014" w:type="dxa"/>
            <w:tcBorders>
              <w:bottom w:val="single" w:sz="4" w:space="0" w:color="000000"/>
            </w:tcBorders>
            <w:shd w:val="clear" w:color="auto" w:fill="auto"/>
          </w:tcPr>
          <w:p w14:paraId="4EBB7698" w14:textId="77777777" w:rsidR="00936AB1" w:rsidRPr="009C01D5" w:rsidRDefault="00936AB1" w:rsidP="002A7BB0">
            <w:pPr>
              <w:pStyle w:val="TableText0"/>
              <w:keepNext w:val="0"/>
              <w:widowControl w:val="0"/>
              <w:jc w:val="center"/>
              <w:rPr>
                <w:szCs w:val="20"/>
              </w:rPr>
            </w:pPr>
            <w:r w:rsidRPr="009C01D5">
              <w:t>95.6 [9.0]</w:t>
            </w:r>
          </w:p>
        </w:tc>
        <w:tc>
          <w:tcPr>
            <w:tcW w:w="873" w:type="dxa"/>
            <w:tcBorders>
              <w:bottom w:val="single" w:sz="4" w:space="0" w:color="000000"/>
            </w:tcBorders>
            <w:shd w:val="clear" w:color="auto" w:fill="auto"/>
          </w:tcPr>
          <w:p w14:paraId="08C18EA6" w14:textId="77777777" w:rsidR="00936AB1" w:rsidRPr="009C01D5" w:rsidRDefault="00936AB1" w:rsidP="002A7BB0">
            <w:pPr>
              <w:pStyle w:val="TableText0"/>
              <w:keepNext w:val="0"/>
              <w:widowControl w:val="0"/>
              <w:jc w:val="center"/>
              <w:rPr>
                <w:szCs w:val="20"/>
              </w:rPr>
            </w:pPr>
            <w:r w:rsidRPr="009C01D5">
              <w:t>-18.8 (1.4)</w:t>
            </w:r>
          </w:p>
        </w:tc>
        <w:tc>
          <w:tcPr>
            <w:tcW w:w="1123" w:type="dxa"/>
            <w:tcBorders>
              <w:bottom w:val="single" w:sz="4" w:space="0" w:color="000000"/>
            </w:tcBorders>
            <w:shd w:val="clear" w:color="auto" w:fill="auto"/>
          </w:tcPr>
          <w:p w14:paraId="048A193A" w14:textId="77777777" w:rsidR="00BD3A46" w:rsidRPr="009C01D5" w:rsidRDefault="00936AB1" w:rsidP="002A7BB0">
            <w:pPr>
              <w:pStyle w:val="TableText0"/>
              <w:keepNext w:val="0"/>
              <w:widowControl w:val="0"/>
              <w:jc w:val="center"/>
            </w:pPr>
            <w:r w:rsidRPr="009C01D5">
              <w:t xml:space="preserve">-7.7 </w:t>
            </w:r>
          </w:p>
          <w:p w14:paraId="40F66BE9" w14:textId="77777777" w:rsidR="00936AB1" w:rsidRPr="009C01D5" w:rsidRDefault="00936AB1" w:rsidP="002A7BB0">
            <w:pPr>
              <w:pStyle w:val="TableText0"/>
              <w:keepNext w:val="0"/>
              <w:widowControl w:val="0"/>
              <w:jc w:val="center"/>
              <w:rPr>
                <w:szCs w:val="20"/>
              </w:rPr>
            </w:pPr>
            <w:r w:rsidRPr="009C01D5">
              <w:t>(-11.7, -3.8)</w:t>
            </w:r>
          </w:p>
        </w:tc>
        <w:tc>
          <w:tcPr>
            <w:tcW w:w="1701" w:type="dxa"/>
            <w:tcBorders>
              <w:bottom w:val="single" w:sz="4" w:space="0" w:color="000000"/>
            </w:tcBorders>
            <w:shd w:val="clear" w:color="auto" w:fill="auto"/>
          </w:tcPr>
          <w:p w14:paraId="48969911" w14:textId="77777777" w:rsidR="00936AB1" w:rsidRPr="009C01D5" w:rsidRDefault="00936AB1" w:rsidP="002A7BB0">
            <w:pPr>
              <w:pStyle w:val="TableText0"/>
              <w:keepNext w:val="0"/>
              <w:widowControl w:val="0"/>
              <w:jc w:val="center"/>
              <w:rPr>
                <w:szCs w:val="20"/>
              </w:rPr>
            </w:pPr>
            <w:r w:rsidRPr="009C01D5">
              <w:t>-0.1 (-3.98, 3.78)</w:t>
            </w:r>
          </w:p>
        </w:tc>
      </w:tr>
    </w:tbl>
    <w:p w14:paraId="1015F66F" w14:textId="77777777" w:rsidR="00936AB1" w:rsidRPr="009C01D5" w:rsidRDefault="00936AB1" w:rsidP="00936AB1">
      <w:pPr>
        <w:pStyle w:val="TableFigureFooter"/>
        <w:rPr>
          <w:szCs w:val="18"/>
        </w:rPr>
      </w:pPr>
      <w:r w:rsidRPr="009C01D5">
        <w:rPr>
          <w:szCs w:val="18"/>
        </w:rPr>
        <w:t xml:space="preserve">Abbreviations: CI = confidence interval; LOCF = </w:t>
      </w:r>
      <w:r w:rsidRPr="009C01D5">
        <w:rPr>
          <w:rFonts w:cstheme="minorHAnsi"/>
          <w:szCs w:val="18"/>
        </w:rPr>
        <w:t>Last observation carried forward</w:t>
      </w:r>
      <w:r w:rsidRPr="009C01D5">
        <w:rPr>
          <w:szCs w:val="18"/>
        </w:rPr>
        <w:t>;</w:t>
      </w:r>
      <w:r w:rsidR="0007513F" w:rsidRPr="009C01D5">
        <w:rPr>
          <w:szCs w:val="18"/>
        </w:rPr>
        <w:t xml:space="preserve"> LS = least squares;</w:t>
      </w:r>
      <w:r w:rsidRPr="009C01D5">
        <w:rPr>
          <w:szCs w:val="18"/>
        </w:rPr>
        <w:t xml:space="preserve"> LSMD = Least squares mean difference; MMRM = </w:t>
      </w:r>
      <w:r w:rsidRPr="009C01D5">
        <w:rPr>
          <w:rFonts w:cstheme="minorHAnsi"/>
          <w:szCs w:val="18"/>
        </w:rPr>
        <w:t>Mixed-effects model for repeated measures</w:t>
      </w:r>
      <w:r w:rsidRPr="009C01D5">
        <w:rPr>
          <w:szCs w:val="18"/>
        </w:rPr>
        <w:t xml:space="preserve">; mg = milligram; PANSS = </w:t>
      </w:r>
      <w:r w:rsidRPr="009C01D5">
        <w:rPr>
          <w:rFonts w:cstheme="minorHAnsi"/>
          <w:szCs w:val="18"/>
        </w:rPr>
        <w:t>Positive and Negative Syndrome Scale (for schizophrenia);</w:t>
      </w:r>
      <w:r w:rsidRPr="009C01D5">
        <w:rPr>
          <w:szCs w:val="18"/>
        </w:rPr>
        <w:t xml:space="preserve"> SE = standard error; SD=standard deviation; </w:t>
      </w:r>
    </w:p>
    <w:p w14:paraId="359BC0D7" w14:textId="77777777" w:rsidR="00936AB1" w:rsidRPr="009C01D5" w:rsidRDefault="00936AB1" w:rsidP="00936AB1">
      <w:pPr>
        <w:pStyle w:val="TableFigureFooter"/>
        <w:rPr>
          <w:szCs w:val="18"/>
        </w:rPr>
      </w:pPr>
      <w:r w:rsidRPr="009C01D5">
        <w:rPr>
          <w:szCs w:val="18"/>
        </w:rPr>
        <w:t>Notes: 1. PANSS total score and CGI-S were analysed using MMRM and ANCOVA/LOCF methodologies; NSA-16 total score, CGI-I, PANSS positive score, PANSS negative score and NSA-16 total score were analysed using MMRM methodology; SQLS-R4 total score was analysed using ANCOVA/LOCF methodology (RGH-MD-04 CSR, Section 11.4.1).</w:t>
      </w:r>
    </w:p>
    <w:p w14:paraId="3341BAA5" w14:textId="77777777" w:rsidR="00936AB1" w:rsidRPr="009C01D5" w:rsidRDefault="00936AB1" w:rsidP="00936AB1">
      <w:pPr>
        <w:pStyle w:val="TableFigureFooter"/>
        <w:rPr>
          <w:sz w:val="20"/>
        </w:rPr>
      </w:pPr>
      <w:r w:rsidRPr="009C01D5">
        <w:rPr>
          <w:szCs w:val="18"/>
        </w:rPr>
        <w:t>Source: Table 2.5.1 p124 of the submission</w:t>
      </w:r>
    </w:p>
    <w:p w14:paraId="7BA20ACE" w14:textId="77777777" w:rsidR="00936AB1" w:rsidRPr="009C01D5" w:rsidRDefault="00936AB1" w:rsidP="00936AB1">
      <w:pPr>
        <w:pStyle w:val="3-BodyText"/>
      </w:pPr>
      <w:r w:rsidRPr="009C01D5">
        <w:t xml:space="preserve">The summary of the primary outcome (PANSS total score) in the acute studies in the ITC of cariprazine with aripiprazole and brexpiprazole is presented in Table 5. The three pivotal studies in patients with acute exacerbation of schizophrenia, RGH-MD-04, RGH-MD-05 and RGH-MD-16, showed consistent efficacy of cariprazine across the tested dose range of 1.5–9 mg/day, with statistically significant improvement in </w:t>
      </w:r>
      <w:r w:rsidR="00D4509B" w:rsidRPr="009C01D5">
        <w:t xml:space="preserve">the </w:t>
      </w:r>
      <w:r w:rsidRPr="009C01D5">
        <w:t>PANSS total score</w:t>
      </w:r>
      <w:r w:rsidR="00D4509B" w:rsidRPr="009C01D5">
        <w:t xml:space="preserve"> </w:t>
      </w:r>
      <w:r w:rsidRPr="009C01D5">
        <w:t xml:space="preserve">compared to placebo. The submission stated that across the different doses, the 95% CIs were overlapping. </w:t>
      </w:r>
      <w:r w:rsidR="00C70D3E" w:rsidRPr="009C01D5">
        <w:t>The results of the RGH-MD-03 (proof of concept study) showed no statistical</w:t>
      </w:r>
      <w:r w:rsidR="002A7BB0" w:rsidRPr="009C01D5">
        <w:t>ly</w:t>
      </w:r>
      <w:r w:rsidR="00C70D3E" w:rsidRPr="009C01D5">
        <w:t xml:space="preserve"> s</w:t>
      </w:r>
      <w:r w:rsidR="004A424D" w:rsidRPr="009C01D5">
        <w:t xml:space="preserve">ignificant change in the PANSS total score from baseline to Week 6. </w:t>
      </w:r>
    </w:p>
    <w:p w14:paraId="128569E3" w14:textId="77777777" w:rsidR="00936AB1" w:rsidRPr="009C01D5" w:rsidRDefault="00936AB1" w:rsidP="00936AB1">
      <w:pPr>
        <w:pStyle w:val="3-BodyText"/>
      </w:pPr>
      <w:r w:rsidRPr="009C01D5">
        <w:t>The</w:t>
      </w:r>
      <w:r w:rsidR="00F4774B" w:rsidRPr="009C01D5">
        <w:t xml:space="preserve"> decreases in</w:t>
      </w:r>
      <w:r w:rsidRPr="009C01D5">
        <w:t xml:space="preserve"> PANSS total score </w:t>
      </w:r>
      <w:r w:rsidR="00D4509B" w:rsidRPr="009C01D5">
        <w:t xml:space="preserve">following treatment with cariprazine </w:t>
      </w:r>
      <w:r w:rsidRPr="009C01D5">
        <w:t>were sustained in the two long-term safety follow-up studies, RGH-MD-11 and RGH-MD-17, suggesting that there was no worsening of schizophrenia symptoms during long-term cariprazine treatment.</w:t>
      </w:r>
      <w:r w:rsidR="00D4509B" w:rsidRPr="009C01D5">
        <w:t xml:space="preserve"> </w:t>
      </w:r>
      <w:r w:rsidR="00D4509B" w:rsidRPr="009C01D5">
        <w:rPr>
          <w:iCs/>
        </w:rPr>
        <w:t xml:space="preserve">The submission presented these studies as representing treatment in the acute setting rather than maintenance. Given that </w:t>
      </w:r>
      <w:r w:rsidR="00F170F6" w:rsidRPr="009C01D5">
        <w:rPr>
          <w:iCs/>
        </w:rPr>
        <w:t xml:space="preserve">the </w:t>
      </w:r>
      <w:r w:rsidR="00D4509B" w:rsidRPr="009C01D5">
        <w:rPr>
          <w:iCs/>
        </w:rPr>
        <w:t>submission has interpreted this evidence as suggesting no longer-term worsening of schizophrenia symptoms, the evidence from these trials is more relevant to consideration of the use of cariprazine in the maintenance setting. Nonetheless, the absence of comparable endpoints on schizophrenia relapse or impending relapse mean that it was not possible to compare RGH-MD-11 and RGH-MD-17 with the other maintenance trials and they have been presented as relating to the acute setting.</w:t>
      </w:r>
    </w:p>
    <w:p w14:paraId="233BF66B" w14:textId="77777777" w:rsidR="00936AB1" w:rsidRPr="009C01D5" w:rsidRDefault="00936AB1" w:rsidP="00F4774B">
      <w:pPr>
        <w:pStyle w:val="TableFigureHeading"/>
        <w:jc w:val="both"/>
      </w:pPr>
      <w:bookmarkStart w:id="19" w:name="_Ref50100987"/>
      <w:r w:rsidRPr="009C01D5">
        <w:t>Table</w:t>
      </w:r>
      <w:bookmarkEnd w:id="19"/>
      <w:r w:rsidRPr="009C01D5">
        <w:t xml:space="preserve"> 5: Change in PANSS total score from baseline to 4 or 6 weeks in studies in acute exacerbations of schizophrenia – ITT population</w:t>
      </w:r>
    </w:p>
    <w:tbl>
      <w:tblPr>
        <w:tblW w:w="8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730"/>
        <w:gridCol w:w="1444"/>
        <w:gridCol w:w="1331"/>
        <w:gridCol w:w="1995"/>
        <w:gridCol w:w="944"/>
      </w:tblGrid>
      <w:tr w:rsidR="00936AB1" w:rsidRPr="009C01D5" w14:paraId="795F15D8" w14:textId="77777777" w:rsidTr="00FA4235">
        <w:trPr>
          <w:trHeight w:val="687"/>
          <w:tblHeader/>
        </w:trPr>
        <w:tc>
          <w:tcPr>
            <w:tcW w:w="2555" w:type="dxa"/>
            <w:tcBorders>
              <w:bottom w:val="single" w:sz="4" w:space="0" w:color="auto"/>
            </w:tcBorders>
            <w:shd w:val="clear" w:color="auto" w:fill="auto"/>
          </w:tcPr>
          <w:p w14:paraId="4E692F40" w14:textId="77777777" w:rsidR="00936AB1" w:rsidRPr="009C01D5" w:rsidRDefault="00936AB1" w:rsidP="00D4509B">
            <w:pPr>
              <w:pStyle w:val="TableTextleftalign"/>
              <w:widowControl w:val="0"/>
              <w:rPr>
                <w:rFonts w:ascii="Arial Narrow" w:hAnsi="Arial Narrow"/>
                <w:sz w:val="20"/>
                <w:szCs w:val="20"/>
              </w:rPr>
            </w:pPr>
          </w:p>
        </w:tc>
        <w:tc>
          <w:tcPr>
            <w:tcW w:w="730" w:type="dxa"/>
            <w:tcBorders>
              <w:bottom w:val="single" w:sz="4" w:space="0" w:color="auto"/>
            </w:tcBorders>
            <w:shd w:val="clear" w:color="auto" w:fill="auto"/>
          </w:tcPr>
          <w:p w14:paraId="344695EC" w14:textId="77777777" w:rsidR="00936AB1" w:rsidRPr="009C01D5" w:rsidRDefault="00936AB1" w:rsidP="00D4509B">
            <w:pPr>
              <w:pStyle w:val="TableTitlecentred"/>
              <w:widowControl w:val="0"/>
              <w:rPr>
                <w:rFonts w:ascii="Arial Narrow" w:hAnsi="Arial Narrow"/>
                <w:sz w:val="20"/>
              </w:rPr>
            </w:pPr>
            <w:r w:rsidRPr="009C01D5">
              <w:rPr>
                <w:rFonts w:ascii="Arial Narrow" w:hAnsi="Arial Narrow"/>
                <w:sz w:val="20"/>
              </w:rPr>
              <w:t>N</w:t>
            </w:r>
          </w:p>
        </w:tc>
        <w:tc>
          <w:tcPr>
            <w:tcW w:w="1444" w:type="dxa"/>
            <w:tcBorders>
              <w:bottom w:val="single" w:sz="4" w:space="0" w:color="auto"/>
            </w:tcBorders>
            <w:shd w:val="clear" w:color="auto" w:fill="auto"/>
          </w:tcPr>
          <w:p w14:paraId="12F25940" w14:textId="77777777" w:rsidR="00936AB1" w:rsidRPr="009C01D5" w:rsidRDefault="00936AB1" w:rsidP="00D4509B">
            <w:pPr>
              <w:pStyle w:val="TableTitlecentred"/>
              <w:widowControl w:val="0"/>
              <w:rPr>
                <w:rFonts w:ascii="Arial Narrow" w:hAnsi="Arial Narrow"/>
                <w:sz w:val="20"/>
              </w:rPr>
            </w:pPr>
            <w:r w:rsidRPr="009C01D5">
              <w:rPr>
                <w:rFonts w:ascii="Arial Narrow" w:hAnsi="Arial Narrow"/>
                <w:sz w:val="20"/>
              </w:rPr>
              <w:t>Baseline mean ± [SD] or (SE)</w:t>
            </w:r>
          </w:p>
        </w:tc>
        <w:tc>
          <w:tcPr>
            <w:tcW w:w="1331" w:type="dxa"/>
            <w:tcBorders>
              <w:bottom w:val="single" w:sz="4" w:space="0" w:color="auto"/>
            </w:tcBorders>
            <w:shd w:val="clear" w:color="auto" w:fill="auto"/>
          </w:tcPr>
          <w:p w14:paraId="7656AFE8" w14:textId="77777777" w:rsidR="00936AB1" w:rsidRPr="009C01D5" w:rsidRDefault="00936AB1" w:rsidP="00D4509B">
            <w:pPr>
              <w:pStyle w:val="TableTitlecentred"/>
              <w:widowControl w:val="0"/>
              <w:rPr>
                <w:rFonts w:ascii="Arial Narrow" w:hAnsi="Arial Narrow"/>
                <w:sz w:val="20"/>
              </w:rPr>
            </w:pPr>
            <w:r w:rsidRPr="009C01D5">
              <w:rPr>
                <w:rFonts w:ascii="Arial Narrow" w:hAnsi="Arial Narrow"/>
                <w:sz w:val="20"/>
              </w:rPr>
              <w:t>Change from baseline LS mean (SE)</w:t>
            </w:r>
          </w:p>
        </w:tc>
        <w:tc>
          <w:tcPr>
            <w:tcW w:w="1995" w:type="dxa"/>
            <w:tcBorders>
              <w:bottom w:val="single" w:sz="4" w:space="0" w:color="auto"/>
            </w:tcBorders>
            <w:shd w:val="clear" w:color="auto" w:fill="auto"/>
          </w:tcPr>
          <w:p w14:paraId="76A7584E" w14:textId="77777777" w:rsidR="00936AB1" w:rsidRPr="009C01D5" w:rsidRDefault="00936AB1" w:rsidP="00D4509B">
            <w:pPr>
              <w:pStyle w:val="TableTitlecentred"/>
              <w:widowControl w:val="0"/>
              <w:rPr>
                <w:rFonts w:ascii="Arial Narrow" w:hAnsi="Arial Narrow"/>
                <w:sz w:val="20"/>
              </w:rPr>
            </w:pPr>
            <w:r w:rsidRPr="009C01D5">
              <w:rPr>
                <w:rFonts w:ascii="Arial Narrow" w:hAnsi="Arial Narrow"/>
                <w:sz w:val="20"/>
              </w:rPr>
              <w:t>Difference vs placebo LSMD (95% CI)</w:t>
            </w:r>
          </w:p>
        </w:tc>
        <w:tc>
          <w:tcPr>
            <w:tcW w:w="944" w:type="dxa"/>
            <w:tcBorders>
              <w:bottom w:val="single" w:sz="4" w:space="0" w:color="auto"/>
            </w:tcBorders>
            <w:shd w:val="clear" w:color="auto" w:fill="auto"/>
          </w:tcPr>
          <w:p w14:paraId="0CF3A073" w14:textId="77777777" w:rsidR="00936AB1" w:rsidRPr="009C01D5" w:rsidRDefault="00936AB1" w:rsidP="00D4509B">
            <w:pPr>
              <w:pStyle w:val="TableTitlecentred"/>
              <w:widowControl w:val="0"/>
              <w:rPr>
                <w:rFonts w:ascii="Arial Narrow" w:hAnsi="Arial Narrow"/>
                <w:sz w:val="20"/>
              </w:rPr>
            </w:pPr>
            <w:r w:rsidRPr="009C01D5">
              <w:rPr>
                <w:rFonts w:ascii="Arial Narrow" w:hAnsi="Arial Narrow"/>
                <w:sz w:val="20"/>
              </w:rPr>
              <w:t>p-value</w:t>
            </w:r>
            <w:r w:rsidRPr="009C01D5">
              <w:rPr>
                <w:rFonts w:ascii="Arial Narrow" w:hAnsi="Arial Narrow"/>
                <w:sz w:val="20"/>
                <w:vertAlign w:val="superscript"/>
              </w:rPr>
              <w:t>1</w:t>
            </w:r>
          </w:p>
        </w:tc>
      </w:tr>
      <w:tr w:rsidR="00936AB1" w:rsidRPr="009C01D5" w14:paraId="0C2173CA"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4FD5F6E7"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Cariprazine</w:t>
            </w:r>
          </w:p>
        </w:tc>
        <w:tc>
          <w:tcPr>
            <w:tcW w:w="730" w:type="dxa"/>
            <w:tcBorders>
              <w:top w:val="single" w:sz="4" w:space="0" w:color="auto"/>
              <w:left w:val="nil"/>
              <w:bottom w:val="single" w:sz="4" w:space="0" w:color="auto"/>
              <w:right w:val="nil"/>
            </w:tcBorders>
            <w:shd w:val="clear" w:color="auto" w:fill="auto"/>
          </w:tcPr>
          <w:p w14:paraId="5E6DEA70" w14:textId="77777777" w:rsidR="00936AB1" w:rsidRPr="009C01D5" w:rsidRDefault="00936AB1" w:rsidP="00D4509B">
            <w:pPr>
              <w:pStyle w:val="TableTextcentred"/>
              <w:widowControl w:val="0"/>
              <w:rPr>
                <w:rFonts w:ascii="Arial Narrow" w:hAnsi="Arial Narrow"/>
                <w:b/>
                <w:sz w:val="20"/>
                <w:szCs w:val="20"/>
              </w:rPr>
            </w:pPr>
          </w:p>
        </w:tc>
        <w:tc>
          <w:tcPr>
            <w:tcW w:w="1444" w:type="dxa"/>
            <w:tcBorders>
              <w:top w:val="single" w:sz="4" w:space="0" w:color="auto"/>
              <w:left w:val="nil"/>
              <w:bottom w:val="single" w:sz="4" w:space="0" w:color="auto"/>
              <w:right w:val="nil"/>
            </w:tcBorders>
            <w:shd w:val="clear" w:color="auto" w:fill="auto"/>
          </w:tcPr>
          <w:p w14:paraId="39C7A175" w14:textId="77777777" w:rsidR="00936AB1" w:rsidRPr="009C01D5" w:rsidRDefault="00936AB1" w:rsidP="00D4509B">
            <w:pPr>
              <w:pStyle w:val="TableTextcentred"/>
              <w:widowControl w:val="0"/>
              <w:rPr>
                <w:rFonts w:ascii="Arial Narrow" w:hAnsi="Arial Narrow"/>
                <w:b/>
                <w:sz w:val="20"/>
                <w:szCs w:val="20"/>
              </w:rPr>
            </w:pPr>
          </w:p>
        </w:tc>
        <w:tc>
          <w:tcPr>
            <w:tcW w:w="1331" w:type="dxa"/>
            <w:tcBorders>
              <w:top w:val="single" w:sz="4" w:space="0" w:color="auto"/>
              <w:left w:val="nil"/>
              <w:bottom w:val="single" w:sz="4" w:space="0" w:color="auto"/>
              <w:right w:val="nil"/>
            </w:tcBorders>
            <w:shd w:val="clear" w:color="auto" w:fill="auto"/>
          </w:tcPr>
          <w:p w14:paraId="3A89C605" w14:textId="77777777" w:rsidR="00936AB1" w:rsidRPr="009C01D5" w:rsidRDefault="00936AB1" w:rsidP="00D4509B">
            <w:pPr>
              <w:pStyle w:val="TableTextcentred"/>
              <w:widowControl w:val="0"/>
              <w:rPr>
                <w:rFonts w:ascii="Arial Narrow" w:hAnsi="Arial Narrow"/>
                <w:b/>
                <w:sz w:val="20"/>
                <w:szCs w:val="20"/>
              </w:rPr>
            </w:pPr>
          </w:p>
        </w:tc>
        <w:tc>
          <w:tcPr>
            <w:tcW w:w="1995" w:type="dxa"/>
            <w:tcBorders>
              <w:top w:val="single" w:sz="4" w:space="0" w:color="auto"/>
              <w:left w:val="nil"/>
              <w:bottom w:val="single" w:sz="4" w:space="0" w:color="auto"/>
              <w:right w:val="nil"/>
            </w:tcBorders>
            <w:shd w:val="clear" w:color="auto" w:fill="auto"/>
          </w:tcPr>
          <w:p w14:paraId="527E705A" w14:textId="77777777" w:rsidR="00936AB1" w:rsidRPr="009C01D5" w:rsidRDefault="00936AB1" w:rsidP="00D4509B">
            <w:pPr>
              <w:pStyle w:val="TableTextcentred"/>
              <w:widowControl w:val="0"/>
              <w:rPr>
                <w:rFonts w:ascii="Arial Narrow" w:hAnsi="Arial Narrow"/>
                <w:b/>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57A911EC" w14:textId="77777777" w:rsidR="00936AB1" w:rsidRPr="009C01D5" w:rsidRDefault="00936AB1" w:rsidP="00D4509B">
            <w:pPr>
              <w:pStyle w:val="TableTextcentred"/>
              <w:widowControl w:val="0"/>
              <w:rPr>
                <w:rFonts w:ascii="Arial Narrow" w:hAnsi="Arial Narrow"/>
                <w:b/>
                <w:sz w:val="20"/>
                <w:szCs w:val="20"/>
              </w:rPr>
            </w:pPr>
          </w:p>
        </w:tc>
      </w:tr>
      <w:tr w:rsidR="00936AB1" w:rsidRPr="009C01D5" w14:paraId="00A4E9DC"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7A63B2D1"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RGH-MD-03 – MMRM</w:t>
            </w:r>
          </w:p>
        </w:tc>
        <w:tc>
          <w:tcPr>
            <w:tcW w:w="730" w:type="dxa"/>
            <w:tcBorders>
              <w:top w:val="single" w:sz="4" w:space="0" w:color="auto"/>
              <w:left w:val="nil"/>
              <w:bottom w:val="single" w:sz="4" w:space="0" w:color="auto"/>
              <w:right w:val="nil"/>
            </w:tcBorders>
            <w:shd w:val="clear" w:color="auto" w:fill="auto"/>
          </w:tcPr>
          <w:p w14:paraId="5DD00318"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1013A3A3"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5C79579D"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3623131A"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7AA0A9F4"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5ABF640A" w14:textId="77777777" w:rsidTr="00FA4235">
        <w:trPr>
          <w:trHeight w:val="234"/>
        </w:trPr>
        <w:tc>
          <w:tcPr>
            <w:tcW w:w="2555" w:type="dxa"/>
            <w:tcBorders>
              <w:top w:val="single" w:sz="4" w:space="0" w:color="auto"/>
            </w:tcBorders>
            <w:shd w:val="clear" w:color="auto" w:fill="auto"/>
          </w:tcPr>
          <w:p w14:paraId="51AC45E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5902BCD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126</w:t>
            </w:r>
          </w:p>
        </w:tc>
        <w:tc>
          <w:tcPr>
            <w:tcW w:w="1444" w:type="dxa"/>
            <w:tcBorders>
              <w:top w:val="single" w:sz="4" w:space="0" w:color="auto"/>
            </w:tcBorders>
            <w:shd w:val="clear" w:color="auto" w:fill="auto"/>
          </w:tcPr>
          <w:p w14:paraId="59131DB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94.1 [10.5]</w:t>
            </w:r>
          </w:p>
        </w:tc>
        <w:tc>
          <w:tcPr>
            <w:tcW w:w="1331" w:type="dxa"/>
            <w:tcBorders>
              <w:top w:val="single" w:sz="4" w:space="0" w:color="auto"/>
            </w:tcBorders>
            <w:shd w:val="clear" w:color="auto" w:fill="auto"/>
          </w:tcPr>
          <w:p w14:paraId="4D686D6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-13.00 (1.89)</w:t>
            </w:r>
          </w:p>
        </w:tc>
        <w:tc>
          <w:tcPr>
            <w:tcW w:w="1995" w:type="dxa"/>
            <w:tcBorders>
              <w:top w:val="single" w:sz="4" w:space="0" w:color="auto"/>
            </w:tcBorders>
            <w:shd w:val="clear" w:color="auto" w:fill="auto"/>
          </w:tcPr>
          <w:p w14:paraId="3A3A7D9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70F0A38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55E1C768" w14:textId="77777777" w:rsidTr="00FA4235">
        <w:trPr>
          <w:trHeight w:val="218"/>
        </w:trPr>
        <w:tc>
          <w:tcPr>
            <w:tcW w:w="2555" w:type="dxa"/>
            <w:shd w:val="clear" w:color="auto" w:fill="auto"/>
          </w:tcPr>
          <w:p w14:paraId="7B6DAB5F"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1.5–4.5 mg/day</w:t>
            </w:r>
          </w:p>
        </w:tc>
        <w:tc>
          <w:tcPr>
            <w:tcW w:w="730" w:type="dxa"/>
            <w:shd w:val="clear" w:color="auto" w:fill="auto"/>
          </w:tcPr>
          <w:p w14:paraId="3954504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122</w:t>
            </w:r>
          </w:p>
        </w:tc>
        <w:tc>
          <w:tcPr>
            <w:tcW w:w="1444" w:type="dxa"/>
            <w:shd w:val="clear" w:color="auto" w:fill="auto"/>
          </w:tcPr>
          <w:p w14:paraId="7297811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95.0 [10.7]</w:t>
            </w:r>
          </w:p>
        </w:tc>
        <w:tc>
          <w:tcPr>
            <w:tcW w:w="1331" w:type="dxa"/>
            <w:shd w:val="clear" w:color="auto" w:fill="auto"/>
          </w:tcPr>
          <w:p w14:paraId="3940210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-17.99 (1.92)</w:t>
            </w:r>
          </w:p>
        </w:tc>
        <w:tc>
          <w:tcPr>
            <w:tcW w:w="1995" w:type="dxa"/>
            <w:shd w:val="clear" w:color="auto" w:fill="auto"/>
          </w:tcPr>
          <w:p w14:paraId="6C3FE31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-4.99 (-10.27, 0.28)</w:t>
            </w:r>
          </w:p>
        </w:tc>
        <w:tc>
          <w:tcPr>
            <w:tcW w:w="944" w:type="dxa"/>
            <w:shd w:val="clear" w:color="auto" w:fill="auto"/>
          </w:tcPr>
          <w:p w14:paraId="69F778C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0.063</w:t>
            </w:r>
          </w:p>
        </w:tc>
      </w:tr>
      <w:tr w:rsidR="00936AB1" w:rsidRPr="009C01D5" w14:paraId="1FB8BEF0" w14:textId="77777777" w:rsidTr="00FA4235">
        <w:trPr>
          <w:trHeight w:val="218"/>
        </w:trPr>
        <w:tc>
          <w:tcPr>
            <w:tcW w:w="2555" w:type="dxa"/>
            <w:tcBorders>
              <w:bottom w:val="single" w:sz="4" w:space="0" w:color="auto"/>
            </w:tcBorders>
            <w:shd w:val="clear" w:color="auto" w:fill="auto"/>
          </w:tcPr>
          <w:p w14:paraId="51ABBB72"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6–12 mg/day</w:t>
            </w:r>
          </w:p>
        </w:tc>
        <w:tc>
          <w:tcPr>
            <w:tcW w:w="730" w:type="dxa"/>
            <w:tcBorders>
              <w:bottom w:val="single" w:sz="4" w:space="0" w:color="auto"/>
            </w:tcBorders>
            <w:shd w:val="clear" w:color="auto" w:fill="auto"/>
          </w:tcPr>
          <w:p w14:paraId="4442D60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129</w:t>
            </w:r>
          </w:p>
        </w:tc>
        <w:tc>
          <w:tcPr>
            <w:tcW w:w="1444" w:type="dxa"/>
            <w:tcBorders>
              <w:bottom w:val="single" w:sz="4" w:space="0" w:color="auto"/>
            </w:tcBorders>
            <w:shd w:val="clear" w:color="auto" w:fill="auto"/>
          </w:tcPr>
          <w:p w14:paraId="5319038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96.1 [11.4]</w:t>
            </w:r>
          </w:p>
        </w:tc>
        <w:tc>
          <w:tcPr>
            <w:tcW w:w="1331" w:type="dxa"/>
            <w:tcBorders>
              <w:bottom w:val="single" w:sz="4" w:space="0" w:color="auto"/>
            </w:tcBorders>
            <w:shd w:val="clear" w:color="auto" w:fill="auto"/>
          </w:tcPr>
          <w:p w14:paraId="01A88AF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-16.83 (1.89)</w:t>
            </w:r>
          </w:p>
        </w:tc>
        <w:tc>
          <w:tcPr>
            <w:tcW w:w="1995" w:type="dxa"/>
            <w:tcBorders>
              <w:bottom w:val="single" w:sz="4" w:space="0" w:color="auto"/>
            </w:tcBorders>
            <w:shd w:val="clear" w:color="auto" w:fill="auto"/>
          </w:tcPr>
          <w:p w14:paraId="39E6E49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-3.83 (-9.07, 1.40)</w:t>
            </w:r>
          </w:p>
        </w:tc>
        <w:tc>
          <w:tcPr>
            <w:tcW w:w="944" w:type="dxa"/>
            <w:tcBorders>
              <w:bottom w:val="single" w:sz="4" w:space="0" w:color="auto"/>
            </w:tcBorders>
            <w:shd w:val="clear" w:color="auto" w:fill="auto"/>
          </w:tcPr>
          <w:p w14:paraId="69DB5E2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0.151</w:t>
            </w:r>
          </w:p>
        </w:tc>
      </w:tr>
      <w:tr w:rsidR="00936AB1" w:rsidRPr="009C01D5" w14:paraId="1BAEA257"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0D81C7D2"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RGH-MD-03 – LOCF</w:t>
            </w:r>
          </w:p>
        </w:tc>
        <w:tc>
          <w:tcPr>
            <w:tcW w:w="730" w:type="dxa"/>
            <w:tcBorders>
              <w:top w:val="single" w:sz="4" w:space="0" w:color="auto"/>
              <w:left w:val="nil"/>
              <w:bottom w:val="single" w:sz="4" w:space="0" w:color="auto"/>
              <w:right w:val="nil"/>
            </w:tcBorders>
            <w:shd w:val="clear" w:color="auto" w:fill="auto"/>
          </w:tcPr>
          <w:p w14:paraId="46DB7378"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6BE99490"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7AF54D92"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2FADE495"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3D26FC6C"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7999DFD1" w14:textId="77777777" w:rsidTr="00FA4235">
        <w:trPr>
          <w:trHeight w:val="218"/>
        </w:trPr>
        <w:tc>
          <w:tcPr>
            <w:tcW w:w="2555" w:type="dxa"/>
            <w:tcBorders>
              <w:top w:val="single" w:sz="4" w:space="0" w:color="auto"/>
            </w:tcBorders>
            <w:shd w:val="clear" w:color="auto" w:fill="auto"/>
          </w:tcPr>
          <w:p w14:paraId="159694B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4CD2D67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126</w:t>
            </w:r>
          </w:p>
        </w:tc>
        <w:tc>
          <w:tcPr>
            <w:tcW w:w="1444" w:type="dxa"/>
            <w:tcBorders>
              <w:top w:val="single" w:sz="4" w:space="0" w:color="auto"/>
            </w:tcBorders>
            <w:shd w:val="clear" w:color="auto" w:fill="auto"/>
          </w:tcPr>
          <w:p w14:paraId="4F7970D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94.1 [10.5]</w:t>
            </w:r>
          </w:p>
        </w:tc>
        <w:tc>
          <w:tcPr>
            <w:tcW w:w="1331" w:type="dxa"/>
            <w:tcBorders>
              <w:top w:val="single" w:sz="4" w:space="0" w:color="auto"/>
            </w:tcBorders>
            <w:shd w:val="clear" w:color="auto" w:fill="auto"/>
          </w:tcPr>
          <w:p w14:paraId="00EB908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 (1.6)*</w:t>
            </w:r>
          </w:p>
        </w:tc>
        <w:tc>
          <w:tcPr>
            <w:tcW w:w="1995" w:type="dxa"/>
            <w:tcBorders>
              <w:top w:val="single" w:sz="4" w:space="0" w:color="auto"/>
            </w:tcBorders>
            <w:shd w:val="clear" w:color="auto" w:fill="auto"/>
          </w:tcPr>
          <w:p w14:paraId="68142E0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6936E27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0977B73F" w14:textId="77777777" w:rsidTr="00FA4235">
        <w:trPr>
          <w:trHeight w:val="218"/>
        </w:trPr>
        <w:tc>
          <w:tcPr>
            <w:tcW w:w="2555" w:type="dxa"/>
            <w:shd w:val="clear" w:color="auto" w:fill="auto"/>
          </w:tcPr>
          <w:p w14:paraId="1F2C3BC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1.5–4.5 mg/day</w:t>
            </w:r>
          </w:p>
        </w:tc>
        <w:tc>
          <w:tcPr>
            <w:tcW w:w="730" w:type="dxa"/>
            <w:shd w:val="clear" w:color="auto" w:fill="auto"/>
          </w:tcPr>
          <w:p w14:paraId="7EFF107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122</w:t>
            </w:r>
          </w:p>
        </w:tc>
        <w:tc>
          <w:tcPr>
            <w:tcW w:w="1444" w:type="dxa"/>
            <w:shd w:val="clear" w:color="auto" w:fill="auto"/>
          </w:tcPr>
          <w:p w14:paraId="1A26D19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95.0 [10.7]</w:t>
            </w:r>
          </w:p>
        </w:tc>
        <w:tc>
          <w:tcPr>
            <w:tcW w:w="1331" w:type="dxa"/>
            <w:shd w:val="clear" w:color="auto" w:fill="auto"/>
          </w:tcPr>
          <w:p w14:paraId="5E44329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 (1.6)*</w:t>
            </w:r>
          </w:p>
        </w:tc>
        <w:tc>
          <w:tcPr>
            <w:tcW w:w="1995" w:type="dxa"/>
            <w:shd w:val="clear" w:color="auto" w:fill="auto"/>
          </w:tcPr>
          <w:p w14:paraId="79560B1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-4.8 (-9.2, -0.4)</w:t>
            </w:r>
          </w:p>
        </w:tc>
        <w:tc>
          <w:tcPr>
            <w:tcW w:w="944" w:type="dxa"/>
            <w:shd w:val="clear" w:color="auto" w:fill="auto"/>
          </w:tcPr>
          <w:p w14:paraId="74F5818B"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0.0333</w:t>
            </w:r>
            <w:r w:rsidRPr="009C01D5">
              <w:rPr>
                <w:rFonts w:ascii="Arial Narrow" w:hAnsi="Arial Narrow"/>
                <w:b/>
                <w:sz w:val="20"/>
                <w:szCs w:val="20"/>
                <w:vertAlign w:val="superscript"/>
              </w:rPr>
              <w:t>2</w:t>
            </w:r>
          </w:p>
        </w:tc>
      </w:tr>
      <w:tr w:rsidR="00936AB1" w:rsidRPr="009C01D5" w14:paraId="42B4BA8E" w14:textId="77777777" w:rsidTr="00FA4235">
        <w:trPr>
          <w:trHeight w:val="218"/>
        </w:trPr>
        <w:tc>
          <w:tcPr>
            <w:tcW w:w="2555" w:type="dxa"/>
            <w:tcBorders>
              <w:bottom w:val="single" w:sz="4" w:space="0" w:color="auto"/>
            </w:tcBorders>
            <w:shd w:val="clear" w:color="auto" w:fill="auto"/>
          </w:tcPr>
          <w:p w14:paraId="50BDA834"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6–12 mg/day</w:t>
            </w:r>
          </w:p>
        </w:tc>
        <w:tc>
          <w:tcPr>
            <w:tcW w:w="730" w:type="dxa"/>
            <w:tcBorders>
              <w:bottom w:val="single" w:sz="4" w:space="0" w:color="auto"/>
            </w:tcBorders>
            <w:shd w:val="clear" w:color="auto" w:fill="auto"/>
          </w:tcPr>
          <w:p w14:paraId="16EAB53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129</w:t>
            </w:r>
          </w:p>
        </w:tc>
        <w:tc>
          <w:tcPr>
            <w:tcW w:w="1444" w:type="dxa"/>
            <w:tcBorders>
              <w:bottom w:val="single" w:sz="4" w:space="0" w:color="auto"/>
            </w:tcBorders>
            <w:shd w:val="clear" w:color="auto" w:fill="auto"/>
          </w:tcPr>
          <w:p w14:paraId="453624F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96.1 [11.4]</w:t>
            </w:r>
          </w:p>
        </w:tc>
        <w:tc>
          <w:tcPr>
            <w:tcW w:w="1331" w:type="dxa"/>
            <w:tcBorders>
              <w:bottom w:val="single" w:sz="4" w:space="0" w:color="auto"/>
            </w:tcBorders>
            <w:shd w:val="clear" w:color="auto" w:fill="auto"/>
          </w:tcPr>
          <w:p w14:paraId="4935F85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-12.6 (1.6)*</w:t>
            </w:r>
          </w:p>
        </w:tc>
        <w:tc>
          <w:tcPr>
            <w:tcW w:w="1995" w:type="dxa"/>
            <w:tcBorders>
              <w:bottom w:val="single" w:sz="4" w:space="0" w:color="auto"/>
            </w:tcBorders>
            <w:shd w:val="clear" w:color="auto" w:fill="auto"/>
          </w:tcPr>
          <w:p w14:paraId="36851A2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-2.9 (-7.2, 1.5)</w:t>
            </w:r>
          </w:p>
        </w:tc>
        <w:tc>
          <w:tcPr>
            <w:tcW w:w="944" w:type="dxa"/>
            <w:tcBorders>
              <w:bottom w:val="single" w:sz="4" w:space="0" w:color="auto"/>
            </w:tcBorders>
            <w:shd w:val="clear" w:color="auto" w:fill="auto"/>
          </w:tcPr>
          <w:p w14:paraId="2B49A11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0.1947</w:t>
            </w:r>
            <w:r w:rsidRPr="009C01D5">
              <w:rPr>
                <w:rFonts w:ascii="Arial Narrow" w:hAnsi="Arial Narrow"/>
                <w:sz w:val="20"/>
                <w:szCs w:val="20"/>
                <w:vertAlign w:val="superscript"/>
              </w:rPr>
              <w:t>2</w:t>
            </w:r>
          </w:p>
        </w:tc>
      </w:tr>
      <w:tr w:rsidR="00936AB1" w:rsidRPr="009C01D5" w14:paraId="75C44641"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2A65A7F6"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RGH-MD-04 – MMRM</w:t>
            </w:r>
          </w:p>
        </w:tc>
        <w:tc>
          <w:tcPr>
            <w:tcW w:w="730" w:type="dxa"/>
            <w:tcBorders>
              <w:top w:val="single" w:sz="4" w:space="0" w:color="auto"/>
              <w:left w:val="nil"/>
              <w:bottom w:val="single" w:sz="4" w:space="0" w:color="auto"/>
              <w:right w:val="nil"/>
            </w:tcBorders>
            <w:shd w:val="clear" w:color="auto" w:fill="auto"/>
          </w:tcPr>
          <w:p w14:paraId="18E9620F"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4C639D2F"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2491F5B5"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0E8BEE3C"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293F203B"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261E09C4" w14:textId="77777777" w:rsidTr="00FA4235">
        <w:trPr>
          <w:trHeight w:val="218"/>
        </w:trPr>
        <w:tc>
          <w:tcPr>
            <w:tcW w:w="2555" w:type="dxa"/>
            <w:tcBorders>
              <w:top w:val="single" w:sz="4" w:space="0" w:color="auto"/>
            </w:tcBorders>
            <w:shd w:val="clear" w:color="auto" w:fill="auto"/>
          </w:tcPr>
          <w:p w14:paraId="05C82F1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6BC43CF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149</w:t>
            </w:r>
          </w:p>
        </w:tc>
        <w:tc>
          <w:tcPr>
            <w:tcW w:w="1444" w:type="dxa"/>
            <w:tcBorders>
              <w:top w:val="single" w:sz="4" w:space="0" w:color="auto"/>
            </w:tcBorders>
            <w:shd w:val="clear" w:color="auto" w:fill="auto"/>
          </w:tcPr>
          <w:p w14:paraId="6264540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96.5 [9.1]</w:t>
            </w:r>
          </w:p>
        </w:tc>
        <w:tc>
          <w:tcPr>
            <w:tcW w:w="1331" w:type="dxa"/>
            <w:tcBorders>
              <w:top w:val="single" w:sz="4" w:space="0" w:color="auto"/>
            </w:tcBorders>
            <w:shd w:val="clear" w:color="auto" w:fill="auto"/>
          </w:tcPr>
          <w:p w14:paraId="3DF891A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-14.3 (1.5)</w:t>
            </w:r>
          </w:p>
        </w:tc>
        <w:tc>
          <w:tcPr>
            <w:tcW w:w="1995" w:type="dxa"/>
            <w:tcBorders>
              <w:top w:val="single" w:sz="4" w:space="0" w:color="auto"/>
            </w:tcBorders>
            <w:shd w:val="clear" w:color="auto" w:fill="auto"/>
          </w:tcPr>
          <w:p w14:paraId="03F83F8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65A92C8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09CC2241" w14:textId="77777777" w:rsidTr="00FA4235">
        <w:trPr>
          <w:trHeight w:val="218"/>
        </w:trPr>
        <w:tc>
          <w:tcPr>
            <w:tcW w:w="2555" w:type="dxa"/>
            <w:shd w:val="clear" w:color="auto" w:fill="auto"/>
          </w:tcPr>
          <w:p w14:paraId="69696C0F"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 mg/day</w:t>
            </w:r>
          </w:p>
        </w:tc>
        <w:tc>
          <w:tcPr>
            <w:tcW w:w="730" w:type="dxa"/>
            <w:shd w:val="clear" w:color="auto" w:fill="auto"/>
          </w:tcPr>
          <w:p w14:paraId="0C635CB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151</w:t>
            </w:r>
          </w:p>
        </w:tc>
        <w:tc>
          <w:tcPr>
            <w:tcW w:w="1444" w:type="dxa"/>
            <w:shd w:val="clear" w:color="auto" w:fill="auto"/>
          </w:tcPr>
          <w:p w14:paraId="5AE85CC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96.1 [8.7]</w:t>
            </w:r>
          </w:p>
        </w:tc>
        <w:tc>
          <w:tcPr>
            <w:tcW w:w="1331" w:type="dxa"/>
            <w:shd w:val="clear" w:color="auto" w:fill="auto"/>
          </w:tcPr>
          <w:p w14:paraId="1F3B192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-20.2 (1.5)</w:t>
            </w:r>
          </w:p>
        </w:tc>
        <w:tc>
          <w:tcPr>
            <w:tcW w:w="1995" w:type="dxa"/>
            <w:shd w:val="clear" w:color="auto" w:fill="auto"/>
          </w:tcPr>
          <w:p w14:paraId="3940BA1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-6.0 (-10.1, -1.9)</w:t>
            </w:r>
          </w:p>
        </w:tc>
        <w:tc>
          <w:tcPr>
            <w:tcW w:w="944" w:type="dxa"/>
            <w:shd w:val="clear" w:color="auto" w:fill="auto"/>
          </w:tcPr>
          <w:p w14:paraId="0330FFA6"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0.0044</w:t>
            </w:r>
          </w:p>
        </w:tc>
      </w:tr>
      <w:tr w:rsidR="00936AB1" w:rsidRPr="009C01D5" w14:paraId="562C20C5" w14:textId="77777777" w:rsidTr="00FA4235">
        <w:trPr>
          <w:trHeight w:val="234"/>
        </w:trPr>
        <w:tc>
          <w:tcPr>
            <w:tcW w:w="2555" w:type="dxa"/>
            <w:shd w:val="clear" w:color="auto" w:fill="auto"/>
          </w:tcPr>
          <w:p w14:paraId="774ACBC3"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 mg/day</w:t>
            </w:r>
          </w:p>
        </w:tc>
        <w:tc>
          <w:tcPr>
            <w:tcW w:w="730" w:type="dxa"/>
            <w:shd w:val="clear" w:color="auto" w:fill="auto"/>
          </w:tcPr>
          <w:p w14:paraId="0B77F8D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154</w:t>
            </w:r>
          </w:p>
        </w:tc>
        <w:tc>
          <w:tcPr>
            <w:tcW w:w="1444" w:type="dxa"/>
            <w:shd w:val="clear" w:color="auto" w:fill="auto"/>
          </w:tcPr>
          <w:p w14:paraId="1492D26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95.7 [9.4]</w:t>
            </w:r>
          </w:p>
        </w:tc>
        <w:tc>
          <w:tcPr>
            <w:tcW w:w="1331" w:type="dxa"/>
            <w:shd w:val="clear" w:color="auto" w:fill="auto"/>
          </w:tcPr>
          <w:p w14:paraId="5F9DD7D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-23.0 (1.5)</w:t>
            </w:r>
          </w:p>
        </w:tc>
        <w:tc>
          <w:tcPr>
            <w:tcW w:w="1995" w:type="dxa"/>
            <w:shd w:val="clear" w:color="auto" w:fill="auto"/>
          </w:tcPr>
          <w:p w14:paraId="456F001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-8.8 (-12.9, -4.7)</w:t>
            </w:r>
          </w:p>
        </w:tc>
        <w:tc>
          <w:tcPr>
            <w:tcW w:w="944" w:type="dxa"/>
            <w:shd w:val="clear" w:color="auto" w:fill="auto"/>
          </w:tcPr>
          <w:p w14:paraId="4E636525"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475AB018" w14:textId="77777777" w:rsidTr="00FA4235">
        <w:trPr>
          <w:trHeight w:val="218"/>
        </w:trPr>
        <w:tc>
          <w:tcPr>
            <w:tcW w:w="2555" w:type="dxa"/>
            <w:tcBorders>
              <w:bottom w:val="single" w:sz="4" w:space="0" w:color="auto"/>
            </w:tcBorders>
            <w:shd w:val="clear" w:color="auto" w:fill="auto"/>
          </w:tcPr>
          <w:p w14:paraId="75F207B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10 mg/day</w:t>
            </w:r>
          </w:p>
        </w:tc>
        <w:tc>
          <w:tcPr>
            <w:tcW w:w="730" w:type="dxa"/>
            <w:tcBorders>
              <w:bottom w:val="single" w:sz="4" w:space="0" w:color="auto"/>
            </w:tcBorders>
            <w:shd w:val="clear" w:color="auto" w:fill="auto"/>
          </w:tcPr>
          <w:p w14:paraId="611F1C1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150</w:t>
            </w:r>
          </w:p>
        </w:tc>
        <w:tc>
          <w:tcPr>
            <w:tcW w:w="1444" w:type="dxa"/>
            <w:tcBorders>
              <w:bottom w:val="single" w:sz="4" w:space="0" w:color="auto"/>
            </w:tcBorders>
            <w:shd w:val="clear" w:color="auto" w:fill="auto"/>
          </w:tcPr>
          <w:p w14:paraId="0185C77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95.6 [9.0]</w:t>
            </w:r>
          </w:p>
        </w:tc>
        <w:tc>
          <w:tcPr>
            <w:tcW w:w="1331" w:type="dxa"/>
            <w:tcBorders>
              <w:bottom w:val="single" w:sz="4" w:space="0" w:color="auto"/>
            </w:tcBorders>
            <w:shd w:val="clear" w:color="auto" w:fill="auto"/>
          </w:tcPr>
          <w:p w14:paraId="04421F0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-21.2 (1.4)</w:t>
            </w:r>
          </w:p>
        </w:tc>
        <w:tc>
          <w:tcPr>
            <w:tcW w:w="1995" w:type="dxa"/>
            <w:tcBorders>
              <w:bottom w:val="single" w:sz="4" w:space="0" w:color="auto"/>
            </w:tcBorders>
            <w:shd w:val="clear" w:color="auto" w:fill="auto"/>
          </w:tcPr>
          <w:p w14:paraId="77AC767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-7.0 (-11.0, -2.9)</w:t>
            </w:r>
          </w:p>
        </w:tc>
        <w:tc>
          <w:tcPr>
            <w:tcW w:w="944" w:type="dxa"/>
            <w:tcBorders>
              <w:bottom w:val="single" w:sz="4" w:space="0" w:color="auto"/>
            </w:tcBorders>
            <w:shd w:val="clear" w:color="auto" w:fill="auto"/>
          </w:tcPr>
          <w:p w14:paraId="2E49269A"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0.0008</w:t>
            </w:r>
          </w:p>
        </w:tc>
      </w:tr>
      <w:tr w:rsidR="00936AB1" w:rsidRPr="009C01D5" w14:paraId="12E81343"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7D2273DD"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RGH-MD-04 – LOCF</w:t>
            </w:r>
          </w:p>
        </w:tc>
        <w:tc>
          <w:tcPr>
            <w:tcW w:w="730" w:type="dxa"/>
            <w:tcBorders>
              <w:top w:val="single" w:sz="4" w:space="0" w:color="auto"/>
              <w:left w:val="nil"/>
              <w:bottom w:val="single" w:sz="4" w:space="0" w:color="auto"/>
              <w:right w:val="nil"/>
            </w:tcBorders>
            <w:shd w:val="clear" w:color="auto" w:fill="auto"/>
          </w:tcPr>
          <w:p w14:paraId="2DC3DBC0"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4DD20EF8"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0E951F1B"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09D70E94"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1A56E6FC"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35C89FA8" w14:textId="77777777" w:rsidTr="00FA4235">
        <w:trPr>
          <w:trHeight w:val="234"/>
        </w:trPr>
        <w:tc>
          <w:tcPr>
            <w:tcW w:w="2555" w:type="dxa"/>
            <w:tcBorders>
              <w:top w:val="single" w:sz="4" w:space="0" w:color="auto"/>
            </w:tcBorders>
            <w:shd w:val="clear" w:color="auto" w:fill="auto"/>
          </w:tcPr>
          <w:p w14:paraId="6C37B047"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2F7283D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149</w:t>
            </w:r>
          </w:p>
        </w:tc>
        <w:tc>
          <w:tcPr>
            <w:tcW w:w="1444" w:type="dxa"/>
            <w:tcBorders>
              <w:top w:val="single" w:sz="4" w:space="0" w:color="auto"/>
            </w:tcBorders>
            <w:shd w:val="clear" w:color="auto" w:fill="auto"/>
          </w:tcPr>
          <w:p w14:paraId="57378B5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96.5 [9.1]</w:t>
            </w:r>
          </w:p>
        </w:tc>
        <w:tc>
          <w:tcPr>
            <w:tcW w:w="1331" w:type="dxa"/>
            <w:tcBorders>
              <w:top w:val="single" w:sz="4" w:space="0" w:color="auto"/>
            </w:tcBorders>
            <w:shd w:val="clear" w:color="auto" w:fill="auto"/>
          </w:tcPr>
          <w:p w14:paraId="08E88A9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-11.0 (1.4)</w:t>
            </w:r>
          </w:p>
        </w:tc>
        <w:tc>
          <w:tcPr>
            <w:tcW w:w="1995" w:type="dxa"/>
            <w:tcBorders>
              <w:top w:val="single" w:sz="4" w:space="0" w:color="auto"/>
            </w:tcBorders>
            <w:shd w:val="clear" w:color="auto" w:fill="auto"/>
          </w:tcPr>
          <w:p w14:paraId="5C1915A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4961536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5FB58691" w14:textId="77777777" w:rsidTr="00FA4235">
        <w:trPr>
          <w:trHeight w:val="218"/>
        </w:trPr>
        <w:tc>
          <w:tcPr>
            <w:tcW w:w="2555" w:type="dxa"/>
            <w:shd w:val="clear" w:color="auto" w:fill="auto"/>
          </w:tcPr>
          <w:p w14:paraId="6CA1CDB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 mg/day</w:t>
            </w:r>
          </w:p>
        </w:tc>
        <w:tc>
          <w:tcPr>
            <w:tcW w:w="730" w:type="dxa"/>
            <w:shd w:val="clear" w:color="auto" w:fill="auto"/>
          </w:tcPr>
          <w:p w14:paraId="165CDB1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151</w:t>
            </w:r>
          </w:p>
        </w:tc>
        <w:tc>
          <w:tcPr>
            <w:tcW w:w="1444" w:type="dxa"/>
            <w:shd w:val="clear" w:color="auto" w:fill="auto"/>
          </w:tcPr>
          <w:p w14:paraId="034DC87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96.1 [8.7]</w:t>
            </w:r>
          </w:p>
        </w:tc>
        <w:tc>
          <w:tcPr>
            <w:tcW w:w="1331" w:type="dxa"/>
            <w:shd w:val="clear" w:color="auto" w:fill="auto"/>
          </w:tcPr>
          <w:p w14:paraId="5A103F2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-16.4 (1.4)</w:t>
            </w:r>
          </w:p>
        </w:tc>
        <w:tc>
          <w:tcPr>
            <w:tcW w:w="1995" w:type="dxa"/>
            <w:shd w:val="clear" w:color="auto" w:fill="auto"/>
          </w:tcPr>
          <w:p w14:paraId="3C54287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 xml:space="preserve">-5.4 (-9.3, -1.4) </w:t>
            </w:r>
          </w:p>
        </w:tc>
        <w:tc>
          <w:tcPr>
            <w:tcW w:w="944" w:type="dxa"/>
            <w:shd w:val="clear" w:color="auto" w:fill="auto"/>
          </w:tcPr>
          <w:p w14:paraId="03A157E4"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0.0078</w:t>
            </w:r>
          </w:p>
        </w:tc>
      </w:tr>
      <w:tr w:rsidR="00936AB1" w:rsidRPr="009C01D5" w14:paraId="3F1BA211" w14:textId="77777777" w:rsidTr="00FA4235">
        <w:trPr>
          <w:trHeight w:val="218"/>
        </w:trPr>
        <w:tc>
          <w:tcPr>
            <w:tcW w:w="2555" w:type="dxa"/>
            <w:shd w:val="clear" w:color="auto" w:fill="auto"/>
          </w:tcPr>
          <w:p w14:paraId="51F8401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 mg/day</w:t>
            </w:r>
          </w:p>
        </w:tc>
        <w:tc>
          <w:tcPr>
            <w:tcW w:w="730" w:type="dxa"/>
            <w:shd w:val="clear" w:color="auto" w:fill="auto"/>
          </w:tcPr>
          <w:p w14:paraId="3BC097C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154</w:t>
            </w:r>
          </w:p>
        </w:tc>
        <w:tc>
          <w:tcPr>
            <w:tcW w:w="1444" w:type="dxa"/>
            <w:shd w:val="clear" w:color="auto" w:fill="auto"/>
          </w:tcPr>
          <w:p w14:paraId="668AFE0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95.7 [9.4]</w:t>
            </w:r>
          </w:p>
        </w:tc>
        <w:tc>
          <w:tcPr>
            <w:tcW w:w="1331" w:type="dxa"/>
            <w:shd w:val="clear" w:color="auto" w:fill="auto"/>
          </w:tcPr>
          <w:p w14:paraId="7D3FA1B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-18.9 (1.4)</w:t>
            </w:r>
          </w:p>
        </w:tc>
        <w:tc>
          <w:tcPr>
            <w:tcW w:w="1995" w:type="dxa"/>
            <w:shd w:val="clear" w:color="auto" w:fill="auto"/>
          </w:tcPr>
          <w:p w14:paraId="0D2ACCA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-7.9 (-11.8, -4.0)</w:t>
            </w:r>
          </w:p>
        </w:tc>
        <w:tc>
          <w:tcPr>
            <w:tcW w:w="944" w:type="dxa"/>
            <w:shd w:val="clear" w:color="auto" w:fill="auto"/>
          </w:tcPr>
          <w:p w14:paraId="3DFA1C4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365EDC76" w14:textId="77777777" w:rsidTr="00FA4235">
        <w:trPr>
          <w:trHeight w:val="234"/>
        </w:trPr>
        <w:tc>
          <w:tcPr>
            <w:tcW w:w="2555" w:type="dxa"/>
            <w:tcBorders>
              <w:bottom w:val="single" w:sz="4" w:space="0" w:color="auto"/>
            </w:tcBorders>
            <w:shd w:val="clear" w:color="auto" w:fill="auto"/>
          </w:tcPr>
          <w:p w14:paraId="22252A96"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10 mg/day</w:t>
            </w:r>
          </w:p>
        </w:tc>
        <w:tc>
          <w:tcPr>
            <w:tcW w:w="730" w:type="dxa"/>
            <w:tcBorders>
              <w:bottom w:val="single" w:sz="4" w:space="0" w:color="auto"/>
            </w:tcBorders>
            <w:shd w:val="clear" w:color="auto" w:fill="auto"/>
          </w:tcPr>
          <w:p w14:paraId="06DF901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150</w:t>
            </w:r>
          </w:p>
        </w:tc>
        <w:tc>
          <w:tcPr>
            <w:tcW w:w="1444" w:type="dxa"/>
            <w:tcBorders>
              <w:bottom w:val="single" w:sz="4" w:space="0" w:color="auto"/>
            </w:tcBorders>
            <w:shd w:val="clear" w:color="auto" w:fill="auto"/>
          </w:tcPr>
          <w:p w14:paraId="49A8774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95.6 [9.0]</w:t>
            </w:r>
          </w:p>
        </w:tc>
        <w:tc>
          <w:tcPr>
            <w:tcW w:w="1331" w:type="dxa"/>
            <w:tcBorders>
              <w:bottom w:val="single" w:sz="4" w:space="0" w:color="auto"/>
            </w:tcBorders>
            <w:shd w:val="clear" w:color="auto" w:fill="auto"/>
          </w:tcPr>
          <w:p w14:paraId="5EF501A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-18.8 (1.4)</w:t>
            </w:r>
          </w:p>
        </w:tc>
        <w:tc>
          <w:tcPr>
            <w:tcW w:w="1995" w:type="dxa"/>
            <w:tcBorders>
              <w:bottom w:val="single" w:sz="4" w:space="0" w:color="auto"/>
            </w:tcBorders>
            <w:shd w:val="clear" w:color="auto" w:fill="auto"/>
          </w:tcPr>
          <w:p w14:paraId="784E926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-7.7 (-11.7, -3.8)</w:t>
            </w:r>
          </w:p>
        </w:tc>
        <w:tc>
          <w:tcPr>
            <w:tcW w:w="944" w:type="dxa"/>
            <w:tcBorders>
              <w:bottom w:val="single" w:sz="4" w:space="0" w:color="auto"/>
            </w:tcBorders>
            <w:shd w:val="clear" w:color="auto" w:fill="auto"/>
          </w:tcPr>
          <w:p w14:paraId="79546976"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0.0001</w:t>
            </w:r>
          </w:p>
        </w:tc>
      </w:tr>
      <w:tr w:rsidR="00936AB1" w:rsidRPr="009C01D5" w14:paraId="39E80AF2"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703C79CC"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RGH-MD-05 – MMRM</w:t>
            </w:r>
          </w:p>
        </w:tc>
        <w:tc>
          <w:tcPr>
            <w:tcW w:w="730" w:type="dxa"/>
            <w:tcBorders>
              <w:top w:val="single" w:sz="4" w:space="0" w:color="auto"/>
              <w:left w:val="nil"/>
              <w:bottom w:val="single" w:sz="4" w:space="0" w:color="auto"/>
              <w:right w:val="nil"/>
            </w:tcBorders>
            <w:shd w:val="clear" w:color="auto" w:fill="auto"/>
          </w:tcPr>
          <w:p w14:paraId="5B198CA1"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7E34F0B3"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5002F8AA"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1D0A727E"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34D7125B"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3A7D7B65" w14:textId="77777777" w:rsidTr="00FA4235">
        <w:trPr>
          <w:trHeight w:val="218"/>
        </w:trPr>
        <w:tc>
          <w:tcPr>
            <w:tcW w:w="2555" w:type="dxa"/>
            <w:tcBorders>
              <w:top w:val="single" w:sz="4" w:space="0" w:color="auto"/>
            </w:tcBorders>
            <w:shd w:val="clear" w:color="auto" w:fill="auto"/>
          </w:tcPr>
          <w:p w14:paraId="15F8B03F"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008E1B8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w:t>
            </w:r>
          </w:p>
        </w:tc>
        <w:tc>
          <w:tcPr>
            <w:tcW w:w="1444" w:type="dxa"/>
            <w:tcBorders>
              <w:top w:val="single" w:sz="4" w:space="0" w:color="auto"/>
            </w:tcBorders>
            <w:shd w:val="clear" w:color="auto" w:fill="auto"/>
          </w:tcPr>
          <w:p w14:paraId="66C3F90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96.6 [9.3]</w:t>
            </w:r>
          </w:p>
        </w:tc>
        <w:tc>
          <w:tcPr>
            <w:tcW w:w="1331" w:type="dxa"/>
            <w:tcBorders>
              <w:top w:val="single" w:sz="4" w:space="0" w:color="auto"/>
            </w:tcBorders>
            <w:shd w:val="clear" w:color="auto" w:fill="auto"/>
          </w:tcPr>
          <w:p w14:paraId="0735E86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-16.0 (1.6)</w:t>
            </w:r>
          </w:p>
        </w:tc>
        <w:tc>
          <w:tcPr>
            <w:tcW w:w="1995" w:type="dxa"/>
            <w:tcBorders>
              <w:top w:val="single" w:sz="4" w:space="0" w:color="auto"/>
            </w:tcBorders>
            <w:shd w:val="clear" w:color="auto" w:fill="auto"/>
          </w:tcPr>
          <w:p w14:paraId="3A21685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2EACE94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6F3A7DE6" w14:textId="77777777" w:rsidTr="00FA4235">
        <w:trPr>
          <w:trHeight w:val="218"/>
        </w:trPr>
        <w:tc>
          <w:tcPr>
            <w:tcW w:w="2555" w:type="dxa"/>
            <w:shd w:val="clear" w:color="auto" w:fill="auto"/>
          </w:tcPr>
          <w:p w14:paraId="7AF3932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3–6 mg/day</w:t>
            </w:r>
          </w:p>
        </w:tc>
        <w:tc>
          <w:tcPr>
            <w:tcW w:w="730" w:type="dxa"/>
            <w:shd w:val="clear" w:color="auto" w:fill="auto"/>
          </w:tcPr>
          <w:p w14:paraId="6D621C1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147</w:t>
            </w:r>
          </w:p>
        </w:tc>
        <w:tc>
          <w:tcPr>
            <w:tcW w:w="1444" w:type="dxa"/>
            <w:shd w:val="clear" w:color="auto" w:fill="auto"/>
          </w:tcPr>
          <w:p w14:paraId="67DD344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96.3 [9.3]</w:t>
            </w:r>
          </w:p>
        </w:tc>
        <w:tc>
          <w:tcPr>
            <w:tcW w:w="1331" w:type="dxa"/>
            <w:shd w:val="clear" w:color="auto" w:fill="auto"/>
          </w:tcPr>
          <w:p w14:paraId="2C2AE34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-22.8 (1.6)</w:t>
            </w:r>
          </w:p>
        </w:tc>
        <w:tc>
          <w:tcPr>
            <w:tcW w:w="1995" w:type="dxa"/>
            <w:shd w:val="clear" w:color="auto" w:fill="auto"/>
          </w:tcPr>
          <w:p w14:paraId="045EEF9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-6.8 (-11.3, -2.4)</w:t>
            </w:r>
          </w:p>
        </w:tc>
        <w:tc>
          <w:tcPr>
            <w:tcW w:w="944" w:type="dxa"/>
            <w:shd w:val="clear" w:color="auto" w:fill="auto"/>
          </w:tcPr>
          <w:p w14:paraId="49196B69"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0.0029</w:t>
            </w:r>
          </w:p>
        </w:tc>
      </w:tr>
      <w:tr w:rsidR="00936AB1" w:rsidRPr="009C01D5" w14:paraId="78CB98DF" w14:textId="77777777" w:rsidTr="00FA4235">
        <w:trPr>
          <w:trHeight w:val="234"/>
        </w:trPr>
        <w:tc>
          <w:tcPr>
            <w:tcW w:w="2555" w:type="dxa"/>
            <w:tcBorders>
              <w:bottom w:val="single" w:sz="4" w:space="0" w:color="auto"/>
            </w:tcBorders>
            <w:shd w:val="clear" w:color="auto" w:fill="auto"/>
          </w:tcPr>
          <w:p w14:paraId="31FCC9D5"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6–9 mg/day</w:t>
            </w:r>
          </w:p>
        </w:tc>
        <w:tc>
          <w:tcPr>
            <w:tcW w:w="730" w:type="dxa"/>
            <w:tcBorders>
              <w:bottom w:val="single" w:sz="4" w:space="0" w:color="auto"/>
            </w:tcBorders>
            <w:shd w:val="clear" w:color="auto" w:fill="auto"/>
          </w:tcPr>
          <w:p w14:paraId="49D7ABC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147</w:t>
            </w:r>
          </w:p>
        </w:tc>
        <w:tc>
          <w:tcPr>
            <w:tcW w:w="1444" w:type="dxa"/>
            <w:tcBorders>
              <w:bottom w:val="single" w:sz="4" w:space="0" w:color="auto"/>
            </w:tcBorders>
            <w:shd w:val="clear" w:color="auto" w:fill="auto"/>
          </w:tcPr>
          <w:p w14:paraId="71E68C8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96.3 [9.0]</w:t>
            </w:r>
          </w:p>
        </w:tc>
        <w:tc>
          <w:tcPr>
            <w:tcW w:w="1331" w:type="dxa"/>
            <w:tcBorders>
              <w:bottom w:val="single" w:sz="4" w:space="0" w:color="auto"/>
            </w:tcBorders>
            <w:shd w:val="clear" w:color="auto" w:fill="auto"/>
          </w:tcPr>
          <w:p w14:paraId="34A9BB3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-25.9 (1.7)</w:t>
            </w:r>
          </w:p>
        </w:tc>
        <w:tc>
          <w:tcPr>
            <w:tcW w:w="1995" w:type="dxa"/>
            <w:tcBorders>
              <w:bottom w:val="single" w:sz="4" w:space="0" w:color="auto"/>
            </w:tcBorders>
            <w:shd w:val="clear" w:color="auto" w:fill="auto"/>
          </w:tcPr>
          <w:p w14:paraId="6E80BC7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-9.9 (-14.5, -5.3)</w:t>
            </w:r>
          </w:p>
        </w:tc>
        <w:tc>
          <w:tcPr>
            <w:tcW w:w="944" w:type="dxa"/>
            <w:tcBorders>
              <w:bottom w:val="single" w:sz="4" w:space="0" w:color="auto"/>
            </w:tcBorders>
            <w:shd w:val="clear" w:color="auto" w:fill="auto"/>
          </w:tcPr>
          <w:p w14:paraId="5BCA3E79"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07F0F9AE"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35B498F3"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RGH-MD-05 – LOCF</w:t>
            </w:r>
          </w:p>
        </w:tc>
        <w:tc>
          <w:tcPr>
            <w:tcW w:w="730" w:type="dxa"/>
            <w:tcBorders>
              <w:top w:val="single" w:sz="4" w:space="0" w:color="auto"/>
              <w:left w:val="nil"/>
              <w:bottom w:val="single" w:sz="4" w:space="0" w:color="auto"/>
              <w:right w:val="nil"/>
            </w:tcBorders>
            <w:shd w:val="clear" w:color="auto" w:fill="auto"/>
          </w:tcPr>
          <w:p w14:paraId="6C5C7884"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328862C7"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35424BD4"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4B63CE32"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4EEA2742"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32D5A11F" w14:textId="77777777" w:rsidTr="00FA4235">
        <w:trPr>
          <w:trHeight w:val="218"/>
        </w:trPr>
        <w:tc>
          <w:tcPr>
            <w:tcW w:w="2555" w:type="dxa"/>
            <w:tcBorders>
              <w:top w:val="single" w:sz="4" w:space="0" w:color="auto"/>
            </w:tcBorders>
            <w:shd w:val="clear" w:color="auto" w:fill="auto"/>
          </w:tcPr>
          <w:p w14:paraId="42A72E8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22AFB75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w:t>
            </w:r>
          </w:p>
        </w:tc>
        <w:tc>
          <w:tcPr>
            <w:tcW w:w="1444" w:type="dxa"/>
            <w:tcBorders>
              <w:top w:val="single" w:sz="4" w:space="0" w:color="auto"/>
            </w:tcBorders>
            <w:shd w:val="clear" w:color="auto" w:fill="auto"/>
          </w:tcPr>
          <w:p w14:paraId="4A1A8D4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96.6 [9.3]</w:t>
            </w:r>
          </w:p>
        </w:tc>
        <w:tc>
          <w:tcPr>
            <w:tcW w:w="1331" w:type="dxa"/>
            <w:tcBorders>
              <w:top w:val="single" w:sz="4" w:space="0" w:color="auto"/>
            </w:tcBorders>
            <w:shd w:val="clear" w:color="auto" w:fill="auto"/>
          </w:tcPr>
          <w:p w14:paraId="77ABC25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-12.3 (1.5)</w:t>
            </w:r>
          </w:p>
        </w:tc>
        <w:tc>
          <w:tcPr>
            <w:tcW w:w="1995" w:type="dxa"/>
            <w:tcBorders>
              <w:top w:val="single" w:sz="4" w:space="0" w:color="auto"/>
            </w:tcBorders>
            <w:shd w:val="clear" w:color="auto" w:fill="auto"/>
          </w:tcPr>
          <w:p w14:paraId="134BC87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5D55777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733A2205" w14:textId="77777777" w:rsidTr="00FA4235">
        <w:trPr>
          <w:trHeight w:val="234"/>
        </w:trPr>
        <w:tc>
          <w:tcPr>
            <w:tcW w:w="2555" w:type="dxa"/>
            <w:shd w:val="clear" w:color="auto" w:fill="auto"/>
          </w:tcPr>
          <w:p w14:paraId="4892EA45"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3–6 mg/day</w:t>
            </w:r>
          </w:p>
        </w:tc>
        <w:tc>
          <w:tcPr>
            <w:tcW w:w="730" w:type="dxa"/>
            <w:shd w:val="clear" w:color="auto" w:fill="auto"/>
          </w:tcPr>
          <w:p w14:paraId="473221E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147</w:t>
            </w:r>
          </w:p>
        </w:tc>
        <w:tc>
          <w:tcPr>
            <w:tcW w:w="1444" w:type="dxa"/>
            <w:shd w:val="clear" w:color="auto" w:fill="auto"/>
          </w:tcPr>
          <w:p w14:paraId="694B3D4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96.3 [9.3]</w:t>
            </w:r>
          </w:p>
        </w:tc>
        <w:tc>
          <w:tcPr>
            <w:tcW w:w="1331" w:type="dxa"/>
            <w:shd w:val="clear" w:color="auto" w:fill="auto"/>
          </w:tcPr>
          <w:p w14:paraId="067BE7D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-18.6 (1.5)</w:t>
            </w:r>
          </w:p>
        </w:tc>
        <w:tc>
          <w:tcPr>
            <w:tcW w:w="1995" w:type="dxa"/>
            <w:shd w:val="clear" w:color="auto" w:fill="auto"/>
          </w:tcPr>
          <w:p w14:paraId="5A7A5C1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-6.3 (-10.3, -2.4)</w:t>
            </w:r>
          </w:p>
        </w:tc>
        <w:tc>
          <w:tcPr>
            <w:tcW w:w="944" w:type="dxa"/>
            <w:shd w:val="clear" w:color="auto" w:fill="auto"/>
          </w:tcPr>
          <w:p w14:paraId="232C3D58"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0.0016</w:t>
            </w:r>
          </w:p>
        </w:tc>
      </w:tr>
      <w:tr w:rsidR="00936AB1" w:rsidRPr="009C01D5" w14:paraId="34F9706D" w14:textId="77777777" w:rsidTr="00FA4235">
        <w:trPr>
          <w:trHeight w:val="218"/>
        </w:trPr>
        <w:tc>
          <w:tcPr>
            <w:tcW w:w="2555" w:type="dxa"/>
            <w:tcBorders>
              <w:bottom w:val="single" w:sz="4" w:space="0" w:color="auto"/>
            </w:tcBorders>
            <w:shd w:val="clear" w:color="auto" w:fill="auto"/>
          </w:tcPr>
          <w:p w14:paraId="18381DD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6–9 mg/day</w:t>
            </w:r>
          </w:p>
        </w:tc>
        <w:tc>
          <w:tcPr>
            <w:tcW w:w="730" w:type="dxa"/>
            <w:tcBorders>
              <w:bottom w:val="single" w:sz="4" w:space="0" w:color="auto"/>
            </w:tcBorders>
            <w:shd w:val="clear" w:color="auto" w:fill="auto"/>
          </w:tcPr>
          <w:p w14:paraId="3BDD9D0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147</w:t>
            </w:r>
          </w:p>
        </w:tc>
        <w:tc>
          <w:tcPr>
            <w:tcW w:w="1444" w:type="dxa"/>
            <w:tcBorders>
              <w:bottom w:val="single" w:sz="4" w:space="0" w:color="auto"/>
            </w:tcBorders>
            <w:shd w:val="clear" w:color="auto" w:fill="auto"/>
          </w:tcPr>
          <w:p w14:paraId="3FDE83F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96.3 [9.0]</w:t>
            </w:r>
          </w:p>
        </w:tc>
        <w:tc>
          <w:tcPr>
            <w:tcW w:w="1331" w:type="dxa"/>
            <w:tcBorders>
              <w:bottom w:val="single" w:sz="4" w:space="0" w:color="auto"/>
            </w:tcBorders>
            <w:shd w:val="clear" w:color="auto" w:fill="auto"/>
          </w:tcPr>
          <w:p w14:paraId="567973D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-20.2 (1.5)</w:t>
            </w:r>
          </w:p>
        </w:tc>
        <w:tc>
          <w:tcPr>
            <w:tcW w:w="1995" w:type="dxa"/>
            <w:tcBorders>
              <w:bottom w:val="single" w:sz="4" w:space="0" w:color="auto"/>
            </w:tcBorders>
            <w:shd w:val="clear" w:color="auto" w:fill="auto"/>
          </w:tcPr>
          <w:p w14:paraId="0C5D180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-8.0 (-11.9, -4.0)</w:t>
            </w:r>
          </w:p>
        </w:tc>
        <w:tc>
          <w:tcPr>
            <w:tcW w:w="944" w:type="dxa"/>
            <w:tcBorders>
              <w:bottom w:val="single" w:sz="4" w:space="0" w:color="auto"/>
            </w:tcBorders>
            <w:shd w:val="clear" w:color="auto" w:fill="auto"/>
          </w:tcPr>
          <w:p w14:paraId="6A6EBA99"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2AC936A9"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605ACE34"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RGH-MD-16 – MMRM</w:t>
            </w:r>
          </w:p>
        </w:tc>
        <w:tc>
          <w:tcPr>
            <w:tcW w:w="730" w:type="dxa"/>
            <w:tcBorders>
              <w:top w:val="single" w:sz="4" w:space="0" w:color="auto"/>
              <w:left w:val="nil"/>
              <w:bottom w:val="single" w:sz="4" w:space="0" w:color="auto"/>
              <w:right w:val="nil"/>
            </w:tcBorders>
            <w:shd w:val="clear" w:color="auto" w:fill="auto"/>
          </w:tcPr>
          <w:p w14:paraId="16A57B1B"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657088F5"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29430A27"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0BE94A45"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0FD2F337"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62E5B3D9" w14:textId="77777777" w:rsidTr="00FA4235">
        <w:trPr>
          <w:trHeight w:val="234"/>
        </w:trPr>
        <w:tc>
          <w:tcPr>
            <w:tcW w:w="2555" w:type="dxa"/>
            <w:tcBorders>
              <w:top w:val="single" w:sz="4" w:space="0" w:color="auto"/>
            </w:tcBorders>
            <w:shd w:val="clear" w:color="auto" w:fill="auto"/>
          </w:tcPr>
          <w:p w14:paraId="0442B549"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0E31545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148</w:t>
            </w:r>
          </w:p>
        </w:tc>
        <w:tc>
          <w:tcPr>
            <w:tcW w:w="1444" w:type="dxa"/>
            <w:tcBorders>
              <w:top w:val="single" w:sz="4" w:space="0" w:color="auto"/>
            </w:tcBorders>
            <w:shd w:val="clear" w:color="auto" w:fill="auto"/>
          </w:tcPr>
          <w:p w14:paraId="157E390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97.3 [9.22]</w:t>
            </w:r>
          </w:p>
        </w:tc>
        <w:tc>
          <w:tcPr>
            <w:tcW w:w="1331" w:type="dxa"/>
            <w:tcBorders>
              <w:top w:val="single" w:sz="4" w:space="0" w:color="auto"/>
            </w:tcBorders>
            <w:shd w:val="clear" w:color="auto" w:fill="auto"/>
          </w:tcPr>
          <w:p w14:paraId="265E485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-13.29 (1.82)</w:t>
            </w:r>
          </w:p>
        </w:tc>
        <w:tc>
          <w:tcPr>
            <w:tcW w:w="1995" w:type="dxa"/>
            <w:tcBorders>
              <w:top w:val="single" w:sz="4" w:space="0" w:color="auto"/>
            </w:tcBorders>
            <w:shd w:val="clear" w:color="auto" w:fill="auto"/>
          </w:tcPr>
          <w:p w14:paraId="0A0ADF9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5E2F97F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74F71A7F" w14:textId="77777777" w:rsidTr="00FA4235">
        <w:trPr>
          <w:trHeight w:val="218"/>
        </w:trPr>
        <w:tc>
          <w:tcPr>
            <w:tcW w:w="2555" w:type="dxa"/>
            <w:shd w:val="clear" w:color="auto" w:fill="auto"/>
          </w:tcPr>
          <w:p w14:paraId="213172DC"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1.5 mg/day</w:t>
            </w:r>
          </w:p>
        </w:tc>
        <w:tc>
          <w:tcPr>
            <w:tcW w:w="730" w:type="dxa"/>
            <w:shd w:val="clear" w:color="auto" w:fill="auto"/>
          </w:tcPr>
          <w:p w14:paraId="0110326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140</w:t>
            </w:r>
          </w:p>
        </w:tc>
        <w:tc>
          <w:tcPr>
            <w:tcW w:w="1444" w:type="dxa"/>
            <w:shd w:val="clear" w:color="auto" w:fill="auto"/>
          </w:tcPr>
          <w:p w14:paraId="656A29A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97.1 [9.13]</w:t>
            </w:r>
          </w:p>
        </w:tc>
        <w:tc>
          <w:tcPr>
            <w:tcW w:w="1331" w:type="dxa"/>
            <w:shd w:val="clear" w:color="auto" w:fill="auto"/>
          </w:tcPr>
          <w:p w14:paraId="34CDBBA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-21.27 (1.77)</w:t>
            </w:r>
          </w:p>
        </w:tc>
        <w:tc>
          <w:tcPr>
            <w:tcW w:w="1995" w:type="dxa"/>
            <w:shd w:val="clear" w:color="auto" w:fill="auto"/>
          </w:tcPr>
          <w:p w14:paraId="53A4A08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-7.97 (-12.94, -3.01)</w:t>
            </w:r>
          </w:p>
        </w:tc>
        <w:tc>
          <w:tcPr>
            <w:tcW w:w="944" w:type="dxa"/>
            <w:shd w:val="clear" w:color="auto" w:fill="auto"/>
          </w:tcPr>
          <w:p w14:paraId="6DAF30FC"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0.0017</w:t>
            </w:r>
          </w:p>
        </w:tc>
      </w:tr>
      <w:tr w:rsidR="00936AB1" w:rsidRPr="009C01D5" w14:paraId="3863362D" w14:textId="77777777" w:rsidTr="00FA4235">
        <w:trPr>
          <w:trHeight w:val="218"/>
        </w:trPr>
        <w:tc>
          <w:tcPr>
            <w:tcW w:w="2555" w:type="dxa"/>
            <w:shd w:val="clear" w:color="auto" w:fill="auto"/>
          </w:tcPr>
          <w:p w14:paraId="46C06A2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 mg/day</w:t>
            </w:r>
          </w:p>
        </w:tc>
        <w:tc>
          <w:tcPr>
            <w:tcW w:w="730" w:type="dxa"/>
            <w:shd w:val="clear" w:color="auto" w:fill="auto"/>
          </w:tcPr>
          <w:p w14:paraId="5EB5494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140</w:t>
            </w:r>
          </w:p>
        </w:tc>
        <w:tc>
          <w:tcPr>
            <w:tcW w:w="1444" w:type="dxa"/>
            <w:shd w:val="clear" w:color="auto" w:fill="auto"/>
          </w:tcPr>
          <w:p w14:paraId="6BC95DA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97.2 [8.66]</w:t>
            </w:r>
          </w:p>
        </w:tc>
        <w:tc>
          <w:tcPr>
            <w:tcW w:w="1331" w:type="dxa"/>
            <w:shd w:val="clear" w:color="auto" w:fill="auto"/>
          </w:tcPr>
          <w:p w14:paraId="271B556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-21.45 (1.74)</w:t>
            </w:r>
          </w:p>
        </w:tc>
        <w:tc>
          <w:tcPr>
            <w:tcW w:w="1995" w:type="dxa"/>
            <w:shd w:val="clear" w:color="auto" w:fill="auto"/>
          </w:tcPr>
          <w:p w14:paraId="5EA7C94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-8.16 (-13.09, -3.22)</w:t>
            </w:r>
          </w:p>
        </w:tc>
        <w:tc>
          <w:tcPr>
            <w:tcW w:w="944" w:type="dxa"/>
            <w:shd w:val="clear" w:color="auto" w:fill="auto"/>
          </w:tcPr>
          <w:p w14:paraId="65E25EFE"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0.0013</w:t>
            </w:r>
          </w:p>
        </w:tc>
      </w:tr>
      <w:tr w:rsidR="00936AB1" w:rsidRPr="009C01D5" w14:paraId="32AA5777" w14:textId="77777777" w:rsidTr="00FA4235">
        <w:trPr>
          <w:trHeight w:val="218"/>
        </w:trPr>
        <w:tc>
          <w:tcPr>
            <w:tcW w:w="2555" w:type="dxa"/>
            <w:shd w:val="clear" w:color="auto" w:fill="auto"/>
          </w:tcPr>
          <w:p w14:paraId="51223882"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4.5 mg/day</w:t>
            </w:r>
          </w:p>
        </w:tc>
        <w:tc>
          <w:tcPr>
            <w:tcW w:w="730" w:type="dxa"/>
            <w:shd w:val="clear" w:color="auto" w:fill="auto"/>
          </w:tcPr>
          <w:p w14:paraId="28DEBD1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w:t>
            </w:r>
          </w:p>
        </w:tc>
        <w:tc>
          <w:tcPr>
            <w:tcW w:w="1444" w:type="dxa"/>
            <w:shd w:val="clear" w:color="auto" w:fill="auto"/>
          </w:tcPr>
          <w:p w14:paraId="04095B2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96.7 [9.01]</w:t>
            </w:r>
          </w:p>
        </w:tc>
        <w:tc>
          <w:tcPr>
            <w:tcW w:w="1331" w:type="dxa"/>
            <w:shd w:val="clear" w:color="auto" w:fill="auto"/>
          </w:tcPr>
          <w:p w14:paraId="75FB80D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-23.77 (1.74)</w:t>
            </w:r>
          </w:p>
        </w:tc>
        <w:tc>
          <w:tcPr>
            <w:tcW w:w="1995" w:type="dxa"/>
            <w:shd w:val="clear" w:color="auto" w:fill="auto"/>
          </w:tcPr>
          <w:p w14:paraId="4C89F05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-10.48 (-15.41, -5.55)</w:t>
            </w:r>
          </w:p>
        </w:tc>
        <w:tc>
          <w:tcPr>
            <w:tcW w:w="944" w:type="dxa"/>
            <w:shd w:val="clear" w:color="auto" w:fill="auto"/>
          </w:tcPr>
          <w:p w14:paraId="62D579B1"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0261862F" w14:textId="77777777" w:rsidTr="00FA4235">
        <w:trPr>
          <w:trHeight w:val="234"/>
        </w:trPr>
        <w:tc>
          <w:tcPr>
            <w:tcW w:w="2555" w:type="dxa"/>
            <w:tcBorders>
              <w:bottom w:val="single" w:sz="4" w:space="0" w:color="auto"/>
            </w:tcBorders>
            <w:shd w:val="clear" w:color="auto" w:fill="auto"/>
          </w:tcPr>
          <w:p w14:paraId="4BEA33B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Risperidone 4 mg/day</w:t>
            </w:r>
          </w:p>
        </w:tc>
        <w:tc>
          <w:tcPr>
            <w:tcW w:w="730" w:type="dxa"/>
            <w:tcBorders>
              <w:bottom w:val="single" w:sz="4" w:space="0" w:color="auto"/>
            </w:tcBorders>
            <w:shd w:val="clear" w:color="auto" w:fill="auto"/>
          </w:tcPr>
          <w:p w14:paraId="72CFCCB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138</w:t>
            </w:r>
          </w:p>
        </w:tc>
        <w:tc>
          <w:tcPr>
            <w:tcW w:w="1444" w:type="dxa"/>
            <w:tcBorders>
              <w:bottom w:val="single" w:sz="4" w:space="0" w:color="auto"/>
            </w:tcBorders>
            <w:shd w:val="clear" w:color="auto" w:fill="auto"/>
          </w:tcPr>
          <w:p w14:paraId="28EEBB9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98.1 [9.50]</w:t>
            </w:r>
          </w:p>
        </w:tc>
        <w:tc>
          <w:tcPr>
            <w:tcW w:w="1331" w:type="dxa"/>
            <w:tcBorders>
              <w:bottom w:val="single" w:sz="4" w:space="0" w:color="auto"/>
            </w:tcBorders>
            <w:shd w:val="clear" w:color="auto" w:fill="auto"/>
          </w:tcPr>
          <w:p w14:paraId="699F619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-29.27 (1.74)</w:t>
            </w:r>
          </w:p>
        </w:tc>
        <w:tc>
          <w:tcPr>
            <w:tcW w:w="1995" w:type="dxa"/>
            <w:tcBorders>
              <w:bottom w:val="single" w:sz="4" w:space="0" w:color="auto"/>
            </w:tcBorders>
            <w:shd w:val="clear" w:color="auto" w:fill="auto"/>
          </w:tcPr>
          <w:p w14:paraId="2270314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-15.98 (-20.91, -11.04)</w:t>
            </w:r>
          </w:p>
        </w:tc>
        <w:tc>
          <w:tcPr>
            <w:tcW w:w="944" w:type="dxa"/>
            <w:tcBorders>
              <w:bottom w:val="single" w:sz="4" w:space="0" w:color="auto"/>
            </w:tcBorders>
            <w:shd w:val="clear" w:color="auto" w:fill="auto"/>
          </w:tcPr>
          <w:p w14:paraId="45204771"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6FE32BD4"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72655B2A"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RGH-MD-16 – LOCF</w:t>
            </w:r>
          </w:p>
        </w:tc>
        <w:tc>
          <w:tcPr>
            <w:tcW w:w="730" w:type="dxa"/>
            <w:tcBorders>
              <w:top w:val="single" w:sz="4" w:space="0" w:color="auto"/>
              <w:left w:val="nil"/>
              <w:bottom w:val="single" w:sz="4" w:space="0" w:color="auto"/>
              <w:right w:val="nil"/>
            </w:tcBorders>
            <w:shd w:val="clear" w:color="auto" w:fill="auto"/>
          </w:tcPr>
          <w:p w14:paraId="35674CE7"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56FE0106"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697A2B7A"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0EE2E188"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30F2DBB3"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6B93E270" w14:textId="77777777" w:rsidTr="00FA4235">
        <w:trPr>
          <w:trHeight w:val="218"/>
        </w:trPr>
        <w:tc>
          <w:tcPr>
            <w:tcW w:w="2555" w:type="dxa"/>
            <w:tcBorders>
              <w:top w:val="single" w:sz="4" w:space="0" w:color="auto"/>
            </w:tcBorders>
            <w:shd w:val="clear" w:color="auto" w:fill="auto"/>
          </w:tcPr>
          <w:p w14:paraId="791560F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4436EF9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148</w:t>
            </w:r>
          </w:p>
        </w:tc>
        <w:tc>
          <w:tcPr>
            <w:tcW w:w="1444" w:type="dxa"/>
            <w:tcBorders>
              <w:top w:val="single" w:sz="4" w:space="0" w:color="auto"/>
            </w:tcBorders>
            <w:shd w:val="clear" w:color="auto" w:fill="auto"/>
          </w:tcPr>
          <w:p w14:paraId="0A91CB9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97.3 [9.22]</w:t>
            </w:r>
          </w:p>
        </w:tc>
        <w:tc>
          <w:tcPr>
            <w:tcW w:w="1331" w:type="dxa"/>
            <w:tcBorders>
              <w:top w:val="single" w:sz="4" w:space="0" w:color="auto"/>
            </w:tcBorders>
            <w:shd w:val="clear" w:color="auto" w:fill="auto"/>
          </w:tcPr>
          <w:p w14:paraId="163D57D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-11.84 (1.54)</w:t>
            </w:r>
          </w:p>
        </w:tc>
        <w:tc>
          <w:tcPr>
            <w:tcW w:w="1995" w:type="dxa"/>
            <w:tcBorders>
              <w:top w:val="single" w:sz="4" w:space="0" w:color="auto"/>
            </w:tcBorders>
            <w:shd w:val="clear" w:color="auto" w:fill="auto"/>
          </w:tcPr>
          <w:p w14:paraId="4A5FE57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5BF1F01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01983B1E" w14:textId="77777777" w:rsidTr="00FA4235">
        <w:trPr>
          <w:trHeight w:val="234"/>
        </w:trPr>
        <w:tc>
          <w:tcPr>
            <w:tcW w:w="2555" w:type="dxa"/>
            <w:shd w:val="clear" w:color="auto" w:fill="auto"/>
          </w:tcPr>
          <w:p w14:paraId="2362E537"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1.5 mg/day</w:t>
            </w:r>
          </w:p>
        </w:tc>
        <w:tc>
          <w:tcPr>
            <w:tcW w:w="730" w:type="dxa"/>
            <w:shd w:val="clear" w:color="auto" w:fill="auto"/>
          </w:tcPr>
          <w:p w14:paraId="240032A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140</w:t>
            </w:r>
          </w:p>
        </w:tc>
        <w:tc>
          <w:tcPr>
            <w:tcW w:w="1444" w:type="dxa"/>
            <w:shd w:val="clear" w:color="auto" w:fill="auto"/>
          </w:tcPr>
          <w:p w14:paraId="36A3983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97.1 [9.13]</w:t>
            </w:r>
          </w:p>
        </w:tc>
        <w:tc>
          <w:tcPr>
            <w:tcW w:w="1331" w:type="dxa"/>
            <w:shd w:val="clear" w:color="auto" w:fill="auto"/>
          </w:tcPr>
          <w:p w14:paraId="3D14541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-19.38 (1.58)</w:t>
            </w:r>
          </w:p>
        </w:tc>
        <w:tc>
          <w:tcPr>
            <w:tcW w:w="1995" w:type="dxa"/>
            <w:shd w:val="clear" w:color="auto" w:fill="auto"/>
          </w:tcPr>
          <w:p w14:paraId="4FEBFBA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-7.55 (-11.80, -3.29)</w:t>
            </w:r>
          </w:p>
        </w:tc>
        <w:tc>
          <w:tcPr>
            <w:tcW w:w="944" w:type="dxa"/>
            <w:shd w:val="clear" w:color="auto" w:fill="auto"/>
          </w:tcPr>
          <w:p w14:paraId="2B233AEC"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0.0005</w:t>
            </w:r>
          </w:p>
        </w:tc>
      </w:tr>
      <w:tr w:rsidR="00936AB1" w:rsidRPr="009C01D5" w14:paraId="2DF7AC81" w14:textId="77777777" w:rsidTr="00FA4235">
        <w:trPr>
          <w:trHeight w:val="218"/>
        </w:trPr>
        <w:tc>
          <w:tcPr>
            <w:tcW w:w="2555" w:type="dxa"/>
            <w:shd w:val="clear" w:color="auto" w:fill="auto"/>
          </w:tcPr>
          <w:p w14:paraId="48209709"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3 mg/day</w:t>
            </w:r>
          </w:p>
        </w:tc>
        <w:tc>
          <w:tcPr>
            <w:tcW w:w="730" w:type="dxa"/>
            <w:shd w:val="clear" w:color="auto" w:fill="auto"/>
          </w:tcPr>
          <w:p w14:paraId="254F036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140</w:t>
            </w:r>
          </w:p>
        </w:tc>
        <w:tc>
          <w:tcPr>
            <w:tcW w:w="1444" w:type="dxa"/>
            <w:shd w:val="clear" w:color="auto" w:fill="auto"/>
          </w:tcPr>
          <w:p w14:paraId="634217C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97.2 [8.66]</w:t>
            </w:r>
          </w:p>
        </w:tc>
        <w:tc>
          <w:tcPr>
            <w:tcW w:w="1331" w:type="dxa"/>
            <w:shd w:val="clear" w:color="auto" w:fill="auto"/>
          </w:tcPr>
          <w:p w14:paraId="7997F2B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-20.67 (1.59)</w:t>
            </w:r>
          </w:p>
        </w:tc>
        <w:tc>
          <w:tcPr>
            <w:tcW w:w="1995" w:type="dxa"/>
            <w:shd w:val="clear" w:color="auto" w:fill="auto"/>
          </w:tcPr>
          <w:p w14:paraId="5546DE6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-8.83 (-13.09, -4.57)</w:t>
            </w:r>
          </w:p>
        </w:tc>
        <w:tc>
          <w:tcPr>
            <w:tcW w:w="944" w:type="dxa"/>
            <w:shd w:val="clear" w:color="auto" w:fill="auto"/>
          </w:tcPr>
          <w:p w14:paraId="1ACFB8F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601B52D6" w14:textId="77777777" w:rsidTr="00FA4235">
        <w:trPr>
          <w:trHeight w:val="218"/>
        </w:trPr>
        <w:tc>
          <w:tcPr>
            <w:tcW w:w="2555" w:type="dxa"/>
            <w:shd w:val="clear" w:color="auto" w:fill="auto"/>
          </w:tcPr>
          <w:p w14:paraId="11A1A35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Cariprazine 4.5 mg/day</w:t>
            </w:r>
          </w:p>
        </w:tc>
        <w:tc>
          <w:tcPr>
            <w:tcW w:w="730" w:type="dxa"/>
            <w:shd w:val="clear" w:color="auto" w:fill="auto"/>
          </w:tcPr>
          <w:p w14:paraId="0104D9B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w:t>
            </w:r>
          </w:p>
        </w:tc>
        <w:tc>
          <w:tcPr>
            <w:tcW w:w="1444" w:type="dxa"/>
            <w:shd w:val="clear" w:color="auto" w:fill="auto"/>
          </w:tcPr>
          <w:p w14:paraId="3221EEE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96.7 [9.01]</w:t>
            </w:r>
          </w:p>
        </w:tc>
        <w:tc>
          <w:tcPr>
            <w:tcW w:w="1331" w:type="dxa"/>
            <w:shd w:val="clear" w:color="auto" w:fill="auto"/>
          </w:tcPr>
          <w:p w14:paraId="5AD77D3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-22.25 (1.55)</w:t>
            </w:r>
          </w:p>
        </w:tc>
        <w:tc>
          <w:tcPr>
            <w:tcW w:w="1995" w:type="dxa"/>
            <w:shd w:val="clear" w:color="auto" w:fill="auto"/>
          </w:tcPr>
          <w:p w14:paraId="17ECB0F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-10.42 (-14.63, -6.20)</w:t>
            </w:r>
          </w:p>
        </w:tc>
        <w:tc>
          <w:tcPr>
            <w:tcW w:w="944" w:type="dxa"/>
            <w:shd w:val="clear" w:color="auto" w:fill="auto"/>
          </w:tcPr>
          <w:p w14:paraId="6E4ECCFF"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039F6267" w14:textId="77777777" w:rsidTr="00FA4235">
        <w:trPr>
          <w:trHeight w:val="234"/>
        </w:trPr>
        <w:tc>
          <w:tcPr>
            <w:tcW w:w="2555" w:type="dxa"/>
            <w:tcBorders>
              <w:bottom w:val="single" w:sz="4" w:space="0" w:color="auto"/>
            </w:tcBorders>
            <w:shd w:val="clear" w:color="auto" w:fill="auto"/>
          </w:tcPr>
          <w:p w14:paraId="1345D3DB"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Risperidone 4 mg/day</w:t>
            </w:r>
          </w:p>
        </w:tc>
        <w:tc>
          <w:tcPr>
            <w:tcW w:w="730" w:type="dxa"/>
            <w:tcBorders>
              <w:bottom w:val="single" w:sz="4" w:space="0" w:color="auto"/>
            </w:tcBorders>
            <w:shd w:val="clear" w:color="auto" w:fill="auto"/>
          </w:tcPr>
          <w:p w14:paraId="78DD328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138</w:t>
            </w:r>
          </w:p>
        </w:tc>
        <w:tc>
          <w:tcPr>
            <w:tcW w:w="1444" w:type="dxa"/>
            <w:tcBorders>
              <w:bottom w:val="single" w:sz="4" w:space="0" w:color="auto"/>
            </w:tcBorders>
            <w:shd w:val="clear" w:color="auto" w:fill="auto"/>
          </w:tcPr>
          <w:p w14:paraId="58E93BB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98.1 [9.50]</w:t>
            </w:r>
          </w:p>
        </w:tc>
        <w:tc>
          <w:tcPr>
            <w:tcW w:w="1331" w:type="dxa"/>
            <w:tcBorders>
              <w:bottom w:val="single" w:sz="4" w:space="0" w:color="auto"/>
            </w:tcBorders>
            <w:shd w:val="clear" w:color="auto" w:fill="auto"/>
          </w:tcPr>
          <w:p w14:paraId="06A3C18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-26.94 (1.60)</w:t>
            </w:r>
          </w:p>
        </w:tc>
        <w:tc>
          <w:tcPr>
            <w:tcW w:w="1995" w:type="dxa"/>
            <w:tcBorders>
              <w:bottom w:val="single" w:sz="4" w:space="0" w:color="auto"/>
            </w:tcBorders>
            <w:shd w:val="clear" w:color="auto" w:fill="auto"/>
          </w:tcPr>
          <w:p w14:paraId="5343414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-15.10 (-19.38, -10.82)</w:t>
            </w:r>
          </w:p>
        </w:tc>
        <w:tc>
          <w:tcPr>
            <w:tcW w:w="944" w:type="dxa"/>
            <w:tcBorders>
              <w:bottom w:val="single" w:sz="4" w:space="0" w:color="auto"/>
            </w:tcBorders>
            <w:shd w:val="clear" w:color="auto" w:fill="auto"/>
          </w:tcPr>
          <w:p w14:paraId="562C7C0A"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6E54055A"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148EC9EF" w14:textId="77777777" w:rsidR="00936AB1" w:rsidRPr="009C01D5" w:rsidRDefault="00967438" w:rsidP="00D4509B">
            <w:pPr>
              <w:pStyle w:val="TableTextleftalign"/>
              <w:widowControl w:val="0"/>
              <w:rPr>
                <w:rFonts w:ascii="Arial Narrow" w:hAnsi="Arial Narrow"/>
                <w:b/>
                <w:sz w:val="20"/>
                <w:szCs w:val="20"/>
              </w:rPr>
            </w:pPr>
            <w:r w:rsidRPr="009C01D5">
              <w:rPr>
                <w:rFonts w:ascii="Arial Narrow" w:hAnsi="Arial Narrow"/>
                <w:b/>
                <w:sz w:val="20"/>
                <w:szCs w:val="20"/>
              </w:rPr>
              <w:t>Aripiprazole</w:t>
            </w:r>
          </w:p>
        </w:tc>
        <w:tc>
          <w:tcPr>
            <w:tcW w:w="730" w:type="dxa"/>
            <w:tcBorders>
              <w:top w:val="single" w:sz="4" w:space="0" w:color="auto"/>
              <w:left w:val="nil"/>
              <w:bottom w:val="single" w:sz="4" w:space="0" w:color="auto"/>
              <w:right w:val="nil"/>
            </w:tcBorders>
            <w:shd w:val="clear" w:color="auto" w:fill="auto"/>
          </w:tcPr>
          <w:p w14:paraId="44E5985C" w14:textId="77777777" w:rsidR="00936AB1" w:rsidRPr="009C01D5" w:rsidRDefault="00936AB1" w:rsidP="00D4509B">
            <w:pPr>
              <w:pStyle w:val="TableTextcentred"/>
              <w:widowControl w:val="0"/>
              <w:rPr>
                <w:rFonts w:ascii="Arial Narrow" w:hAnsi="Arial Narrow"/>
                <w:b/>
                <w:sz w:val="20"/>
                <w:szCs w:val="20"/>
              </w:rPr>
            </w:pPr>
          </w:p>
        </w:tc>
        <w:tc>
          <w:tcPr>
            <w:tcW w:w="1444" w:type="dxa"/>
            <w:tcBorders>
              <w:top w:val="single" w:sz="4" w:space="0" w:color="auto"/>
              <w:left w:val="nil"/>
              <w:bottom w:val="single" w:sz="4" w:space="0" w:color="auto"/>
              <w:right w:val="nil"/>
            </w:tcBorders>
            <w:shd w:val="clear" w:color="auto" w:fill="auto"/>
          </w:tcPr>
          <w:p w14:paraId="3712E6A7" w14:textId="77777777" w:rsidR="00936AB1" w:rsidRPr="009C01D5" w:rsidRDefault="00936AB1" w:rsidP="00D4509B">
            <w:pPr>
              <w:pStyle w:val="TableTextcentred"/>
              <w:widowControl w:val="0"/>
              <w:rPr>
                <w:rFonts w:ascii="Arial Narrow" w:hAnsi="Arial Narrow"/>
                <w:b/>
                <w:sz w:val="20"/>
                <w:szCs w:val="20"/>
              </w:rPr>
            </w:pPr>
          </w:p>
        </w:tc>
        <w:tc>
          <w:tcPr>
            <w:tcW w:w="1331" w:type="dxa"/>
            <w:tcBorders>
              <w:top w:val="single" w:sz="4" w:space="0" w:color="auto"/>
              <w:left w:val="nil"/>
              <w:bottom w:val="single" w:sz="4" w:space="0" w:color="auto"/>
              <w:right w:val="nil"/>
            </w:tcBorders>
            <w:shd w:val="clear" w:color="auto" w:fill="auto"/>
          </w:tcPr>
          <w:p w14:paraId="6B27575A" w14:textId="77777777" w:rsidR="00936AB1" w:rsidRPr="009C01D5" w:rsidRDefault="00936AB1" w:rsidP="00D4509B">
            <w:pPr>
              <w:pStyle w:val="TableTextcentred"/>
              <w:widowControl w:val="0"/>
              <w:rPr>
                <w:rFonts w:ascii="Arial Narrow" w:hAnsi="Arial Narrow"/>
                <w:b/>
                <w:sz w:val="20"/>
                <w:szCs w:val="20"/>
              </w:rPr>
            </w:pPr>
          </w:p>
        </w:tc>
        <w:tc>
          <w:tcPr>
            <w:tcW w:w="1995" w:type="dxa"/>
            <w:tcBorders>
              <w:top w:val="single" w:sz="4" w:space="0" w:color="auto"/>
              <w:left w:val="nil"/>
              <w:bottom w:val="single" w:sz="4" w:space="0" w:color="auto"/>
              <w:right w:val="nil"/>
            </w:tcBorders>
            <w:shd w:val="clear" w:color="auto" w:fill="auto"/>
          </w:tcPr>
          <w:p w14:paraId="5F4F0ADC" w14:textId="77777777" w:rsidR="00936AB1" w:rsidRPr="009C01D5" w:rsidRDefault="00936AB1" w:rsidP="00D4509B">
            <w:pPr>
              <w:pStyle w:val="TableTextcentred"/>
              <w:widowControl w:val="0"/>
              <w:rPr>
                <w:rFonts w:ascii="Arial Narrow" w:hAnsi="Arial Narrow"/>
                <w:b/>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76607ACD" w14:textId="77777777" w:rsidR="00936AB1" w:rsidRPr="009C01D5" w:rsidRDefault="00936AB1" w:rsidP="00D4509B">
            <w:pPr>
              <w:pStyle w:val="TableTextcentred"/>
              <w:widowControl w:val="0"/>
              <w:rPr>
                <w:rFonts w:ascii="Arial Narrow" w:hAnsi="Arial Narrow"/>
                <w:b/>
                <w:sz w:val="20"/>
                <w:szCs w:val="20"/>
              </w:rPr>
            </w:pPr>
          </w:p>
        </w:tc>
      </w:tr>
      <w:tr w:rsidR="00936AB1" w:rsidRPr="009C01D5" w14:paraId="58ADBDF6"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285E49B4"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Kane et al 2002</w:t>
            </w:r>
            <w:r w:rsidRPr="009C01D5">
              <w:rPr>
                <w:rFonts w:ascii="Arial Narrow" w:hAnsi="Arial Narrow"/>
                <w:b/>
                <w:sz w:val="20"/>
                <w:szCs w:val="20"/>
                <w:vertAlign w:val="superscript"/>
              </w:rPr>
              <w:t>3</w:t>
            </w:r>
          </w:p>
        </w:tc>
        <w:tc>
          <w:tcPr>
            <w:tcW w:w="730" w:type="dxa"/>
            <w:tcBorders>
              <w:top w:val="single" w:sz="4" w:space="0" w:color="auto"/>
              <w:left w:val="nil"/>
              <w:bottom w:val="single" w:sz="4" w:space="0" w:color="auto"/>
              <w:right w:val="nil"/>
            </w:tcBorders>
            <w:shd w:val="clear" w:color="auto" w:fill="auto"/>
          </w:tcPr>
          <w:p w14:paraId="443E498B"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24983A75"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7F074FA0"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5686A502"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06752F8C"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7E192DEB" w14:textId="77777777" w:rsidTr="00FA4235">
        <w:trPr>
          <w:trHeight w:val="218"/>
        </w:trPr>
        <w:tc>
          <w:tcPr>
            <w:tcW w:w="2555" w:type="dxa"/>
            <w:tcBorders>
              <w:top w:val="single" w:sz="4" w:space="0" w:color="auto"/>
            </w:tcBorders>
            <w:shd w:val="clear" w:color="auto" w:fill="auto"/>
          </w:tcPr>
          <w:p w14:paraId="1C5D77BC"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48C73A5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106</w:t>
            </w:r>
          </w:p>
        </w:tc>
        <w:tc>
          <w:tcPr>
            <w:tcW w:w="1444" w:type="dxa"/>
            <w:tcBorders>
              <w:top w:val="single" w:sz="4" w:space="0" w:color="auto"/>
            </w:tcBorders>
            <w:shd w:val="clear" w:color="auto" w:fill="auto"/>
          </w:tcPr>
          <w:p w14:paraId="1E15192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100.2 (1.6)</w:t>
            </w:r>
          </w:p>
        </w:tc>
        <w:tc>
          <w:tcPr>
            <w:tcW w:w="1331" w:type="dxa"/>
            <w:tcBorders>
              <w:top w:val="single" w:sz="4" w:space="0" w:color="auto"/>
            </w:tcBorders>
            <w:shd w:val="clear" w:color="auto" w:fill="auto"/>
          </w:tcPr>
          <w:p w14:paraId="2A72E44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-2.9 (2.36)</w:t>
            </w:r>
          </w:p>
        </w:tc>
        <w:tc>
          <w:tcPr>
            <w:tcW w:w="1995" w:type="dxa"/>
            <w:tcBorders>
              <w:top w:val="single" w:sz="4" w:space="0" w:color="auto"/>
            </w:tcBorders>
            <w:shd w:val="clear" w:color="auto" w:fill="auto"/>
          </w:tcPr>
          <w:p w14:paraId="14AD56D6"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tcBorders>
            <w:shd w:val="clear" w:color="auto" w:fill="auto"/>
          </w:tcPr>
          <w:p w14:paraId="58E902B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400747DF" w14:textId="77777777" w:rsidTr="00FA4235">
        <w:trPr>
          <w:trHeight w:val="234"/>
        </w:trPr>
        <w:tc>
          <w:tcPr>
            <w:tcW w:w="2555" w:type="dxa"/>
            <w:shd w:val="clear" w:color="auto" w:fill="auto"/>
          </w:tcPr>
          <w:p w14:paraId="2703869C"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15 mg/day</w:t>
            </w:r>
          </w:p>
        </w:tc>
        <w:tc>
          <w:tcPr>
            <w:tcW w:w="730" w:type="dxa"/>
            <w:shd w:val="clear" w:color="auto" w:fill="auto"/>
          </w:tcPr>
          <w:p w14:paraId="4D4FDA6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102</w:t>
            </w:r>
          </w:p>
        </w:tc>
        <w:tc>
          <w:tcPr>
            <w:tcW w:w="1444" w:type="dxa"/>
            <w:shd w:val="clear" w:color="auto" w:fill="auto"/>
          </w:tcPr>
          <w:p w14:paraId="0B7B539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 xml:space="preserve">98.5 (1.7) </w:t>
            </w:r>
          </w:p>
        </w:tc>
        <w:tc>
          <w:tcPr>
            <w:tcW w:w="1331" w:type="dxa"/>
            <w:shd w:val="clear" w:color="auto" w:fill="auto"/>
          </w:tcPr>
          <w:p w14:paraId="15420F4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-15.5 (2.40)</w:t>
            </w:r>
          </w:p>
        </w:tc>
        <w:tc>
          <w:tcPr>
            <w:tcW w:w="1995" w:type="dxa"/>
            <w:shd w:val="clear" w:color="auto" w:fill="auto"/>
          </w:tcPr>
          <w:p w14:paraId="2251380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-12.6 (-18.9, -6.2)</w:t>
            </w:r>
          </w:p>
        </w:tc>
        <w:tc>
          <w:tcPr>
            <w:tcW w:w="944" w:type="dxa"/>
            <w:shd w:val="clear" w:color="auto" w:fill="auto"/>
          </w:tcPr>
          <w:p w14:paraId="20DFAD4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&lt;0.001</w:t>
            </w:r>
          </w:p>
        </w:tc>
      </w:tr>
      <w:tr w:rsidR="00936AB1" w:rsidRPr="009C01D5" w14:paraId="6182850B" w14:textId="77777777" w:rsidTr="00FA4235">
        <w:trPr>
          <w:trHeight w:val="218"/>
        </w:trPr>
        <w:tc>
          <w:tcPr>
            <w:tcW w:w="2555" w:type="dxa"/>
            <w:shd w:val="clear" w:color="auto" w:fill="auto"/>
          </w:tcPr>
          <w:p w14:paraId="725D0FFF"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30 mg/day</w:t>
            </w:r>
          </w:p>
        </w:tc>
        <w:tc>
          <w:tcPr>
            <w:tcW w:w="730" w:type="dxa"/>
            <w:shd w:val="clear" w:color="auto" w:fill="auto"/>
          </w:tcPr>
          <w:p w14:paraId="773BAF9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102</w:t>
            </w:r>
          </w:p>
        </w:tc>
        <w:tc>
          <w:tcPr>
            <w:tcW w:w="1444" w:type="dxa"/>
            <w:shd w:val="clear" w:color="auto" w:fill="auto"/>
          </w:tcPr>
          <w:p w14:paraId="47CCC4D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99.0 (1.9)</w:t>
            </w:r>
          </w:p>
        </w:tc>
        <w:tc>
          <w:tcPr>
            <w:tcW w:w="1331" w:type="dxa"/>
            <w:shd w:val="clear" w:color="auto" w:fill="auto"/>
          </w:tcPr>
          <w:p w14:paraId="15A77B5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-11.4 (2.39)</w:t>
            </w:r>
          </w:p>
        </w:tc>
        <w:tc>
          <w:tcPr>
            <w:tcW w:w="1995" w:type="dxa"/>
            <w:shd w:val="clear" w:color="auto" w:fill="auto"/>
          </w:tcPr>
          <w:p w14:paraId="5533844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-8.5 (-14.8, -2.1)</w:t>
            </w:r>
          </w:p>
        </w:tc>
        <w:tc>
          <w:tcPr>
            <w:tcW w:w="944" w:type="dxa"/>
            <w:shd w:val="clear" w:color="auto" w:fill="auto"/>
          </w:tcPr>
          <w:p w14:paraId="3466A988"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0.009</w:t>
            </w:r>
          </w:p>
        </w:tc>
      </w:tr>
      <w:tr w:rsidR="00936AB1" w:rsidRPr="009C01D5" w14:paraId="7063705B" w14:textId="77777777" w:rsidTr="00FA4235">
        <w:trPr>
          <w:trHeight w:val="218"/>
        </w:trPr>
        <w:tc>
          <w:tcPr>
            <w:tcW w:w="2555" w:type="dxa"/>
            <w:tcBorders>
              <w:bottom w:val="single" w:sz="4" w:space="0" w:color="auto"/>
            </w:tcBorders>
            <w:shd w:val="clear" w:color="auto" w:fill="auto"/>
          </w:tcPr>
          <w:p w14:paraId="6736F18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Haloperidol 10 mg/day</w:t>
            </w:r>
            <w:r w:rsidRPr="009C01D5">
              <w:rPr>
                <w:rFonts w:ascii="Arial Narrow" w:hAnsi="Arial Narrow"/>
                <w:sz w:val="20"/>
                <w:szCs w:val="20"/>
                <w:vertAlign w:val="superscript"/>
              </w:rPr>
              <w:t>5</w:t>
            </w:r>
          </w:p>
        </w:tc>
        <w:tc>
          <w:tcPr>
            <w:tcW w:w="730" w:type="dxa"/>
            <w:tcBorders>
              <w:bottom w:val="single" w:sz="4" w:space="0" w:color="auto"/>
            </w:tcBorders>
            <w:shd w:val="clear" w:color="auto" w:fill="auto"/>
          </w:tcPr>
          <w:p w14:paraId="41DBBB0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104</w:t>
            </w:r>
          </w:p>
        </w:tc>
        <w:tc>
          <w:tcPr>
            <w:tcW w:w="1444" w:type="dxa"/>
            <w:tcBorders>
              <w:bottom w:val="single" w:sz="4" w:space="0" w:color="auto"/>
            </w:tcBorders>
            <w:shd w:val="clear" w:color="auto" w:fill="auto"/>
          </w:tcPr>
          <w:p w14:paraId="25A2DB3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99.3 (1.7)</w:t>
            </w:r>
          </w:p>
        </w:tc>
        <w:tc>
          <w:tcPr>
            <w:tcW w:w="1331" w:type="dxa"/>
            <w:tcBorders>
              <w:bottom w:val="single" w:sz="4" w:space="0" w:color="auto"/>
            </w:tcBorders>
            <w:shd w:val="clear" w:color="auto" w:fill="auto"/>
          </w:tcPr>
          <w:p w14:paraId="73C1182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 xml:space="preserve">-13.8 </w:t>
            </w:r>
          </w:p>
        </w:tc>
        <w:tc>
          <w:tcPr>
            <w:tcW w:w="1995" w:type="dxa"/>
            <w:tcBorders>
              <w:bottom w:val="single" w:sz="4" w:space="0" w:color="auto"/>
            </w:tcBorders>
            <w:shd w:val="clear" w:color="auto" w:fill="auto"/>
          </w:tcPr>
          <w:p w14:paraId="51C9B44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NR</w:t>
            </w:r>
          </w:p>
        </w:tc>
        <w:tc>
          <w:tcPr>
            <w:tcW w:w="944" w:type="dxa"/>
            <w:tcBorders>
              <w:bottom w:val="single" w:sz="4" w:space="0" w:color="auto"/>
            </w:tcBorders>
            <w:shd w:val="clear" w:color="auto" w:fill="auto"/>
          </w:tcPr>
          <w:p w14:paraId="42166668"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w:t>
            </w:r>
          </w:p>
        </w:tc>
      </w:tr>
      <w:tr w:rsidR="00936AB1" w:rsidRPr="009C01D5" w14:paraId="5D33A9DB"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31DA4553"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Potkin et al 2003</w:t>
            </w:r>
            <w:r w:rsidRPr="009C01D5">
              <w:rPr>
                <w:rFonts w:ascii="Arial Narrow" w:hAnsi="Arial Narrow"/>
                <w:b/>
                <w:sz w:val="20"/>
                <w:szCs w:val="20"/>
                <w:vertAlign w:val="superscript"/>
              </w:rPr>
              <w:t>3</w:t>
            </w:r>
          </w:p>
        </w:tc>
        <w:tc>
          <w:tcPr>
            <w:tcW w:w="730" w:type="dxa"/>
            <w:tcBorders>
              <w:top w:val="single" w:sz="4" w:space="0" w:color="auto"/>
              <w:left w:val="nil"/>
              <w:bottom w:val="single" w:sz="4" w:space="0" w:color="auto"/>
              <w:right w:val="nil"/>
            </w:tcBorders>
            <w:shd w:val="clear" w:color="auto" w:fill="auto"/>
          </w:tcPr>
          <w:p w14:paraId="1DA25B25"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788F53AF"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2D8A5816"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2F62130B"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608158AC"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6A47C31C" w14:textId="77777777" w:rsidTr="00FA4235">
        <w:trPr>
          <w:trHeight w:val="218"/>
        </w:trPr>
        <w:tc>
          <w:tcPr>
            <w:tcW w:w="2555" w:type="dxa"/>
            <w:tcBorders>
              <w:top w:val="single" w:sz="4" w:space="0" w:color="auto"/>
            </w:tcBorders>
            <w:shd w:val="clear" w:color="auto" w:fill="auto"/>
          </w:tcPr>
          <w:p w14:paraId="22081B9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2C16377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103</w:t>
            </w:r>
          </w:p>
        </w:tc>
        <w:tc>
          <w:tcPr>
            <w:tcW w:w="1444" w:type="dxa"/>
            <w:tcBorders>
              <w:top w:val="single" w:sz="4" w:space="0" w:color="auto"/>
            </w:tcBorders>
            <w:shd w:val="clear" w:color="auto" w:fill="auto"/>
          </w:tcPr>
          <w:p w14:paraId="6B5A5CA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95.7, 94.3 [18.5]</w:t>
            </w:r>
          </w:p>
        </w:tc>
        <w:tc>
          <w:tcPr>
            <w:tcW w:w="1331" w:type="dxa"/>
            <w:tcBorders>
              <w:top w:val="single" w:sz="4" w:space="0" w:color="auto"/>
            </w:tcBorders>
            <w:shd w:val="clear" w:color="auto" w:fill="auto"/>
          </w:tcPr>
          <w:p w14:paraId="04A1EBC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-5.0 (2.17)</w:t>
            </w:r>
          </w:p>
        </w:tc>
        <w:tc>
          <w:tcPr>
            <w:tcW w:w="1995" w:type="dxa"/>
            <w:tcBorders>
              <w:top w:val="single" w:sz="4" w:space="0" w:color="auto"/>
            </w:tcBorders>
            <w:shd w:val="clear" w:color="auto" w:fill="auto"/>
          </w:tcPr>
          <w:p w14:paraId="52E01607"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tcBorders>
            <w:shd w:val="clear" w:color="auto" w:fill="auto"/>
          </w:tcPr>
          <w:p w14:paraId="79B9DC5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64FBA9CA" w14:textId="77777777" w:rsidTr="00FA4235">
        <w:trPr>
          <w:trHeight w:val="218"/>
        </w:trPr>
        <w:tc>
          <w:tcPr>
            <w:tcW w:w="2555" w:type="dxa"/>
            <w:shd w:val="clear" w:color="auto" w:fill="auto"/>
          </w:tcPr>
          <w:p w14:paraId="5E14F597"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20 mg/day</w:t>
            </w:r>
          </w:p>
        </w:tc>
        <w:tc>
          <w:tcPr>
            <w:tcW w:w="730" w:type="dxa"/>
            <w:shd w:val="clear" w:color="auto" w:fill="auto"/>
          </w:tcPr>
          <w:p w14:paraId="651E9BB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101</w:t>
            </w:r>
          </w:p>
        </w:tc>
        <w:tc>
          <w:tcPr>
            <w:tcW w:w="1444" w:type="dxa"/>
            <w:shd w:val="clear" w:color="auto" w:fill="auto"/>
          </w:tcPr>
          <w:p w14:paraId="6247961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94.4, 92.6 [19.5]</w:t>
            </w:r>
          </w:p>
        </w:tc>
        <w:tc>
          <w:tcPr>
            <w:tcW w:w="1331" w:type="dxa"/>
            <w:shd w:val="clear" w:color="auto" w:fill="auto"/>
          </w:tcPr>
          <w:p w14:paraId="6F56B4F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-14.5 (2.23)</w:t>
            </w:r>
          </w:p>
        </w:tc>
        <w:tc>
          <w:tcPr>
            <w:tcW w:w="1995" w:type="dxa"/>
            <w:shd w:val="clear" w:color="auto" w:fill="auto"/>
          </w:tcPr>
          <w:p w14:paraId="6C687CA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 (-15.4, -3.8)</w:t>
            </w:r>
          </w:p>
        </w:tc>
        <w:tc>
          <w:tcPr>
            <w:tcW w:w="944" w:type="dxa"/>
            <w:shd w:val="clear" w:color="auto" w:fill="auto"/>
          </w:tcPr>
          <w:p w14:paraId="7F8323A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w:t>
            </w:r>
          </w:p>
        </w:tc>
      </w:tr>
      <w:tr w:rsidR="00936AB1" w:rsidRPr="009C01D5" w14:paraId="5F5A55F6" w14:textId="77777777" w:rsidTr="00FA4235">
        <w:trPr>
          <w:trHeight w:val="234"/>
        </w:trPr>
        <w:tc>
          <w:tcPr>
            <w:tcW w:w="2555" w:type="dxa"/>
            <w:shd w:val="clear" w:color="auto" w:fill="auto"/>
          </w:tcPr>
          <w:p w14:paraId="25AD886B"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30 mg/day</w:t>
            </w:r>
          </w:p>
        </w:tc>
        <w:tc>
          <w:tcPr>
            <w:tcW w:w="730" w:type="dxa"/>
            <w:shd w:val="clear" w:color="auto" w:fill="auto"/>
          </w:tcPr>
          <w:p w14:paraId="0D57492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101</w:t>
            </w:r>
          </w:p>
        </w:tc>
        <w:tc>
          <w:tcPr>
            <w:tcW w:w="1444" w:type="dxa"/>
            <w:shd w:val="clear" w:color="auto" w:fill="auto"/>
          </w:tcPr>
          <w:p w14:paraId="689D9C8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92.6, 94.2 [18.5]</w:t>
            </w:r>
          </w:p>
        </w:tc>
        <w:tc>
          <w:tcPr>
            <w:tcW w:w="1331" w:type="dxa"/>
            <w:shd w:val="clear" w:color="auto" w:fill="auto"/>
          </w:tcPr>
          <w:p w14:paraId="0189E41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-13.9 (2.24)</w:t>
            </w:r>
          </w:p>
        </w:tc>
        <w:tc>
          <w:tcPr>
            <w:tcW w:w="1995" w:type="dxa"/>
            <w:shd w:val="clear" w:color="auto" w:fill="auto"/>
          </w:tcPr>
          <w:p w14:paraId="21FF4CE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 (-14.8, -3.1)</w:t>
            </w:r>
          </w:p>
        </w:tc>
        <w:tc>
          <w:tcPr>
            <w:tcW w:w="944" w:type="dxa"/>
            <w:shd w:val="clear" w:color="auto" w:fill="auto"/>
          </w:tcPr>
          <w:p w14:paraId="5A35DC89"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0.003</w:t>
            </w:r>
          </w:p>
        </w:tc>
      </w:tr>
      <w:tr w:rsidR="00936AB1" w:rsidRPr="009C01D5" w14:paraId="71704A18" w14:textId="77777777" w:rsidTr="00FA4235">
        <w:trPr>
          <w:trHeight w:val="218"/>
        </w:trPr>
        <w:tc>
          <w:tcPr>
            <w:tcW w:w="2555" w:type="dxa"/>
            <w:tcBorders>
              <w:bottom w:val="single" w:sz="4" w:space="0" w:color="auto"/>
            </w:tcBorders>
            <w:shd w:val="clear" w:color="auto" w:fill="auto"/>
          </w:tcPr>
          <w:p w14:paraId="27A0ACF7"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Risperidone 6 mg/day</w:t>
            </w:r>
          </w:p>
        </w:tc>
        <w:tc>
          <w:tcPr>
            <w:tcW w:w="730" w:type="dxa"/>
            <w:tcBorders>
              <w:bottom w:val="single" w:sz="4" w:space="0" w:color="auto"/>
            </w:tcBorders>
            <w:shd w:val="clear" w:color="auto" w:fill="auto"/>
          </w:tcPr>
          <w:p w14:paraId="5A18371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99</w:t>
            </w:r>
          </w:p>
        </w:tc>
        <w:tc>
          <w:tcPr>
            <w:tcW w:w="1444" w:type="dxa"/>
            <w:tcBorders>
              <w:bottom w:val="single" w:sz="4" w:space="0" w:color="auto"/>
            </w:tcBorders>
            <w:shd w:val="clear" w:color="auto" w:fill="auto"/>
          </w:tcPr>
          <w:p w14:paraId="6E06C33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94.9</w:t>
            </w:r>
          </w:p>
        </w:tc>
        <w:tc>
          <w:tcPr>
            <w:tcW w:w="1331" w:type="dxa"/>
            <w:tcBorders>
              <w:bottom w:val="single" w:sz="4" w:space="0" w:color="auto"/>
            </w:tcBorders>
            <w:shd w:val="clear" w:color="auto" w:fill="auto"/>
          </w:tcPr>
          <w:p w14:paraId="147B64C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-15.7</w:t>
            </w:r>
          </w:p>
        </w:tc>
        <w:tc>
          <w:tcPr>
            <w:tcW w:w="1995" w:type="dxa"/>
            <w:tcBorders>
              <w:bottom w:val="single" w:sz="4" w:space="0" w:color="auto"/>
            </w:tcBorders>
            <w:shd w:val="clear" w:color="auto" w:fill="auto"/>
          </w:tcPr>
          <w:p w14:paraId="5CD6EE4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NR</w:t>
            </w:r>
          </w:p>
        </w:tc>
        <w:tc>
          <w:tcPr>
            <w:tcW w:w="944" w:type="dxa"/>
            <w:tcBorders>
              <w:bottom w:val="single" w:sz="4" w:space="0" w:color="auto"/>
            </w:tcBorders>
            <w:shd w:val="clear" w:color="auto" w:fill="auto"/>
          </w:tcPr>
          <w:p w14:paraId="3C7F0F0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&lt;0.001</w:t>
            </w:r>
          </w:p>
        </w:tc>
      </w:tr>
      <w:tr w:rsidR="00936AB1" w:rsidRPr="009C01D5" w14:paraId="5A392518"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7BD770A7"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Cutler et al 2006</w:t>
            </w:r>
            <w:r w:rsidRPr="009C01D5">
              <w:rPr>
                <w:rFonts w:ascii="Arial Narrow" w:hAnsi="Arial Narrow"/>
                <w:b/>
                <w:sz w:val="20"/>
                <w:szCs w:val="20"/>
                <w:vertAlign w:val="superscript"/>
              </w:rPr>
              <w:t>4</w:t>
            </w:r>
          </w:p>
        </w:tc>
        <w:tc>
          <w:tcPr>
            <w:tcW w:w="730" w:type="dxa"/>
            <w:tcBorders>
              <w:top w:val="single" w:sz="4" w:space="0" w:color="auto"/>
              <w:left w:val="nil"/>
              <w:bottom w:val="single" w:sz="4" w:space="0" w:color="auto"/>
              <w:right w:val="nil"/>
            </w:tcBorders>
            <w:shd w:val="clear" w:color="auto" w:fill="auto"/>
          </w:tcPr>
          <w:p w14:paraId="1309B347"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762F60F7"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12A7CA16"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4A006643"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0C6001FE"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718EB495" w14:textId="77777777" w:rsidTr="00FA4235">
        <w:trPr>
          <w:trHeight w:val="234"/>
        </w:trPr>
        <w:tc>
          <w:tcPr>
            <w:tcW w:w="2555" w:type="dxa"/>
            <w:tcBorders>
              <w:top w:val="single" w:sz="4" w:space="0" w:color="auto"/>
            </w:tcBorders>
            <w:shd w:val="clear" w:color="auto" w:fill="auto"/>
          </w:tcPr>
          <w:p w14:paraId="5D50EFEB"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0511014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88</w:t>
            </w:r>
          </w:p>
        </w:tc>
        <w:tc>
          <w:tcPr>
            <w:tcW w:w="1444" w:type="dxa"/>
            <w:tcBorders>
              <w:top w:val="single" w:sz="4" w:space="0" w:color="auto"/>
            </w:tcBorders>
            <w:shd w:val="clear" w:color="auto" w:fill="auto"/>
          </w:tcPr>
          <w:p w14:paraId="786B0B1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90.9, 90.8 [13.3]</w:t>
            </w:r>
          </w:p>
        </w:tc>
        <w:tc>
          <w:tcPr>
            <w:tcW w:w="1331" w:type="dxa"/>
            <w:tcBorders>
              <w:top w:val="single" w:sz="4" w:space="0" w:color="auto"/>
            </w:tcBorders>
            <w:shd w:val="clear" w:color="auto" w:fill="auto"/>
          </w:tcPr>
          <w:p w14:paraId="3D9616D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-5.3 (1.97)</w:t>
            </w:r>
          </w:p>
        </w:tc>
        <w:tc>
          <w:tcPr>
            <w:tcW w:w="1995" w:type="dxa"/>
            <w:tcBorders>
              <w:top w:val="single" w:sz="4" w:space="0" w:color="auto"/>
            </w:tcBorders>
            <w:shd w:val="clear" w:color="auto" w:fill="auto"/>
          </w:tcPr>
          <w:p w14:paraId="41F76F67"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tcBorders>
            <w:shd w:val="clear" w:color="auto" w:fill="auto"/>
          </w:tcPr>
          <w:p w14:paraId="4C79A3D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0F095338" w14:textId="77777777" w:rsidTr="00FA4235">
        <w:trPr>
          <w:trHeight w:val="218"/>
        </w:trPr>
        <w:tc>
          <w:tcPr>
            <w:tcW w:w="2555" w:type="dxa"/>
            <w:shd w:val="clear" w:color="auto" w:fill="auto"/>
          </w:tcPr>
          <w:p w14:paraId="0AB2BDA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2 mg/day</w:t>
            </w:r>
          </w:p>
        </w:tc>
        <w:tc>
          <w:tcPr>
            <w:tcW w:w="730" w:type="dxa"/>
            <w:shd w:val="clear" w:color="auto" w:fill="auto"/>
          </w:tcPr>
          <w:p w14:paraId="06227D8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93</w:t>
            </w:r>
          </w:p>
        </w:tc>
        <w:tc>
          <w:tcPr>
            <w:tcW w:w="1444" w:type="dxa"/>
            <w:shd w:val="clear" w:color="auto" w:fill="auto"/>
          </w:tcPr>
          <w:p w14:paraId="7436269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90.8, 90.7 [14.5]</w:t>
            </w:r>
          </w:p>
        </w:tc>
        <w:tc>
          <w:tcPr>
            <w:tcW w:w="1331" w:type="dxa"/>
            <w:shd w:val="clear" w:color="auto" w:fill="auto"/>
          </w:tcPr>
          <w:p w14:paraId="5C734F7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-8.2 (1.90)</w:t>
            </w:r>
          </w:p>
        </w:tc>
        <w:tc>
          <w:tcPr>
            <w:tcW w:w="1995" w:type="dxa"/>
            <w:shd w:val="clear" w:color="auto" w:fill="auto"/>
          </w:tcPr>
          <w:p w14:paraId="4EBB5AC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-2.9 (-8.29, 2.47)</w:t>
            </w:r>
          </w:p>
        </w:tc>
        <w:tc>
          <w:tcPr>
            <w:tcW w:w="944" w:type="dxa"/>
            <w:shd w:val="clear" w:color="auto" w:fill="auto"/>
          </w:tcPr>
          <w:p w14:paraId="049624A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0.289</w:t>
            </w:r>
          </w:p>
        </w:tc>
      </w:tr>
      <w:tr w:rsidR="00936AB1" w:rsidRPr="009C01D5" w14:paraId="10270065" w14:textId="77777777" w:rsidTr="00FA4235">
        <w:trPr>
          <w:trHeight w:val="218"/>
        </w:trPr>
        <w:tc>
          <w:tcPr>
            <w:tcW w:w="2555" w:type="dxa"/>
            <w:shd w:val="clear" w:color="auto" w:fill="auto"/>
          </w:tcPr>
          <w:p w14:paraId="73CA4D6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5 mg/day</w:t>
            </w:r>
          </w:p>
        </w:tc>
        <w:tc>
          <w:tcPr>
            <w:tcW w:w="730" w:type="dxa"/>
            <w:shd w:val="clear" w:color="auto" w:fill="auto"/>
          </w:tcPr>
          <w:p w14:paraId="330956B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w:t>
            </w:r>
          </w:p>
        </w:tc>
        <w:tc>
          <w:tcPr>
            <w:tcW w:w="1444" w:type="dxa"/>
            <w:shd w:val="clear" w:color="auto" w:fill="auto"/>
          </w:tcPr>
          <w:p w14:paraId="0851928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92.2, 92.0 [12.6]</w:t>
            </w:r>
          </w:p>
        </w:tc>
        <w:tc>
          <w:tcPr>
            <w:tcW w:w="1331" w:type="dxa"/>
            <w:shd w:val="clear" w:color="auto" w:fill="auto"/>
          </w:tcPr>
          <w:p w14:paraId="3C6E7D1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-10.6 (1.93)</w:t>
            </w:r>
          </w:p>
        </w:tc>
        <w:tc>
          <w:tcPr>
            <w:tcW w:w="1995" w:type="dxa"/>
            <w:shd w:val="clear" w:color="auto" w:fill="auto"/>
          </w:tcPr>
          <w:p w14:paraId="75C28CF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-5.2 (-10.7, 0.19)</w:t>
            </w:r>
          </w:p>
        </w:tc>
        <w:tc>
          <w:tcPr>
            <w:tcW w:w="944" w:type="dxa"/>
            <w:shd w:val="clear" w:color="auto" w:fill="auto"/>
          </w:tcPr>
          <w:p w14:paraId="43A79C6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0.058</w:t>
            </w:r>
          </w:p>
        </w:tc>
      </w:tr>
      <w:tr w:rsidR="00936AB1" w:rsidRPr="009C01D5" w14:paraId="043DA96B" w14:textId="77777777" w:rsidTr="00FA4235">
        <w:trPr>
          <w:trHeight w:val="218"/>
        </w:trPr>
        <w:tc>
          <w:tcPr>
            <w:tcW w:w="2555" w:type="dxa"/>
            <w:tcBorders>
              <w:bottom w:val="single" w:sz="4" w:space="0" w:color="auto"/>
            </w:tcBorders>
            <w:shd w:val="clear" w:color="auto" w:fill="auto"/>
          </w:tcPr>
          <w:p w14:paraId="4346DD49"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10 mg/day</w:t>
            </w:r>
          </w:p>
        </w:tc>
        <w:tc>
          <w:tcPr>
            <w:tcW w:w="730" w:type="dxa"/>
            <w:tcBorders>
              <w:bottom w:val="single" w:sz="4" w:space="0" w:color="auto"/>
            </w:tcBorders>
            <w:shd w:val="clear" w:color="auto" w:fill="auto"/>
          </w:tcPr>
          <w:p w14:paraId="10A4150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w:t>
            </w:r>
          </w:p>
        </w:tc>
        <w:tc>
          <w:tcPr>
            <w:tcW w:w="1444" w:type="dxa"/>
            <w:tcBorders>
              <w:bottom w:val="single" w:sz="4" w:space="0" w:color="auto"/>
            </w:tcBorders>
            <w:shd w:val="clear" w:color="auto" w:fill="auto"/>
          </w:tcPr>
          <w:p w14:paraId="01C6BF4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90.0 [11.9]</w:t>
            </w:r>
          </w:p>
        </w:tc>
        <w:tc>
          <w:tcPr>
            <w:tcW w:w="1331" w:type="dxa"/>
            <w:tcBorders>
              <w:bottom w:val="single" w:sz="4" w:space="0" w:color="auto"/>
            </w:tcBorders>
            <w:shd w:val="clear" w:color="auto" w:fill="auto"/>
          </w:tcPr>
          <w:p w14:paraId="40A3C5B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-11.3 (1.88)</w:t>
            </w:r>
          </w:p>
        </w:tc>
        <w:tc>
          <w:tcPr>
            <w:tcW w:w="1995" w:type="dxa"/>
            <w:tcBorders>
              <w:bottom w:val="single" w:sz="4" w:space="0" w:color="auto"/>
            </w:tcBorders>
            <w:shd w:val="clear" w:color="auto" w:fill="auto"/>
          </w:tcPr>
          <w:p w14:paraId="65E460D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-5.9 (-11.3, -0.58)</w:t>
            </w:r>
          </w:p>
        </w:tc>
        <w:tc>
          <w:tcPr>
            <w:tcW w:w="944" w:type="dxa"/>
            <w:tcBorders>
              <w:bottom w:val="single" w:sz="4" w:space="0" w:color="auto"/>
            </w:tcBorders>
            <w:shd w:val="clear" w:color="auto" w:fill="auto"/>
          </w:tcPr>
          <w:p w14:paraId="0564B9EF"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0.030</w:t>
            </w:r>
          </w:p>
        </w:tc>
      </w:tr>
      <w:tr w:rsidR="00936AB1" w:rsidRPr="009C01D5" w14:paraId="11B9AFC5"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4C992C10"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McEvoy et al 2007</w:t>
            </w:r>
            <w:r w:rsidRPr="009C01D5">
              <w:rPr>
                <w:rFonts w:ascii="Arial Narrow" w:hAnsi="Arial Narrow"/>
                <w:b/>
                <w:sz w:val="20"/>
                <w:szCs w:val="20"/>
                <w:vertAlign w:val="superscript"/>
              </w:rPr>
              <w:t>4</w:t>
            </w:r>
          </w:p>
        </w:tc>
        <w:tc>
          <w:tcPr>
            <w:tcW w:w="730" w:type="dxa"/>
            <w:tcBorders>
              <w:top w:val="single" w:sz="4" w:space="0" w:color="auto"/>
              <w:left w:val="nil"/>
              <w:bottom w:val="single" w:sz="4" w:space="0" w:color="auto"/>
              <w:right w:val="nil"/>
            </w:tcBorders>
            <w:shd w:val="clear" w:color="auto" w:fill="auto"/>
          </w:tcPr>
          <w:p w14:paraId="2B3C3283"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3F6A971E"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77343755"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293BA520"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703A902B"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21E4E68F" w14:textId="77777777" w:rsidTr="00FA4235">
        <w:trPr>
          <w:trHeight w:val="218"/>
        </w:trPr>
        <w:tc>
          <w:tcPr>
            <w:tcW w:w="2555" w:type="dxa"/>
            <w:tcBorders>
              <w:top w:val="single" w:sz="4" w:space="0" w:color="auto"/>
            </w:tcBorders>
            <w:shd w:val="clear" w:color="auto" w:fill="auto"/>
          </w:tcPr>
          <w:p w14:paraId="1B98CCA5"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4FEF92A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108</w:t>
            </w:r>
          </w:p>
        </w:tc>
        <w:tc>
          <w:tcPr>
            <w:tcW w:w="1444" w:type="dxa"/>
            <w:tcBorders>
              <w:top w:val="single" w:sz="4" w:space="0" w:color="auto"/>
            </w:tcBorders>
            <w:shd w:val="clear" w:color="auto" w:fill="auto"/>
          </w:tcPr>
          <w:p w14:paraId="34D92FA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92.3 (2.1)</w:t>
            </w:r>
          </w:p>
        </w:tc>
        <w:tc>
          <w:tcPr>
            <w:tcW w:w="1331" w:type="dxa"/>
            <w:tcBorders>
              <w:top w:val="single" w:sz="4" w:space="0" w:color="auto"/>
            </w:tcBorders>
            <w:shd w:val="clear" w:color="auto" w:fill="auto"/>
          </w:tcPr>
          <w:p w14:paraId="0B05517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-2.33 (2.35)</w:t>
            </w:r>
          </w:p>
        </w:tc>
        <w:tc>
          <w:tcPr>
            <w:tcW w:w="1995" w:type="dxa"/>
            <w:tcBorders>
              <w:top w:val="single" w:sz="4" w:space="0" w:color="auto"/>
            </w:tcBorders>
            <w:shd w:val="clear" w:color="auto" w:fill="auto"/>
          </w:tcPr>
          <w:p w14:paraId="66120BA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NR</w:t>
            </w:r>
          </w:p>
        </w:tc>
        <w:tc>
          <w:tcPr>
            <w:tcW w:w="944" w:type="dxa"/>
            <w:tcBorders>
              <w:top w:val="single" w:sz="4" w:space="0" w:color="auto"/>
            </w:tcBorders>
            <w:shd w:val="clear" w:color="auto" w:fill="auto"/>
          </w:tcPr>
          <w:p w14:paraId="5D55067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548F88F2" w14:textId="77777777" w:rsidTr="00FA4235">
        <w:trPr>
          <w:trHeight w:val="218"/>
        </w:trPr>
        <w:tc>
          <w:tcPr>
            <w:tcW w:w="2555" w:type="dxa"/>
            <w:shd w:val="clear" w:color="auto" w:fill="auto"/>
          </w:tcPr>
          <w:p w14:paraId="656DB6B1"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10 mg/day</w:t>
            </w:r>
          </w:p>
        </w:tc>
        <w:tc>
          <w:tcPr>
            <w:tcW w:w="730" w:type="dxa"/>
            <w:shd w:val="clear" w:color="auto" w:fill="auto"/>
          </w:tcPr>
          <w:p w14:paraId="3D068DB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106</w:t>
            </w:r>
          </w:p>
        </w:tc>
        <w:tc>
          <w:tcPr>
            <w:tcW w:w="1444" w:type="dxa"/>
            <w:shd w:val="clear" w:color="auto" w:fill="auto"/>
          </w:tcPr>
          <w:p w14:paraId="3F77E1D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92.7 (1.9)</w:t>
            </w:r>
          </w:p>
        </w:tc>
        <w:tc>
          <w:tcPr>
            <w:tcW w:w="1331" w:type="dxa"/>
            <w:shd w:val="clear" w:color="auto" w:fill="auto"/>
          </w:tcPr>
          <w:p w14:paraId="7520346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-15.04 (2.38)</w:t>
            </w:r>
          </w:p>
        </w:tc>
        <w:tc>
          <w:tcPr>
            <w:tcW w:w="1995" w:type="dxa"/>
            <w:shd w:val="clear" w:color="auto" w:fill="auto"/>
          </w:tcPr>
          <w:p w14:paraId="6F86FC7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-12.71 (-19.0, -6.4)</w:t>
            </w:r>
          </w:p>
        </w:tc>
        <w:tc>
          <w:tcPr>
            <w:tcW w:w="944" w:type="dxa"/>
            <w:shd w:val="clear" w:color="auto" w:fill="auto"/>
          </w:tcPr>
          <w:p w14:paraId="2890C2D7"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w:t>
            </w:r>
          </w:p>
        </w:tc>
      </w:tr>
      <w:tr w:rsidR="00936AB1" w:rsidRPr="009C01D5" w14:paraId="16735156" w14:textId="77777777" w:rsidTr="00FA4235">
        <w:trPr>
          <w:trHeight w:val="234"/>
        </w:trPr>
        <w:tc>
          <w:tcPr>
            <w:tcW w:w="2555" w:type="dxa"/>
            <w:shd w:val="clear" w:color="auto" w:fill="auto"/>
          </w:tcPr>
          <w:p w14:paraId="218599C3"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15 mg/day</w:t>
            </w:r>
          </w:p>
        </w:tc>
        <w:tc>
          <w:tcPr>
            <w:tcW w:w="730" w:type="dxa"/>
            <w:shd w:val="clear" w:color="auto" w:fill="auto"/>
          </w:tcPr>
          <w:p w14:paraId="1D688C4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106</w:t>
            </w:r>
          </w:p>
        </w:tc>
        <w:tc>
          <w:tcPr>
            <w:tcW w:w="1444" w:type="dxa"/>
            <w:shd w:val="clear" w:color="auto" w:fill="auto"/>
          </w:tcPr>
          <w:p w14:paraId="4ED97F3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93.2 (2.1)</w:t>
            </w:r>
          </w:p>
        </w:tc>
        <w:tc>
          <w:tcPr>
            <w:tcW w:w="1331" w:type="dxa"/>
            <w:shd w:val="clear" w:color="auto" w:fill="auto"/>
          </w:tcPr>
          <w:p w14:paraId="08F2468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-11.73 (2.38)</w:t>
            </w:r>
          </w:p>
        </w:tc>
        <w:tc>
          <w:tcPr>
            <w:tcW w:w="1995" w:type="dxa"/>
            <w:shd w:val="clear" w:color="auto" w:fill="auto"/>
          </w:tcPr>
          <w:p w14:paraId="5187C7C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-9.40 (-15.7, -3.1)</w:t>
            </w:r>
          </w:p>
        </w:tc>
        <w:tc>
          <w:tcPr>
            <w:tcW w:w="944" w:type="dxa"/>
            <w:shd w:val="clear" w:color="auto" w:fill="auto"/>
          </w:tcPr>
          <w:p w14:paraId="61084CB3"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≤0.01</w:t>
            </w:r>
          </w:p>
        </w:tc>
      </w:tr>
      <w:tr w:rsidR="00936AB1" w:rsidRPr="009C01D5" w14:paraId="67194E21" w14:textId="77777777" w:rsidTr="00FA4235">
        <w:trPr>
          <w:trHeight w:val="218"/>
        </w:trPr>
        <w:tc>
          <w:tcPr>
            <w:tcW w:w="2555" w:type="dxa"/>
            <w:tcBorders>
              <w:bottom w:val="single" w:sz="4" w:space="0" w:color="auto"/>
            </w:tcBorders>
            <w:shd w:val="clear" w:color="auto" w:fill="auto"/>
          </w:tcPr>
          <w:p w14:paraId="61040FB4"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20 mg/day</w:t>
            </w:r>
          </w:p>
        </w:tc>
        <w:tc>
          <w:tcPr>
            <w:tcW w:w="730" w:type="dxa"/>
            <w:tcBorders>
              <w:bottom w:val="single" w:sz="4" w:space="0" w:color="auto"/>
            </w:tcBorders>
            <w:shd w:val="clear" w:color="auto" w:fill="auto"/>
          </w:tcPr>
          <w:p w14:paraId="73DB66D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100</w:t>
            </w:r>
          </w:p>
        </w:tc>
        <w:tc>
          <w:tcPr>
            <w:tcW w:w="1444" w:type="dxa"/>
            <w:tcBorders>
              <w:bottom w:val="single" w:sz="4" w:space="0" w:color="auto"/>
            </w:tcBorders>
            <w:shd w:val="clear" w:color="auto" w:fill="auto"/>
          </w:tcPr>
          <w:p w14:paraId="43047ED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92.5 (2.1)</w:t>
            </w:r>
          </w:p>
        </w:tc>
        <w:tc>
          <w:tcPr>
            <w:tcW w:w="1331" w:type="dxa"/>
            <w:tcBorders>
              <w:bottom w:val="single" w:sz="4" w:space="0" w:color="auto"/>
            </w:tcBorders>
            <w:shd w:val="clear" w:color="auto" w:fill="auto"/>
          </w:tcPr>
          <w:p w14:paraId="1E832EB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-14.44 (2.45)</w:t>
            </w:r>
          </w:p>
        </w:tc>
        <w:tc>
          <w:tcPr>
            <w:tcW w:w="1995" w:type="dxa"/>
            <w:tcBorders>
              <w:bottom w:val="single" w:sz="4" w:space="0" w:color="auto"/>
            </w:tcBorders>
            <w:shd w:val="clear" w:color="auto" w:fill="auto"/>
          </w:tcPr>
          <w:p w14:paraId="29A3DAD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-12.11 (-18.5, -5.7)</w:t>
            </w:r>
          </w:p>
        </w:tc>
        <w:tc>
          <w:tcPr>
            <w:tcW w:w="944" w:type="dxa"/>
            <w:tcBorders>
              <w:bottom w:val="single" w:sz="4" w:space="0" w:color="auto"/>
            </w:tcBorders>
            <w:shd w:val="clear" w:color="auto" w:fill="auto"/>
          </w:tcPr>
          <w:p w14:paraId="0E0EC146"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≤0.001</w:t>
            </w:r>
          </w:p>
        </w:tc>
      </w:tr>
      <w:tr w:rsidR="00936AB1" w:rsidRPr="009C01D5" w14:paraId="1B401014"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50D72E90"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Brexpiprazole</w:t>
            </w:r>
          </w:p>
        </w:tc>
        <w:tc>
          <w:tcPr>
            <w:tcW w:w="730" w:type="dxa"/>
            <w:tcBorders>
              <w:top w:val="single" w:sz="4" w:space="0" w:color="auto"/>
              <w:left w:val="nil"/>
              <w:bottom w:val="single" w:sz="4" w:space="0" w:color="auto"/>
              <w:right w:val="nil"/>
            </w:tcBorders>
            <w:shd w:val="clear" w:color="auto" w:fill="auto"/>
          </w:tcPr>
          <w:p w14:paraId="6A223DB3" w14:textId="77777777" w:rsidR="00936AB1" w:rsidRPr="009C01D5" w:rsidRDefault="00936AB1" w:rsidP="00D4509B">
            <w:pPr>
              <w:pStyle w:val="TableTextcentred"/>
              <w:widowControl w:val="0"/>
              <w:rPr>
                <w:rFonts w:ascii="Arial Narrow" w:hAnsi="Arial Narrow"/>
                <w:b/>
                <w:sz w:val="20"/>
                <w:szCs w:val="20"/>
              </w:rPr>
            </w:pPr>
          </w:p>
        </w:tc>
        <w:tc>
          <w:tcPr>
            <w:tcW w:w="1444" w:type="dxa"/>
            <w:tcBorders>
              <w:top w:val="single" w:sz="4" w:space="0" w:color="auto"/>
              <w:left w:val="nil"/>
              <w:bottom w:val="single" w:sz="4" w:space="0" w:color="auto"/>
              <w:right w:val="nil"/>
            </w:tcBorders>
            <w:shd w:val="clear" w:color="auto" w:fill="auto"/>
          </w:tcPr>
          <w:p w14:paraId="3EA5F1BD" w14:textId="77777777" w:rsidR="00936AB1" w:rsidRPr="009C01D5" w:rsidRDefault="00936AB1" w:rsidP="00D4509B">
            <w:pPr>
              <w:pStyle w:val="TableTextcentred"/>
              <w:widowControl w:val="0"/>
              <w:rPr>
                <w:rFonts w:ascii="Arial Narrow" w:hAnsi="Arial Narrow"/>
                <w:b/>
                <w:sz w:val="20"/>
                <w:szCs w:val="20"/>
              </w:rPr>
            </w:pPr>
          </w:p>
        </w:tc>
        <w:tc>
          <w:tcPr>
            <w:tcW w:w="1331" w:type="dxa"/>
            <w:tcBorders>
              <w:top w:val="single" w:sz="4" w:space="0" w:color="auto"/>
              <w:left w:val="nil"/>
              <w:bottom w:val="single" w:sz="4" w:space="0" w:color="auto"/>
              <w:right w:val="nil"/>
            </w:tcBorders>
            <w:shd w:val="clear" w:color="auto" w:fill="auto"/>
          </w:tcPr>
          <w:p w14:paraId="7F37C735" w14:textId="77777777" w:rsidR="00936AB1" w:rsidRPr="009C01D5" w:rsidRDefault="00936AB1" w:rsidP="00D4509B">
            <w:pPr>
              <w:pStyle w:val="TableTextcentred"/>
              <w:widowControl w:val="0"/>
              <w:rPr>
                <w:rFonts w:ascii="Arial Narrow" w:hAnsi="Arial Narrow"/>
                <w:b/>
                <w:sz w:val="20"/>
                <w:szCs w:val="20"/>
              </w:rPr>
            </w:pPr>
          </w:p>
        </w:tc>
        <w:tc>
          <w:tcPr>
            <w:tcW w:w="1995" w:type="dxa"/>
            <w:tcBorders>
              <w:top w:val="single" w:sz="4" w:space="0" w:color="auto"/>
              <w:left w:val="nil"/>
              <w:bottom w:val="single" w:sz="4" w:space="0" w:color="auto"/>
              <w:right w:val="nil"/>
            </w:tcBorders>
            <w:shd w:val="clear" w:color="auto" w:fill="auto"/>
          </w:tcPr>
          <w:p w14:paraId="19E23D82" w14:textId="77777777" w:rsidR="00936AB1" w:rsidRPr="009C01D5" w:rsidRDefault="00936AB1" w:rsidP="00D4509B">
            <w:pPr>
              <w:pStyle w:val="TableTextcentred"/>
              <w:widowControl w:val="0"/>
              <w:rPr>
                <w:rFonts w:ascii="Arial Narrow" w:hAnsi="Arial Narrow"/>
                <w:b/>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175E6471" w14:textId="77777777" w:rsidR="00936AB1" w:rsidRPr="009C01D5" w:rsidRDefault="00936AB1" w:rsidP="00D4509B">
            <w:pPr>
              <w:pStyle w:val="TableTextcentred"/>
              <w:widowControl w:val="0"/>
              <w:rPr>
                <w:rFonts w:ascii="Arial Narrow" w:hAnsi="Arial Narrow"/>
                <w:b/>
                <w:sz w:val="20"/>
                <w:szCs w:val="20"/>
              </w:rPr>
            </w:pPr>
          </w:p>
        </w:tc>
      </w:tr>
      <w:tr w:rsidR="00936AB1" w:rsidRPr="009C01D5" w14:paraId="31A46642"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03B59E9E"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BEACON</w:t>
            </w:r>
          </w:p>
        </w:tc>
        <w:tc>
          <w:tcPr>
            <w:tcW w:w="730" w:type="dxa"/>
            <w:tcBorders>
              <w:top w:val="single" w:sz="4" w:space="0" w:color="auto"/>
              <w:left w:val="nil"/>
              <w:bottom w:val="single" w:sz="4" w:space="0" w:color="auto"/>
              <w:right w:val="nil"/>
            </w:tcBorders>
            <w:shd w:val="clear" w:color="auto" w:fill="auto"/>
          </w:tcPr>
          <w:p w14:paraId="6992D495"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40F25961"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2C5BC4BE"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57977315"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6826C019"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16C28915" w14:textId="77777777" w:rsidTr="00FA4235">
        <w:trPr>
          <w:trHeight w:val="218"/>
        </w:trPr>
        <w:tc>
          <w:tcPr>
            <w:tcW w:w="2555" w:type="dxa"/>
            <w:tcBorders>
              <w:top w:val="single" w:sz="4" w:space="0" w:color="auto"/>
            </w:tcBorders>
            <w:shd w:val="clear" w:color="auto" w:fill="auto"/>
          </w:tcPr>
          <w:p w14:paraId="0AF3D064"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468E3AB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184</w:t>
            </w:r>
          </w:p>
        </w:tc>
        <w:tc>
          <w:tcPr>
            <w:tcW w:w="1444" w:type="dxa"/>
            <w:tcBorders>
              <w:top w:val="single" w:sz="4" w:space="0" w:color="auto"/>
            </w:tcBorders>
            <w:shd w:val="clear" w:color="auto" w:fill="auto"/>
          </w:tcPr>
          <w:p w14:paraId="596F1C4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94.8 [13.0]</w:t>
            </w:r>
          </w:p>
        </w:tc>
        <w:tc>
          <w:tcPr>
            <w:tcW w:w="1331" w:type="dxa"/>
            <w:tcBorders>
              <w:top w:val="single" w:sz="4" w:space="0" w:color="auto"/>
            </w:tcBorders>
            <w:shd w:val="clear" w:color="auto" w:fill="auto"/>
          </w:tcPr>
          <w:p w14:paraId="169D9B0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-13.53 (1.52)</w:t>
            </w:r>
          </w:p>
        </w:tc>
        <w:tc>
          <w:tcPr>
            <w:tcW w:w="1995" w:type="dxa"/>
            <w:tcBorders>
              <w:top w:val="single" w:sz="4" w:space="0" w:color="auto"/>
            </w:tcBorders>
            <w:shd w:val="clear" w:color="auto" w:fill="auto"/>
          </w:tcPr>
          <w:p w14:paraId="37521CD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642912C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2FEE982A" w14:textId="77777777" w:rsidTr="00FA4235">
        <w:trPr>
          <w:trHeight w:val="218"/>
        </w:trPr>
        <w:tc>
          <w:tcPr>
            <w:tcW w:w="2555" w:type="dxa"/>
            <w:shd w:val="clear" w:color="auto" w:fill="auto"/>
          </w:tcPr>
          <w:p w14:paraId="401198DC"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1 mg/day</w:t>
            </w:r>
          </w:p>
        </w:tc>
        <w:tc>
          <w:tcPr>
            <w:tcW w:w="730" w:type="dxa"/>
            <w:shd w:val="clear" w:color="auto" w:fill="auto"/>
          </w:tcPr>
          <w:p w14:paraId="7E220C8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120</w:t>
            </w:r>
          </w:p>
        </w:tc>
        <w:tc>
          <w:tcPr>
            <w:tcW w:w="1444" w:type="dxa"/>
            <w:shd w:val="clear" w:color="auto" w:fill="auto"/>
          </w:tcPr>
          <w:p w14:paraId="7B47AAB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93.3 [12.8]</w:t>
            </w:r>
          </w:p>
        </w:tc>
        <w:tc>
          <w:tcPr>
            <w:tcW w:w="1331" w:type="dxa"/>
            <w:shd w:val="clear" w:color="auto" w:fill="auto"/>
          </w:tcPr>
          <w:p w14:paraId="076D7C0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-16.90 (1.86)</w:t>
            </w:r>
          </w:p>
        </w:tc>
        <w:tc>
          <w:tcPr>
            <w:tcW w:w="1995" w:type="dxa"/>
            <w:shd w:val="clear" w:color="auto" w:fill="auto"/>
          </w:tcPr>
          <w:p w14:paraId="0E3B3BD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-3.37 (-8.06, 1.32)</w:t>
            </w:r>
          </w:p>
        </w:tc>
        <w:tc>
          <w:tcPr>
            <w:tcW w:w="944" w:type="dxa"/>
            <w:shd w:val="clear" w:color="auto" w:fill="auto"/>
          </w:tcPr>
          <w:p w14:paraId="1174265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0.1588</w:t>
            </w:r>
          </w:p>
        </w:tc>
      </w:tr>
      <w:tr w:rsidR="00936AB1" w:rsidRPr="009C01D5" w14:paraId="116B5001" w14:textId="77777777" w:rsidTr="00FA4235">
        <w:trPr>
          <w:trHeight w:val="234"/>
        </w:trPr>
        <w:tc>
          <w:tcPr>
            <w:tcW w:w="2555" w:type="dxa"/>
            <w:shd w:val="clear" w:color="auto" w:fill="auto"/>
          </w:tcPr>
          <w:p w14:paraId="6F505993"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2 mg/day</w:t>
            </w:r>
          </w:p>
        </w:tc>
        <w:tc>
          <w:tcPr>
            <w:tcW w:w="730" w:type="dxa"/>
            <w:shd w:val="clear" w:color="auto" w:fill="auto"/>
          </w:tcPr>
          <w:p w14:paraId="78893FD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186</w:t>
            </w:r>
          </w:p>
        </w:tc>
        <w:tc>
          <w:tcPr>
            <w:tcW w:w="1444" w:type="dxa"/>
            <w:shd w:val="clear" w:color="auto" w:fill="auto"/>
          </w:tcPr>
          <w:p w14:paraId="4462A9B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96.3 [12.8]</w:t>
            </w:r>
          </w:p>
        </w:tc>
        <w:tc>
          <w:tcPr>
            <w:tcW w:w="1331" w:type="dxa"/>
            <w:shd w:val="clear" w:color="auto" w:fill="auto"/>
          </w:tcPr>
          <w:p w14:paraId="1815BB8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-16.61 (1.49)</w:t>
            </w:r>
          </w:p>
        </w:tc>
        <w:tc>
          <w:tcPr>
            <w:tcW w:w="1995" w:type="dxa"/>
            <w:shd w:val="clear" w:color="auto" w:fill="auto"/>
          </w:tcPr>
          <w:p w14:paraId="14C71E8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-3.08 (-7.23, 1.07)</w:t>
            </w:r>
          </w:p>
        </w:tc>
        <w:tc>
          <w:tcPr>
            <w:tcW w:w="944" w:type="dxa"/>
            <w:shd w:val="clear" w:color="auto" w:fill="auto"/>
          </w:tcPr>
          <w:p w14:paraId="35EAF2A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0.1448</w:t>
            </w:r>
          </w:p>
        </w:tc>
      </w:tr>
      <w:tr w:rsidR="00936AB1" w:rsidRPr="009C01D5" w14:paraId="3C74CF00" w14:textId="77777777" w:rsidTr="00FA4235">
        <w:trPr>
          <w:trHeight w:val="218"/>
        </w:trPr>
        <w:tc>
          <w:tcPr>
            <w:tcW w:w="2555" w:type="dxa"/>
            <w:tcBorders>
              <w:bottom w:val="single" w:sz="4" w:space="0" w:color="auto"/>
            </w:tcBorders>
            <w:shd w:val="clear" w:color="auto" w:fill="auto"/>
          </w:tcPr>
          <w:p w14:paraId="5CE8E258"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4 mg/day</w:t>
            </w:r>
          </w:p>
        </w:tc>
        <w:tc>
          <w:tcPr>
            <w:tcW w:w="730" w:type="dxa"/>
            <w:tcBorders>
              <w:bottom w:val="single" w:sz="4" w:space="0" w:color="auto"/>
            </w:tcBorders>
            <w:shd w:val="clear" w:color="auto" w:fill="auto"/>
          </w:tcPr>
          <w:p w14:paraId="6D403BB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184</w:t>
            </w:r>
          </w:p>
        </w:tc>
        <w:tc>
          <w:tcPr>
            <w:tcW w:w="1444" w:type="dxa"/>
            <w:tcBorders>
              <w:bottom w:val="single" w:sz="4" w:space="0" w:color="auto"/>
            </w:tcBorders>
            <w:shd w:val="clear" w:color="auto" w:fill="auto"/>
          </w:tcPr>
          <w:p w14:paraId="543F849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95.1 [12.5]</w:t>
            </w:r>
          </w:p>
        </w:tc>
        <w:tc>
          <w:tcPr>
            <w:tcW w:w="1331" w:type="dxa"/>
            <w:tcBorders>
              <w:bottom w:val="single" w:sz="4" w:space="0" w:color="auto"/>
            </w:tcBorders>
            <w:shd w:val="clear" w:color="auto" w:fill="auto"/>
          </w:tcPr>
          <w:p w14:paraId="23CF709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-20.00 (1.48)</w:t>
            </w:r>
          </w:p>
        </w:tc>
        <w:tc>
          <w:tcPr>
            <w:tcW w:w="1995" w:type="dxa"/>
            <w:tcBorders>
              <w:bottom w:val="single" w:sz="4" w:space="0" w:color="auto"/>
            </w:tcBorders>
            <w:shd w:val="clear" w:color="auto" w:fill="auto"/>
          </w:tcPr>
          <w:p w14:paraId="681F773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-6.47 (-10.6, -2.35)</w:t>
            </w:r>
          </w:p>
        </w:tc>
        <w:tc>
          <w:tcPr>
            <w:tcW w:w="944" w:type="dxa"/>
            <w:tcBorders>
              <w:bottom w:val="single" w:sz="4" w:space="0" w:color="auto"/>
            </w:tcBorders>
            <w:shd w:val="clear" w:color="auto" w:fill="auto"/>
          </w:tcPr>
          <w:p w14:paraId="1A2C9C4C"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0.0022</w:t>
            </w:r>
          </w:p>
        </w:tc>
      </w:tr>
      <w:tr w:rsidR="00936AB1" w:rsidRPr="009C01D5" w14:paraId="0AC0AF31" w14:textId="77777777" w:rsidTr="00FA4235">
        <w:trPr>
          <w:trHeight w:val="218"/>
        </w:trPr>
        <w:tc>
          <w:tcPr>
            <w:tcW w:w="2555" w:type="dxa"/>
            <w:tcBorders>
              <w:top w:val="single" w:sz="4" w:space="0" w:color="auto"/>
              <w:left w:val="single" w:sz="4" w:space="0" w:color="auto"/>
              <w:bottom w:val="single" w:sz="4" w:space="0" w:color="auto"/>
              <w:right w:val="nil"/>
            </w:tcBorders>
            <w:shd w:val="clear" w:color="auto" w:fill="auto"/>
          </w:tcPr>
          <w:p w14:paraId="68360019"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VECTOR</w:t>
            </w:r>
          </w:p>
        </w:tc>
        <w:tc>
          <w:tcPr>
            <w:tcW w:w="730" w:type="dxa"/>
            <w:tcBorders>
              <w:top w:val="single" w:sz="4" w:space="0" w:color="auto"/>
              <w:left w:val="nil"/>
              <w:bottom w:val="single" w:sz="4" w:space="0" w:color="auto"/>
              <w:right w:val="nil"/>
            </w:tcBorders>
            <w:shd w:val="clear" w:color="auto" w:fill="auto"/>
          </w:tcPr>
          <w:p w14:paraId="7AAEBBC2"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1C660B46"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11CB3168"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3B33265E"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3453B7D8"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6138FCFC" w14:textId="77777777" w:rsidTr="00FA4235">
        <w:trPr>
          <w:trHeight w:val="218"/>
        </w:trPr>
        <w:tc>
          <w:tcPr>
            <w:tcW w:w="2555" w:type="dxa"/>
            <w:tcBorders>
              <w:top w:val="single" w:sz="4" w:space="0" w:color="auto"/>
            </w:tcBorders>
            <w:shd w:val="clear" w:color="auto" w:fill="auto"/>
          </w:tcPr>
          <w:p w14:paraId="1D0D967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2D52E8E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184</w:t>
            </w:r>
          </w:p>
        </w:tc>
        <w:tc>
          <w:tcPr>
            <w:tcW w:w="1444" w:type="dxa"/>
            <w:tcBorders>
              <w:top w:val="single" w:sz="4" w:space="0" w:color="auto"/>
            </w:tcBorders>
            <w:shd w:val="clear" w:color="auto" w:fill="auto"/>
          </w:tcPr>
          <w:p w14:paraId="60BE38F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95.9 [11.5]</w:t>
            </w:r>
          </w:p>
        </w:tc>
        <w:tc>
          <w:tcPr>
            <w:tcW w:w="1331" w:type="dxa"/>
            <w:tcBorders>
              <w:top w:val="single" w:sz="4" w:space="0" w:color="auto"/>
            </w:tcBorders>
            <w:shd w:val="clear" w:color="auto" w:fill="auto"/>
          </w:tcPr>
          <w:p w14:paraId="7C9D35E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-12.01 (1.60)</w:t>
            </w:r>
          </w:p>
        </w:tc>
        <w:tc>
          <w:tcPr>
            <w:tcW w:w="1995" w:type="dxa"/>
            <w:tcBorders>
              <w:top w:val="single" w:sz="4" w:space="0" w:color="auto"/>
            </w:tcBorders>
            <w:shd w:val="clear" w:color="auto" w:fill="auto"/>
          </w:tcPr>
          <w:p w14:paraId="3629994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74EA728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573DFA0A" w14:textId="77777777" w:rsidTr="00FA4235">
        <w:trPr>
          <w:trHeight w:val="234"/>
        </w:trPr>
        <w:tc>
          <w:tcPr>
            <w:tcW w:w="2555" w:type="dxa"/>
            <w:shd w:val="clear" w:color="auto" w:fill="auto"/>
          </w:tcPr>
          <w:p w14:paraId="624E3C44"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0.25 mg/day</w:t>
            </w:r>
          </w:p>
        </w:tc>
        <w:tc>
          <w:tcPr>
            <w:tcW w:w="730" w:type="dxa"/>
            <w:shd w:val="clear" w:color="auto" w:fill="auto"/>
          </w:tcPr>
          <w:p w14:paraId="6E6AEC0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90</w:t>
            </w:r>
          </w:p>
        </w:tc>
        <w:tc>
          <w:tcPr>
            <w:tcW w:w="1444" w:type="dxa"/>
            <w:shd w:val="clear" w:color="auto" w:fill="auto"/>
          </w:tcPr>
          <w:p w14:paraId="16EE5F0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93.4 [11.7]</w:t>
            </w:r>
          </w:p>
        </w:tc>
        <w:tc>
          <w:tcPr>
            <w:tcW w:w="1331" w:type="dxa"/>
            <w:shd w:val="clear" w:color="auto" w:fill="auto"/>
          </w:tcPr>
          <w:p w14:paraId="51C155B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-14.90 (2.23)</w:t>
            </w:r>
          </w:p>
        </w:tc>
        <w:tc>
          <w:tcPr>
            <w:tcW w:w="1995" w:type="dxa"/>
            <w:shd w:val="clear" w:color="auto" w:fill="auto"/>
          </w:tcPr>
          <w:p w14:paraId="0101CE6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-2.89 (-8.27, 2.49)</w:t>
            </w:r>
          </w:p>
        </w:tc>
        <w:tc>
          <w:tcPr>
            <w:tcW w:w="944" w:type="dxa"/>
            <w:shd w:val="clear" w:color="auto" w:fill="auto"/>
          </w:tcPr>
          <w:p w14:paraId="3D573FF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0.3</w:t>
            </w:r>
          </w:p>
        </w:tc>
      </w:tr>
      <w:tr w:rsidR="00936AB1" w:rsidRPr="009C01D5" w14:paraId="356CCE68" w14:textId="77777777" w:rsidTr="00FA4235">
        <w:trPr>
          <w:trHeight w:val="218"/>
        </w:trPr>
        <w:tc>
          <w:tcPr>
            <w:tcW w:w="2555" w:type="dxa"/>
            <w:shd w:val="clear" w:color="auto" w:fill="auto"/>
          </w:tcPr>
          <w:p w14:paraId="7FAE3AFA"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2 mg/day</w:t>
            </w:r>
          </w:p>
        </w:tc>
        <w:tc>
          <w:tcPr>
            <w:tcW w:w="730" w:type="dxa"/>
            <w:shd w:val="clear" w:color="auto" w:fill="auto"/>
          </w:tcPr>
          <w:p w14:paraId="5A1997D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182</w:t>
            </w:r>
          </w:p>
        </w:tc>
        <w:tc>
          <w:tcPr>
            <w:tcW w:w="1444" w:type="dxa"/>
            <w:shd w:val="clear" w:color="auto" w:fill="auto"/>
          </w:tcPr>
          <w:p w14:paraId="22E3A35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95.9 [13.7]</w:t>
            </w:r>
          </w:p>
        </w:tc>
        <w:tc>
          <w:tcPr>
            <w:tcW w:w="1331" w:type="dxa"/>
            <w:shd w:val="clear" w:color="auto" w:fill="auto"/>
          </w:tcPr>
          <w:p w14:paraId="11FD56CF"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-20.73 (1.55)</w:t>
            </w:r>
          </w:p>
        </w:tc>
        <w:tc>
          <w:tcPr>
            <w:tcW w:w="1995" w:type="dxa"/>
            <w:shd w:val="clear" w:color="auto" w:fill="auto"/>
          </w:tcPr>
          <w:p w14:paraId="3EF80AC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-8.72 (-13.1, -4.37)</w:t>
            </w:r>
          </w:p>
        </w:tc>
        <w:tc>
          <w:tcPr>
            <w:tcW w:w="944" w:type="dxa"/>
            <w:shd w:val="clear" w:color="auto" w:fill="auto"/>
          </w:tcPr>
          <w:p w14:paraId="4CC179DC"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&lt;0.0001</w:t>
            </w:r>
          </w:p>
        </w:tc>
      </w:tr>
      <w:tr w:rsidR="00936AB1" w:rsidRPr="009C01D5" w14:paraId="51F18E8F" w14:textId="77777777" w:rsidTr="00FA4235">
        <w:trPr>
          <w:trHeight w:val="218"/>
        </w:trPr>
        <w:tc>
          <w:tcPr>
            <w:tcW w:w="2555" w:type="dxa"/>
            <w:tcBorders>
              <w:bottom w:val="single" w:sz="4" w:space="0" w:color="auto"/>
            </w:tcBorders>
            <w:shd w:val="clear" w:color="auto" w:fill="auto"/>
          </w:tcPr>
          <w:p w14:paraId="2A372B52"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4 mg/day</w:t>
            </w:r>
          </w:p>
        </w:tc>
        <w:tc>
          <w:tcPr>
            <w:tcW w:w="730" w:type="dxa"/>
            <w:tcBorders>
              <w:bottom w:val="single" w:sz="4" w:space="0" w:color="auto"/>
            </w:tcBorders>
            <w:shd w:val="clear" w:color="auto" w:fill="auto"/>
          </w:tcPr>
          <w:p w14:paraId="2185C3D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180</w:t>
            </w:r>
          </w:p>
        </w:tc>
        <w:tc>
          <w:tcPr>
            <w:tcW w:w="1444" w:type="dxa"/>
            <w:tcBorders>
              <w:bottom w:val="single" w:sz="4" w:space="0" w:color="auto"/>
            </w:tcBorders>
            <w:shd w:val="clear" w:color="auto" w:fill="auto"/>
          </w:tcPr>
          <w:p w14:paraId="23B66A1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94.9 [12.2]</w:t>
            </w:r>
          </w:p>
        </w:tc>
        <w:tc>
          <w:tcPr>
            <w:tcW w:w="1331" w:type="dxa"/>
            <w:tcBorders>
              <w:bottom w:val="single" w:sz="4" w:space="0" w:color="auto"/>
            </w:tcBorders>
            <w:shd w:val="clear" w:color="auto" w:fill="auto"/>
          </w:tcPr>
          <w:p w14:paraId="2810D88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-19.65 (1.54)</w:t>
            </w:r>
          </w:p>
        </w:tc>
        <w:tc>
          <w:tcPr>
            <w:tcW w:w="1995" w:type="dxa"/>
            <w:tcBorders>
              <w:bottom w:val="single" w:sz="4" w:space="0" w:color="auto"/>
            </w:tcBorders>
            <w:shd w:val="clear" w:color="auto" w:fill="auto"/>
          </w:tcPr>
          <w:p w14:paraId="294FD3F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-7.64 (-12.0, 3.30)</w:t>
            </w:r>
          </w:p>
        </w:tc>
        <w:tc>
          <w:tcPr>
            <w:tcW w:w="944" w:type="dxa"/>
            <w:tcBorders>
              <w:bottom w:val="single" w:sz="4" w:space="0" w:color="auto"/>
            </w:tcBorders>
            <w:shd w:val="clear" w:color="auto" w:fill="auto"/>
          </w:tcPr>
          <w:p w14:paraId="7684710A" w14:textId="77777777" w:rsidR="00936AB1" w:rsidRPr="009C01D5" w:rsidRDefault="00936AB1" w:rsidP="00D4509B">
            <w:pPr>
              <w:pStyle w:val="TableTextcentred"/>
              <w:widowControl w:val="0"/>
              <w:rPr>
                <w:rFonts w:ascii="Arial Narrow" w:hAnsi="Arial Narrow"/>
                <w:b/>
                <w:sz w:val="20"/>
                <w:szCs w:val="20"/>
              </w:rPr>
            </w:pPr>
            <w:r w:rsidRPr="009C01D5">
              <w:rPr>
                <w:rFonts w:ascii="Arial Narrow" w:hAnsi="Arial Narrow"/>
                <w:b/>
                <w:sz w:val="20"/>
                <w:szCs w:val="20"/>
              </w:rPr>
              <w:t>0.0006</w:t>
            </w:r>
          </w:p>
        </w:tc>
      </w:tr>
      <w:tr w:rsidR="00936AB1" w:rsidRPr="009C01D5" w14:paraId="02CBAE60"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3AF6DC97"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LIGHTHOUSE</w:t>
            </w:r>
          </w:p>
        </w:tc>
        <w:tc>
          <w:tcPr>
            <w:tcW w:w="730" w:type="dxa"/>
            <w:tcBorders>
              <w:top w:val="single" w:sz="4" w:space="0" w:color="auto"/>
              <w:left w:val="nil"/>
              <w:bottom w:val="single" w:sz="4" w:space="0" w:color="auto"/>
              <w:right w:val="nil"/>
            </w:tcBorders>
            <w:shd w:val="clear" w:color="auto" w:fill="auto"/>
          </w:tcPr>
          <w:p w14:paraId="2B796220"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6AB63439"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6AFE5D4D"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3B4E30B5"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41AF7296"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3ABA6B0A" w14:textId="77777777" w:rsidTr="00FA4235">
        <w:trPr>
          <w:trHeight w:val="218"/>
        </w:trPr>
        <w:tc>
          <w:tcPr>
            <w:tcW w:w="2555" w:type="dxa"/>
            <w:tcBorders>
              <w:top w:val="single" w:sz="4" w:space="0" w:color="auto"/>
            </w:tcBorders>
            <w:shd w:val="clear" w:color="auto" w:fill="auto"/>
          </w:tcPr>
          <w:p w14:paraId="5AED5019"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5D26A3E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161</w:t>
            </w:r>
          </w:p>
        </w:tc>
        <w:tc>
          <w:tcPr>
            <w:tcW w:w="1444" w:type="dxa"/>
            <w:tcBorders>
              <w:top w:val="single" w:sz="4" w:space="0" w:color="auto"/>
            </w:tcBorders>
            <w:shd w:val="clear" w:color="auto" w:fill="auto"/>
          </w:tcPr>
          <w:p w14:paraId="2E6AB713"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98.4 [10.3]</w:t>
            </w:r>
          </w:p>
        </w:tc>
        <w:tc>
          <w:tcPr>
            <w:tcW w:w="1331" w:type="dxa"/>
            <w:tcBorders>
              <w:top w:val="single" w:sz="4" w:space="0" w:color="auto"/>
            </w:tcBorders>
            <w:shd w:val="clear" w:color="auto" w:fill="auto"/>
          </w:tcPr>
          <w:p w14:paraId="4EFE2BC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-15.9 (1.5)</w:t>
            </w:r>
          </w:p>
        </w:tc>
        <w:tc>
          <w:tcPr>
            <w:tcW w:w="1995" w:type="dxa"/>
            <w:tcBorders>
              <w:top w:val="single" w:sz="4" w:space="0" w:color="auto"/>
            </w:tcBorders>
            <w:shd w:val="clear" w:color="auto" w:fill="auto"/>
          </w:tcPr>
          <w:p w14:paraId="07E2E710"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26C6FBE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07EB3D7C" w14:textId="77777777" w:rsidTr="00FA4235">
        <w:trPr>
          <w:trHeight w:val="218"/>
        </w:trPr>
        <w:tc>
          <w:tcPr>
            <w:tcW w:w="2555" w:type="dxa"/>
            <w:tcBorders>
              <w:bottom w:val="single" w:sz="4" w:space="0" w:color="auto"/>
            </w:tcBorders>
            <w:shd w:val="clear" w:color="auto" w:fill="auto"/>
          </w:tcPr>
          <w:p w14:paraId="1CA93939"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2–4 mg/day</w:t>
            </w:r>
          </w:p>
        </w:tc>
        <w:tc>
          <w:tcPr>
            <w:tcW w:w="730" w:type="dxa"/>
            <w:tcBorders>
              <w:bottom w:val="single" w:sz="4" w:space="0" w:color="auto"/>
            </w:tcBorders>
            <w:shd w:val="clear" w:color="auto" w:fill="auto"/>
          </w:tcPr>
          <w:p w14:paraId="23050A5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150</w:t>
            </w:r>
          </w:p>
        </w:tc>
        <w:tc>
          <w:tcPr>
            <w:tcW w:w="1444" w:type="dxa"/>
            <w:tcBorders>
              <w:bottom w:val="single" w:sz="4" w:space="0" w:color="auto"/>
            </w:tcBorders>
            <w:shd w:val="clear" w:color="auto" w:fill="auto"/>
          </w:tcPr>
          <w:p w14:paraId="136A5BC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97.8 [10.3]</w:t>
            </w:r>
          </w:p>
        </w:tc>
        <w:tc>
          <w:tcPr>
            <w:tcW w:w="1331" w:type="dxa"/>
            <w:tcBorders>
              <w:bottom w:val="single" w:sz="4" w:space="0" w:color="auto"/>
            </w:tcBorders>
            <w:shd w:val="clear" w:color="auto" w:fill="auto"/>
          </w:tcPr>
          <w:p w14:paraId="724FFFF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-20.0 (1.5)</w:t>
            </w:r>
          </w:p>
        </w:tc>
        <w:tc>
          <w:tcPr>
            <w:tcW w:w="1995" w:type="dxa"/>
            <w:tcBorders>
              <w:bottom w:val="single" w:sz="4" w:space="0" w:color="auto"/>
            </w:tcBorders>
            <w:shd w:val="clear" w:color="auto" w:fill="auto"/>
          </w:tcPr>
          <w:p w14:paraId="021C822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-4.1 (-8.2, 0.1)</w:t>
            </w:r>
          </w:p>
        </w:tc>
        <w:tc>
          <w:tcPr>
            <w:tcW w:w="944" w:type="dxa"/>
            <w:tcBorders>
              <w:bottom w:val="single" w:sz="4" w:space="0" w:color="auto"/>
            </w:tcBorders>
            <w:shd w:val="clear" w:color="auto" w:fill="auto"/>
          </w:tcPr>
          <w:p w14:paraId="1ABAB62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0.0560</w:t>
            </w:r>
          </w:p>
        </w:tc>
      </w:tr>
      <w:tr w:rsidR="00936AB1" w:rsidRPr="009C01D5" w14:paraId="43BC2BA4" w14:textId="77777777" w:rsidTr="00FA4235">
        <w:trPr>
          <w:trHeight w:val="234"/>
        </w:trPr>
        <w:tc>
          <w:tcPr>
            <w:tcW w:w="2555" w:type="dxa"/>
            <w:tcBorders>
              <w:top w:val="single" w:sz="4" w:space="0" w:color="auto"/>
              <w:left w:val="single" w:sz="4" w:space="0" w:color="auto"/>
              <w:bottom w:val="single" w:sz="4" w:space="0" w:color="auto"/>
              <w:right w:val="nil"/>
            </w:tcBorders>
            <w:shd w:val="clear" w:color="auto" w:fill="auto"/>
          </w:tcPr>
          <w:p w14:paraId="66A26874" w14:textId="77777777" w:rsidR="00936AB1" w:rsidRPr="009C01D5" w:rsidRDefault="00936AB1" w:rsidP="00D4509B">
            <w:pPr>
              <w:pStyle w:val="TableTextleftalign"/>
              <w:widowControl w:val="0"/>
              <w:rPr>
                <w:rFonts w:ascii="Arial Narrow" w:hAnsi="Arial Narrow"/>
                <w:b/>
                <w:sz w:val="20"/>
                <w:szCs w:val="20"/>
              </w:rPr>
            </w:pPr>
            <w:r w:rsidRPr="009C01D5">
              <w:rPr>
                <w:rFonts w:ascii="Arial Narrow" w:hAnsi="Arial Narrow"/>
                <w:b/>
                <w:sz w:val="20"/>
                <w:szCs w:val="20"/>
              </w:rPr>
              <w:t>STEP-203</w:t>
            </w:r>
          </w:p>
        </w:tc>
        <w:tc>
          <w:tcPr>
            <w:tcW w:w="730" w:type="dxa"/>
            <w:tcBorders>
              <w:top w:val="single" w:sz="4" w:space="0" w:color="auto"/>
              <w:left w:val="nil"/>
              <w:bottom w:val="single" w:sz="4" w:space="0" w:color="auto"/>
              <w:right w:val="nil"/>
            </w:tcBorders>
            <w:shd w:val="clear" w:color="auto" w:fill="auto"/>
          </w:tcPr>
          <w:p w14:paraId="7F8E22FF" w14:textId="77777777" w:rsidR="00936AB1" w:rsidRPr="009C01D5" w:rsidRDefault="00936AB1" w:rsidP="00D4509B">
            <w:pPr>
              <w:pStyle w:val="TableTextcentred"/>
              <w:widowControl w:val="0"/>
              <w:rPr>
                <w:rFonts w:ascii="Arial Narrow" w:hAnsi="Arial Narrow"/>
                <w:sz w:val="20"/>
                <w:szCs w:val="20"/>
              </w:rPr>
            </w:pPr>
          </w:p>
        </w:tc>
        <w:tc>
          <w:tcPr>
            <w:tcW w:w="1444" w:type="dxa"/>
            <w:tcBorders>
              <w:top w:val="single" w:sz="4" w:space="0" w:color="auto"/>
              <w:left w:val="nil"/>
              <w:bottom w:val="single" w:sz="4" w:space="0" w:color="auto"/>
              <w:right w:val="nil"/>
            </w:tcBorders>
            <w:shd w:val="clear" w:color="auto" w:fill="auto"/>
          </w:tcPr>
          <w:p w14:paraId="0AE19051" w14:textId="77777777" w:rsidR="00936AB1" w:rsidRPr="009C01D5" w:rsidRDefault="00936AB1" w:rsidP="00D4509B">
            <w:pPr>
              <w:pStyle w:val="TableTextcentred"/>
              <w:widowControl w:val="0"/>
              <w:rPr>
                <w:rFonts w:ascii="Arial Narrow" w:hAnsi="Arial Narrow"/>
                <w:sz w:val="20"/>
                <w:szCs w:val="20"/>
              </w:rPr>
            </w:pPr>
          </w:p>
        </w:tc>
        <w:tc>
          <w:tcPr>
            <w:tcW w:w="1331" w:type="dxa"/>
            <w:tcBorders>
              <w:top w:val="single" w:sz="4" w:space="0" w:color="auto"/>
              <w:left w:val="nil"/>
              <w:bottom w:val="single" w:sz="4" w:space="0" w:color="auto"/>
              <w:right w:val="nil"/>
            </w:tcBorders>
            <w:shd w:val="clear" w:color="auto" w:fill="auto"/>
          </w:tcPr>
          <w:p w14:paraId="0A6A3AB0" w14:textId="77777777" w:rsidR="00936AB1" w:rsidRPr="009C01D5" w:rsidRDefault="00936AB1" w:rsidP="00D4509B">
            <w:pPr>
              <w:pStyle w:val="TableTextcentred"/>
              <w:widowControl w:val="0"/>
              <w:rPr>
                <w:rFonts w:ascii="Arial Narrow" w:hAnsi="Arial Narrow"/>
                <w:sz w:val="20"/>
                <w:szCs w:val="20"/>
              </w:rPr>
            </w:pPr>
          </w:p>
        </w:tc>
        <w:tc>
          <w:tcPr>
            <w:tcW w:w="1995" w:type="dxa"/>
            <w:tcBorders>
              <w:top w:val="single" w:sz="4" w:space="0" w:color="auto"/>
              <w:left w:val="nil"/>
              <w:bottom w:val="single" w:sz="4" w:space="0" w:color="auto"/>
              <w:right w:val="nil"/>
            </w:tcBorders>
            <w:shd w:val="clear" w:color="auto" w:fill="auto"/>
          </w:tcPr>
          <w:p w14:paraId="285A1B73" w14:textId="77777777" w:rsidR="00936AB1" w:rsidRPr="009C01D5" w:rsidRDefault="00936AB1" w:rsidP="00D4509B">
            <w:pPr>
              <w:pStyle w:val="TableTextcentred"/>
              <w:widowControl w:val="0"/>
              <w:rPr>
                <w:rFonts w:ascii="Arial Narrow" w:hAnsi="Arial Narrow"/>
                <w:sz w:val="20"/>
                <w:szCs w:val="20"/>
              </w:rPr>
            </w:pPr>
          </w:p>
        </w:tc>
        <w:tc>
          <w:tcPr>
            <w:tcW w:w="944" w:type="dxa"/>
            <w:tcBorders>
              <w:top w:val="single" w:sz="4" w:space="0" w:color="auto"/>
              <w:left w:val="nil"/>
              <w:bottom w:val="single" w:sz="4" w:space="0" w:color="auto"/>
              <w:right w:val="single" w:sz="4" w:space="0" w:color="auto"/>
            </w:tcBorders>
            <w:shd w:val="clear" w:color="auto" w:fill="auto"/>
          </w:tcPr>
          <w:p w14:paraId="23DBD662" w14:textId="77777777" w:rsidR="00936AB1" w:rsidRPr="009C01D5" w:rsidRDefault="00936AB1" w:rsidP="00D4509B">
            <w:pPr>
              <w:pStyle w:val="TableTextcentred"/>
              <w:widowControl w:val="0"/>
              <w:rPr>
                <w:rFonts w:ascii="Arial Narrow" w:hAnsi="Arial Narrow"/>
                <w:sz w:val="20"/>
                <w:szCs w:val="20"/>
              </w:rPr>
            </w:pPr>
          </w:p>
        </w:tc>
      </w:tr>
      <w:tr w:rsidR="00936AB1" w:rsidRPr="009C01D5" w14:paraId="0C364E35" w14:textId="77777777" w:rsidTr="00FA4235">
        <w:trPr>
          <w:trHeight w:val="218"/>
        </w:trPr>
        <w:tc>
          <w:tcPr>
            <w:tcW w:w="2555" w:type="dxa"/>
            <w:tcBorders>
              <w:top w:val="single" w:sz="4" w:space="0" w:color="auto"/>
            </w:tcBorders>
            <w:shd w:val="clear" w:color="auto" w:fill="auto"/>
          </w:tcPr>
          <w:p w14:paraId="24E31BB4"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Placebo</w:t>
            </w:r>
          </w:p>
        </w:tc>
        <w:tc>
          <w:tcPr>
            <w:tcW w:w="730" w:type="dxa"/>
            <w:tcBorders>
              <w:top w:val="single" w:sz="4" w:space="0" w:color="auto"/>
            </w:tcBorders>
            <w:shd w:val="clear" w:color="auto" w:fill="auto"/>
          </w:tcPr>
          <w:p w14:paraId="37AA9C2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93</w:t>
            </w:r>
          </w:p>
        </w:tc>
        <w:tc>
          <w:tcPr>
            <w:tcW w:w="1444" w:type="dxa"/>
            <w:tcBorders>
              <w:top w:val="single" w:sz="4" w:space="0" w:color="auto"/>
            </w:tcBorders>
            <w:shd w:val="clear" w:color="auto" w:fill="auto"/>
          </w:tcPr>
          <w:p w14:paraId="2735AD95"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97.5 [9.9]</w:t>
            </w:r>
          </w:p>
        </w:tc>
        <w:tc>
          <w:tcPr>
            <w:tcW w:w="1331" w:type="dxa"/>
            <w:tcBorders>
              <w:top w:val="single" w:sz="4" w:space="0" w:color="auto"/>
            </w:tcBorders>
            <w:shd w:val="clear" w:color="auto" w:fill="auto"/>
          </w:tcPr>
          <w:p w14:paraId="5150FB0E"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-17.28 (2.19)</w:t>
            </w:r>
          </w:p>
        </w:tc>
        <w:tc>
          <w:tcPr>
            <w:tcW w:w="1995" w:type="dxa"/>
            <w:tcBorders>
              <w:top w:val="single" w:sz="4" w:space="0" w:color="auto"/>
            </w:tcBorders>
            <w:shd w:val="clear" w:color="auto" w:fill="auto"/>
          </w:tcPr>
          <w:p w14:paraId="2ABC1E5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c>
          <w:tcPr>
            <w:tcW w:w="944" w:type="dxa"/>
            <w:tcBorders>
              <w:top w:val="single" w:sz="4" w:space="0" w:color="auto"/>
            </w:tcBorders>
            <w:shd w:val="clear" w:color="auto" w:fill="auto"/>
          </w:tcPr>
          <w:p w14:paraId="0DE458F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w:t>
            </w:r>
          </w:p>
        </w:tc>
      </w:tr>
      <w:tr w:rsidR="00936AB1" w:rsidRPr="009C01D5" w14:paraId="32D84694" w14:textId="77777777" w:rsidTr="00FA4235">
        <w:trPr>
          <w:trHeight w:val="218"/>
        </w:trPr>
        <w:tc>
          <w:tcPr>
            <w:tcW w:w="2555" w:type="dxa"/>
            <w:shd w:val="clear" w:color="auto" w:fill="auto"/>
          </w:tcPr>
          <w:p w14:paraId="1A630380"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0.25 mg/day</w:t>
            </w:r>
          </w:p>
        </w:tc>
        <w:tc>
          <w:tcPr>
            <w:tcW w:w="730" w:type="dxa"/>
            <w:shd w:val="clear" w:color="auto" w:fill="auto"/>
          </w:tcPr>
          <w:p w14:paraId="6389FA79"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41</w:t>
            </w:r>
          </w:p>
        </w:tc>
        <w:tc>
          <w:tcPr>
            <w:tcW w:w="1444" w:type="dxa"/>
            <w:shd w:val="clear" w:color="auto" w:fill="auto"/>
          </w:tcPr>
          <w:p w14:paraId="3F5ADDE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97.3 [8.5]</w:t>
            </w:r>
          </w:p>
        </w:tc>
        <w:tc>
          <w:tcPr>
            <w:tcW w:w="1331" w:type="dxa"/>
            <w:shd w:val="clear" w:color="auto" w:fill="auto"/>
          </w:tcPr>
          <w:p w14:paraId="1BFFE0F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-12.41 (3.41)</w:t>
            </w:r>
          </w:p>
        </w:tc>
        <w:tc>
          <w:tcPr>
            <w:tcW w:w="1995" w:type="dxa"/>
            <w:shd w:val="clear" w:color="auto" w:fill="auto"/>
          </w:tcPr>
          <w:p w14:paraId="4266AC8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4.88 (-3.09, 12.85)</w:t>
            </w:r>
          </w:p>
        </w:tc>
        <w:tc>
          <w:tcPr>
            <w:tcW w:w="944" w:type="dxa"/>
            <w:shd w:val="clear" w:color="auto" w:fill="auto"/>
          </w:tcPr>
          <w:p w14:paraId="77F5FC2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0.2288</w:t>
            </w:r>
          </w:p>
        </w:tc>
      </w:tr>
      <w:tr w:rsidR="00936AB1" w:rsidRPr="009C01D5" w14:paraId="0F66D190" w14:textId="77777777" w:rsidTr="00FA4235">
        <w:trPr>
          <w:trHeight w:val="218"/>
        </w:trPr>
        <w:tc>
          <w:tcPr>
            <w:tcW w:w="2555" w:type="dxa"/>
            <w:shd w:val="clear" w:color="auto" w:fill="auto"/>
          </w:tcPr>
          <w:p w14:paraId="2E187BE6"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0.5–1.5 mg/day</w:t>
            </w:r>
          </w:p>
        </w:tc>
        <w:tc>
          <w:tcPr>
            <w:tcW w:w="730" w:type="dxa"/>
            <w:shd w:val="clear" w:color="auto" w:fill="auto"/>
          </w:tcPr>
          <w:p w14:paraId="7C56021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88</w:t>
            </w:r>
          </w:p>
        </w:tc>
        <w:tc>
          <w:tcPr>
            <w:tcW w:w="1444" w:type="dxa"/>
            <w:shd w:val="clear" w:color="auto" w:fill="auto"/>
          </w:tcPr>
          <w:p w14:paraId="0A9C116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96.2 [10.0]</w:t>
            </w:r>
          </w:p>
        </w:tc>
        <w:tc>
          <w:tcPr>
            <w:tcW w:w="1331" w:type="dxa"/>
            <w:shd w:val="clear" w:color="auto" w:fill="auto"/>
          </w:tcPr>
          <w:p w14:paraId="2053F0BD"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-21.98 (2.19)</w:t>
            </w:r>
          </w:p>
        </w:tc>
        <w:tc>
          <w:tcPr>
            <w:tcW w:w="1995" w:type="dxa"/>
            <w:shd w:val="clear" w:color="auto" w:fill="auto"/>
          </w:tcPr>
          <w:p w14:paraId="4F473A1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-4.69 (-10.8, 1.39)</w:t>
            </w:r>
          </w:p>
        </w:tc>
        <w:tc>
          <w:tcPr>
            <w:tcW w:w="944" w:type="dxa"/>
            <w:shd w:val="clear" w:color="auto" w:fill="auto"/>
          </w:tcPr>
          <w:p w14:paraId="7A8D078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0.1299</w:t>
            </w:r>
          </w:p>
        </w:tc>
      </w:tr>
      <w:tr w:rsidR="00936AB1" w:rsidRPr="009C01D5" w14:paraId="58026049" w14:textId="77777777" w:rsidTr="00FA4235">
        <w:trPr>
          <w:trHeight w:val="234"/>
        </w:trPr>
        <w:tc>
          <w:tcPr>
            <w:tcW w:w="2555" w:type="dxa"/>
            <w:shd w:val="clear" w:color="auto" w:fill="auto"/>
          </w:tcPr>
          <w:p w14:paraId="76823D2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2–3 mg/day</w:t>
            </w:r>
          </w:p>
        </w:tc>
        <w:tc>
          <w:tcPr>
            <w:tcW w:w="730" w:type="dxa"/>
            <w:shd w:val="clear" w:color="auto" w:fill="auto"/>
          </w:tcPr>
          <w:p w14:paraId="7D71EC91"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90</w:t>
            </w:r>
          </w:p>
        </w:tc>
        <w:tc>
          <w:tcPr>
            <w:tcW w:w="1444" w:type="dxa"/>
            <w:shd w:val="clear" w:color="auto" w:fill="auto"/>
          </w:tcPr>
          <w:p w14:paraId="168D756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98.6 [10.5]</w:t>
            </w:r>
          </w:p>
        </w:tc>
        <w:tc>
          <w:tcPr>
            <w:tcW w:w="1331" w:type="dxa"/>
            <w:shd w:val="clear" w:color="auto" w:fill="auto"/>
          </w:tcPr>
          <w:p w14:paraId="4BDCEA12"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-19.00 (2.25)</w:t>
            </w:r>
          </w:p>
        </w:tc>
        <w:tc>
          <w:tcPr>
            <w:tcW w:w="1995" w:type="dxa"/>
            <w:shd w:val="clear" w:color="auto" w:fill="auto"/>
          </w:tcPr>
          <w:p w14:paraId="750C9A97"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-1.72 (-7.89, 4.46)</w:t>
            </w:r>
          </w:p>
        </w:tc>
        <w:tc>
          <w:tcPr>
            <w:tcW w:w="944" w:type="dxa"/>
            <w:shd w:val="clear" w:color="auto" w:fill="auto"/>
          </w:tcPr>
          <w:p w14:paraId="7F937BD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0.5841</w:t>
            </w:r>
          </w:p>
        </w:tc>
      </w:tr>
      <w:tr w:rsidR="00936AB1" w:rsidRPr="009C01D5" w14:paraId="681E208D" w14:textId="77777777" w:rsidTr="00FA4235">
        <w:trPr>
          <w:trHeight w:val="218"/>
        </w:trPr>
        <w:tc>
          <w:tcPr>
            <w:tcW w:w="2555" w:type="dxa"/>
            <w:shd w:val="clear" w:color="auto" w:fill="auto"/>
          </w:tcPr>
          <w:p w14:paraId="6E34BC7D"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Brexpiprazole 4.5–5.5 mg/day</w:t>
            </w:r>
          </w:p>
        </w:tc>
        <w:tc>
          <w:tcPr>
            <w:tcW w:w="730" w:type="dxa"/>
            <w:shd w:val="clear" w:color="auto" w:fill="auto"/>
          </w:tcPr>
          <w:p w14:paraId="782FFDC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92</w:t>
            </w:r>
          </w:p>
        </w:tc>
        <w:tc>
          <w:tcPr>
            <w:tcW w:w="1444" w:type="dxa"/>
            <w:shd w:val="clear" w:color="auto" w:fill="auto"/>
          </w:tcPr>
          <w:p w14:paraId="642854A6"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97.8 [11.0]</w:t>
            </w:r>
          </w:p>
        </w:tc>
        <w:tc>
          <w:tcPr>
            <w:tcW w:w="1331" w:type="dxa"/>
            <w:shd w:val="clear" w:color="auto" w:fill="auto"/>
          </w:tcPr>
          <w:p w14:paraId="7A44408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21.73 (2.19)</w:t>
            </w:r>
          </w:p>
        </w:tc>
        <w:tc>
          <w:tcPr>
            <w:tcW w:w="1995" w:type="dxa"/>
            <w:shd w:val="clear" w:color="auto" w:fill="auto"/>
          </w:tcPr>
          <w:p w14:paraId="276CDEF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-4.45 (-10.5, 1.63)</w:t>
            </w:r>
          </w:p>
        </w:tc>
        <w:tc>
          <w:tcPr>
            <w:tcW w:w="944" w:type="dxa"/>
            <w:shd w:val="clear" w:color="auto" w:fill="auto"/>
          </w:tcPr>
          <w:p w14:paraId="16B2E594"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0.1508</w:t>
            </w:r>
          </w:p>
        </w:tc>
      </w:tr>
      <w:tr w:rsidR="00936AB1" w:rsidRPr="009C01D5" w14:paraId="39BAD2CE" w14:textId="77777777" w:rsidTr="00FA4235">
        <w:trPr>
          <w:trHeight w:val="218"/>
        </w:trPr>
        <w:tc>
          <w:tcPr>
            <w:tcW w:w="2555" w:type="dxa"/>
            <w:shd w:val="clear" w:color="auto" w:fill="auto"/>
          </w:tcPr>
          <w:p w14:paraId="66D3AD7E" w14:textId="77777777" w:rsidR="00936AB1" w:rsidRPr="009C01D5" w:rsidRDefault="00936AB1" w:rsidP="00D4509B">
            <w:pPr>
              <w:pStyle w:val="TableTextleftalign"/>
              <w:widowControl w:val="0"/>
              <w:rPr>
                <w:rFonts w:ascii="Arial Narrow" w:hAnsi="Arial Narrow"/>
                <w:sz w:val="20"/>
                <w:szCs w:val="20"/>
              </w:rPr>
            </w:pPr>
            <w:r w:rsidRPr="009C01D5">
              <w:rPr>
                <w:rFonts w:ascii="Arial Narrow" w:hAnsi="Arial Narrow"/>
                <w:sz w:val="20"/>
                <w:szCs w:val="20"/>
              </w:rPr>
              <w:t>Aripiprazole 10–20 mg/day</w:t>
            </w:r>
          </w:p>
        </w:tc>
        <w:tc>
          <w:tcPr>
            <w:tcW w:w="730" w:type="dxa"/>
            <w:shd w:val="clear" w:color="auto" w:fill="auto"/>
          </w:tcPr>
          <w:p w14:paraId="61B3A6A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50</w:t>
            </w:r>
          </w:p>
        </w:tc>
        <w:tc>
          <w:tcPr>
            <w:tcW w:w="1444" w:type="dxa"/>
            <w:shd w:val="clear" w:color="auto" w:fill="auto"/>
          </w:tcPr>
          <w:p w14:paraId="440DDD8A"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97.1 [10.7]</w:t>
            </w:r>
          </w:p>
        </w:tc>
        <w:tc>
          <w:tcPr>
            <w:tcW w:w="1331" w:type="dxa"/>
            <w:shd w:val="clear" w:color="auto" w:fill="auto"/>
          </w:tcPr>
          <w:p w14:paraId="62F8D4CB"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20.97 (2.93)</w:t>
            </w:r>
          </w:p>
        </w:tc>
        <w:tc>
          <w:tcPr>
            <w:tcW w:w="1995" w:type="dxa"/>
            <w:shd w:val="clear" w:color="auto" w:fill="auto"/>
          </w:tcPr>
          <w:p w14:paraId="7F084B88"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-3.68 (-10.9, 3.51)</w:t>
            </w:r>
          </w:p>
        </w:tc>
        <w:tc>
          <w:tcPr>
            <w:tcW w:w="944" w:type="dxa"/>
            <w:shd w:val="clear" w:color="auto" w:fill="auto"/>
          </w:tcPr>
          <w:p w14:paraId="7C468DCC" w14:textId="77777777" w:rsidR="00936AB1" w:rsidRPr="009C01D5" w:rsidRDefault="00936AB1" w:rsidP="00D4509B">
            <w:pPr>
              <w:pStyle w:val="TableTextcentred"/>
              <w:widowControl w:val="0"/>
              <w:rPr>
                <w:rFonts w:ascii="Arial Narrow" w:hAnsi="Arial Narrow"/>
                <w:sz w:val="20"/>
                <w:szCs w:val="20"/>
              </w:rPr>
            </w:pPr>
            <w:r w:rsidRPr="009C01D5">
              <w:rPr>
                <w:rFonts w:ascii="Arial Narrow" w:hAnsi="Arial Narrow"/>
                <w:sz w:val="20"/>
                <w:szCs w:val="20"/>
              </w:rPr>
              <w:t>0.3142</w:t>
            </w:r>
          </w:p>
        </w:tc>
      </w:tr>
    </w:tbl>
    <w:p w14:paraId="4F3600E0"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Abbreviations: CI = confidence interval; ITT =</w:t>
      </w:r>
      <w:r w:rsidRPr="009C01D5">
        <w:t xml:space="preserve"> </w:t>
      </w:r>
      <w:r w:rsidR="00D4509B" w:rsidRPr="009C01D5">
        <w:rPr>
          <w:rFonts w:ascii="Arial Narrow" w:hAnsi="Arial Narrow"/>
          <w:sz w:val="18"/>
          <w:szCs w:val="18"/>
        </w:rPr>
        <w:t>intent</w:t>
      </w:r>
      <w:r w:rsidRPr="009C01D5">
        <w:rPr>
          <w:rFonts w:ascii="Arial Narrow" w:hAnsi="Arial Narrow"/>
          <w:sz w:val="18"/>
          <w:szCs w:val="18"/>
        </w:rPr>
        <w:t>/</w:t>
      </w:r>
      <w:r w:rsidR="00D4509B" w:rsidRPr="009C01D5">
        <w:rPr>
          <w:rFonts w:ascii="Arial Narrow" w:hAnsi="Arial Narrow"/>
          <w:sz w:val="18"/>
          <w:szCs w:val="18"/>
        </w:rPr>
        <w:t xml:space="preserve">intention </w:t>
      </w:r>
      <w:r w:rsidRPr="009C01D5">
        <w:rPr>
          <w:rFonts w:ascii="Arial Narrow" w:hAnsi="Arial Narrow"/>
          <w:sz w:val="18"/>
          <w:szCs w:val="18"/>
        </w:rPr>
        <w:t xml:space="preserve">to </w:t>
      </w:r>
      <w:r w:rsidR="00D4509B" w:rsidRPr="009C01D5">
        <w:rPr>
          <w:rFonts w:ascii="Arial Narrow" w:hAnsi="Arial Narrow"/>
          <w:sz w:val="18"/>
          <w:szCs w:val="18"/>
        </w:rPr>
        <w:t>t</w:t>
      </w:r>
      <w:r w:rsidRPr="009C01D5">
        <w:rPr>
          <w:rFonts w:ascii="Arial Narrow" w:hAnsi="Arial Narrow"/>
          <w:sz w:val="18"/>
          <w:szCs w:val="18"/>
        </w:rPr>
        <w:t xml:space="preserve">reat; LOCF = </w:t>
      </w:r>
      <w:r w:rsidR="00D4509B" w:rsidRPr="009C01D5">
        <w:rPr>
          <w:rFonts w:ascii="Arial Narrow" w:hAnsi="Arial Narrow"/>
          <w:sz w:val="18"/>
          <w:szCs w:val="18"/>
        </w:rPr>
        <w:t xml:space="preserve">last </w:t>
      </w:r>
      <w:r w:rsidRPr="009C01D5">
        <w:rPr>
          <w:rFonts w:ascii="Arial Narrow" w:hAnsi="Arial Narrow"/>
          <w:sz w:val="18"/>
          <w:szCs w:val="18"/>
        </w:rPr>
        <w:t>observation carried forward;</w:t>
      </w:r>
      <w:r w:rsidR="0078377C" w:rsidRPr="009C01D5">
        <w:rPr>
          <w:rFonts w:ascii="Arial Narrow" w:hAnsi="Arial Narrow"/>
          <w:sz w:val="18"/>
          <w:szCs w:val="18"/>
        </w:rPr>
        <w:t xml:space="preserve"> LSMD = Least squares mean difference</w:t>
      </w:r>
      <w:r w:rsidR="0078377C" w:rsidRPr="009C01D5">
        <w:rPr>
          <w:szCs w:val="18"/>
        </w:rPr>
        <w:t>;</w:t>
      </w:r>
      <w:r w:rsidRPr="009C01D5">
        <w:rPr>
          <w:rFonts w:ascii="Arial Narrow" w:hAnsi="Arial Narrow"/>
          <w:sz w:val="18"/>
          <w:szCs w:val="18"/>
        </w:rPr>
        <w:t xml:space="preserve"> MMRM = </w:t>
      </w:r>
      <w:r w:rsidR="00D4509B" w:rsidRPr="009C01D5">
        <w:rPr>
          <w:rFonts w:ascii="Arial Narrow" w:hAnsi="Arial Narrow"/>
          <w:sz w:val="18"/>
          <w:szCs w:val="18"/>
        </w:rPr>
        <w:t>mixed</w:t>
      </w:r>
      <w:r w:rsidRPr="009C01D5">
        <w:rPr>
          <w:rFonts w:ascii="Arial Narrow" w:hAnsi="Arial Narrow"/>
          <w:sz w:val="18"/>
          <w:szCs w:val="18"/>
        </w:rPr>
        <w:t>-effects model for repeated measures; mg = milligram; PANSS = Positive and Negative Syndrome Scale (for schizophrenia); SE = standard error; SD=standard deviation</w:t>
      </w:r>
      <w:r w:rsidR="00D4509B" w:rsidRPr="009C01D5">
        <w:rPr>
          <w:rFonts w:ascii="Arial Narrow" w:hAnsi="Arial Narrow"/>
          <w:sz w:val="18"/>
          <w:szCs w:val="18"/>
        </w:rPr>
        <w:t>.</w:t>
      </w:r>
    </w:p>
    <w:p w14:paraId="65CC7B9F"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Source: Table 2.5.3 p126 of the submission</w:t>
      </w:r>
    </w:p>
    <w:p w14:paraId="70AF7254"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Notes: One patient was enrolled twice in Study RGH-MD-05; only data from the first enrolment are included</w:t>
      </w:r>
      <w:r w:rsidR="009C01D5">
        <w:rPr>
          <w:rFonts w:ascii="Arial Narrow" w:hAnsi="Arial Narrow"/>
          <w:sz w:val="18"/>
          <w:szCs w:val="18"/>
        </w:rPr>
        <w:t xml:space="preserve">. </w:t>
      </w:r>
      <w:r w:rsidRPr="009C01D5">
        <w:rPr>
          <w:rFonts w:ascii="Arial Narrow" w:hAnsi="Arial Narrow"/>
          <w:sz w:val="18"/>
          <w:szCs w:val="18"/>
        </w:rPr>
        <w:t>All patients from Study Centres 504 and 043 in Study RGH-MD-05 were excluded due to a GCP violation</w:t>
      </w:r>
    </w:p>
    <w:p w14:paraId="15C1EC1E"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1. p-values for MMRM were based on a mixed-effects model for repeated measurements with treatment group, (pooled) study centre, visit, and treatment group by visit interaction as fixed effects, and baseline and baseline-by-treatment as covariates using an unstructured covariance matrix.</w:t>
      </w:r>
    </w:p>
    <w:p w14:paraId="4B8BE814"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2. p-values for LOCF were based on an ANCOVA model for change from baseline, with treatment group and pooled study centre as factors and the baseline value as a covariate.</w:t>
      </w:r>
    </w:p>
    <w:p w14:paraId="51533569"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3. Trial endpoint = 4 weeks.</w:t>
      </w:r>
    </w:p>
    <w:p w14:paraId="0034D770"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4. Trial endpoint = 6 weeks.</w:t>
      </w:r>
    </w:p>
    <w:p w14:paraId="06399272" w14:textId="77777777" w:rsidR="00936AB1" w:rsidRPr="009C01D5" w:rsidRDefault="00936AB1" w:rsidP="000A2E54">
      <w:pPr>
        <w:spacing w:after="120"/>
        <w:rPr>
          <w:rFonts w:ascii="Arial Narrow" w:hAnsi="Arial Narrow"/>
          <w:sz w:val="18"/>
          <w:szCs w:val="18"/>
        </w:rPr>
      </w:pPr>
      <w:r w:rsidRPr="009C01D5">
        <w:rPr>
          <w:rFonts w:ascii="Arial Narrow" w:hAnsi="Arial Narrow"/>
          <w:sz w:val="18"/>
          <w:szCs w:val="18"/>
        </w:rPr>
        <w:t>5. Active control, results not reported.</w:t>
      </w:r>
    </w:p>
    <w:p w14:paraId="69B3E014" w14:textId="77777777" w:rsidR="00936AB1" w:rsidRPr="009C01D5" w:rsidRDefault="00936AB1" w:rsidP="00936AB1">
      <w:pPr>
        <w:pStyle w:val="3-BodyText"/>
      </w:pPr>
      <w:r w:rsidRPr="009C01D5">
        <w:t xml:space="preserve">Overall, all three therapies </w:t>
      </w:r>
      <w:r w:rsidR="00D4509B" w:rsidRPr="009C01D5">
        <w:t xml:space="preserve">(cariprazine, aripiprazole, brexpiprazole) </w:t>
      </w:r>
      <w:r w:rsidRPr="009C01D5">
        <w:t xml:space="preserve">showed a </w:t>
      </w:r>
      <w:r w:rsidR="00B83889" w:rsidRPr="009C01D5">
        <w:t xml:space="preserve">statistically </w:t>
      </w:r>
      <w:r w:rsidRPr="009C01D5">
        <w:t xml:space="preserve">significant treatment effect when compared with placebo. However, the effect size </w:t>
      </w:r>
      <w:r w:rsidR="00D4509B" w:rsidRPr="009C01D5">
        <w:t xml:space="preserve">for the PANSS total score differed </w:t>
      </w:r>
      <w:r w:rsidRPr="009C01D5">
        <w:t>in the placebo arm</w:t>
      </w:r>
      <w:r w:rsidR="00D4509B" w:rsidRPr="009C01D5">
        <w:t>s</w:t>
      </w:r>
      <w:r w:rsidRPr="009C01D5">
        <w:t xml:space="preserve"> across the acute trials. The submission noted that the heterogeneity of </w:t>
      </w:r>
      <w:r w:rsidR="0007050B" w:rsidRPr="009C01D5">
        <w:t xml:space="preserve">the </w:t>
      </w:r>
      <w:r w:rsidRPr="009C01D5">
        <w:t xml:space="preserve">placebo effect across the acute trials influenced the </w:t>
      </w:r>
      <w:r w:rsidR="0007050B" w:rsidRPr="009C01D5">
        <w:t xml:space="preserve">comparability </w:t>
      </w:r>
      <w:r w:rsidRPr="009C01D5">
        <w:t xml:space="preserve">of the primary outcome measure, which may in turn influence the results of the meta-analyses and interpretation of the ITCs. </w:t>
      </w:r>
    </w:p>
    <w:p w14:paraId="34A83E1D" w14:textId="07A16DCC" w:rsidR="000A7642" w:rsidRDefault="00936AB1" w:rsidP="005B28D9">
      <w:pPr>
        <w:pStyle w:val="3-BodyText"/>
      </w:pPr>
      <w:r w:rsidRPr="009C01D5">
        <w:t xml:space="preserve">The summary of </w:t>
      </w:r>
      <w:r w:rsidR="0007050B" w:rsidRPr="009C01D5">
        <w:t>the</w:t>
      </w:r>
      <w:r w:rsidRPr="009C01D5">
        <w:t xml:space="preserve"> post-hoc direct comparison of </w:t>
      </w:r>
      <w:r w:rsidR="0007050B" w:rsidRPr="009C01D5">
        <w:t xml:space="preserve">secondary outcomes for </w:t>
      </w:r>
      <w:r w:rsidRPr="009C01D5">
        <w:t xml:space="preserve">cariprazine </w:t>
      </w:r>
      <w:r w:rsidR="0007050B" w:rsidRPr="009C01D5">
        <w:t xml:space="preserve">and </w:t>
      </w:r>
      <w:r w:rsidRPr="009C01D5">
        <w:t xml:space="preserve">aripiprazole from RGH-MD-04 is presented in Table 6. The </w:t>
      </w:r>
      <w:r w:rsidR="0007050B" w:rsidRPr="009C01D5">
        <w:t xml:space="preserve">submission noted that the </w:t>
      </w:r>
      <w:r w:rsidRPr="009C01D5">
        <w:t xml:space="preserve">pre-defined comparisons of the change from baseline versus placebo (presented as </w:t>
      </w:r>
      <w:r w:rsidR="0078377C" w:rsidRPr="009C01D5">
        <w:t>least squares mean difference (</w:t>
      </w:r>
      <w:r w:rsidRPr="009C01D5">
        <w:t>LSMD</w:t>
      </w:r>
      <w:r w:rsidR="0078377C" w:rsidRPr="009C01D5">
        <w:t>)</w:t>
      </w:r>
      <w:r w:rsidRPr="009C01D5">
        <w:t xml:space="preserve"> with 95% CI) indicated statistically significant differences in favour of each cariprazine group and the aripiprazole group for the secondary outcome (</w:t>
      </w:r>
      <w:r w:rsidR="005B28D9" w:rsidRPr="009C01D5">
        <w:t>Clinical Global Impression - Severity (</w:t>
      </w:r>
      <w:r w:rsidRPr="009C01D5">
        <w:t>CGI-S) and other patient-relevant outcomes</w:t>
      </w:r>
      <w:r w:rsidR="0078377C" w:rsidRPr="009C01D5">
        <w:t>. This</w:t>
      </w:r>
      <w:r w:rsidRPr="009C01D5">
        <w:t xml:space="preserve"> includ</w:t>
      </w:r>
      <w:r w:rsidR="0078377C" w:rsidRPr="009C01D5">
        <w:t>es</w:t>
      </w:r>
      <w:r w:rsidRPr="009C01D5">
        <w:t xml:space="preserve"> the </w:t>
      </w:r>
      <w:r w:rsidR="005B28D9" w:rsidRPr="009C01D5">
        <w:t>Clinical Global Impression - Improvement (</w:t>
      </w:r>
      <w:r w:rsidRPr="009C01D5">
        <w:t>CGI-I</w:t>
      </w:r>
      <w:r w:rsidR="005B28D9" w:rsidRPr="009C01D5">
        <w:t>))</w:t>
      </w:r>
      <w:r w:rsidRPr="009C01D5">
        <w:t xml:space="preserve">, PANSS positive and negative subscales and total scores for the NSA-16 and SQLS-R4 instruments. </w:t>
      </w:r>
    </w:p>
    <w:p w14:paraId="56FDEFF8" w14:textId="77777777" w:rsidR="000A7642" w:rsidRDefault="000A7642">
      <w:pPr>
        <w:jc w:val="left"/>
        <w:rPr>
          <w:rFonts w:asciiTheme="minorHAnsi" w:hAnsiTheme="minorHAnsi"/>
          <w:snapToGrid w:val="0"/>
        </w:rPr>
      </w:pPr>
      <w:r>
        <w:br w:type="page"/>
      </w:r>
    </w:p>
    <w:p w14:paraId="2A3D2AD8" w14:textId="77777777" w:rsidR="00936AB1" w:rsidRPr="009C01D5" w:rsidRDefault="00936AB1" w:rsidP="000A7642">
      <w:pPr>
        <w:pStyle w:val="3-BodyText"/>
        <w:numPr>
          <w:ilvl w:val="0"/>
          <w:numId w:val="0"/>
        </w:numPr>
        <w:ind w:left="720"/>
      </w:pPr>
    </w:p>
    <w:p w14:paraId="35639FE0" w14:textId="77777777" w:rsidR="00936AB1" w:rsidRPr="009C01D5" w:rsidRDefault="00936AB1" w:rsidP="0078377C">
      <w:pPr>
        <w:pStyle w:val="TableFigureHeading"/>
        <w:jc w:val="both"/>
        <w:rPr>
          <w:color w:val="0066FF"/>
        </w:rPr>
      </w:pPr>
      <w:bookmarkStart w:id="20" w:name="_Ref50101019"/>
      <w:r w:rsidRPr="009C01D5">
        <w:t>Table</w:t>
      </w:r>
      <w:bookmarkEnd w:id="20"/>
      <w:r w:rsidRPr="009C01D5">
        <w:t xml:space="preserve"> 6: Summary results and post-hoc direct comparison of change from baseline to Week 6 – RGH-MD-04: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994"/>
        <w:gridCol w:w="963"/>
        <w:gridCol w:w="1244"/>
        <w:gridCol w:w="884"/>
        <w:gridCol w:w="963"/>
        <w:gridCol w:w="1252"/>
        <w:gridCol w:w="1481"/>
      </w:tblGrid>
      <w:tr w:rsidR="00936AB1" w:rsidRPr="009C01D5" w14:paraId="69030100" w14:textId="77777777" w:rsidTr="000A2E54">
        <w:trPr>
          <w:trHeight w:val="115"/>
          <w:tblHeader/>
        </w:trPr>
        <w:tc>
          <w:tcPr>
            <w:tcW w:w="686" w:type="pct"/>
            <w:vAlign w:val="center"/>
          </w:tcPr>
          <w:p w14:paraId="49F916D6" w14:textId="77777777" w:rsidR="00936AB1" w:rsidRPr="009C01D5" w:rsidRDefault="00936AB1" w:rsidP="00FA4235">
            <w:pPr>
              <w:pStyle w:val="In-tableHeading"/>
              <w:keepNext w:val="0"/>
              <w:widowControl w:val="0"/>
              <w:rPr>
                <w:szCs w:val="20"/>
                <w:lang w:val="en-AU"/>
              </w:rPr>
            </w:pPr>
          </w:p>
        </w:tc>
        <w:tc>
          <w:tcPr>
            <w:tcW w:w="1775" w:type="pct"/>
            <w:gridSpan w:val="3"/>
            <w:vAlign w:val="center"/>
          </w:tcPr>
          <w:p w14:paraId="73EDEE00" w14:textId="77777777" w:rsidR="00936AB1" w:rsidRPr="009C01D5" w:rsidRDefault="00936AB1" w:rsidP="00FA4235">
            <w:pPr>
              <w:pStyle w:val="In-tableHeading"/>
              <w:keepNext w:val="0"/>
              <w:widowControl w:val="0"/>
              <w:jc w:val="center"/>
              <w:rPr>
                <w:szCs w:val="20"/>
                <w:lang w:val="en-AU"/>
              </w:rPr>
            </w:pPr>
            <w:r w:rsidRPr="009C01D5">
              <w:rPr>
                <w:szCs w:val="20"/>
                <w:lang w:val="en-AU"/>
              </w:rPr>
              <w:t>Cariprazine n/N (%)</w:t>
            </w:r>
          </w:p>
        </w:tc>
        <w:tc>
          <w:tcPr>
            <w:tcW w:w="1717" w:type="pct"/>
            <w:gridSpan w:val="3"/>
            <w:vAlign w:val="center"/>
          </w:tcPr>
          <w:p w14:paraId="09D0632D" w14:textId="77777777" w:rsidR="00936AB1" w:rsidRPr="009C01D5" w:rsidRDefault="00936AB1" w:rsidP="00FA4235">
            <w:pPr>
              <w:pStyle w:val="In-tableHeading"/>
              <w:keepNext w:val="0"/>
              <w:widowControl w:val="0"/>
              <w:jc w:val="center"/>
              <w:rPr>
                <w:szCs w:val="20"/>
                <w:lang w:val="en-AU"/>
              </w:rPr>
            </w:pPr>
            <w:r w:rsidRPr="009C01D5">
              <w:rPr>
                <w:szCs w:val="20"/>
                <w:lang w:val="en-AU"/>
              </w:rPr>
              <w:t>Aripiprazole</w:t>
            </w:r>
            <w:r w:rsidR="00BD796F" w:rsidRPr="009C01D5">
              <w:rPr>
                <w:szCs w:val="20"/>
                <w:lang w:val="en-AU"/>
              </w:rPr>
              <w:t xml:space="preserve"> 10 mg/day</w:t>
            </w:r>
            <w:r w:rsidRPr="009C01D5">
              <w:rPr>
                <w:szCs w:val="20"/>
                <w:lang w:val="en-AU"/>
              </w:rPr>
              <w:t xml:space="preserve"> n</w:t>
            </w:r>
            <w:r w:rsidR="00BD796F" w:rsidRPr="009C01D5">
              <w:rPr>
                <w:szCs w:val="20"/>
                <w:lang w:val="en-AU"/>
              </w:rPr>
              <w:t xml:space="preserve"> with event</w:t>
            </w:r>
            <w:r w:rsidRPr="009C01D5">
              <w:rPr>
                <w:szCs w:val="20"/>
                <w:lang w:val="en-AU"/>
              </w:rPr>
              <w:t>/N (%)</w:t>
            </w:r>
          </w:p>
        </w:tc>
        <w:tc>
          <w:tcPr>
            <w:tcW w:w="822" w:type="pct"/>
            <w:vMerge w:val="restart"/>
            <w:vAlign w:val="center"/>
          </w:tcPr>
          <w:p w14:paraId="1A795B7D"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Absolute difference</w:t>
            </w:r>
          </w:p>
          <w:p w14:paraId="3CB78F58" w14:textId="77777777" w:rsidR="00936AB1" w:rsidRPr="009C01D5" w:rsidRDefault="00936AB1" w:rsidP="00FA4235">
            <w:pPr>
              <w:pStyle w:val="In-tableHeading"/>
              <w:keepNext w:val="0"/>
              <w:widowControl w:val="0"/>
              <w:jc w:val="center"/>
              <w:rPr>
                <w:szCs w:val="20"/>
                <w:lang w:val="en-AU"/>
              </w:rPr>
            </w:pPr>
            <w:r w:rsidRPr="009C01D5">
              <w:rPr>
                <w:b w:val="0"/>
                <w:szCs w:val="20"/>
                <w:lang w:val="en-AU"/>
              </w:rPr>
              <w:t>(95% CI)</w:t>
            </w:r>
          </w:p>
        </w:tc>
      </w:tr>
      <w:tr w:rsidR="00936AB1" w:rsidRPr="009C01D5" w14:paraId="173519B9" w14:textId="77777777" w:rsidTr="000A2E54">
        <w:trPr>
          <w:trHeight w:val="115"/>
          <w:tblHeader/>
        </w:trPr>
        <w:tc>
          <w:tcPr>
            <w:tcW w:w="686" w:type="pct"/>
            <w:vAlign w:val="center"/>
          </w:tcPr>
          <w:p w14:paraId="334A5BA1" w14:textId="77777777" w:rsidR="00936AB1" w:rsidRPr="009C01D5" w:rsidRDefault="00936AB1" w:rsidP="00FA4235">
            <w:pPr>
              <w:pStyle w:val="In-tableHeading"/>
              <w:keepNext w:val="0"/>
              <w:widowControl w:val="0"/>
              <w:rPr>
                <w:szCs w:val="20"/>
                <w:lang w:val="en-AU"/>
              </w:rPr>
            </w:pPr>
          </w:p>
        </w:tc>
        <w:tc>
          <w:tcPr>
            <w:tcW w:w="551" w:type="pct"/>
            <w:shd w:val="clear" w:color="auto" w:fill="auto"/>
          </w:tcPr>
          <w:p w14:paraId="46AA0847" w14:textId="77777777" w:rsidR="00936AB1" w:rsidRPr="009C01D5" w:rsidRDefault="00936AB1" w:rsidP="00FA4235">
            <w:pPr>
              <w:pStyle w:val="TableTitlecentred"/>
              <w:widowControl w:val="0"/>
              <w:rPr>
                <w:rFonts w:ascii="Arial Narrow" w:hAnsi="Arial Narrow"/>
                <w:b w:val="0"/>
                <w:sz w:val="20"/>
              </w:rPr>
            </w:pPr>
            <w:r w:rsidRPr="009C01D5">
              <w:rPr>
                <w:rFonts w:ascii="Arial Narrow" w:hAnsi="Arial Narrow"/>
                <w:b w:val="0"/>
                <w:sz w:val="20"/>
              </w:rPr>
              <w:t>Baseline mean</w:t>
            </w:r>
          </w:p>
          <w:p w14:paraId="040C6F01"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 [SD]</w:t>
            </w:r>
          </w:p>
        </w:tc>
        <w:tc>
          <w:tcPr>
            <w:tcW w:w="534" w:type="pct"/>
            <w:shd w:val="clear" w:color="auto" w:fill="auto"/>
          </w:tcPr>
          <w:p w14:paraId="6C0B195B"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Change from baseline LS mean (SE)</w:t>
            </w:r>
          </w:p>
        </w:tc>
        <w:tc>
          <w:tcPr>
            <w:tcW w:w="690" w:type="pct"/>
            <w:shd w:val="clear" w:color="auto" w:fill="auto"/>
          </w:tcPr>
          <w:p w14:paraId="00D8A768" w14:textId="77777777" w:rsidR="00936AB1" w:rsidRPr="009C01D5" w:rsidRDefault="00936AB1" w:rsidP="00FA4235">
            <w:pPr>
              <w:pStyle w:val="TableTitlecentred"/>
              <w:widowControl w:val="0"/>
              <w:rPr>
                <w:rFonts w:ascii="Arial Narrow" w:hAnsi="Arial Narrow"/>
                <w:b w:val="0"/>
                <w:sz w:val="20"/>
                <w:vertAlign w:val="superscript"/>
              </w:rPr>
            </w:pPr>
            <w:r w:rsidRPr="009C01D5">
              <w:rPr>
                <w:rFonts w:ascii="Arial Narrow" w:hAnsi="Arial Narrow"/>
                <w:b w:val="0"/>
                <w:sz w:val="20"/>
              </w:rPr>
              <w:t>Difference vs placebo</w:t>
            </w:r>
            <w:r w:rsidRPr="009C01D5">
              <w:rPr>
                <w:rFonts w:ascii="Arial Narrow" w:hAnsi="Arial Narrow"/>
                <w:b w:val="0"/>
                <w:sz w:val="20"/>
                <w:vertAlign w:val="superscript"/>
              </w:rPr>
              <w:t>1</w:t>
            </w:r>
          </w:p>
          <w:p w14:paraId="129AF143"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LSMD (95% CI)</w:t>
            </w:r>
          </w:p>
        </w:tc>
        <w:tc>
          <w:tcPr>
            <w:tcW w:w="490" w:type="pct"/>
            <w:shd w:val="clear" w:color="auto" w:fill="auto"/>
          </w:tcPr>
          <w:p w14:paraId="5D265ED2" w14:textId="77777777" w:rsidR="00936AB1" w:rsidRPr="009C01D5" w:rsidRDefault="00936AB1" w:rsidP="00FA4235">
            <w:pPr>
              <w:pStyle w:val="TableTitlecentred"/>
              <w:widowControl w:val="0"/>
              <w:rPr>
                <w:rFonts w:ascii="Arial Narrow" w:hAnsi="Arial Narrow"/>
                <w:b w:val="0"/>
                <w:sz w:val="20"/>
              </w:rPr>
            </w:pPr>
            <w:r w:rsidRPr="009C01D5">
              <w:rPr>
                <w:rFonts w:ascii="Arial Narrow" w:hAnsi="Arial Narrow"/>
                <w:b w:val="0"/>
                <w:sz w:val="20"/>
              </w:rPr>
              <w:t>Baseline mean</w:t>
            </w:r>
          </w:p>
          <w:p w14:paraId="24108E92"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 [SD]</w:t>
            </w:r>
          </w:p>
        </w:tc>
        <w:tc>
          <w:tcPr>
            <w:tcW w:w="534" w:type="pct"/>
            <w:shd w:val="clear" w:color="auto" w:fill="auto"/>
          </w:tcPr>
          <w:p w14:paraId="2A3A44F7"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Change from baseline LS mean (SE)</w:t>
            </w:r>
          </w:p>
        </w:tc>
        <w:tc>
          <w:tcPr>
            <w:tcW w:w="694" w:type="pct"/>
            <w:shd w:val="clear" w:color="auto" w:fill="auto"/>
          </w:tcPr>
          <w:p w14:paraId="18748DFA" w14:textId="77777777" w:rsidR="00936AB1" w:rsidRPr="009C01D5" w:rsidRDefault="00936AB1" w:rsidP="00FA4235">
            <w:pPr>
              <w:pStyle w:val="TableTitlecentred"/>
              <w:widowControl w:val="0"/>
              <w:rPr>
                <w:rFonts w:ascii="Arial Narrow" w:hAnsi="Arial Narrow"/>
                <w:b w:val="0"/>
                <w:sz w:val="20"/>
                <w:vertAlign w:val="superscript"/>
              </w:rPr>
            </w:pPr>
            <w:r w:rsidRPr="009C01D5">
              <w:rPr>
                <w:rFonts w:ascii="Arial Narrow" w:hAnsi="Arial Narrow"/>
                <w:b w:val="0"/>
                <w:sz w:val="20"/>
              </w:rPr>
              <w:t>Difference vs placebo</w:t>
            </w:r>
            <w:r w:rsidRPr="009C01D5">
              <w:rPr>
                <w:rFonts w:ascii="Arial Narrow" w:hAnsi="Arial Narrow"/>
                <w:b w:val="0"/>
                <w:sz w:val="20"/>
                <w:vertAlign w:val="superscript"/>
              </w:rPr>
              <w:t>1</w:t>
            </w:r>
          </w:p>
          <w:p w14:paraId="4A7765EB" w14:textId="77777777" w:rsidR="00936AB1" w:rsidRPr="009C01D5" w:rsidRDefault="00936AB1" w:rsidP="00FA4235">
            <w:pPr>
              <w:pStyle w:val="In-tableHeading"/>
              <w:keepNext w:val="0"/>
              <w:widowControl w:val="0"/>
              <w:jc w:val="center"/>
              <w:rPr>
                <w:b w:val="0"/>
                <w:szCs w:val="20"/>
                <w:lang w:val="en-AU"/>
              </w:rPr>
            </w:pPr>
            <w:r w:rsidRPr="009C01D5">
              <w:rPr>
                <w:b w:val="0"/>
                <w:szCs w:val="20"/>
                <w:lang w:val="en-AU"/>
              </w:rPr>
              <w:t>LSMD (95% CI)</w:t>
            </w:r>
          </w:p>
        </w:tc>
        <w:tc>
          <w:tcPr>
            <w:tcW w:w="822" w:type="pct"/>
            <w:vMerge/>
            <w:vAlign w:val="center"/>
          </w:tcPr>
          <w:p w14:paraId="618DC7C1" w14:textId="77777777" w:rsidR="00936AB1" w:rsidRPr="009C01D5" w:rsidRDefault="00936AB1" w:rsidP="00FA4235">
            <w:pPr>
              <w:pStyle w:val="In-tableHeading"/>
              <w:keepNext w:val="0"/>
              <w:widowControl w:val="0"/>
              <w:jc w:val="center"/>
              <w:rPr>
                <w:b w:val="0"/>
                <w:szCs w:val="20"/>
                <w:lang w:val="en-AU"/>
              </w:rPr>
            </w:pPr>
          </w:p>
        </w:tc>
      </w:tr>
      <w:tr w:rsidR="00936AB1" w:rsidRPr="009C01D5" w14:paraId="0C3D65AA" w14:textId="77777777" w:rsidTr="000A2E54">
        <w:trPr>
          <w:trHeight w:val="115"/>
        </w:trPr>
        <w:tc>
          <w:tcPr>
            <w:tcW w:w="5000" w:type="pct"/>
            <w:gridSpan w:val="8"/>
            <w:shd w:val="clear" w:color="auto" w:fill="auto"/>
          </w:tcPr>
          <w:p w14:paraId="6B28832E" w14:textId="77777777" w:rsidR="00936AB1" w:rsidRPr="009C01D5" w:rsidRDefault="00936AB1" w:rsidP="0007050B">
            <w:pPr>
              <w:pStyle w:val="TableText0"/>
              <w:keepNext w:val="0"/>
              <w:widowControl w:val="0"/>
              <w:rPr>
                <w:b/>
                <w:szCs w:val="20"/>
              </w:rPr>
            </w:pPr>
            <w:r w:rsidRPr="009C01D5">
              <w:rPr>
                <w:b/>
                <w:szCs w:val="20"/>
              </w:rPr>
              <w:t>CGI-S – MMRM</w:t>
            </w:r>
          </w:p>
        </w:tc>
      </w:tr>
      <w:tr w:rsidR="00936AB1" w:rsidRPr="009C01D5" w14:paraId="78622270" w14:textId="77777777" w:rsidTr="000A2E54">
        <w:trPr>
          <w:trHeight w:val="115"/>
        </w:trPr>
        <w:tc>
          <w:tcPr>
            <w:tcW w:w="686" w:type="pct"/>
            <w:shd w:val="clear" w:color="auto" w:fill="auto"/>
          </w:tcPr>
          <w:p w14:paraId="2A71D83E"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shd w:val="clear" w:color="auto" w:fill="auto"/>
          </w:tcPr>
          <w:p w14:paraId="6C817FD0" w14:textId="77777777" w:rsidR="00936AB1" w:rsidRPr="009C01D5" w:rsidRDefault="00936AB1" w:rsidP="00FA4235">
            <w:pPr>
              <w:pStyle w:val="TableText0"/>
              <w:keepNext w:val="0"/>
              <w:widowControl w:val="0"/>
              <w:jc w:val="center"/>
              <w:rPr>
                <w:szCs w:val="20"/>
              </w:rPr>
            </w:pPr>
            <w:r w:rsidRPr="009C01D5">
              <w:rPr>
                <w:szCs w:val="20"/>
              </w:rPr>
              <w:t>4.9 [0.6]</w:t>
            </w:r>
          </w:p>
        </w:tc>
        <w:tc>
          <w:tcPr>
            <w:tcW w:w="534" w:type="pct"/>
            <w:shd w:val="clear" w:color="auto" w:fill="auto"/>
          </w:tcPr>
          <w:p w14:paraId="3F113EBB" w14:textId="77777777" w:rsidR="00936AB1" w:rsidRPr="009C01D5" w:rsidRDefault="00936AB1" w:rsidP="00FA4235">
            <w:pPr>
              <w:pStyle w:val="TableText0"/>
              <w:keepNext w:val="0"/>
              <w:widowControl w:val="0"/>
              <w:jc w:val="center"/>
              <w:rPr>
                <w:szCs w:val="20"/>
              </w:rPr>
            </w:pPr>
            <w:r w:rsidRPr="009C01D5">
              <w:rPr>
                <w:szCs w:val="20"/>
              </w:rPr>
              <w:t>-1.4 (0.1)</w:t>
            </w:r>
          </w:p>
        </w:tc>
        <w:tc>
          <w:tcPr>
            <w:tcW w:w="690" w:type="pct"/>
            <w:shd w:val="clear" w:color="auto" w:fill="auto"/>
          </w:tcPr>
          <w:p w14:paraId="13A062A1" w14:textId="77777777" w:rsidR="00AC76A7" w:rsidRPr="009C01D5" w:rsidRDefault="00936AB1" w:rsidP="00FA4235">
            <w:pPr>
              <w:pStyle w:val="TableText0"/>
              <w:keepNext w:val="0"/>
              <w:widowControl w:val="0"/>
              <w:jc w:val="center"/>
              <w:rPr>
                <w:b/>
                <w:szCs w:val="20"/>
              </w:rPr>
            </w:pPr>
            <w:r w:rsidRPr="009C01D5">
              <w:rPr>
                <w:szCs w:val="20"/>
              </w:rPr>
              <w:t>-</w:t>
            </w:r>
            <w:r w:rsidRPr="009C01D5">
              <w:rPr>
                <w:b/>
                <w:szCs w:val="20"/>
              </w:rPr>
              <w:t xml:space="preserve">0.4 </w:t>
            </w:r>
          </w:p>
          <w:p w14:paraId="0AF47409" w14:textId="77777777" w:rsidR="00936AB1" w:rsidRPr="009C01D5" w:rsidRDefault="00936AB1" w:rsidP="00FA4235">
            <w:pPr>
              <w:pStyle w:val="TableText0"/>
              <w:keepNext w:val="0"/>
              <w:widowControl w:val="0"/>
              <w:jc w:val="center"/>
              <w:rPr>
                <w:szCs w:val="20"/>
              </w:rPr>
            </w:pPr>
            <w:r w:rsidRPr="009C01D5">
              <w:rPr>
                <w:b/>
                <w:szCs w:val="20"/>
              </w:rPr>
              <w:t>(-0.6, -0.2)</w:t>
            </w:r>
          </w:p>
        </w:tc>
        <w:tc>
          <w:tcPr>
            <w:tcW w:w="490" w:type="pct"/>
            <w:shd w:val="clear" w:color="auto" w:fill="auto"/>
          </w:tcPr>
          <w:p w14:paraId="5F1443ED"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shd w:val="clear" w:color="auto" w:fill="auto"/>
          </w:tcPr>
          <w:p w14:paraId="277EBFF4" w14:textId="77777777" w:rsidR="00936AB1" w:rsidRPr="009C01D5" w:rsidRDefault="00936AB1" w:rsidP="00FA4235">
            <w:pPr>
              <w:pStyle w:val="TableText0"/>
              <w:keepNext w:val="0"/>
              <w:widowControl w:val="0"/>
              <w:jc w:val="center"/>
              <w:rPr>
                <w:szCs w:val="20"/>
              </w:rPr>
            </w:pPr>
            <w:r w:rsidRPr="009C01D5">
              <w:rPr>
                <w:szCs w:val="20"/>
              </w:rPr>
              <w:t>-1.4 (0.1)</w:t>
            </w:r>
          </w:p>
        </w:tc>
        <w:tc>
          <w:tcPr>
            <w:tcW w:w="694" w:type="pct"/>
            <w:shd w:val="clear" w:color="auto" w:fill="auto"/>
          </w:tcPr>
          <w:p w14:paraId="4496B9D9" w14:textId="77777777" w:rsidR="008527F6" w:rsidRPr="009C01D5" w:rsidRDefault="00936AB1" w:rsidP="00FA4235">
            <w:pPr>
              <w:pStyle w:val="TableText0"/>
              <w:keepNext w:val="0"/>
              <w:widowControl w:val="0"/>
              <w:jc w:val="center"/>
              <w:rPr>
                <w:b/>
                <w:szCs w:val="20"/>
              </w:rPr>
            </w:pPr>
            <w:r w:rsidRPr="009C01D5">
              <w:rPr>
                <w:b/>
                <w:szCs w:val="20"/>
              </w:rPr>
              <w:t xml:space="preserve">-0.4 </w:t>
            </w:r>
          </w:p>
          <w:p w14:paraId="65649B3D" w14:textId="77777777" w:rsidR="00936AB1" w:rsidRPr="009C01D5" w:rsidRDefault="00936AB1" w:rsidP="00FA4235">
            <w:pPr>
              <w:pStyle w:val="TableText0"/>
              <w:keepNext w:val="0"/>
              <w:widowControl w:val="0"/>
              <w:jc w:val="center"/>
              <w:rPr>
                <w:b/>
                <w:szCs w:val="20"/>
              </w:rPr>
            </w:pPr>
            <w:r w:rsidRPr="009C01D5">
              <w:rPr>
                <w:b/>
                <w:szCs w:val="20"/>
              </w:rPr>
              <w:t>(-0.6, -0.2)</w:t>
            </w:r>
          </w:p>
        </w:tc>
        <w:tc>
          <w:tcPr>
            <w:tcW w:w="822" w:type="pct"/>
            <w:shd w:val="clear" w:color="auto" w:fill="auto"/>
          </w:tcPr>
          <w:p w14:paraId="5FA45218" w14:textId="77777777" w:rsidR="008527F6" w:rsidRPr="009C01D5" w:rsidRDefault="00936AB1" w:rsidP="00FA4235">
            <w:pPr>
              <w:pStyle w:val="TableText0"/>
              <w:keepNext w:val="0"/>
              <w:widowControl w:val="0"/>
              <w:jc w:val="center"/>
              <w:rPr>
                <w:szCs w:val="20"/>
              </w:rPr>
            </w:pPr>
            <w:r w:rsidRPr="009C01D5">
              <w:rPr>
                <w:szCs w:val="20"/>
              </w:rPr>
              <w:t xml:space="preserve">0.0 </w:t>
            </w:r>
          </w:p>
          <w:p w14:paraId="3DEE41E1" w14:textId="77777777" w:rsidR="00936AB1" w:rsidRPr="009C01D5" w:rsidRDefault="00936AB1" w:rsidP="00FA4235">
            <w:pPr>
              <w:pStyle w:val="TableText0"/>
              <w:keepNext w:val="0"/>
              <w:widowControl w:val="0"/>
              <w:jc w:val="center"/>
              <w:rPr>
                <w:szCs w:val="20"/>
              </w:rPr>
            </w:pPr>
            <w:r w:rsidRPr="009C01D5">
              <w:rPr>
                <w:szCs w:val="20"/>
              </w:rPr>
              <w:t>(-0.28, 0.28)</w:t>
            </w:r>
          </w:p>
        </w:tc>
      </w:tr>
      <w:tr w:rsidR="00936AB1" w:rsidRPr="009C01D5" w14:paraId="79C07A3D" w14:textId="77777777" w:rsidTr="000A2E54">
        <w:trPr>
          <w:trHeight w:val="115"/>
        </w:trPr>
        <w:tc>
          <w:tcPr>
            <w:tcW w:w="686" w:type="pct"/>
            <w:shd w:val="clear" w:color="auto" w:fill="auto"/>
          </w:tcPr>
          <w:p w14:paraId="67D00A63"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tcBorders>
              <w:bottom w:val="single" w:sz="4" w:space="0" w:color="auto"/>
            </w:tcBorders>
            <w:shd w:val="clear" w:color="auto" w:fill="auto"/>
          </w:tcPr>
          <w:p w14:paraId="332B60CA"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tcBorders>
              <w:bottom w:val="single" w:sz="4" w:space="0" w:color="auto"/>
            </w:tcBorders>
            <w:shd w:val="clear" w:color="auto" w:fill="auto"/>
          </w:tcPr>
          <w:p w14:paraId="222D03A5" w14:textId="77777777" w:rsidR="00936AB1" w:rsidRPr="009C01D5" w:rsidRDefault="00936AB1" w:rsidP="00FA4235">
            <w:pPr>
              <w:pStyle w:val="TableText0"/>
              <w:keepNext w:val="0"/>
              <w:widowControl w:val="0"/>
              <w:jc w:val="center"/>
              <w:rPr>
                <w:szCs w:val="20"/>
              </w:rPr>
            </w:pPr>
            <w:r w:rsidRPr="009C01D5">
              <w:rPr>
                <w:szCs w:val="20"/>
              </w:rPr>
              <w:t>-1.5 (0.1)</w:t>
            </w:r>
          </w:p>
        </w:tc>
        <w:tc>
          <w:tcPr>
            <w:tcW w:w="690" w:type="pct"/>
            <w:tcBorders>
              <w:bottom w:val="single" w:sz="4" w:space="0" w:color="auto"/>
            </w:tcBorders>
            <w:shd w:val="clear" w:color="auto" w:fill="auto"/>
          </w:tcPr>
          <w:p w14:paraId="33F197C0" w14:textId="77777777" w:rsidR="008527F6" w:rsidRPr="009C01D5" w:rsidRDefault="00936AB1" w:rsidP="00FA4235">
            <w:pPr>
              <w:pStyle w:val="TableText0"/>
              <w:keepNext w:val="0"/>
              <w:widowControl w:val="0"/>
              <w:jc w:val="center"/>
              <w:rPr>
                <w:b/>
                <w:szCs w:val="20"/>
              </w:rPr>
            </w:pPr>
            <w:r w:rsidRPr="009C01D5">
              <w:rPr>
                <w:b/>
                <w:szCs w:val="20"/>
              </w:rPr>
              <w:t xml:space="preserve">-0.5 </w:t>
            </w:r>
          </w:p>
          <w:p w14:paraId="56576D2D" w14:textId="77777777" w:rsidR="00936AB1" w:rsidRPr="009C01D5" w:rsidRDefault="00936AB1" w:rsidP="00FA4235">
            <w:pPr>
              <w:pStyle w:val="TableText0"/>
              <w:keepNext w:val="0"/>
              <w:widowControl w:val="0"/>
              <w:jc w:val="center"/>
              <w:rPr>
                <w:b/>
                <w:szCs w:val="20"/>
              </w:rPr>
            </w:pPr>
            <w:r w:rsidRPr="009C01D5">
              <w:rPr>
                <w:b/>
                <w:szCs w:val="20"/>
              </w:rPr>
              <w:t>(-0.7, -0.3)</w:t>
            </w:r>
          </w:p>
        </w:tc>
        <w:tc>
          <w:tcPr>
            <w:tcW w:w="490" w:type="pct"/>
            <w:tcBorders>
              <w:bottom w:val="single" w:sz="4" w:space="0" w:color="auto"/>
            </w:tcBorders>
            <w:shd w:val="clear" w:color="auto" w:fill="auto"/>
          </w:tcPr>
          <w:p w14:paraId="73043BAD"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tcBorders>
              <w:bottom w:val="single" w:sz="4" w:space="0" w:color="auto"/>
            </w:tcBorders>
            <w:shd w:val="clear" w:color="auto" w:fill="auto"/>
          </w:tcPr>
          <w:p w14:paraId="04723E02" w14:textId="77777777" w:rsidR="00936AB1" w:rsidRPr="009C01D5" w:rsidRDefault="00936AB1" w:rsidP="00FA4235">
            <w:pPr>
              <w:pStyle w:val="TableText0"/>
              <w:keepNext w:val="0"/>
              <w:widowControl w:val="0"/>
              <w:jc w:val="center"/>
              <w:rPr>
                <w:szCs w:val="20"/>
              </w:rPr>
            </w:pPr>
            <w:r w:rsidRPr="009C01D5">
              <w:rPr>
                <w:szCs w:val="20"/>
              </w:rPr>
              <w:t>-1.4 (0.1)</w:t>
            </w:r>
          </w:p>
        </w:tc>
        <w:tc>
          <w:tcPr>
            <w:tcW w:w="694" w:type="pct"/>
            <w:tcBorders>
              <w:bottom w:val="single" w:sz="4" w:space="0" w:color="auto"/>
            </w:tcBorders>
            <w:shd w:val="clear" w:color="auto" w:fill="auto"/>
          </w:tcPr>
          <w:p w14:paraId="2DC18468" w14:textId="77777777" w:rsidR="008527F6" w:rsidRPr="009C01D5" w:rsidRDefault="00936AB1" w:rsidP="00FA4235">
            <w:pPr>
              <w:pStyle w:val="TableText0"/>
              <w:keepNext w:val="0"/>
              <w:widowControl w:val="0"/>
              <w:jc w:val="center"/>
              <w:rPr>
                <w:b/>
                <w:szCs w:val="20"/>
              </w:rPr>
            </w:pPr>
            <w:r w:rsidRPr="009C01D5">
              <w:rPr>
                <w:b/>
                <w:szCs w:val="20"/>
              </w:rPr>
              <w:t xml:space="preserve">-0.4 </w:t>
            </w:r>
          </w:p>
          <w:p w14:paraId="74014DAA" w14:textId="77777777" w:rsidR="00936AB1" w:rsidRPr="009C01D5" w:rsidRDefault="00936AB1" w:rsidP="00FA4235">
            <w:pPr>
              <w:pStyle w:val="TableText0"/>
              <w:keepNext w:val="0"/>
              <w:widowControl w:val="0"/>
              <w:jc w:val="center"/>
              <w:rPr>
                <w:b/>
                <w:szCs w:val="20"/>
              </w:rPr>
            </w:pPr>
            <w:r w:rsidRPr="009C01D5">
              <w:rPr>
                <w:b/>
                <w:szCs w:val="20"/>
              </w:rPr>
              <w:t>(-0.6, -0.2)</w:t>
            </w:r>
          </w:p>
        </w:tc>
        <w:tc>
          <w:tcPr>
            <w:tcW w:w="822" w:type="pct"/>
            <w:tcBorders>
              <w:bottom w:val="single" w:sz="4" w:space="0" w:color="auto"/>
            </w:tcBorders>
            <w:shd w:val="clear" w:color="auto" w:fill="auto"/>
          </w:tcPr>
          <w:p w14:paraId="710D6253" w14:textId="77777777" w:rsidR="008527F6" w:rsidRPr="009C01D5" w:rsidRDefault="00936AB1" w:rsidP="00FA4235">
            <w:pPr>
              <w:pStyle w:val="TableText0"/>
              <w:keepNext w:val="0"/>
              <w:widowControl w:val="0"/>
              <w:jc w:val="center"/>
              <w:rPr>
                <w:szCs w:val="20"/>
              </w:rPr>
            </w:pPr>
            <w:r w:rsidRPr="009C01D5">
              <w:rPr>
                <w:szCs w:val="20"/>
              </w:rPr>
              <w:t xml:space="preserve">-0.1 </w:t>
            </w:r>
          </w:p>
          <w:p w14:paraId="2981F5D3" w14:textId="77777777" w:rsidR="00936AB1" w:rsidRPr="009C01D5" w:rsidRDefault="00936AB1" w:rsidP="00FA4235">
            <w:pPr>
              <w:pStyle w:val="TableText0"/>
              <w:keepNext w:val="0"/>
              <w:widowControl w:val="0"/>
              <w:jc w:val="center"/>
              <w:rPr>
                <w:szCs w:val="20"/>
              </w:rPr>
            </w:pPr>
            <w:r w:rsidRPr="009C01D5">
              <w:rPr>
                <w:szCs w:val="20"/>
              </w:rPr>
              <w:t>(-0.38, 0.18)</w:t>
            </w:r>
          </w:p>
        </w:tc>
      </w:tr>
      <w:tr w:rsidR="00936AB1" w:rsidRPr="009C01D5" w14:paraId="716819B5" w14:textId="77777777" w:rsidTr="000A2E54">
        <w:trPr>
          <w:trHeight w:val="115"/>
        </w:trPr>
        <w:tc>
          <w:tcPr>
            <w:tcW w:w="5000" w:type="pct"/>
            <w:gridSpan w:val="8"/>
            <w:shd w:val="clear" w:color="auto" w:fill="auto"/>
          </w:tcPr>
          <w:p w14:paraId="681E6726" w14:textId="77777777" w:rsidR="00936AB1" w:rsidRPr="009C01D5" w:rsidRDefault="00936AB1" w:rsidP="0007050B">
            <w:pPr>
              <w:pStyle w:val="TableText0"/>
              <w:keepNext w:val="0"/>
              <w:widowControl w:val="0"/>
              <w:rPr>
                <w:b/>
                <w:szCs w:val="20"/>
              </w:rPr>
            </w:pPr>
            <w:r w:rsidRPr="009C01D5">
              <w:rPr>
                <w:b/>
                <w:szCs w:val="20"/>
              </w:rPr>
              <w:t>CGI-S –LOCF</w:t>
            </w:r>
          </w:p>
        </w:tc>
      </w:tr>
      <w:tr w:rsidR="00936AB1" w:rsidRPr="009C01D5" w14:paraId="64063D0E" w14:textId="77777777" w:rsidTr="000A2E54">
        <w:trPr>
          <w:trHeight w:val="115"/>
        </w:trPr>
        <w:tc>
          <w:tcPr>
            <w:tcW w:w="686" w:type="pct"/>
            <w:shd w:val="clear" w:color="auto" w:fill="auto"/>
          </w:tcPr>
          <w:p w14:paraId="41AF2D17"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top w:val="single" w:sz="4" w:space="0" w:color="auto"/>
            </w:tcBorders>
            <w:shd w:val="clear" w:color="auto" w:fill="auto"/>
          </w:tcPr>
          <w:p w14:paraId="78619A67" w14:textId="77777777" w:rsidR="00936AB1" w:rsidRPr="009C01D5" w:rsidRDefault="00936AB1" w:rsidP="00FA4235">
            <w:pPr>
              <w:pStyle w:val="TableText0"/>
              <w:keepNext w:val="0"/>
              <w:widowControl w:val="0"/>
              <w:jc w:val="center"/>
              <w:rPr>
                <w:szCs w:val="20"/>
              </w:rPr>
            </w:pPr>
            <w:r w:rsidRPr="009C01D5">
              <w:rPr>
                <w:szCs w:val="20"/>
              </w:rPr>
              <w:t>4.9 [0.6]</w:t>
            </w:r>
          </w:p>
        </w:tc>
        <w:tc>
          <w:tcPr>
            <w:tcW w:w="534" w:type="pct"/>
            <w:tcBorders>
              <w:top w:val="single" w:sz="4" w:space="0" w:color="auto"/>
            </w:tcBorders>
            <w:shd w:val="clear" w:color="auto" w:fill="auto"/>
          </w:tcPr>
          <w:p w14:paraId="536D5375" w14:textId="77777777" w:rsidR="00936AB1" w:rsidRPr="009C01D5" w:rsidRDefault="00936AB1" w:rsidP="00FA4235">
            <w:pPr>
              <w:pStyle w:val="TableText0"/>
              <w:keepNext w:val="0"/>
              <w:widowControl w:val="0"/>
              <w:jc w:val="center"/>
              <w:rPr>
                <w:szCs w:val="20"/>
              </w:rPr>
            </w:pPr>
            <w:r w:rsidRPr="009C01D5">
              <w:rPr>
                <w:szCs w:val="20"/>
              </w:rPr>
              <w:t>-1.4 (0.1)</w:t>
            </w:r>
          </w:p>
        </w:tc>
        <w:tc>
          <w:tcPr>
            <w:tcW w:w="690" w:type="pct"/>
            <w:tcBorders>
              <w:top w:val="single" w:sz="4" w:space="0" w:color="auto"/>
            </w:tcBorders>
            <w:shd w:val="clear" w:color="auto" w:fill="auto"/>
          </w:tcPr>
          <w:p w14:paraId="24279B07" w14:textId="77777777" w:rsidR="008527F6" w:rsidRPr="009C01D5" w:rsidRDefault="00936AB1" w:rsidP="00FA4235">
            <w:pPr>
              <w:pStyle w:val="TableText0"/>
              <w:keepNext w:val="0"/>
              <w:widowControl w:val="0"/>
              <w:jc w:val="center"/>
              <w:rPr>
                <w:b/>
                <w:szCs w:val="20"/>
              </w:rPr>
            </w:pPr>
            <w:r w:rsidRPr="009C01D5">
              <w:rPr>
                <w:b/>
                <w:szCs w:val="20"/>
              </w:rPr>
              <w:t xml:space="preserve">-0.4 </w:t>
            </w:r>
          </w:p>
          <w:p w14:paraId="1E73281F" w14:textId="77777777" w:rsidR="00936AB1" w:rsidRPr="009C01D5" w:rsidRDefault="00936AB1" w:rsidP="00FA4235">
            <w:pPr>
              <w:pStyle w:val="TableText0"/>
              <w:keepNext w:val="0"/>
              <w:widowControl w:val="0"/>
              <w:jc w:val="center"/>
              <w:rPr>
                <w:b/>
                <w:szCs w:val="20"/>
              </w:rPr>
            </w:pPr>
            <w:r w:rsidRPr="009C01D5">
              <w:rPr>
                <w:b/>
                <w:szCs w:val="20"/>
              </w:rPr>
              <w:t>(-0.6, -0.2)</w:t>
            </w:r>
          </w:p>
        </w:tc>
        <w:tc>
          <w:tcPr>
            <w:tcW w:w="490" w:type="pct"/>
            <w:tcBorders>
              <w:top w:val="single" w:sz="4" w:space="0" w:color="auto"/>
            </w:tcBorders>
            <w:shd w:val="clear" w:color="auto" w:fill="auto"/>
          </w:tcPr>
          <w:p w14:paraId="42D6F92A"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tcBorders>
              <w:top w:val="single" w:sz="4" w:space="0" w:color="auto"/>
            </w:tcBorders>
            <w:shd w:val="clear" w:color="auto" w:fill="auto"/>
          </w:tcPr>
          <w:p w14:paraId="4C219A2C" w14:textId="77777777" w:rsidR="00936AB1" w:rsidRPr="009C01D5" w:rsidRDefault="00936AB1" w:rsidP="00FA4235">
            <w:pPr>
              <w:pStyle w:val="TableText0"/>
              <w:keepNext w:val="0"/>
              <w:widowControl w:val="0"/>
              <w:jc w:val="center"/>
              <w:rPr>
                <w:szCs w:val="20"/>
              </w:rPr>
            </w:pPr>
            <w:r w:rsidRPr="009C01D5">
              <w:rPr>
                <w:szCs w:val="20"/>
              </w:rPr>
              <w:t>-1.4 (0.1)</w:t>
            </w:r>
          </w:p>
        </w:tc>
        <w:tc>
          <w:tcPr>
            <w:tcW w:w="694" w:type="pct"/>
            <w:tcBorders>
              <w:top w:val="single" w:sz="4" w:space="0" w:color="auto"/>
            </w:tcBorders>
            <w:shd w:val="clear" w:color="auto" w:fill="auto"/>
          </w:tcPr>
          <w:p w14:paraId="402462A0" w14:textId="77777777" w:rsidR="008527F6" w:rsidRPr="009C01D5" w:rsidRDefault="00936AB1" w:rsidP="00FA4235">
            <w:pPr>
              <w:pStyle w:val="TableText0"/>
              <w:keepNext w:val="0"/>
              <w:widowControl w:val="0"/>
              <w:jc w:val="center"/>
              <w:rPr>
                <w:b/>
                <w:szCs w:val="20"/>
              </w:rPr>
            </w:pPr>
            <w:r w:rsidRPr="009C01D5">
              <w:rPr>
                <w:b/>
                <w:szCs w:val="20"/>
              </w:rPr>
              <w:t xml:space="preserve">-0.4 </w:t>
            </w:r>
          </w:p>
          <w:p w14:paraId="4EE86965" w14:textId="77777777" w:rsidR="00936AB1" w:rsidRPr="009C01D5" w:rsidRDefault="00936AB1" w:rsidP="00FA4235">
            <w:pPr>
              <w:pStyle w:val="TableText0"/>
              <w:keepNext w:val="0"/>
              <w:widowControl w:val="0"/>
              <w:jc w:val="center"/>
              <w:rPr>
                <w:b/>
                <w:szCs w:val="20"/>
              </w:rPr>
            </w:pPr>
            <w:r w:rsidRPr="009C01D5">
              <w:rPr>
                <w:b/>
                <w:szCs w:val="20"/>
              </w:rPr>
              <w:t>(-0.6, -0.2)</w:t>
            </w:r>
          </w:p>
        </w:tc>
        <w:tc>
          <w:tcPr>
            <w:tcW w:w="822" w:type="pct"/>
            <w:tcBorders>
              <w:top w:val="single" w:sz="4" w:space="0" w:color="auto"/>
            </w:tcBorders>
            <w:shd w:val="clear" w:color="auto" w:fill="auto"/>
          </w:tcPr>
          <w:p w14:paraId="4520164B" w14:textId="77777777" w:rsidR="008527F6" w:rsidRPr="009C01D5" w:rsidRDefault="00936AB1" w:rsidP="00FA4235">
            <w:pPr>
              <w:pStyle w:val="TableText0"/>
              <w:keepNext w:val="0"/>
              <w:widowControl w:val="0"/>
              <w:jc w:val="center"/>
              <w:rPr>
                <w:szCs w:val="20"/>
              </w:rPr>
            </w:pPr>
            <w:r w:rsidRPr="009C01D5">
              <w:rPr>
                <w:szCs w:val="20"/>
              </w:rPr>
              <w:t>0.0</w:t>
            </w:r>
          </w:p>
          <w:p w14:paraId="7B040379" w14:textId="77777777" w:rsidR="00936AB1" w:rsidRPr="009C01D5" w:rsidRDefault="00936AB1" w:rsidP="00FA4235">
            <w:pPr>
              <w:pStyle w:val="TableText0"/>
              <w:keepNext w:val="0"/>
              <w:widowControl w:val="0"/>
              <w:jc w:val="center"/>
              <w:rPr>
                <w:szCs w:val="20"/>
              </w:rPr>
            </w:pPr>
            <w:r w:rsidRPr="009C01D5">
              <w:rPr>
                <w:szCs w:val="20"/>
              </w:rPr>
              <w:t>(-0.28, 0.28)</w:t>
            </w:r>
          </w:p>
        </w:tc>
      </w:tr>
      <w:tr w:rsidR="00936AB1" w:rsidRPr="009C01D5" w14:paraId="277DC1AE" w14:textId="77777777" w:rsidTr="000A2E54">
        <w:trPr>
          <w:trHeight w:val="115"/>
        </w:trPr>
        <w:tc>
          <w:tcPr>
            <w:tcW w:w="686" w:type="pct"/>
            <w:shd w:val="clear" w:color="auto" w:fill="auto"/>
          </w:tcPr>
          <w:p w14:paraId="5E6124EA"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tcBorders>
              <w:bottom w:val="single" w:sz="4" w:space="0" w:color="auto"/>
            </w:tcBorders>
            <w:shd w:val="clear" w:color="auto" w:fill="auto"/>
          </w:tcPr>
          <w:p w14:paraId="4FD21540"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tcBorders>
              <w:bottom w:val="single" w:sz="4" w:space="0" w:color="auto"/>
            </w:tcBorders>
            <w:shd w:val="clear" w:color="auto" w:fill="auto"/>
          </w:tcPr>
          <w:p w14:paraId="498615D6" w14:textId="77777777" w:rsidR="00936AB1" w:rsidRPr="009C01D5" w:rsidRDefault="00936AB1" w:rsidP="00FA4235">
            <w:pPr>
              <w:pStyle w:val="TableText0"/>
              <w:keepNext w:val="0"/>
              <w:widowControl w:val="0"/>
              <w:jc w:val="center"/>
              <w:rPr>
                <w:szCs w:val="20"/>
              </w:rPr>
            </w:pPr>
            <w:r w:rsidRPr="009C01D5">
              <w:rPr>
                <w:szCs w:val="20"/>
              </w:rPr>
              <w:t>-1.5 (0.1)</w:t>
            </w:r>
          </w:p>
        </w:tc>
        <w:tc>
          <w:tcPr>
            <w:tcW w:w="690" w:type="pct"/>
            <w:tcBorders>
              <w:bottom w:val="single" w:sz="4" w:space="0" w:color="auto"/>
            </w:tcBorders>
            <w:shd w:val="clear" w:color="auto" w:fill="auto"/>
          </w:tcPr>
          <w:p w14:paraId="38008790" w14:textId="77777777" w:rsidR="008527F6" w:rsidRPr="009C01D5" w:rsidRDefault="00936AB1" w:rsidP="00FA4235">
            <w:pPr>
              <w:pStyle w:val="TableText0"/>
              <w:keepNext w:val="0"/>
              <w:widowControl w:val="0"/>
              <w:jc w:val="center"/>
              <w:rPr>
                <w:b/>
                <w:szCs w:val="20"/>
              </w:rPr>
            </w:pPr>
            <w:r w:rsidRPr="009C01D5">
              <w:rPr>
                <w:b/>
                <w:szCs w:val="20"/>
              </w:rPr>
              <w:t xml:space="preserve">-0.5 </w:t>
            </w:r>
          </w:p>
          <w:p w14:paraId="075D6A78" w14:textId="77777777" w:rsidR="00936AB1" w:rsidRPr="009C01D5" w:rsidRDefault="00936AB1" w:rsidP="00FA4235">
            <w:pPr>
              <w:pStyle w:val="TableText0"/>
              <w:keepNext w:val="0"/>
              <w:widowControl w:val="0"/>
              <w:jc w:val="center"/>
              <w:rPr>
                <w:b/>
                <w:szCs w:val="20"/>
              </w:rPr>
            </w:pPr>
            <w:r w:rsidRPr="009C01D5">
              <w:rPr>
                <w:b/>
                <w:szCs w:val="20"/>
              </w:rPr>
              <w:t>(-0.7, -0.3)</w:t>
            </w:r>
          </w:p>
        </w:tc>
        <w:tc>
          <w:tcPr>
            <w:tcW w:w="490" w:type="pct"/>
            <w:tcBorders>
              <w:bottom w:val="single" w:sz="4" w:space="0" w:color="auto"/>
            </w:tcBorders>
            <w:shd w:val="clear" w:color="auto" w:fill="auto"/>
          </w:tcPr>
          <w:p w14:paraId="25CA3831" w14:textId="77777777" w:rsidR="00936AB1" w:rsidRPr="009C01D5" w:rsidRDefault="00936AB1" w:rsidP="00FA4235">
            <w:pPr>
              <w:pStyle w:val="TableText0"/>
              <w:keepNext w:val="0"/>
              <w:widowControl w:val="0"/>
              <w:jc w:val="center"/>
              <w:rPr>
                <w:szCs w:val="20"/>
              </w:rPr>
            </w:pPr>
            <w:r w:rsidRPr="009C01D5">
              <w:rPr>
                <w:szCs w:val="20"/>
              </w:rPr>
              <w:t>4.8 [0.6]</w:t>
            </w:r>
          </w:p>
        </w:tc>
        <w:tc>
          <w:tcPr>
            <w:tcW w:w="534" w:type="pct"/>
            <w:tcBorders>
              <w:bottom w:val="single" w:sz="4" w:space="0" w:color="auto"/>
            </w:tcBorders>
            <w:shd w:val="clear" w:color="auto" w:fill="auto"/>
          </w:tcPr>
          <w:p w14:paraId="59DA64EC" w14:textId="77777777" w:rsidR="00936AB1" w:rsidRPr="009C01D5" w:rsidRDefault="00936AB1" w:rsidP="00FA4235">
            <w:pPr>
              <w:pStyle w:val="TableText0"/>
              <w:keepNext w:val="0"/>
              <w:widowControl w:val="0"/>
              <w:jc w:val="center"/>
              <w:rPr>
                <w:szCs w:val="20"/>
              </w:rPr>
            </w:pPr>
            <w:r w:rsidRPr="009C01D5">
              <w:rPr>
                <w:szCs w:val="20"/>
              </w:rPr>
              <w:t>-1.4 (0.1)</w:t>
            </w:r>
          </w:p>
        </w:tc>
        <w:tc>
          <w:tcPr>
            <w:tcW w:w="694" w:type="pct"/>
            <w:tcBorders>
              <w:bottom w:val="single" w:sz="4" w:space="0" w:color="auto"/>
            </w:tcBorders>
            <w:shd w:val="clear" w:color="auto" w:fill="auto"/>
          </w:tcPr>
          <w:p w14:paraId="2A5EA99F" w14:textId="77777777" w:rsidR="008527F6" w:rsidRPr="009C01D5" w:rsidRDefault="00936AB1" w:rsidP="00FA4235">
            <w:pPr>
              <w:pStyle w:val="TableText0"/>
              <w:keepNext w:val="0"/>
              <w:widowControl w:val="0"/>
              <w:jc w:val="center"/>
              <w:rPr>
                <w:b/>
                <w:szCs w:val="20"/>
              </w:rPr>
            </w:pPr>
            <w:r w:rsidRPr="009C01D5">
              <w:rPr>
                <w:b/>
                <w:szCs w:val="20"/>
              </w:rPr>
              <w:t xml:space="preserve">-0.4 </w:t>
            </w:r>
          </w:p>
          <w:p w14:paraId="0C9E0438" w14:textId="77777777" w:rsidR="00936AB1" w:rsidRPr="009C01D5" w:rsidRDefault="00936AB1" w:rsidP="00FA4235">
            <w:pPr>
              <w:pStyle w:val="TableText0"/>
              <w:keepNext w:val="0"/>
              <w:widowControl w:val="0"/>
              <w:jc w:val="center"/>
              <w:rPr>
                <w:b/>
                <w:szCs w:val="20"/>
              </w:rPr>
            </w:pPr>
            <w:r w:rsidRPr="009C01D5">
              <w:rPr>
                <w:b/>
                <w:szCs w:val="20"/>
              </w:rPr>
              <w:t>(-0.6, -0.2)</w:t>
            </w:r>
          </w:p>
        </w:tc>
        <w:tc>
          <w:tcPr>
            <w:tcW w:w="822" w:type="pct"/>
            <w:tcBorders>
              <w:bottom w:val="single" w:sz="4" w:space="0" w:color="auto"/>
            </w:tcBorders>
            <w:shd w:val="clear" w:color="auto" w:fill="auto"/>
          </w:tcPr>
          <w:p w14:paraId="25148873" w14:textId="77777777" w:rsidR="008527F6" w:rsidRPr="009C01D5" w:rsidRDefault="00936AB1" w:rsidP="00FA4235">
            <w:pPr>
              <w:pStyle w:val="TableText0"/>
              <w:keepNext w:val="0"/>
              <w:widowControl w:val="0"/>
              <w:jc w:val="center"/>
              <w:rPr>
                <w:szCs w:val="20"/>
              </w:rPr>
            </w:pPr>
            <w:r w:rsidRPr="009C01D5">
              <w:rPr>
                <w:szCs w:val="20"/>
              </w:rPr>
              <w:t xml:space="preserve">-0.1 </w:t>
            </w:r>
          </w:p>
          <w:p w14:paraId="1FC36EC8" w14:textId="77777777" w:rsidR="00936AB1" w:rsidRPr="009C01D5" w:rsidRDefault="00936AB1" w:rsidP="00FA4235">
            <w:pPr>
              <w:pStyle w:val="TableText0"/>
              <w:keepNext w:val="0"/>
              <w:widowControl w:val="0"/>
              <w:jc w:val="center"/>
              <w:rPr>
                <w:szCs w:val="20"/>
              </w:rPr>
            </w:pPr>
            <w:r w:rsidRPr="009C01D5">
              <w:rPr>
                <w:szCs w:val="20"/>
              </w:rPr>
              <w:t>(-0.38, 0.18)</w:t>
            </w:r>
          </w:p>
        </w:tc>
      </w:tr>
      <w:tr w:rsidR="00936AB1" w:rsidRPr="009C01D5" w14:paraId="1356178B" w14:textId="77777777" w:rsidTr="000A2E54">
        <w:trPr>
          <w:trHeight w:val="115"/>
        </w:trPr>
        <w:tc>
          <w:tcPr>
            <w:tcW w:w="5000" w:type="pct"/>
            <w:gridSpan w:val="8"/>
            <w:shd w:val="clear" w:color="auto" w:fill="auto"/>
          </w:tcPr>
          <w:p w14:paraId="1E7BED94" w14:textId="77777777" w:rsidR="00936AB1" w:rsidRPr="009C01D5" w:rsidRDefault="00936AB1" w:rsidP="004A6EF5">
            <w:pPr>
              <w:pStyle w:val="TableText0"/>
              <w:keepNext w:val="0"/>
              <w:widowControl w:val="0"/>
              <w:rPr>
                <w:b/>
                <w:szCs w:val="20"/>
              </w:rPr>
            </w:pPr>
            <w:r w:rsidRPr="009C01D5">
              <w:rPr>
                <w:b/>
                <w:szCs w:val="20"/>
              </w:rPr>
              <w:t>CGI-I</w:t>
            </w:r>
          </w:p>
        </w:tc>
      </w:tr>
      <w:tr w:rsidR="00936AB1" w:rsidRPr="009C01D5" w14:paraId="15C9EB40" w14:textId="77777777" w:rsidTr="000A2E54">
        <w:trPr>
          <w:trHeight w:val="115"/>
        </w:trPr>
        <w:tc>
          <w:tcPr>
            <w:tcW w:w="686" w:type="pct"/>
            <w:shd w:val="clear" w:color="auto" w:fill="auto"/>
          </w:tcPr>
          <w:p w14:paraId="68D1DBA0"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top w:val="single" w:sz="4" w:space="0" w:color="auto"/>
            </w:tcBorders>
            <w:shd w:val="clear" w:color="auto" w:fill="auto"/>
          </w:tcPr>
          <w:p w14:paraId="55E388CD" w14:textId="77777777" w:rsidR="00936AB1" w:rsidRPr="009C01D5" w:rsidRDefault="00936AB1" w:rsidP="00FA4235">
            <w:pPr>
              <w:pStyle w:val="TableText0"/>
              <w:keepNext w:val="0"/>
              <w:widowControl w:val="0"/>
              <w:jc w:val="center"/>
              <w:rPr>
                <w:szCs w:val="20"/>
              </w:rPr>
            </w:pPr>
            <w:r w:rsidRPr="009C01D5">
              <w:rPr>
                <w:szCs w:val="20"/>
              </w:rPr>
              <w:t>-</w:t>
            </w:r>
          </w:p>
        </w:tc>
        <w:tc>
          <w:tcPr>
            <w:tcW w:w="534" w:type="pct"/>
            <w:tcBorders>
              <w:top w:val="single" w:sz="4" w:space="0" w:color="auto"/>
            </w:tcBorders>
            <w:shd w:val="clear" w:color="auto" w:fill="auto"/>
          </w:tcPr>
          <w:p w14:paraId="15040E18" w14:textId="77777777" w:rsidR="00936AB1" w:rsidRPr="009C01D5" w:rsidRDefault="00936AB1" w:rsidP="00FA4235">
            <w:pPr>
              <w:pStyle w:val="TableText0"/>
              <w:keepNext w:val="0"/>
              <w:widowControl w:val="0"/>
              <w:jc w:val="center"/>
              <w:rPr>
                <w:szCs w:val="20"/>
              </w:rPr>
            </w:pPr>
            <w:r w:rsidRPr="009C01D5">
              <w:rPr>
                <w:szCs w:val="20"/>
              </w:rPr>
              <w:t>2.7 (0.1)</w:t>
            </w:r>
          </w:p>
        </w:tc>
        <w:tc>
          <w:tcPr>
            <w:tcW w:w="690" w:type="pct"/>
            <w:tcBorders>
              <w:top w:val="single" w:sz="4" w:space="0" w:color="auto"/>
            </w:tcBorders>
            <w:shd w:val="clear" w:color="auto" w:fill="auto"/>
          </w:tcPr>
          <w:p w14:paraId="579D7E97" w14:textId="77777777" w:rsidR="008527F6" w:rsidRPr="009C01D5" w:rsidRDefault="00936AB1" w:rsidP="00FA4235">
            <w:pPr>
              <w:pStyle w:val="TableText0"/>
              <w:keepNext w:val="0"/>
              <w:widowControl w:val="0"/>
              <w:jc w:val="center"/>
              <w:rPr>
                <w:b/>
                <w:szCs w:val="20"/>
              </w:rPr>
            </w:pPr>
            <w:r w:rsidRPr="009C01D5">
              <w:rPr>
                <w:b/>
                <w:szCs w:val="20"/>
              </w:rPr>
              <w:t xml:space="preserve">-0.6 </w:t>
            </w:r>
          </w:p>
          <w:p w14:paraId="500E58D2" w14:textId="77777777" w:rsidR="00936AB1" w:rsidRPr="009C01D5" w:rsidRDefault="00936AB1" w:rsidP="00FA4235">
            <w:pPr>
              <w:pStyle w:val="TableText0"/>
              <w:keepNext w:val="0"/>
              <w:widowControl w:val="0"/>
              <w:jc w:val="center"/>
              <w:rPr>
                <w:b/>
                <w:szCs w:val="20"/>
              </w:rPr>
            </w:pPr>
            <w:r w:rsidRPr="009C01D5">
              <w:rPr>
                <w:b/>
                <w:szCs w:val="20"/>
              </w:rPr>
              <w:t>(-0.9, -0.3)</w:t>
            </w:r>
          </w:p>
        </w:tc>
        <w:tc>
          <w:tcPr>
            <w:tcW w:w="490" w:type="pct"/>
            <w:tcBorders>
              <w:top w:val="single" w:sz="4" w:space="0" w:color="auto"/>
            </w:tcBorders>
            <w:shd w:val="clear" w:color="auto" w:fill="auto"/>
          </w:tcPr>
          <w:p w14:paraId="517254B1" w14:textId="77777777" w:rsidR="00936AB1" w:rsidRPr="009C01D5" w:rsidRDefault="00936AB1" w:rsidP="00FA4235">
            <w:pPr>
              <w:pStyle w:val="TableText0"/>
              <w:keepNext w:val="0"/>
              <w:widowControl w:val="0"/>
              <w:jc w:val="center"/>
              <w:rPr>
                <w:szCs w:val="20"/>
              </w:rPr>
            </w:pPr>
            <w:r w:rsidRPr="009C01D5">
              <w:rPr>
                <w:szCs w:val="20"/>
              </w:rPr>
              <w:t>-</w:t>
            </w:r>
          </w:p>
        </w:tc>
        <w:tc>
          <w:tcPr>
            <w:tcW w:w="534" w:type="pct"/>
            <w:tcBorders>
              <w:top w:val="single" w:sz="4" w:space="0" w:color="auto"/>
            </w:tcBorders>
            <w:shd w:val="clear" w:color="auto" w:fill="auto"/>
          </w:tcPr>
          <w:p w14:paraId="2A27F36D" w14:textId="77777777" w:rsidR="00936AB1" w:rsidRPr="009C01D5" w:rsidRDefault="00936AB1" w:rsidP="00FA4235">
            <w:pPr>
              <w:pStyle w:val="TableText0"/>
              <w:keepNext w:val="0"/>
              <w:widowControl w:val="0"/>
              <w:jc w:val="center"/>
              <w:rPr>
                <w:szCs w:val="20"/>
              </w:rPr>
            </w:pPr>
            <w:r w:rsidRPr="009C01D5">
              <w:rPr>
                <w:szCs w:val="20"/>
              </w:rPr>
              <w:t>2.7 (0.1)</w:t>
            </w:r>
          </w:p>
        </w:tc>
        <w:tc>
          <w:tcPr>
            <w:tcW w:w="694" w:type="pct"/>
            <w:tcBorders>
              <w:top w:val="single" w:sz="4" w:space="0" w:color="auto"/>
            </w:tcBorders>
            <w:shd w:val="clear" w:color="auto" w:fill="auto"/>
          </w:tcPr>
          <w:p w14:paraId="59B2705E" w14:textId="77777777" w:rsidR="008527F6" w:rsidRPr="009C01D5" w:rsidRDefault="00936AB1" w:rsidP="00FA4235">
            <w:pPr>
              <w:pStyle w:val="TableText0"/>
              <w:keepNext w:val="0"/>
              <w:widowControl w:val="0"/>
              <w:jc w:val="center"/>
              <w:rPr>
                <w:b/>
                <w:szCs w:val="20"/>
              </w:rPr>
            </w:pPr>
            <w:r w:rsidRPr="009C01D5">
              <w:rPr>
                <w:b/>
                <w:szCs w:val="20"/>
              </w:rPr>
              <w:t xml:space="preserve">-0.5 </w:t>
            </w:r>
          </w:p>
          <w:p w14:paraId="2D8DA2D6" w14:textId="77777777" w:rsidR="00936AB1" w:rsidRPr="009C01D5" w:rsidRDefault="00936AB1" w:rsidP="00FA4235">
            <w:pPr>
              <w:pStyle w:val="TableText0"/>
              <w:keepNext w:val="0"/>
              <w:widowControl w:val="0"/>
              <w:jc w:val="center"/>
              <w:rPr>
                <w:b/>
                <w:szCs w:val="20"/>
              </w:rPr>
            </w:pPr>
            <w:r w:rsidRPr="009C01D5">
              <w:rPr>
                <w:b/>
                <w:szCs w:val="20"/>
              </w:rPr>
              <w:t>(-0.8, -0.3)</w:t>
            </w:r>
          </w:p>
        </w:tc>
        <w:tc>
          <w:tcPr>
            <w:tcW w:w="822" w:type="pct"/>
            <w:tcBorders>
              <w:top w:val="single" w:sz="4" w:space="0" w:color="auto"/>
            </w:tcBorders>
            <w:shd w:val="clear" w:color="auto" w:fill="auto"/>
          </w:tcPr>
          <w:p w14:paraId="2DACB9AB" w14:textId="77777777" w:rsidR="008527F6" w:rsidRPr="009C01D5" w:rsidRDefault="00936AB1" w:rsidP="00FA4235">
            <w:pPr>
              <w:pStyle w:val="TableText0"/>
              <w:keepNext w:val="0"/>
              <w:widowControl w:val="0"/>
              <w:jc w:val="center"/>
              <w:rPr>
                <w:szCs w:val="20"/>
              </w:rPr>
            </w:pPr>
            <w:r w:rsidRPr="009C01D5">
              <w:rPr>
                <w:szCs w:val="20"/>
              </w:rPr>
              <w:t xml:space="preserve">0.0 </w:t>
            </w:r>
          </w:p>
          <w:p w14:paraId="565BAB5D" w14:textId="77777777" w:rsidR="00936AB1" w:rsidRPr="009C01D5" w:rsidRDefault="00936AB1" w:rsidP="00FA4235">
            <w:pPr>
              <w:pStyle w:val="TableText0"/>
              <w:keepNext w:val="0"/>
              <w:widowControl w:val="0"/>
              <w:jc w:val="center"/>
              <w:rPr>
                <w:szCs w:val="20"/>
              </w:rPr>
            </w:pPr>
            <w:r w:rsidRPr="009C01D5">
              <w:rPr>
                <w:szCs w:val="20"/>
              </w:rPr>
              <w:t>(-0.28, 0.28)</w:t>
            </w:r>
          </w:p>
        </w:tc>
      </w:tr>
      <w:tr w:rsidR="00936AB1" w:rsidRPr="009C01D5" w14:paraId="75FEC9F5" w14:textId="77777777" w:rsidTr="000A2E54">
        <w:trPr>
          <w:trHeight w:val="115"/>
        </w:trPr>
        <w:tc>
          <w:tcPr>
            <w:tcW w:w="686" w:type="pct"/>
            <w:shd w:val="clear" w:color="auto" w:fill="auto"/>
          </w:tcPr>
          <w:p w14:paraId="7E52AF44"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tcBorders>
              <w:bottom w:val="single" w:sz="4" w:space="0" w:color="auto"/>
            </w:tcBorders>
            <w:shd w:val="clear" w:color="auto" w:fill="auto"/>
          </w:tcPr>
          <w:p w14:paraId="451ACCAC" w14:textId="77777777" w:rsidR="00936AB1" w:rsidRPr="009C01D5" w:rsidRDefault="00936AB1" w:rsidP="00FA4235">
            <w:pPr>
              <w:pStyle w:val="TableText0"/>
              <w:keepNext w:val="0"/>
              <w:widowControl w:val="0"/>
              <w:jc w:val="center"/>
              <w:rPr>
                <w:szCs w:val="20"/>
              </w:rPr>
            </w:pPr>
            <w:r w:rsidRPr="009C01D5">
              <w:rPr>
                <w:szCs w:val="20"/>
              </w:rPr>
              <w:t>-</w:t>
            </w:r>
          </w:p>
        </w:tc>
        <w:tc>
          <w:tcPr>
            <w:tcW w:w="534" w:type="pct"/>
            <w:tcBorders>
              <w:bottom w:val="single" w:sz="4" w:space="0" w:color="auto"/>
            </w:tcBorders>
            <w:shd w:val="clear" w:color="auto" w:fill="auto"/>
          </w:tcPr>
          <w:p w14:paraId="302ABDD3" w14:textId="77777777" w:rsidR="00936AB1" w:rsidRPr="009C01D5" w:rsidRDefault="00936AB1" w:rsidP="00FA4235">
            <w:pPr>
              <w:pStyle w:val="TableText0"/>
              <w:keepNext w:val="0"/>
              <w:widowControl w:val="0"/>
              <w:jc w:val="center"/>
              <w:rPr>
                <w:szCs w:val="20"/>
              </w:rPr>
            </w:pPr>
            <w:r w:rsidRPr="009C01D5">
              <w:rPr>
                <w:szCs w:val="20"/>
              </w:rPr>
              <w:t>2.7 (0.1)</w:t>
            </w:r>
          </w:p>
        </w:tc>
        <w:tc>
          <w:tcPr>
            <w:tcW w:w="690" w:type="pct"/>
            <w:tcBorders>
              <w:bottom w:val="single" w:sz="4" w:space="0" w:color="auto"/>
            </w:tcBorders>
            <w:shd w:val="clear" w:color="auto" w:fill="auto"/>
          </w:tcPr>
          <w:p w14:paraId="72C10B3C" w14:textId="77777777" w:rsidR="008527F6" w:rsidRPr="009C01D5" w:rsidRDefault="00936AB1" w:rsidP="00FA4235">
            <w:pPr>
              <w:pStyle w:val="TableText0"/>
              <w:keepNext w:val="0"/>
              <w:widowControl w:val="0"/>
              <w:jc w:val="center"/>
              <w:rPr>
                <w:b/>
                <w:szCs w:val="20"/>
              </w:rPr>
            </w:pPr>
            <w:r w:rsidRPr="009C01D5">
              <w:rPr>
                <w:b/>
                <w:szCs w:val="20"/>
              </w:rPr>
              <w:t xml:space="preserve">-0.5 </w:t>
            </w:r>
          </w:p>
          <w:p w14:paraId="72D8F6DA" w14:textId="77777777" w:rsidR="00936AB1" w:rsidRPr="009C01D5" w:rsidRDefault="00936AB1" w:rsidP="00FA4235">
            <w:pPr>
              <w:pStyle w:val="TableText0"/>
              <w:keepNext w:val="0"/>
              <w:widowControl w:val="0"/>
              <w:jc w:val="center"/>
              <w:rPr>
                <w:b/>
                <w:szCs w:val="20"/>
              </w:rPr>
            </w:pPr>
            <w:r w:rsidRPr="009C01D5">
              <w:rPr>
                <w:b/>
                <w:szCs w:val="20"/>
              </w:rPr>
              <w:t>(-0.8, -0.2)</w:t>
            </w:r>
          </w:p>
        </w:tc>
        <w:tc>
          <w:tcPr>
            <w:tcW w:w="490" w:type="pct"/>
            <w:tcBorders>
              <w:bottom w:val="single" w:sz="4" w:space="0" w:color="auto"/>
            </w:tcBorders>
            <w:shd w:val="clear" w:color="auto" w:fill="auto"/>
          </w:tcPr>
          <w:p w14:paraId="0883055B" w14:textId="77777777" w:rsidR="00936AB1" w:rsidRPr="009C01D5" w:rsidRDefault="00936AB1" w:rsidP="00FA4235">
            <w:pPr>
              <w:pStyle w:val="TableText0"/>
              <w:keepNext w:val="0"/>
              <w:widowControl w:val="0"/>
              <w:jc w:val="center"/>
              <w:rPr>
                <w:szCs w:val="20"/>
              </w:rPr>
            </w:pPr>
            <w:r w:rsidRPr="009C01D5">
              <w:rPr>
                <w:szCs w:val="20"/>
              </w:rPr>
              <w:t>-</w:t>
            </w:r>
          </w:p>
        </w:tc>
        <w:tc>
          <w:tcPr>
            <w:tcW w:w="534" w:type="pct"/>
            <w:tcBorders>
              <w:bottom w:val="single" w:sz="4" w:space="0" w:color="auto"/>
            </w:tcBorders>
            <w:shd w:val="clear" w:color="auto" w:fill="auto"/>
          </w:tcPr>
          <w:p w14:paraId="257126C9" w14:textId="77777777" w:rsidR="00936AB1" w:rsidRPr="009C01D5" w:rsidRDefault="00936AB1" w:rsidP="00FA4235">
            <w:pPr>
              <w:pStyle w:val="TableText0"/>
              <w:keepNext w:val="0"/>
              <w:widowControl w:val="0"/>
              <w:jc w:val="center"/>
              <w:rPr>
                <w:szCs w:val="20"/>
              </w:rPr>
            </w:pPr>
            <w:r w:rsidRPr="009C01D5">
              <w:rPr>
                <w:szCs w:val="20"/>
              </w:rPr>
              <w:t>2.7 (0.1)</w:t>
            </w:r>
          </w:p>
        </w:tc>
        <w:tc>
          <w:tcPr>
            <w:tcW w:w="694" w:type="pct"/>
            <w:tcBorders>
              <w:bottom w:val="single" w:sz="4" w:space="0" w:color="auto"/>
            </w:tcBorders>
            <w:shd w:val="clear" w:color="auto" w:fill="auto"/>
          </w:tcPr>
          <w:p w14:paraId="00E9C5BD" w14:textId="77777777" w:rsidR="008527F6" w:rsidRPr="009C01D5" w:rsidRDefault="00936AB1" w:rsidP="00FA4235">
            <w:pPr>
              <w:pStyle w:val="TableText0"/>
              <w:keepNext w:val="0"/>
              <w:widowControl w:val="0"/>
              <w:jc w:val="center"/>
              <w:rPr>
                <w:b/>
                <w:szCs w:val="20"/>
              </w:rPr>
            </w:pPr>
            <w:r w:rsidRPr="009C01D5">
              <w:rPr>
                <w:b/>
                <w:szCs w:val="20"/>
              </w:rPr>
              <w:t xml:space="preserve">-0.5 </w:t>
            </w:r>
          </w:p>
          <w:p w14:paraId="23539989" w14:textId="77777777" w:rsidR="00936AB1" w:rsidRPr="009C01D5" w:rsidRDefault="00936AB1" w:rsidP="00FA4235">
            <w:pPr>
              <w:pStyle w:val="TableText0"/>
              <w:keepNext w:val="0"/>
              <w:widowControl w:val="0"/>
              <w:jc w:val="center"/>
              <w:rPr>
                <w:b/>
                <w:szCs w:val="20"/>
              </w:rPr>
            </w:pPr>
            <w:r w:rsidRPr="009C01D5">
              <w:rPr>
                <w:b/>
                <w:szCs w:val="20"/>
              </w:rPr>
              <w:t>(-0.8, -0.3)</w:t>
            </w:r>
          </w:p>
        </w:tc>
        <w:tc>
          <w:tcPr>
            <w:tcW w:w="822" w:type="pct"/>
            <w:tcBorders>
              <w:bottom w:val="single" w:sz="4" w:space="0" w:color="auto"/>
            </w:tcBorders>
            <w:shd w:val="clear" w:color="auto" w:fill="auto"/>
          </w:tcPr>
          <w:p w14:paraId="5935E740" w14:textId="77777777" w:rsidR="008527F6" w:rsidRPr="009C01D5" w:rsidRDefault="00936AB1" w:rsidP="00FA4235">
            <w:pPr>
              <w:pStyle w:val="TableText0"/>
              <w:keepNext w:val="0"/>
              <w:widowControl w:val="0"/>
              <w:jc w:val="center"/>
              <w:rPr>
                <w:szCs w:val="20"/>
              </w:rPr>
            </w:pPr>
            <w:r w:rsidRPr="009C01D5">
              <w:rPr>
                <w:szCs w:val="20"/>
              </w:rPr>
              <w:t xml:space="preserve">0.0 </w:t>
            </w:r>
          </w:p>
          <w:p w14:paraId="03F5565C" w14:textId="77777777" w:rsidR="00936AB1" w:rsidRPr="009C01D5" w:rsidRDefault="00936AB1" w:rsidP="00FA4235">
            <w:pPr>
              <w:pStyle w:val="TableText0"/>
              <w:keepNext w:val="0"/>
              <w:widowControl w:val="0"/>
              <w:jc w:val="center"/>
              <w:rPr>
                <w:szCs w:val="20"/>
              </w:rPr>
            </w:pPr>
            <w:r w:rsidRPr="009C01D5">
              <w:rPr>
                <w:szCs w:val="20"/>
              </w:rPr>
              <w:t>(-0.28, 0.28)</w:t>
            </w:r>
          </w:p>
        </w:tc>
      </w:tr>
      <w:tr w:rsidR="00936AB1" w:rsidRPr="009C01D5" w14:paraId="0FB43D90" w14:textId="77777777" w:rsidTr="000A2E54">
        <w:trPr>
          <w:trHeight w:val="115"/>
        </w:trPr>
        <w:tc>
          <w:tcPr>
            <w:tcW w:w="5000" w:type="pct"/>
            <w:gridSpan w:val="8"/>
            <w:shd w:val="clear" w:color="auto" w:fill="auto"/>
          </w:tcPr>
          <w:p w14:paraId="4A96A13B" w14:textId="77777777" w:rsidR="00936AB1" w:rsidRPr="009C01D5" w:rsidRDefault="00936AB1" w:rsidP="004A6EF5">
            <w:pPr>
              <w:pStyle w:val="TableText0"/>
              <w:keepNext w:val="0"/>
              <w:widowControl w:val="0"/>
              <w:rPr>
                <w:szCs w:val="20"/>
              </w:rPr>
            </w:pPr>
            <w:r w:rsidRPr="009C01D5">
              <w:rPr>
                <w:b/>
                <w:szCs w:val="20"/>
              </w:rPr>
              <w:t>PANSS positive subscale</w:t>
            </w:r>
          </w:p>
        </w:tc>
      </w:tr>
      <w:tr w:rsidR="00936AB1" w:rsidRPr="009C01D5" w14:paraId="31741FCB" w14:textId="77777777" w:rsidTr="000A2E54">
        <w:trPr>
          <w:trHeight w:val="115"/>
        </w:trPr>
        <w:tc>
          <w:tcPr>
            <w:tcW w:w="686" w:type="pct"/>
            <w:shd w:val="clear" w:color="auto" w:fill="auto"/>
          </w:tcPr>
          <w:p w14:paraId="10AA6AB9"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bottom w:val="single" w:sz="4" w:space="0" w:color="auto"/>
            </w:tcBorders>
            <w:shd w:val="clear" w:color="auto" w:fill="auto"/>
          </w:tcPr>
          <w:p w14:paraId="74CCF187" w14:textId="77777777" w:rsidR="00936AB1" w:rsidRPr="009C01D5" w:rsidRDefault="00936AB1" w:rsidP="00FA4235">
            <w:pPr>
              <w:pStyle w:val="TableText0"/>
              <w:keepNext w:val="0"/>
              <w:widowControl w:val="0"/>
              <w:jc w:val="center"/>
              <w:rPr>
                <w:szCs w:val="20"/>
              </w:rPr>
            </w:pPr>
            <w:r w:rsidRPr="009C01D5">
              <w:rPr>
                <w:szCs w:val="20"/>
              </w:rPr>
              <w:t>25.3 [3.7]</w:t>
            </w:r>
          </w:p>
        </w:tc>
        <w:tc>
          <w:tcPr>
            <w:tcW w:w="534" w:type="pct"/>
            <w:tcBorders>
              <w:bottom w:val="single" w:sz="4" w:space="0" w:color="auto"/>
            </w:tcBorders>
            <w:shd w:val="clear" w:color="auto" w:fill="auto"/>
          </w:tcPr>
          <w:p w14:paraId="755ABC54" w14:textId="77777777" w:rsidR="00936AB1" w:rsidRPr="009C01D5" w:rsidRDefault="00936AB1" w:rsidP="00FA4235">
            <w:pPr>
              <w:pStyle w:val="TableText0"/>
              <w:keepNext w:val="0"/>
              <w:widowControl w:val="0"/>
              <w:jc w:val="center"/>
              <w:rPr>
                <w:szCs w:val="20"/>
              </w:rPr>
            </w:pPr>
            <w:r w:rsidRPr="009C01D5">
              <w:rPr>
                <w:szCs w:val="20"/>
              </w:rPr>
              <w:t>-6.8 (0.5)</w:t>
            </w:r>
          </w:p>
        </w:tc>
        <w:tc>
          <w:tcPr>
            <w:tcW w:w="690" w:type="pct"/>
            <w:tcBorders>
              <w:bottom w:val="single" w:sz="4" w:space="0" w:color="auto"/>
            </w:tcBorders>
            <w:shd w:val="clear" w:color="auto" w:fill="auto"/>
          </w:tcPr>
          <w:p w14:paraId="34F7DF1F" w14:textId="77777777" w:rsidR="008527F6" w:rsidRPr="009C01D5" w:rsidRDefault="00936AB1" w:rsidP="00FA4235">
            <w:pPr>
              <w:pStyle w:val="TableText0"/>
              <w:keepNext w:val="0"/>
              <w:widowControl w:val="0"/>
              <w:jc w:val="center"/>
              <w:rPr>
                <w:b/>
                <w:szCs w:val="20"/>
              </w:rPr>
            </w:pPr>
            <w:r w:rsidRPr="009C01D5">
              <w:rPr>
                <w:b/>
                <w:szCs w:val="20"/>
              </w:rPr>
              <w:t xml:space="preserve">-1.5 </w:t>
            </w:r>
          </w:p>
          <w:p w14:paraId="243784CD" w14:textId="77777777" w:rsidR="00936AB1" w:rsidRPr="009C01D5" w:rsidRDefault="00936AB1" w:rsidP="00FA4235">
            <w:pPr>
              <w:pStyle w:val="TableText0"/>
              <w:keepNext w:val="0"/>
              <w:widowControl w:val="0"/>
              <w:jc w:val="center"/>
              <w:rPr>
                <w:b/>
                <w:szCs w:val="20"/>
              </w:rPr>
            </w:pPr>
            <w:r w:rsidRPr="009C01D5">
              <w:rPr>
                <w:b/>
                <w:szCs w:val="20"/>
              </w:rPr>
              <w:t>(-2.8, -0.2)</w:t>
            </w:r>
          </w:p>
        </w:tc>
        <w:tc>
          <w:tcPr>
            <w:tcW w:w="490" w:type="pct"/>
            <w:tcBorders>
              <w:bottom w:val="single" w:sz="4" w:space="0" w:color="auto"/>
            </w:tcBorders>
            <w:shd w:val="clear" w:color="auto" w:fill="auto"/>
          </w:tcPr>
          <w:p w14:paraId="00EE6C77" w14:textId="77777777" w:rsidR="00936AB1" w:rsidRPr="009C01D5" w:rsidRDefault="00936AB1" w:rsidP="00FA4235">
            <w:pPr>
              <w:pStyle w:val="TableText0"/>
              <w:keepNext w:val="0"/>
              <w:widowControl w:val="0"/>
              <w:jc w:val="center"/>
              <w:rPr>
                <w:szCs w:val="20"/>
              </w:rPr>
            </w:pPr>
            <w:r w:rsidRPr="009C01D5">
              <w:rPr>
                <w:szCs w:val="20"/>
              </w:rPr>
              <w:t>24.7 [3.5]</w:t>
            </w:r>
          </w:p>
        </w:tc>
        <w:tc>
          <w:tcPr>
            <w:tcW w:w="534" w:type="pct"/>
            <w:tcBorders>
              <w:bottom w:val="single" w:sz="4" w:space="0" w:color="auto"/>
            </w:tcBorders>
            <w:shd w:val="clear" w:color="auto" w:fill="auto"/>
          </w:tcPr>
          <w:p w14:paraId="55C3C95A" w14:textId="77777777" w:rsidR="00936AB1" w:rsidRPr="009C01D5" w:rsidRDefault="00936AB1" w:rsidP="00FA4235">
            <w:pPr>
              <w:pStyle w:val="TableText0"/>
              <w:keepNext w:val="0"/>
              <w:widowControl w:val="0"/>
              <w:jc w:val="center"/>
              <w:rPr>
                <w:szCs w:val="20"/>
              </w:rPr>
            </w:pPr>
            <w:r w:rsidRPr="009C01D5">
              <w:rPr>
                <w:szCs w:val="20"/>
              </w:rPr>
              <w:t>-7.2 (0.4)</w:t>
            </w:r>
          </w:p>
        </w:tc>
        <w:tc>
          <w:tcPr>
            <w:tcW w:w="694" w:type="pct"/>
            <w:tcBorders>
              <w:bottom w:val="single" w:sz="4" w:space="0" w:color="auto"/>
            </w:tcBorders>
            <w:shd w:val="clear" w:color="auto" w:fill="auto"/>
          </w:tcPr>
          <w:p w14:paraId="53105D68" w14:textId="77777777" w:rsidR="008527F6" w:rsidRPr="009C01D5" w:rsidRDefault="00936AB1" w:rsidP="00FA4235">
            <w:pPr>
              <w:pStyle w:val="TableText0"/>
              <w:keepNext w:val="0"/>
              <w:widowControl w:val="0"/>
              <w:jc w:val="center"/>
              <w:rPr>
                <w:b/>
                <w:szCs w:val="20"/>
              </w:rPr>
            </w:pPr>
            <w:r w:rsidRPr="009C01D5">
              <w:rPr>
                <w:b/>
                <w:szCs w:val="20"/>
              </w:rPr>
              <w:t xml:space="preserve">-1.9 </w:t>
            </w:r>
          </w:p>
          <w:p w14:paraId="35DC50AC" w14:textId="77777777" w:rsidR="00936AB1" w:rsidRPr="009C01D5" w:rsidRDefault="00936AB1" w:rsidP="00FA4235">
            <w:pPr>
              <w:pStyle w:val="TableText0"/>
              <w:keepNext w:val="0"/>
              <w:widowControl w:val="0"/>
              <w:jc w:val="center"/>
              <w:rPr>
                <w:b/>
                <w:szCs w:val="20"/>
              </w:rPr>
            </w:pPr>
            <w:r w:rsidRPr="009C01D5">
              <w:rPr>
                <w:b/>
                <w:szCs w:val="20"/>
              </w:rPr>
              <w:t>(-3.1, -0.6)</w:t>
            </w:r>
          </w:p>
        </w:tc>
        <w:tc>
          <w:tcPr>
            <w:tcW w:w="822" w:type="pct"/>
            <w:tcBorders>
              <w:bottom w:val="single" w:sz="4" w:space="0" w:color="auto"/>
            </w:tcBorders>
            <w:shd w:val="clear" w:color="auto" w:fill="auto"/>
          </w:tcPr>
          <w:p w14:paraId="600FB3EB" w14:textId="77777777" w:rsidR="008527F6" w:rsidRPr="009C01D5" w:rsidRDefault="00936AB1" w:rsidP="00FA4235">
            <w:pPr>
              <w:pStyle w:val="TableText0"/>
              <w:keepNext w:val="0"/>
              <w:widowControl w:val="0"/>
              <w:jc w:val="center"/>
              <w:rPr>
                <w:szCs w:val="20"/>
              </w:rPr>
            </w:pPr>
            <w:r w:rsidRPr="009C01D5">
              <w:rPr>
                <w:szCs w:val="20"/>
              </w:rPr>
              <w:t>0.4</w:t>
            </w:r>
          </w:p>
          <w:p w14:paraId="55762B9E" w14:textId="77777777" w:rsidR="00936AB1" w:rsidRPr="009C01D5" w:rsidRDefault="00936AB1" w:rsidP="00FA4235">
            <w:pPr>
              <w:pStyle w:val="TableText0"/>
              <w:keepNext w:val="0"/>
              <w:widowControl w:val="0"/>
              <w:jc w:val="center"/>
              <w:rPr>
                <w:szCs w:val="20"/>
              </w:rPr>
            </w:pPr>
            <w:r w:rsidRPr="009C01D5">
              <w:rPr>
                <w:szCs w:val="20"/>
              </w:rPr>
              <w:t>(-0.86, 1.66)</w:t>
            </w:r>
          </w:p>
        </w:tc>
      </w:tr>
      <w:tr w:rsidR="00936AB1" w:rsidRPr="009C01D5" w14:paraId="68D791F0" w14:textId="77777777" w:rsidTr="000A2E54">
        <w:trPr>
          <w:trHeight w:val="115"/>
        </w:trPr>
        <w:tc>
          <w:tcPr>
            <w:tcW w:w="686" w:type="pct"/>
            <w:shd w:val="clear" w:color="auto" w:fill="auto"/>
          </w:tcPr>
          <w:p w14:paraId="4EF48EF4"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shd w:val="clear" w:color="auto" w:fill="auto"/>
          </w:tcPr>
          <w:p w14:paraId="171D092D" w14:textId="77777777" w:rsidR="00936AB1" w:rsidRPr="009C01D5" w:rsidRDefault="00936AB1" w:rsidP="00FA4235">
            <w:pPr>
              <w:pStyle w:val="TableText0"/>
              <w:keepNext w:val="0"/>
              <w:widowControl w:val="0"/>
              <w:jc w:val="center"/>
              <w:rPr>
                <w:szCs w:val="20"/>
              </w:rPr>
            </w:pPr>
            <w:r w:rsidRPr="009C01D5">
              <w:rPr>
                <w:szCs w:val="20"/>
              </w:rPr>
              <w:t>24.6 [3.4]</w:t>
            </w:r>
          </w:p>
        </w:tc>
        <w:tc>
          <w:tcPr>
            <w:tcW w:w="534" w:type="pct"/>
            <w:shd w:val="clear" w:color="auto" w:fill="auto"/>
          </w:tcPr>
          <w:p w14:paraId="4FF5B15A" w14:textId="77777777" w:rsidR="00936AB1" w:rsidRPr="009C01D5" w:rsidRDefault="00936AB1" w:rsidP="00FA4235">
            <w:pPr>
              <w:pStyle w:val="TableText0"/>
              <w:keepNext w:val="0"/>
              <w:widowControl w:val="0"/>
              <w:jc w:val="center"/>
              <w:rPr>
                <w:szCs w:val="20"/>
              </w:rPr>
            </w:pPr>
            <w:r w:rsidRPr="009C01D5">
              <w:rPr>
                <w:szCs w:val="20"/>
              </w:rPr>
              <w:t>-7.5 (0.5)</w:t>
            </w:r>
          </w:p>
        </w:tc>
        <w:tc>
          <w:tcPr>
            <w:tcW w:w="690" w:type="pct"/>
            <w:shd w:val="clear" w:color="auto" w:fill="auto"/>
          </w:tcPr>
          <w:p w14:paraId="1FA1B7C4" w14:textId="77777777" w:rsidR="008527F6" w:rsidRPr="009C01D5" w:rsidRDefault="00936AB1" w:rsidP="00FA4235">
            <w:pPr>
              <w:pStyle w:val="TableText0"/>
              <w:keepNext w:val="0"/>
              <w:widowControl w:val="0"/>
              <w:jc w:val="center"/>
              <w:rPr>
                <w:b/>
                <w:szCs w:val="20"/>
              </w:rPr>
            </w:pPr>
            <w:r w:rsidRPr="009C01D5">
              <w:rPr>
                <w:b/>
                <w:szCs w:val="20"/>
              </w:rPr>
              <w:t xml:space="preserve">-2.2 </w:t>
            </w:r>
          </w:p>
          <w:p w14:paraId="1A13AD87" w14:textId="77777777" w:rsidR="00936AB1" w:rsidRPr="009C01D5" w:rsidRDefault="00936AB1" w:rsidP="00FA4235">
            <w:pPr>
              <w:pStyle w:val="TableText0"/>
              <w:keepNext w:val="0"/>
              <w:widowControl w:val="0"/>
              <w:jc w:val="center"/>
              <w:rPr>
                <w:b/>
                <w:szCs w:val="20"/>
              </w:rPr>
            </w:pPr>
            <w:r w:rsidRPr="009C01D5">
              <w:rPr>
                <w:b/>
                <w:szCs w:val="20"/>
              </w:rPr>
              <w:t>(-3.5, -0.9)</w:t>
            </w:r>
          </w:p>
        </w:tc>
        <w:tc>
          <w:tcPr>
            <w:tcW w:w="490" w:type="pct"/>
            <w:shd w:val="clear" w:color="auto" w:fill="auto"/>
          </w:tcPr>
          <w:p w14:paraId="7FF4C6EA" w14:textId="77777777" w:rsidR="00936AB1" w:rsidRPr="009C01D5" w:rsidRDefault="00936AB1" w:rsidP="00FA4235">
            <w:pPr>
              <w:pStyle w:val="TableText0"/>
              <w:keepNext w:val="0"/>
              <w:widowControl w:val="0"/>
              <w:jc w:val="center"/>
              <w:rPr>
                <w:szCs w:val="20"/>
              </w:rPr>
            </w:pPr>
            <w:r w:rsidRPr="009C01D5">
              <w:rPr>
                <w:szCs w:val="20"/>
              </w:rPr>
              <w:t>24.7 [3.5]</w:t>
            </w:r>
          </w:p>
        </w:tc>
        <w:tc>
          <w:tcPr>
            <w:tcW w:w="534" w:type="pct"/>
            <w:shd w:val="clear" w:color="auto" w:fill="auto"/>
          </w:tcPr>
          <w:p w14:paraId="6C800C05" w14:textId="77777777" w:rsidR="00936AB1" w:rsidRPr="009C01D5" w:rsidRDefault="00936AB1" w:rsidP="00FA4235">
            <w:pPr>
              <w:pStyle w:val="TableText0"/>
              <w:keepNext w:val="0"/>
              <w:widowControl w:val="0"/>
              <w:jc w:val="center"/>
              <w:rPr>
                <w:szCs w:val="20"/>
              </w:rPr>
            </w:pPr>
            <w:r w:rsidRPr="009C01D5">
              <w:rPr>
                <w:szCs w:val="20"/>
              </w:rPr>
              <w:t>-7.2 (0.4)</w:t>
            </w:r>
          </w:p>
        </w:tc>
        <w:tc>
          <w:tcPr>
            <w:tcW w:w="694" w:type="pct"/>
            <w:shd w:val="clear" w:color="auto" w:fill="auto"/>
          </w:tcPr>
          <w:p w14:paraId="075A1654" w14:textId="77777777" w:rsidR="008527F6" w:rsidRPr="009C01D5" w:rsidRDefault="00936AB1" w:rsidP="00FA4235">
            <w:pPr>
              <w:pStyle w:val="TableText0"/>
              <w:keepNext w:val="0"/>
              <w:widowControl w:val="0"/>
              <w:jc w:val="center"/>
              <w:rPr>
                <w:b/>
                <w:szCs w:val="20"/>
              </w:rPr>
            </w:pPr>
            <w:r w:rsidRPr="009C01D5">
              <w:rPr>
                <w:b/>
                <w:szCs w:val="20"/>
              </w:rPr>
              <w:t xml:space="preserve">-1.9 </w:t>
            </w:r>
          </w:p>
          <w:p w14:paraId="26174765" w14:textId="77777777" w:rsidR="00936AB1" w:rsidRPr="009C01D5" w:rsidRDefault="00936AB1" w:rsidP="00FA4235">
            <w:pPr>
              <w:pStyle w:val="TableText0"/>
              <w:keepNext w:val="0"/>
              <w:widowControl w:val="0"/>
              <w:jc w:val="center"/>
              <w:rPr>
                <w:b/>
                <w:szCs w:val="20"/>
              </w:rPr>
            </w:pPr>
            <w:r w:rsidRPr="009C01D5">
              <w:rPr>
                <w:b/>
                <w:szCs w:val="20"/>
              </w:rPr>
              <w:t>(-3.1, -0.6)</w:t>
            </w:r>
          </w:p>
        </w:tc>
        <w:tc>
          <w:tcPr>
            <w:tcW w:w="822" w:type="pct"/>
            <w:shd w:val="clear" w:color="auto" w:fill="auto"/>
          </w:tcPr>
          <w:p w14:paraId="661AADFA" w14:textId="77777777" w:rsidR="008527F6" w:rsidRPr="009C01D5" w:rsidRDefault="00936AB1" w:rsidP="00FA4235">
            <w:pPr>
              <w:pStyle w:val="TableText0"/>
              <w:keepNext w:val="0"/>
              <w:widowControl w:val="0"/>
              <w:jc w:val="center"/>
              <w:rPr>
                <w:szCs w:val="20"/>
              </w:rPr>
            </w:pPr>
            <w:r w:rsidRPr="009C01D5">
              <w:rPr>
                <w:szCs w:val="20"/>
              </w:rPr>
              <w:t xml:space="preserve">-0.3 </w:t>
            </w:r>
          </w:p>
          <w:p w14:paraId="28914A2E" w14:textId="77777777" w:rsidR="00936AB1" w:rsidRPr="009C01D5" w:rsidRDefault="00936AB1" w:rsidP="00FA4235">
            <w:pPr>
              <w:pStyle w:val="TableText0"/>
              <w:keepNext w:val="0"/>
              <w:widowControl w:val="0"/>
              <w:jc w:val="center"/>
              <w:rPr>
                <w:szCs w:val="20"/>
              </w:rPr>
            </w:pPr>
            <w:r w:rsidRPr="009C01D5">
              <w:rPr>
                <w:szCs w:val="20"/>
              </w:rPr>
              <w:t>(-1.56, 0.96)</w:t>
            </w:r>
          </w:p>
        </w:tc>
      </w:tr>
      <w:tr w:rsidR="00936AB1" w:rsidRPr="009C01D5" w14:paraId="633A0BE6" w14:textId="77777777" w:rsidTr="000A2E54">
        <w:trPr>
          <w:trHeight w:val="115"/>
        </w:trPr>
        <w:tc>
          <w:tcPr>
            <w:tcW w:w="5000" w:type="pct"/>
            <w:gridSpan w:val="8"/>
            <w:shd w:val="clear" w:color="auto" w:fill="auto"/>
          </w:tcPr>
          <w:p w14:paraId="31068C1D" w14:textId="77777777" w:rsidR="00936AB1" w:rsidRPr="009C01D5" w:rsidRDefault="00936AB1" w:rsidP="004A6EF5">
            <w:pPr>
              <w:pStyle w:val="TableText0"/>
              <w:keepNext w:val="0"/>
              <w:widowControl w:val="0"/>
              <w:rPr>
                <w:szCs w:val="20"/>
              </w:rPr>
            </w:pPr>
            <w:r w:rsidRPr="009C01D5">
              <w:rPr>
                <w:b/>
                <w:szCs w:val="20"/>
              </w:rPr>
              <w:t>PANSS negative subscale</w:t>
            </w:r>
          </w:p>
        </w:tc>
      </w:tr>
      <w:tr w:rsidR="00936AB1" w:rsidRPr="009C01D5" w14:paraId="2ED5FD8F" w14:textId="77777777" w:rsidTr="000A2E54">
        <w:trPr>
          <w:trHeight w:val="115"/>
        </w:trPr>
        <w:tc>
          <w:tcPr>
            <w:tcW w:w="686" w:type="pct"/>
            <w:shd w:val="clear" w:color="auto" w:fill="auto"/>
          </w:tcPr>
          <w:p w14:paraId="44E76ED1"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top w:val="single" w:sz="4" w:space="0" w:color="auto"/>
            </w:tcBorders>
            <w:shd w:val="clear" w:color="auto" w:fill="auto"/>
          </w:tcPr>
          <w:p w14:paraId="7D930FDA" w14:textId="77777777" w:rsidR="00936AB1" w:rsidRPr="009C01D5" w:rsidRDefault="00936AB1" w:rsidP="00FA4235">
            <w:pPr>
              <w:pStyle w:val="TableText0"/>
              <w:keepNext w:val="0"/>
              <w:widowControl w:val="0"/>
              <w:jc w:val="center"/>
              <w:rPr>
                <w:szCs w:val="20"/>
              </w:rPr>
            </w:pPr>
            <w:r w:rsidRPr="009C01D5">
              <w:rPr>
                <w:szCs w:val="20"/>
              </w:rPr>
              <w:t>24.0 [4.2]</w:t>
            </w:r>
          </w:p>
        </w:tc>
        <w:tc>
          <w:tcPr>
            <w:tcW w:w="534" w:type="pct"/>
            <w:tcBorders>
              <w:top w:val="single" w:sz="4" w:space="0" w:color="auto"/>
            </w:tcBorders>
            <w:shd w:val="clear" w:color="auto" w:fill="auto"/>
          </w:tcPr>
          <w:p w14:paraId="0DD42CCA" w14:textId="77777777" w:rsidR="00936AB1" w:rsidRPr="009C01D5" w:rsidRDefault="00936AB1" w:rsidP="00FA4235">
            <w:pPr>
              <w:pStyle w:val="TableText0"/>
              <w:keepNext w:val="0"/>
              <w:widowControl w:val="0"/>
              <w:jc w:val="center"/>
              <w:rPr>
                <w:szCs w:val="20"/>
              </w:rPr>
            </w:pPr>
            <w:r w:rsidRPr="009C01D5">
              <w:rPr>
                <w:szCs w:val="20"/>
              </w:rPr>
              <w:t>-4.4 (0.4)</w:t>
            </w:r>
          </w:p>
        </w:tc>
        <w:tc>
          <w:tcPr>
            <w:tcW w:w="690" w:type="pct"/>
            <w:tcBorders>
              <w:top w:val="single" w:sz="4" w:space="0" w:color="auto"/>
            </w:tcBorders>
            <w:shd w:val="clear" w:color="auto" w:fill="auto"/>
          </w:tcPr>
          <w:p w14:paraId="1FC6E7F9" w14:textId="77777777" w:rsidR="008527F6" w:rsidRPr="009C01D5" w:rsidRDefault="00936AB1" w:rsidP="00FA4235">
            <w:pPr>
              <w:pStyle w:val="TableText0"/>
              <w:keepNext w:val="0"/>
              <w:widowControl w:val="0"/>
              <w:jc w:val="center"/>
              <w:rPr>
                <w:b/>
                <w:szCs w:val="20"/>
              </w:rPr>
            </w:pPr>
            <w:r w:rsidRPr="009C01D5">
              <w:rPr>
                <w:b/>
                <w:szCs w:val="20"/>
              </w:rPr>
              <w:t xml:space="preserve">-1.4 </w:t>
            </w:r>
          </w:p>
          <w:p w14:paraId="2CBE03D7" w14:textId="77777777" w:rsidR="00936AB1" w:rsidRPr="009C01D5" w:rsidRDefault="00936AB1" w:rsidP="00FA4235">
            <w:pPr>
              <w:pStyle w:val="TableText0"/>
              <w:keepNext w:val="0"/>
              <w:widowControl w:val="0"/>
              <w:jc w:val="center"/>
              <w:rPr>
                <w:b/>
                <w:szCs w:val="20"/>
              </w:rPr>
            </w:pPr>
            <w:r w:rsidRPr="009C01D5">
              <w:rPr>
                <w:b/>
                <w:szCs w:val="20"/>
              </w:rPr>
              <w:t>(-2.4, -0.4)</w:t>
            </w:r>
          </w:p>
        </w:tc>
        <w:tc>
          <w:tcPr>
            <w:tcW w:w="490" w:type="pct"/>
            <w:tcBorders>
              <w:top w:val="single" w:sz="4" w:space="0" w:color="auto"/>
            </w:tcBorders>
            <w:shd w:val="clear" w:color="auto" w:fill="auto"/>
          </w:tcPr>
          <w:p w14:paraId="10A6146B" w14:textId="77777777" w:rsidR="00936AB1" w:rsidRPr="009C01D5" w:rsidRDefault="00936AB1" w:rsidP="00FA4235">
            <w:pPr>
              <w:pStyle w:val="TableText0"/>
              <w:keepNext w:val="0"/>
              <w:widowControl w:val="0"/>
              <w:jc w:val="center"/>
              <w:rPr>
                <w:szCs w:val="20"/>
              </w:rPr>
            </w:pPr>
            <w:r w:rsidRPr="009C01D5">
              <w:rPr>
                <w:szCs w:val="20"/>
              </w:rPr>
              <w:t>24.3 [4.5]</w:t>
            </w:r>
          </w:p>
        </w:tc>
        <w:tc>
          <w:tcPr>
            <w:tcW w:w="534" w:type="pct"/>
            <w:tcBorders>
              <w:top w:val="single" w:sz="4" w:space="0" w:color="auto"/>
            </w:tcBorders>
            <w:shd w:val="clear" w:color="auto" w:fill="auto"/>
          </w:tcPr>
          <w:p w14:paraId="4E6A0105" w14:textId="77777777" w:rsidR="00936AB1" w:rsidRPr="009C01D5" w:rsidRDefault="00936AB1" w:rsidP="00FA4235">
            <w:pPr>
              <w:pStyle w:val="TableText0"/>
              <w:keepNext w:val="0"/>
              <w:widowControl w:val="0"/>
              <w:jc w:val="center"/>
              <w:rPr>
                <w:szCs w:val="20"/>
              </w:rPr>
            </w:pPr>
            <w:r w:rsidRPr="009C01D5">
              <w:rPr>
                <w:szCs w:val="20"/>
              </w:rPr>
              <w:t>-4.2 (0.3)</w:t>
            </w:r>
          </w:p>
        </w:tc>
        <w:tc>
          <w:tcPr>
            <w:tcW w:w="694" w:type="pct"/>
            <w:tcBorders>
              <w:top w:val="single" w:sz="4" w:space="0" w:color="auto"/>
            </w:tcBorders>
            <w:shd w:val="clear" w:color="auto" w:fill="auto"/>
          </w:tcPr>
          <w:p w14:paraId="53B606D7" w14:textId="77777777" w:rsidR="008527F6" w:rsidRPr="009C01D5" w:rsidRDefault="00936AB1" w:rsidP="00FA4235">
            <w:pPr>
              <w:pStyle w:val="TableText0"/>
              <w:keepNext w:val="0"/>
              <w:widowControl w:val="0"/>
              <w:jc w:val="center"/>
              <w:rPr>
                <w:b/>
                <w:szCs w:val="20"/>
              </w:rPr>
            </w:pPr>
            <w:r w:rsidRPr="009C01D5">
              <w:rPr>
                <w:b/>
                <w:szCs w:val="20"/>
              </w:rPr>
              <w:t xml:space="preserve">-1.2 </w:t>
            </w:r>
          </w:p>
          <w:p w14:paraId="093140C6" w14:textId="77777777" w:rsidR="00936AB1" w:rsidRPr="009C01D5" w:rsidRDefault="00936AB1" w:rsidP="00FA4235">
            <w:pPr>
              <w:pStyle w:val="TableText0"/>
              <w:keepNext w:val="0"/>
              <w:widowControl w:val="0"/>
              <w:jc w:val="center"/>
              <w:rPr>
                <w:b/>
                <w:szCs w:val="20"/>
              </w:rPr>
            </w:pPr>
            <w:r w:rsidRPr="009C01D5">
              <w:rPr>
                <w:b/>
                <w:szCs w:val="20"/>
              </w:rPr>
              <w:t>(-2.2, -0.2)</w:t>
            </w:r>
          </w:p>
        </w:tc>
        <w:tc>
          <w:tcPr>
            <w:tcW w:w="822" w:type="pct"/>
            <w:tcBorders>
              <w:top w:val="single" w:sz="4" w:space="0" w:color="auto"/>
            </w:tcBorders>
            <w:shd w:val="clear" w:color="auto" w:fill="auto"/>
          </w:tcPr>
          <w:p w14:paraId="418E972A" w14:textId="77777777" w:rsidR="008527F6" w:rsidRPr="009C01D5" w:rsidRDefault="00936AB1" w:rsidP="00FA4235">
            <w:pPr>
              <w:pStyle w:val="TableText0"/>
              <w:keepNext w:val="0"/>
              <w:widowControl w:val="0"/>
              <w:jc w:val="center"/>
              <w:rPr>
                <w:szCs w:val="20"/>
              </w:rPr>
            </w:pPr>
            <w:r w:rsidRPr="009C01D5">
              <w:rPr>
                <w:szCs w:val="20"/>
              </w:rPr>
              <w:t xml:space="preserve">-0.2 </w:t>
            </w:r>
          </w:p>
          <w:p w14:paraId="1649F8AF" w14:textId="77777777" w:rsidR="00936AB1" w:rsidRPr="009C01D5" w:rsidRDefault="00936AB1" w:rsidP="00FA4235">
            <w:pPr>
              <w:pStyle w:val="TableText0"/>
              <w:keepNext w:val="0"/>
              <w:widowControl w:val="0"/>
              <w:jc w:val="center"/>
              <w:rPr>
                <w:szCs w:val="20"/>
              </w:rPr>
            </w:pPr>
            <w:r w:rsidRPr="009C01D5">
              <w:rPr>
                <w:szCs w:val="20"/>
              </w:rPr>
              <w:t>(-1.18, 0.78)</w:t>
            </w:r>
          </w:p>
        </w:tc>
      </w:tr>
      <w:tr w:rsidR="00936AB1" w:rsidRPr="009C01D5" w14:paraId="314E5D50" w14:textId="77777777" w:rsidTr="000A2E54">
        <w:trPr>
          <w:trHeight w:val="115"/>
        </w:trPr>
        <w:tc>
          <w:tcPr>
            <w:tcW w:w="686" w:type="pct"/>
            <w:shd w:val="clear" w:color="auto" w:fill="auto"/>
          </w:tcPr>
          <w:p w14:paraId="626D2253"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tcBorders>
              <w:bottom w:val="single" w:sz="4" w:space="0" w:color="auto"/>
            </w:tcBorders>
            <w:shd w:val="clear" w:color="auto" w:fill="auto"/>
          </w:tcPr>
          <w:p w14:paraId="0FCAC005" w14:textId="77777777" w:rsidR="00936AB1" w:rsidRPr="009C01D5" w:rsidRDefault="00936AB1" w:rsidP="00FA4235">
            <w:pPr>
              <w:pStyle w:val="TableText0"/>
              <w:keepNext w:val="0"/>
              <w:widowControl w:val="0"/>
              <w:jc w:val="center"/>
              <w:rPr>
                <w:szCs w:val="20"/>
              </w:rPr>
            </w:pPr>
            <w:r w:rsidRPr="009C01D5">
              <w:rPr>
                <w:szCs w:val="20"/>
              </w:rPr>
              <w:t>24.2 [4.2]</w:t>
            </w:r>
          </w:p>
        </w:tc>
        <w:tc>
          <w:tcPr>
            <w:tcW w:w="534" w:type="pct"/>
            <w:tcBorders>
              <w:bottom w:val="single" w:sz="4" w:space="0" w:color="auto"/>
            </w:tcBorders>
            <w:shd w:val="clear" w:color="auto" w:fill="auto"/>
          </w:tcPr>
          <w:p w14:paraId="70352893" w14:textId="77777777" w:rsidR="00936AB1" w:rsidRPr="009C01D5" w:rsidRDefault="00936AB1" w:rsidP="00FA4235">
            <w:pPr>
              <w:pStyle w:val="TableText0"/>
              <w:keepNext w:val="0"/>
              <w:widowControl w:val="0"/>
              <w:jc w:val="center"/>
              <w:rPr>
                <w:szCs w:val="20"/>
              </w:rPr>
            </w:pPr>
            <w:r w:rsidRPr="009C01D5">
              <w:rPr>
                <w:szCs w:val="20"/>
              </w:rPr>
              <w:t>-4.7 (0.4)</w:t>
            </w:r>
          </w:p>
        </w:tc>
        <w:tc>
          <w:tcPr>
            <w:tcW w:w="690" w:type="pct"/>
            <w:tcBorders>
              <w:bottom w:val="single" w:sz="4" w:space="0" w:color="auto"/>
            </w:tcBorders>
            <w:shd w:val="clear" w:color="auto" w:fill="auto"/>
          </w:tcPr>
          <w:p w14:paraId="42628869" w14:textId="77777777" w:rsidR="008527F6" w:rsidRPr="009C01D5" w:rsidRDefault="00936AB1" w:rsidP="00FA4235">
            <w:pPr>
              <w:pStyle w:val="TableText0"/>
              <w:keepNext w:val="0"/>
              <w:widowControl w:val="0"/>
              <w:jc w:val="center"/>
              <w:rPr>
                <w:b/>
                <w:szCs w:val="20"/>
              </w:rPr>
            </w:pPr>
            <w:r w:rsidRPr="009C01D5">
              <w:rPr>
                <w:b/>
                <w:szCs w:val="20"/>
              </w:rPr>
              <w:t xml:space="preserve">-1.7 </w:t>
            </w:r>
          </w:p>
          <w:p w14:paraId="59180B78" w14:textId="77777777" w:rsidR="00936AB1" w:rsidRPr="009C01D5" w:rsidRDefault="00936AB1" w:rsidP="00FA4235">
            <w:pPr>
              <w:pStyle w:val="TableText0"/>
              <w:keepNext w:val="0"/>
              <w:widowControl w:val="0"/>
              <w:jc w:val="center"/>
              <w:rPr>
                <w:b/>
                <w:szCs w:val="20"/>
              </w:rPr>
            </w:pPr>
            <w:r w:rsidRPr="009C01D5">
              <w:rPr>
                <w:b/>
                <w:szCs w:val="20"/>
              </w:rPr>
              <w:t>(-2.7, -0.7)</w:t>
            </w:r>
          </w:p>
        </w:tc>
        <w:tc>
          <w:tcPr>
            <w:tcW w:w="490" w:type="pct"/>
            <w:tcBorders>
              <w:bottom w:val="single" w:sz="4" w:space="0" w:color="auto"/>
            </w:tcBorders>
            <w:shd w:val="clear" w:color="auto" w:fill="auto"/>
          </w:tcPr>
          <w:p w14:paraId="0A7CE6F2" w14:textId="77777777" w:rsidR="00936AB1" w:rsidRPr="009C01D5" w:rsidRDefault="00936AB1" w:rsidP="00FA4235">
            <w:pPr>
              <w:pStyle w:val="TableText0"/>
              <w:keepNext w:val="0"/>
              <w:widowControl w:val="0"/>
              <w:jc w:val="center"/>
              <w:rPr>
                <w:szCs w:val="20"/>
              </w:rPr>
            </w:pPr>
            <w:r w:rsidRPr="009C01D5">
              <w:rPr>
                <w:szCs w:val="20"/>
              </w:rPr>
              <w:t>24.3 [4.5]</w:t>
            </w:r>
          </w:p>
        </w:tc>
        <w:tc>
          <w:tcPr>
            <w:tcW w:w="534" w:type="pct"/>
            <w:tcBorders>
              <w:bottom w:val="single" w:sz="4" w:space="0" w:color="auto"/>
            </w:tcBorders>
            <w:shd w:val="clear" w:color="auto" w:fill="auto"/>
          </w:tcPr>
          <w:p w14:paraId="74B4780D" w14:textId="77777777" w:rsidR="00936AB1" w:rsidRPr="009C01D5" w:rsidRDefault="00936AB1" w:rsidP="00FA4235">
            <w:pPr>
              <w:pStyle w:val="TableText0"/>
              <w:keepNext w:val="0"/>
              <w:widowControl w:val="0"/>
              <w:jc w:val="center"/>
              <w:rPr>
                <w:szCs w:val="20"/>
              </w:rPr>
            </w:pPr>
            <w:r w:rsidRPr="009C01D5">
              <w:rPr>
                <w:szCs w:val="20"/>
              </w:rPr>
              <w:t>-4.2 (0.3)</w:t>
            </w:r>
          </w:p>
        </w:tc>
        <w:tc>
          <w:tcPr>
            <w:tcW w:w="694" w:type="pct"/>
            <w:tcBorders>
              <w:bottom w:val="single" w:sz="4" w:space="0" w:color="auto"/>
            </w:tcBorders>
            <w:shd w:val="clear" w:color="auto" w:fill="auto"/>
          </w:tcPr>
          <w:p w14:paraId="4A6E7605" w14:textId="77777777" w:rsidR="008527F6" w:rsidRPr="009C01D5" w:rsidRDefault="00936AB1" w:rsidP="00FA4235">
            <w:pPr>
              <w:pStyle w:val="TableText0"/>
              <w:keepNext w:val="0"/>
              <w:widowControl w:val="0"/>
              <w:jc w:val="center"/>
              <w:rPr>
                <w:b/>
                <w:szCs w:val="20"/>
              </w:rPr>
            </w:pPr>
            <w:r w:rsidRPr="009C01D5">
              <w:rPr>
                <w:b/>
                <w:szCs w:val="20"/>
              </w:rPr>
              <w:t xml:space="preserve">-1.2 </w:t>
            </w:r>
          </w:p>
          <w:p w14:paraId="0AB27BDB" w14:textId="77777777" w:rsidR="00936AB1" w:rsidRPr="009C01D5" w:rsidRDefault="00936AB1" w:rsidP="00FA4235">
            <w:pPr>
              <w:pStyle w:val="TableText0"/>
              <w:keepNext w:val="0"/>
              <w:widowControl w:val="0"/>
              <w:jc w:val="center"/>
              <w:rPr>
                <w:b/>
                <w:szCs w:val="20"/>
              </w:rPr>
            </w:pPr>
            <w:r w:rsidRPr="009C01D5">
              <w:rPr>
                <w:b/>
                <w:szCs w:val="20"/>
              </w:rPr>
              <w:t>(-2.2, -0.2)</w:t>
            </w:r>
          </w:p>
        </w:tc>
        <w:tc>
          <w:tcPr>
            <w:tcW w:w="822" w:type="pct"/>
            <w:tcBorders>
              <w:bottom w:val="single" w:sz="4" w:space="0" w:color="auto"/>
            </w:tcBorders>
            <w:shd w:val="clear" w:color="auto" w:fill="auto"/>
          </w:tcPr>
          <w:p w14:paraId="7C463275" w14:textId="77777777" w:rsidR="008527F6" w:rsidRPr="009C01D5" w:rsidRDefault="00936AB1" w:rsidP="00FA4235">
            <w:pPr>
              <w:pStyle w:val="TableText0"/>
              <w:keepNext w:val="0"/>
              <w:widowControl w:val="0"/>
              <w:jc w:val="center"/>
              <w:rPr>
                <w:szCs w:val="20"/>
              </w:rPr>
            </w:pPr>
            <w:r w:rsidRPr="009C01D5">
              <w:rPr>
                <w:szCs w:val="20"/>
              </w:rPr>
              <w:t xml:space="preserve">-0.5 </w:t>
            </w:r>
          </w:p>
          <w:p w14:paraId="2C0AB1A9" w14:textId="77777777" w:rsidR="00936AB1" w:rsidRPr="009C01D5" w:rsidRDefault="00936AB1" w:rsidP="00FA4235">
            <w:pPr>
              <w:pStyle w:val="TableText0"/>
              <w:keepNext w:val="0"/>
              <w:widowControl w:val="0"/>
              <w:jc w:val="center"/>
              <w:rPr>
                <w:szCs w:val="20"/>
              </w:rPr>
            </w:pPr>
            <w:r w:rsidRPr="009C01D5">
              <w:rPr>
                <w:szCs w:val="20"/>
              </w:rPr>
              <w:t>(-1.48, 0.48)</w:t>
            </w:r>
          </w:p>
        </w:tc>
      </w:tr>
      <w:tr w:rsidR="00936AB1" w:rsidRPr="009C01D5" w14:paraId="15492831" w14:textId="77777777" w:rsidTr="000A2E54">
        <w:trPr>
          <w:trHeight w:val="115"/>
        </w:trPr>
        <w:tc>
          <w:tcPr>
            <w:tcW w:w="5000" w:type="pct"/>
            <w:gridSpan w:val="8"/>
            <w:shd w:val="clear" w:color="auto" w:fill="auto"/>
          </w:tcPr>
          <w:p w14:paraId="265E9364" w14:textId="77777777" w:rsidR="00936AB1" w:rsidRPr="009C01D5" w:rsidRDefault="00936AB1" w:rsidP="004A6EF5">
            <w:pPr>
              <w:pStyle w:val="TableText0"/>
              <w:keepNext w:val="0"/>
              <w:widowControl w:val="0"/>
              <w:rPr>
                <w:b/>
                <w:szCs w:val="20"/>
              </w:rPr>
            </w:pPr>
            <w:r w:rsidRPr="009C01D5">
              <w:rPr>
                <w:b/>
                <w:szCs w:val="20"/>
              </w:rPr>
              <w:t>NSA-16 total score</w:t>
            </w:r>
          </w:p>
        </w:tc>
      </w:tr>
      <w:tr w:rsidR="00936AB1" w:rsidRPr="009C01D5" w14:paraId="51A1510D" w14:textId="77777777" w:rsidTr="000A2E54">
        <w:trPr>
          <w:trHeight w:val="115"/>
        </w:trPr>
        <w:tc>
          <w:tcPr>
            <w:tcW w:w="686" w:type="pct"/>
            <w:shd w:val="clear" w:color="auto" w:fill="auto"/>
          </w:tcPr>
          <w:p w14:paraId="32979081"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top w:val="single" w:sz="4" w:space="0" w:color="auto"/>
            </w:tcBorders>
            <w:shd w:val="clear" w:color="auto" w:fill="auto"/>
          </w:tcPr>
          <w:p w14:paraId="7B8F813F" w14:textId="77777777" w:rsidR="00936AB1" w:rsidRPr="009C01D5" w:rsidRDefault="00936AB1" w:rsidP="00FA4235">
            <w:pPr>
              <w:pStyle w:val="TableText0"/>
              <w:keepNext w:val="0"/>
              <w:widowControl w:val="0"/>
              <w:jc w:val="center"/>
              <w:rPr>
                <w:szCs w:val="20"/>
              </w:rPr>
            </w:pPr>
            <w:r w:rsidRPr="009C01D5">
              <w:rPr>
                <w:szCs w:val="20"/>
              </w:rPr>
              <w:t>52.9 [11.5]</w:t>
            </w:r>
          </w:p>
        </w:tc>
        <w:tc>
          <w:tcPr>
            <w:tcW w:w="534" w:type="pct"/>
            <w:tcBorders>
              <w:top w:val="single" w:sz="4" w:space="0" w:color="auto"/>
            </w:tcBorders>
            <w:shd w:val="clear" w:color="auto" w:fill="auto"/>
          </w:tcPr>
          <w:p w14:paraId="4B5E4CAA" w14:textId="77777777" w:rsidR="00936AB1" w:rsidRPr="009C01D5" w:rsidRDefault="00936AB1" w:rsidP="00FA4235">
            <w:pPr>
              <w:pStyle w:val="TableText0"/>
              <w:keepNext w:val="0"/>
              <w:widowControl w:val="0"/>
              <w:jc w:val="center"/>
              <w:rPr>
                <w:szCs w:val="20"/>
              </w:rPr>
            </w:pPr>
            <w:r w:rsidRPr="009C01D5">
              <w:rPr>
                <w:szCs w:val="20"/>
              </w:rPr>
              <w:t>-6.6 (0.8)</w:t>
            </w:r>
          </w:p>
        </w:tc>
        <w:tc>
          <w:tcPr>
            <w:tcW w:w="690" w:type="pct"/>
            <w:tcBorders>
              <w:top w:val="single" w:sz="4" w:space="0" w:color="auto"/>
            </w:tcBorders>
            <w:shd w:val="clear" w:color="auto" w:fill="auto"/>
          </w:tcPr>
          <w:p w14:paraId="7BAFFC7B" w14:textId="77777777" w:rsidR="008527F6" w:rsidRPr="009C01D5" w:rsidRDefault="00936AB1" w:rsidP="00FA4235">
            <w:pPr>
              <w:pStyle w:val="TableText0"/>
              <w:keepNext w:val="0"/>
              <w:widowControl w:val="0"/>
              <w:jc w:val="center"/>
              <w:rPr>
                <w:b/>
                <w:bCs w:val="0"/>
                <w:szCs w:val="20"/>
              </w:rPr>
            </w:pPr>
            <w:r w:rsidRPr="009C01D5">
              <w:rPr>
                <w:b/>
                <w:bCs w:val="0"/>
                <w:szCs w:val="20"/>
              </w:rPr>
              <w:t xml:space="preserve">-3.6 </w:t>
            </w:r>
          </w:p>
          <w:p w14:paraId="2975FC03" w14:textId="77777777" w:rsidR="00936AB1" w:rsidRPr="009C01D5" w:rsidRDefault="00936AB1" w:rsidP="00FA4235">
            <w:pPr>
              <w:pStyle w:val="TableText0"/>
              <w:keepNext w:val="0"/>
              <w:widowControl w:val="0"/>
              <w:jc w:val="center"/>
              <w:rPr>
                <w:b/>
                <w:bCs w:val="0"/>
                <w:szCs w:val="20"/>
              </w:rPr>
            </w:pPr>
            <w:r w:rsidRPr="009C01D5">
              <w:rPr>
                <w:b/>
                <w:bCs w:val="0"/>
                <w:szCs w:val="20"/>
              </w:rPr>
              <w:t>(-5.8, -1.3)</w:t>
            </w:r>
          </w:p>
        </w:tc>
        <w:tc>
          <w:tcPr>
            <w:tcW w:w="490" w:type="pct"/>
            <w:tcBorders>
              <w:top w:val="single" w:sz="4" w:space="0" w:color="auto"/>
            </w:tcBorders>
            <w:shd w:val="clear" w:color="auto" w:fill="auto"/>
          </w:tcPr>
          <w:p w14:paraId="2E51C659" w14:textId="77777777" w:rsidR="00936AB1" w:rsidRPr="009C01D5" w:rsidRDefault="00936AB1" w:rsidP="00FA4235">
            <w:pPr>
              <w:pStyle w:val="TableText0"/>
              <w:keepNext w:val="0"/>
              <w:widowControl w:val="0"/>
              <w:jc w:val="center"/>
              <w:rPr>
                <w:szCs w:val="20"/>
              </w:rPr>
            </w:pPr>
            <w:r w:rsidRPr="009C01D5">
              <w:rPr>
                <w:szCs w:val="20"/>
              </w:rPr>
              <w:t>54.3 [11.1]</w:t>
            </w:r>
          </w:p>
        </w:tc>
        <w:tc>
          <w:tcPr>
            <w:tcW w:w="534" w:type="pct"/>
            <w:tcBorders>
              <w:top w:val="single" w:sz="4" w:space="0" w:color="auto"/>
            </w:tcBorders>
            <w:shd w:val="clear" w:color="auto" w:fill="auto"/>
          </w:tcPr>
          <w:p w14:paraId="12331435" w14:textId="77777777" w:rsidR="00936AB1" w:rsidRPr="009C01D5" w:rsidRDefault="00936AB1" w:rsidP="00FA4235">
            <w:pPr>
              <w:pStyle w:val="TableText0"/>
              <w:keepNext w:val="0"/>
              <w:widowControl w:val="0"/>
              <w:jc w:val="center"/>
              <w:rPr>
                <w:szCs w:val="20"/>
              </w:rPr>
            </w:pPr>
            <w:r w:rsidRPr="009C01D5">
              <w:rPr>
                <w:szCs w:val="20"/>
              </w:rPr>
              <w:t>-7.2 (0.8)</w:t>
            </w:r>
          </w:p>
        </w:tc>
        <w:tc>
          <w:tcPr>
            <w:tcW w:w="694" w:type="pct"/>
            <w:tcBorders>
              <w:top w:val="single" w:sz="4" w:space="0" w:color="auto"/>
            </w:tcBorders>
            <w:shd w:val="clear" w:color="auto" w:fill="auto"/>
          </w:tcPr>
          <w:p w14:paraId="4C9B00DB" w14:textId="77777777" w:rsidR="008527F6" w:rsidRPr="009C01D5" w:rsidRDefault="00936AB1" w:rsidP="00FA4235">
            <w:pPr>
              <w:pStyle w:val="TableText0"/>
              <w:keepNext w:val="0"/>
              <w:widowControl w:val="0"/>
              <w:jc w:val="center"/>
              <w:rPr>
                <w:b/>
                <w:szCs w:val="20"/>
              </w:rPr>
            </w:pPr>
            <w:r w:rsidRPr="009C01D5">
              <w:rPr>
                <w:b/>
                <w:szCs w:val="20"/>
              </w:rPr>
              <w:t xml:space="preserve">-4.2 </w:t>
            </w:r>
          </w:p>
          <w:p w14:paraId="717CB5F6" w14:textId="77777777" w:rsidR="00936AB1" w:rsidRPr="009C01D5" w:rsidRDefault="00936AB1" w:rsidP="00FA4235">
            <w:pPr>
              <w:pStyle w:val="TableText0"/>
              <w:keepNext w:val="0"/>
              <w:widowControl w:val="0"/>
              <w:jc w:val="center"/>
              <w:rPr>
                <w:b/>
                <w:szCs w:val="20"/>
              </w:rPr>
            </w:pPr>
            <w:r w:rsidRPr="009C01D5">
              <w:rPr>
                <w:b/>
                <w:szCs w:val="20"/>
              </w:rPr>
              <w:t>(-6.4, -2.0)</w:t>
            </w:r>
          </w:p>
        </w:tc>
        <w:tc>
          <w:tcPr>
            <w:tcW w:w="822" w:type="pct"/>
            <w:tcBorders>
              <w:top w:val="single" w:sz="4" w:space="0" w:color="auto"/>
            </w:tcBorders>
            <w:shd w:val="clear" w:color="auto" w:fill="auto"/>
          </w:tcPr>
          <w:p w14:paraId="585D877E" w14:textId="77777777" w:rsidR="008527F6" w:rsidRPr="009C01D5" w:rsidRDefault="00936AB1" w:rsidP="00FA4235">
            <w:pPr>
              <w:pStyle w:val="TableText0"/>
              <w:keepNext w:val="0"/>
              <w:widowControl w:val="0"/>
              <w:jc w:val="center"/>
              <w:rPr>
                <w:szCs w:val="20"/>
              </w:rPr>
            </w:pPr>
            <w:r w:rsidRPr="009C01D5">
              <w:rPr>
                <w:szCs w:val="20"/>
              </w:rPr>
              <w:t xml:space="preserve">0.6 </w:t>
            </w:r>
          </w:p>
          <w:p w14:paraId="1723C09F" w14:textId="77777777" w:rsidR="00936AB1" w:rsidRPr="009C01D5" w:rsidRDefault="00936AB1" w:rsidP="00FA4235">
            <w:pPr>
              <w:pStyle w:val="TableText0"/>
              <w:keepNext w:val="0"/>
              <w:widowControl w:val="0"/>
              <w:jc w:val="center"/>
              <w:rPr>
                <w:szCs w:val="20"/>
              </w:rPr>
            </w:pPr>
            <w:r w:rsidRPr="009C01D5">
              <w:rPr>
                <w:szCs w:val="20"/>
              </w:rPr>
              <w:t>(-1.62, 2.82)</w:t>
            </w:r>
          </w:p>
        </w:tc>
      </w:tr>
      <w:tr w:rsidR="00936AB1" w:rsidRPr="009C01D5" w14:paraId="18CC679A" w14:textId="77777777" w:rsidTr="000A2E54">
        <w:trPr>
          <w:trHeight w:val="115"/>
        </w:trPr>
        <w:tc>
          <w:tcPr>
            <w:tcW w:w="686" w:type="pct"/>
            <w:shd w:val="clear" w:color="auto" w:fill="auto"/>
          </w:tcPr>
          <w:p w14:paraId="34AF4FE4"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tcBorders>
              <w:bottom w:val="single" w:sz="4" w:space="0" w:color="auto"/>
            </w:tcBorders>
            <w:shd w:val="clear" w:color="auto" w:fill="auto"/>
          </w:tcPr>
          <w:p w14:paraId="4498B472" w14:textId="77777777" w:rsidR="00936AB1" w:rsidRPr="009C01D5" w:rsidRDefault="00936AB1" w:rsidP="00FA4235">
            <w:pPr>
              <w:pStyle w:val="TableText0"/>
              <w:keepNext w:val="0"/>
              <w:widowControl w:val="0"/>
              <w:jc w:val="center"/>
              <w:rPr>
                <w:szCs w:val="20"/>
              </w:rPr>
            </w:pPr>
            <w:r w:rsidRPr="009C01D5">
              <w:rPr>
                <w:szCs w:val="20"/>
              </w:rPr>
              <w:t>54.4 [11.7]</w:t>
            </w:r>
          </w:p>
        </w:tc>
        <w:tc>
          <w:tcPr>
            <w:tcW w:w="534" w:type="pct"/>
            <w:tcBorders>
              <w:bottom w:val="single" w:sz="4" w:space="0" w:color="auto"/>
            </w:tcBorders>
            <w:shd w:val="clear" w:color="auto" w:fill="auto"/>
          </w:tcPr>
          <w:p w14:paraId="314F525B" w14:textId="77777777" w:rsidR="00936AB1" w:rsidRPr="009C01D5" w:rsidRDefault="00936AB1" w:rsidP="00FA4235">
            <w:pPr>
              <w:pStyle w:val="TableText0"/>
              <w:keepNext w:val="0"/>
              <w:widowControl w:val="0"/>
              <w:jc w:val="center"/>
              <w:rPr>
                <w:szCs w:val="20"/>
              </w:rPr>
            </w:pPr>
            <w:r w:rsidRPr="009C01D5">
              <w:rPr>
                <w:szCs w:val="20"/>
              </w:rPr>
              <w:t>-7.5 (0.8)</w:t>
            </w:r>
          </w:p>
        </w:tc>
        <w:tc>
          <w:tcPr>
            <w:tcW w:w="690" w:type="pct"/>
            <w:tcBorders>
              <w:bottom w:val="single" w:sz="4" w:space="0" w:color="auto"/>
            </w:tcBorders>
            <w:shd w:val="clear" w:color="auto" w:fill="auto"/>
          </w:tcPr>
          <w:p w14:paraId="4B1737D6" w14:textId="77777777" w:rsidR="008527F6" w:rsidRPr="009C01D5" w:rsidRDefault="00936AB1" w:rsidP="00FA4235">
            <w:pPr>
              <w:pStyle w:val="TableText0"/>
              <w:keepNext w:val="0"/>
              <w:widowControl w:val="0"/>
              <w:jc w:val="center"/>
              <w:rPr>
                <w:b/>
                <w:szCs w:val="20"/>
              </w:rPr>
            </w:pPr>
            <w:r w:rsidRPr="009C01D5">
              <w:rPr>
                <w:b/>
                <w:szCs w:val="20"/>
              </w:rPr>
              <w:t xml:space="preserve">-4.5 </w:t>
            </w:r>
          </w:p>
          <w:p w14:paraId="54C5F138" w14:textId="77777777" w:rsidR="00936AB1" w:rsidRPr="009C01D5" w:rsidRDefault="00936AB1" w:rsidP="00FA4235">
            <w:pPr>
              <w:pStyle w:val="TableText0"/>
              <w:keepNext w:val="0"/>
              <w:widowControl w:val="0"/>
              <w:jc w:val="center"/>
              <w:rPr>
                <w:b/>
                <w:szCs w:val="20"/>
              </w:rPr>
            </w:pPr>
            <w:r w:rsidRPr="009C01D5">
              <w:rPr>
                <w:b/>
                <w:szCs w:val="20"/>
              </w:rPr>
              <w:t>(-6.7, -2.3)</w:t>
            </w:r>
          </w:p>
        </w:tc>
        <w:tc>
          <w:tcPr>
            <w:tcW w:w="490" w:type="pct"/>
            <w:tcBorders>
              <w:bottom w:val="single" w:sz="4" w:space="0" w:color="auto"/>
            </w:tcBorders>
            <w:shd w:val="clear" w:color="auto" w:fill="auto"/>
          </w:tcPr>
          <w:p w14:paraId="48C3E170" w14:textId="77777777" w:rsidR="00936AB1" w:rsidRPr="009C01D5" w:rsidRDefault="00936AB1" w:rsidP="00FA4235">
            <w:pPr>
              <w:pStyle w:val="TableText0"/>
              <w:keepNext w:val="0"/>
              <w:widowControl w:val="0"/>
              <w:jc w:val="center"/>
              <w:rPr>
                <w:szCs w:val="20"/>
              </w:rPr>
            </w:pPr>
            <w:r w:rsidRPr="009C01D5">
              <w:rPr>
                <w:szCs w:val="20"/>
              </w:rPr>
              <w:t>54.3 [11.1]</w:t>
            </w:r>
          </w:p>
        </w:tc>
        <w:tc>
          <w:tcPr>
            <w:tcW w:w="534" w:type="pct"/>
            <w:tcBorders>
              <w:bottom w:val="single" w:sz="4" w:space="0" w:color="auto"/>
            </w:tcBorders>
            <w:shd w:val="clear" w:color="auto" w:fill="auto"/>
          </w:tcPr>
          <w:p w14:paraId="1DAC5557" w14:textId="77777777" w:rsidR="00936AB1" w:rsidRPr="009C01D5" w:rsidRDefault="00936AB1" w:rsidP="00FA4235">
            <w:pPr>
              <w:pStyle w:val="TableText0"/>
              <w:keepNext w:val="0"/>
              <w:widowControl w:val="0"/>
              <w:jc w:val="center"/>
              <w:rPr>
                <w:szCs w:val="20"/>
              </w:rPr>
            </w:pPr>
            <w:r w:rsidRPr="009C01D5">
              <w:rPr>
                <w:szCs w:val="20"/>
              </w:rPr>
              <w:t>-7.2 (0.8)</w:t>
            </w:r>
          </w:p>
        </w:tc>
        <w:tc>
          <w:tcPr>
            <w:tcW w:w="694" w:type="pct"/>
            <w:tcBorders>
              <w:bottom w:val="single" w:sz="4" w:space="0" w:color="auto"/>
            </w:tcBorders>
            <w:shd w:val="clear" w:color="auto" w:fill="auto"/>
          </w:tcPr>
          <w:p w14:paraId="7752A14D" w14:textId="77777777" w:rsidR="008527F6" w:rsidRPr="009C01D5" w:rsidRDefault="00936AB1" w:rsidP="00FA4235">
            <w:pPr>
              <w:pStyle w:val="TableText0"/>
              <w:keepNext w:val="0"/>
              <w:widowControl w:val="0"/>
              <w:jc w:val="center"/>
              <w:rPr>
                <w:b/>
                <w:szCs w:val="20"/>
              </w:rPr>
            </w:pPr>
            <w:r w:rsidRPr="009C01D5">
              <w:rPr>
                <w:b/>
                <w:szCs w:val="20"/>
              </w:rPr>
              <w:t xml:space="preserve">-4.2 </w:t>
            </w:r>
          </w:p>
          <w:p w14:paraId="3802F7BE" w14:textId="77777777" w:rsidR="00936AB1" w:rsidRPr="009C01D5" w:rsidRDefault="00936AB1" w:rsidP="00FA4235">
            <w:pPr>
              <w:pStyle w:val="TableText0"/>
              <w:keepNext w:val="0"/>
              <w:widowControl w:val="0"/>
              <w:jc w:val="center"/>
              <w:rPr>
                <w:b/>
                <w:szCs w:val="20"/>
              </w:rPr>
            </w:pPr>
            <w:r w:rsidRPr="009C01D5">
              <w:rPr>
                <w:b/>
                <w:szCs w:val="20"/>
              </w:rPr>
              <w:t>(-6.4, -2.0)</w:t>
            </w:r>
          </w:p>
        </w:tc>
        <w:tc>
          <w:tcPr>
            <w:tcW w:w="822" w:type="pct"/>
            <w:tcBorders>
              <w:bottom w:val="single" w:sz="4" w:space="0" w:color="auto"/>
            </w:tcBorders>
            <w:shd w:val="clear" w:color="auto" w:fill="auto"/>
          </w:tcPr>
          <w:p w14:paraId="64E6F5BC" w14:textId="77777777" w:rsidR="008527F6" w:rsidRPr="009C01D5" w:rsidRDefault="00936AB1" w:rsidP="00FA4235">
            <w:pPr>
              <w:pStyle w:val="TableText0"/>
              <w:keepNext w:val="0"/>
              <w:widowControl w:val="0"/>
              <w:jc w:val="center"/>
              <w:rPr>
                <w:szCs w:val="20"/>
              </w:rPr>
            </w:pPr>
            <w:r w:rsidRPr="009C01D5">
              <w:rPr>
                <w:szCs w:val="20"/>
              </w:rPr>
              <w:t xml:space="preserve">-0.3 </w:t>
            </w:r>
          </w:p>
          <w:p w14:paraId="0B6E129A" w14:textId="77777777" w:rsidR="00936AB1" w:rsidRPr="009C01D5" w:rsidRDefault="00936AB1" w:rsidP="00FA4235">
            <w:pPr>
              <w:pStyle w:val="TableText0"/>
              <w:keepNext w:val="0"/>
              <w:widowControl w:val="0"/>
              <w:jc w:val="center"/>
              <w:rPr>
                <w:szCs w:val="20"/>
              </w:rPr>
            </w:pPr>
            <w:r w:rsidRPr="009C01D5">
              <w:rPr>
                <w:szCs w:val="20"/>
              </w:rPr>
              <w:t>(-2.52, 1.92)</w:t>
            </w:r>
          </w:p>
        </w:tc>
      </w:tr>
      <w:tr w:rsidR="00936AB1" w:rsidRPr="009C01D5" w14:paraId="035BA650" w14:textId="77777777" w:rsidTr="000A2E54">
        <w:trPr>
          <w:trHeight w:val="115"/>
        </w:trPr>
        <w:tc>
          <w:tcPr>
            <w:tcW w:w="5000" w:type="pct"/>
            <w:gridSpan w:val="8"/>
            <w:shd w:val="clear" w:color="auto" w:fill="auto"/>
          </w:tcPr>
          <w:p w14:paraId="74AF479F" w14:textId="77777777" w:rsidR="00936AB1" w:rsidRPr="009C01D5" w:rsidRDefault="00936AB1" w:rsidP="004A6EF5">
            <w:pPr>
              <w:pStyle w:val="TableText0"/>
              <w:keepNext w:val="0"/>
              <w:widowControl w:val="0"/>
              <w:rPr>
                <w:b/>
                <w:szCs w:val="20"/>
              </w:rPr>
            </w:pPr>
            <w:r w:rsidRPr="009C01D5">
              <w:rPr>
                <w:b/>
                <w:szCs w:val="20"/>
              </w:rPr>
              <w:t>SQLS-R4 total score</w:t>
            </w:r>
          </w:p>
        </w:tc>
      </w:tr>
      <w:tr w:rsidR="00936AB1" w:rsidRPr="009C01D5" w14:paraId="48D106AB" w14:textId="77777777" w:rsidTr="000A2E54">
        <w:trPr>
          <w:trHeight w:val="115"/>
        </w:trPr>
        <w:tc>
          <w:tcPr>
            <w:tcW w:w="686" w:type="pct"/>
            <w:shd w:val="clear" w:color="auto" w:fill="auto"/>
          </w:tcPr>
          <w:p w14:paraId="6E07EECD"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3 mg/day</w:t>
            </w:r>
          </w:p>
        </w:tc>
        <w:tc>
          <w:tcPr>
            <w:tcW w:w="551" w:type="pct"/>
            <w:tcBorders>
              <w:top w:val="single" w:sz="4" w:space="0" w:color="auto"/>
            </w:tcBorders>
            <w:shd w:val="clear" w:color="auto" w:fill="auto"/>
          </w:tcPr>
          <w:p w14:paraId="416120F7" w14:textId="77777777" w:rsidR="00936AB1" w:rsidRPr="009C01D5" w:rsidRDefault="00936AB1" w:rsidP="00FA4235">
            <w:pPr>
              <w:pStyle w:val="TableText0"/>
              <w:keepNext w:val="0"/>
              <w:widowControl w:val="0"/>
              <w:jc w:val="center"/>
              <w:rPr>
                <w:szCs w:val="20"/>
              </w:rPr>
            </w:pPr>
            <w:r w:rsidRPr="009C01D5">
              <w:rPr>
                <w:szCs w:val="20"/>
              </w:rPr>
              <w:t>55.1 [21.3]</w:t>
            </w:r>
          </w:p>
        </w:tc>
        <w:tc>
          <w:tcPr>
            <w:tcW w:w="534" w:type="pct"/>
            <w:tcBorders>
              <w:top w:val="single" w:sz="4" w:space="0" w:color="auto"/>
            </w:tcBorders>
            <w:shd w:val="clear" w:color="auto" w:fill="auto"/>
          </w:tcPr>
          <w:p w14:paraId="463A6C30" w14:textId="77777777" w:rsidR="00936AB1" w:rsidRPr="009C01D5" w:rsidRDefault="00936AB1" w:rsidP="00FA4235">
            <w:pPr>
              <w:pStyle w:val="TableText0"/>
              <w:keepNext w:val="0"/>
              <w:widowControl w:val="0"/>
              <w:jc w:val="center"/>
              <w:rPr>
                <w:szCs w:val="20"/>
              </w:rPr>
            </w:pPr>
            <w:r w:rsidRPr="009C01D5">
              <w:rPr>
                <w:szCs w:val="20"/>
              </w:rPr>
              <w:t>-9.9 (1.6)</w:t>
            </w:r>
          </w:p>
        </w:tc>
        <w:tc>
          <w:tcPr>
            <w:tcW w:w="690" w:type="pct"/>
            <w:tcBorders>
              <w:top w:val="single" w:sz="4" w:space="0" w:color="auto"/>
            </w:tcBorders>
            <w:shd w:val="clear" w:color="auto" w:fill="auto"/>
          </w:tcPr>
          <w:p w14:paraId="4A5539B7" w14:textId="77777777" w:rsidR="008527F6" w:rsidRPr="009C01D5" w:rsidRDefault="00936AB1" w:rsidP="00FA4235">
            <w:pPr>
              <w:pStyle w:val="TableText0"/>
              <w:keepNext w:val="0"/>
              <w:widowControl w:val="0"/>
              <w:jc w:val="center"/>
              <w:rPr>
                <w:b/>
                <w:szCs w:val="20"/>
              </w:rPr>
            </w:pPr>
            <w:r w:rsidRPr="009C01D5">
              <w:rPr>
                <w:b/>
                <w:szCs w:val="20"/>
              </w:rPr>
              <w:t xml:space="preserve">-6.8 </w:t>
            </w:r>
          </w:p>
          <w:p w14:paraId="4293F7DF" w14:textId="77777777" w:rsidR="00936AB1" w:rsidRPr="009C01D5" w:rsidRDefault="00936AB1" w:rsidP="00FA4235">
            <w:pPr>
              <w:pStyle w:val="TableText0"/>
              <w:keepNext w:val="0"/>
              <w:widowControl w:val="0"/>
              <w:jc w:val="center"/>
              <w:rPr>
                <w:b/>
                <w:szCs w:val="20"/>
              </w:rPr>
            </w:pPr>
            <w:r w:rsidRPr="009C01D5">
              <w:rPr>
                <w:b/>
                <w:szCs w:val="20"/>
              </w:rPr>
              <w:t>(-11.2, -2.4)</w:t>
            </w:r>
          </w:p>
        </w:tc>
        <w:tc>
          <w:tcPr>
            <w:tcW w:w="490" w:type="pct"/>
            <w:tcBorders>
              <w:top w:val="single" w:sz="4" w:space="0" w:color="auto"/>
            </w:tcBorders>
            <w:shd w:val="clear" w:color="auto" w:fill="auto"/>
          </w:tcPr>
          <w:p w14:paraId="41991069" w14:textId="77777777" w:rsidR="00936AB1" w:rsidRPr="009C01D5" w:rsidRDefault="00936AB1" w:rsidP="00FA4235">
            <w:pPr>
              <w:pStyle w:val="TableText0"/>
              <w:keepNext w:val="0"/>
              <w:widowControl w:val="0"/>
              <w:jc w:val="center"/>
              <w:rPr>
                <w:szCs w:val="20"/>
              </w:rPr>
            </w:pPr>
            <w:r w:rsidRPr="009C01D5">
              <w:rPr>
                <w:szCs w:val="20"/>
              </w:rPr>
              <w:t>58.5 [21.8]</w:t>
            </w:r>
          </w:p>
        </w:tc>
        <w:tc>
          <w:tcPr>
            <w:tcW w:w="534" w:type="pct"/>
            <w:tcBorders>
              <w:top w:val="single" w:sz="4" w:space="0" w:color="auto"/>
            </w:tcBorders>
            <w:shd w:val="clear" w:color="auto" w:fill="auto"/>
          </w:tcPr>
          <w:p w14:paraId="2817634A" w14:textId="77777777" w:rsidR="00936AB1" w:rsidRPr="009C01D5" w:rsidRDefault="00936AB1" w:rsidP="00FA4235">
            <w:pPr>
              <w:pStyle w:val="TableText0"/>
              <w:keepNext w:val="0"/>
              <w:widowControl w:val="0"/>
              <w:jc w:val="center"/>
              <w:rPr>
                <w:szCs w:val="20"/>
              </w:rPr>
            </w:pPr>
            <w:r w:rsidRPr="009C01D5">
              <w:rPr>
                <w:szCs w:val="20"/>
              </w:rPr>
              <w:t>-12.8 (1.6)</w:t>
            </w:r>
          </w:p>
        </w:tc>
        <w:tc>
          <w:tcPr>
            <w:tcW w:w="694" w:type="pct"/>
            <w:tcBorders>
              <w:top w:val="single" w:sz="4" w:space="0" w:color="auto"/>
            </w:tcBorders>
            <w:shd w:val="clear" w:color="auto" w:fill="auto"/>
          </w:tcPr>
          <w:p w14:paraId="2448CAE0" w14:textId="77777777" w:rsidR="008527F6" w:rsidRPr="009C01D5" w:rsidRDefault="00936AB1" w:rsidP="00FA4235">
            <w:pPr>
              <w:pStyle w:val="TableText0"/>
              <w:keepNext w:val="0"/>
              <w:widowControl w:val="0"/>
              <w:jc w:val="center"/>
              <w:rPr>
                <w:b/>
                <w:szCs w:val="20"/>
              </w:rPr>
            </w:pPr>
            <w:r w:rsidRPr="009C01D5">
              <w:rPr>
                <w:b/>
                <w:szCs w:val="20"/>
              </w:rPr>
              <w:t xml:space="preserve">-9.7 </w:t>
            </w:r>
          </w:p>
          <w:p w14:paraId="179BC7AC" w14:textId="77777777" w:rsidR="00936AB1" w:rsidRPr="009C01D5" w:rsidRDefault="00936AB1" w:rsidP="00FA4235">
            <w:pPr>
              <w:pStyle w:val="TableText0"/>
              <w:keepNext w:val="0"/>
              <w:widowControl w:val="0"/>
              <w:jc w:val="center"/>
              <w:rPr>
                <w:b/>
                <w:szCs w:val="20"/>
              </w:rPr>
            </w:pPr>
            <w:r w:rsidRPr="009C01D5">
              <w:rPr>
                <w:b/>
                <w:szCs w:val="20"/>
              </w:rPr>
              <w:t>(-14.0, -5.3)</w:t>
            </w:r>
          </w:p>
        </w:tc>
        <w:tc>
          <w:tcPr>
            <w:tcW w:w="822" w:type="pct"/>
            <w:tcBorders>
              <w:top w:val="single" w:sz="4" w:space="0" w:color="auto"/>
            </w:tcBorders>
            <w:shd w:val="clear" w:color="auto" w:fill="auto"/>
          </w:tcPr>
          <w:p w14:paraId="4E47D239" w14:textId="77777777" w:rsidR="008527F6" w:rsidRPr="009C01D5" w:rsidRDefault="00936AB1" w:rsidP="00FA4235">
            <w:pPr>
              <w:pStyle w:val="TableText0"/>
              <w:keepNext w:val="0"/>
              <w:widowControl w:val="0"/>
              <w:jc w:val="center"/>
              <w:rPr>
                <w:szCs w:val="20"/>
              </w:rPr>
            </w:pPr>
            <w:r w:rsidRPr="009C01D5">
              <w:rPr>
                <w:szCs w:val="20"/>
              </w:rPr>
              <w:t xml:space="preserve">2.9 </w:t>
            </w:r>
          </w:p>
          <w:p w14:paraId="3458AC26" w14:textId="77777777" w:rsidR="00936AB1" w:rsidRPr="009C01D5" w:rsidRDefault="00936AB1" w:rsidP="00FA4235">
            <w:pPr>
              <w:pStyle w:val="TableText0"/>
              <w:keepNext w:val="0"/>
              <w:widowControl w:val="0"/>
              <w:jc w:val="center"/>
              <w:rPr>
                <w:szCs w:val="20"/>
              </w:rPr>
            </w:pPr>
            <w:r w:rsidRPr="009C01D5">
              <w:rPr>
                <w:szCs w:val="20"/>
              </w:rPr>
              <w:t>(-1.53, 7.33)</w:t>
            </w:r>
          </w:p>
        </w:tc>
      </w:tr>
      <w:tr w:rsidR="00936AB1" w:rsidRPr="009C01D5" w14:paraId="116114EB" w14:textId="77777777" w:rsidTr="000A2E54">
        <w:trPr>
          <w:trHeight w:val="115"/>
        </w:trPr>
        <w:tc>
          <w:tcPr>
            <w:tcW w:w="686" w:type="pct"/>
            <w:shd w:val="clear" w:color="auto" w:fill="auto"/>
          </w:tcPr>
          <w:p w14:paraId="15F9B84C" w14:textId="77777777" w:rsidR="00936AB1" w:rsidRPr="009C01D5" w:rsidRDefault="00936AB1" w:rsidP="00FA4235">
            <w:pPr>
              <w:pStyle w:val="TableText0"/>
              <w:keepNext w:val="0"/>
              <w:widowControl w:val="0"/>
              <w:jc w:val="center"/>
              <w:rPr>
                <w:szCs w:val="20"/>
              </w:rPr>
            </w:pPr>
            <w:r w:rsidRPr="009C01D5">
              <w:rPr>
                <w:szCs w:val="20"/>
              </w:rPr>
              <w:t>Cari</w:t>
            </w:r>
            <w:r w:rsidR="004A6EF5" w:rsidRPr="009C01D5">
              <w:rPr>
                <w:szCs w:val="20"/>
              </w:rPr>
              <w:t xml:space="preserve">. </w:t>
            </w:r>
            <w:r w:rsidRPr="009C01D5">
              <w:rPr>
                <w:szCs w:val="20"/>
              </w:rPr>
              <w:t>6 mg/day</w:t>
            </w:r>
          </w:p>
        </w:tc>
        <w:tc>
          <w:tcPr>
            <w:tcW w:w="551" w:type="pct"/>
            <w:shd w:val="clear" w:color="auto" w:fill="auto"/>
          </w:tcPr>
          <w:p w14:paraId="281FFDD9" w14:textId="77777777" w:rsidR="00936AB1" w:rsidRPr="009C01D5" w:rsidRDefault="00936AB1" w:rsidP="00FA4235">
            <w:pPr>
              <w:pStyle w:val="TableText0"/>
              <w:keepNext w:val="0"/>
              <w:widowControl w:val="0"/>
              <w:jc w:val="center"/>
              <w:rPr>
                <w:szCs w:val="20"/>
              </w:rPr>
            </w:pPr>
            <w:r w:rsidRPr="009C01D5">
              <w:rPr>
                <w:szCs w:val="20"/>
              </w:rPr>
              <w:t>55.0 [22.6]</w:t>
            </w:r>
          </w:p>
        </w:tc>
        <w:tc>
          <w:tcPr>
            <w:tcW w:w="534" w:type="pct"/>
            <w:shd w:val="clear" w:color="auto" w:fill="auto"/>
          </w:tcPr>
          <w:p w14:paraId="6E5A372F" w14:textId="77777777" w:rsidR="00936AB1" w:rsidRPr="009C01D5" w:rsidRDefault="00936AB1" w:rsidP="00FA4235">
            <w:pPr>
              <w:pStyle w:val="TableText0"/>
              <w:keepNext w:val="0"/>
              <w:widowControl w:val="0"/>
              <w:jc w:val="center"/>
              <w:rPr>
                <w:szCs w:val="20"/>
              </w:rPr>
            </w:pPr>
            <w:r w:rsidRPr="009C01D5">
              <w:rPr>
                <w:szCs w:val="20"/>
              </w:rPr>
              <w:t>-11.5 (1.6)</w:t>
            </w:r>
          </w:p>
        </w:tc>
        <w:tc>
          <w:tcPr>
            <w:tcW w:w="690" w:type="pct"/>
            <w:shd w:val="clear" w:color="auto" w:fill="auto"/>
          </w:tcPr>
          <w:p w14:paraId="1603FF9C" w14:textId="77777777" w:rsidR="008527F6" w:rsidRPr="009C01D5" w:rsidRDefault="00936AB1" w:rsidP="00FA4235">
            <w:pPr>
              <w:pStyle w:val="TableText0"/>
              <w:keepNext w:val="0"/>
              <w:widowControl w:val="0"/>
              <w:jc w:val="center"/>
              <w:rPr>
                <w:b/>
                <w:szCs w:val="20"/>
              </w:rPr>
            </w:pPr>
            <w:r w:rsidRPr="009C01D5">
              <w:rPr>
                <w:b/>
                <w:szCs w:val="20"/>
              </w:rPr>
              <w:t>-8.3</w:t>
            </w:r>
          </w:p>
          <w:p w14:paraId="3271CF20" w14:textId="77777777" w:rsidR="00936AB1" w:rsidRPr="009C01D5" w:rsidRDefault="00936AB1" w:rsidP="00FA4235">
            <w:pPr>
              <w:pStyle w:val="TableText0"/>
              <w:keepNext w:val="0"/>
              <w:widowControl w:val="0"/>
              <w:jc w:val="center"/>
              <w:rPr>
                <w:b/>
                <w:szCs w:val="20"/>
              </w:rPr>
            </w:pPr>
            <w:r w:rsidRPr="009C01D5">
              <w:rPr>
                <w:b/>
                <w:szCs w:val="20"/>
              </w:rPr>
              <w:t xml:space="preserve"> (-12.7, -4.0)</w:t>
            </w:r>
          </w:p>
        </w:tc>
        <w:tc>
          <w:tcPr>
            <w:tcW w:w="490" w:type="pct"/>
            <w:shd w:val="clear" w:color="auto" w:fill="auto"/>
          </w:tcPr>
          <w:p w14:paraId="5323D517" w14:textId="77777777" w:rsidR="00936AB1" w:rsidRPr="009C01D5" w:rsidRDefault="00936AB1" w:rsidP="00FA4235">
            <w:pPr>
              <w:pStyle w:val="TableText0"/>
              <w:keepNext w:val="0"/>
              <w:widowControl w:val="0"/>
              <w:jc w:val="center"/>
              <w:rPr>
                <w:szCs w:val="20"/>
              </w:rPr>
            </w:pPr>
            <w:r w:rsidRPr="009C01D5">
              <w:rPr>
                <w:szCs w:val="20"/>
              </w:rPr>
              <w:t>58.5 [21.8]</w:t>
            </w:r>
          </w:p>
        </w:tc>
        <w:tc>
          <w:tcPr>
            <w:tcW w:w="534" w:type="pct"/>
            <w:shd w:val="clear" w:color="auto" w:fill="auto"/>
          </w:tcPr>
          <w:p w14:paraId="20B2C4B9" w14:textId="77777777" w:rsidR="00936AB1" w:rsidRPr="009C01D5" w:rsidRDefault="00936AB1" w:rsidP="00FA4235">
            <w:pPr>
              <w:pStyle w:val="TableText0"/>
              <w:keepNext w:val="0"/>
              <w:widowControl w:val="0"/>
              <w:jc w:val="center"/>
              <w:rPr>
                <w:szCs w:val="20"/>
              </w:rPr>
            </w:pPr>
            <w:r w:rsidRPr="009C01D5">
              <w:rPr>
                <w:szCs w:val="20"/>
              </w:rPr>
              <w:t>-12.8 (1.6)</w:t>
            </w:r>
          </w:p>
        </w:tc>
        <w:tc>
          <w:tcPr>
            <w:tcW w:w="694" w:type="pct"/>
            <w:shd w:val="clear" w:color="auto" w:fill="auto"/>
          </w:tcPr>
          <w:p w14:paraId="0531C03B" w14:textId="77777777" w:rsidR="008527F6" w:rsidRPr="009C01D5" w:rsidRDefault="00936AB1" w:rsidP="00FA4235">
            <w:pPr>
              <w:pStyle w:val="TableText0"/>
              <w:keepNext w:val="0"/>
              <w:widowControl w:val="0"/>
              <w:jc w:val="center"/>
              <w:rPr>
                <w:b/>
                <w:szCs w:val="20"/>
              </w:rPr>
            </w:pPr>
            <w:r w:rsidRPr="009C01D5">
              <w:rPr>
                <w:b/>
                <w:szCs w:val="20"/>
              </w:rPr>
              <w:t xml:space="preserve">-9.7 </w:t>
            </w:r>
          </w:p>
          <w:p w14:paraId="60A854CC" w14:textId="77777777" w:rsidR="00936AB1" w:rsidRPr="009C01D5" w:rsidRDefault="00936AB1" w:rsidP="00FA4235">
            <w:pPr>
              <w:pStyle w:val="TableText0"/>
              <w:keepNext w:val="0"/>
              <w:widowControl w:val="0"/>
              <w:jc w:val="center"/>
              <w:rPr>
                <w:b/>
                <w:szCs w:val="20"/>
              </w:rPr>
            </w:pPr>
            <w:r w:rsidRPr="009C01D5">
              <w:rPr>
                <w:b/>
                <w:szCs w:val="20"/>
              </w:rPr>
              <w:t>(-14.0, -5.3)</w:t>
            </w:r>
          </w:p>
        </w:tc>
        <w:tc>
          <w:tcPr>
            <w:tcW w:w="822" w:type="pct"/>
            <w:shd w:val="clear" w:color="auto" w:fill="auto"/>
          </w:tcPr>
          <w:p w14:paraId="34CA0D3F" w14:textId="77777777" w:rsidR="008527F6" w:rsidRPr="009C01D5" w:rsidRDefault="00936AB1" w:rsidP="00FA4235">
            <w:pPr>
              <w:pStyle w:val="TableText0"/>
              <w:keepNext w:val="0"/>
              <w:widowControl w:val="0"/>
              <w:jc w:val="center"/>
              <w:rPr>
                <w:szCs w:val="20"/>
              </w:rPr>
            </w:pPr>
            <w:r w:rsidRPr="009C01D5">
              <w:rPr>
                <w:szCs w:val="20"/>
              </w:rPr>
              <w:t xml:space="preserve">1.3 </w:t>
            </w:r>
          </w:p>
          <w:p w14:paraId="466AFC62" w14:textId="77777777" w:rsidR="00936AB1" w:rsidRPr="009C01D5" w:rsidRDefault="00936AB1" w:rsidP="00FA4235">
            <w:pPr>
              <w:pStyle w:val="TableText0"/>
              <w:keepNext w:val="0"/>
              <w:widowControl w:val="0"/>
              <w:jc w:val="center"/>
              <w:rPr>
                <w:szCs w:val="20"/>
              </w:rPr>
            </w:pPr>
            <w:r w:rsidRPr="009C01D5">
              <w:rPr>
                <w:szCs w:val="20"/>
              </w:rPr>
              <w:t>(-3.13, 5.73)</w:t>
            </w:r>
          </w:p>
        </w:tc>
      </w:tr>
    </w:tbl>
    <w:p w14:paraId="546C42A1" w14:textId="77777777" w:rsidR="00936AB1" w:rsidRPr="009C01D5" w:rsidRDefault="00936AB1" w:rsidP="00936AB1">
      <w:pPr>
        <w:pStyle w:val="In-tableHeading"/>
        <w:rPr>
          <w:b w:val="0"/>
          <w:sz w:val="18"/>
          <w:szCs w:val="18"/>
          <w:lang w:val="en-AU"/>
        </w:rPr>
      </w:pPr>
      <w:r w:rsidRPr="009C01D5">
        <w:rPr>
          <w:b w:val="0"/>
          <w:sz w:val="18"/>
          <w:szCs w:val="18"/>
          <w:lang w:val="en-AU"/>
        </w:rPr>
        <w:t xml:space="preserve">Abbreviations: </w:t>
      </w:r>
      <w:r w:rsidR="004A6EF5" w:rsidRPr="009C01D5">
        <w:rPr>
          <w:b w:val="0"/>
          <w:sz w:val="18"/>
          <w:szCs w:val="18"/>
          <w:lang w:val="en-AU"/>
        </w:rPr>
        <w:t xml:space="preserve">Cari. = cariprazine; </w:t>
      </w:r>
      <w:r w:rsidRPr="009C01D5">
        <w:rPr>
          <w:b w:val="0"/>
          <w:sz w:val="18"/>
          <w:szCs w:val="18"/>
          <w:lang w:val="en-AU"/>
        </w:rPr>
        <w:t xml:space="preserve">CGI-I = Clinical Global Impression-Improvement; CGI-S = Clinical Global Impression-Severity; CI = confidence interval; ITT = </w:t>
      </w:r>
      <w:r w:rsidR="004A6EF5" w:rsidRPr="009C01D5">
        <w:rPr>
          <w:b w:val="0"/>
          <w:sz w:val="18"/>
          <w:szCs w:val="18"/>
          <w:lang w:val="en-AU"/>
        </w:rPr>
        <w:t>i</w:t>
      </w:r>
      <w:r w:rsidRPr="009C01D5">
        <w:rPr>
          <w:b w:val="0"/>
          <w:sz w:val="18"/>
          <w:szCs w:val="18"/>
          <w:lang w:val="en-AU"/>
        </w:rPr>
        <w:t>ntent/</w:t>
      </w:r>
      <w:r w:rsidR="004A6EF5" w:rsidRPr="009C01D5">
        <w:rPr>
          <w:b w:val="0"/>
          <w:sz w:val="18"/>
          <w:szCs w:val="18"/>
          <w:lang w:val="en-AU"/>
        </w:rPr>
        <w:t>i</w:t>
      </w:r>
      <w:r w:rsidRPr="009C01D5">
        <w:rPr>
          <w:b w:val="0"/>
          <w:sz w:val="18"/>
          <w:szCs w:val="18"/>
          <w:lang w:val="en-AU"/>
        </w:rPr>
        <w:t xml:space="preserve">ntention to </w:t>
      </w:r>
      <w:r w:rsidR="004A6EF5" w:rsidRPr="009C01D5">
        <w:rPr>
          <w:b w:val="0"/>
          <w:sz w:val="18"/>
          <w:szCs w:val="18"/>
          <w:lang w:val="en-AU"/>
        </w:rPr>
        <w:t>t</w:t>
      </w:r>
      <w:r w:rsidRPr="009C01D5">
        <w:rPr>
          <w:b w:val="0"/>
          <w:sz w:val="18"/>
          <w:szCs w:val="18"/>
          <w:lang w:val="en-AU"/>
        </w:rPr>
        <w:t xml:space="preserve">reat; LOCF = </w:t>
      </w:r>
      <w:r w:rsidR="004A6EF5" w:rsidRPr="009C01D5">
        <w:rPr>
          <w:b w:val="0"/>
          <w:sz w:val="18"/>
          <w:szCs w:val="18"/>
          <w:lang w:val="en-AU"/>
        </w:rPr>
        <w:t>l</w:t>
      </w:r>
      <w:r w:rsidRPr="009C01D5">
        <w:rPr>
          <w:b w:val="0"/>
          <w:sz w:val="18"/>
          <w:szCs w:val="18"/>
          <w:lang w:val="en-AU"/>
        </w:rPr>
        <w:t xml:space="preserve">ast observation carried forward; </w:t>
      </w:r>
      <w:r w:rsidR="003922EA" w:rsidRPr="009C01D5">
        <w:rPr>
          <w:b w:val="0"/>
          <w:sz w:val="18"/>
          <w:szCs w:val="18"/>
          <w:lang w:val="en-AU"/>
        </w:rPr>
        <w:t xml:space="preserve">LS = leas squares; LSMD = least squares mean difference; </w:t>
      </w:r>
      <w:r w:rsidRPr="009C01D5">
        <w:rPr>
          <w:b w:val="0"/>
          <w:sz w:val="18"/>
          <w:szCs w:val="18"/>
          <w:lang w:val="en-AU"/>
        </w:rPr>
        <w:t xml:space="preserve">MMRM = </w:t>
      </w:r>
      <w:r w:rsidR="004A6EF5" w:rsidRPr="009C01D5">
        <w:rPr>
          <w:b w:val="0"/>
          <w:sz w:val="18"/>
          <w:szCs w:val="18"/>
          <w:lang w:val="en-AU"/>
        </w:rPr>
        <w:t>mixed</w:t>
      </w:r>
      <w:r w:rsidRPr="009C01D5">
        <w:rPr>
          <w:b w:val="0"/>
          <w:sz w:val="18"/>
          <w:szCs w:val="18"/>
          <w:lang w:val="en-AU"/>
        </w:rPr>
        <w:t xml:space="preserve">-effects model for repeated measures; mg = milligram; NSA-16 = </w:t>
      </w:r>
      <w:r w:rsidRPr="009C01D5">
        <w:rPr>
          <w:rFonts w:cstheme="minorHAnsi"/>
          <w:b w:val="0"/>
          <w:sz w:val="18"/>
          <w:szCs w:val="18"/>
          <w:lang w:val="en-AU"/>
        </w:rPr>
        <w:t>16 item Negative Symptom Assessment</w:t>
      </w:r>
      <w:r w:rsidRPr="009C01D5">
        <w:rPr>
          <w:b w:val="0"/>
          <w:sz w:val="18"/>
          <w:szCs w:val="18"/>
          <w:lang w:val="en-AU"/>
        </w:rPr>
        <w:t xml:space="preserve">; PANSS = Positive and Negative Syndrome Scale (for schizophrenia); SE = standard error; SD=standard deviation; SQLS-R4 = </w:t>
      </w:r>
      <w:r w:rsidRPr="009C01D5">
        <w:rPr>
          <w:rFonts w:cstheme="minorHAnsi"/>
          <w:b w:val="0"/>
          <w:sz w:val="18"/>
          <w:szCs w:val="18"/>
          <w:lang w:val="en-AU"/>
        </w:rPr>
        <w:t>Schizophrenia Quality of Life Scale Revision 4</w:t>
      </w:r>
    </w:p>
    <w:p w14:paraId="5844EA5C" w14:textId="77777777" w:rsidR="0007050B" w:rsidRPr="009C01D5" w:rsidRDefault="00936AB1" w:rsidP="000A2E54">
      <w:pPr>
        <w:spacing w:after="120"/>
        <w:rPr>
          <w:rFonts w:ascii="Arial Narrow" w:hAnsi="Arial Narrow"/>
          <w:sz w:val="18"/>
          <w:szCs w:val="18"/>
        </w:rPr>
      </w:pPr>
      <w:r w:rsidRPr="009C01D5">
        <w:rPr>
          <w:rFonts w:ascii="Arial Narrow" w:hAnsi="Arial Narrow"/>
          <w:sz w:val="18"/>
          <w:szCs w:val="18"/>
        </w:rPr>
        <w:t>Source: Table 2.5.1 p124 of the submission</w:t>
      </w:r>
      <w:r w:rsidR="0007050B" w:rsidRPr="009C01D5">
        <w:rPr>
          <w:rFonts w:ascii="Arial Narrow" w:hAnsi="Arial Narrow"/>
          <w:sz w:val="18"/>
          <w:szCs w:val="18"/>
        </w:rPr>
        <w:t>.</w:t>
      </w:r>
    </w:p>
    <w:p w14:paraId="66DFBD63" w14:textId="77777777" w:rsidR="000A2E54" w:rsidRPr="009C01D5" w:rsidRDefault="000A2E54">
      <w:pPr>
        <w:jc w:val="left"/>
        <w:rPr>
          <w:rFonts w:asciiTheme="minorHAnsi" w:hAnsiTheme="minorHAnsi"/>
          <w:snapToGrid w:val="0"/>
          <w:u w:val="single"/>
        </w:rPr>
      </w:pPr>
      <w:r w:rsidRPr="009C01D5">
        <w:rPr>
          <w:u w:val="single"/>
        </w:rPr>
        <w:br w:type="page"/>
      </w:r>
    </w:p>
    <w:p w14:paraId="3071635F" w14:textId="77777777" w:rsidR="004A6EF5" w:rsidRPr="009C01D5" w:rsidRDefault="004A6EF5" w:rsidP="004A6EF5">
      <w:pPr>
        <w:pStyle w:val="3-BodyText"/>
        <w:numPr>
          <w:ilvl w:val="0"/>
          <w:numId w:val="0"/>
        </w:numPr>
        <w:rPr>
          <w:color w:val="0066FF"/>
          <w:u w:val="single"/>
        </w:rPr>
      </w:pPr>
      <w:r w:rsidRPr="009C01D5">
        <w:rPr>
          <w:u w:val="single"/>
        </w:rPr>
        <w:t>Maintenance setting results</w:t>
      </w:r>
    </w:p>
    <w:p w14:paraId="08FDF647" w14:textId="77777777" w:rsidR="00936AB1" w:rsidRPr="009C01D5" w:rsidRDefault="00936AB1" w:rsidP="00936AB1">
      <w:pPr>
        <w:pStyle w:val="3-BodyText"/>
      </w:pPr>
      <w:r w:rsidRPr="009C01D5">
        <w:t xml:space="preserve">The results showing prevention of impending relapse reported in the maintenance studies are presented in Table 7, with corresponding Kaplan-Meier curves in Figure 2. The results </w:t>
      </w:r>
      <w:r w:rsidR="004A6EF5" w:rsidRPr="009C01D5">
        <w:t>from</w:t>
      </w:r>
      <w:r w:rsidRPr="009C01D5">
        <w:t xml:space="preserve"> RGH-MD-06 showed that cariprazine use significantly delayed the time to relapse and resulted in a lower overall rate of relapse than placebo (24.8% vs 47.5%, respectively). A post-hoc analysis of patients who received cariprazine in the lower dose range of 3–6 mg/day confirmed that the significantly decreased time to, and rate of, relapse was maintained in those patients who continued to receive cariprazine 3–6 mg compared to patients who received placebo. At the end of the double-blind phase, the hazard ratios for relapse for cariprazine-treated patients compared with placebo were 0.45 (95% CI: 0.28, 0.73) in the 3–9 mg/day group and 0.40 (0.20, 0.82) in the 3–6 mg/day group, respectively (Cariprazine Clinical Overview, Module 2.5, p129 of the submission). The proportion of patients with relapse was consistent across the two </w:t>
      </w:r>
      <w:r w:rsidR="004A6EF5" w:rsidRPr="009C01D5">
        <w:t xml:space="preserve">cariprazine dose </w:t>
      </w:r>
      <w:r w:rsidRPr="009C01D5">
        <w:t xml:space="preserve">groups, suggesting that the effectiveness of cariprazine in preventing relapse is the same for </w:t>
      </w:r>
      <w:r w:rsidR="004A6EF5" w:rsidRPr="009C01D5">
        <w:t xml:space="preserve">the </w:t>
      </w:r>
      <w:r w:rsidRPr="009C01D5">
        <w:t>3-6 mg/day and 3-9</w:t>
      </w:r>
      <w:r w:rsidR="004A6EF5" w:rsidRPr="009C01D5">
        <w:t xml:space="preserve"> </w:t>
      </w:r>
      <w:r w:rsidRPr="009C01D5">
        <w:t xml:space="preserve">mg/day </w:t>
      </w:r>
      <w:r w:rsidR="004A6EF5" w:rsidRPr="009C01D5">
        <w:t xml:space="preserve">dose groups </w:t>
      </w:r>
      <w:r w:rsidRPr="009C01D5">
        <w:t>(Figure 2).</w:t>
      </w:r>
    </w:p>
    <w:p w14:paraId="11DDAF34" w14:textId="77777777" w:rsidR="004A6EF5" w:rsidRPr="009C01D5" w:rsidRDefault="00936AB1" w:rsidP="00936AB1">
      <w:pPr>
        <w:pStyle w:val="3-BodyText"/>
      </w:pPr>
      <w:r w:rsidRPr="009C01D5">
        <w:t>The results from Pigott 200) showed fewer than 50% of patients in the aripiprazole arm had relapsed at the study endpoint; median time to relapse was therefore not reported. Patients receiving aripiprazole experienced a significantly longer time to relapse compared to those treated with placebo</w:t>
      </w:r>
      <w:r w:rsidR="001C4B95" w:rsidRPr="009C01D5">
        <w:t>,</w:t>
      </w:r>
      <w:r w:rsidRPr="009C01D5">
        <w:t xml:space="preserve"> and the relative risk of relapse with aripiprazole compared with placebo was 0.50 (95% CI = 0.35, 0.71; p &lt; .001). This </w:t>
      </w:r>
      <w:r w:rsidR="004A6EF5" w:rsidRPr="009C01D5">
        <w:t xml:space="preserve">showed </w:t>
      </w:r>
      <w:r w:rsidRPr="009C01D5">
        <w:t xml:space="preserve">that patients in the placebo group experienced a higher relapse rate and/or relapsed sooner than those in the aripiprazole group, with the curves separating around day 14 (Figure 2). The time to relapse following randomisation was significantly longer for aripiprazole than placebo (p &lt; </w:t>
      </w:r>
      <w:r w:rsidR="00482629" w:rsidRPr="009C01D5">
        <w:t>0</w:t>
      </w:r>
      <w:r w:rsidRPr="009C01D5">
        <w:t>.001)</w:t>
      </w:r>
      <w:r w:rsidR="009C01D5">
        <w:t xml:space="preserve">. </w:t>
      </w:r>
    </w:p>
    <w:p w14:paraId="00971438" w14:textId="77777777" w:rsidR="00936AB1" w:rsidRPr="009C01D5" w:rsidRDefault="00936AB1" w:rsidP="004A6EF5">
      <w:pPr>
        <w:pStyle w:val="3-BodyText"/>
        <w:rPr>
          <w:color w:val="0066FF"/>
        </w:rPr>
      </w:pPr>
      <w:r w:rsidRPr="009C01D5">
        <w:t xml:space="preserve">Brexpiprazole 1–4 mg demonstrated superiority over placebo at preventing impending relapse with a hazard ratio of 0.338 (95% CI 0.174, 0.655; p = </w:t>
      </w:r>
      <w:r w:rsidR="00482629" w:rsidRPr="009C01D5">
        <w:t>0</w:t>
      </w:r>
      <w:r w:rsidRPr="009C01D5">
        <w:t xml:space="preserve">.0008) and consequently, the trial was terminated early. A further final efficacy analysis (including 200 patients) was conducted after 53 events of impending relapse, where the hazard ratio for time to impending relapse for brexpiprazole versus placebo was 0.292 (95% CI 0.156, 0.548; p &lt; </w:t>
      </w:r>
      <w:r w:rsidR="00482629" w:rsidRPr="009C01D5">
        <w:t>0</w:t>
      </w:r>
      <w:r w:rsidRPr="009C01D5">
        <w:t xml:space="preserve">.0001). The proportion of patients in the brexpiprazole arm who met the criteria for impending relapse </w:t>
      </w:r>
      <w:r w:rsidR="00601A86" w:rsidRPr="009C01D5">
        <w:t xml:space="preserve">(13/96; 13.5%) </w:t>
      </w:r>
      <w:r w:rsidRPr="009C01D5">
        <w:t xml:space="preserve">was significantly lower than the proportion in the placebo arm (40/104; 38.5%), p &lt; </w:t>
      </w:r>
      <w:r w:rsidR="00482629" w:rsidRPr="009C01D5">
        <w:t>0</w:t>
      </w:r>
      <w:r w:rsidRPr="009C01D5">
        <w:t>.0001</w:t>
      </w:r>
      <w:r w:rsidRPr="009C01D5">
        <w:rPr>
          <w:bCs/>
          <w:sz w:val="28"/>
          <w:szCs w:val="28"/>
        </w:rPr>
        <w:t>.</w:t>
      </w:r>
      <w:r w:rsidRPr="009C01D5">
        <w:rPr>
          <w:b/>
          <w:sz w:val="28"/>
          <w:szCs w:val="28"/>
        </w:rPr>
        <w:t xml:space="preserve"> </w:t>
      </w:r>
    </w:p>
    <w:p w14:paraId="3EEF4FE8" w14:textId="77777777" w:rsidR="000A2E54" w:rsidRPr="009C01D5" w:rsidRDefault="000A2E54">
      <w:pPr>
        <w:jc w:val="left"/>
        <w:rPr>
          <w:rFonts w:ascii="Arial Narrow" w:eastAsiaTheme="majorEastAsia" w:hAnsi="Arial Narrow" w:cstheme="majorBidi"/>
          <w:b/>
          <w:bCs/>
          <w:sz w:val="20"/>
        </w:rPr>
      </w:pPr>
      <w:bookmarkStart w:id="21" w:name="_Ref50101056"/>
      <w:r w:rsidRPr="009C01D5">
        <w:br w:type="page"/>
      </w:r>
    </w:p>
    <w:p w14:paraId="7DD94D85" w14:textId="77777777" w:rsidR="00936AB1" w:rsidRPr="009C01D5" w:rsidRDefault="00936AB1" w:rsidP="001C4B95">
      <w:pPr>
        <w:pStyle w:val="TableFigureHeading"/>
        <w:jc w:val="both"/>
      </w:pPr>
      <w:r w:rsidRPr="009C01D5">
        <w:t xml:space="preserve">Table </w:t>
      </w:r>
      <w:bookmarkEnd w:id="21"/>
      <w:r w:rsidRPr="009C01D5">
        <w:t>7: Results of time to (impending) relapse across the cariprazine, aripiprazole and brexpiprazole maintenance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976"/>
        <w:gridCol w:w="976"/>
        <w:gridCol w:w="976"/>
        <w:gridCol w:w="976"/>
        <w:gridCol w:w="1018"/>
        <w:gridCol w:w="976"/>
        <w:gridCol w:w="1349"/>
      </w:tblGrid>
      <w:tr w:rsidR="00936AB1" w:rsidRPr="009C01D5" w14:paraId="49A53A0D" w14:textId="77777777" w:rsidTr="000A2E54">
        <w:trPr>
          <w:trHeight w:val="926"/>
        </w:trPr>
        <w:tc>
          <w:tcPr>
            <w:tcW w:w="985" w:type="pct"/>
          </w:tcPr>
          <w:p w14:paraId="147FF59C"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Trial</w:t>
            </w:r>
          </w:p>
        </w:tc>
        <w:tc>
          <w:tcPr>
            <w:tcW w:w="544" w:type="pct"/>
            <w:tcBorders>
              <w:bottom w:val="single" w:sz="4" w:space="0" w:color="auto"/>
            </w:tcBorders>
          </w:tcPr>
          <w:p w14:paraId="0BFE12C1"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Proposed medicine</w:t>
            </w:r>
          </w:p>
          <w:p w14:paraId="2D22289E"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 xml:space="preserve">n/N </w:t>
            </w:r>
            <w:r w:rsidR="00967438" w:rsidRPr="009C01D5">
              <w:rPr>
                <w:rFonts w:ascii="Arial Narrow" w:hAnsi="Arial Narrow"/>
                <w:sz w:val="20"/>
              </w:rPr>
              <w:t xml:space="preserve">event </w:t>
            </w:r>
            <w:r w:rsidRPr="009C01D5">
              <w:rPr>
                <w:rFonts w:ascii="Arial Narrow" w:hAnsi="Arial Narrow"/>
                <w:sz w:val="20"/>
              </w:rPr>
              <w:br/>
              <w:t>(%)</w:t>
            </w:r>
          </w:p>
        </w:tc>
        <w:tc>
          <w:tcPr>
            <w:tcW w:w="544" w:type="pct"/>
            <w:tcBorders>
              <w:bottom w:val="single" w:sz="4" w:space="0" w:color="auto"/>
            </w:tcBorders>
          </w:tcPr>
          <w:p w14:paraId="127CF936"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Proposed medicine</w:t>
            </w:r>
          </w:p>
          <w:p w14:paraId="5F714EDA"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Median TTE</w:t>
            </w:r>
          </w:p>
        </w:tc>
        <w:tc>
          <w:tcPr>
            <w:tcW w:w="544" w:type="pct"/>
            <w:tcBorders>
              <w:bottom w:val="single" w:sz="4" w:space="0" w:color="auto"/>
            </w:tcBorders>
          </w:tcPr>
          <w:p w14:paraId="18EAF0EB"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Placebo</w:t>
            </w:r>
          </w:p>
          <w:p w14:paraId="0829142F"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n/N event (%)</w:t>
            </w:r>
          </w:p>
        </w:tc>
        <w:tc>
          <w:tcPr>
            <w:tcW w:w="544" w:type="pct"/>
            <w:tcBorders>
              <w:bottom w:val="single" w:sz="4" w:space="0" w:color="auto"/>
            </w:tcBorders>
          </w:tcPr>
          <w:p w14:paraId="2AF7F404"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Placebo</w:t>
            </w:r>
          </w:p>
          <w:p w14:paraId="055905FD"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Median TTE</w:t>
            </w:r>
          </w:p>
        </w:tc>
        <w:tc>
          <w:tcPr>
            <w:tcW w:w="544" w:type="pct"/>
            <w:tcBorders>
              <w:bottom w:val="single" w:sz="4" w:space="0" w:color="auto"/>
            </w:tcBorders>
          </w:tcPr>
          <w:p w14:paraId="434767CB"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Difference in median</w:t>
            </w:r>
          </w:p>
        </w:tc>
        <w:tc>
          <w:tcPr>
            <w:tcW w:w="544" w:type="pct"/>
            <w:tcBorders>
              <w:bottom w:val="single" w:sz="4" w:space="0" w:color="auto"/>
            </w:tcBorders>
          </w:tcPr>
          <w:p w14:paraId="2565A905"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p-value</w:t>
            </w:r>
            <w:r w:rsidRPr="009C01D5">
              <w:rPr>
                <w:rFonts w:ascii="Arial Narrow" w:hAnsi="Arial Narrow"/>
                <w:sz w:val="20"/>
                <w:vertAlign w:val="superscript"/>
              </w:rPr>
              <w:t>1</w:t>
            </w:r>
          </w:p>
        </w:tc>
        <w:tc>
          <w:tcPr>
            <w:tcW w:w="754" w:type="pct"/>
            <w:tcBorders>
              <w:bottom w:val="single" w:sz="4" w:space="0" w:color="auto"/>
            </w:tcBorders>
          </w:tcPr>
          <w:p w14:paraId="4811E93A"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Hazard ratio</w:t>
            </w:r>
            <w:r w:rsidRPr="009C01D5">
              <w:rPr>
                <w:rFonts w:ascii="Arial Narrow" w:hAnsi="Arial Narrow"/>
                <w:sz w:val="20"/>
                <w:vertAlign w:val="superscript"/>
              </w:rPr>
              <w:t>2</w:t>
            </w:r>
          </w:p>
          <w:p w14:paraId="722D29B0" w14:textId="77777777" w:rsidR="00936AB1" w:rsidRPr="009C01D5" w:rsidRDefault="00936AB1" w:rsidP="00FA4235">
            <w:pPr>
              <w:pStyle w:val="TableTitlecentred"/>
              <w:widowControl w:val="0"/>
              <w:rPr>
                <w:rFonts w:ascii="Arial Narrow" w:hAnsi="Arial Narrow"/>
                <w:sz w:val="20"/>
              </w:rPr>
            </w:pPr>
            <w:r w:rsidRPr="009C01D5">
              <w:rPr>
                <w:rFonts w:ascii="Arial Narrow" w:hAnsi="Arial Narrow"/>
                <w:sz w:val="20"/>
              </w:rPr>
              <w:t>(95% CI)</w:t>
            </w:r>
          </w:p>
        </w:tc>
      </w:tr>
      <w:tr w:rsidR="004A6EF5" w:rsidRPr="009C01D5" w14:paraId="173FC130" w14:textId="77777777" w:rsidTr="000A2E54">
        <w:trPr>
          <w:trHeight w:val="239"/>
        </w:trPr>
        <w:tc>
          <w:tcPr>
            <w:tcW w:w="985" w:type="pct"/>
            <w:tcBorders>
              <w:bottom w:val="single" w:sz="4" w:space="0" w:color="auto"/>
              <w:right w:val="single" w:sz="4" w:space="0" w:color="auto"/>
            </w:tcBorders>
          </w:tcPr>
          <w:p w14:paraId="62B0DAF7" w14:textId="77777777" w:rsidR="004A6EF5" w:rsidRPr="009C01D5" w:rsidRDefault="004A6EF5" w:rsidP="00FA4235">
            <w:pPr>
              <w:pStyle w:val="TableTextleftalign"/>
              <w:widowControl w:val="0"/>
              <w:jc w:val="center"/>
              <w:rPr>
                <w:rFonts w:ascii="Arial Narrow" w:hAnsi="Arial Narrow"/>
                <w:b/>
                <w:sz w:val="20"/>
                <w:szCs w:val="20"/>
              </w:rPr>
            </w:pPr>
            <w:r w:rsidRPr="009C01D5">
              <w:rPr>
                <w:rFonts w:ascii="Arial Narrow" w:hAnsi="Arial Narrow"/>
                <w:b/>
                <w:sz w:val="20"/>
                <w:szCs w:val="20"/>
              </w:rPr>
              <w:t>RGH-MD-06</w:t>
            </w:r>
          </w:p>
        </w:tc>
        <w:tc>
          <w:tcPr>
            <w:tcW w:w="4015" w:type="pct"/>
            <w:gridSpan w:val="7"/>
            <w:tcBorders>
              <w:top w:val="single" w:sz="4" w:space="0" w:color="auto"/>
              <w:left w:val="single" w:sz="4" w:space="0" w:color="auto"/>
              <w:bottom w:val="single" w:sz="4" w:space="0" w:color="auto"/>
              <w:right w:val="single" w:sz="4" w:space="0" w:color="auto"/>
            </w:tcBorders>
          </w:tcPr>
          <w:p w14:paraId="35CD1231" w14:textId="77777777" w:rsidR="004A6EF5" w:rsidRPr="009C01D5" w:rsidRDefault="004A6EF5" w:rsidP="004A6EF5">
            <w:pPr>
              <w:pStyle w:val="TableTextcentred"/>
              <w:widowControl w:val="0"/>
              <w:jc w:val="left"/>
              <w:rPr>
                <w:rFonts w:ascii="Arial Narrow" w:hAnsi="Arial Narrow"/>
                <w:sz w:val="20"/>
                <w:szCs w:val="20"/>
              </w:rPr>
            </w:pPr>
            <w:r w:rsidRPr="009C01D5">
              <w:rPr>
                <w:rFonts w:ascii="Arial Narrow" w:hAnsi="Arial Narrow"/>
                <w:b/>
                <w:sz w:val="20"/>
                <w:szCs w:val="20"/>
              </w:rPr>
              <w:t>Cariprazine 3–9 mg</w:t>
            </w:r>
          </w:p>
        </w:tc>
      </w:tr>
      <w:tr w:rsidR="004A6EF5" w:rsidRPr="009C01D5" w14:paraId="3BA87B7D" w14:textId="77777777" w:rsidTr="000A2E54">
        <w:trPr>
          <w:trHeight w:val="463"/>
        </w:trPr>
        <w:tc>
          <w:tcPr>
            <w:tcW w:w="985" w:type="pct"/>
            <w:vMerge w:val="restart"/>
            <w:tcBorders>
              <w:top w:val="single" w:sz="4" w:space="0" w:color="auto"/>
              <w:left w:val="single" w:sz="4" w:space="0" w:color="auto"/>
              <w:right w:val="single" w:sz="4" w:space="0" w:color="auto"/>
            </w:tcBorders>
          </w:tcPr>
          <w:p w14:paraId="03E30AAF" w14:textId="77777777" w:rsidR="004A6EF5" w:rsidRPr="009C01D5" w:rsidRDefault="004A6EF5" w:rsidP="00FA4235">
            <w:pPr>
              <w:pStyle w:val="TableTextleftalign"/>
              <w:widowControl w:val="0"/>
              <w:jc w:val="center"/>
              <w:rPr>
                <w:rFonts w:ascii="Arial Narrow" w:hAnsi="Arial Narrow"/>
                <w:sz w:val="20"/>
                <w:szCs w:val="20"/>
              </w:rPr>
            </w:pPr>
            <w:r w:rsidRPr="009C01D5">
              <w:rPr>
                <w:rFonts w:ascii="Arial Narrow" w:hAnsi="Arial Narrow"/>
                <w:sz w:val="20"/>
                <w:szCs w:val="20"/>
              </w:rPr>
              <w:t>Week 26–72</w:t>
            </w:r>
          </w:p>
          <w:p w14:paraId="381D908D" w14:textId="77777777" w:rsidR="004A6EF5" w:rsidRPr="009C01D5" w:rsidRDefault="004A6EF5" w:rsidP="00FA4235">
            <w:pPr>
              <w:pStyle w:val="TableTextleftalign"/>
              <w:widowControl w:val="0"/>
              <w:jc w:val="center"/>
              <w:rPr>
                <w:rFonts w:ascii="Arial Narrow" w:hAnsi="Arial Narrow"/>
                <w:sz w:val="20"/>
                <w:szCs w:val="20"/>
              </w:rPr>
            </w:pPr>
            <w:r w:rsidRPr="009C01D5">
              <w:rPr>
                <w:rFonts w:ascii="Arial Narrow" w:hAnsi="Arial Narrow"/>
                <w:sz w:val="20"/>
                <w:szCs w:val="20"/>
              </w:rPr>
              <w:t>“time to first relapse”</w:t>
            </w:r>
          </w:p>
        </w:tc>
        <w:tc>
          <w:tcPr>
            <w:tcW w:w="544" w:type="pct"/>
            <w:tcBorders>
              <w:top w:val="single" w:sz="4" w:space="0" w:color="auto"/>
              <w:left w:val="single" w:sz="4" w:space="0" w:color="auto"/>
            </w:tcBorders>
          </w:tcPr>
          <w:p w14:paraId="613F34CE"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 xml:space="preserve">25/101 </w:t>
            </w:r>
            <w:r w:rsidRPr="009C01D5">
              <w:rPr>
                <w:rFonts w:ascii="Arial Narrow" w:hAnsi="Arial Narrow"/>
                <w:sz w:val="20"/>
                <w:szCs w:val="20"/>
              </w:rPr>
              <w:br/>
              <w:t>(24.8)</w:t>
            </w:r>
          </w:p>
        </w:tc>
        <w:tc>
          <w:tcPr>
            <w:tcW w:w="544" w:type="pct"/>
            <w:tcBorders>
              <w:top w:val="single" w:sz="4" w:space="0" w:color="auto"/>
            </w:tcBorders>
          </w:tcPr>
          <w:p w14:paraId="50D9BCE5"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Not reached</w:t>
            </w:r>
          </w:p>
        </w:tc>
        <w:tc>
          <w:tcPr>
            <w:tcW w:w="544" w:type="pct"/>
            <w:tcBorders>
              <w:top w:val="single" w:sz="4" w:space="0" w:color="auto"/>
              <w:bottom w:val="single" w:sz="4" w:space="0" w:color="auto"/>
            </w:tcBorders>
          </w:tcPr>
          <w:p w14:paraId="4C3072E9"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 xml:space="preserve">47/99 </w:t>
            </w:r>
            <w:r w:rsidRPr="009C01D5">
              <w:rPr>
                <w:rFonts w:ascii="Arial Narrow" w:hAnsi="Arial Narrow"/>
                <w:sz w:val="20"/>
                <w:szCs w:val="20"/>
              </w:rPr>
              <w:br/>
              <w:t>(47.5)</w:t>
            </w:r>
          </w:p>
        </w:tc>
        <w:tc>
          <w:tcPr>
            <w:tcW w:w="544" w:type="pct"/>
            <w:tcBorders>
              <w:top w:val="single" w:sz="4" w:space="0" w:color="auto"/>
              <w:bottom w:val="single" w:sz="4" w:space="0" w:color="auto"/>
            </w:tcBorders>
          </w:tcPr>
          <w:p w14:paraId="79B526B0" w14:textId="77777777" w:rsidR="004A6EF5" w:rsidRPr="009C01D5" w:rsidRDefault="004A6EF5" w:rsidP="00FA4235">
            <w:pPr>
              <w:pStyle w:val="TableTextcentred"/>
              <w:widowControl w:val="0"/>
              <w:rPr>
                <w:rFonts w:ascii="Arial Narrow" w:hAnsi="Arial Narrow"/>
                <w:sz w:val="20"/>
                <w:szCs w:val="20"/>
                <w:highlight w:val="yellow"/>
              </w:rPr>
            </w:pPr>
            <w:r w:rsidRPr="009C01D5">
              <w:rPr>
                <w:rFonts w:ascii="Arial Narrow" w:hAnsi="Arial Narrow"/>
                <w:sz w:val="20"/>
                <w:szCs w:val="20"/>
              </w:rPr>
              <w:t xml:space="preserve">296 </w:t>
            </w:r>
            <w:r w:rsidRPr="009C01D5">
              <w:rPr>
                <w:rFonts w:ascii="Arial Narrow" w:hAnsi="Arial Narrow"/>
                <w:sz w:val="20"/>
                <w:szCs w:val="20"/>
              </w:rPr>
              <w:br/>
              <w:t>(157, - )</w:t>
            </w:r>
          </w:p>
        </w:tc>
        <w:tc>
          <w:tcPr>
            <w:tcW w:w="544" w:type="pct"/>
            <w:tcBorders>
              <w:top w:val="single" w:sz="4" w:space="0" w:color="auto"/>
              <w:bottom w:val="single" w:sz="4" w:space="0" w:color="auto"/>
            </w:tcBorders>
          </w:tcPr>
          <w:p w14:paraId="359A2A2B"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Not calculable</w:t>
            </w:r>
            <w:r w:rsidRPr="009C01D5">
              <w:rPr>
                <w:rFonts w:ascii="Arial Narrow" w:hAnsi="Arial Narrow"/>
                <w:sz w:val="20"/>
                <w:szCs w:val="20"/>
                <w:vertAlign w:val="superscript"/>
              </w:rPr>
              <w:t>3</w:t>
            </w:r>
          </w:p>
        </w:tc>
        <w:tc>
          <w:tcPr>
            <w:tcW w:w="544" w:type="pct"/>
            <w:tcBorders>
              <w:top w:val="single" w:sz="4" w:space="0" w:color="auto"/>
              <w:bottom w:val="single" w:sz="4" w:space="0" w:color="auto"/>
            </w:tcBorders>
          </w:tcPr>
          <w:p w14:paraId="765093C0"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0.0010</w:t>
            </w:r>
          </w:p>
        </w:tc>
        <w:tc>
          <w:tcPr>
            <w:tcW w:w="754" w:type="pct"/>
            <w:tcBorders>
              <w:top w:val="single" w:sz="4" w:space="0" w:color="auto"/>
              <w:bottom w:val="single" w:sz="4" w:space="0" w:color="auto"/>
            </w:tcBorders>
          </w:tcPr>
          <w:p w14:paraId="0C412EAE" w14:textId="77777777" w:rsidR="004A6EF5" w:rsidRPr="009C01D5" w:rsidRDefault="004A6EF5" w:rsidP="00FA4235">
            <w:pPr>
              <w:pStyle w:val="TableTextcentred"/>
              <w:widowControl w:val="0"/>
              <w:rPr>
                <w:rFonts w:ascii="Arial Narrow" w:hAnsi="Arial Narrow"/>
                <w:b/>
                <w:sz w:val="20"/>
                <w:szCs w:val="20"/>
              </w:rPr>
            </w:pPr>
            <w:r w:rsidRPr="009C01D5">
              <w:rPr>
                <w:rFonts w:ascii="Arial Narrow" w:hAnsi="Arial Narrow"/>
                <w:b/>
                <w:sz w:val="20"/>
                <w:szCs w:val="20"/>
              </w:rPr>
              <w:t xml:space="preserve">0.45 </w:t>
            </w:r>
            <w:r w:rsidRPr="009C01D5">
              <w:rPr>
                <w:rFonts w:ascii="Arial Narrow" w:hAnsi="Arial Narrow"/>
                <w:b/>
                <w:sz w:val="20"/>
                <w:szCs w:val="20"/>
              </w:rPr>
              <w:br/>
              <w:t>(0.28, 0.73)</w:t>
            </w:r>
          </w:p>
        </w:tc>
      </w:tr>
      <w:tr w:rsidR="004A6EF5" w:rsidRPr="009C01D5" w14:paraId="722C27CA" w14:textId="77777777" w:rsidTr="000A2E54">
        <w:trPr>
          <w:trHeight w:val="223"/>
        </w:trPr>
        <w:tc>
          <w:tcPr>
            <w:tcW w:w="985" w:type="pct"/>
            <w:vMerge/>
            <w:tcBorders>
              <w:left w:val="single" w:sz="4" w:space="0" w:color="auto"/>
              <w:right w:val="single" w:sz="4" w:space="0" w:color="auto"/>
            </w:tcBorders>
          </w:tcPr>
          <w:p w14:paraId="49963FAE" w14:textId="77777777" w:rsidR="004A6EF5" w:rsidRPr="009C01D5" w:rsidRDefault="004A6EF5" w:rsidP="00FA4235">
            <w:pPr>
              <w:pStyle w:val="TableTextleftalign"/>
              <w:widowControl w:val="0"/>
              <w:jc w:val="center"/>
              <w:rPr>
                <w:rFonts w:ascii="Arial Narrow" w:hAnsi="Arial Narrow"/>
                <w:sz w:val="20"/>
                <w:szCs w:val="20"/>
              </w:rPr>
            </w:pPr>
          </w:p>
        </w:tc>
        <w:tc>
          <w:tcPr>
            <w:tcW w:w="4015" w:type="pct"/>
            <w:gridSpan w:val="7"/>
            <w:tcBorders>
              <w:left w:val="single" w:sz="4" w:space="0" w:color="auto"/>
              <w:right w:val="single" w:sz="4" w:space="0" w:color="auto"/>
            </w:tcBorders>
          </w:tcPr>
          <w:p w14:paraId="2415C4D0" w14:textId="77777777" w:rsidR="004A6EF5" w:rsidRPr="009C01D5" w:rsidRDefault="004A6EF5" w:rsidP="004A6EF5">
            <w:pPr>
              <w:pStyle w:val="TableTextcentred"/>
              <w:widowControl w:val="0"/>
              <w:jc w:val="left"/>
              <w:rPr>
                <w:rFonts w:ascii="Arial Narrow" w:hAnsi="Arial Narrow"/>
                <w:sz w:val="20"/>
                <w:szCs w:val="20"/>
              </w:rPr>
            </w:pPr>
            <w:r w:rsidRPr="009C01D5">
              <w:rPr>
                <w:rFonts w:ascii="Arial Narrow" w:hAnsi="Arial Narrow"/>
                <w:b/>
                <w:sz w:val="20"/>
                <w:szCs w:val="20"/>
              </w:rPr>
              <w:t>Cariprazine 3–6 mg</w:t>
            </w:r>
          </w:p>
        </w:tc>
      </w:tr>
      <w:tr w:rsidR="004A6EF5" w:rsidRPr="009C01D5" w14:paraId="4234799B" w14:textId="77777777" w:rsidTr="000A2E54">
        <w:trPr>
          <w:trHeight w:val="463"/>
        </w:trPr>
        <w:tc>
          <w:tcPr>
            <w:tcW w:w="985" w:type="pct"/>
            <w:vMerge/>
            <w:tcBorders>
              <w:left w:val="single" w:sz="4" w:space="0" w:color="auto"/>
              <w:bottom w:val="single" w:sz="4" w:space="0" w:color="auto"/>
              <w:right w:val="single" w:sz="4" w:space="0" w:color="auto"/>
            </w:tcBorders>
          </w:tcPr>
          <w:p w14:paraId="22FF747C" w14:textId="77777777" w:rsidR="004A6EF5" w:rsidRPr="009C01D5" w:rsidRDefault="004A6EF5" w:rsidP="00FA4235">
            <w:pPr>
              <w:pStyle w:val="TableTextleftalign"/>
              <w:widowControl w:val="0"/>
              <w:jc w:val="center"/>
              <w:rPr>
                <w:rFonts w:ascii="Arial Narrow" w:hAnsi="Arial Narrow"/>
                <w:sz w:val="20"/>
                <w:szCs w:val="20"/>
              </w:rPr>
            </w:pPr>
          </w:p>
        </w:tc>
        <w:tc>
          <w:tcPr>
            <w:tcW w:w="544" w:type="pct"/>
            <w:tcBorders>
              <w:left w:val="single" w:sz="4" w:space="0" w:color="auto"/>
            </w:tcBorders>
          </w:tcPr>
          <w:p w14:paraId="3D247584"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 xml:space="preserve">11/51 </w:t>
            </w:r>
            <w:r w:rsidRPr="009C01D5">
              <w:rPr>
                <w:rFonts w:ascii="Arial Narrow" w:hAnsi="Arial Narrow"/>
                <w:sz w:val="20"/>
                <w:szCs w:val="20"/>
              </w:rPr>
              <w:br/>
              <w:t>(21.6)</w:t>
            </w:r>
          </w:p>
        </w:tc>
        <w:tc>
          <w:tcPr>
            <w:tcW w:w="544" w:type="pct"/>
          </w:tcPr>
          <w:p w14:paraId="3ABD12D5"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Not reached</w:t>
            </w:r>
          </w:p>
        </w:tc>
        <w:tc>
          <w:tcPr>
            <w:tcW w:w="544" w:type="pct"/>
            <w:tcBorders>
              <w:bottom w:val="single" w:sz="4" w:space="0" w:color="auto"/>
            </w:tcBorders>
          </w:tcPr>
          <w:p w14:paraId="028852F8"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 xml:space="preserve">25/51 </w:t>
            </w:r>
            <w:r w:rsidRPr="009C01D5">
              <w:rPr>
                <w:rFonts w:ascii="Arial Narrow" w:hAnsi="Arial Narrow"/>
                <w:sz w:val="20"/>
                <w:szCs w:val="20"/>
              </w:rPr>
              <w:br/>
              <w:t>(49.0)</w:t>
            </w:r>
          </w:p>
        </w:tc>
        <w:tc>
          <w:tcPr>
            <w:tcW w:w="544" w:type="pct"/>
            <w:tcBorders>
              <w:top w:val="single" w:sz="4" w:space="0" w:color="auto"/>
              <w:bottom w:val="single" w:sz="4" w:space="0" w:color="auto"/>
            </w:tcBorders>
          </w:tcPr>
          <w:p w14:paraId="42E3A28D" w14:textId="77777777" w:rsidR="004A6EF5" w:rsidRPr="009C01D5" w:rsidRDefault="004A6EF5" w:rsidP="00FA4235">
            <w:pPr>
              <w:pStyle w:val="TableTextcentred"/>
              <w:widowControl w:val="0"/>
              <w:rPr>
                <w:rFonts w:ascii="Arial Narrow" w:hAnsi="Arial Narrow"/>
                <w:sz w:val="20"/>
                <w:szCs w:val="20"/>
                <w:highlight w:val="yellow"/>
              </w:rPr>
            </w:pPr>
            <w:r w:rsidRPr="009C01D5">
              <w:rPr>
                <w:rFonts w:ascii="Arial Narrow" w:hAnsi="Arial Narrow"/>
                <w:sz w:val="20"/>
                <w:szCs w:val="20"/>
              </w:rPr>
              <w:t xml:space="preserve">192 </w:t>
            </w:r>
            <w:r w:rsidRPr="009C01D5">
              <w:rPr>
                <w:rFonts w:ascii="Arial Narrow" w:hAnsi="Arial Narrow"/>
                <w:sz w:val="20"/>
                <w:szCs w:val="20"/>
              </w:rPr>
              <w:br/>
              <w:t>(155, - )</w:t>
            </w:r>
          </w:p>
        </w:tc>
        <w:tc>
          <w:tcPr>
            <w:tcW w:w="544" w:type="pct"/>
            <w:tcBorders>
              <w:top w:val="single" w:sz="4" w:space="0" w:color="auto"/>
              <w:bottom w:val="single" w:sz="4" w:space="0" w:color="auto"/>
            </w:tcBorders>
          </w:tcPr>
          <w:p w14:paraId="31DFC661" w14:textId="77777777" w:rsidR="004A6EF5" w:rsidRPr="009C01D5" w:rsidRDefault="004A6EF5" w:rsidP="00FA4235">
            <w:pPr>
              <w:pStyle w:val="TableTextcentred"/>
              <w:widowControl w:val="0"/>
              <w:rPr>
                <w:rFonts w:ascii="Arial Narrow" w:hAnsi="Arial Narrow"/>
                <w:sz w:val="20"/>
                <w:szCs w:val="20"/>
              </w:rPr>
            </w:pPr>
            <w:r w:rsidRPr="009C01D5">
              <w:rPr>
                <w:rFonts w:ascii="Arial Narrow" w:hAnsi="Arial Narrow"/>
                <w:sz w:val="20"/>
                <w:szCs w:val="20"/>
              </w:rPr>
              <w:t>Not calculable</w:t>
            </w:r>
            <w:r w:rsidRPr="009C01D5">
              <w:rPr>
                <w:rFonts w:ascii="Arial Narrow" w:hAnsi="Arial Narrow"/>
                <w:sz w:val="20"/>
                <w:szCs w:val="20"/>
                <w:vertAlign w:val="superscript"/>
              </w:rPr>
              <w:t>3</w:t>
            </w:r>
          </w:p>
        </w:tc>
        <w:tc>
          <w:tcPr>
            <w:tcW w:w="544" w:type="pct"/>
            <w:tcBorders>
              <w:top w:val="single" w:sz="4" w:space="0" w:color="auto"/>
              <w:bottom w:val="single" w:sz="4" w:space="0" w:color="auto"/>
            </w:tcBorders>
          </w:tcPr>
          <w:p w14:paraId="70CA48D5" w14:textId="77777777" w:rsidR="004A6EF5" w:rsidRPr="009C01D5" w:rsidRDefault="00EF717B" w:rsidP="00FA4235">
            <w:pPr>
              <w:pStyle w:val="TableTextcentred"/>
              <w:widowControl w:val="0"/>
              <w:rPr>
                <w:rFonts w:ascii="Arial Narrow" w:hAnsi="Arial Narrow"/>
                <w:i/>
                <w:sz w:val="20"/>
                <w:szCs w:val="20"/>
              </w:rPr>
            </w:pPr>
            <w:r w:rsidRPr="009C01D5">
              <w:rPr>
                <w:rFonts w:ascii="Arial Narrow" w:hAnsi="Arial Narrow"/>
                <w:sz w:val="20"/>
                <w:szCs w:val="20"/>
              </w:rPr>
              <w:t>NR</w:t>
            </w:r>
          </w:p>
        </w:tc>
        <w:tc>
          <w:tcPr>
            <w:tcW w:w="754" w:type="pct"/>
            <w:tcBorders>
              <w:top w:val="single" w:sz="4" w:space="0" w:color="auto"/>
              <w:bottom w:val="single" w:sz="4" w:space="0" w:color="auto"/>
            </w:tcBorders>
          </w:tcPr>
          <w:p w14:paraId="1B590C2A" w14:textId="77777777" w:rsidR="004A6EF5" w:rsidRPr="009C01D5" w:rsidRDefault="004A6EF5" w:rsidP="00FA4235">
            <w:pPr>
              <w:pStyle w:val="TableTextcentred"/>
              <w:widowControl w:val="0"/>
              <w:rPr>
                <w:rFonts w:ascii="Arial Narrow" w:hAnsi="Arial Narrow"/>
                <w:b/>
                <w:sz w:val="20"/>
                <w:szCs w:val="20"/>
              </w:rPr>
            </w:pPr>
            <w:r w:rsidRPr="009C01D5">
              <w:rPr>
                <w:rFonts w:ascii="Arial Narrow" w:hAnsi="Arial Narrow"/>
                <w:b/>
                <w:sz w:val="20"/>
                <w:szCs w:val="20"/>
              </w:rPr>
              <w:t>0.40</w:t>
            </w:r>
            <w:r w:rsidRPr="009C01D5">
              <w:rPr>
                <w:rFonts w:ascii="Arial Narrow" w:hAnsi="Arial Narrow"/>
                <w:b/>
                <w:sz w:val="20"/>
                <w:szCs w:val="20"/>
              </w:rPr>
              <w:br/>
              <w:t>(0.20, 0.82)</w:t>
            </w:r>
          </w:p>
        </w:tc>
      </w:tr>
      <w:tr w:rsidR="004A6EF5" w:rsidRPr="009C01D5" w14:paraId="6FDAF4E2" w14:textId="77777777" w:rsidTr="000A2E54">
        <w:trPr>
          <w:trHeight w:val="223"/>
        </w:trPr>
        <w:tc>
          <w:tcPr>
            <w:tcW w:w="985" w:type="pct"/>
            <w:tcBorders>
              <w:top w:val="single" w:sz="4" w:space="0" w:color="auto"/>
            </w:tcBorders>
          </w:tcPr>
          <w:p w14:paraId="7229FAAF" w14:textId="77777777" w:rsidR="004A6EF5" w:rsidRPr="009C01D5" w:rsidRDefault="004A6EF5" w:rsidP="00FA4235">
            <w:pPr>
              <w:pStyle w:val="TableTextleftalign"/>
              <w:widowControl w:val="0"/>
              <w:jc w:val="center"/>
              <w:rPr>
                <w:rFonts w:ascii="Arial Narrow" w:hAnsi="Arial Narrow"/>
                <w:b/>
                <w:sz w:val="20"/>
                <w:szCs w:val="20"/>
              </w:rPr>
            </w:pPr>
            <w:r w:rsidRPr="009C01D5">
              <w:rPr>
                <w:rFonts w:ascii="Arial Narrow" w:hAnsi="Arial Narrow"/>
                <w:b/>
                <w:sz w:val="20"/>
                <w:szCs w:val="20"/>
              </w:rPr>
              <w:t>Pigott (2003)</w:t>
            </w:r>
          </w:p>
        </w:tc>
        <w:tc>
          <w:tcPr>
            <w:tcW w:w="4015" w:type="pct"/>
            <w:gridSpan w:val="7"/>
            <w:tcBorders>
              <w:right w:val="single" w:sz="4" w:space="0" w:color="auto"/>
            </w:tcBorders>
          </w:tcPr>
          <w:p w14:paraId="4F830170" w14:textId="77777777" w:rsidR="004A6EF5" w:rsidRPr="009C01D5" w:rsidRDefault="004A6EF5" w:rsidP="004A6EF5">
            <w:pPr>
              <w:pStyle w:val="TableTextcentred"/>
              <w:widowControl w:val="0"/>
              <w:jc w:val="left"/>
              <w:rPr>
                <w:rFonts w:ascii="Arial Narrow" w:hAnsi="Arial Narrow"/>
                <w:sz w:val="20"/>
                <w:szCs w:val="20"/>
              </w:rPr>
            </w:pPr>
            <w:r w:rsidRPr="009C01D5">
              <w:rPr>
                <w:rFonts w:ascii="Arial Narrow" w:hAnsi="Arial Narrow"/>
                <w:b/>
                <w:sz w:val="20"/>
                <w:szCs w:val="20"/>
              </w:rPr>
              <w:t>Aripiprazole</w:t>
            </w:r>
          </w:p>
        </w:tc>
      </w:tr>
      <w:tr w:rsidR="00936AB1" w:rsidRPr="009C01D5" w14:paraId="0ED95FA6" w14:textId="77777777" w:rsidTr="000A2E54">
        <w:trPr>
          <w:trHeight w:val="463"/>
        </w:trPr>
        <w:tc>
          <w:tcPr>
            <w:tcW w:w="985" w:type="pct"/>
          </w:tcPr>
          <w:p w14:paraId="3DF18214" w14:textId="77777777" w:rsidR="00936AB1" w:rsidRPr="009C01D5" w:rsidRDefault="00936AB1" w:rsidP="00FA4235">
            <w:pPr>
              <w:pStyle w:val="TableTextleftalign"/>
              <w:widowControl w:val="0"/>
              <w:jc w:val="center"/>
              <w:rPr>
                <w:rFonts w:ascii="Arial Narrow" w:hAnsi="Arial Narrow"/>
                <w:sz w:val="20"/>
                <w:szCs w:val="20"/>
              </w:rPr>
            </w:pPr>
            <w:r w:rsidRPr="009C01D5">
              <w:rPr>
                <w:rFonts w:ascii="Arial Narrow" w:hAnsi="Arial Narrow"/>
                <w:sz w:val="20"/>
                <w:szCs w:val="20"/>
              </w:rPr>
              <w:t>Week 26</w:t>
            </w:r>
          </w:p>
          <w:p w14:paraId="75181C65" w14:textId="77777777" w:rsidR="00936AB1" w:rsidRPr="009C01D5" w:rsidRDefault="00936AB1" w:rsidP="00FA4235">
            <w:pPr>
              <w:pStyle w:val="TableTextleftalign"/>
              <w:widowControl w:val="0"/>
              <w:jc w:val="center"/>
              <w:rPr>
                <w:rFonts w:ascii="Arial Narrow" w:hAnsi="Arial Narrow"/>
                <w:sz w:val="20"/>
                <w:szCs w:val="20"/>
              </w:rPr>
            </w:pPr>
            <w:r w:rsidRPr="009C01D5">
              <w:rPr>
                <w:rFonts w:ascii="Arial Narrow" w:hAnsi="Arial Narrow"/>
                <w:sz w:val="20"/>
                <w:szCs w:val="20"/>
              </w:rPr>
              <w:t>“relapse”</w:t>
            </w:r>
            <w:r w:rsidRPr="009C01D5">
              <w:rPr>
                <w:rFonts w:ascii="Arial Narrow" w:hAnsi="Arial Narrow"/>
                <w:sz w:val="20"/>
                <w:szCs w:val="20"/>
                <w:vertAlign w:val="superscript"/>
              </w:rPr>
              <w:t>4</w:t>
            </w:r>
          </w:p>
        </w:tc>
        <w:tc>
          <w:tcPr>
            <w:tcW w:w="544" w:type="pct"/>
          </w:tcPr>
          <w:p w14:paraId="39063472"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 xml:space="preserve">55/148 </w:t>
            </w:r>
            <w:r w:rsidRPr="009C01D5">
              <w:rPr>
                <w:rFonts w:ascii="Arial Narrow" w:hAnsi="Arial Narrow"/>
                <w:sz w:val="20"/>
                <w:szCs w:val="20"/>
              </w:rPr>
              <w:br/>
              <w:t>(37.4)</w:t>
            </w:r>
          </w:p>
        </w:tc>
        <w:tc>
          <w:tcPr>
            <w:tcW w:w="544" w:type="pct"/>
          </w:tcPr>
          <w:p w14:paraId="3E16C6AA"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reached</w:t>
            </w:r>
          </w:p>
        </w:tc>
        <w:tc>
          <w:tcPr>
            <w:tcW w:w="544" w:type="pct"/>
            <w:tcBorders>
              <w:bottom w:val="single" w:sz="4" w:space="0" w:color="auto"/>
            </w:tcBorders>
          </w:tcPr>
          <w:p w14:paraId="0AD04C04"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90/149</w:t>
            </w:r>
            <w:r w:rsidRPr="009C01D5">
              <w:rPr>
                <w:rFonts w:ascii="Arial Narrow" w:hAnsi="Arial Narrow"/>
                <w:sz w:val="20"/>
                <w:szCs w:val="20"/>
              </w:rPr>
              <w:br/>
              <w:t>(60.6)</w:t>
            </w:r>
          </w:p>
        </w:tc>
        <w:tc>
          <w:tcPr>
            <w:tcW w:w="544" w:type="pct"/>
            <w:tcBorders>
              <w:top w:val="single" w:sz="4" w:space="0" w:color="auto"/>
              <w:bottom w:val="single" w:sz="4" w:space="0" w:color="auto"/>
            </w:tcBorders>
          </w:tcPr>
          <w:p w14:paraId="7400EA46"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reported</w:t>
            </w:r>
          </w:p>
        </w:tc>
        <w:tc>
          <w:tcPr>
            <w:tcW w:w="544" w:type="pct"/>
            <w:tcBorders>
              <w:top w:val="single" w:sz="4" w:space="0" w:color="auto"/>
              <w:bottom w:val="single" w:sz="4" w:space="0" w:color="auto"/>
            </w:tcBorders>
          </w:tcPr>
          <w:p w14:paraId="622881CE"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calculable</w:t>
            </w:r>
            <w:r w:rsidRPr="009C01D5">
              <w:rPr>
                <w:rFonts w:ascii="Arial Narrow" w:hAnsi="Arial Narrow"/>
                <w:sz w:val="20"/>
                <w:szCs w:val="20"/>
                <w:vertAlign w:val="superscript"/>
              </w:rPr>
              <w:t>3</w:t>
            </w:r>
          </w:p>
        </w:tc>
        <w:tc>
          <w:tcPr>
            <w:tcW w:w="544" w:type="pct"/>
            <w:tcBorders>
              <w:top w:val="single" w:sz="4" w:space="0" w:color="auto"/>
              <w:bottom w:val="single" w:sz="4" w:space="0" w:color="auto"/>
            </w:tcBorders>
          </w:tcPr>
          <w:p w14:paraId="470897C6"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&lt;.001</w:t>
            </w:r>
          </w:p>
        </w:tc>
        <w:tc>
          <w:tcPr>
            <w:tcW w:w="754" w:type="pct"/>
            <w:tcBorders>
              <w:top w:val="single" w:sz="4" w:space="0" w:color="auto"/>
              <w:bottom w:val="single" w:sz="4" w:space="0" w:color="auto"/>
            </w:tcBorders>
          </w:tcPr>
          <w:p w14:paraId="2FB35BE6"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0.50</w:t>
            </w:r>
            <w:r w:rsidRPr="009C01D5">
              <w:rPr>
                <w:rFonts w:ascii="Arial Narrow" w:hAnsi="Arial Narrow"/>
                <w:sz w:val="20"/>
                <w:szCs w:val="20"/>
                <w:vertAlign w:val="superscript"/>
              </w:rPr>
              <w:t>5</w:t>
            </w:r>
            <w:r w:rsidRPr="009C01D5">
              <w:rPr>
                <w:rFonts w:ascii="Arial Narrow" w:hAnsi="Arial Narrow"/>
                <w:sz w:val="20"/>
                <w:szCs w:val="20"/>
              </w:rPr>
              <w:br/>
              <w:t>(0.35 -0.71)</w:t>
            </w:r>
          </w:p>
        </w:tc>
      </w:tr>
      <w:tr w:rsidR="004A6EF5" w:rsidRPr="009C01D5" w14:paraId="01FEE38D" w14:textId="77777777" w:rsidTr="000A2E54">
        <w:trPr>
          <w:trHeight w:val="239"/>
        </w:trPr>
        <w:tc>
          <w:tcPr>
            <w:tcW w:w="985" w:type="pct"/>
          </w:tcPr>
          <w:p w14:paraId="443715A8" w14:textId="77777777" w:rsidR="004A6EF5" w:rsidRPr="009C01D5" w:rsidRDefault="004A6EF5" w:rsidP="00FA4235">
            <w:pPr>
              <w:pStyle w:val="TableTextleftalign"/>
              <w:widowControl w:val="0"/>
              <w:jc w:val="center"/>
              <w:rPr>
                <w:rFonts w:ascii="Arial Narrow" w:hAnsi="Arial Narrow"/>
                <w:b/>
                <w:sz w:val="20"/>
                <w:szCs w:val="20"/>
              </w:rPr>
            </w:pPr>
            <w:r w:rsidRPr="009C01D5">
              <w:rPr>
                <w:rFonts w:ascii="Arial Narrow" w:hAnsi="Arial Narrow"/>
                <w:b/>
                <w:sz w:val="20"/>
                <w:szCs w:val="20"/>
              </w:rPr>
              <w:t>EQUATOR</w:t>
            </w:r>
          </w:p>
        </w:tc>
        <w:tc>
          <w:tcPr>
            <w:tcW w:w="4015" w:type="pct"/>
            <w:gridSpan w:val="7"/>
            <w:tcBorders>
              <w:right w:val="single" w:sz="4" w:space="0" w:color="auto"/>
            </w:tcBorders>
          </w:tcPr>
          <w:p w14:paraId="1046AA45" w14:textId="77777777" w:rsidR="004A6EF5" w:rsidRPr="009C01D5" w:rsidRDefault="004A6EF5" w:rsidP="004A6EF5">
            <w:pPr>
              <w:pStyle w:val="TableTextcentred"/>
              <w:widowControl w:val="0"/>
              <w:jc w:val="left"/>
              <w:rPr>
                <w:rFonts w:ascii="Arial Narrow" w:hAnsi="Arial Narrow"/>
                <w:sz w:val="20"/>
                <w:szCs w:val="20"/>
              </w:rPr>
            </w:pPr>
            <w:r w:rsidRPr="009C01D5">
              <w:rPr>
                <w:rFonts w:ascii="Arial Narrow" w:hAnsi="Arial Narrow"/>
                <w:b/>
                <w:sz w:val="20"/>
                <w:szCs w:val="20"/>
              </w:rPr>
              <w:t>Brexpiprazole</w:t>
            </w:r>
          </w:p>
        </w:tc>
      </w:tr>
      <w:tr w:rsidR="00936AB1" w:rsidRPr="009C01D5" w14:paraId="37501928" w14:textId="77777777" w:rsidTr="000A2E54">
        <w:trPr>
          <w:trHeight w:val="686"/>
        </w:trPr>
        <w:tc>
          <w:tcPr>
            <w:tcW w:w="985" w:type="pct"/>
          </w:tcPr>
          <w:p w14:paraId="2A6C3A77" w14:textId="77777777" w:rsidR="00936AB1" w:rsidRPr="009C01D5" w:rsidRDefault="00936AB1" w:rsidP="00FA4235">
            <w:pPr>
              <w:pStyle w:val="TableTextleftalign"/>
              <w:widowControl w:val="0"/>
              <w:jc w:val="center"/>
              <w:rPr>
                <w:rFonts w:ascii="Arial Narrow" w:hAnsi="Arial Narrow"/>
                <w:sz w:val="20"/>
                <w:szCs w:val="20"/>
              </w:rPr>
            </w:pPr>
            <w:r w:rsidRPr="009C01D5">
              <w:rPr>
                <w:rFonts w:ascii="Arial Narrow" w:hAnsi="Arial Narrow"/>
                <w:sz w:val="20"/>
                <w:szCs w:val="20"/>
              </w:rPr>
              <w:t>Week 52 “impending relapse”</w:t>
            </w:r>
          </w:p>
        </w:tc>
        <w:tc>
          <w:tcPr>
            <w:tcW w:w="544" w:type="pct"/>
          </w:tcPr>
          <w:p w14:paraId="150BC173"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 xml:space="preserve">13/96 </w:t>
            </w:r>
            <w:r w:rsidRPr="009C01D5">
              <w:rPr>
                <w:rFonts w:ascii="Arial Narrow" w:hAnsi="Arial Narrow"/>
                <w:sz w:val="20"/>
                <w:szCs w:val="20"/>
              </w:rPr>
              <w:br/>
              <w:t>(13.5)</w:t>
            </w:r>
          </w:p>
        </w:tc>
        <w:tc>
          <w:tcPr>
            <w:tcW w:w="544" w:type="pct"/>
          </w:tcPr>
          <w:p w14:paraId="7F091790"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reached</w:t>
            </w:r>
          </w:p>
        </w:tc>
        <w:tc>
          <w:tcPr>
            <w:tcW w:w="544" w:type="pct"/>
          </w:tcPr>
          <w:p w14:paraId="1AD9F7C2"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40/104</w:t>
            </w:r>
            <w:r w:rsidRPr="009C01D5">
              <w:rPr>
                <w:rFonts w:ascii="Arial Narrow" w:hAnsi="Arial Narrow"/>
                <w:sz w:val="20"/>
                <w:szCs w:val="20"/>
              </w:rPr>
              <w:br/>
              <w:t>(38.5)</w:t>
            </w:r>
          </w:p>
        </w:tc>
        <w:tc>
          <w:tcPr>
            <w:tcW w:w="544" w:type="pct"/>
            <w:tcBorders>
              <w:top w:val="single" w:sz="4" w:space="0" w:color="auto"/>
            </w:tcBorders>
          </w:tcPr>
          <w:p w14:paraId="37029E7A"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reached</w:t>
            </w:r>
          </w:p>
        </w:tc>
        <w:tc>
          <w:tcPr>
            <w:tcW w:w="544" w:type="pct"/>
            <w:tcBorders>
              <w:top w:val="single" w:sz="4" w:space="0" w:color="auto"/>
            </w:tcBorders>
          </w:tcPr>
          <w:p w14:paraId="7A866F5B"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Not calculable</w:t>
            </w:r>
            <w:r w:rsidRPr="009C01D5">
              <w:rPr>
                <w:rFonts w:ascii="Arial Narrow" w:hAnsi="Arial Narrow"/>
                <w:sz w:val="20"/>
                <w:szCs w:val="20"/>
                <w:vertAlign w:val="superscript"/>
              </w:rPr>
              <w:t>3</w:t>
            </w:r>
          </w:p>
        </w:tc>
        <w:tc>
          <w:tcPr>
            <w:tcW w:w="544" w:type="pct"/>
            <w:tcBorders>
              <w:top w:val="single" w:sz="4" w:space="0" w:color="auto"/>
            </w:tcBorders>
          </w:tcPr>
          <w:p w14:paraId="126AE960" w14:textId="77777777" w:rsidR="00936AB1" w:rsidRPr="009C01D5" w:rsidRDefault="00936AB1" w:rsidP="00FA4235">
            <w:pPr>
              <w:pStyle w:val="TableTextcentred"/>
              <w:widowControl w:val="0"/>
              <w:rPr>
                <w:rFonts w:ascii="Arial Narrow" w:hAnsi="Arial Narrow"/>
                <w:sz w:val="20"/>
                <w:szCs w:val="20"/>
              </w:rPr>
            </w:pPr>
            <w:r w:rsidRPr="009C01D5">
              <w:rPr>
                <w:rFonts w:ascii="Arial Narrow" w:hAnsi="Arial Narrow"/>
                <w:sz w:val="20"/>
                <w:szCs w:val="20"/>
              </w:rPr>
              <w:t>&lt;.0001</w:t>
            </w:r>
          </w:p>
        </w:tc>
        <w:tc>
          <w:tcPr>
            <w:tcW w:w="754" w:type="pct"/>
            <w:tcBorders>
              <w:top w:val="single" w:sz="4" w:space="0" w:color="auto"/>
            </w:tcBorders>
          </w:tcPr>
          <w:p w14:paraId="2A87D055" w14:textId="77777777" w:rsidR="00936AB1" w:rsidRPr="009C01D5" w:rsidRDefault="00936AB1" w:rsidP="00FA4235">
            <w:pPr>
              <w:pStyle w:val="TableTextcentred"/>
              <w:widowControl w:val="0"/>
              <w:rPr>
                <w:rFonts w:ascii="Arial Narrow" w:hAnsi="Arial Narrow"/>
                <w:b/>
                <w:sz w:val="20"/>
                <w:szCs w:val="20"/>
              </w:rPr>
            </w:pPr>
            <w:r w:rsidRPr="009C01D5">
              <w:rPr>
                <w:rFonts w:ascii="Arial Narrow" w:hAnsi="Arial Narrow"/>
                <w:b/>
                <w:sz w:val="20"/>
                <w:szCs w:val="20"/>
              </w:rPr>
              <w:t>0.292</w:t>
            </w:r>
            <w:r w:rsidRPr="009C01D5">
              <w:rPr>
                <w:rFonts w:ascii="Arial Narrow" w:hAnsi="Arial Narrow"/>
                <w:b/>
                <w:sz w:val="20"/>
                <w:szCs w:val="20"/>
              </w:rPr>
              <w:br/>
              <w:t>(0.156, 0.548)</w:t>
            </w:r>
          </w:p>
        </w:tc>
      </w:tr>
    </w:tbl>
    <w:p w14:paraId="16E1E9ED" w14:textId="77777777" w:rsidR="00936AB1" w:rsidRPr="009C01D5" w:rsidRDefault="00936AB1" w:rsidP="000A2E54">
      <w:pPr>
        <w:rPr>
          <w:rFonts w:ascii="Arial Narrow" w:hAnsi="Arial Narrow"/>
          <w:sz w:val="18"/>
          <w:szCs w:val="18"/>
        </w:rPr>
      </w:pPr>
      <w:r w:rsidRPr="009C01D5">
        <w:rPr>
          <w:rFonts w:ascii="Arial Narrow" w:hAnsi="Arial Narrow"/>
          <w:sz w:val="18"/>
          <w:szCs w:val="18"/>
        </w:rPr>
        <w:t>Abbreviations: CI=confidence interval; TTE = time to event</w:t>
      </w:r>
    </w:p>
    <w:p w14:paraId="73D7ED21" w14:textId="77777777" w:rsidR="00936AB1" w:rsidRPr="009C01D5" w:rsidRDefault="00936AB1" w:rsidP="000A2E54">
      <w:pPr>
        <w:rPr>
          <w:rFonts w:ascii="Arial Narrow" w:hAnsi="Arial Narrow"/>
          <w:sz w:val="18"/>
          <w:szCs w:val="18"/>
        </w:rPr>
      </w:pPr>
      <w:r w:rsidRPr="009C01D5">
        <w:rPr>
          <w:rFonts w:ascii="Arial Narrow" w:hAnsi="Arial Narrow"/>
          <w:sz w:val="18"/>
          <w:szCs w:val="18"/>
        </w:rPr>
        <w:t xml:space="preserve">Source: Table 2.5.4 p129 of the submission </w:t>
      </w:r>
    </w:p>
    <w:p w14:paraId="3DB1087E"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 xml:space="preserve">Notes: </w:t>
      </w:r>
    </w:p>
    <w:p w14:paraId="4B9FAD34"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1. p-value based on log-rank test.</w:t>
      </w:r>
    </w:p>
    <w:p w14:paraId="47C47F27"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2. Hazard ratios and relative risk were calculated using the Cox proportional hazards model.</w:t>
      </w:r>
    </w:p>
    <w:p w14:paraId="584EDE26"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3. Median TTE in the intervention arms was not reached.</w:t>
      </w:r>
    </w:p>
    <w:p w14:paraId="64AD2F9E"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4. Pigott (2003) reports percentage of patients ‘not experiencing relapse’; these values for ‘relapse’ were calculated.</w:t>
      </w:r>
    </w:p>
    <w:p w14:paraId="6308BC1A" w14:textId="77777777" w:rsidR="00936AB1" w:rsidRPr="009C01D5" w:rsidRDefault="00936AB1" w:rsidP="000A2E54">
      <w:pPr>
        <w:pStyle w:val="TableFootnoteindent"/>
        <w:keepNext/>
        <w:jc w:val="both"/>
        <w:rPr>
          <w:rFonts w:ascii="Arial Narrow" w:hAnsi="Arial Narrow"/>
          <w:sz w:val="18"/>
          <w:szCs w:val="18"/>
        </w:rPr>
      </w:pPr>
      <w:r w:rsidRPr="009C01D5">
        <w:rPr>
          <w:rFonts w:ascii="Arial Narrow" w:hAnsi="Arial Narrow"/>
          <w:sz w:val="18"/>
          <w:szCs w:val="18"/>
        </w:rPr>
        <w:t>5. Although this was reported as relative risk in the publication, it is assumed that it refers to the hazard ratio</w:t>
      </w:r>
      <w:r w:rsidR="00E222A8" w:rsidRPr="009C01D5">
        <w:rPr>
          <w:rFonts w:ascii="Arial Narrow" w:hAnsi="Arial Narrow"/>
          <w:sz w:val="18"/>
          <w:szCs w:val="18"/>
        </w:rPr>
        <w:t xml:space="preserve"> given that it is reported alongside the time to relapse Kaplan-Meier curves and that the</w:t>
      </w:r>
      <w:r w:rsidRPr="009C01D5">
        <w:rPr>
          <w:rFonts w:ascii="Arial Narrow" w:hAnsi="Arial Narrow"/>
          <w:sz w:val="18"/>
          <w:szCs w:val="18"/>
        </w:rPr>
        <w:t xml:space="preserve"> relative risk </w:t>
      </w:r>
      <w:r w:rsidR="00E222A8" w:rsidRPr="009C01D5">
        <w:rPr>
          <w:rFonts w:ascii="Arial Narrow" w:hAnsi="Arial Narrow"/>
          <w:sz w:val="18"/>
          <w:szCs w:val="18"/>
        </w:rPr>
        <w:t xml:space="preserve">of </w:t>
      </w:r>
      <w:r w:rsidRPr="009C01D5">
        <w:rPr>
          <w:rFonts w:ascii="Arial Narrow" w:hAnsi="Arial Narrow"/>
          <w:sz w:val="18"/>
          <w:szCs w:val="18"/>
        </w:rPr>
        <w:t>reported later</w:t>
      </w:r>
      <w:r w:rsidR="00E222A8" w:rsidRPr="009C01D5">
        <w:rPr>
          <w:rFonts w:ascii="Arial Narrow" w:hAnsi="Arial Narrow"/>
          <w:sz w:val="18"/>
          <w:szCs w:val="18"/>
        </w:rPr>
        <w:t xml:space="preserve"> as a secondary outcome</w:t>
      </w:r>
      <w:r w:rsidRPr="009C01D5">
        <w:rPr>
          <w:rFonts w:ascii="Arial Narrow" w:hAnsi="Arial Narrow"/>
          <w:sz w:val="18"/>
          <w:szCs w:val="18"/>
        </w:rPr>
        <w:t xml:space="preserve"> in the publication to be 0.59 (0.45, 0.75).</w:t>
      </w:r>
    </w:p>
    <w:p w14:paraId="61252D60" w14:textId="77777777" w:rsidR="00936AB1" w:rsidRPr="009C01D5" w:rsidRDefault="00936AB1" w:rsidP="000A2E54">
      <w:pPr>
        <w:pStyle w:val="3-BodyText"/>
        <w:numPr>
          <w:ilvl w:val="0"/>
          <w:numId w:val="0"/>
        </w:numPr>
        <w:rPr>
          <w:rFonts w:ascii="Arial Narrow" w:hAnsi="Arial Narrow"/>
          <w:sz w:val="18"/>
          <w:szCs w:val="18"/>
          <w:lang w:eastAsia="en-US"/>
        </w:rPr>
      </w:pPr>
      <w:r w:rsidRPr="009C01D5">
        <w:rPr>
          <w:rFonts w:ascii="Arial Narrow" w:hAnsi="Arial Narrow"/>
          <w:sz w:val="18"/>
          <w:szCs w:val="18"/>
          <w:lang w:eastAsia="en-US"/>
        </w:rPr>
        <w:t>Bold indicates statistically significant difference</w:t>
      </w:r>
    </w:p>
    <w:p w14:paraId="6A4AA659" w14:textId="77777777" w:rsidR="00936AB1" w:rsidRPr="009C01D5" w:rsidRDefault="00936AB1" w:rsidP="00936AB1">
      <w:pPr>
        <w:pStyle w:val="TableFigureHeading"/>
      </w:pPr>
      <w:bookmarkStart w:id="22" w:name="_Ref50101091"/>
      <w:bookmarkStart w:id="23" w:name="_Ref50101080"/>
      <w:r w:rsidRPr="009C01D5">
        <w:t>Figure</w:t>
      </w:r>
      <w:bookmarkEnd w:id="22"/>
      <w:r w:rsidRPr="009C01D5">
        <w:t xml:space="preserve"> 2: </w:t>
      </w:r>
      <w:r w:rsidRPr="009C01D5">
        <w:rPr>
          <w:lang w:eastAsia="en-US"/>
        </w:rPr>
        <w:t>Kaplan-Meier curve of patients with (impending) relapse</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8784"/>
      </w:tblGrid>
      <w:tr w:rsidR="00936AB1" w:rsidRPr="009C01D5" w14:paraId="42850849" w14:textId="77777777" w:rsidTr="005C1D4B">
        <w:trPr>
          <w:trHeight w:val="282"/>
        </w:trPr>
        <w:tc>
          <w:tcPr>
            <w:tcW w:w="8784" w:type="dxa"/>
          </w:tcPr>
          <w:p w14:paraId="4CDC8271" w14:textId="77777777" w:rsidR="00936AB1" w:rsidRPr="009C01D5" w:rsidRDefault="00936AB1" w:rsidP="00FA4235">
            <w:pPr>
              <w:pStyle w:val="TableFigureFooter"/>
              <w:rPr>
                <w:sz w:val="20"/>
                <w:szCs w:val="20"/>
              </w:rPr>
            </w:pPr>
            <w:r w:rsidRPr="009C01D5">
              <w:rPr>
                <w:sz w:val="20"/>
              </w:rPr>
              <w:t>KM plots of cumulative proportion of patients with relapse:  RGH-MD-</w:t>
            </w:r>
            <w:r w:rsidRPr="009C01D5">
              <w:rPr>
                <w:sz w:val="20"/>
                <w:szCs w:val="20"/>
              </w:rPr>
              <w:t>06</w:t>
            </w:r>
          </w:p>
        </w:tc>
      </w:tr>
      <w:tr w:rsidR="00936AB1" w:rsidRPr="009C01D5" w14:paraId="634FEE04" w14:textId="77777777" w:rsidTr="005C1D4B">
        <w:trPr>
          <w:trHeight w:val="3845"/>
        </w:trPr>
        <w:tc>
          <w:tcPr>
            <w:tcW w:w="8784" w:type="dxa"/>
          </w:tcPr>
          <w:p w14:paraId="049BAD31" w14:textId="77777777" w:rsidR="00936AB1" w:rsidRPr="009C01D5" w:rsidRDefault="00936AB1" w:rsidP="00FA4235">
            <w:pPr>
              <w:pStyle w:val="TableFigureFooter"/>
            </w:pPr>
            <w:r w:rsidRPr="009C01D5">
              <w:rPr>
                <w:noProof/>
              </w:rPr>
              <w:drawing>
                <wp:inline distT="0" distB="0" distL="0" distR="0" wp14:anchorId="71A74FF1" wp14:editId="0FB92BA9">
                  <wp:extent cx="5253487" cy="3041133"/>
                  <wp:effectExtent l="0" t="0" r="4445" b="6985"/>
                  <wp:docPr id="21" name="Picture 21" title="Figure 2: Kaplan-Meier curve of patients with (impending) re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0438" cy="3097256"/>
                          </a:xfrm>
                          <a:prstGeom prst="rect">
                            <a:avLst/>
                          </a:prstGeom>
                        </pic:spPr>
                      </pic:pic>
                    </a:graphicData>
                  </a:graphic>
                </wp:inline>
              </w:drawing>
            </w:r>
          </w:p>
        </w:tc>
      </w:tr>
      <w:tr w:rsidR="00936AB1" w:rsidRPr="009C01D5" w14:paraId="7ED1F967" w14:textId="77777777" w:rsidTr="005C1D4B">
        <w:trPr>
          <w:trHeight w:val="191"/>
        </w:trPr>
        <w:tc>
          <w:tcPr>
            <w:tcW w:w="8784" w:type="dxa"/>
          </w:tcPr>
          <w:p w14:paraId="0C6AF8A8" w14:textId="77777777" w:rsidR="00936AB1" w:rsidRPr="009C01D5" w:rsidRDefault="00936AB1" w:rsidP="00FA4235">
            <w:pPr>
              <w:pStyle w:val="Tablenotes"/>
              <w:keepNext/>
              <w:spacing w:after="0"/>
              <w:rPr>
                <w:rFonts w:ascii="Arial Narrow" w:hAnsi="Arial Narrow"/>
                <w:bCs/>
                <w:sz w:val="20"/>
              </w:rPr>
            </w:pPr>
            <w:r w:rsidRPr="009C01D5">
              <w:rPr>
                <w:rFonts w:ascii="Arial Narrow" w:hAnsi="Arial Narrow"/>
                <w:bCs/>
                <w:sz w:val="20"/>
              </w:rPr>
              <w:t>KM of cumulative proportion of patients with “impending psychotic relapse” in aripiprazole maintenance trial (Pigott, 2003)</w:t>
            </w:r>
          </w:p>
        </w:tc>
      </w:tr>
      <w:tr w:rsidR="00936AB1" w:rsidRPr="009C01D5" w14:paraId="0B739BC9" w14:textId="77777777" w:rsidTr="005C1D4B">
        <w:trPr>
          <w:trHeight w:val="4717"/>
        </w:trPr>
        <w:tc>
          <w:tcPr>
            <w:tcW w:w="8784" w:type="dxa"/>
          </w:tcPr>
          <w:p w14:paraId="5859E358" w14:textId="77777777" w:rsidR="00936AB1" w:rsidRPr="009C01D5" w:rsidRDefault="00936AB1" w:rsidP="00FA4235">
            <w:pPr>
              <w:pStyle w:val="TableFigureFooter"/>
            </w:pPr>
            <w:r w:rsidRPr="009C01D5">
              <w:rPr>
                <w:noProof/>
              </w:rPr>
              <w:drawing>
                <wp:inline distT="0" distB="0" distL="0" distR="0" wp14:anchorId="77B79C9A" wp14:editId="06D5F7EC">
                  <wp:extent cx="5242292" cy="3629025"/>
                  <wp:effectExtent l="0" t="0" r="0" b="0"/>
                  <wp:docPr id="23" name="Picture 23" title="KM of cumulative proportion of patients with “impending psychotic relapse” in aripiprazole maintenance trial (Pigott,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srcRect t="3067" r="4090" b="1533"/>
                          <a:stretch/>
                        </pic:blipFill>
                        <pic:spPr bwMode="auto">
                          <a:xfrm>
                            <a:off x="0" y="0"/>
                            <a:ext cx="5290860" cy="3662647"/>
                          </a:xfrm>
                          <a:prstGeom prst="rect">
                            <a:avLst/>
                          </a:prstGeom>
                          <a:ln>
                            <a:noFill/>
                          </a:ln>
                          <a:extLst>
                            <a:ext uri="{53640926-AAD7-44D8-BBD7-CCE9431645EC}">
                              <a14:shadowObscured xmlns:a14="http://schemas.microsoft.com/office/drawing/2010/main"/>
                            </a:ext>
                          </a:extLst>
                        </pic:spPr>
                      </pic:pic>
                    </a:graphicData>
                  </a:graphic>
                </wp:inline>
              </w:drawing>
            </w:r>
          </w:p>
        </w:tc>
      </w:tr>
      <w:tr w:rsidR="00936AB1" w:rsidRPr="009C01D5" w14:paraId="52136B0A" w14:textId="77777777" w:rsidTr="005C1D4B">
        <w:trPr>
          <w:trHeight w:val="282"/>
        </w:trPr>
        <w:tc>
          <w:tcPr>
            <w:tcW w:w="8784" w:type="dxa"/>
          </w:tcPr>
          <w:p w14:paraId="6D2C2850" w14:textId="77777777" w:rsidR="00936AB1" w:rsidRPr="009C01D5" w:rsidRDefault="00936AB1" w:rsidP="00FA4235">
            <w:pPr>
              <w:pStyle w:val="TableFigureFooter"/>
              <w:rPr>
                <w:sz w:val="20"/>
                <w:szCs w:val="20"/>
              </w:rPr>
            </w:pPr>
            <w:r w:rsidRPr="009C01D5">
              <w:rPr>
                <w:sz w:val="20"/>
              </w:rPr>
              <w:t>KM of cumulative proportion of patients not meeting criteria for “impending relapse” in brexpiprazole maintenance trial (EQUATOR)</w:t>
            </w:r>
          </w:p>
        </w:tc>
      </w:tr>
      <w:tr w:rsidR="00936AB1" w:rsidRPr="009C01D5" w14:paraId="2E057D68" w14:textId="77777777" w:rsidTr="005C1D4B">
        <w:trPr>
          <w:trHeight w:val="3845"/>
        </w:trPr>
        <w:tc>
          <w:tcPr>
            <w:tcW w:w="8784" w:type="dxa"/>
          </w:tcPr>
          <w:p w14:paraId="4DFE40B7" w14:textId="77777777" w:rsidR="00936AB1" w:rsidRPr="009C01D5" w:rsidRDefault="00936AB1" w:rsidP="00FA4235">
            <w:pPr>
              <w:pStyle w:val="TableFigureFooter"/>
            </w:pPr>
            <w:r w:rsidRPr="009C01D5">
              <w:rPr>
                <w:noProof/>
              </w:rPr>
              <w:drawing>
                <wp:inline distT="0" distB="0" distL="0" distR="0" wp14:anchorId="401FCA25" wp14:editId="2E07B36D">
                  <wp:extent cx="5382883" cy="2695519"/>
                  <wp:effectExtent l="0" t="0" r="8890" b="0"/>
                  <wp:docPr id="24" name="Picture 24" title="KM of cumulative proportion of patients not meeting criteria for “impending relapse” in brexpiprazole maintenance trial (EQU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7490" cy="2722864"/>
                          </a:xfrm>
                          <a:prstGeom prst="rect">
                            <a:avLst/>
                          </a:prstGeom>
                        </pic:spPr>
                      </pic:pic>
                    </a:graphicData>
                  </a:graphic>
                </wp:inline>
              </w:drawing>
            </w:r>
          </w:p>
        </w:tc>
      </w:tr>
    </w:tbl>
    <w:p w14:paraId="23A8B8DA"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Source:</w:t>
      </w:r>
      <w:r w:rsidRPr="009C01D5">
        <w:t xml:space="preserve"> </w:t>
      </w:r>
      <w:r w:rsidRPr="009C01D5">
        <w:rPr>
          <w:rFonts w:ascii="Arial Narrow" w:hAnsi="Arial Narrow"/>
          <w:sz w:val="18"/>
          <w:szCs w:val="18"/>
        </w:rPr>
        <w:t>Figure 2.5.2 p130 of the submission, Figure 2.5.3 p131 of the submission, Figure 2.5.5 p132 of the submission</w:t>
      </w:r>
    </w:p>
    <w:p w14:paraId="1AC85445" w14:textId="77777777" w:rsidR="00936AB1" w:rsidRPr="009C01D5" w:rsidRDefault="00936AB1" w:rsidP="00936AB1">
      <w:pPr>
        <w:rPr>
          <w:rFonts w:ascii="Arial Narrow" w:hAnsi="Arial Narrow"/>
          <w:sz w:val="18"/>
          <w:szCs w:val="18"/>
        </w:rPr>
      </w:pPr>
      <w:r w:rsidRPr="009C01D5">
        <w:rPr>
          <w:rFonts w:ascii="Arial Narrow" w:hAnsi="Arial Narrow"/>
          <w:sz w:val="18"/>
          <w:szCs w:val="18"/>
        </w:rPr>
        <w:t>Abbreviations: KM =</w:t>
      </w:r>
      <w:r w:rsidR="00E222A8" w:rsidRPr="009C01D5">
        <w:rPr>
          <w:rFonts w:ascii="Arial Narrow" w:hAnsi="Arial Narrow"/>
          <w:sz w:val="18"/>
          <w:szCs w:val="18"/>
        </w:rPr>
        <w:t>Kaplan-</w:t>
      </w:r>
      <w:r w:rsidRPr="009C01D5">
        <w:rPr>
          <w:rFonts w:ascii="Arial Narrow" w:hAnsi="Arial Narrow"/>
          <w:sz w:val="18"/>
          <w:szCs w:val="18"/>
        </w:rPr>
        <w:t xml:space="preserve">Meier; </w:t>
      </w:r>
    </w:p>
    <w:p w14:paraId="1255A313" w14:textId="77777777" w:rsidR="00936AB1" w:rsidRPr="009C01D5" w:rsidRDefault="00936AB1" w:rsidP="00936AB1">
      <w:pPr>
        <w:pStyle w:val="3-BodyText"/>
        <w:numPr>
          <w:ilvl w:val="0"/>
          <w:numId w:val="0"/>
        </w:numPr>
        <w:rPr>
          <w:color w:val="0066FF"/>
        </w:rPr>
      </w:pPr>
    </w:p>
    <w:p w14:paraId="7A5DD8BB" w14:textId="77777777" w:rsidR="000A2E54" w:rsidRPr="009C01D5" w:rsidRDefault="000A2E54">
      <w:pPr>
        <w:jc w:val="left"/>
        <w:rPr>
          <w:rFonts w:asciiTheme="minorHAnsi" w:hAnsiTheme="minorHAnsi"/>
          <w:snapToGrid w:val="0"/>
          <w:u w:val="single"/>
        </w:rPr>
      </w:pPr>
      <w:r w:rsidRPr="009C01D5">
        <w:rPr>
          <w:u w:val="single"/>
        </w:rPr>
        <w:br w:type="page"/>
      </w:r>
      <w:bookmarkStart w:id="24" w:name="_GoBack"/>
      <w:bookmarkEnd w:id="24"/>
    </w:p>
    <w:p w14:paraId="7D506D0D" w14:textId="77777777" w:rsidR="00936AB1" w:rsidRPr="009C01D5" w:rsidRDefault="00936AB1" w:rsidP="00936AB1">
      <w:pPr>
        <w:pStyle w:val="3-BodyText"/>
        <w:numPr>
          <w:ilvl w:val="0"/>
          <w:numId w:val="0"/>
        </w:numPr>
        <w:rPr>
          <w:u w:val="single"/>
        </w:rPr>
      </w:pPr>
      <w:r w:rsidRPr="009C01D5">
        <w:rPr>
          <w:u w:val="single"/>
        </w:rPr>
        <w:t>Meta-analysis</w:t>
      </w:r>
      <w:r w:rsidR="00E222A8" w:rsidRPr="009C01D5">
        <w:rPr>
          <w:u w:val="single"/>
        </w:rPr>
        <w:t xml:space="preserve"> of acute setting trials</w:t>
      </w:r>
    </w:p>
    <w:p w14:paraId="117473F3" w14:textId="77777777" w:rsidR="00936AB1" w:rsidRPr="009C01D5" w:rsidRDefault="00936AB1" w:rsidP="00936AB1">
      <w:pPr>
        <w:pStyle w:val="3-BodyText"/>
      </w:pPr>
      <w:r w:rsidRPr="009C01D5">
        <w:t xml:space="preserve">The results of </w:t>
      </w:r>
      <w:r w:rsidR="00F170F6" w:rsidRPr="009C01D5">
        <w:t xml:space="preserve">the </w:t>
      </w:r>
      <w:r w:rsidRPr="009C01D5">
        <w:t>meta-</w:t>
      </w:r>
      <w:r w:rsidR="00F170F6" w:rsidRPr="009C01D5">
        <w:t xml:space="preserve">analyses </w:t>
      </w:r>
      <w:r w:rsidRPr="009C01D5">
        <w:t xml:space="preserve">showed the cariprazine, aripiprazole and brexpiprazole trials demonstrated statistically significant improvements in schizophrenia symptoms, as measured by PANSS total scores compared to placebo. </w:t>
      </w:r>
    </w:p>
    <w:p w14:paraId="3B90FE3B" w14:textId="77777777" w:rsidR="00936AB1" w:rsidRPr="009C01D5" w:rsidRDefault="00936AB1" w:rsidP="00936AB1">
      <w:pPr>
        <w:pStyle w:val="3-BodyText"/>
      </w:pPr>
      <w:r w:rsidRPr="009C01D5">
        <w:t xml:space="preserve">The submission concluded that the results of the meta-analyses confirmed the </w:t>
      </w:r>
      <w:r w:rsidR="00E222A8" w:rsidRPr="009C01D5">
        <w:t xml:space="preserve">efficacy </w:t>
      </w:r>
      <w:r w:rsidRPr="009C01D5">
        <w:t xml:space="preserve">of cariprazine and the </w:t>
      </w:r>
      <w:r w:rsidR="00E222A8" w:rsidRPr="009C01D5">
        <w:t xml:space="preserve">respective </w:t>
      </w:r>
      <w:r w:rsidRPr="009C01D5">
        <w:t>main comparators for the treatment of schizophrenia; most outcomes were similar between the intervention and placebo arms of the trials</w:t>
      </w:r>
      <w:r w:rsidR="005B28D9" w:rsidRPr="009C01D5">
        <w:t xml:space="preserve"> (Table</w:t>
      </w:r>
      <w:r w:rsidR="00C4755B" w:rsidRPr="009C01D5">
        <w:t xml:space="preserve"> 8)</w:t>
      </w:r>
      <w:r w:rsidRPr="009C01D5">
        <w:t xml:space="preserve">. </w:t>
      </w:r>
    </w:p>
    <w:p w14:paraId="4475E5D0" w14:textId="77777777" w:rsidR="005B28D9" w:rsidRPr="009C01D5" w:rsidRDefault="005B28D9" w:rsidP="004D7622">
      <w:pPr>
        <w:pStyle w:val="3-BodyText"/>
        <w:keepNext/>
        <w:numPr>
          <w:ilvl w:val="0"/>
          <w:numId w:val="0"/>
        </w:numPr>
        <w:spacing w:after="0"/>
        <w:contextualSpacing/>
        <w:rPr>
          <w:rFonts w:ascii="Arial Narrow" w:hAnsi="Arial Narrow"/>
          <w:b/>
          <w:sz w:val="20"/>
          <w:szCs w:val="20"/>
        </w:rPr>
      </w:pPr>
      <w:r w:rsidRPr="009C01D5">
        <w:rPr>
          <w:rFonts w:ascii="Arial Narrow" w:hAnsi="Arial Narrow"/>
          <w:b/>
          <w:sz w:val="20"/>
          <w:szCs w:val="20"/>
        </w:rPr>
        <w:t>Table</w:t>
      </w:r>
      <w:r w:rsidR="00C4755B" w:rsidRPr="009C01D5">
        <w:rPr>
          <w:rFonts w:ascii="Arial Narrow" w:hAnsi="Arial Narrow"/>
          <w:b/>
          <w:sz w:val="20"/>
          <w:szCs w:val="20"/>
        </w:rPr>
        <w:t xml:space="preserve"> 8</w:t>
      </w:r>
      <w:r w:rsidRPr="009C01D5">
        <w:rPr>
          <w:rFonts w:ascii="Arial Narrow" w:hAnsi="Arial Narrow"/>
          <w:b/>
          <w:sz w:val="20"/>
          <w:szCs w:val="20"/>
        </w:rPr>
        <w:t>: Random effects meta-analysis of placebo-controlled cariprazine and main comparator trials – PANSS total score change from baseline vs placebo</w:t>
      </w:r>
    </w:p>
    <w:tbl>
      <w:tblPr>
        <w:tblStyle w:val="TableGrid"/>
        <w:tblW w:w="5000" w:type="pct"/>
        <w:tblLook w:val="0620" w:firstRow="1" w:lastRow="0" w:firstColumn="0" w:lastColumn="0" w:noHBand="1" w:noVBand="1"/>
        <w:tblCaption w:val="Table 8: Random effects meta-analysis of placebo-controlled cariprazine and main comparator trials – PANSS total score change from baseline vs placebo"/>
      </w:tblPr>
      <w:tblGrid>
        <w:gridCol w:w="1280"/>
        <w:gridCol w:w="2039"/>
        <w:gridCol w:w="608"/>
        <w:gridCol w:w="1798"/>
        <w:gridCol w:w="665"/>
        <w:gridCol w:w="542"/>
        <w:gridCol w:w="733"/>
        <w:gridCol w:w="1352"/>
      </w:tblGrid>
      <w:tr w:rsidR="005B28D9" w:rsidRPr="009C01D5" w14:paraId="3B4315B2" w14:textId="77777777" w:rsidTr="005C1D4B">
        <w:trPr>
          <w:tblHeader/>
        </w:trPr>
        <w:tc>
          <w:tcPr>
            <w:tcW w:w="711" w:type="pct"/>
          </w:tcPr>
          <w:p w14:paraId="79FE483B" w14:textId="77777777" w:rsidR="005B28D9" w:rsidRPr="009C01D5" w:rsidRDefault="005B28D9" w:rsidP="00693895">
            <w:pPr>
              <w:pStyle w:val="TableTextcentred"/>
              <w:keepNext/>
              <w:contextualSpacing/>
              <w:rPr>
                <w:rFonts w:ascii="Arial Narrow" w:hAnsi="Arial Narrow"/>
                <w:b/>
                <w:sz w:val="20"/>
                <w:szCs w:val="20"/>
              </w:rPr>
            </w:pPr>
            <w:r w:rsidRPr="009C01D5">
              <w:rPr>
                <w:rFonts w:ascii="Arial Narrow" w:hAnsi="Arial Narrow"/>
                <w:b/>
                <w:sz w:val="20"/>
                <w:szCs w:val="20"/>
              </w:rPr>
              <w:t>Active drug</w:t>
            </w:r>
          </w:p>
        </w:tc>
        <w:tc>
          <w:tcPr>
            <w:tcW w:w="1132" w:type="pct"/>
          </w:tcPr>
          <w:p w14:paraId="2B260050" w14:textId="77777777" w:rsidR="005B28D9" w:rsidRPr="009C01D5" w:rsidRDefault="005B28D9" w:rsidP="00693895">
            <w:pPr>
              <w:pStyle w:val="TableTextcentred"/>
              <w:keepNext/>
              <w:contextualSpacing/>
              <w:jc w:val="left"/>
              <w:rPr>
                <w:rFonts w:ascii="Arial Narrow" w:hAnsi="Arial Narrow"/>
                <w:b/>
                <w:sz w:val="20"/>
                <w:szCs w:val="20"/>
              </w:rPr>
            </w:pPr>
            <w:r w:rsidRPr="009C01D5">
              <w:rPr>
                <w:rFonts w:ascii="Arial Narrow" w:hAnsi="Arial Narrow"/>
                <w:b/>
                <w:sz w:val="20"/>
                <w:szCs w:val="20"/>
              </w:rPr>
              <w:t>Method</w:t>
            </w:r>
          </w:p>
        </w:tc>
        <w:tc>
          <w:tcPr>
            <w:tcW w:w="330" w:type="pct"/>
          </w:tcPr>
          <w:p w14:paraId="6BE6C0B8" w14:textId="77777777" w:rsidR="005B28D9" w:rsidRPr="009C01D5" w:rsidRDefault="005B28D9" w:rsidP="00693895">
            <w:pPr>
              <w:pStyle w:val="TableTextcentred"/>
              <w:keepNext/>
              <w:contextualSpacing/>
              <w:rPr>
                <w:rFonts w:ascii="Arial Narrow" w:hAnsi="Arial Narrow"/>
                <w:b/>
                <w:sz w:val="20"/>
                <w:szCs w:val="20"/>
              </w:rPr>
            </w:pPr>
            <w:r w:rsidRPr="009C01D5">
              <w:rPr>
                <w:rFonts w:ascii="Arial Narrow" w:hAnsi="Arial Narrow"/>
                <w:b/>
                <w:sz w:val="20"/>
                <w:szCs w:val="20"/>
              </w:rPr>
              <w:t>N trials</w:t>
            </w:r>
          </w:p>
        </w:tc>
        <w:tc>
          <w:tcPr>
            <w:tcW w:w="998" w:type="pct"/>
          </w:tcPr>
          <w:p w14:paraId="0E7C53E0" w14:textId="77777777" w:rsidR="005B28D9" w:rsidRPr="009C01D5" w:rsidRDefault="005B28D9" w:rsidP="00693895">
            <w:pPr>
              <w:pStyle w:val="TableTextcentred"/>
              <w:keepNext/>
              <w:contextualSpacing/>
              <w:rPr>
                <w:rFonts w:ascii="Arial Narrow" w:hAnsi="Arial Narrow"/>
                <w:b/>
                <w:sz w:val="20"/>
                <w:szCs w:val="20"/>
              </w:rPr>
            </w:pPr>
            <w:r w:rsidRPr="009C01D5">
              <w:rPr>
                <w:rFonts w:ascii="Arial Narrow" w:hAnsi="Arial Narrow"/>
                <w:b/>
                <w:sz w:val="20"/>
                <w:szCs w:val="20"/>
              </w:rPr>
              <w:t xml:space="preserve">Pooled outcome </w:t>
            </w:r>
            <w:r w:rsidRPr="009C01D5">
              <w:rPr>
                <w:rFonts w:ascii="Arial Narrow" w:hAnsi="Arial Narrow"/>
                <w:b/>
                <w:sz w:val="20"/>
                <w:szCs w:val="20"/>
              </w:rPr>
              <w:br/>
              <w:t>(95% CI)</w:t>
            </w:r>
          </w:p>
        </w:tc>
        <w:tc>
          <w:tcPr>
            <w:tcW w:w="370" w:type="pct"/>
          </w:tcPr>
          <w:p w14:paraId="52AA63C2" w14:textId="77777777" w:rsidR="005B28D9" w:rsidRPr="009C01D5" w:rsidRDefault="005B28D9" w:rsidP="00693895">
            <w:pPr>
              <w:pStyle w:val="TableTextcentred"/>
              <w:keepNext/>
              <w:contextualSpacing/>
              <w:rPr>
                <w:rFonts w:ascii="Arial Narrow" w:hAnsi="Arial Narrow" w:cs="Calibri"/>
                <w:b/>
                <w:sz w:val="20"/>
                <w:szCs w:val="20"/>
                <w:vertAlign w:val="subscript"/>
              </w:rPr>
            </w:pPr>
            <w:r w:rsidRPr="009C01D5">
              <w:rPr>
                <w:rFonts w:ascii="Arial Narrow" w:hAnsi="Arial Narrow"/>
                <w:b/>
                <w:sz w:val="20"/>
                <w:szCs w:val="20"/>
              </w:rPr>
              <w:t>I</w:t>
            </w:r>
            <w:r w:rsidRPr="009C01D5">
              <w:rPr>
                <w:rFonts w:ascii="Arial Narrow" w:hAnsi="Arial Narrow"/>
                <w:b/>
                <w:sz w:val="20"/>
                <w:szCs w:val="20"/>
                <w:vertAlign w:val="superscript"/>
              </w:rPr>
              <w:t>2</w:t>
            </w:r>
            <w:r w:rsidRPr="009C01D5">
              <w:rPr>
                <w:rFonts w:ascii="Arial Narrow" w:hAnsi="Arial Narrow"/>
                <w:b/>
                <w:sz w:val="20"/>
                <w:szCs w:val="20"/>
                <w:vertAlign w:val="subscript"/>
              </w:rPr>
              <w:t xml:space="preserve"> </w:t>
            </w:r>
            <w:r w:rsidRPr="009C01D5">
              <w:rPr>
                <w:rFonts w:ascii="Arial Narrow" w:hAnsi="Arial Narrow"/>
                <w:b/>
                <w:sz w:val="20"/>
                <w:szCs w:val="20"/>
              </w:rPr>
              <w:t>(%)</w:t>
            </w:r>
          </w:p>
        </w:tc>
        <w:tc>
          <w:tcPr>
            <w:tcW w:w="301" w:type="pct"/>
          </w:tcPr>
          <w:p w14:paraId="6DC1E9D5" w14:textId="77777777" w:rsidR="005B28D9" w:rsidRPr="009C01D5" w:rsidRDefault="005B28D9" w:rsidP="00693895">
            <w:pPr>
              <w:pStyle w:val="TableTextcentred"/>
              <w:keepNext/>
              <w:contextualSpacing/>
              <w:rPr>
                <w:rFonts w:ascii="Arial Narrow" w:hAnsi="Arial Narrow"/>
                <w:b/>
                <w:sz w:val="20"/>
                <w:szCs w:val="20"/>
              </w:rPr>
            </w:pPr>
            <w:r w:rsidRPr="009C01D5">
              <w:rPr>
                <w:rFonts w:ascii="Arial Narrow" w:hAnsi="Arial Narrow" w:cs="Calibri"/>
                <w:b/>
                <w:sz w:val="20"/>
                <w:szCs w:val="20"/>
              </w:rPr>
              <w:t>Q</w:t>
            </w:r>
            <w:r w:rsidRPr="009C01D5">
              <w:rPr>
                <w:rFonts w:ascii="Arial Narrow" w:hAnsi="Arial Narrow"/>
                <w:b/>
                <w:sz w:val="20"/>
                <w:szCs w:val="20"/>
              </w:rPr>
              <w:t xml:space="preserve"> </w:t>
            </w:r>
          </w:p>
        </w:tc>
        <w:tc>
          <w:tcPr>
            <w:tcW w:w="407" w:type="pct"/>
          </w:tcPr>
          <w:p w14:paraId="433480D9" w14:textId="77777777" w:rsidR="005B28D9" w:rsidRPr="009C01D5" w:rsidRDefault="005B28D9" w:rsidP="00693895">
            <w:pPr>
              <w:pStyle w:val="TableTextcentred"/>
              <w:keepNext/>
              <w:contextualSpacing/>
              <w:rPr>
                <w:rFonts w:ascii="Arial Narrow" w:hAnsi="Arial Narrow" w:cs="Calibri"/>
                <w:b/>
                <w:sz w:val="20"/>
                <w:szCs w:val="20"/>
              </w:rPr>
            </w:pPr>
            <w:r w:rsidRPr="009C01D5">
              <w:rPr>
                <w:rFonts w:ascii="Arial Narrow" w:hAnsi="Arial Narrow" w:cs="Calibri"/>
                <w:b/>
                <w:sz w:val="20"/>
                <w:szCs w:val="20"/>
              </w:rPr>
              <w:t>df</w:t>
            </w:r>
          </w:p>
        </w:tc>
        <w:tc>
          <w:tcPr>
            <w:tcW w:w="750" w:type="pct"/>
          </w:tcPr>
          <w:p w14:paraId="503FD109" w14:textId="77777777" w:rsidR="005B28D9" w:rsidRPr="009C01D5" w:rsidRDefault="005B28D9" w:rsidP="00693895">
            <w:pPr>
              <w:pStyle w:val="TableTextcentred"/>
              <w:keepNext/>
              <w:contextualSpacing/>
              <w:rPr>
                <w:rFonts w:ascii="Arial Narrow" w:hAnsi="Arial Narrow" w:cs="Calibri"/>
                <w:b/>
                <w:sz w:val="20"/>
                <w:szCs w:val="20"/>
                <w:vertAlign w:val="superscript"/>
              </w:rPr>
            </w:pPr>
            <w:r w:rsidRPr="009C01D5">
              <w:rPr>
                <w:rFonts w:ascii="Arial Narrow" w:hAnsi="Arial Narrow" w:cs="Calibri"/>
                <w:b/>
                <w:sz w:val="20"/>
                <w:szCs w:val="20"/>
              </w:rPr>
              <w:t>p-value</w:t>
            </w:r>
            <w:r w:rsidRPr="009C01D5">
              <w:rPr>
                <w:rFonts w:ascii="Arial Narrow" w:hAnsi="Arial Narrow" w:cs="Calibri"/>
                <w:b/>
                <w:sz w:val="20"/>
                <w:szCs w:val="20"/>
                <w:vertAlign w:val="superscript"/>
              </w:rPr>
              <w:t>1</w:t>
            </w:r>
          </w:p>
        </w:tc>
      </w:tr>
      <w:tr w:rsidR="005B28D9" w:rsidRPr="009C01D5" w14:paraId="2E64B678" w14:textId="77777777" w:rsidTr="005C1D4B">
        <w:tc>
          <w:tcPr>
            <w:tcW w:w="711" w:type="pct"/>
          </w:tcPr>
          <w:p w14:paraId="17A415D3"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Cariprazine</w:t>
            </w:r>
          </w:p>
        </w:tc>
        <w:tc>
          <w:tcPr>
            <w:tcW w:w="1132" w:type="pct"/>
          </w:tcPr>
          <w:p w14:paraId="0CE5F00F"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MMRM</w:t>
            </w:r>
          </w:p>
        </w:tc>
        <w:tc>
          <w:tcPr>
            <w:tcW w:w="330" w:type="pct"/>
          </w:tcPr>
          <w:p w14:paraId="6C372FF6"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w:t>
            </w:r>
          </w:p>
        </w:tc>
        <w:tc>
          <w:tcPr>
            <w:tcW w:w="998" w:type="pct"/>
          </w:tcPr>
          <w:p w14:paraId="1C37D945" w14:textId="77777777" w:rsidR="00910EAE"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-7.275 </w:t>
            </w:r>
          </w:p>
          <w:p w14:paraId="2596EAEF"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(-9.375, -5.176)</w:t>
            </w:r>
          </w:p>
        </w:tc>
        <w:tc>
          <w:tcPr>
            <w:tcW w:w="370" w:type="pct"/>
          </w:tcPr>
          <w:p w14:paraId="29BF9583"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0.00</w:t>
            </w:r>
          </w:p>
        </w:tc>
        <w:tc>
          <w:tcPr>
            <w:tcW w:w="301" w:type="pct"/>
          </w:tcPr>
          <w:p w14:paraId="35D78F64"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1.40</w:t>
            </w:r>
          </w:p>
        </w:tc>
        <w:tc>
          <w:tcPr>
            <w:tcW w:w="407" w:type="pct"/>
          </w:tcPr>
          <w:p w14:paraId="29A4D023"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w:t>
            </w:r>
          </w:p>
        </w:tc>
        <w:tc>
          <w:tcPr>
            <w:tcW w:w="750" w:type="pct"/>
          </w:tcPr>
          <w:p w14:paraId="32D19C44"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0.7044</w:t>
            </w:r>
          </w:p>
        </w:tc>
      </w:tr>
      <w:tr w:rsidR="005B28D9" w:rsidRPr="009C01D5" w14:paraId="15928196" w14:textId="77777777" w:rsidTr="005C1D4B">
        <w:tc>
          <w:tcPr>
            <w:tcW w:w="711" w:type="pct"/>
          </w:tcPr>
          <w:p w14:paraId="68B8E44C"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Cariprazine</w:t>
            </w:r>
          </w:p>
        </w:tc>
        <w:tc>
          <w:tcPr>
            <w:tcW w:w="1132" w:type="pct"/>
          </w:tcPr>
          <w:p w14:paraId="181B151F"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ANCOVA – LOCF</w:t>
            </w:r>
          </w:p>
        </w:tc>
        <w:tc>
          <w:tcPr>
            <w:tcW w:w="330" w:type="pct"/>
          </w:tcPr>
          <w:p w14:paraId="6206141C"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w:t>
            </w:r>
          </w:p>
        </w:tc>
        <w:tc>
          <w:tcPr>
            <w:tcW w:w="998" w:type="pct"/>
          </w:tcPr>
          <w:p w14:paraId="1E3E6BD0"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-6.926 </w:t>
            </w:r>
          </w:p>
          <w:p w14:paraId="5BBAC4C8"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(-8.828, -5.024)</w:t>
            </w:r>
          </w:p>
        </w:tc>
        <w:tc>
          <w:tcPr>
            <w:tcW w:w="370" w:type="pct"/>
          </w:tcPr>
          <w:p w14:paraId="271C0BAB"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0.00</w:t>
            </w:r>
          </w:p>
        </w:tc>
        <w:tc>
          <w:tcPr>
            <w:tcW w:w="301" w:type="pct"/>
          </w:tcPr>
          <w:p w14:paraId="79F85EE2"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2.25</w:t>
            </w:r>
          </w:p>
        </w:tc>
        <w:tc>
          <w:tcPr>
            <w:tcW w:w="407" w:type="pct"/>
          </w:tcPr>
          <w:p w14:paraId="485CF40B"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w:t>
            </w:r>
          </w:p>
        </w:tc>
        <w:tc>
          <w:tcPr>
            <w:tcW w:w="750" w:type="pct"/>
          </w:tcPr>
          <w:p w14:paraId="310B3239"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0.5222</w:t>
            </w:r>
          </w:p>
        </w:tc>
      </w:tr>
      <w:tr w:rsidR="005B28D9" w:rsidRPr="009C01D5" w14:paraId="1668A7C5" w14:textId="77777777" w:rsidTr="005C1D4B">
        <w:tc>
          <w:tcPr>
            <w:tcW w:w="711" w:type="pct"/>
          </w:tcPr>
          <w:p w14:paraId="308218E8"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Cariprazine</w:t>
            </w:r>
          </w:p>
        </w:tc>
        <w:tc>
          <w:tcPr>
            <w:tcW w:w="1132" w:type="pct"/>
          </w:tcPr>
          <w:p w14:paraId="0A0245B7"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ANCOVA – LOCF</w:t>
            </w:r>
            <w:r w:rsidRPr="009C01D5">
              <w:rPr>
                <w:rFonts w:ascii="Arial Narrow" w:hAnsi="Arial Narrow"/>
                <w:sz w:val="20"/>
                <w:szCs w:val="20"/>
              </w:rPr>
              <w:br/>
              <w:t>(excluding RGH-MD-04)</w:t>
            </w:r>
          </w:p>
        </w:tc>
        <w:tc>
          <w:tcPr>
            <w:tcW w:w="330" w:type="pct"/>
          </w:tcPr>
          <w:p w14:paraId="14393142"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w:t>
            </w:r>
          </w:p>
        </w:tc>
        <w:tc>
          <w:tcPr>
            <w:tcW w:w="998" w:type="pct"/>
          </w:tcPr>
          <w:p w14:paraId="71237828"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-7.010 </w:t>
            </w:r>
          </w:p>
          <w:p w14:paraId="78C585CC"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(-9.441, -4.579)</w:t>
            </w:r>
          </w:p>
        </w:tc>
        <w:tc>
          <w:tcPr>
            <w:tcW w:w="370" w:type="pct"/>
          </w:tcPr>
          <w:p w14:paraId="4CAAD945"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9.74</w:t>
            </w:r>
          </w:p>
        </w:tc>
        <w:tc>
          <w:tcPr>
            <w:tcW w:w="301" w:type="pct"/>
          </w:tcPr>
          <w:p w14:paraId="515E1723"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2.22</w:t>
            </w:r>
          </w:p>
        </w:tc>
        <w:tc>
          <w:tcPr>
            <w:tcW w:w="407" w:type="pct"/>
          </w:tcPr>
          <w:p w14:paraId="21AA8936"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2</w:t>
            </w:r>
          </w:p>
        </w:tc>
        <w:tc>
          <w:tcPr>
            <w:tcW w:w="750" w:type="pct"/>
          </w:tcPr>
          <w:p w14:paraId="265E9AE2"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0.3303</w:t>
            </w:r>
          </w:p>
        </w:tc>
      </w:tr>
      <w:tr w:rsidR="005B28D9" w:rsidRPr="009C01D5" w14:paraId="2427AC82" w14:textId="77777777" w:rsidTr="005C1D4B">
        <w:tc>
          <w:tcPr>
            <w:tcW w:w="711" w:type="pct"/>
          </w:tcPr>
          <w:p w14:paraId="47F8F7F9"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Aripiprazole</w:t>
            </w:r>
          </w:p>
        </w:tc>
        <w:tc>
          <w:tcPr>
            <w:tcW w:w="1132" w:type="pct"/>
          </w:tcPr>
          <w:p w14:paraId="354DE945"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ANCOVA – LOCF</w:t>
            </w:r>
          </w:p>
        </w:tc>
        <w:tc>
          <w:tcPr>
            <w:tcW w:w="330" w:type="pct"/>
          </w:tcPr>
          <w:p w14:paraId="08FABF6E"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6</w:t>
            </w:r>
          </w:p>
        </w:tc>
        <w:tc>
          <w:tcPr>
            <w:tcW w:w="998" w:type="pct"/>
          </w:tcPr>
          <w:p w14:paraId="168E9DC1"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-8.306 </w:t>
            </w:r>
          </w:p>
          <w:p w14:paraId="7846B0D4"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(-10.421, -6.192)</w:t>
            </w:r>
          </w:p>
        </w:tc>
        <w:tc>
          <w:tcPr>
            <w:tcW w:w="370" w:type="pct"/>
          </w:tcPr>
          <w:p w14:paraId="4AFAAC4D"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0.00</w:t>
            </w:r>
          </w:p>
        </w:tc>
        <w:tc>
          <w:tcPr>
            <w:tcW w:w="301" w:type="pct"/>
          </w:tcPr>
          <w:p w14:paraId="0DB0E669"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4.49</w:t>
            </w:r>
          </w:p>
        </w:tc>
        <w:tc>
          <w:tcPr>
            <w:tcW w:w="407" w:type="pct"/>
          </w:tcPr>
          <w:p w14:paraId="5683F4DA"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5</w:t>
            </w:r>
          </w:p>
        </w:tc>
        <w:tc>
          <w:tcPr>
            <w:tcW w:w="750" w:type="pct"/>
          </w:tcPr>
          <w:p w14:paraId="1F553D91"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0.4818</w:t>
            </w:r>
          </w:p>
        </w:tc>
      </w:tr>
      <w:tr w:rsidR="005B28D9" w:rsidRPr="009C01D5" w14:paraId="77F5AF6B" w14:textId="77777777" w:rsidTr="005C1D4B">
        <w:tc>
          <w:tcPr>
            <w:tcW w:w="711" w:type="pct"/>
          </w:tcPr>
          <w:p w14:paraId="2111BFFC"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Aripiprazole</w:t>
            </w:r>
          </w:p>
        </w:tc>
        <w:tc>
          <w:tcPr>
            <w:tcW w:w="1132" w:type="pct"/>
          </w:tcPr>
          <w:p w14:paraId="40FEE856"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ANCOVA – LOCF 4 or 6 weeks</w:t>
            </w:r>
            <w:r w:rsidRPr="009C01D5">
              <w:rPr>
                <w:rFonts w:ascii="Arial Narrow" w:hAnsi="Arial Narrow"/>
                <w:sz w:val="20"/>
                <w:szCs w:val="20"/>
              </w:rPr>
              <w:br/>
              <w:t>(excluding RGH-MD-04)</w:t>
            </w:r>
          </w:p>
        </w:tc>
        <w:tc>
          <w:tcPr>
            <w:tcW w:w="330" w:type="pct"/>
          </w:tcPr>
          <w:p w14:paraId="0E23F127"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5</w:t>
            </w:r>
          </w:p>
        </w:tc>
        <w:tc>
          <w:tcPr>
            <w:tcW w:w="998" w:type="pct"/>
          </w:tcPr>
          <w:p w14:paraId="13E72AB4"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-8.497 </w:t>
            </w:r>
          </w:p>
          <w:p w14:paraId="265E0473"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(-11.145, -5.849)</w:t>
            </w:r>
          </w:p>
        </w:tc>
        <w:tc>
          <w:tcPr>
            <w:tcW w:w="370" w:type="pct"/>
          </w:tcPr>
          <w:p w14:paraId="7FDD6712"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8.93</w:t>
            </w:r>
          </w:p>
        </w:tc>
        <w:tc>
          <w:tcPr>
            <w:tcW w:w="301" w:type="pct"/>
          </w:tcPr>
          <w:p w14:paraId="6BC81FB0"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4.39</w:t>
            </w:r>
          </w:p>
        </w:tc>
        <w:tc>
          <w:tcPr>
            <w:tcW w:w="407" w:type="pct"/>
          </w:tcPr>
          <w:p w14:paraId="77749068"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w:t>
            </w:r>
          </w:p>
        </w:tc>
        <w:tc>
          <w:tcPr>
            <w:tcW w:w="750" w:type="pct"/>
          </w:tcPr>
          <w:p w14:paraId="4DD4CE28"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0.3555</w:t>
            </w:r>
          </w:p>
        </w:tc>
      </w:tr>
      <w:tr w:rsidR="005B28D9" w:rsidRPr="009C01D5" w14:paraId="238EDD8A" w14:textId="77777777" w:rsidTr="005C1D4B">
        <w:tc>
          <w:tcPr>
            <w:tcW w:w="711" w:type="pct"/>
          </w:tcPr>
          <w:p w14:paraId="27578260"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Aripiprazole</w:t>
            </w:r>
          </w:p>
        </w:tc>
        <w:tc>
          <w:tcPr>
            <w:tcW w:w="1132" w:type="pct"/>
          </w:tcPr>
          <w:p w14:paraId="633162EE"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 xml:space="preserve">ANCOVA – LOCF 6 weeks </w:t>
            </w:r>
          </w:p>
        </w:tc>
        <w:tc>
          <w:tcPr>
            <w:tcW w:w="330" w:type="pct"/>
          </w:tcPr>
          <w:p w14:paraId="78AD3E4B"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w:t>
            </w:r>
          </w:p>
        </w:tc>
        <w:tc>
          <w:tcPr>
            <w:tcW w:w="998" w:type="pct"/>
          </w:tcPr>
          <w:p w14:paraId="293BAA6D"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-7.614 </w:t>
            </w:r>
          </w:p>
          <w:p w14:paraId="7105CFB7"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(-10.399, -4.829)</w:t>
            </w:r>
          </w:p>
        </w:tc>
        <w:tc>
          <w:tcPr>
            <w:tcW w:w="370" w:type="pct"/>
          </w:tcPr>
          <w:p w14:paraId="06FEA18F"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14.81</w:t>
            </w:r>
          </w:p>
        </w:tc>
        <w:tc>
          <w:tcPr>
            <w:tcW w:w="301" w:type="pct"/>
          </w:tcPr>
          <w:p w14:paraId="7188AB03"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3.51</w:t>
            </w:r>
          </w:p>
        </w:tc>
        <w:tc>
          <w:tcPr>
            <w:tcW w:w="407" w:type="pct"/>
          </w:tcPr>
          <w:p w14:paraId="2315778B" w14:textId="77777777" w:rsidR="005B28D9" w:rsidRPr="000B2253" w:rsidRDefault="000B2253" w:rsidP="00F43E0E">
            <w:pPr>
              <w:pStyle w:val="TableTextcentred"/>
              <w:keepNext/>
              <w:rPr>
                <w:rFonts w:ascii="Arial Narrow" w:hAnsi="Arial Narrow"/>
                <w:strike/>
                <w:sz w:val="20"/>
                <w:szCs w:val="20"/>
              </w:rPr>
            </w:pPr>
            <w:r w:rsidRPr="00081D53">
              <w:rPr>
                <w:rFonts w:ascii="Arial Narrow" w:hAnsi="Arial Narrow"/>
                <w:sz w:val="20"/>
                <w:szCs w:val="20"/>
              </w:rPr>
              <w:t>3</w:t>
            </w:r>
          </w:p>
        </w:tc>
        <w:tc>
          <w:tcPr>
            <w:tcW w:w="750" w:type="pct"/>
          </w:tcPr>
          <w:p w14:paraId="0997E73E"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0.3180</w:t>
            </w:r>
          </w:p>
        </w:tc>
      </w:tr>
      <w:tr w:rsidR="005B28D9" w:rsidRPr="009C01D5" w14:paraId="03BBC0E7" w14:textId="77777777" w:rsidTr="005C1D4B">
        <w:tc>
          <w:tcPr>
            <w:tcW w:w="711" w:type="pct"/>
          </w:tcPr>
          <w:p w14:paraId="3AD5AA76"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Aripiprazole</w:t>
            </w:r>
          </w:p>
        </w:tc>
        <w:tc>
          <w:tcPr>
            <w:tcW w:w="1132" w:type="pct"/>
          </w:tcPr>
          <w:p w14:paraId="31F9349B"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ANCOVA – LOCF 6 weeks</w:t>
            </w:r>
            <w:r w:rsidRPr="009C01D5">
              <w:rPr>
                <w:rFonts w:ascii="Arial Narrow" w:hAnsi="Arial Narrow"/>
                <w:sz w:val="20"/>
                <w:szCs w:val="20"/>
              </w:rPr>
              <w:br/>
              <w:t>(excluding RGH-MD-04,Kane (2002) and Potkin (2003))</w:t>
            </w:r>
          </w:p>
        </w:tc>
        <w:tc>
          <w:tcPr>
            <w:tcW w:w="330" w:type="pct"/>
          </w:tcPr>
          <w:p w14:paraId="4063D994"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w:t>
            </w:r>
          </w:p>
        </w:tc>
        <w:tc>
          <w:tcPr>
            <w:tcW w:w="998" w:type="pct"/>
          </w:tcPr>
          <w:p w14:paraId="519ED03E"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-7.339 </w:t>
            </w:r>
          </w:p>
          <w:p w14:paraId="54A7AD51"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(-11.814, -2.864)</w:t>
            </w:r>
          </w:p>
        </w:tc>
        <w:tc>
          <w:tcPr>
            <w:tcW w:w="370" w:type="pct"/>
          </w:tcPr>
          <w:p w14:paraId="3FB0F19D"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43.06</w:t>
            </w:r>
          </w:p>
        </w:tc>
        <w:tc>
          <w:tcPr>
            <w:tcW w:w="301" w:type="pct"/>
          </w:tcPr>
          <w:p w14:paraId="0231F12D"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3.51</w:t>
            </w:r>
          </w:p>
        </w:tc>
        <w:tc>
          <w:tcPr>
            <w:tcW w:w="407" w:type="pct"/>
          </w:tcPr>
          <w:p w14:paraId="50FDF65B"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2</w:t>
            </w:r>
          </w:p>
        </w:tc>
        <w:tc>
          <w:tcPr>
            <w:tcW w:w="750" w:type="pct"/>
          </w:tcPr>
          <w:p w14:paraId="39E0E4F1"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0.1727</w:t>
            </w:r>
          </w:p>
        </w:tc>
      </w:tr>
      <w:tr w:rsidR="005B28D9" w:rsidRPr="009C01D5" w14:paraId="7604F5FD" w14:textId="77777777" w:rsidTr="005C1D4B">
        <w:tc>
          <w:tcPr>
            <w:tcW w:w="711" w:type="pct"/>
          </w:tcPr>
          <w:p w14:paraId="54E41F1B" w14:textId="77777777" w:rsidR="005B28D9" w:rsidRPr="009C01D5" w:rsidRDefault="005B28D9" w:rsidP="00F43E0E">
            <w:pPr>
              <w:pStyle w:val="TableTextleftalign"/>
              <w:keepNext/>
              <w:rPr>
                <w:rFonts w:ascii="Arial Narrow" w:hAnsi="Arial Narrow"/>
                <w:sz w:val="20"/>
                <w:szCs w:val="20"/>
              </w:rPr>
            </w:pPr>
            <w:r w:rsidRPr="009C01D5">
              <w:rPr>
                <w:rFonts w:ascii="Arial Narrow" w:hAnsi="Arial Narrow"/>
                <w:sz w:val="20"/>
                <w:szCs w:val="20"/>
              </w:rPr>
              <w:t>Brexpiprazole</w:t>
            </w:r>
          </w:p>
        </w:tc>
        <w:tc>
          <w:tcPr>
            <w:tcW w:w="1132" w:type="pct"/>
          </w:tcPr>
          <w:p w14:paraId="4E8A29B2" w14:textId="77777777" w:rsidR="005B28D9" w:rsidRPr="009C01D5" w:rsidRDefault="005B28D9" w:rsidP="00F43E0E">
            <w:pPr>
              <w:pStyle w:val="TableTextcentred"/>
              <w:keepNext/>
              <w:jc w:val="left"/>
              <w:rPr>
                <w:rFonts w:ascii="Arial Narrow" w:hAnsi="Arial Narrow"/>
                <w:sz w:val="20"/>
                <w:szCs w:val="20"/>
              </w:rPr>
            </w:pPr>
            <w:r w:rsidRPr="009C01D5">
              <w:rPr>
                <w:rFonts w:ascii="Arial Narrow" w:hAnsi="Arial Narrow"/>
                <w:sz w:val="20"/>
                <w:szCs w:val="20"/>
              </w:rPr>
              <w:t>MMRM</w:t>
            </w:r>
          </w:p>
        </w:tc>
        <w:tc>
          <w:tcPr>
            <w:tcW w:w="330" w:type="pct"/>
          </w:tcPr>
          <w:p w14:paraId="256E782B"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4</w:t>
            </w:r>
          </w:p>
        </w:tc>
        <w:tc>
          <w:tcPr>
            <w:tcW w:w="998" w:type="pct"/>
          </w:tcPr>
          <w:p w14:paraId="1A04CFAF" w14:textId="77777777" w:rsidR="008527F6"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 xml:space="preserve">-5.291 </w:t>
            </w:r>
          </w:p>
          <w:p w14:paraId="45A019AE"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(-7.528, -3.053)</w:t>
            </w:r>
          </w:p>
        </w:tc>
        <w:tc>
          <w:tcPr>
            <w:tcW w:w="370" w:type="pct"/>
          </w:tcPr>
          <w:p w14:paraId="2A060F64"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11.12</w:t>
            </w:r>
          </w:p>
        </w:tc>
        <w:tc>
          <w:tcPr>
            <w:tcW w:w="301" w:type="pct"/>
          </w:tcPr>
          <w:p w14:paraId="45892760"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3.38</w:t>
            </w:r>
          </w:p>
        </w:tc>
        <w:tc>
          <w:tcPr>
            <w:tcW w:w="407" w:type="pct"/>
          </w:tcPr>
          <w:p w14:paraId="39B8629F"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3</w:t>
            </w:r>
          </w:p>
        </w:tc>
        <w:tc>
          <w:tcPr>
            <w:tcW w:w="750" w:type="pct"/>
          </w:tcPr>
          <w:p w14:paraId="71AC31F2" w14:textId="77777777" w:rsidR="005B28D9" w:rsidRPr="009C01D5" w:rsidRDefault="005B28D9" w:rsidP="00F43E0E">
            <w:pPr>
              <w:pStyle w:val="TableTextcentred"/>
              <w:keepNext/>
              <w:rPr>
                <w:rFonts w:ascii="Arial Narrow" w:hAnsi="Arial Narrow"/>
                <w:sz w:val="20"/>
                <w:szCs w:val="20"/>
              </w:rPr>
            </w:pPr>
            <w:r w:rsidRPr="009C01D5">
              <w:rPr>
                <w:rFonts w:ascii="Arial Narrow" w:hAnsi="Arial Narrow"/>
                <w:sz w:val="20"/>
                <w:szCs w:val="20"/>
              </w:rPr>
              <w:t>0.3373</w:t>
            </w:r>
          </w:p>
        </w:tc>
      </w:tr>
    </w:tbl>
    <w:p w14:paraId="375DEC76" w14:textId="77777777" w:rsidR="005B28D9" w:rsidRPr="009C01D5" w:rsidRDefault="005B28D9" w:rsidP="000A2E54">
      <w:pPr>
        <w:pStyle w:val="3-BodyText"/>
        <w:numPr>
          <w:ilvl w:val="0"/>
          <w:numId w:val="0"/>
        </w:numPr>
        <w:jc w:val="left"/>
        <w:rPr>
          <w:rFonts w:ascii="Arial Narrow" w:hAnsi="Arial Narrow"/>
          <w:sz w:val="18"/>
          <w:szCs w:val="18"/>
        </w:rPr>
      </w:pPr>
      <w:r w:rsidRPr="009C01D5">
        <w:rPr>
          <w:rFonts w:ascii="Arial Narrow" w:hAnsi="Arial Narrow"/>
          <w:sz w:val="18"/>
          <w:szCs w:val="18"/>
        </w:rPr>
        <w:t xml:space="preserve">Abbreviations: ANCOVA = analysis of covariance; CI = confidence interval; df = degrees of freedom; LOCF = last observation carried forward; MMRM = Mixed-effects model for repeated measures; N = number </w:t>
      </w:r>
      <w:r w:rsidRPr="009C01D5">
        <w:rPr>
          <w:rFonts w:ascii="Arial Narrow" w:hAnsi="Arial Narrow"/>
          <w:sz w:val="18"/>
          <w:szCs w:val="18"/>
        </w:rPr>
        <w:br/>
        <w:t>Source: Table 2.6.3 p147 of the submission</w:t>
      </w:r>
      <w:r w:rsidRPr="009C01D5">
        <w:rPr>
          <w:rFonts w:ascii="Arial Narrow" w:hAnsi="Arial Narrow"/>
          <w:sz w:val="18"/>
          <w:szCs w:val="18"/>
        </w:rPr>
        <w:br/>
        <w:t>Note: 1. p-value refers to a test of difference across trials</w:t>
      </w:r>
    </w:p>
    <w:p w14:paraId="294546F5" w14:textId="77777777" w:rsidR="00936AB1" w:rsidRPr="009C01D5" w:rsidRDefault="00936AB1" w:rsidP="00936AB1">
      <w:pPr>
        <w:pStyle w:val="3-BodyText"/>
        <w:numPr>
          <w:ilvl w:val="0"/>
          <w:numId w:val="0"/>
        </w:numPr>
        <w:ind w:left="720" w:hanging="720"/>
        <w:rPr>
          <w:u w:val="single"/>
        </w:rPr>
      </w:pPr>
      <w:r w:rsidRPr="009C01D5">
        <w:rPr>
          <w:u w:val="single"/>
        </w:rPr>
        <w:t>ITC</w:t>
      </w:r>
      <w:r w:rsidR="00E222A8" w:rsidRPr="009C01D5">
        <w:rPr>
          <w:u w:val="single"/>
        </w:rPr>
        <w:t xml:space="preserve"> in the acute setting</w:t>
      </w:r>
      <w:r w:rsidRPr="009C01D5">
        <w:rPr>
          <w:u w:val="single"/>
        </w:rPr>
        <w:t xml:space="preserve"> </w:t>
      </w:r>
    </w:p>
    <w:p w14:paraId="61BFE18B" w14:textId="77777777" w:rsidR="00BB2BB1" w:rsidRPr="009C01D5" w:rsidRDefault="00936AB1" w:rsidP="00BB2BB1">
      <w:pPr>
        <w:pStyle w:val="3-BodyText"/>
      </w:pPr>
      <w:r w:rsidRPr="009C01D5">
        <w:t xml:space="preserve">The results of </w:t>
      </w:r>
      <w:r w:rsidR="00E222A8" w:rsidRPr="009C01D5">
        <w:t xml:space="preserve">the </w:t>
      </w:r>
      <w:r w:rsidRPr="009C01D5">
        <w:t xml:space="preserve">ITC for the PANSS total score are presented in Table </w:t>
      </w:r>
      <w:r w:rsidR="004D7622" w:rsidRPr="009C01D5">
        <w:t>9</w:t>
      </w:r>
      <w:r w:rsidR="00742E4D" w:rsidRPr="009C01D5">
        <w:t xml:space="preserve"> and Table 10</w:t>
      </w:r>
      <w:r w:rsidRPr="009C01D5">
        <w:t xml:space="preserve">. The ITC compared cariprazine with aripiprazole and brexpiprazole via </w:t>
      </w:r>
      <w:r w:rsidR="00E222A8" w:rsidRPr="009C01D5">
        <w:t xml:space="preserve">a </w:t>
      </w:r>
      <w:r w:rsidRPr="009C01D5">
        <w:t xml:space="preserve">common placebo arm. The ITC presented by the submission was based on the results of the meta-analyses of the acute trials. </w:t>
      </w:r>
      <w:r w:rsidR="00BB2BB1" w:rsidRPr="009C01D5">
        <w:t xml:space="preserve">The submission noted that the trials differed in placebo response with the aripiprazole trials having the lowest reduction in PANSS total score from baseline (range of 2.3-5.3 vs. 9.7-16.0 and 12.01-17.28 in the cariprazine and brexpiprazole trials respectively). </w:t>
      </w:r>
      <w:r w:rsidR="00BB2BB1" w:rsidRPr="009C01D5">
        <w:rPr>
          <w:iCs/>
        </w:rPr>
        <w:t xml:space="preserve">This difference may reflect underlying issues of transitivity across the trials. </w:t>
      </w:r>
      <w:r w:rsidR="00BB2BB1" w:rsidRPr="009C01D5">
        <w:t xml:space="preserve">The submission noted that the difference in placebo response was likely to have biased the results of the ITC in favour of the aripiprazole trials. </w:t>
      </w:r>
      <w:r w:rsidR="00BB2BB1" w:rsidRPr="009C01D5">
        <w:rPr>
          <w:iCs/>
        </w:rPr>
        <w:t xml:space="preserve">The </w:t>
      </w:r>
      <w:r w:rsidR="00766A09" w:rsidRPr="009C01D5">
        <w:rPr>
          <w:iCs/>
        </w:rPr>
        <w:t>ESC considered that the</w:t>
      </w:r>
      <w:r w:rsidR="00766A09" w:rsidRPr="009C01D5">
        <w:rPr>
          <w:i/>
          <w:iCs/>
        </w:rPr>
        <w:t xml:space="preserve"> </w:t>
      </w:r>
      <w:r w:rsidR="00BB2BB1" w:rsidRPr="009C01D5">
        <w:rPr>
          <w:iCs/>
        </w:rPr>
        <w:t>submission’s conclusion on the potential for bias from differences in the placebo response seem</w:t>
      </w:r>
      <w:r w:rsidR="000C5EFE" w:rsidRPr="009C01D5">
        <w:rPr>
          <w:iCs/>
        </w:rPr>
        <w:t>ed</w:t>
      </w:r>
      <w:r w:rsidR="00BB2BB1" w:rsidRPr="009C01D5">
        <w:rPr>
          <w:iCs/>
        </w:rPr>
        <w:t xml:space="preserve"> reasonable.</w:t>
      </w:r>
    </w:p>
    <w:p w14:paraId="193C88B6" w14:textId="77777777" w:rsidR="00936AB1" w:rsidRPr="009C01D5" w:rsidRDefault="00936AB1" w:rsidP="00936AB1">
      <w:pPr>
        <w:pStyle w:val="3-BodyText"/>
      </w:pPr>
      <w:r w:rsidRPr="009C01D5">
        <w:t>Based on the results of the ITC, the submission stated that cariprazine is non-inferior to aripiprazole</w:t>
      </w:r>
      <w:r w:rsidR="00E222A8" w:rsidRPr="009C01D5">
        <w:t xml:space="preserve"> </w:t>
      </w:r>
      <w:r w:rsidR="008F79FD" w:rsidRPr="009C01D5">
        <w:t xml:space="preserve">and brexpiprazole </w:t>
      </w:r>
      <w:r w:rsidR="00E222A8" w:rsidRPr="009C01D5">
        <w:t>with respect to efficacy</w:t>
      </w:r>
      <w:r w:rsidRPr="009C01D5">
        <w:t xml:space="preserve">; results of the analysis showed no statistically significant differences between cariprazine </w:t>
      </w:r>
      <w:r w:rsidR="008F79FD" w:rsidRPr="009C01D5">
        <w:t xml:space="preserve">compared with </w:t>
      </w:r>
      <w:r w:rsidRPr="009C01D5">
        <w:t xml:space="preserve"> aripiprazole</w:t>
      </w:r>
      <w:r w:rsidR="008F79FD" w:rsidRPr="009C01D5">
        <w:t xml:space="preserve"> and brexpiprazole</w:t>
      </w:r>
      <w:r w:rsidRPr="009C01D5">
        <w:t xml:space="preserve"> in terms of the reduction in PANSS total score</w:t>
      </w:r>
      <w:r w:rsidR="000C5EFE" w:rsidRPr="009C01D5">
        <w:t xml:space="preserve"> (Table 9</w:t>
      </w:r>
      <w:r w:rsidR="008F79FD" w:rsidRPr="009C01D5">
        <w:t xml:space="preserve"> and Table 10</w:t>
      </w:r>
      <w:r w:rsidR="000C5EFE" w:rsidRPr="009C01D5">
        <w:t>)</w:t>
      </w:r>
      <w:r w:rsidRPr="009C01D5">
        <w:t xml:space="preserve">. The submission stated that the 95% </w:t>
      </w:r>
      <w:r w:rsidR="000C5EFE" w:rsidRPr="009C01D5">
        <w:t xml:space="preserve">CI </w:t>
      </w:r>
      <w:r w:rsidRPr="009C01D5">
        <w:t>around the estimated effect size excluded a difference of 7 points in the PANSS total score in favour of aripiprazole</w:t>
      </w:r>
      <w:r w:rsidR="008F79FD" w:rsidRPr="009C01D5">
        <w:t xml:space="preserve"> (Table 9) and brexpiprazole (Table 10)</w:t>
      </w:r>
      <w:r w:rsidRPr="009C01D5">
        <w:t>. The</w:t>
      </w:r>
      <w:r w:rsidR="00C11016" w:rsidRPr="009C01D5">
        <w:rPr>
          <w:i/>
        </w:rPr>
        <w:t xml:space="preserve"> </w:t>
      </w:r>
      <w:r w:rsidR="00C11016" w:rsidRPr="009C01D5">
        <w:t>ESC considered that this</w:t>
      </w:r>
      <w:r w:rsidRPr="009C01D5">
        <w:t xml:space="preserve"> conclusion seemed reasonable, noting the potential issues of transitivity across the trials</w:t>
      </w:r>
      <w:r w:rsidR="00CF2D3B" w:rsidRPr="009C01D5">
        <w:t xml:space="preserve"> (see paragraph 6.</w:t>
      </w:r>
      <w:r w:rsidR="00E21C32" w:rsidRPr="009C01D5">
        <w:t>7</w:t>
      </w:r>
      <w:r w:rsidR="00CF2D3B" w:rsidRPr="009C01D5">
        <w:t>)</w:t>
      </w:r>
      <w:r w:rsidRPr="009C01D5">
        <w:t>.</w:t>
      </w:r>
    </w:p>
    <w:p w14:paraId="42556138" w14:textId="77777777" w:rsidR="00693895" w:rsidRPr="009C01D5" w:rsidRDefault="00693895" w:rsidP="00693895">
      <w:pPr>
        <w:pStyle w:val="3-BodyText"/>
      </w:pPr>
      <w:r w:rsidRPr="009C01D5">
        <w:t>Data from the RGH-MD-04 trial w</w:t>
      </w:r>
      <w:r w:rsidR="00D233E7" w:rsidRPr="009C01D5">
        <w:t>ere</w:t>
      </w:r>
      <w:r w:rsidRPr="009C01D5">
        <w:t xml:space="preserve"> excluded from the meta-analyses for </w:t>
      </w:r>
      <w:r w:rsidR="00D233E7" w:rsidRPr="009C01D5">
        <w:t xml:space="preserve">the ITC </w:t>
      </w:r>
      <w:r w:rsidRPr="009C01D5">
        <w:t xml:space="preserve">versus cariprazine, as post-hoc direct comparisons were carried out. </w:t>
      </w:r>
    </w:p>
    <w:p w14:paraId="607F7689" w14:textId="77777777" w:rsidR="00936AB1" w:rsidRPr="009C01D5" w:rsidRDefault="00936AB1" w:rsidP="000C5EFE">
      <w:pPr>
        <w:pStyle w:val="TableFigureHeading"/>
        <w:jc w:val="both"/>
      </w:pPr>
      <w:bookmarkStart w:id="25" w:name="_Ref50101175"/>
      <w:r w:rsidRPr="009C01D5">
        <w:t>Table</w:t>
      </w:r>
      <w:bookmarkEnd w:id="25"/>
      <w:r w:rsidR="004D7622" w:rsidRPr="009C01D5">
        <w:t xml:space="preserve"> 9</w:t>
      </w:r>
      <w:r w:rsidRPr="009C01D5">
        <w:t>: Indirect comparisons of cariprazine versus aripiprazole using placebo as a common reference arm, excluding RGH-MD-04</w:t>
      </w:r>
    </w:p>
    <w:tbl>
      <w:tblPr>
        <w:tblStyle w:val="TableGrid"/>
        <w:tblW w:w="8938" w:type="dxa"/>
        <w:tblLook w:val="0620" w:firstRow="1" w:lastRow="0" w:firstColumn="0" w:lastColumn="0" w:noHBand="1" w:noVBand="1"/>
        <w:tblCaption w:val="Table 9: Indirect comparisons of cariprazine versus aripiprazole using placebo as a common reference arm, excluding RGH-MD-04"/>
      </w:tblPr>
      <w:tblGrid>
        <w:gridCol w:w="1619"/>
        <w:gridCol w:w="1624"/>
        <w:gridCol w:w="9"/>
        <w:gridCol w:w="1615"/>
        <w:gridCol w:w="1902"/>
        <w:gridCol w:w="2169"/>
      </w:tblGrid>
      <w:tr w:rsidR="00936AB1" w:rsidRPr="009C01D5" w14:paraId="4028EEF2" w14:textId="77777777" w:rsidTr="005C1D4B">
        <w:trPr>
          <w:trHeight w:val="234"/>
          <w:tblHeader/>
        </w:trPr>
        <w:tc>
          <w:tcPr>
            <w:tcW w:w="3252" w:type="dxa"/>
            <w:gridSpan w:val="3"/>
            <w:vMerge w:val="restart"/>
          </w:tcPr>
          <w:p w14:paraId="14F353C4"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Treatment and duration</w:t>
            </w:r>
          </w:p>
        </w:tc>
        <w:tc>
          <w:tcPr>
            <w:tcW w:w="5686" w:type="dxa"/>
            <w:gridSpan w:val="3"/>
          </w:tcPr>
          <w:p w14:paraId="55E1528E"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Change from baseline in PANSS total score</w:t>
            </w:r>
          </w:p>
        </w:tc>
      </w:tr>
      <w:tr w:rsidR="00936AB1" w:rsidRPr="009C01D5" w14:paraId="61D1470A" w14:textId="77777777" w:rsidTr="005C1D4B">
        <w:trPr>
          <w:trHeight w:val="734"/>
          <w:tblHeader/>
        </w:trPr>
        <w:tc>
          <w:tcPr>
            <w:tcW w:w="3252" w:type="dxa"/>
            <w:gridSpan w:val="3"/>
            <w:vMerge/>
          </w:tcPr>
          <w:p w14:paraId="7D63A030" w14:textId="77777777" w:rsidR="00936AB1" w:rsidRPr="009C01D5" w:rsidRDefault="00936AB1" w:rsidP="00FA4235">
            <w:pPr>
              <w:pStyle w:val="TableTitlecentred"/>
              <w:rPr>
                <w:rFonts w:ascii="Arial Narrow" w:hAnsi="Arial Narrow"/>
                <w:sz w:val="20"/>
              </w:rPr>
            </w:pPr>
          </w:p>
        </w:tc>
        <w:tc>
          <w:tcPr>
            <w:tcW w:w="3517" w:type="dxa"/>
            <w:gridSpan w:val="2"/>
          </w:tcPr>
          <w:p w14:paraId="72054F50"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Treatment effect vs placebo</w:t>
            </w:r>
          </w:p>
          <w:p w14:paraId="50C0B642"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 xml:space="preserve">Effect size (95% CI) </w:t>
            </w:r>
          </w:p>
        </w:tc>
        <w:tc>
          <w:tcPr>
            <w:tcW w:w="2169" w:type="dxa"/>
          </w:tcPr>
          <w:p w14:paraId="0C1CE81B"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Cariprazine vs aripiprazole</w:t>
            </w:r>
          </w:p>
          <w:p w14:paraId="4C011D63"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Effect size (95% CI)</w:t>
            </w:r>
          </w:p>
        </w:tc>
      </w:tr>
      <w:tr w:rsidR="00936AB1" w:rsidRPr="009C01D5" w14:paraId="3BD591B6" w14:textId="77777777" w:rsidTr="005C1D4B">
        <w:trPr>
          <w:trHeight w:val="218"/>
        </w:trPr>
        <w:tc>
          <w:tcPr>
            <w:tcW w:w="1619" w:type="dxa"/>
          </w:tcPr>
          <w:p w14:paraId="349F2FF0"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 xml:space="preserve">Cariprazine </w:t>
            </w:r>
          </w:p>
        </w:tc>
        <w:tc>
          <w:tcPr>
            <w:tcW w:w="1624" w:type="dxa"/>
          </w:tcPr>
          <w:p w14:paraId="59FED3D7"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Aripiprazole</w:t>
            </w:r>
          </w:p>
        </w:tc>
        <w:tc>
          <w:tcPr>
            <w:tcW w:w="1624" w:type="dxa"/>
            <w:gridSpan w:val="2"/>
          </w:tcPr>
          <w:p w14:paraId="2011CE27"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 xml:space="preserve">Cariprazine </w:t>
            </w:r>
          </w:p>
        </w:tc>
        <w:tc>
          <w:tcPr>
            <w:tcW w:w="1902" w:type="dxa"/>
          </w:tcPr>
          <w:p w14:paraId="661E68FC" w14:textId="77777777" w:rsidR="00936AB1" w:rsidRPr="009C01D5" w:rsidRDefault="00936AB1" w:rsidP="00FA4235">
            <w:pPr>
              <w:pStyle w:val="TableTitlecentred"/>
              <w:rPr>
                <w:rFonts w:ascii="Arial Narrow" w:hAnsi="Arial Narrow"/>
                <w:sz w:val="20"/>
              </w:rPr>
            </w:pPr>
            <w:r w:rsidRPr="009C01D5">
              <w:rPr>
                <w:rFonts w:ascii="Arial Narrow" w:hAnsi="Arial Narrow"/>
                <w:sz w:val="20"/>
              </w:rPr>
              <w:t>Aripiprazole</w:t>
            </w:r>
          </w:p>
        </w:tc>
        <w:tc>
          <w:tcPr>
            <w:tcW w:w="2169" w:type="dxa"/>
          </w:tcPr>
          <w:p w14:paraId="37AE7BF1" w14:textId="77777777" w:rsidR="00936AB1" w:rsidRPr="009C01D5" w:rsidRDefault="00936AB1" w:rsidP="00FA4235">
            <w:pPr>
              <w:pStyle w:val="TableTitlecentred"/>
              <w:rPr>
                <w:rFonts w:ascii="Arial Narrow" w:hAnsi="Arial Narrow"/>
                <w:sz w:val="20"/>
              </w:rPr>
            </w:pPr>
          </w:p>
        </w:tc>
      </w:tr>
      <w:tr w:rsidR="00936AB1" w:rsidRPr="009C01D5" w14:paraId="0469091E" w14:textId="77777777" w:rsidTr="005C1D4B">
        <w:trPr>
          <w:trHeight w:val="484"/>
        </w:trPr>
        <w:tc>
          <w:tcPr>
            <w:tcW w:w="1619" w:type="dxa"/>
          </w:tcPr>
          <w:p w14:paraId="0B43BFB3"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1.5–6 mg/day</w:t>
            </w:r>
          </w:p>
          <w:p w14:paraId="411DDB91"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6 weeks </w:t>
            </w:r>
          </w:p>
        </w:tc>
        <w:tc>
          <w:tcPr>
            <w:tcW w:w="1624" w:type="dxa"/>
          </w:tcPr>
          <w:p w14:paraId="317D239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10–30 mg/day</w:t>
            </w:r>
          </w:p>
          <w:p w14:paraId="28CB307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4 or 6 weeks </w:t>
            </w:r>
          </w:p>
        </w:tc>
        <w:tc>
          <w:tcPr>
            <w:tcW w:w="1624" w:type="dxa"/>
            <w:gridSpan w:val="2"/>
          </w:tcPr>
          <w:p w14:paraId="16104D6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-7.01 (-9.44, -4.58)</w:t>
            </w:r>
          </w:p>
        </w:tc>
        <w:tc>
          <w:tcPr>
            <w:tcW w:w="1902" w:type="dxa"/>
          </w:tcPr>
          <w:p w14:paraId="0A765D62"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-8.50 (-11.15, -5.85)</w:t>
            </w:r>
          </w:p>
        </w:tc>
        <w:tc>
          <w:tcPr>
            <w:tcW w:w="2169" w:type="dxa"/>
          </w:tcPr>
          <w:p w14:paraId="79E940D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1.49 (-2.11, 5.08)</w:t>
            </w:r>
          </w:p>
        </w:tc>
      </w:tr>
      <w:tr w:rsidR="00936AB1" w:rsidRPr="009C01D5" w14:paraId="26E4A70E" w14:textId="77777777" w:rsidTr="005C1D4B">
        <w:trPr>
          <w:trHeight w:val="469"/>
        </w:trPr>
        <w:tc>
          <w:tcPr>
            <w:tcW w:w="1619" w:type="dxa"/>
          </w:tcPr>
          <w:p w14:paraId="4C8F805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1.5–6 mg/day</w:t>
            </w:r>
          </w:p>
          <w:p w14:paraId="383C600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6 weeks </w:t>
            </w:r>
          </w:p>
        </w:tc>
        <w:tc>
          <w:tcPr>
            <w:tcW w:w="1624" w:type="dxa"/>
          </w:tcPr>
          <w:p w14:paraId="7F3CCA2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10-20 mg/day</w:t>
            </w:r>
          </w:p>
          <w:p w14:paraId="5A2328C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6 weeks </w:t>
            </w:r>
          </w:p>
        </w:tc>
        <w:tc>
          <w:tcPr>
            <w:tcW w:w="1624" w:type="dxa"/>
            <w:gridSpan w:val="2"/>
          </w:tcPr>
          <w:p w14:paraId="11E1585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-7.01 (-9.44, -4.58)</w:t>
            </w:r>
          </w:p>
        </w:tc>
        <w:tc>
          <w:tcPr>
            <w:tcW w:w="1902" w:type="dxa"/>
          </w:tcPr>
          <w:p w14:paraId="0D0755A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-7.34 (-11.81, -2.86)</w:t>
            </w:r>
          </w:p>
        </w:tc>
        <w:tc>
          <w:tcPr>
            <w:tcW w:w="2169" w:type="dxa"/>
          </w:tcPr>
          <w:p w14:paraId="6D6DC32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0.33 (-4.76, 5.42)</w:t>
            </w:r>
          </w:p>
        </w:tc>
      </w:tr>
    </w:tbl>
    <w:p w14:paraId="2CE98F8A" w14:textId="77777777" w:rsidR="00936AB1" w:rsidRPr="009C01D5" w:rsidRDefault="00936AB1" w:rsidP="000C5EFE">
      <w:pPr>
        <w:rPr>
          <w:rFonts w:ascii="Arial Narrow" w:hAnsi="Arial Narrow"/>
          <w:sz w:val="18"/>
          <w:szCs w:val="18"/>
        </w:rPr>
      </w:pPr>
      <w:r w:rsidRPr="009C01D5">
        <w:rPr>
          <w:rFonts w:ascii="Arial Narrow" w:hAnsi="Arial Narrow"/>
          <w:sz w:val="18"/>
          <w:szCs w:val="18"/>
        </w:rPr>
        <w:t>Abbreviations: CI = confidence interval; mg = milligram; PANSS = Positive and Negative Syndrome Scale (for schizophrenia)</w:t>
      </w:r>
    </w:p>
    <w:p w14:paraId="1734779A" w14:textId="77777777" w:rsidR="008F79FD" w:rsidRPr="009C01D5" w:rsidRDefault="00936AB1" w:rsidP="000A2E54">
      <w:pPr>
        <w:pStyle w:val="TableSource"/>
        <w:spacing w:after="120"/>
        <w:jc w:val="both"/>
        <w:rPr>
          <w:rFonts w:ascii="Arial Narrow" w:hAnsi="Arial Narrow"/>
          <w:i w:val="0"/>
          <w:sz w:val="18"/>
          <w:szCs w:val="18"/>
        </w:rPr>
      </w:pPr>
      <w:r w:rsidRPr="009C01D5">
        <w:rPr>
          <w:rFonts w:ascii="Arial Narrow" w:hAnsi="Arial Narrow"/>
          <w:i w:val="0"/>
          <w:sz w:val="18"/>
          <w:szCs w:val="18"/>
        </w:rPr>
        <w:t>Source: Table 2.6.5 p154 of the submission</w:t>
      </w:r>
    </w:p>
    <w:p w14:paraId="52DD19F3" w14:textId="77777777" w:rsidR="008F79FD" w:rsidRPr="009C01D5" w:rsidRDefault="008F79FD" w:rsidP="008F79FD">
      <w:pPr>
        <w:pStyle w:val="TableFigureHeading"/>
      </w:pPr>
      <w:r w:rsidRPr="009C01D5">
        <w:t>Table 10: Indirect comparisons of cariprazine versus brexpiprazole using placebo as a common reference arm (change from baseline in PANSS total score)</w:t>
      </w:r>
    </w:p>
    <w:tbl>
      <w:tblPr>
        <w:tblStyle w:val="TableGrid"/>
        <w:tblW w:w="0" w:type="auto"/>
        <w:tblInd w:w="-5" w:type="dxa"/>
        <w:tblLook w:val="0620" w:firstRow="1" w:lastRow="0" w:firstColumn="0" w:lastColumn="0" w:noHBand="1" w:noVBand="1"/>
        <w:tblCaption w:val="Table 10: Indirect comparisons of cariprazine versus brexpiprazole using placebo as a common reference arm (change from baseline in PANSS total score)"/>
      </w:tblPr>
      <w:tblGrid>
        <w:gridCol w:w="1626"/>
        <w:gridCol w:w="1622"/>
        <w:gridCol w:w="1693"/>
        <w:gridCol w:w="1695"/>
        <w:gridCol w:w="2386"/>
      </w:tblGrid>
      <w:tr w:rsidR="008F79FD" w:rsidRPr="009C01D5" w14:paraId="1EEFB54B" w14:textId="77777777" w:rsidTr="005C1D4B">
        <w:trPr>
          <w:tblHeader/>
        </w:trPr>
        <w:tc>
          <w:tcPr>
            <w:tcW w:w="3248" w:type="dxa"/>
            <w:gridSpan w:val="2"/>
          </w:tcPr>
          <w:p w14:paraId="0739524D" w14:textId="77777777" w:rsidR="008F79FD" w:rsidRPr="009C01D5" w:rsidRDefault="008F79FD" w:rsidP="00C63CA1">
            <w:pPr>
              <w:pStyle w:val="In-tableHeading"/>
              <w:jc w:val="center"/>
              <w:rPr>
                <w:lang w:val="en-AU"/>
              </w:rPr>
            </w:pPr>
            <w:r w:rsidRPr="009C01D5">
              <w:rPr>
                <w:lang w:val="en-AU"/>
              </w:rPr>
              <w:t>Treatment</w:t>
            </w:r>
          </w:p>
        </w:tc>
        <w:tc>
          <w:tcPr>
            <w:tcW w:w="3388" w:type="dxa"/>
            <w:gridSpan w:val="2"/>
          </w:tcPr>
          <w:p w14:paraId="3D171157" w14:textId="77777777" w:rsidR="008F79FD" w:rsidRPr="009C01D5" w:rsidRDefault="008F79FD" w:rsidP="00C63CA1">
            <w:pPr>
              <w:pStyle w:val="In-tableHeading"/>
              <w:jc w:val="center"/>
              <w:rPr>
                <w:lang w:val="en-AU"/>
              </w:rPr>
            </w:pPr>
            <w:r w:rsidRPr="009C01D5">
              <w:rPr>
                <w:lang w:val="en-AU"/>
              </w:rPr>
              <w:t>Treatment effect vs placebo</w:t>
            </w:r>
          </w:p>
          <w:p w14:paraId="39010761" w14:textId="77777777" w:rsidR="008F79FD" w:rsidRPr="009C01D5" w:rsidRDefault="008F79FD" w:rsidP="00C63CA1">
            <w:pPr>
              <w:pStyle w:val="In-tableHeading"/>
              <w:jc w:val="center"/>
              <w:rPr>
                <w:lang w:val="en-AU"/>
              </w:rPr>
            </w:pPr>
            <w:r w:rsidRPr="009C01D5">
              <w:rPr>
                <w:lang w:val="en-AU"/>
              </w:rPr>
              <w:t>Effect size (95% CI)</w:t>
            </w:r>
          </w:p>
        </w:tc>
        <w:tc>
          <w:tcPr>
            <w:tcW w:w="2386" w:type="dxa"/>
            <w:vMerge w:val="restart"/>
          </w:tcPr>
          <w:p w14:paraId="7784E6BB" w14:textId="77777777" w:rsidR="008F79FD" w:rsidRPr="009C01D5" w:rsidRDefault="008F79FD" w:rsidP="00C63CA1">
            <w:pPr>
              <w:pStyle w:val="In-tableHeading"/>
              <w:jc w:val="center"/>
              <w:rPr>
                <w:lang w:val="en-AU"/>
              </w:rPr>
            </w:pPr>
            <w:r w:rsidRPr="009C01D5">
              <w:rPr>
                <w:lang w:val="en-AU"/>
              </w:rPr>
              <w:t>Cariprazine vs aripiprazole</w:t>
            </w:r>
          </w:p>
          <w:p w14:paraId="4094939D" w14:textId="77777777" w:rsidR="008F79FD" w:rsidRPr="009C01D5" w:rsidRDefault="008F79FD" w:rsidP="00C63CA1">
            <w:pPr>
              <w:pStyle w:val="In-tableHeading"/>
              <w:jc w:val="center"/>
              <w:rPr>
                <w:lang w:val="en-AU"/>
              </w:rPr>
            </w:pPr>
            <w:r w:rsidRPr="009C01D5">
              <w:rPr>
                <w:lang w:val="en-AU"/>
              </w:rPr>
              <w:t>Effect size (95% CI)</w:t>
            </w:r>
          </w:p>
        </w:tc>
      </w:tr>
      <w:tr w:rsidR="008F79FD" w:rsidRPr="009C01D5" w14:paraId="2235B705" w14:textId="77777777" w:rsidTr="005C1D4B">
        <w:trPr>
          <w:tblHeader/>
        </w:trPr>
        <w:tc>
          <w:tcPr>
            <w:tcW w:w="1626" w:type="dxa"/>
          </w:tcPr>
          <w:p w14:paraId="6D0ACE1E" w14:textId="77777777" w:rsidR="008F79FD" w:rsidRPr="009C01D5" w:rsidRDefault="008F79FD" w:rsidP="00C63CA1">
            <w:pPr>
              <w:pStyle w:val="In-tableHeading"/>
              <w:jc w:val="center"/>
              <w:rPr>
                <w:lang w:val="en-AU"/>
              </w:rPr>
            </w:pPr>
            <w:r w:rsidRPr="009C01D5">
              <w:rPr>
                <w:lang w:val="en-AU"/>
              </w:rPr>
              <w:t>Cariprazine</w:t>
            </w:r>
          </w:p>
        </w:tc>
        <w:tc>
          <w:tcPr>
            <w:tcW w:w="1622" w:type="dxa"/>
          </w:tcPr>
          <w:p w14:paraId="529246DD" w14:textId="77777777" w:rsidR="008F79FD" w:rsidRPr="009C01D5" w:rsidRDefault="008F79FD" w:rsidP="00C63CA1">
            <w:pPr>
              <w:pStyle w:val="In-tableHeading"/>
              <w:jc w:val="center"/>
              <w:rPr>
                <w:lang w:val="en-AU"/>
              </w:rPr>
            </w:pPr>
            <w:r w:rsidRPr="009C01D5">
              <w:rPr>
                <w:lang w:val="en-AU"/>
              </w:rPr>
              <w:t>Brexpiprazole</w:t>
            </w:r>
          </w:p>
        </w:tc>
        <w:tc>
          <w:tcPr>
            <w:tcW w:w="1693" w:type="dxa"/>
          </w:tcPr>
          <w:p w14:paraId="50B570C3" w14:textId="77777777" w:rsidR="008F79FD" w:rsidRPr="009C01D5" w:rsidRDefault="008F79FD" w:rsidP="00C63CA1">
            <w:pPr>
              <w:pStyle w:val="In-tableHeading"/>
              <w:jc w:val="center"/>
              <w:rPr>
                <w:lang w:val="en-AU"/>
              </w:rPr>
            </w:pPr>
            <w:r w:rsidRPr="009C01D5">
              <w:rPr>
                <w:lang w:val="en-AU"/>
              </w:rPr>
              <w:t>Cariprazine</w:t>
            </w:r>
          </w:p>
        </w:tc>
        <w:tc>
          <w:tcPr>
            <w:tcW w:w="1695" w:type="dxa"/>
          </w:tcPr>
          <w:p w14:paraId="5BB3D8EE" w14:textId="77777777" w:rsidR="008F79FD" w:rsidRPr="009C01D5" w:rsidRDefault="008F79FD" w:rsidP="00C63CA1">
            <w:pPr>
              <w:pStyle w:val="In-tableHeading"/>
              <w:jc w:val="center"/>
              <w:rPr>
                <w:lang w:val="en-AU"/>
              </w:rPr>
            </w:pPr>
            <w:r w:rsidRPr="009C01D5">
              <w:rPr>
                <w:lang w:val="en-AU"/>
              </w:rPr>
              <w:t>Brexpiprazole</w:t>
            </w:r>
          </w:p>
        </w:tc>
        <w:tc>
          <w:tcPr>
            <w:tcW w:w="2386" w:type="dxa"/>
            <w:vMerge/>
          </w:tcPr>
          <w:p w14:paraId="1D96187A" w14:textId="77777777" w:rsidR="008F79FD" w:rsidRPr="009C01D5" w:rsidRDefault="008F79FD" w:rsidP="00C63CA1">
            <w:pPr>
              <w:pStyle w:val="TableText0"/>
              <w:jc w:val="center"/>
            </w:pPr>
          </w:p>
        </w:tc>
      </w:tr>
      <w:tr w:rsidR="008F79FD" w:rsidRPr="009C01D5" w14:paraId="01EDD750" w14:textId="77777777" w:rsidTr="005C1D4B">
        <w:tc>
          <w:tcPr>
            <w:tcW w:w="1626" w:type="dxa"/>
          </w:tcPr>
          <w:p w14:paraId="01BB0539" w14:textId="77777777" w:rsidR="008F79FD" w:rsidRPr="009C01D5" w:rsidRDefault="008F79FD" w:rsidP="00C63CA1">
            <w:pPr>
              <w:pStyle w:val="TableText0"/>
              <w:jc w:val="center"/>
            </w:pPr>
            <w:r w:rsidRPr="009C01D5">
              <w:t>1.5–6 mg/day</w:t>
            </w:r>
          </w:p>
          <w:p w14:paraId="7EC41D57" w14:textId="77777777" w:rsidR="008F79FD" w:rsidRPr="009C01D5" w:rsidRDefault="008F79FD" w:rsidP="00C63CA1">
            <w:pPr>
              <w:pStyle w:val="TableText0"/>
              <w:jc w:val="center"/>
            </w:pPr>
            <w:r w:rsidRPr="009C01D5">
              <w:t>MMRM 6 weeks</w:t>
            </w:r>
          </w:p>
        </w:tc>
        <w:tc>
          <w:tcPr>
            <w:tcW w:w="1622" w:type="dxa"/>
          </w:tcPr>
          <w:p w14:paraId="44A6974E" w14:textId="77777777" w:rsidR="008F79FD" w:rsidRPr="009C01D5" w:rsidRDefault="008F79FD" w:rsidP="00C63CA1">
            <w:pPr>
              <w:pStyle w:val="TableText0"/>
              <w:jc w:val="center"/>
            </w:pPr>
            <w:r w:rsidRPr="009C01D5">
              <w:t>1–4 mg/day</w:t>
            </w:r>
          </w:p>
          <w:p w14:paraId="4607701D" w14:textId="77777777" w:rsidR="008F79FD" w:rsidRPr="009C01D5" w:rsidRDefault="008F79FD" w:rsidP="00C63CA1">
            <w:pPr>
              <w:pStyle w:val="TableText0"/>
              <w:jc w:val="center"/>
            </w:pPr>
            <w:r w:rsidRPr="009C01D5">
              <w:t>MMRM 6 weeks</w:t>
            </w:r>
          </w:p>
        </w:tc>
        <w:tc>
          <w:tcPr>
            <w:tcW w:w="1693" w:type="dxa"/>
          </w:tcPr>
          <w:p w14:paraId="2664EE24" w14:textId="77777777" w:rsidR="008F79FD" w:rsidRPr="009C01D5" w:rsidRDefault="008F79FD" w:rsidP="00C63CA1">
            <w:pPr>
              <w:pStyle w:val="TableText0"/>
              <w:jc w:val="center"/>
            </w:pPr>
            <w:r w:rsidRPr="009C01D5">
              <w:t>-7.28 (-9.38, -5.18)</w:t>
            </w:r>
          </w:p>
        </w:tc>
        <w:tc>
          <w:tcPr>
            <w:tcW w:w="1695" w:type="dxa"/>
          </w:tcPr>
          <w:p w14:paraId="09109A3F" w14:textId="77777777" w:rsidR="008F79FD" w:rsidRPr="009C01D5" w:rsidRDefault="008F79FD" w:rsidP="00C63CA1">
            <w:pPr>
              <w:pStyle w:val="TableText0"/>
              <w:jc w:val="center"/>
            </w:pPr>
            <w:r w:rsidRPr="009C01D5">
              <w:t>-5.29 (-7.53, -3.05)</w:t>
            </w:r>
          </w:p>
        </w:tc>
        <w:tc>
          <w:tcPr>
            <w:tcW w:w="2386" w:type="dxa"/>
          </w:tcPr>
          <w:p w14:paraId="5CFA1B15" w14:textId="77777777" w:rsidR="008F79FD" w:rsidRPr="009C01D5" w:rsidRDefault="008F79FD" w:rsidP="00C63CA1">
            <w:pPr>
              <w:pStyle w:val="TableText0"/>
              <w:jc w:val="center"/>
            </w:pPr>
            <w:r w:rsidRPr="009C01D5">
              <w:t>-1.99 (-5.05, 1.08)</w:t>
            </w:r>
          </w:p>
        </w:tc>
      </w:tr>
    </w:tbl>
    <w:p w14:paraId="1C69D402" w14:textId="77777777" w:rsidR="008F79FD" w:rsidRPr="009C01D5" w:rsidRDefault="008F79FD" w:rsidP="008F79FD">
      <w:pPr>
        <w:pStyle w:val="3-BodyText"/>
        <w:numPr>
          <w:ilvl w:val="0"/>
          <w:numId w:val="0"/>
        </w:numPr>
        <w:rPr>
          <w:rFonts w:ascii="Arial Narrow" w:hAnsi="Arial Narrow"/>
          <w:sz w:val="18"/>
          <w:szCs w:val="18"/>
        </w:rPr>
      </w:pPr>
      <w:r w:rsidRPr="009C01D5">
        <w:rPr>
          <w:rFonts w:ascii="Arial Narrow" w:hAnsi="Arial Narrow"/>
          <w:sz w:val="18"/>
          <w:szCs w:val="18"/>
        </w:rPr>
        <w:t>Abbreviations: CI = confidence interval; mg = milligram; LS =least squares; SE = standard error; Source: Table 2.6.7 p155 of the submission</w:t>
      </w:r>
    </w:p>
    <w:p w14:paraId="22F71032" w14:textId="77777777" w:rsidR="0060397F" w:rsidRDefault="008208D2" w:rsidP="008E2E0E">
      <w:pPr>
        <w:pStyle w:val="3-BodyText"/>
        <w:numPr>
          <w:ilvl w:val="0"/>
          <w:numId w:val="0"/>
        </w:numPr>
        <w:ind w:left="709"/>
        <w:rPr>
          <w:rFonts w:cstheme="minorHAnsi"/>
        </w:rPr>
      </w:pPr>
      <w:r w:rsidRPr="009C01D5">
        <w:rPr>
          <w:rFonts w:cstheme="minorHAnsi"/>
        </w:rPr>
        <w:t xml:space="preserve">The submission presented the results of a published network meta-analysis (Huhn et al 2019) comparing 32 antipsychotics in adults with acute symptoms of schizophrenia or related disorders (including schizoaffective disorder) using placebo-controlled and head-to-head </w:t>
      </w:r>
      <w:r w:rsidR="00D233E7" w:rsidRPr="009C01D5">
        <w:rPr>
          <w:rFonts w:cstheme="minorHAnsi"/>
        </w:rPr>
        <w:t>RCTs</w:t>
      </w:r>
      <w:r w:rsidRPr="009C01D5">
        <w:rPr>
          <w:rFonts w:cstheme="minorHAnsi"/>
        </w:rPr>
        <w:t>. The results from Huhn 2019 showed an effect size for overall change in symptoms for cariprazine of -0.34 (95% Crl: -0.49 to -0.20), in between the effect sizes for aripiprazole at -0.41 (95% Crl: -0.50 to -0.32) and brexpiprazole at -0.26 (95% Crl: -0.39 to -0.12). There were no statistically significant differences in any of the pairwise comparisons between cariprazine and aripiprazole, nor cariprazine and brexpiprazole.</w:t>
      </w:r>
      <w:r w:rsidRPr="009C01D5">
        <w:t xml:space="preserve"> </w:t>
      </w:r>
      <w:r w:rsidR="006535BD" w:rsidRPr="009C01D5">
        <w:t xml:space="preserve">The results of the network meta-analyses </w:t>
      </w:r>
      <w:r w:rsidR="00482629" w:rsidRPr="009C01D5">
        <w:t>for adverse events (</w:t>
      </w:r>
      <w:r w:rsidRPr="009C01D5">
        <w:rPr>
          <w:rFonts w:cstheme="minorHAnsi"/>
        </w:rPr>
        <w:t>AEs</w:t>
      </w:r>
      <w:r w:rsidR="00482629" w:rsidRPr="009C01D5">
        <w:rPr>
          <w:rFonts w:cstheme="minorHAnsi"/>
        </w:rPr>
        <w:t>)</w:t>
      </w:r>
      <w:r w:rsidRPr="009C01D5">
        <w:rPr>
          <w:rFonts w:cstheme="minorHAnsi"/>
        </w:rPr>
        <w:t xml:space="preserve"> overlapped for cariprazine and the comparators, supporting the conclusion of a non-inferior safety profile across the three treatments. </w:t>
      </w:r>
    </w:p>
    <w:p w14:paraId="7B3512DF" w14:textId="77777777" w:rsidR="00BB2BB1" w:rsidRPr="009C01D5" w:rsidRDefault="00BB2BB1" w:rsidP="00447F13">
      <w:pPr>
        <w:pStyle w:val="3-BodyText"/>
        <w:numPr>
          <w:ilvl w:val="0"/>
          <w:numId w:val="0"/>
        </w:numPr>
        <w:rPr>
          <w:rFonts w:cstheme="minorHAnsi"/>
          <w:u w:val="single"/>
        </w:rPr>
      </w:pPr>
      <w:r w:rsidRPr="009C01D5">
        <w:rPr>
          <w:rFonts w:cstheme="minorHAnsi"/>
          <w:u w:val="single"/>
        </w:rPr>
        <w:t>ITC in the maintenance setting</w:t>
      </w:r>
    </w:p>
    <w:p w14:paraId="3E21E481" w14:textId="77777777" w:rsidR="00BB2BB1" w:rsidRPr="009C01D5" w:rsidRDefault="00BB2BB1" w:rsidP="00BB2BB1">
      <w:pPr>
        <w:pStyle w:val="3-BodyText"/>
        <w:rPr>
          <w:iCs/>
        </w:rPr>
      </w:pPr>
      <w:r w:rsidRPr="009C01D5">
        <w:t>The submission stated that no ITC analysis was performed for trials in the maintenance setting due to differences in trial design.</w:t>
      </w:r>
    </w:p>
    <w:p w14:paraId="35480D7E" w14:textId="77777777" w:rsidR="00936AB1" w:rsidRPr="009C01D5" w:rsidRDefault="00936AB1" w:rsidP="00936AB1">
      <w:pPr>
        <w:pStyle w:val="4-SubsectionHeading"/>
      </w:pPr>
      <w:bookmarkStart w:id="26" w:name="_Toc22897642"/>
      <w:bookmarkStart w:id="27" w:name="_Toc51163085"/>
      <w:r w:rsidRPr="009C01D5">
        <w:t>Comparative harms</w:t>
      </w:r>
      <w:bookmarkEnd w:id="26"/>
      <w:bookmarkEnd w:id="27"/>
    </w:p>
    <w:p w14:paraId="283A7271" w14:textId="77777777" w:rsidR="004E58A6" w:rsidRPr="009C01D5" w:rsidRDefault="004E58A6" w:rsidP="004E58A6">
      <w:pPr>
        <w:pStyle w:val="3-BodyText"/>
        <w:numPr>
          <w:ilvl w:val="0"/>
          <w:numId w:val="0"/>
        </w:numPr>
        <w:ind w:left="720" w:hanging="720"/>
        <w:rPr>
          <w:rFonts w:cstheme="minorHAnsi"/>
          <w:bCs/>
          <w:color w:val="000000" w:themeColor="text1"/>
          <w:u w:val="single"/>
        </w:rPr>
      </w:pPr>
      <w:r w:rsidRPr="009C01D5">
        <w:rPr>
          <w:rFonts w:cstheme="minorHAnsi"/>
          <w:bCs/>
          <w:color w:val="000000" w:themeColor="text1"/>
          <w:u w:val="single"/>
        </w:rPr>
        <w:t>Acute setting trials</w:t>
      </w:r>
    </w:p>
    <w:p w14:paraId="65452075" w14:textId="77777777" w:rsidR="00936AB1" w:rsidRPr="009C01D5" w:rsidRDefault="00936AB1" w:rsidP="00936AB1">
      <w:pPr>
        <w:pStyle w:val="3-BodyText"/>
        <w:rPr>
          <w:rFonts w:ascii="Arial Narrow" w:hAnsi="Arial Narrow"/>
          <w:b/>
          <w:color w:val="000000" w:themeColor="text1"/>
          <w:sz w:val="20"/>
        </w:rPr>
      </w:pPr>
      <w:r w:rsidRPr="009C01D5">
        <w:t xml:space="preserve">A summary of the key AE data for cariprazine and aripiprazole from the RGH-MD-04 trial is presented in </w:t>
      </w:r>
      <w:r w:rsidRPr="009C01D5">
        <w:rPr>
          <w:color w:val="000000" w:themeColor="text1"/>
        </w:rPr>
        <w:t>Table 1</w:t>
      </w:r>
      <w:r w:rsidR="007C3545" w:rsidRPr="009C01D5">
        <w:rPr>
          <w:color w:val="000000" w:themeColor="text1"/>
        </w:rPr>
        <w:t>1</w:t>
      </w:r>
      <w:r w:rsidRPr="009C01D5">
        <w:rPr>
          <w:color w:val="000000" w:themeColor="text1"/>
        </w:rPr>
        <w:t xml:space="preserve">. </w:t>
      </w:r>
      <w:r w:rsidRPr="009C01D5">
        <w:t xml:space="preserve">The submission stated that for most of the AEs, the </w:t>
      </w:r>
      <w:r w:rsidR="00400BBB" w:rsidRPr="009C01D5">
        <w:t>risk differences (</w:t>
      </w:r>
      <w:r w:rsidRPr="009C01D5">
        <w:t>RDs</w:t>
      </w:r>
      <w:r w:rsidR="00400BBB" w:rsidRPr="009C01D5">
        <w:t>)</w:t>
      </w:r>
      <w:r w:rsidRPr="009C01D5">
        <w:t xml:space="preserve"> were minimal and most </w:t>
      </w:r>
      <w:r w:rsidR="00400BBB" w:rsidRPr="009C01D5">
        <w:t>relative risks (</w:t>
      </w:r>
      <w:r w:rsidRPr="009C01D5">
        <w:t>RRs</w:t>
      </w:r>
      <w:r w:rsidR="00400BBB" w:rsidRPr="009C01D5">
        <w:t>)</w:t>
      </w:r>
      <w:r w:rsidRPr="009C01D5">
        <w:t xml:space="preserve"> had wide 95% CIs that crossed 1, indicating no statistically significant difference in incidence and supporting a conclusion of non-inferior safety between cariprazine and aripiprazole. </w:t>
      </w:r>
      <w:r w:rsidRPr="009C01D5">
        <w:rPr>
          <w:iCs/>
        </w:rPr>
        <w:t>Th</w:t>
      </w:r>
      <w:r w:rsidR="00C11016" w:rsidRPr="009C01D5">
        <w:rPr>
          <w:iCs/>
        </w:rPr>
        <w:t>e</w:t>
      </w:r>
      <w:r w:rsidR="004809A8" w:rsidRPr="009C01D5">
        <w:rPr>
          <w:iCs/>
        </w:rPr>
        <w:t xml:space="preserve"> </w:t>
      </w:r>
      <w:r w:rsidR="00C11016" w:rsidRPr="009C01D5">
        <w:rPr>
          <w:iCs/>
        </w:rPr>
        <w:t>ESC considered this</w:t>
      </w:r>
      <w:r w:rsidR="00C11016" w:rsidRPr="009C01D5">
        <w:rPr>
          <w:i/>
          <w:iCs/>
        </w:rPr>
        <w:t xml:space="preserve"> </w:t>
      </w:r>
      <w:r w:rsidR="008C6F24" w:rsidRPr="009C01D5">
        <w:rPr>
          <w:iCs/>
        </w:rPr>
        <w:t>was</w:t>
      </w:r>
      <w:r w:rsidRPr="009C01D5">
        <w:rPr>
          <w:iCs/>
        </w:rPr>
        <w:t xml:space="preserve"> reasonable, noting that RGH-MD-04 was not powered for direct comparisons of events between cariprazine and aripiprazole.</w:t>
      </w:r>
    </w:p>
    <w:p w14:paraId="27FB0651" w14:textId="77777777" w:rsidR="000A2E54" w:rsidRPr="009C01D5" w:rsidRDefault="000A2E54">
      <w:pPr>
        <w:jc w:val="left"/>
        <w:rPr>
          <w:rFonts w:ascii="Arial Narrow" w:eastAsiaTheme="majorEastAsia" w:hAnsi="Arial Narrow" w:cstheme="majorBidi"/>
          <w:b/>
          <w:bCs/>
          <w:sz w:val="20"/>
        </w:rPr>
      </w:pPr>
      <w:bookmarkStart w:id="28" w:name="_Ref50101324"/>
      <w:r w:rsidRPr="009C01D5">
        <w:br w:type="page"/>
      </w:r>
    </w:p>
    <w:p w14:paraId="642E14C9" w14:textId="77777777" w:rsidR="00936AB1" w:rsidRPr="009C01D5" w:rsidRDefault="00936AB1" w:rsidP="00936AB1">
      <w:pPr>
        <w:pStyle w:val="TableFigureHeading"/>
        <w:rPr>
          <w:rStyle w:val="CommentReference"/>
          <w:b/>
          <w:szCs w:val="20"/>
        </w:rPr>
      </w:pPr>
      <w:r w:rsidRPr="009C01D5">
        <w:t xml:space="preserve">Table </w:t>
      </w:r>
      <w:bookmarkEnd w:id="28"/>
      <w:r w:rsidRPr="009C01D5">
        <w:t>1</w:t>
      </w:r>
      <w:r w:rsidR="007C3545" w:rsidRPr="009C01D5">
        <w:t>1</w:t>
      </w:r>
      <w:r w:rsidRPr="009C01D5">
        <w:t>: Summary of key adverse events in RGH-MD-04</w:t>
      </w:r>
    </w:p>
    <w:tbl>
      <w:tblPr>
        <w:tblW w:w="8920" w:type="dxa"/>
        <w:tblInd w:w="-5" w:type="dxa"/>
        <w:tblLayout w:type="fixed"/>
        <w:tblLook w:val="04A0" w:firstRow="1" w:lastRow="0" w:firstColumn="1" w:lastColumn="0" w:noHBand="0" w:noVBand="1"/>
      </w:tblPr>
      <w:tblGrid>
        <w:gridCol w:w="1784"/>
        <w:gridCol w:w="1784"/>
        <w:gridCol w:w="1784"/>
        <w:gridCol w:w="1784"/>
        <w:gridCol w:w="1784"/>
      </w:tblGrid>
      <w:tr w:rsidR="00936AB1" w:rsidRPr="009C01D5" w14:paraId="657F538C" w14:textId="77777777" w:rsidTr="00FA4235">
        <w:trPr>
          <w:trHeight w:val="20"/>
          <w:tblHeader/>
        </w:trPr>
        <w:tc>
          <w:tcPr>
            <w:tcW w:w="1784" w:type="dxa"/>
            <w:tcBorders>
              <w:top w:val="single" w:sz="4" w:space="0" w:color="auto"/>
              <w:left w:val="single" w:sz="4" w:space="0" w:color="auto"/>
              <w:bottom w:val="single" w:sz="4" w:space="0" w:color="auto"/>
              <w:right w:val="single" w:sz="4" w:space="0" w:color="auto"/>
            </w:tcBorders>
          </w:tcPr>
          <w:p w14:paraId="56E0482C" w14:textId="77777777" w:rsidR="00936AB1" w:rsidRPr="009C01D5" w:rsidRDefault="00936AB1" w:rsidP="00FA4235">
            <w:pPr>
              <w:pStyle w:val="TableTextleftalign"/>
              <w:rPr>
                <w:rFonts w:ascii="Arial Narrow" w:hAnsi="Arial Narrow"/>
                <w:b/>
                <w:sz w:val="20"/>
                <w:szCs w:val="20"/>
              </w:rPr>
            </w:pPr>
          </w:p>
        </w:tc>
        <w:tc>
          <w:tcPr>
            <w:tcW w:w="1784" w:type="dxa"/>
            <w:tcBorders>
              <w:top w:val="single" w:sz="4" w:space="0" w:color="auto"/>
              <w:left w:val="single" w:sz="4" w:space="0" w:color="auto"/>
              <w:bottom w:val="single" w:sz="4" w:space="0" w:color="auto"/>
              <w:right w:val="single" w:sz="4" w:space="0" w:color="auto"/>
            </w:tcBorders>
          </w:tcPr>
          <w:p w14:paraId="753DA210" w14:textId="77777777" w:rsidR="00936AB1" w:rsidRPr="009C01D5" w:rsidRDefault="00936AB1" w:rsidP="00FA4235">
            <w:pPr>
              <w:pStyle w:val="TableTextcentred"/>
              <w:rPr>
                <w:rFonts w:ascii="Arial Narrow" w:hAnsi="Arial Narrow"/>
                <w:b/>
                <w:sz w:val="20"/>
                <w:szCs w:val="20"/>
              </w:rPr>
            </w:pPr>
            <w:r w:rsidRPr="009C01D5">
              <w:rPr>
                <w:rFonts w:ascii="Arial Narrow" w:hAnsi="Arial Narrow"/>
                <w:b/>
                <w:sz w:val="20"/>
                <w:szCs w:val="20"/>
              </w:rPr>
              <w:t>Cariprazine n with event/N (%)</w:t>
            </w:r>
          </w:p>
        </w:tc>
        <w:tc>
          <w:tcPr>
            <w:tcW w:w="1784" w:type="dxa"/>
            <w:tcBorders>
              <w:top w:val="single" w:sz="4" w:space="0" w:color="auto"/>
              <w:left w:val="single" w:sz="4" w:space="0" w:color="auto"/>
              <w:bottom w:val="single" w:sz="4" w:space="0" w:color="auto"/>
              <w:right w:val="single" w:sz="4" w:space="0" w:color="auto"/>
            </w:tcBorders>
          </w:tcPr>
          <w:p w14:paraId="587F3719" w14:textId="77777777" w:rsidR="00936AB1" w:rsidRPr="009C01D5" w:rsidRDefault="00936AB1" w:rsidP="00FA4235">
            <w:pPr>
              <w:pStyle w:val="TableTextcentred"/>
              <w:rPr>
                <w:rFonts w:ascii="Arial Narrow" w:hAnsi="Arial Narrow"/>
                <w:b/>
                <w:sz w:val="20"/>
                <w:szCs w:val="20"/>
              </w:rPr>
            </w:pPr>
            <w:r w:rsidRPr="009C01D5">
              <w:rPr>
                <w:rFonts w:ascii="Arial Narrow" w:hAnsi="Arial Narrow"/>
                <w:b/>
                <w:sz w:val="20"/>
                <w:szCs w:val="20"/>
              </w:rPr>
              <w:t xml:space="preserve">Aripiprazole </w:t>
            </w:r>
            <w:r w:rsidRPr="009C01D5">
              <w:rPr>
                <w:rFonts w:ascii="Arial Narrow" w:hAnsi="Arial Narrow"/>
                <w:b/>
                <w:sz w:val="20"/>
                <w:szCs w:val="20"/>
              </w:rPr>
              <w:br/>
              <w:t>10</w:t>
            </w:r>
            <w:r w:rsidR="00C233ED" w:rsidRPr="009C01D5">
              <w:rPr>
                <w:rFonts w:ascii="Arial Narrow" w:hAnsi="Arial Narrow"/>
                <w:b/>
                <w:sz w:val="20"/>
                <w:szCs w:val="20"/>
              </w:rPr>
              <w:t xml:space="preserve"> </w:t>
            </w:r>
            <w:r w:rsidRPr="009C01D5">
              <w:rPr>
                <w:rFonts w:ascii="Arial Narrow" w:hAnsi="Arial Narrow"/>
                <w:b/>
                <w:sz w:val="20"/>
                <w:szCs w:val="20"/>
              </w:rPr>
              <w:t>mg/day n with event/N (%)</w:t>
            </w:r>
          </w:p>
        </w:tc>
        <w:tc>
          <w:tcPr>
            <w:tcW w:w="1784" w:type="dxa"/>
            <w:tcBorders>
              <w:top w:val="single" w:sz="4" w:space="0" w:color="auto"/>
              <w:left w:val="single" w:sz="4" w:space="0" w:color="auto"/>
              <w:bottom w:val="single" w:sz="4" w:space="0" w:color="auto"/>
              <w:right w:val="single" w:sz="4" w:space="0" w:color="auto"/>
            </w:tcBorders>
          </w:tcPr>
          <w:p w14:paraId="23719A84" w14:textId="77777777" w:rsidR="00936AB1" w:rsidRPr="009C01D5" w:rsidRDefault="00936AB1" w:rsidP="00FA4235">
            <w:pPr>
              <w:pStyle w:val="TableTextcentred"/>
              <w:rPr>
                <w:rFonts w:ascii="Arial Narrow" w:hAnsi="Arial Narrow"/>
                <w:b/>
                <w:sz w:val="20"/>
                <w:szCs w:val="20"/>
              </w:rPr>
            </w:pPr>
            <w:r w:rsidRPr="009C01D5">
              <w:rPr>
                <w:rFonts w:ascii="Arial Narrow" w:hAnsi="Arial Narrow"/>
                <w:b/>
                <w:sz w:val="20"/>
                <w:szCs w:val="20"/>
              </w:rPr>
              <w:t>RD (95% CI)</w:t>
            </w:r>
          </w:p>
        </w:tc>
        <w:tc>
          <w:tcPr>
            <w:tcW w:w="1784" w:type="dxa"/>
            <w:tcBorders>
              <w:top w:val="single" w:sz="4" w:space="0" w:color="auto"/>
              <w:left w:val="single" w:sz="4" w:space="0" w:color="auto"/>
              <w:bottom w:val="single" w:sz="4" w:space="0" w:color="auto"/>
              <w:right w:val="single" w:sz="4" w:space="0" w:color="auto"/>
            </w:tcBorders>
          </w:tcPr>
          <w:p w14:paraId="58418B06" w14:textId="77777777" w:rsidR="00936AB1" w:rsidRPr="009C01D5" w:rsidRDefault="00936AB1" w:rsidP="00FA4235">
            <w:pPr>
              <w:pStyle w:val="TableTextcentred"/>
              <w:rPr>
                <w:rFonts w:ascii="Arial Narrow" w:hAnsi="Arial Narrow"/>
                <w:b/>
                <w:sz w:val="20"/>
                <w:szCs w:val="20"/>
              </w:rPr>
            </w:pPr>
            <w:r w:rsidRPr="009C01D5">
              <w:rPr>
                <w:rFonts w:ascii="Arial Narrow" w:hAnsi="Arial Narrow"/>
                <w:b/>
                <w:sz w:val="20"/>
                <w:szCs w:val="20"/>
              </w:rPr>
              <w:t>RR (95% CI)</w:t>
            </w:r>
          </w:p>
        </w:tc>
      </w:tr>
      <w:tr w:rsidR="00936AB1" w:rsidRPr="009C01D5" w14:paraId="6E45C9EC"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60B5110D" w14:textId="77777777" w:rsidR="00936AB1" w:rsidRPr="009C01D5" w:rsidRDefault="00936AB1" w:rsidP="00FA4235">
            <w:pPr>
              <w:pStyle w:val="TableTextleftalign"/>
              <w:rPr>
                <w:rFonts w:ascii="Arial Narrow" w:hAnsi="Arial Narrow"/>
                <w:b/>
                <w:bCs/>
                <w:sz w:val="20"/>
                <w:szCs w:val="20"/>
              </w:rPr>
            </w:pPr>
            <w:r w:rsidRPr="009C01D5">
              <w:rPr>
                <w:rFonts w:ascii="Arial Narrow" w:hAnsi="Arial Narrow"/>
                <w:b/>
                <w:bCs/>
                <w:sz w:val="20"/>
                <w:szCs w:val="20"/>
              </w:rPr>
              <w:t>TEAEs</w:t>
            </w:r>
          </w:p>
        </w:tc>
        <w:tc>
          <w:tcPr>
            <w:tcW w:w="1784" w:type="dxa"/>
            <w:tcBorders>
              <w:top w:val="single" w:sz="4" w:space="0" w:color="auto"/>
              <w:left w:val="single" w:sz="4" w:space="0" w:color="auto"/>
              <w:bottom w:val="single" w:sz="4" w:space="0" w:color="auto"/>
              <w:right w:val="single" w:sz="4" w:space="0" w:color="auto"/>
            </w:tcBorders>
          </w:tcPr>
          <w:p w14:paraId="1D5C0ED8"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6FB23641"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22D847E3"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E4A9512" w14:textId="77777777" w:rsidR="00936AB1" w:rsidRPr="009C01D5" w:rsidRDefault="00936AB1" w:rsidP="00FA4235">
            <w:pPr>
              <w:pStyle w:val="TableTextcentred"/>
              <w:rPr>
                <w:rFonts w:ascii="Arial Narrow" w:hAnsi="Arial Narrow"/>
                <w:sz w:val="20"/>
                <w:szCs w:val="20"/>
              </w:rPr>
            </w:pPr>
          </w:p>
        </w:tc>
      </w:tr>
      <w:tr w:rsidR="00936AB1" w:rsidRPr="009C01D5" w14:paraId="216798F0"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066062A4"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3AB4E37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95/155 (61.3)</w:t>
            </w:r>
          </w:p>
        </w:tc>
        <w:tc>
          <w:tcPr>
            <w:tcW w:w="1784" w:type="dxa"/>
            <w:tcBorders>
              <w:top w:val="single" w:sz="4" w:space="0" w:color="auto"/>
              <w:left w:val="single" w:sz="4" w:space="0" w:color="auto"/>
              <w:bottom w:val="single" w:sz="4" w:space="0" w:color="auto"/>
              <w:right w:val="single" w:sz="4" w:space="0" w:color="auto"/>
            </w:tcBorders>
          </w:tcPr>
          <w:p w14:paraId="4886A39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100/152(65.8)</w:t>
            </w:r>
          </w:p>
        </w:tc>
        <w:tc>
          <w:tcPr>
            <w:tcW w:w="1784" w:type="dxa"/>
            <w:tcBorders>
              <w:top w:val="single" w:sz="4" w:space="0" w:color="auto"/>
              <w:left w:val="single" w:sz="4" w:space="0" w:color="auto"/>
              <w:bottom w:val="single" w:sz="4" w:space="0" w:color="auto"/>
              <w:right w:val="single" w:sz="4" w:space="0" w:color="auto"/>
            </w:tcBorders>
          </w:tcPr>
          <w:p w14:paraId="703FD35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-0.04 (-0.15, 0.06)</w:t>
            </w:r>
          </w:p>
        </w:tc>
        <w:tc>
          <w:tcPr>
            <w:tcW w:w="1784" w:type="dxa"/>
            <w:tcBorders>
              <w:top w:val="single" w:sz="4" w:space="0" w:color="auto"/>
              <w:left w:val="single" w:sz="4" w:space="0" w:color="auto"/>
              <w:bottom w:val="single" w:sz="4" w:space="0" w:color="auto"/>
              <w:right w:val="single" w:sz="4" w:space="0" w:color="auto"/>
            </w:tcBorders>
          </w:tcPr>
          <w:p w14:paraId="5B9C975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0.93 (0.79, 1.10)</w:t>
            </w:r>
          </w:p>
        </w:tc>
      </w:tr>
      <w:tr w:rsidR="00936AB1" w:rsidRPr="009C01D5" w14:paraId="2B2F03ED"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1E62F3F9"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5536678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112/157(71.3)</w:t>
            </w:r>
          </w:p>
        </w:tc>
        <w:tc>
          <w:tcPr>
            <w:tcW w:w="1784" w:type="dxa"/>
            <w:tcBorders>
              <w:top w:val="single" w:sz="4" w:space="0" w:color="auto"/>
              <w:left w:val="single" w:sz="4" w:space="0" w:color="auto"/>
              <w:bottom w:val="single" w:sz="4" w:space="0" w:color="auto"/>
              <w:right w:val="single" w:sz="4" w:space="0" w:color="auto"/>
            </w:tcBorders>
          </w:tcPr>
          <w:p w14:paraId="232F931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732AD7C2"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-0.06 (-0.05, 0.16)</w:t>
            </w:r>
          </w:p>
        </w:tc>
        <w:tc>
          <w:tcPr>
            <w:tcW w:w="1784" w:type="dxa"/>
            <w:tcBorders>
              <w:top w:val="single" w:sz="4" w:space="0" w:color="auto"/>
              <w:left w:val="single" w:sz="4" w:space="0" w:color="auto"/>
              <w:bottom w:val="single" w:sz="4" w:space="0" w:color="auto"/>
              <w:right w:val="single" w:sz="4" w:space="0" w:color="auto"/>
            </w:tcBorders>
          </w:tcPr>
          <w:p w14:paraId="4DA417B9"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1.08 (0.93, 1.26)</w:t>
            </w:r>
          </w:p>
        </w:tc>
      </w:tr>
      <w:tr w:rsidR="00936AB1" w:rsidRPr="009C01D5" w14:paraId="282BACD1"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5B66E45"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Discontinuations</w:t>
            </w:r>
          </w:p>
        </w:tc>
        <w:tc>
          <w:tcPr>
            <w:tcW w:w="1784" w:type="dxa"/>
            <w:tcBorders>
              <w:top w:val="single" w:sz="4" w:space="0" w:color="auto"/>
              <w:left w:val="single" w:sz="4" w:space="0" w:color="auto"/>
              <w:bottom w:val="single" w:sz="4" w:space="0" w:color="auto"/>
              <w:right w:val="single" w:sz="4" w:space="0" w:color="auto"/>
            </w:tcBorders>
          </w:tcPr>
          <w:p w14:paraId="02B11860"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F00BD0A"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3A61223F"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3B6B8DCC" w14:textId="77777777" w:rsidR="00936AB1" w:rsidRPr="009C01D5" w:rsidRDefault="00936AB1" w:rsidP="00FA4235">
            <w:pPr>
              <w:pStyle w:val="TableTextcentred"/>
              <w:rPr>
                <w:rFonts w:ascii="Arial Narrow" w:hAnsi="Arial Narrow"/>
                <w:sz w:val="20"/>
                <w:szCs w:val="20"/>
              </w:rPr>
            </w:pPr>
          </w:p>
        </w:tc>
      </w:tr>
      <w:tr w:rsidR="00936AB1" w:rsidRPr="009C01D5" w14:paraId="5FDD6431"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E91A25F"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240EE53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151/55 (9.7)</w:t>
            </w:r>
          </w:p>
        </w:tc>
        <w:tc>
          <w:tcPr>
            <w:tcW w:w="1784" w:type="dxa"/>
            <w:tcBorders>
              <w:top w:val="single" w:sz="4" w:space="0" w:color="auto"/>
              <w:left w:val="single" w:sz="4" w:space="0" w:color="auto"/>
              <w:bottom w:val="single" w:sz="4" w:space="0" w:color="auto"/>
              <w:right w:val="single" w:sz="4" w:space="0" w:color="auto"/>
            </w:tcBorders>
          </w:tcPr>
          <w:p w14:paraId="6A7B31A2"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14/152(9.2)</w:t>
            </w:r>
          </w:p>
        </w:tc>
        <w:tc>
          <w:tcPr>
            <w:tcW w:w="1784" w:type="dxa"/>
            <w:tcBorders>
              <w:top w:val="single" w:sz="4" w:space="0" w:color="auto"/>
              <w:left w:val="single" w:sz="4" w:space="0" w:color="auto"/>
              <w:bottom w:val="single" w:sz="4" w:space="0" w:color="auto"/>
              <w:right w:val="single" w:sz="4" w:space="0" w:color="auto"/>
            </w:tcBorders>
          </w:tcPr>
          <w:p w14:paraId="132C13D5"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(-0.06, 0.07)</w:t>
            </w:r>
          </w:p>
        </w:tc>
        <w:tc>
          <w:tcPr>
            <w:tcW w:w="1784" w:type="dxa"/>
            <w:tcBorders>
              <w:top w:val="single" w:sz="4" w:space="0" w:color="auto"/>
              <w:left w:val="single" w:sz="4" w:space="0" w:color="auto"/>
              <w:bottom w:val="single" w:sz="4" w:space="0" w:color="auto"/>
              <w:right w:val="single" w:sz="4" w:space="0" w:color="auto"/>
            </w:tcBorders>
          </w:tcPr>
          <w:p w14:paraId="1D018F2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1.05 (0.52, 2.10)</w:t>
            </w:r>
          </w:p>
        </w:tc>
      </w:tr>
      <w:tr w:rsidR="00936AB1" w:rsidRPr="009C01D5" w14:paraId="0F767FEA"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B599F44"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483FCA05"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20/157 (12.7</w:t>
            </w:r>
          </w:p>
        </w:tc>
        <w:tc>
          <w:tcPr>
            <w:tcW w:w="1784" w:type="dxa"/>
            <w:tcBorders>
              <w:top w:val="single" w:sz="4" w:space="0" w:color="auto"/>
              <w:left w:val="single" w:sz="4" w:space="0" w:color="auto"/>
              <w:bottom w:val="single" w:sz="4" w:space="0" w:color="auto"/>
              <w:right w:val="single" w:sz="4" w:space="0" w:color="auto"/>
            </w:tcBorders>
          </w:tcPr>
          <w:p w14:paraId="5236053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7D741D25"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(-0.03, 0.10)</w:t>
            </w:r>
          </w:p>
        </w:tc>
        <w:tc>
          <w:tcPr>
            <w:tcW w:w="1784" w:type="dxa"/>
            <w:tcBorders>
              <w:top w:val="single" w:sz="4" w:space="0" w:color="auto"/>
              <w:left w:val="single" w:sz="4" w:space="0" w:color="auto"/>
              <w:bottom w:val="single" w:sz="4" w:space="0" w:color="auto"/>
              <w:right w:val="single" w:sz="4" w:space="0" w:color="auto"/>
            </w:tcBorders>
          </w:tcPr>
          <w:p w14:paraId="6A8F1DC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1.38 (0.72, 2.64)</w:t>
            </w:r>
          </w:p>
        </w:tc>
      </w:tr>
      <w:tr w:rsidR="00936AB1" w:rsidRPr="009C01D5" w14:paraId="1BA5C67F"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5015E9F5"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SAEs</w:t>
            </w:r>
          </w:p>
        </w:tc>
        <w:tc>
          <w:tcPr>
            <w:tcW w:w="1784" w:type="dxa"/>
            <w:tcBorders>
              <w:top w:val="single" w:sz="4" w:space="0" w:color="auto"/>
              <w:left w:val="single" w:sz="4" w:space="0" w:color="auto"/>
              <w:bottom w:val="single" w:sz="4" w:space="0" w:color="auto"/>
              <w:right w:val="single" w:sz="4" w:space="0" w:color="auto"/>
            </w:tcBorders>
          </w:tcPr>
          <w:p w14:paraId="73BD2D73"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3B857FA0"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B7DF7DE"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7A9AB1D9" w14:textId="77777777" w:rsidR="00936AB1" w:rsidRPr="009C01D5" w:rsidRDefault="00936AB1" w:rsidP="00FA4235">
            <w:pPr>
              <w:pStyle w:val="TableTextcentred"/>
              <w:rPr>
                <w:rFonts w:ascii="Arial Narrow" w:hAnsi="Arial Narrow"/>
                <w:sz w:val="20"/>
                <w:szCs w:val="20"/>
              </w:rPr>
            </w:pPr>
          </w:p>
        </w:tc>
      </w:tr>
      <w:tr w:rsidR="00936AB1" w:rsidRPr="009C01D5" w14:paraId="25B5FE8B"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1BCC8EF"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027547A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2/155 (1.3)</w:t>
            </w:r>
          </w:p>
        </w:tc>
        <w:tc>
          <w:tcPr>
            <w:tcW w:w="1784" w:type="dxa"/>
            <w:tcBorders>
              <w:top w:val="single" w:sz="4" w:space="0" w:color="auto"/>
              <w:left w:val="single" w:sz="4" w:space="0" w:color="auto"/>
              <w:bottom w:val="single" w:sz="4" w:space="0" w:color="auto"/>
              <w:right w:val="single" w:sz="4" w:space="0" w:color="auto"/>
            </w:tcBorders>
          </w:tcPr>
          <w:p w14:paraId="684A887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4/152 (2.6)</w:t>
            </w:r>
          </w:p>
        </w:tc>
        <w:tc>
          <w:tcPr>
            <w:tcW w:w="1784" w:type="dxa"/>
            <w:tcBorders>
              <w:top w:val="single" w:sz="4" w:space="0" w:color="auto"/>
              <w:left w:val="single" w:sz="4" w:space="0" w:color="auto"/>
              <w:bottom w:val="single" w:sz="4" w:space="0" w:color="auto"/>
              <w:right w:val="single" w:sz="4" w:space="0" w:color="auto"/>
            </w:tcBorders>
          </w:tcPr>
          <w:p w14:paraId="0E61286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-0.01 (-0.04, 0.02)</w:t>
            </w:r>
          </w:p>
        </w:tc>
        <w:tc>
          <w:tcPr>
            <w:tcW w:w="1784" w:type="dxa"/>
            <w:tcBorders>
              <w:top w:val="single" w:sz="4" w:space="0" w:color="auto"/>
              <w:left w:val="single" w:sz="4" w:space="0" w:color="auto"/>
              <w:bottom w:val="single" w:sz="4" w:space="0" w:color="auto"/>
              <w:right w:val="single" w:sz="4" w:space="0" w:color="auto"/>
            </w:tcBorders>
          </w:tcPr>
          <w:p w14:paraId="4058B21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0.49 (0.09, 2.64)</w:t>
            </w:r>
          </w:p>
        </w:tc>
      </w:tr>
      <w:tr w:rsidR="00936AB1" w:rsidRPr="009C01D5" w14:paraId="5879D40D"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51F2E593"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6E5E126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5/157 (3.2)</w:t>
            </w:r>
          </w:p>
        </w:tc>
        <w:tc>
          <w:tcPr>
            <w:tcW w:w="1784" w:type="dxa"/>
            <w:tcBorders>
              <w:top w:val="single" w:sz="4" w:space="0" w:color="auto"/>
              <w:left w:val="single" w:sz="4" w:space="0" w:color="auto"/>
              <w:bottom w:val="single" w:sz="4" w:space="0" w:color="auto"/>
              <w:right w:val="single" w:sz="4" w:space="0" w:color="auto"/>
            </w:tcBorders>
          </w:tcPr>
          <w:p w14:paraId="29F465F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1FF7795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0.01 (-0.03, 0.04)</w:t>
            </w:r>
          </w:p>
        </w:tc>
        <w:tc>
          <w:tcPr>
            <w:tcW w:w="1784" w:type="dxa"/>
            <w:tcBorders>
              <w:top w:val="single" w:sz="4" w:space="0" w:color="auto"/>
              <w:left w:val="single" w:sz="4" w:space="0" w:color="auto"/>
              <w:bottom w:val="single" w:sz="4" w:space="0" w:color="auto"/>
              <w:right w:val="single" w:sz="4" w:space="0" w:color="auto"/>
            </w:tcBorders>
          </w:tcPr>
          <w:p w14:paraId="73F6A73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1.21 (0.33, 4.42)</w:t>
            </w:r>
          </w:p>
        </w:tc>
      </w:tr>
      <w:tr w:rsidR="00936AB1" w:rsidRPr="009C01D5" w14:paraId="2A26A0A7"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54C8E64A"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Deaths</w:t>
            </w:r>
          </w:p>
        </w:tc>
        <w:tc>
          <w:tcPr>
            <w:tcW w:w="1784" w:type="dxa"/>
            <w:tcBorders>
              <w:top w:val="single" w:sz="4" w:space="0" w:color="auto"/>
              <w:left w:val="single" w:sz="4" w:space="0" w:color="auto"/>
              <w:bottom w:val="single" w:sz="4" w:space="0" w:color="auto"/>
              <w:right w:val="single" w:sz="4" w:space="0" w:color="auto"/>
            </w:tcBorders>
          </w:tcPr>
          <w:p w14:paraId="3A37907B"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0AE923C"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442CA937"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0647D46" w14:textId="77777777" w:rsidR="00936AB1" w:rsidRPr="009C01D5" w:rsidRDefault="00936AB1" w:rsidP="00FA4235">
            <w:pPr>
              <w:pStyle w:val="TableTextcentred"/>
              <w:rPr>
                <w:rFonts w:ascii="Arial Narrow" w:hAnsi="Arial Narrow"/>
                <w:sz w:val="20"/>
                <w:szCs w:val="20"/>
              </w:rPr>
            </w:pPr>
          </w:p>
        </w:tc>
      </w:tr>
      <w:tr w:rsidR="00936AB1" w:rsidRPr="009C01D5" w14:paraId="3A19A4A7"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6EDDF51"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0E9CF49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0/155 </w:t>
            </w:r>
          </w:p>
        </w:tc>
        <w:tc>
          <w:tcPr>
            <w:tcW w:w="1784" w:type="dxa"/>
            <w:tcBorders>
              <w:top w:val="single" w:sz="4" w:space="0" w:color="auto"/>
              <w:left w:val="single" w:sz="4" w:space="0" w:color="auto"/>
              <w:bottom w:val="single" w:sz="4" w:space="0" w:color="auto"/>
              <w:right w:val="single" w:sz="4" w:space="0" w:color="auto"/>
            </w:tcBorders>
          </w:tcPr>
          <w:p w14:paraId="365F968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0/152</w:t>
            </w:r>
          </w:p>
        </w:tc>
        <w:tc>
          <w:tcPr>
            <w:tcW w:w="1784" w:type="dxa"/>
            <w:tcBorders>
              <w:top w:val="single" w:sz="4" w:space="0" w:color="auto"/>
              <w:left w:val="single" w:sz="4" w:space="0" w:color="auto"/>
              <w:bottom w:val="single" w:sz="4" w:space="0" w:color="auto"/>
              <w:right w:val="single" w:sz="4" w:space="0" w:color="auto"/>
            </w:tcBorders>
          </w:tcPr>
          <w:p w14:paraId="0C1F6F53"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w:t>
            </w:r>
          </w:p>
        </w:tc>
        <w:tc>
          <w:tcPr>
            <w:tcW w:w="1784" w:type="dxa"/>
            <w:tcBorders>
              <w:top w:val="single" w:sz="4" w:space="0" w:color="auto"/>
              <w:left w:val="single" w:sz="4" w:space="0" w:color="auto"/>
              <w:bottom w:val="single" w:sz="4" w:space="0" w:color="auto"/>
              <w:right w:val="single" w:sz="4" w:space="0" w:color="auto"/>
            </w:tcBorders>
          </w:tcPr>
          <w:p w14:paraId="2CFE7D4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NE</w:t>
            </w:r>
            <w:r w:rsidRPr="009C01D5">
              <w:rPr>
                <w:rFonts w:ascii="Arial Narrow" w:hAnsi="Arial Narrow"/>
                <w:sz w:val="20"/>
                <w:szCs w:val="20"/>
                <w:vertAlign w:val="superscript"/>
              </w:rPr>
              <w:t>1</w:t>
            </w:r>
          </w:p>
        </w:tc>
      </w:tr>
      <w:tr w:rsidR="00936AB1" w:rsidRPr="009C01D5" w14:paraId="435EB5C5"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04CE5E8F"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7C0E36CA"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w:t>
            </w:r>
            <w:r w:rsidRPr="009C01D5">
              <w:rPr>
                <w:rFonts w:ascii="Arial Narrow" w:hAnsi="Arial Narrow"/>
                <w:sz w:val="20"/>
                <w:szCs w:val="20"/>
                <w:vertAlign w:val="superscript"/>
              </w:rPr>
              <w:t>2</w:t>
            </w:r>
            <w:r w:rsidRPr="009C01D5">
              <w:rPr>
                <w:rFonts w:ascii="Arial Narrow" w:hAnsi="Arial Narrow"/>
                <w:sz w:val="20"/>
                <w:szCs w:val="20"/>
              </w:rPr>
              <w:t>/157 (1.3)</w:t>
            </w:r>
          </w:p>
        </w:tc>
        <w:tc>
          <w:tcPr>
            <w:tcW w:w="1784" w:type="dxa"/>
            <w:tcBorders>
              <w:top w:val="single" w:sz="4" w:space="0" w:color="auto"/>
              <w:left w:val="single" w:sz="4" w:space="0" w:color="auto"/>
              <w:bottom w:val="single" w:sz="4" w:space="0" w:color="auto"/>
              <w:right w:val="single" w:sz="4" w:space="0" w:color="auto"/>
            </w:tcBorders>
          </w:tcPr>
          <w:p w14:paraId="4858CEF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120946B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0.01 (-0.00, 0.03)</w:t>
            </w:r>
          </w:p>
        </w:tc>
        <w:tc>
          <w:tcPr>
            <w:tcW w:w="1784" w:type="dxa"/>
            <w:tcBorders>
              <w:top w:val="single" w:sz="4" w:space="0" w:color="auto"/>
              <w:left w:val="single" w:sz="4" w:space="0" w:color="auto"/>
              <w:bottom w:val="single" w:sz="4" w:space="0" w:color="auto"/>
              <w:right w:val="single" w:sz="4" w:space="0" w:color="auto"/>
            </w:tcBorders>
          </w:tcPr>
          <w:p w14:paraId="08EB3BB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NE</w:t>
            </w:r>
          </w:p>
        </w:tc>
      </w:tr>
      <w:tr w:rsidR="00936AB1" w:rsidRPr="009C01D5" w14:paraId="217BF52F"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3701BB0"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Insomnia</w:t>
            </w:r>
          </w:p>
        </w:tc>
        <w:tc>
          <w:tcPr>
            <w:tcW w:w="1784" w:type="dxa"/>
            <w:tcBorders>
              <w:top w:val="single" w:sz="4" w:space="0" w:color="auto"/>
              <w:left w:val="single" w:sz="4" w:space="0" w:color="auto"/>
              <w:bottom w:val="single" w:sz="4" w:space="0" w:color="auto"/>
              <w:right w:val="single" w:sz="4" w:space="0" w:color="auto"/>
            </w:tcBorders>
          </w:tcPr>
          <w:p w14:paraId="1EE2EF9A"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30EB76C"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669F60DB"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B539B5D" w14:textId="77777777" w:rsidR="00936AB1" w:rsidRPr="009C01D5" w:rsidRDefault="00936AB1" w:rsidP="00FA4235">
            <w:pPr>
              <w:pStyle w:val="TableTextcentred"/>
              <w:rPr>
                <w:rFonts w:ascii="Arial Narrow" w:hAnsi="Arial Narrow"/>
                <w:sz w:val="20"/>
                <w:szCs w:val="20"/>
              </w:rPr>
            </w:pPr>
          </w:p>
        </w:tc>
      </w:tr>
      <w:tr w:rsidR="00936AB1" w:rsidRPr="009C01D5" w14:paraId="1502D0B5"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B79E0F8"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7DB85C3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21/155 (13.5)</w:t>
            </w:r>
          </w:p>
        </w:tc>
        <w:tc>
          <w:tcPr>
            <w:tcW w:w="1784" w:type="dxa"/>
            <w:tcBorders>
              <w:top w:val="single" w:sz="4" w:space="0" w:color="auto"/>
              <w:left w:val="single" w:sz="4" w:space="0" w:color="auto"/>
              <w:bottom w:val="single" w:sz="4" w:space="0" w:color="auto"/>
              <w:right w:val="single" w:sz="4" w:space="0" w:color="auto"/>
            </w:tcBorders>
          </w:tcPr>
          <w:p w14:paraId="24B686D2"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16/152 (10.5)</w:t>
            </w:r>
          </w:p>
        </w:tc>
        <w:tc>
          <w:tcPr>
            <w:tcW w:w="1784" w:type="dxa"/>
            <w:tcBorders>
              <w:top w:val="single" w:sz="4" w:space="0" w:color="auto"/>
              <w:left w:val="single" w:sz="4" w:space="0" w:color="auto"/>
              <w:bottom w:val="single" w:sz="4" w:space="0" w:color="auto"/>
              <w:right w:val="single" w:sz="4" w:space="0" w:color="auto"/>
            </w:tcBorders>
          </w:tcPr>
          <w:p w14:paraId="095EDBD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(-0.04, 0.10)</w:t>
            </w:r>
          </w:p>
        </w:tc>
        <w:tc>
          <w:tcPr>
            <w:tcW w:w="1784" w:type="dxa"/>
            <w:tcBorders>
              <w:top w:val="single" w:sz="4" w:space="0" w:color="auto"/>
              <w:left w:val="single" w:sz="4" w:space="0" w:color="auto"/>
              <w:bottom w:val="single" w:sz="4" w:space="0" w:color="auto"/>
              <w:right w:val="single" w:sz="4" w:space="0" w:color="auto"/>
            </w:tcBorders>
          </w:tcPr>
          <w:p w14:paraId="17258242"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1.29 (0.70, 2.37)</w:t>
            </w:r>
          </w:p>
        </w:tc>
      </w:tr>
      <w:tr w:rsidR="00936AB1" w:rsidRPr="009C01D5" w14:paraId="75BC3B07"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80D621C"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2479820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22/157 (14.0)</w:t>
            </w:r>
          </w:p>
        </w:tc>
        <w:tc>
          <w:tcPr>
            <w:tcW w:w="1784" w:type="dxa"/>
            <w:tcBorders>
              <w:top w:val="single" w:sz="4" w:space="0" w:color="auto"/>
              <w:left w:val="single" w:sz="4" w:space="0" w:color="auto"/>
              <w:bottom w:val="single" w:sz="4" w:space="0" w:color="auto"/>
              <w:right w:val="single" w:sz="4" w:space="0" w:color="auto"/>
            </w:tcBorders>
          </w:tcPr>
          <w:p w14:paraId="647ED0D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701E90B5"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(-0.04, 0.11)</w:t>
            </w:r>
          </w:p>
        </w:tc>
        <w:tc>
          <w:tcPr>
            <w:tcW w:w="1784" w:type="dxa"/>
            <w:tcBorders>
              <w:top w:val="single" w:sz="4" w:space="0" w:color="auto"/>
              <w:left w:val="single" w:sz="4" w:space="0" w:color="auto"/>
              <w:bottom w:val="single" w:sz="4" w:space="0" w:color="auto"/>
              <w:right w:val="single" w:sz="4" w:space="0" w:color="auto"/>
            </w:tcBorders>
          </w:tcPr>
          <w:p w14:paraId="5FA2705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1.33 (0.73, 2.43)</w:t>
            </w:r>
          </w:p>
        </w:tc>
      </w:tr>
      <w:tr w:rsidR="00936AB1" w:rsidRPr="009C01D5" w14:paraId="6B6CDAA3"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513166B1"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Akathisia</w:t>
            </w:r>
          </w:p>
        </w:tc>
        <w:tc>
          <w:tcPr>
            <w:tcW w:w="1784" w:type="dxa"/>
            <w:tcBorders>
              <w:top w:val="single" w:sz="4" w:space="0" w:color="auto"/>
              <w:left w:val="single" w:sz="4" w:space="0" w:color="auto"/>
              <w:bottom w:val="single" w:sz="4" w:space="0" w:color="auto"/>
              <w:right w:val="single" w:sz="4" w:space="0" w:color="auto"/>
            </w:tcBorders>
          </w:tcPr>
          <w:p w14:paraId="6F3D648C"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21473D4E"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4507A949"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1F62817" w14:textId="77777777" w:rsidR="00936AB1" w:rsidRPr="009C01D5" w:rsidRDefault="00936AB1" w:rsidP="00FA4235">
            <w:pPr>
              <w:pStyle w:val="TableTextcentred"/>
              <w:rPr>
                <w:rFonts w:ascii="Arial Narrow" w:hAnsi="Arial Narrow"/>
                <w:sz w:val="20"/>
                <w:szCs w:val="20"/>
              </w:rPr>
            </w:pPr>
          </w:p>
        </w:tc>
      </w:tr>
      <w:tr w:rsidR="00936AB1" w:rsidRPr="009C01D5" w14:paraId="04CEEE6A"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A0C88B7"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5DE5A4BA"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11/155 (7.1)</w:t>
            </w:r>
          </w:p>
        </w:tc>
        <w:tc>
          <w:tcPr>
            <w:tcW w:w="1784" w:type="dxa"/>
            <w:tcBorders>
              <w:top w:val="single" w:sz="4" w:space="0" w:color="auto"/>
              <w:left w:val="single" w:sz="4" w:space="0" w:color="auto"/>
              <w:bottom w:val="single" w:sz="4" w:space="0" w:color="auto"/>
              <w:right w:val="single" w:sz="4" w:space="0" w:color="auto"/>
            </w:tcBorders>
          </w:tcPr>
          <w:p w14:paraId="4DED620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11/152 (7.2)</w:t>
            </w:r>
          </w:p>
        </w:tc>
        <w:tc>
          <w:tcPr>
            <w:tcW w:w="1784" w:type="dxa"/>
            <w:tcBorders>
              <w:top w:val="single" w:sz="4" w:space="0" w:color="auto"/>
              <w:left w:val="single" w:sz="4" w:space="0" w:color="auto"/>
              <w:bottom w:val="single" w:sz="4" w:space="0" w:color="auto"/>
              <w:right w:val="single" w:sz="4" w:space="0" w:color="auto"/>
            </w:tcBorders>
          </w:tcPr>
          <w:p w14:paraId="26D60341"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(-0.06, 0.06)</w:t>
            </w:r>
          </w:p>
        </w:tc>
        <w:tc>
          <w:tcPr>
            <w:tcW w:w="1784" w:type="dxa"/>
            <w:tcBorders>
              <w:top w:val="single" w:sz="4" w:space="0" w:color="auto"/>
              <w:left w:val="single" w:sz="4" w:space="0" w:color="auto"/>
              <w:bottom w:val="single" w:sz="4" w:space="0" w:color="auto"/>
              <w:right w:val="single" w:sz="4" w:space="0" w:color="auto"/>
            </w:tcBorders>
          </w:tcPr>
          <w:p w14:paraId="7B47993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0.98 (0.44, 2.19)</w:t>
            </w:r>
          </w:p>
        </w:tc>
      </w:tr>
      <w:tr w:rsidR="00936AB1" w:rsidRPr="009C01D5" w14:paraId="31B96297"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119D1AF9"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53207A5A"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23/157 (14.6)</w:t>
            </w:r>
          </w:p>
        </w:tc>
        <w:tc>
          <w:tcPr>
            <w:tcW w:w="1784" w:type="dxa"/>
            <w:tcBorders>
              <w:top w:val="single" w:sz="4" w:space="0" w:color="auto"/>
              <w:left w:val="single" w:sz="4" w:space="0" w:color="auto"/>
              <w:bottom w:val="single" w:sz="4" w:space="0" w:color="auto"/>
              <w:right w:val="single" w:sz="4" w:space="0" w:color="auto"/>
            </w:tcBorders>
          </w:tcPr>
          <w:p w14:paraId="2002BBD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23EE0014" w14:textId="77777777" w:rsidR="00936AB1" w:rsidRPr="009C01D5" w:rsidRDefault="00936AB1" w:rsidP="00FA4235">
            <w:pPr>
              <w:pStyle w:val="TableTextcentred"/>
              <w:rPr>
                <w:rFonts w:ascii="Arial Narrow" w:hAnsi="Arial Narrow"/>
                <w:b/>
                <w:bCs/>
                <w:sz w:val="20"/>
                <w:szCs w:val="20"/>
              </w:rPr>
            </w:pPr>
            <w:r w:rsidRPr="009C01D5">
              <w:rPr>
                <w:rFonts w:ascii="Arial Narrow" w:hAnsi="Arial Narrow"/>
                <w:b/>
                <w:bCs/>
                <w:sz w:val="20"/>
                <w:szCs w:val="20"/>
              </w:rPr>
              <w:t>0.07 (0.01, 0.14)</w:t>
            </w:r>
          </w:p>
        </w:tc>
        <w:tc>
          <w:tcPr>
            <w:tcW w:w="1784" w:type="dxa"/>
            <w:tcBorders>
              <w:top w:val="single" w:sz="4" w:space="0" w:color="auto"/>
              <w:left w:val="single" w:sz="4" w:space="0" w:color="auto"/>
              <w:bottom w:val="single" w:sz="4" w:space="0" w:color="auto"/>
              <w:right w:val="single" w:sz="4" w:space="0" w:color="auto"/>
            </w:tcBorders>
          </w:tcPr>
          <w:p w14:paraId="7C85BD3A" w14:textId="77777777" w:rsidR="00936AB1" w:rsidRPr="009C01D5" w:rsidRDefault="00936AB1" w:rsidP="00FA4235">
            <w:pPr>
              <w:pStyle w:val="TableTextcentred"/>
              <w:rPr>
                <w:rFonts w:ascii="Arial Narrow" w:hAnsi="Arial Narrow"/>
                <w:b/>
                <w:bCs/>
                <w:sz w:val="20"/>
                <w:szCs w:val="20"/>
              </w:rPr>
            </w:pPr>
            <w:r w:rsidRPr="009C01D5">
              <w:rPr>
                <w:rFonts w:ascii="Arial Narrow" w:hAnsi="Arial Narrow"/>
                <w:b/>
                <w:bCs/>
                <w:sz w:val="20"/>
                <w:szCs w:val="20"/>
              </w:rPr>
              <w:t>2.02 (1.02, 4.01)</w:t>
            </w:r>
          </w:p>
        </w:tc>
      </w:tr>
      <w:tr w:rsidR="00936AB1" w:rsidRPr="009C01D5" w14:paraId="3D6F900A"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300812E6"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Headache</w:t>
            </w:r>
          </w:p>
        </w:tc>
        <w:tc>
          <w:tcPr>
            <w:tcW w:w="1784" w:type="dxa"/>
            <w:tcBorders>
              <w:top w:val="single" w:sz="4" w:space="0" w:color="auto"/>
              <w:left w:val="single" w:sz="4" w:space="0" w:color="auto"/>
              <w:bottom w:val="single" w:sz="4" w:space="0" w:color="auto"/>
              <w:right w:val="single" w:sz="4" w:space="0" w:color="auto"/>
            </w:tcBorders>
          </w:tcPr>
          <w:p w14:paraId="40C9C571"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17A84942"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2E0F2E36"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176CA12A" w14:textId="77777777" w:rsidR="00936AB1" w:rsidRPr="009C01D5" w:rsidRDefault="00936AB1" w:rsidP="00FA4235">
            <w:pPr>
              <w:pStyle w:val="TableTextcentred"/>
              <w:rPr>
                <w:rFonts w:ascii="Arial Narrow" w:hAnsi="Arial Narrow"/>
                <w:sz w:val="20"/>
                <w:szCs w:val="20"/>
              </w:rPr>
            </w:pPr>
          </w:p>
        </w:tc>
      </w:tr>
      <w:tr w:rsidR="00936AB1" w:rsidRPr="009C01D5" w14:paraId="23E80735"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7BF5A9EB"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1A8497D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10/155 (6.5)</w:t>
            </w:r>
          </w:p>
        </w:tc>
        <w:tc>
          <w:tcPr>
            <w:tcW w:w="1784" w:type="dxa"/>
            <w:tcBorders>
              <w:top w:val="single" w:sz="4" w:space="0" w:color="auto"/>
              <w:left w:val="single" w:sz="4" w:space="0" w:color="auto"/>
              <w:bottom w:val="single" w:sz="4" w:space="0" w:color="auto"/>
              <w:right w:val="single" w:sz="4" w:space="0" w:color="auto"/>
            </w:tcBorders>
          </w:tcPr>
          <w:p w14:paraId="6BC26D3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15/152 (9.9)</w:t>
            </w:r>
          </w:p>
        </w:tc>
        <w:tc>
          <w:tcPr>
            <w:tcW w:w="1784" w:type="dxa"/>
            <w:tcBorders>
              <w:top w:val="single" w:sz="4" w:space="0" w:color="auto"/>
              <w:left w:val="single" w:sz="4" w:space="0" w:color="auto"/>
              <w:bottom w:val="single" w:sz="4" w:space="0" w:color="auto"/>
              <w:right w:val="single" w:sz="4" w:space="0" w:color="auto"/>
            </w:tcBorders>
          </w:tcPr>
          <w:p w14:paraId="1CE4F42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(-0.10, 0.03)</w:t>
            </w:r>
          </w:p>
        </w:tc>
        <w:tc>
          <w:tcPr>
            <w:tcW w:w="1784" w:type="dxa"/>
            <w:tcBorders>
              <w:top w:val="single" w:sz="4" w:space="0" w:color="auto"/>
              <w:left w:val="single" w:sz="4" w:space="0" w:color="auto"/>
              <w:bottom w:val="single" w:sz="4" w:space="0" w:color="auto"/>
              <w:right w:val="single" w:sz="4" w:space="0" w:color="auto"/>
            </w:tcBorders>
          </w:tcPr>
          <w:p w14:paraId="167865DA"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0.65 (0.30, 1.41)</w:t>
            </w:r>
          </w:p>
        </w:tc>
      </w:tr>
      <w:tr w:rsidR="00936AB1" w:rsidRPr="009C01D5" w14:paraId="1A6B7E97"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176939C6"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3ADA1947"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16/157 (10.2)</w:t>
            </w:r>
          </w:p>
        </w:tc>
        <w:tc>
          <w:tcPr>
            <w:tcW w:w="1784" w:type="dxa"/>
            <w:tcBorders>
              <w:top w:val="single" w:sz="4" w:space="0" w:color="auto"/>
              <w:left w:val="single" w:sz="4" w:space="0" w:color="auto"/>
              <w:bottom w:val="single" w:sz="4" w:space="0" w:color="auto"/>
              <w:right w:val="single" w:sz="4" w:space="0" w:color="auto"/>
            </w:tcBorders>
          </w:tcPr>
          <w:p w14:paraId="5C08830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4D983D6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(-0.06, 0.07)</w:t>
            </w:r>
          </w:p>
        </w:tc>
        <w:tc>
          <w:tcPr>
            <w:tcW w:w="1784" w:type="dxa"/>
            <w:tcBorders>
              <w:top w:val="single" w:sz="4" w:space="0" w:color="auto"/>
              <w:left w:val="single" w:sz="4" w:space="0" w:color="auto"/>
              <w:bottom w:val="single" w:sz="4" w:space="0" w:color="auto"/>
              <w:right w:val="single" w:sz="4" w:space="0" w:color="auto"/>
            </w:tcBorders>
          </w:tcPr>
          <w:p w14:paraId="64793EC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1.03 (0.52, 2.01)</w:t>
            </w:r>
          </w:p>
        </w:tc>
      </w:tr>
      <w:tr w:rsidR="00936AB1" w:rsidRPr="009C01D5" w14:paraId="6B3DFAE4"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8E43635"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Anxiety</w:t>
            </w:r>
          </w:p>
        </w:tc>
        <w:tc>
          <w:tcPr>
            <w:tcW w:w="1784" w:type="dxa"/>
            <w:tcBorders>
              <w:top w:val="single" w:sz="4" w:space="0" w:color="auto"/>
              <w:left w:val="single" w:sz="4" w:space="0" w:color="auto"/>
              <w:bottom w:val="single" w:sz="4" w:space="0" w:color="auto"/>
              <w:right w:val="single" w:sz="4" w:space="0" w:color="auto"/>
            </w:tcBorders>
          </w:tcPr>
          <w:p w14:paraId="56005071"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651AD9F0"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227B2B0"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7FEF65C" w14:textId="77777777" w:rsidR="00936AB1" w:rsidRPr="009C01D5" w:rsidRDefault="00936AB1" w:rsidP="00FA4235">
            <w:pPr>
              <w:pStyle w:val="TableTextcentred"/>
              <w:rPr>
                <w:rFonts w:ascii="Arial Narrow" w:hAnsi="Arial Narrow"/>
                <w:sz w:val="20"/>
                <w:szCs w:val="20"/>
              </w:rPr>
            </w:pPr>
          </w:p>
        </w:tc>
      </w:tr>
      <w:tr w:rsidR="00936AB1" w:rsidRPr="009C01D5" w14:paraId="3A7681FA"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3CEE401"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730DD8D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12/155 (7.7)</w:t>
            </w:r>
          </w:p>
        </w:tc>
        <w:tc>
          <w:tcPr>
            <w:tcW w:w="1784" w:type="dxa"/>
            <w:tcBorders>
              <w:top w:val="single" w:sz="4" w:space="0" w:color="auto"/>
              <w:left w:val="single" w:sz="4" w:space="0" w:color="auto"/>
              <w:bottom w:val="single" w:sz="4" w:space="0" w:color="auto"/>
              <w:right w:val="single" w:sz="4" w:space="0" w:color="auto"/>
            </w:tcBorders>
          </w:tcPr>
          <w:p w14:paraId="7544D88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12/152 (7.9)</w:t>
            </w:r>
          </w:p>
        </w:tc>
        <w:tc>
          <w:tcPr>
            <w:tcW w:w="1784" w:type="dxa"/>
            <w:tcBorders>
              <w:top w:val="single" w:sz="4" w:space="0" w:color="auto"/>
              <w:left w:val="single" w:sz="4" w:space="0" w:color="auto"/>
              <w:bottom w:val="single" w:sz="4" w:space="0" w:color="auto"/>
              <w:right w:val="single" w:sz="4" w:space="0" w:color="auto"/>
            </w:tcBorders>
          </w:tcPr>
          <w:p w14:paraId="6D3432E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(-0.06, 0.06)</w:t>
            </w:r>
          </w:p>
        </w:tc>
        <w:tc>
          <w:tcPr>
            <w:tcW w:w="1784" w:type="dxa"/>
            <w:tcBorders>
              <w:top w:val="single" w:sz="4" w:space="0" w:color="auto"/>
              <w:left w:val="single" w:sz="4" w:space="0" w:color="auto"/>
              <w:bottom w:val="single" w:sz="4" w:space="0" w:color="auto"/>
              <w:right w:val="single" w:sz="4" w:space="0" w:color="auto"/>
            </w:tcBorders>
          </w:tcPr>
          <w:p w14:paraId="06926D4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0.98 (0.45, 2.11)</w:t>
            </w:r>
          </w:p>
        </w:tc>
      </w:tr>
      <w:tr w:rsidR="00936AB1" w:rsidRPr="009C01D5" w14:paraId="207CFBD4"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6F65171A"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143444F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12/157 (7.6)</w:t>
            </w:r>
          </w:p>
        </w:tc>
        <w:tc>
          <w:tcPr>
            <w:tcW w:w="1784" w:type="dxa"/>
            <w:tcBorders>
              <w:top w:val="single" w:sz="4" w:space="0" w:color="auto"/>
              <w:left w:val="single" w:sz="4" w:space="0" w:color="auto"/>
              <w:bottom w:val="single" w:sz="4" w:space="0" w:color="auto"/>
              <w:right w:val="single" w:sz="4" w:space="0" w:color="auto"/>
            </w:tcBorders>
          </w:tcPr>
          <w:p w14:paraId="3447AA8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 </w:t>
            </w:r>
          </w:p>
        </w:tc>
        <w:tc>
          <w:tcPr>
            <w:tcW w:w="1784" w:type="dxa"/>
            <w:tcBorders>
              <w:top w:val="single" w:sz="4" w:space="0" w:color="auto"/>
              <w:left w:val="single" w:sz="4" w:space="0" w:color="auto"/>
              <w:bottom w:val="single" w:sz="4" w:space="0" w:color="auto"/>
              <w:right w:val="single" w:sz="4" w:space="0" w:color="auto"/>
            </w:tcBorders>
          </w:tcPr>
          <w:p w14:paraId="3C66BAB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(-0.06, 0.06)</w:t>
            </w:r>
          </w:p>
        </w:tc>
        <w:tc>
          <w:tcPr>
            <w:tcW w:w="1784" w:type="dxa"/>
            <w:tcBorders>
              <w:top w:val="single" w:sz="4" w:space="0" w:color="auto"/>
              <w:left w:val="single" w:sz="4" w:space="0" w:color="auto"/>
              <w:bottom w:val="single" w:sz="4" w:space="0" w:color="auto"/>
              <w:right w:val="single" w:sz="4" w:space="0" w:color="auto"/>
            </w:tcBorders>
          </w:tcPr>
          <w:p w14:paraId="4C16C47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0.97 (0.45, 2.09)</w:t>
            </w:r>
          </w:p>
        </w:tc>
      </w:tr>
      <w:tr w:rsidR="00936AB1" w:rsidRPr="009C01D5" w14:paraId="517D57C1"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75D5B6A0"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Schizophrenia</w:t>
            </w:r>
          </w:p>
        </w:tc>
        <w:tc>
          <w:tcPr>
            <w:tcW w:w="1784" w:type="dxa"/>
            <w:tcBorders>
              <w:top w:val="single" w:sz="4" w:space="0" w:color="auto"/>
              <w:left w:val="single" w:sz="4" w:space="0" w:color="auto"/>
              <w:bottom w:val="single" w:sz="4" w:space="0" w:color="auto"/>
              <w:right w:val="single" w:sz="4" w:space="0" w:color="auto"/>
            </w:tcBorders>
          </w:tcPr>
          <w:p w14:paraId="22CC0453"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7CEA2B9"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1D453A06"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03CFAF1B" w14:textId="77777777" w:rsidR="00936AB1" w:rsidRPr="009C01D5" w:rsidRDefault="00936AB1" w:rsidP="00FA4235">
            <w:pPr>
              <w:pStyle w:val="TableTextcentred"/>
              <w:rPr>
                <w:rFonts w:ascii="Arial Narrow" w:hAnsi="Arial Narrow"/>
                <w:sz w:val="20"/>
                <w:szCs w:val="20"/>
              </w:rPr>
            </w:pPr>
          </w:p>
        </w:tc>
      </w:tr>
      <w:tr w:rsidR="00936AB1" w:rsidRPr="009C01D5" w14:paraId="78C32CA6"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shd w:val="clear" w:color="auto" w:fill="auto"/>
          </w:tcPr>
          <w:p w14:paraId="509C62C0"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A853F3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3/155 (1.9)</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4D6BDD5"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8/152 (5.3)</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D3D453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(-0.07, 0.08)</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295D2C1"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0.37 (0.10, 1.36)</w:t>
            </w:r>
          </w:p>
        </w:tc>
      </w:tr>
      <w:tr w:rsidR="00936AB1" w:rsidRPr="009C01D5" w14:paraId="6C64BF6E"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shd w:val="clear" w:color="auto" w:fill="auto"/>
          </w:tcPr>
          <w:p w14:paraId="7294C3EE"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02D636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4/157 (2.5)</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84ADCC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6B03A164"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-0.03 (-0.07, 0.02)</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5536C0C"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0.48, (0.15, 1.57)</w:t>
            </w:r>
          </w:p>
        </w:tc>
      </w:tr>
      <w:tr w:rsidR="00936AB1" w:rsidRPr="009C01D5" w14:paraId="5CE7467F"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shd w:val="clear" w:color="auto" w:fill="auto"/>
          </w:tcPr>
          <w:p w14:paraId="7010CC34"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Nausea</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F76E0CC"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E9AE055"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69CD7C6"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A0E97EE" w14:textId="77777777" w:rsidR="00936AB1" w:rsidRPr="009C01D5" w:rsidRDefault="00936AB1" w:rsidP="00FA4235">
            <w:pPr>
              <w:pStyle w:val="TableTextcentred"/>
              <w:rPr>
                <w:rFonts w:ascii="Arial Narrow" w:hAnsi="Arial Narrow"/>
                <w:sz w:val="20"/>
                <w:szCs w:val="20"/>
              </w:rPr>
            </w:pPr>
          </w:p>
        </w:tc>
      </w:tr>
      <w:tr w:rsidR="00936AB1" w:rsidRPr="009C01D5" w14:paraId="770673A3"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2F886974"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1F424F8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3/155 (1.9)</w:t>
            </w:r>
          </w:p>
        </w:tc>
        <w:tc>
          <w:tcPr>
            <w:tcW w:w="1784" w:type="dxa"/>
            <w:tcBorders>
              <w:top w:val="single" w:sz="4" w:space="0" w:color="auto"/>
              <w:left w:val="single" w:sz="4" w:space="0" w:color="auto"/>
              <w:bottom w:val="single" w:sz="4" w:space="0" w:color="auto"/>
              <w:right w:val="single" w:sz="4" w:space="0" w:color="auto"/>
            </w:tcBorders>
          </w:tcPr>
          <w:p w14:paraId="4DF18CF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11/152</w:t>
            </w:r>
          </w:p>
        </w:tc>
        <w:tc>
          <w:tcPr>
            <w:tcW w:w="1784" w:type="dxa"/>
            <w:tcBorders>
              <w:top w:val="single" w:sz="4" w:space="0" w:color="auto"/>
              <w:left w:val="single" w:sz="4" w:space="0" w:color="auto"/>
              <w:bottom w:val="single" w:sz="4" w:space="0" w:color="auto"/>
              <w:right w:val="single" w:sz="4" w:space="0" w:color="auto"/>
            </w:tcBorders>
          </w:tcPr>
          <w:p w14:paraId="46BAA06C" w14:textId="77777777" w:rsidR="00936AB1" w:rsidRPr="009C01D5" w:rsidRDefault="00936AB1" w:rsidP="00FA4235">
            <w:pPr>
              <w:pStyle w:val="TableTextcentred"/>
              <w:rPr>
                <w:rFonts w:ascii="Arial Narrow" w:hAnsi="Arial Narrow"/>
                <w:b/>
                <w:bCs/>
                <w:sz w:val="20"/>
                <w:szCs w:val="20"/>
              </w:rPr>
            </w:pPr>
            <w:r w:rsidRPr="009C01D5">
              <w:rPr>
                <w:rFonts w:ascii="Arial Narrow" w:hAnsi="Arial Narrow"/>
                <w:b/>
                <w:bCs/>
                <w:sz w:val="20"/>
                <w:szCs w:val="20"/>
              </w:rPr>
              <w:t>-0.05 (-0.10, -0.01)</w:t>
            </w:r>
          </w:p>
        </w:tc>
        <w:tc>
          <w:tcPr>
            <w:tcW w:w="1784" w:type="dxa"/>
            <w:tcBorders>
              <w:top w:val="single" w:sz="4" w:space="0" w:color="auto"/>
              <w:left w:val="single" w:sz="4" w:space="0" w:color="auto"/>
              <w:bottom w:val="single" w:sz="4" w:space="0" w:color="auto"/>
              <w:right w:val="single" w:sz="4" w:space="0" w:color="auto"/>
            </w:tcBorders>
          </w:tcPr>
          <w:p w14:paraId="00A93943" w14:textId="77777777" w:rsidR="00936AB1" w:rsidRPr="009C01D5" w:rsidRDefault="00936AB1" w:rsidP="00FA4235">
            <w:pPr>
              <w:pStyle w:val="TableTextcentred"/>
              <w:rPr>
                <w:rFonts w:ascii="Arial Narrow" w:hAnsi="Arial Narrow"/>
                <w:b/>
                <w:bCs/>
                <w:sz w:val="20"/>
                <w:szCs w:val="20"/>
              </w:rPr>
            </w:pPr>
            <w:r w:rsidRPr="009C01D5">
              <w:rPr>
                <w:rFonts w:ascii="Arial Narrow" w:hAnsi="Arial Narrow"/>
                <w:b/>
                <w:bCs/>
                <w:sz w:val="20"/>
                <w:szCs w:val="20"/>
              </w:rPr>
              <w:t>0.27 (0.08, 0.94)</w:t>
            </w:r>
          </w:p>
        </w:tc>
      </w:tr>
      <w:tr w:rsidR="00936AB1" w:rsidRPr="009C01D5" w14:paraId="0899B68E"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D8F2C2D"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089E9863"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5/157 (3.2)</w:t>
            </w:r>
          </w:p>
        </w:tc>
        <w:tc>
          <w:tcPr>
            <w:tcW w:w="1784" w:type="dxa"/>
            <w:tcBorders>
              <w:top w:val="single" w:sz="4" w:space="0" w:color="auto"/>
              <w:left w:val="single" w:sz="4" w:space="0" w:color="auto"/>
              <w:bottom w:val="single" w:sz="4" w:space="0" w:color="auto"/>
              <w:right w:val="single" w:sz="4" w:space="0" w:color="auto"/>
            </w:tcBorders>
          </w:tcPr>
          <w:p w14:paraId="4748BFD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4CF58070"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-0.04 (-0.09, 0.10)</w:t>
            </w:r>
          </w:p>
        </w:tc>
        <w:tc>
          <w:tcPr>
            <w:tcW w:w="1784" w:type="dxa"/>
            <w:tcBorders>
              <w:top w:val="single" w:sz="4" w:space="0" w:color="auto"/>
              <w:left w:val="single" w:sz="4" w:space="0" w:color="auto"/>
              <w:bottom w:val="single" w:sz="4" w:space="0" w:color="auto"/>
              <w:right w:val="single" w:sz="4" w:space="0" w:color="auto"/>
            </w:tcBorders>
          </w:tcPr>
          <w:p w14:paraId="014D2BE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0.45 (0.16, 1.25)</w:t>
            </w:r>
          </w:p>
        </w:tc>
      </w:tr>
      <w:tr w:rsidR="00936AB1" w:rsidRPr="009C01D5" w14:paraId="45843E0C"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0BFD0835"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b/>
                <w:sz w:val="20"/>
                <w:szCs w:val="20"/>
              </w:rPr>
              <w:t>Agitation</w:t>
            </w:r>
          </w:p>
        </w:tc>
        <w:tc>
          <w:tcPr>
            <w:tcW w:w="1784" w:type="dxa"/>
            <w:tcBorders>
              <w:top w:val="single" w:sz="4" w:space="0" w:color="auto"/>
              <w:left w:val="single" w:sz="4" w:space="0" w:color="auto"/>
              <w:bottom w:val="single" w:sz="4" w:space="0" w:color="auto"/>
              <w:right w:val="single" w:sz="4" w:space="0" w:color="auto"/>
            </w:tcBorders>
          </w:tcPr>
          <w:p w14:paraId="05309517"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33D43530"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6F093981" w14:textId="77777777" w:rsidR="00936AB1" w:rsidRPr="009C01D5" w:rsidRDefault="00936AB1" w:rsidP="00FA4235">
            <w:pPr>
              <w:pStyle w:val="TableTextcentred"/>
              <w:rPr>
                <w:rFonts w:ascii="Arial Narrow" w:hAnsi="Arial Narrow"/>
                <w:sz w:val="20"/>
                <w:szCs w:val="20"/>
              </w:rPr>
            </w:pPr>
          </w:p>
        </w:tc>
        <w:tc>
          <w:tcPr>
            <w:tcW w:w="1784" w:type="dxa"/>
            <w:tcBorders>
              <w:top w:val="single" w:sz="4" w:space="0" w:color="auto"/>
              <w:left w:val="single" w:sz="4" w:space="0" w:color="auto"/>
              <w:bottom w:val="single" w:sz="4" w:space="0" w:color="auto"/>
              <w:right w:val="single" w:sz="4" w:space="0" w:color="auto"/>
            </w:tcBorders>
          </w:tcPr>
          <w:p w14:paraId="4FF001DC" w14:textId="77777777" w:rsidR="00936AB1" w:rsidRPr="009C01D5" w:rsidRDefault="00936AB1" w:rsidP="00FA4235">
            <w:pPr>
              <w:pStyle w:val="TableTextcentred"/>
              <w:rPr>
                <w:rFonts w:ascii="Arial Narrow" w:hAnsi="Arial Narrow"/>
                <w:sz w:val="20"/>
                <w:szCs w:val="20"/>
              </w:rPr>
            </w:pPr>
          </w:p>
        </w:tc>
      </w:tr>
      <w:tr w:rsidR="00936AB1" w:rsidRPr="009C01D5" w14:paraId="22DE7901"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7D4D2620"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3 mg/day</w:t>
            </w:r>
          </w:p>
        </w:tc>
        <w:tc>
          <w:tcPr>
            <w:tcW w:w="1784" w:type="dxa"/>
            <w:tcBorders>
              <w:top w:val="single" w:sz="4" w:space="0" w:color="auto"/>
              <w:left w:val="single" w:sz="4" w:space="0" w:color="auto"/>
              <w:bottom w:val="single" w:sz="4" w:space="0" w:color="auto"/>
              <w:right w:val="single" w:sz="4" w:space="0" w:color="auto"/>
            </w:tcBorders>
          </w:tcPr>
          <w:p w14:paraId="13BC9CAD"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5/155 (3.2)</w:t>
            </w:r>
          </w:p>
        </w:tc>
        <w:tc>
          <w:tcPr>
            <w:tcW w:w="1784" w:type="dxa"/>
            <w:tcBorders>
              <w:top w:val="single" w:sz="4" w:space="0" w:color="auto"/>
              <w:left w:val="single" w:sz="4" w:space="0" w:color="auto"/>
              <w:bottom w:val="single" w:sz="4" w:space="0" w:color="auto"/>
              <w:right w:val="single" w:sz="4" w:space="0" w:color="auto"/>
            </w:tcBorders>
          </w:tcPr>
          <w:p w14:paraId="45D366D9"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5/152 (3.3)</w:t>
            </w:r>
          </w:p>
        </w:tc>
        <w:tc>
          <w:tcPr>
            <w:tcW w:w="1784" w:type="dxa"/>
            <w:tcBorders>
              <w:top w:val="single" w:sz="4" w:space="0" w:color="auto"/>
              <w:left w:val="single" w:sz="4" w:space="0" w:color="auto"/>
              <w:bottom w:val="single" w:sz="4" w:space="0" w:color="auto"/>
              <w:right w:val="single" w:sz="4" w:space="0" w:color="auto"/>
            </w:tcBorders>
          </w:tcPr>
          <w:p w14:paraId="5A1D700B"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-0.00 (-0.04, 0.04)</w:t>
            </w:r>
          </w:p>
        </w:tc>
        <w:tc>
          <w:tcPr>
            <w:tcW w:w="1784" w:type="dxa"/>
            <w:tcBorders>
              <w:top w:val="single" w:sz="4" w:space="0" w:color="auto"/>
              <w:left w:val="single" w:sz="4" w:space="0" w:color="auto"/>
              <w:bottom w:val="single" w:sz="4" w:space="0" w:color="auto"/>
              <w:right w:val="single" w:sz="4" w:space="0" w:color="auto"/>
            </w:tcBorders>
          </w:tcPr>
          <w:p w14:paraId="36602E56"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0.98 (0.29, 3.32)</w:t>
            </w:r>
          </w:p>
        </w:tc>
      </w:tr>
      <w:tr w:rsidR="00936AB1" w:rsidRPr="009C01D5" w14:paraId="525DA17F" w14:textId="77777777" w:rsidTr="00FA4235">
        <w:trPr>
          <w:trHeight w:val="20"/>
        </w:trPr>
        <w:tc>
          <w:tcPr>
            <w:tcW w:w="1784" w:type="dxa"/>
            <w:tcBorders>
              <w:top w:val="single" w:sz="4" w:space="0" w:color="auto"/>
              <w:left w:val="single" w:sz="4" w:space="0" w:color="auto"/>
              <w:bottom w:val="single" w:sz="4" w:space="0" w:color="auto"/>
              <w:right w:val="single" w:sz="4" w:space="0" w:color="auto"/>
            </w:tcBorders>
          </w:tcPr>
          <w:p w14:paraId="4BD4D415" w14:textId="77777777" w:rsidR="00936AB1" w:rsidRPr="009C01D5" w:rsidRDefault="00936AB1" w:rsidP="00FA4235">
            <w:pPr>
              <w:pStyle w:val="TableTextleftalign"/>
              <w:rPr>
                <w:rFonts w:ascii="Arial Narrow" w:hAnsi="Arial Narrow"/>
                <w:sz w:val="20"/>
                <w:szCs w:val="20"/>
              </w:rPr>
            </w:pPr>
            <w:r w:rsidRPr="009C01D5">
              <w:rPr>
                <w:rFonts w:ascii="Arial Narrow" w:hAnsi="Arial Narrow"/>
                <w:sz w:val="20"/>
                <w:szCs w:val="20"/>
              </w:rPr>
              <w:t>Cariprazine 6 mg/day</w:t>
            </w:r>
          </w:p>
        </w:tc>
        <w:tc>
          <w:tcPr>
            <w:tcW w:w="1784" w:type="dxa"/>
            <w:tcBorders>
              <w:top w:val="single" w:sz="4" w:space="0" w:color="auto"/>
              <w:left w:val="single" w:sz="4" w:space="0" w:color="auto"/>
              <w:bottom w:val="single" w:sz="4" w:space="0" w:color="auto"/>
              <w:right w:val="single" w:sz="4" w:space="0" w:color="auto"/>
            </w:tcBorders>
          </w:tcPr>
          <w:p w14:paraId="3ED916BA"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11/157 (7.0)</w:t>
            </w:r>
          </w:p>
        </w:tc>
        <w:tc>
          <w:tcPr>
            <w:tcW w:w="1784" w:type="dxa"/>
            <w:tcBorders>
              <w:top w:val="single" w:sz="4" w:space="0" w:color="auto"/>
              <w:left w:val="single" w:sz="4" w:space="0" w:color="auto"/>
              <w:bottom w:val="single" w:sz="4" w:space="0" w:color="auto"/>
              <w:right w:val="single" w:sz="4" w:space="0" w:color="auto"/>
            </w:tcBorders>
          </w:tcPr>
          <w:p w14:paraId="2949A308"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09002BFF"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0.04 (-0.01, 0.09)</w:t>
            </w:r>
          </w:p>
        </w:tc>
        <w:tc>
          <w:tcPr>
            <w:tcW w:w="1784" w:type="dxa"/>
            <w:tcBorders>
              <w:top w:val="single" w:sz="4" w:space="0" w:color="auto"/>
              <w:left w:val="single" w:sz="4" w:space="0" w:color="auto"/>
              <w:bottom w:val="single" w:sz="4" w:space="0" w:color="auto"/>
              <w:right w:val="single" w:sz="4" w:space="0" w:color="auto"/>
            </w:tcBorders>
          </w:tcPr>
          <w:p w14:paraId="66A4910E" w14:textId="77777777" w:rsidR="00936AB1" w:rsidRPr="009C01D5" w:rsidRDefault="00936AB1" w:rsidP="00FA4235">
            <w:pPr>
              <w:pStyle w:val="TableTextcentred"/>
              <w:rPr>
                <w:rFonts w:ascii="Arial Narrow" w:hAnsi="Arial Narrow"/>
                <w:sz w:val="20"/>
                <w:szCs w:val="20"/>
              </w:rPr>
            </w:pPr>
            <w:r w:rsidRPr="009C01D5">
              <w:rPr>
                <w:rFonts w:ascii="Arial Narrow" w:hAnsi="Arial Narrow"/>
                <w:sz w:val="20"/>
                <w:szCs w:val="20"/>
              </w:rPr>
              <w:t>2.13 (0.76, 5.99)</w:t>
            </w:r>
          </w:p>
        </w:tc>
      </w:tr>
    </w:tbl>
    <w:p w14:paraId="6D09760D" w14:textId="77777777" w:rsidR="00936AB1" w:rsidRPr="009C01D5" w:rsidRDefault="00936AB1" w:rsidP="00936AB1">
      <w:pPr>
        <w:pStyle w:val="TableFigureFooter"/>
        <w:jc w:val="left"/>
        <w:rPr>
          <w:szCs w:val="18"/>
        </w:rPr>
      </w:pPr>
      <w:r w:rsidRPr="009C01D5">
        <w:rPr>
          <w:szCs w:val="18"/>
        </w:rPr>
        <w:t xml:space="preserve">Abbreviations: mg = milligram; RD = risk difference; RR = relative risk; TEAE = treatment emergent adverse event; SAE = serious adverse events; SD = standard deviation </w:t>
      </w:r>
    </w:p>
    <w:p w14:paraId="1F02C6AA" w14:textId="77777777" w:rsidR="00936AB1" w:rsidRPr="009C01D5" w:rsidRDefault="00936AB1" w:rsidP="00936AB1">
      <w:pPr>
        <w:pStyle w:val="TableFigureFooter"/>
        <w:jc w:val="left"/>
        <w:rPr>
          <w:szCs w:val="18"/>
        </w:rPr>
      </w:pPr>
      <w:r w:rsidRPr="009C01D5">
        <w:rPr>
          <w:szCs w:val="18"/>
        </w:rPr>
        <w:t>Source: Table 2.5.6 p133 of the submission</w:t>
      </w:r>
    </w:p>
    <w:p w14:paraId="488C17A3" w14:textId="77777777" w:rsidR="00936AB1" w:rsidRPr="009C01D5" w:rsidRDefault="00936AB1" w:rsidP="00936AB1">
      <w:pPr>
        <w:pStyle w:val="TableFigureFooter"/>
        <w:jc w:val="left"/>
        <w:rPr>
          <w:szCs w:val="18"/>
        </w:rPr>
      </w:pPr>
      <w:r w:rsidRPr="009C01D5">
        <w:rPr>
          <w:szCs w:val="18"/>
        </w:rPr>
        <w:t>Notes: 1. Relative risk not estimable as denominator value = 0.</w:t>
      </w:r>
    </w:p>
    <w:p w14:paraId="4173A4AD" w14:textId="77777777" w:rsidR="00936AB1" w:rsidRPr="009C01D5" w:rsidRDefault="00936AB1" w:rsidP="00936AB1">
      <w:pPr>
        <w:pStyle w:val="TableFigureFooter"/>
        <w:jc w:val="left"/>
        <w:rPr>
          <w:szCs w:val="18"/>
        </w:rPr>
      </w:pPr>
      <w:r w:rsidRPr="009C01D5">
        <w:rPr>
          <w:szCs w:val="18"/>
        </w:rPr>
        <w:t>2. Neither of the deaths in the cariprazine 6 mg arm were considered to be related to treatment by the Investigator (RGH-MD-04 CSR, Section 12.3.1.1).</w:t>
      </w:r>
    </w:p>
    <w:p w14:paraId="0C81603C" w14:textId="77777777" w:rsidR="00936AB1" w:rsidRPr="009C01D5" w:rsidRDefault="00936AB1" w:rsidP="00936AB1">
      <w:pPr>
        <w:pStyle w:val="TableFigureFooter"/>
        <w:jc w:val="left"/>
        <w:rPr>
          <w:szCs w:val="18"/>
        </w:rPr>
      </w:pPr>
      <w:r w:rsidRPr="009C01D5">
        <w:rPr>
          <w:szCs w:val="18"/>
        </w:rPr>
        <w:t>Bold indicates statistically significant difference.</w:t>
      </w:r>
    </w:p>
    <w:p w14:paraId="5A559A0A" w14:textId="77777777" w:rsidR="00936AB1" w:rsidRPr="009C01D5" w:rsidRDefault="00936AB1" w:rsidP="00936AB1">
      <w:pPr>
        <w:pStyle w:val="3-BodyText"/>
        <w:rPr>
          <w:rFonts w:ascii="Arial Narrow" w:hAnsi="Arial Narrow"/>
          <w:b/>
          <w:color w:val="000000" w:themeColor="text1"/>
          <w:sz w:val="20"/>
        </w:rPr>
      </w:pPr>
      <w:r w:rsidRPr="009C01D5">
        <w:t>The overall rates of treatment-emergent AEs (TEAEs) reported in the cariprazine trials were within the same range as the rates reported for aripiprazole. The submission stated that the majority of TEAEs with cariprazine were considered by the Investigator to be mild or moderate in severity</w:t>
      </w:r>
      <w:r w:rsidR="008C6F24" w:rsidRPr="009C01D5">
        <w:t>,</w:t>
      </w:r>
      <w:r w:rsidRPr="009C01D5">
        <w:t xml:space="preserve"> and there was no dose-response with regard to AE severity. The most frequent TEAEs were akathisia and extrapyramidal disorder.</w:t>
      </w:r>
    </w:p>
    <w:p w14:paraId="21034CF9" w14:textId="77777777" w:rsidR="000A2E54" w:rsidRPr="009C01D5" w:rsidRDefault="000A2E54">
      <w:pPr>
        <w:jc w:val="left"/>
        <w:rPr>
          <w:rFonts w:asciiTheme="minorHAnsi" w:hAnsiTheme="minorHAnsi"/>
          <w:iCs/>
          <w:snapToGrid w:val="0"/>
        </w:rPr>
      </w:pPr>
      <w:r w:rsidRPr="009C01D5">
        <w:rPr>
          <w:iCs/>
        </w:rPr>
        <w:br w:type="page"/>
      </w:r>
    </w:p>
    <w:p w14:paraId="16ACB00C" w14:textId="77777777" w:rsidR="00C233ED" w:rsidRPr="009C01D5" w:rsidRDefault="00C233ED" w:rsidP="00C233ED">
      <w:pPr>
        <w:pStyle w:val="3-BodyText"/>
        <w:numPr>
          <w:ilvl w:val="0"/>
          <w:numId w:val="0"/>
        </w:numPr>
        <w:rPr>
          <w:rFonts w:ascii="Arial Narrow" w:hAnsi="Arial Narrow"/>
          <w:b/>
          <w:i/>
          <w:iCs/>
          <w:color w:val="000000" w:themeColor="text1"/>
          <w:sz w:val="20"/>
        </w:rPr>
      </w:pPr>
      <w:r w:rsidRPr="009C01D5">
        <w:rPr>
          <w:i/>
          <w:iCs/>
        </w:rPr>
        <w:t>Cariprazine safety</w:t>
      </w:r>
    </w:p>
    <w:p w14:paraId="79EA69B0" w14:textId="77777777" w:rsidR="00936AB1" w:rsidRPr="009C01D5" w:rsidRDefault="00936AB1" w:rsidP="00936AB1">
      <w:pPr>
        <w:pStyle w:val="3-BodyText"/>
        <w:rPr>
          <w:color w:val="000000" w:themeColor="text1"/>
        </w:rPr>
      </w:pPr>
      <w:r w:rsidRPr="009C01D5">
        <w:t>In both the acute and long-term placebo-controlled trials, the incidence of serious adverse events (SAEs) and adverse events leading to dropout (ADOs</w:t>
      </w:r>
      <w:r w:rsidR="008C6F24" w:rsidRPr="009C01D5">
        <w:t>)</w:t>
      </w:r>
      <w:r w:rsidRPr="009C01D5">
        <w:t xml:space="preserve"> was lower with cariprazine than with placebo. The most commonly reported SAEs and ADOs were associated with the underlying disease (worsening of schizophrenia or psychotic symptoms). In the pooled acute cariprazine trials, the incidence of AEs leading to treatment discontinuation was lower with cariprazine (9%) than placebo (12%). </w:t>
      </w:r>
    </w:p>
    <w:p w14:paraId="30E58105" w14:textId="77777777" w:rsidR="00936AB1" w:rsidRPr="009C01D5" w:rsidRDefault="00936AB1" w:rsidP="00936AB1">
      <w:pPr>
        <w:pStyle w:val="3-BodyText"/>
        <w:rPr>
          <w:color w:val="000000" w:themeColor="text1"/>
        </w:rPr>
      </w:pPr>
      <w:r w:rsidRPr="009C01D5">
        <w:t xml:space="preserve">The most common </w:t>
      </w:r>
      <w:r w:rsidR="00C233ED" w:rsidRPr="009C01D5">
        <w:t>AE</w:t>
      </w:r>
      <w:r w:rsidRPr="009C01D5">
        <w:t xml:space="preserve"> leading to study discontinuation in the cariprazine acute trials was exacerbation of schizophrenia, (5%</w:t>
      </w:r>
      <w:r w:rsidR="00656F0F" w:rsidRPr="009C01D5">
        <w:t xml:space="preserve"> </w:t>
      </w:r>
      <w:r w:rsidR="00F170F6" w:rsidRPr="009C01D5">
        <w:t>for</w:t>
      </w:r>
      <w:r w:rsidR="00656F0F" w:rsidRPr="009C01D5">
        <w:t xml:space="preserve"> cariprazine</w:t>
      </w:r>
      <w:r w:rsidRPr="009C01D5">
        <w:t xml:space="preserve"> vs 3%</w:t>
      </w:r>
      <w:r w:rsidR="00656F0F" w:rsidRPr="009C01D5">
        <w:t xml:space="preserve"> </w:t>
      </w:r>
      <w:r w:rsidR="00F170F6" w:rsidRPr="009C01D5">
        <w:t>for</w:t>
      </w:r>
      <w:r w:rsidR="00656F0F" w:rsidRPr="009C01D5">
        <w:t xml:space="preserve"> placebo)</w:t>
      </w:r>
      <w:r w:rsidRPr="009C01D5">
        <w:t xml:space="preserve">. </w:t>
      </w:r>
      <w:r w:rsidRPr="009C01D5">
        <w:rPr>
          <w:color w:val="000000" w:themeColor="text1"/>
        </w:rPr>
        <w:t xml:space="preserve">In the pooled acute cariprazine trials, the incidence of SAEs was lower with cariprazine than placebo (5.5% and 8.7% respectively). </w:t>
      </w:r>
    </w:p>
    <w:p w14:paraId="6F936EDC" w14:textId="77777777" w:rsidR="00936AB1" w:rsidRPr="009C01D5" w:rsidRDefault="00936AB1" w:rsidP="00936AB1">
      <w:pPr>
        <w:pStyle w:val="3-BodyText"/>
        <w:rPr>
          <w:color w:val="000000" w:themeColor="text1"/>
        </w:rPr>
      </w:pPr>
      <w:r w:rsidRPr="009C01D5">
        <w:rPr>
          <w:color w:val="000000" w:themeColor="text1"/>
        </w:rPr>
        <w:t xml:space="preserve">Across the cariprazine trials, only two deaths were reported, both in the RGH-MD-04 trial. Both deaths occurred during the double-blind treatment phase and both patients who died were in the cariprazine 6 mg/day treatment group. Neither of the deaths were considered by the Investigator to be related to the investigational product. </w:t>
      </w:r>
    </w:p>
    <w:p w14:paraId="0610EA28" w14:textId="77777777" w:rsidR="00936AB1" w:rsidRPr="009C01D5" w:rsidRDefault="00936AB1" w:rsidP="00936AB1">
      <w:pPr>
        <w:pStyle w:val="3-BodyText"/>
      </w:pPr>
      <w:r w:rsidRPr="009C01D5">
        <w:rPr>
          <w:color w:val="000000" w:themeColor="text1"/>
        </w:rPr>
        <w:t xml:space="preserve">The AEs that occurred </w:t>
      </w:r>
      <w:r w:rsidR="00EA2987" w:rsidRPr="009C01D5">
        <w:rPr>
          <w:color w:val="000000" w:themeColor="text1"/>
        </w:rPr>
        <w:t xml:space="preserve">with </w:t>
      </w:r>
      <w:r w:rsidRPr="009C01D5">
        <w:rPr>
          <w:color w:val="000000" w:themeColor="text1"/>
        </w:rPr>
        <w:t>an incidence of at least 5% and twice the rate of placebo in the cariprazine trials were extrapyramidal symptoms (EPS) and akathisia. None of the akathisia AEs reported in the cariprazine acute trials were SAEs, and most were considered mild or moderate in severity. The submission stated that the likely rate and severity of akathisia in clinical practice w</w:t>
      </w:r>
      <w:r w:rsidR="008C6F24" w:rsidRPr="009C01D5">
        <w:rPr>
          <w:color w:val="000000" w:themeColor="text1"/>
        </w:rPr>
        <w:t>ould</w:t>
      </w:r>
      <w:r w:rsidRPr="009C01D5">
        <w:rPr>
          <w:color w:val="000000" w:themeColor="text1"/>
        </w:rPr>
        <w:t xml:space="preserve"> be manageable for most cariprazine-treated patients following the recommendations for slow up-titration and use of the minimum effective dose.</w:t>
      </w:r>
      <w:r w:rsidR="00C233ED" w:rsidRPr="009C01D5">
        <w:rPr>
          <w:color w:val="000000" w:themeColor="text1"/>
        </w:rPr>
        <w:t xml:space="preserve"> </w:t>
      </w:r>
    </w:p>
    <w:p w14:paraId="51F3BA4D" w14:textId="77777777" w:rsidR="00C233ED" w:rsidRPr="009C01D5" w:rsidRDefault="00C233ED" w:rsidP="00C233ED">
      <w:pPr>
        <w:pStyle w:val="3-BodyText"/>
        <w:numPr>
          <w:ilvl w:val="0"/>
          <w:numId w:val="0"/>
        </w:numPr>
        <w:rPr>
          <w:i/>
          <w:iCs/>
        </w:rPr>
      </w:pPr>
      <w:r w:rsidRPr="009C01D5">
        <w:rPr>
          <w:i/>
          <w:iCs/>
          <w:color w:val="000000" w:themeColor="text1"/>
        </w:rPr>
        <w:t>Aripiprazole safety</w:t>
      </w:r>
    </w:p>
    <w:p w14:paraId="0E3EF78A" w14:textId="77777777" w:rsidR="00936AB1" w:rsidRPr="009C01D5" w:rsidRDefault="00936AB1" w:rsidP="00936AB1">
      <w:pPr>
        <w:pStyle w:val="3-BodyText"/>
        <w:rPr>
          <w:color w:val="000000" w:themeColor="text1"/>
        </w:rPr>
      </w:pPr>
      <w:r w:rsidRPr="009C01D5">
        <w:rPr>
          <w:color w:val="000000" w:themeColor="text1"/>
        </w:rPr>
        <w:t>The aripiprazole trials showed some variability in the incidence of TEAEs, which may be dose-related, as the study with the highest incidence of TEAEs at 91% (which exceeded the highest observed rates for cariprazine and brexpiprazole) used the highest doses of aripiprazole (20–30 mg; see Potkin 2003). Only one death was reported across the aripiprazole studies. The investigator judged the event as being unrelated to the study medication. In the aripiprazole acute trials</w:t>
      </w:r>
      <w:r w:rsidR="00EA2987" w:rsidRPr="009C01D5">
        <w:rPr>
          <w:color w:val="000000" w:themeColor="text1"/>
        </w:rPr>
        <w:t>,</w:t>
      </w:r>
      <w:r w:rsidRPr="009C01D5">
        <w:rPr>
          <w:color w:val="000000" w:themeColor="text1"/>
        </w:rPr>
        <w:t xml:space="preserve"> the observed incidence of akathisia ranged from 2.1–20%, thus in some trials exceeding the observed rates in the cariprazine trials.</w:t>
      </w:r>
    </w:p>
    <w:p w14:paraId="20AB1B43" w14:textId="77777777" w:rsidR="00C233ED" w:rsidRPr="009C01D5" w:rsidRDefault="00C233ED" w:rsidP="00C233ED">
      <w:pPr>
        <w:pStyle w:val="3-BodyText"/>
        <w:numPr>
          <w:ilvl w:val="0"/>
          <w:numId w:val="0"/>
        </w:numPr>
        <w:rPr>
          <w:i/>
          <w:iCs/>
          <w:color w:val="000000" w:themeColor="text1"/>
        </w:rPr>
      </w:pPr>
      <w:r w:rsidRPr="009C01D5">
        <w:rPr>
          <w:i/>
          <w:iCs/>
          <w:color w:val="000000" w:themeColor="text1"/>
        </w:rPr>
        <w:t>Brexpiprazole safety</w:t>
      </w:r>
    </w:p>
    <w:p w14:paraId="5F41A0AC" w14:textId="77777777" w:rsidR="00936AB1" w:rsidRPr="009C01D5" w:rsidRDefault="00936AB1" w:rsidP="00936AB1">
      <w:pPr>
        <w:pStyle w:val="3-BodyText"/>
        <w:rPr>
          <w:color w:val="000000" w:themeColor="text1"/>
        </w:rPr>
      </w:pPr>
      <w:r w:rsidRPr="009C01D5">
        <w:rPr>
          <w:color w:val="000000" w:themeColor="text1"/>
        </w:rPr>
        <w:t xml:space="preserve">The submission reported that overall brexpiprazole was generally well tolerated in all studies. Across the brexpiprazole </w:t>
      </w:r>
      <w:r w:rsidR="00967438" w:rsidRPr="009C01D5">
        <w:rPr>
          <w:color w:val="000000" w:themeColor="text1"/>
        </w:rPr>
        <w:t>trials,</w:t>
      </w:r>
      <w:r w:rsidRPr="009C01D5">
        <w:rPr>
          <w:color w:val="000000" w:themeColor="text1"/>
        </w:rPr>
        <w:t xml:space="preserve"> one death was reported in a pooled </w:t>
      </w:r>
      <w:r w:rsidR="00967438" w:rsidRPr="009C01D5">
        <w:rPr>
          <w:color w:val="000000" w:themeColor="text1"/>
        </w:rPr>
        <w:t>publication, which</w:t>
      </w:r>
      <w:r w:rsidRPr="009C01D5">
        <w:rPr>
          <w:color w:val="000000" w:themeColor="text1"/>
        </w:rPr>
        <w:t xml:space="preserve"> appeared to attribute it to the BEACON trial. </w:t>
      </w:r>
    </w:p>
    <w:p w14:paraId="73BDBD53" w14:textId="77777777" w:rsidR="00936AB1" w:rsidRPr="009C01D5" w:rsidRDefault="00936AB1" w:rsidP="00936AB1">
      <w:pPr>
        <w:pStyle w:val="3-BodyText"/>
        <w:rPr>
          <w:color w:val="000000" w:themeColor="text1"/>
        </w:rPr>
      </w:pPr>
      <w:r w:rsidRPr="009C01D5">
        <w:rPr>
          <w:color w:val="000000" w:themeColor="text1"/>
        </w:rPr>
        <w:t>Pooled analysis of the BEACON, VECTOR and STEP-203 trials demonstrated that the incidence of akathisia was similar in the brexpiprazole 2–4 mg and placebo groups, although rose markedly to 15% at do</w:t>
      </w:r>
      <w:r w:rsidR="008C6F24" w:rsidRPr="009C01D5">
        <w:rPr>
          <w:color w:val="000000" w:themeColor="text1"/>
        </w:rPr>
        <w:t>s</w:t>
      </w:r>
      <w:r w:rsidRPr="009C01D5">
        <w:rPr>
          <w:color w:val="000000" w:themeColor="text1"/>
        </w:rPr>
        <w:t>es above 4 mg/day. Discontinuation rates for akathisia were &lt; 1% in both short-term (0.1%) and long-term (0.4%) studies for brexpiprazole.</w:t>
      </w:r>
    </w:p>
    <w:p w14:paraId="511506FF" w14:textId="77777777" w:rsidR="00936AB1" w:rsidRPr="009C01D5" w:rsidRDefault="00936AB1" w:rsidP="00936AB1">
      <w:pPr>
        <w:pStyle w:val="3-BodyText"/>
        <w:numPr>
          <w:ilvl w:val="0"/>
          <w:numId w:val="0"/>
        </w:numPr>
        <w:rPr>
          <w:color w:val="000000" w:themeColor="text1"/>
          <w:u w:val="single"/>
        </w:rPr>
      </w:pPr>
      <w:r w:rsidRPr="009C01D5">
        <w:rPr>
          <w:color w:val="000000" w:themeColor="text1"/>
          <w:u w:val="single"/>
        </w:rPr>
        <w:t xml:space="preserve">Maintenance </w:t>
      </w:r>
      <w:r w:rsidR="00C233ED" w:rsidRPr="009C01D5">
        <w:rPr>
          <w:color w:val="000000" w:themeColor="text1"/>
          <w:u w:val="single"/>
        </w:rPr>
        <w:t xml:space="preserve">setting </w:t>
      </w:r>
      <w:r w:rsidRPr="009C01D5">
        <w:rPr>
          <w:color w:val="000000" w:themeColor="text1"/>
          <w:u w:val="single"/>
        </w:rPr>
        <w:t>t</w:t>
      </w:r>
      <w:r w:rsidR="00C233ED" w:rsidRPr="009C01D5">
        <w:rPr>
          <w:color w:val="000000" w:themeColor="text1"/>
          <w:u w:val="single"/>
        </w:rPr>
        <w:t>ri</w:t>
      </w:r>
      <w:r w:rsidRPr="009C01D5">
        <w:rPr>
          <w:color w:val="000000" w:themeColor="text1"/>
          <w:u w:val="single"/>
        </w:rPr>
        <w:t xml:space="preserve">als </w:t>
      </w:r>
    </w:p>
    <w:p w14:paraId="2EBA4991" w14:textId="77777777" w:rsidR="00C233ED" w:rsidRPr="009C01D5" w:rsidRDefault="00C233ED" w:rsidP="00C233ED">
      <w:pPr>
        <w:pStyle w:val="3-BodyText"/>
        <w:numPr>
          <w:ilvl w:val="0"/>
          <w:numId w:val="0"/>
        </w:numPr>
        <w:ind w:left="720" w:hanging="720"/>
        <w:rPr>
          <w:i/>
          <w:iCs/>
          <w:color w:val="000000" w:themeColor="text1"/>
        </w:rPr>
      </w:pPr>
      <w:r w:rsidRPr="009C01D5">
        <w:rPr>
          <w:i/>
          <w:iCs/>
          <w:color w:val="000000" w:themeColor="text1"/>
        </w:rPr>
        <w:t>Cariprazine safety</w:t>
      </w:r>
    </w:p>
    <w:p w14:paraId="3BA50CDA" w14:textId="77777777" w:rsidR="00936AB1" w:rsidRPr="009C01D5" w:rsidRDefault="00936AB1" w:rsidP="00936AB1">
      <w:pPr>
        <w:pStyle w:val="3-BodyText"/>
        <w:rPr>
          <w:color w:val="000000" w:themeColor="text1"/>
        </w:rPr>
      </w:pPr>
      <w:r w:rsidRPr="009C01D5">
        <w:rPr>
          <w:color w:val="000000" w:themeColor="text1"/>
        </w:rPr>
        <w:t>In the cariprazine maintenance trial (RGH-MD-06), discontinuation due to AEs occurred more frequently in the run-in (dose titration) phase than in the stabilisation phase where patients maintained their dose of cariprazine (11.2% and 2.5%, respectively). The proportion of patients who completed the double-blind treatment period was similar for the cariprazine and placebo treatment groups. Due to the higher relapse rate observed in the placebo group relative to the cariprazine group, more patients in the cariprazine group were discontinued for reasons other than relapse (which may have included AEs).</w:t>
      </w:r>
    </w:p>
    <w:p w14:paraId="45EAE47B" w14:textId="77777777" w:rsidR="00936AB1" w:rsidRPr="009C01D5" w:rsidRDefault="00936AB1" w:rsidP="00936AB1">
      <w:pPr>
        <w:pStyle w:val="3-BodyText"/>
        <w:rPr>
          <w:color w:val="000000" w:themeColor="text1"/>
        </w:rPr>
      </w:pPr>
      <w:r w:rsidRPr="009C01D5">
        <w:rPr>
          <w:color w:val="000000" w:themeColor="text1"/>
        </w:rPr>
        <w:t>The submission stated that observed rates of akathisia in the open-label phase of the cariprazine maintenance trial and open-label follow up studies were in keeping with the dose</w:t>
      </w:r>
      <w:r w:rsidR="00E86710" w:rsidRPr="009C01D5">
        <w:rPr>
          <w:color w:val="000000" w:themeColor="text1"/>
        </w:rPr>
        <w:t>-</w:t>
      </w:r>
      <w:r w:rsidRPr="009C01D5">
        <w:rPr>
          <w:color w:val="000000" w:themeColor="text1"/>
        </w:rPr>
        <w:t>response relationship for akathisia that is now well recognised. In the double-blind phase of the cariprazine maintenance trial</w:t>
      </w:r>
      <w:r w:rsidR="00BA3F74" w:rsidRPr="009C01D5">
        <w:rPr>
          <w:color w:val="000000" w:themeColor="text1"/>
        </w:rPr>
        <w:t>,</w:t>
      </w:r>
      <w:r w:rsidRPr="009C01D5">
        <w:rPr>
          <w:color w:val="000000" w:themeColor="text1"/>
        </w:rPr>
        <w:t xml:space="preserve"> </w:t>
      </w:r>
      <w:r w:rsidR="00BA3F74" w:rsidRPr="009C01D5">
        <w:rPr>
          <w:color w:val="000000" w:themeColor="text1"/>
        </w:rPr>
        <w:t xml:space="preserve">the reported incidence of akathisia in the cariprazine arm fell dramatically to 5.0% (from 19.2% in the open-label treatment phase) </w:t>
      </w:r>
      <w:r w:rsidRPr="009C01D5">
        <w:rPr>
          <w:color w:val="000000" w:themeColor="text1"/>
        </w:rPr>
        <w:t>once dose titration was complete</w:t>
      </w:r>
      <w:r w:rsidR="00BA3F74" w:rsidRPr="009C01D5">
        <w:rPr>
          <w:color w:val="000000" w:themeColor="text1"/>
        </w:rPr>
        <w:t xml:space="preserve">. This rate of akathisia </w:t>
      </w:r>
      <w:r w:rsidRPr="009C01D5">
        <w:rPr>
          <w:color w:val="000000" w:themeColor="text1"/>
        </w:rPr>
        <w:t xml:space="preserve">compared favourably with the observed incidence in the placebo arm of 3.0% and </w:t>
      </w:r>
      <w:r w:rsidR="00AF16FD" w:rsidRPr="009C01D5">
        <w:rPr>
          <w:color w:val="000000" w:themeColor="text1"/>
        </w:rPr>
        <w:t>was</w:t>
      </w:r>
      <w:r w:rsidRPr="009C01D5">
        <w:rPr>
          <w:color w:val="000000" w:themeColor="text1"/>
        </w:rPr>
        <w:t xml:space="preserve"> lower than the rates reported in the acute trials. The submission argued that these rates are a function of the trial design and target doses and are unlikely to be observed in clinical practice. This seem</w:t>
      </w:r>
      <w:r w:rsidR="00E86710" w:rsidRPr="009C01D5">
        <w:rPr>
          <w:color w:val="000000" w:themeColor="text1"/>
        </w:rPr>
        <w:t>ed</w:t>
      </w:r>
      <w:r w:rsidRPr="009C01D5">
        <w:rPr>
          <w:color w:val="000000" w:themeColor="text1"/>
        </w:rPr>
        <w:t xml:space="preserve"> reasonable noting that the submission addressed the potential for akathisia associated with cariprazine as part of its quality use of medicines </w:t>
      </w:r>
      <w:r w:rsidR="00E86710" w:rsidRPr="009C01D5">
        <w:rPr>
          <w:color w:val="000000" w:themeColor="text1"/>
        </w:rPr>
        <w:t xml:space="preserve">(QUM) </w:t>
      </w:r>
      <w:r w:rsidRPr="009C01D5">
        <w:rPr>
          <w:color w:val="000000" w:themeColor="text1"/>
        </w:rPr>
        <w:t>approach.</w:t>
      </w:r>
    </w:p>
    <w:p w14:paraId="5F4C21FE" w14:textId="77777777" w:rsidR="002D1E92" w:rsidRPr="009C01D5" w:rsidRDefault="002D1E92" w:rsidP="002D1E92">
      <w:pPr>
        <w:pStyle w:val="3-BodyText"/>
        <w:numPr>
          <w:ilvl w:val="0"/>
          <w:numId w:val="0"/>
        </w:numPr>
        <w:rPr>
          <w:i/>
          <w:iCs/>
          <w:color w:val="000000" w:themeColor="text1"/>
        </w:rPr>
      </w:pPr>
      <w:r w:rsidRPr="009C01D5">
        <w:rPr>
          <w:i/>
          <w:iCs/>
          <w:color w:val="000000" w:themeColor="text1"/>
        </w:rPr>
        <w:t>Aripiprazole and Brexpiprazole safety</w:t>
      </w:r>
    </w:p>
    <w:p w14:paraId="06C0E8EA" w14:textId="77777777" w:rsidR="00936AB1" w:rsidRPr="009C01D5" w:rsidRDefault="00BA3F74" w:rsidP="00936AB1">
      <w:pPr>
        <w:pStyle w:val="3-BodyText"/>
        <w:rPr>
          <w:color w:val="000000" w:themeColor="text1"/>
        </w:rPr>
      </w:pPr>
      <w:r w:rsidRPr="009C01D5">
        <w:rPr>
          <w:color w:val="000000" w:themeColor="text1"/>
        </w:rPr>
        <w:t>The incidence of AEs with aripiprazole in the maintenance trials was consistent with the incidence of AEs reported in the acute trials except for that of Potkin 2003</w:t>
      </w:r>
      <w:r w:rsidR="00E86710" w:rsidRPr="009C01D5">
        <w:rPr>
          <w:color w:val="000000" w:themeColor="text1"/>
        </w:rPr>
        <w:t>,</w:t>
      </w:r>
      <w:r w:rsidRPr="009C01D5">
        <w:rPr>
          <w:color w:val="000000" w:themeColor="text1"/>
        </w:rPr>
        <w:t xml:space="preserve"> which reported higher incidence of AE and discontinuations. </w:t>
      </w:r>
      <w:r w:rsidR="00936AB1" w:rsidRPr="009C01D5">
        <w:rPr>
          <w:color w:val="000000" w:themeColor="text1"/>
        </w:rPr>
        <w:t xml:space="preserve">During the maintenance phase of the long-term trial, the incidence of AEs with brexpiprazole was lower than for the acute trials and was comparable to that of placebo. </w:t>
      </w:r>
    </w:p>
    <w:p w14:paraId="31B4121B" w14:textId="77777777" w:rsidR="00936AB1" w:rsidRPr="009C01D5" w:rsidRDefault="00936AB1" w:rsidP="00936AB1">
      <w:pPr>
        <w:pStyle w:val="3-BodyText"/>
        <w:numPr>
          <w:ilvl w:val="0"/>
          <w:numId w:val="0"/>
        </w:numPr>
        <w:rPr>
          <w:color w:val="000000" w:themeColor="text1"/>
          <w:u w:val="single"/>
        </w:rPr>
      </w:pPr>
      <w:r w:rsidRPr="009C01D5">
        <w:rPr>
          <w:color w:val="000000" w:themeColor="text1"/>
          <w:u w:val="single"/>
        </w:rPr>
        <w:t xml:space="preserve">Meta-analysis (Safety) </w:t>
      </w:r>
    </w:p>
    <w:p w14:paraId="64275904" w14:textId="77777777" w:rsidR="00936AB1" w:rsidRPr="009C01D5" w:rsidRDefault="00936AB1" w:rsidP="00936AB1">
      <w:pPr>
        <w:pStyle w:val="3-BodyText"/>
        <w:rPr>
          <w:i/>
          <w:color w:val="000000" w:themeColor="text1"/>
        </w:rPr>
      </w:pPr>
      <w:r w:rsidRPr="009C01D5">
        <w:rPr>
          <w:color w:val="000000" w:themeColor="text1"/>
        </w:rPr>
        <w:t xml:space="preserve">The results of </w:t>
      </w:r>
      <w:r w:rsidR="004E58A6" w:rsidRPr="009C01D5">
        <w:rPr>
          <w:color w:val="000000" w:themeColor="text1"/>
        </w:rPr>
        <w:t xml:space="preserve">a </w:t>
      </w:r>
      <w:r w:rsidRPr="009C01D5">
        <w:rPr>
          <w:color w:val="000000" w:themeColor="text1"/>
        </w:rPr>
        <w:t>meta-analysis of safety outcomes confirmed the safety of cariprazine and the main comparators for the treatment of schizophrenia; most outcomes were similar between the intervention and placebo arms of the trials. This seemed reasonable.</w:t>
      </w:r>
    </w:p>
    <w:p w14:paraId="548EEC08" w14:textId="77777777" w:rsidR="00936AB1" w:rsidRPr="009C01D5" w:rsidRDefault="00936AB1" w:rsidP="00936AB1">
      <w:pPr>
        <w:pStyle w:val="3-BodyText"/>
        <w:rPr>
          <w:i/>
          <w:color w:val="000000" w:themeColor="text1"/>
        </w:rPr>
      </w:pPr>
      <w:r w:rsidRPr="009C01D5">
        <w:rPr>
          <w:color w:val="000000" w:themeColor="text1"/>
        </w:rPr>
        <w:t xml:space="preserve">The meta-analyses of TEAEs in the cariprazine trials estimated a higher risk for the cariprazine arm compared to placebo, but the magnitude of the difference was small and there was no difference in discontinuations due to AEs or SAEs. The comparators had a similar risk of TEAEs and SAEs as placebo. Low to moderate heterogeneity was observed mainly in the meta-analyses of discontinuations and in the meta-analyses of the brexpiprazole trials. This should be taken into account when interpreting the results of the subsequent ITC as the moderate heterogeneity indicated differences in safety profile across the included trials. The differences in </w:t>
      </w:r>
      <w:r w:rsidR="00E21454" w:rsidRPr="009C01D5">
        <w:rPr>
          <w:color w:val="000000" w:themeColor="text1"/>
        </w:rPr>
        <w:t xml:space="preserve">the characteristics of the </w:t>
      </w:r>
      <w:r w:rsidRPr="009C01D5">
        <w:rPr>
          <w:color w:val="000000" w:themeColor="text1"/>
        </w:rPr>
        <w:t>trials</w:t>
      </w:r>
      <w:r w:rsidR="00D52569" w:rsidRPr="009C01D5">
        <w:rPr>
          <w:color w:val="000000" w:themeColor="text1"/>
        </w:rPr>
        <w:t xml:space="preserve"> </w:t>
      </w:r>
      <w:r w:rsidRPr="009C01D5">
        <w:rPr>
          <w:color w:val="000000" w:themeColor="text1"/>
        </w:rPr>
        <w:t>may affect the transitivity of the trials in the ITC presented by the submission.</w:t>
      </w:r>
    </w:p>
    <w:p w14:paraId="0A01D93C" w14:textId="77777777" w:rsidR="00936AB1" w:rsidRPr="009C01D5" w:rsidRDefault="00936AB1" w:rsidP="00936AB1">
      <w:pPr>
        <w:pStyle w:val="3-BodyText"/>
        <w:numPr>
          <w:ilvl w:val="0"/>
          <w:numId w:val="0"/>
        </w:numPr>
        <w:rPr>
          <w:i/>
          <w:color w:val="000000" w:themeColor="text1"/>
          <w:u w:val="single"/>
        </w:rPr>
      </w:pPr>
      <w:r w:rsidRPr="009C01D5">
        <w:rPr>
          <w:color w:val="000000" w:themeColor="text1"/>
          <w:u w:val="single"/>
        </w:rPr>
        <w:t>ITC (Safety)</w:t>
      </w:r>
    </w:p>
    <w:p w14:paraId="03F77C9C" w14:textId="77777777" w:rsidR="00936AB1" w:rsidRPr="009C01D5" w:rsidRDefault="00936AB1" w:rsidP="00936AB1">
      <w:pPr>
        <w:pStyle w:val="3-BodyText"/>
      </w:pPr>
      <w:r w:rsidRPr="009C01D5">
        <w:rPr>
          <w:color w:val="000000" w:themeColor="text1"/>
        </w:rPr>
        <w:t xml:space="preserve">Based on the results of the ITC of AEs the submission stated that cariprazine had non-inferior safety compared to aripiprazole and brexpiprazole; there were no statistically significant differences between cariprazine and aripiprazole in terms of TEAEs, </w:t>
      </w:r>
      <w:r w:rsidR="00E86710" w:rsidRPr="009C01D5">
        <w:rPr>
          <w:color w:val="000000" w:themeColor="text1"/>
        </w:rPr>
        <w:t xml:space="preserve">or </w:t>
      </w:r>
      <w:r w:rsidRPr="009C01D5">
        <w:rPr>
          <w:color w:val="000000" w:themeColor="text1"/>
        </w:rPr>
        <w:t>discontinuations due to AEs or SAEs</w:t>
      </w:r>
      <w:r w:rsidR="00BD4352" w:rsidRPr="009C01D5">
        <w:rPr>
          <w:color w:val="000000" w:themeColor="text1"/>
        </w:rPr>
        <w:t xml:space="preserve"> (Table </w:t>
      </w:r>
      <w:r w:rsidR="007C3545" w:rsidRPr="009C01D5">
        <w:rPr>
          <w:color w:val="000000" w:themeColor="text1"/>
        </w:rPr>
        <w:t>12</w:t>
      </w:r>
      <w:r w:rsidR="00BD4352" w:rsidRPr="009C01D5">
        <w:rPr>
          <w:color w:val="000000" w:themeColor="text1"/>
        </w:rPr>
        <w:t>)</w:t>
      </w:r>
      <w:r w:rsidRPr="009C01D5">
        <w:rPr>
          <w:color w:val="000000" w:themeColor="text1"/>
        </w:rPr>
        <w:t xml:space="preserve">. </w:t>
      </w:r>
    </w:p>
    <w:p w14:paraId="48742DC9" w14:textId="77777777" w:rsidR="00B77758" w:rsidRPr="009C01D5" w:rsidRDefault="00B77758" w:rsidP="00B77758">
      <w:pPr>
        <w:pStyle w:val="TableFootnoteindent"/>
        <w:rPr>
          <w:rFonts w:ascii="Arial Narrow" w:hAnsi="Arial Narrow"/>
          <w:b/>
          <w:sz w:val="20"/>
          <w:szCs w:val="20"/>
          <w:lang w:eastAsia="en-AU"/>
        </w:rPr>
      </w:pPr>
      <w:r w:rsidRPr="009C01D5">
        <w:rPr>
          <w:rFonts w:ascii="Arial Narrow" w:hAnsi="Arial Narrow"/>
          <w:b/>
          <w:sz w:val="20"/>
          <w:szCs w:val="20"/>
        </w:rPr>
        <w:t>Table</w:t>
      </w:r>
      <w:r w:rsidR="007C3545" w:rsidRPr="009C01D5">
        <w:rPr>
          <w:rFonts w:ascii="Arial Narrow" w:hAnsi="Arial Narrow"/>
          <w:b/>
          <w:sz w:val="20"/>
          <w:szCs w:val="20"/>
        </w:rPr>
        <w:t xml:space="preserve"> 12</w:t>
      </w:r>
      <w:r w:rsidRPr="009C01D5">
        <w:rPr>
          <w:rFonts w:ascii="Arial Narrow" w:hAnsi="Arial Narrow"/>
          <w:b/>
          <w:sz w:val="20"/>
          <w:szCs w:val="20"/>
        </w:rPr>
        <w:t>: Random-effects m</w:t>
      </w:r>
      <w:r w:rsidRPr="009C01D5">
        <w:rPr>
          <w:rFonts w:ascii="Arial Narrow" w:hAnsi="Arial Narrow"/>
          <w:b/>
          <w:sz w:val="20"/>
          <w:szCs w:val="20"/>
          <w:lang w:eastAsia="en-AU"/>
        </w:rPr>
        <w:t>eta-analyses of safety outcomes</w:t>
      </w:r>
    </w:p>
    <w:tbl>
      <w:tblPr>
        <w:tblStyle w:val="TableGrid"/>
        <w:tblW w:w="9214" w:type="dxa"/>
        <w:tblInd w:w="-5" w:type="dxa"/>
        <w:tblLayout w:type="fixed"/>
        <w:tblLook w:val="0620" w:firstRow="1" w:lastRow="0" w:firstColumn="0" w:lastColumn="0" w:noHBand="1" w:noVBand="1"/>
        <w:tblCaption w:val="Table 12: Random-effects meta-analyses of safety outcomes"/>
      </w:tblPr>
      <w:tblGrid>
        <w:gridCol w:w="1984"/>
        <w:gridCol w:w="1843"/>
        <w:gridCol w:w="567"/>
        <w:gridCol w:w="1985"/>
        <w:gridCol w:w="709"/>
        <w:gridCol w:w="582"/>
        <w:gridCol w:w="787"/>
        <w:gridCol w:w="757"/>
      </w:tblGrid>
      <w:tr w:rsidR="00B77758" w:rsidRPr="009C01D5" w14:paraId="6DD9D38A" w14:textId="77777777" w:rsidTr="005C1D4B">
        <w:trPr>
          <w:tblHeader/>
        </w:trPr>
        <w:tc>
          <w:tcPr>
            <w:tcW w:w="1984" w:type="dxa"/>
          </w:tcPr>
          <w:p w14:paraId="2C0D4BF1"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Active drug</w:t>
            </w:r>
          </w:p>
        </w:tc>
        <w:tc>
          <w:tcPr>
            <w:tcW w:w="1843" w:type="dxa"/>
          </w:tcPr>
          <w:p w14:paraId="152720D0"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Measurement</w:t>
            </w:r>
          </w:p>
        </w:tc>
        <w:tc>
          <w:tcPr>
            <w:tcW w:w="567" w:type="dxa"/>
          </w:tcPr>
          <w:p w14:paraId="19229140" w14:textId="77777777" w:rsidR="00B77758" w:rsidRPr="009C01D5" w:rsidRDefault="00B77758" w:rsidP="00F43E0E">
            <w:pPr>
              <w:pStyle w:val="TableTitlecentred"/>
              <w:keepNext/>
              <w:keepLines/>
              <w:rPr>
                <w:rFonts w:ascii="Arial Narrow" w:hAnsi="Arial Narrow"/>
                <w:sz w:val="20"/>
              </w:rPr>
            </w:pPr>
            <w:r w:rsidRPr="009C01D5">
              <w:rPr>
                <w:rFonts w:ascii="Arial Narrow" w:hAnsi="Arial Narrow"/>
                <w:sz w:val="20"/>
              </w:rPr>
              <w:t>N</w:t>
            </w:r>
          </w:p>
          <w:p w14:paraId="5E2AF4E0"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rPr>
              <w:t>trials</w:t>
            </w:r>
          </w:p>
        </w:tc>
        <w:tc>
          <w:tcPr>
            <w:tcW w:w="1985" w:type="dxa"/>
          </w:tcPr>
          <w:p w14:paraId="31013128"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Pooled outcome</w:t>
            </w:r>
            <w:r w:rsidRPr="009C01D5" w:rsidDel="00397C15">
              <w:rPr>
                <w:rFonts w:ascii="Arial Narrow" w:hAnsi="Arial Narrow"/>
                <w:sz w:val="20"/>
                <w:lang w:eastAsia="en-AU"/>
              </w:rPr>
              <w:t xml:space="preserve"> </w:t>
            </w:r>
            <w:r w:rsidRPr="009C01D5">
              <w:rPr>
                <w:rFonts w:ascii="Arial Narrow" w:hAnsi="Arial Narrow"/>
                <w:sz w:val="20"/>
                <w:lang w:eastAsia="en-AU"/>
              </w:rPr>
              <w:t xml:space="preserve"> (95% CI)</w:t>
            </w:r>
          </w:p>
        </w:tc>
        <w:tc>
          <w:tcPr>
            <w:tcW w:w="709" w:type="dxa"/>
          </w:tcPr>
          <w:p w14:paraId="15C7A812"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I</w:t>
            </w:r>
            <w:r w:rsidRPr="009C01D5">
              <w:rPr>
                <w:rFonts w:ascii="Arial Narrow" w:hAnsi="Arial Narrow"/>
                <w:sz w:val="20"/>
                <w:vertAlign w:val="superscript"/>
                <w:lang w:eastAsia="en-AU"/>
              </w:rPr>
              <w:t xml:space="preserve">2 </w:t>
            </w:r>
            <w:r w:rsidRPr="009C01D5">
              <w:rPr>
                <w:rFonts w:ascii="Arial Narrow" w:hAnsi="Arial Narrow"/>
                <w:sz w:val="20"/>
                <w:lang w:eastAsia="en-AU"/>
              </w:rPr>
              <w:t>(%)</w:t>
            </w:r>
          </w:p>
        </w:tc>
        <w:tc>
          <w:tcPr>
            <w:tcW w:w="582" w:type="dxa"/>
          </w:tcPr>
          <w:p w14:paraId="27877A88"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Q</w:t>
            </w:r>
            <w:r w:rsidRPr="009C01D5" w:rsidDel="00397C15">
              <w:rPr>
                <w:rFonts w:ascii="Arial Narrow" w:hAnsi="Arial Narrow"/>
                <w:sz w:val="20"/>
                <w:lang w:eastAsia="en-AU"/>
              </w:rPr>
              <w:t xml:space="preserve"> </w:t>
            </w:r>
          </w:p>
        </w:tc>
        <w:tc>
          <w:tcPr>
            <w:tcW w:w="787" w:type="dxa"/>
          </w:tcPr>
          <w:p w14:paraId="13746B88"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df</w:t>
            </w:r>
            <w:r w:rsidRPr="009C01D5" w:rsidDel="00397C15">
              <w:rPr>
                <w:rFonts w:ascii="Arial Narrow" w:hAnsi="Arial Narrow"/>
                <w:sz w:val="20"/>
                <w:lang w:eastAsia="en-AU"/>
              </w:rPr>
              <w:t xml:space="preserve"> </w:t>
            </w:r>
          </w:p>
        </w:tc>
        <w:tc>
          <w:tcPr>
            <w:tcW w:w="757" w:type="dxa"/>
          </w:tcPr>
          <w:p w14:paraId="744DF5C1" w14:textId="77777777" w:rsidR="00B77758" w:rsidRPr="009C01D5" w:rsidRDefault="00B77758" w:rsidP="00F43E0E">
            <w:pPr>
              <w:pStyle w:val="TableTitlecentred"/>
              <w:keepNext/>
              <w:keepLines/>
              <w:rPr>
                <w:rFonts w:ascii="Arial Narrow" w:hAnsi="Arial Narrow"/>
                <w:sz w:val="20"/>
                <w:lang w:eastAsia="en-AU"/>
              </w:rPr>
            </w:pPr>
            <w:r w:rsidRPr="009C01D5">
              <w:rPr>
                <w:rFonts w:ascii="Arial Narrow" w:hAnsi="Arial Narrow"/>
                <w:sz w:val="20"/>
                <w:lang w:eastAsia="en-AU"/>
              </w:rPr>
              <w:t>p-value</w:t>
            </w:r>
            <w:r w:rsidRPr="009C01D5">
              <w:rPr>
                <w:rFonts w:ascii="Arial Narrow" w:hAnsi="Arial Narrow"/>
                <w:sz w:val="20"/>
                <w:vertAlign w:val="superscript"/>
                <w:lang w:eastAsia="en-AU"/>
              </w:rPr>
              <w:t>1</w:t>
            </w:r>
          </w:p>
        </w:tc>
      </w:tr>
      <w:tr w:rsidR="00B77758" w:rsidRPr="009C01D5" w14:paraId="6FF84407" w14:textId="77777777" w:rsidTr="005C1D4B">
        <w:tc>
          <w:tcPr>
            <w:tcW w:w="9214" w:type="dxa"/>
            <w:gridSpan w:val="8"/>
          </w:tcPr>
          <w:p w14:paraId="58953AA9" w14:textId="77777777" w:rsidR="00B77758" w:rsidRPr="009C01D5" w:rsidRDefault="00B77758" w:rsidP="00F43E0E">
            <w:pPr>
              <w:pStyle w:val="TableTextcentred"/>
              <w:jc w:val="left"/>
              <w:rPr>
                <w:rFonts w:ascii="Arial Narrow" w:hAnsi="Arial Narrow"/>
                <w:sz w:val="20"/>
                <w:szCs w:val="20"/>
              </w:rPr>
            </w:pPr>
            <w:r w:rsidRPr="009C01D5">
              <w:rPr>
                <w:rFonts w:ascii="Arial Narrow" w:hAnsi="Arial Narrow"/>
                <w:b/>
                <w:sz w:val="20"/>
                <w:szCs w:val="20"/>
                <w:lang w:eastAsia="en-AU"/>
              </w:rPr>
              <w:t>Treatment emergent adverse events</w:t>
            </w:r>
          </w:p>
        </w:tc>
      </w:tr>
      <w:tr w:rsidR="00B77758" w:rsidRPr="009C01D5" w14:paraId="5E53D30E" w14:textId="77777777" w:rsidTr="005C1D4B">
        <w:tc>
          <w:tcPr>
            <w:tcW w:w="1984" w:type="dxa"/>
            <w:vMerge w:val="restart"/>
          </w:tcPr>
          <w:p w14:paraId="2256AA32"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Cariprazine</w:t>
            </w:r>
          </w:p>
        </w:tc>
        <w:tc>
          <w:tcPr>
            <w:tcW w:w="1843" w:type="dxa"/>
          </w:tcPr>
          <w:p w14:paraId="71CBF822"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38FB247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15B3BE3B"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1.086 (1.018, 1.159)</w:t>
            </w:r>
          </w:p>
        </w:tc>
        <w:tc>
          <w:tcPr>
            <w:tcW w:w="709" w:type="dxa"/>
          </w:tcPr>
          <w:p w14:paraId="2B95A9B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w:t>
            </w:r>
          </w:p>
        </w:tc>
        <w:tc>
          <w:tcPr>
            <w:tcW w:w="582" w:type="dxa"/>
          </w:tcPr>
          <w:p w14:paraId="279C818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2.71</w:t>
            </w:r>
          </w:p>
        </w:tc>
        <w:tc>
          <w:tcPr>
            <w:tcW w:w="787" w:type="dxa"/>
          </w:tcPr>
          <w:p w14:paraId="3A2142A0"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3</w:t>
            </w:r>
          </w:p>
        </w:tc>
        <w:tc>
          <w:tcPr>
            <w:tcW w:w="757" w:type="dxa"/>
          </w:tcPr>
          <w:p w14:paraId="2905CB45"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0.4389</w:t>
            </w:r>
          </w:p>
        </w:tc>
      </w:tr>
      <w:tr w:rsidR="00B77758" w:rsidRPr="009C01D5" w14:paraId="0AF895CC" w14:textId="77777777" w:rsidTr="005C1D4B">
        <w:tc>
          <w:tcPr>
            <w:tcW w:w="1984" w:type="dxa"/>
            <w:vMerge/>
          </w:tcPr>
          <w:p w14:paraId="50D4BABE"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0C0CF221"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67B18D1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217D9E0B"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0.058 (0.010, 0.106)</w:t>
            </w:r>
          </w:p>
        </w:tc>
        <w:tc>
          <w:tcPr>
            <w:tcW w:w="709" w:type="dxa"/>
          </w:tcPr>
          <w:p w14:paraId="6B24CFCE"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6.18</w:t>
            </w:r>
          </w:p>
        </w:tc>
        <w:tc>
          <w:tcPr>
            <w:tcW w:w="582" w:type="dxa"/>
          </w:tcPr>
          <w:p w14:paraId="7E44FA6F"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3.20</w:t>
            </w:r>
          </w:p>
        </w:tc>
        <w:tc>
          <w:tcPr>
            <w:tcW w:w="787" w:type="dxa"/>
          </w:tcPr>
          <w:p w14:paraId="3748640B"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3</w:t>
            </w:r>
          </w:p>
        </w:tc>
        <w:tc>
          <w:tcPr>
            <w:tcW w:w="757" w:type="dxa"/>
          </w:tcPr>
          <w:p w14:paraId="6F32CD3D"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0.362</w:t>
            </w:r>
          </w:p>
        </w:tc>
      </w:tr>
      <w:tr w:rsidR="00B77758" w:rsidRPr="009C01D5" w14:paraId="25DD0320" w14:textId="77777777" w:rsidTr="005C1D4B">
        <w:tc>
          <w:tcPr>
            <w:tcW w:w="1984" w:type="dxa"/>
            <w:vMerge w:val="restart"/>
          </w:tcPr>
          <w:p w14:paraId="7D9777AA"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Cariprazine </w:t>
            </w:r>
            <w:r w:rsidRPr="009C01D5">
              <w:rPr>
                <w:rFonts w:ascii="Arial Narrow" w:hAnsi="Arial Narrow"/>
                <w:sz w:val="20"/>
                <w:szCs w:val="20"/>
                <w:lang w:eastAsia="en-AU"/>
              </w:rPr>
              <w:br/>
              <w:t>excluding RGH-MD-04</w:t>
            </w:r>
          </w:p>
        </w:tc>
        <w:tc>
          <w:tcPr>
            <w:tcW w:w="1843" w:type="dxa"/>
          </w:tcPr>
          <w:p w14:paraId="36D6BCAE"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671125D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17E69A81"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1.114 (1.035, 1.199)</w:t>
            </w:r>
          </w:p>
        </w:tc>
        <w:tc>
          <w:tcPr>
            <w:tcW w:w="709" w:type="dxa"/>
          </w:tcPr>
          <w:p w14:paraId="04C20D1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w:t>
            </w:r>
          </w:p>
        </w:tc>
        <w:tc>
          <w:tcPr>
            <w:tcW w:w="582" w:type="dxa"/>
          </w:tcPr>
          <w:p w14:paraId="237C4CF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0.70</w:t>
            </w:r>
          </w:p>
        </w:tc>
        <w:tc>
          <w:tcPr>
            <w:tcW w:w="787" w:type="dxa"/>
          </w:tcPr>
          <w:p w14:paraId="72A0BED8"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1BC669FE"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0.7063</w:t>
            </w:r>
          </w:p>
        </w:tc>
      </w:tr>
      <w:tr w:rsidR="00B77758" w:rsidRPr="009C01D5" w14:paraId="12DFA01A" w14:textId="77777777" w:rsidTr="005C1D4B">
        <w:tc>
          <w:tcPr>
            <w:tcW w:w="1984" w:type="dxa"/>
            <w:vMerge/>
          </w:tcPr>
          <w:p w14:paraId="2ACDB1E7"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302EA523"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08820EB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007BB557"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0.079 (0.025, 0.133)</w:t>
            </w:r>
          </w:p>
        </w:tc>
        <w:tc>
          <w:tcPr>
            <w:tcW w:w="709" w:type="dxa"/>
          </w:tcPr>
          <w:p w14:paraId="24E86DD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w:t>
            </w:r>
          </w:p>
        </w:tc>
        <w:tc>
          <w:tcPr>
            <w:tcW w:w="582" w:type="dxa"/>
          </w:tcPr>
          <w:p w14:paraId="03C9F95F"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0.88</w:t>
            </w:r>
          </w:p>
        </w:tc>
        <w:tc>
          <w:tcPr>
            <w:tcW w:w="787" w:type="dxa"/>
          </w:tcPr>
          <w:p w14:paraId="7670559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4E905A28"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0.6439</w:t>
            </w:r>
          </w:p>
        </w:tc>
      </w:tr>
      <w:tr w:rsidR="00B77758" w:rsidRPr="009C01D5" w14:paraId="1EBFEEEF" w14:textId="77777777" w:rsidTr="005C1D4B">
        <w:tc>
          <w:tcPr>
            <w:tcW w:w="1984" w:type="dxa"/>
            <w:vMerge w:val="restart"/>
          </w:tcPr>
          <w:p w14:paraId="280DCAAE"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Aripiprazole </w:t>
            </w:r>
            <w:r w:rsidRPr="009C01D5">
              <w:rPr>
                <w:rFonts w:ascii="Arial Narrow" w:hAnsi="Arial Narrow"/>
                <w:sz w:val="20"/>
                <w:szCs w:val="20"/>
                <w:lang w:eastAsia="en-AU"/>
              </w:rPr>
              <w:br/>
              <w:t>excluding RGH-MD-04</w:t>
            </w:r>
          </w:p>
        </w:tc>
        <w:tc>
          <w:tcPr>
            <w:tcW w:w="1843" w:type="dxa"/>
          </w:tcPr>
          <w:p w14:paraId="342548C2"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vAlign w:val="center"/>
          </w:tcPr>
          <w:p w14:paraId="15650243"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5F14784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1.065 (0.991, 1.145)</w:t>
            </w:r>
          </w:p>
        </w:tc>
        <w:tc>
          <w:tcPr>
            <w:tcW w:w="709" w:type="dxa"/>
          </w:tcPr>
          <w:p w14:paraId="2F569DD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w:t>
            </w:r>
          </w:p>
        </w:tc>
        <w:tc>
          <w:tcPr>
            <w:tcW w:w="582" w:type="dxa"/>
          </w:tcPr>
          <w:p w14:paraId="28F16851"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0.65</w:t>
            </w:r>
          </w:p>
        </w:tc>
        <w:tc>
          <w:tcPr>
            <w:tcW w:w="787" w:type="dxa"/>
          </w:tcPr>
          <w:p w14:paraId="503BBBE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1EA4438B"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0.7231</w:t>
            </w:r>
          </w:p>
        </w:tc>
      </w:tr>
      <w:tr w:rsidR="00B77758" w:rsidRPr="009C01D5" w14:paraId="34862D85" w14:textId="77777777" w:rsidTr="005C1D4B">
        <w:tc>
          <w:tcPr>
            <w:tcW w:w="1984" w:type="dxa"/>
            <w:vMerge/>
          </w:tcPr>
          <w:p w14:paraId="443E0C95"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1B758E17"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07D8D9A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2522B895"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0.052 (-0.004, 0.109)</w:t>
            </w:r>
          </w:p>
        </w:tc>
        <w:tc>
          <w:tcPr>
            <w:tcW w:w="709" w:type="dxa"/>
          </w:tcPr>
          <w:p w14:paraId="400FE899"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w:t>
            </w:r>
          </w:p>
        </w:tc>
        <w:tc>
          <w:tcPr>
            <w:tcW w:w="582" w:type="dxa"/>
          </w:tcPr>
          <w:p w14:paraId="3D5AFF7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0.48</w:t>
            </w:r>
          </w:p>
        </w:tc>
        <w:tc>
          <w:tcPr>
            <w:tcW w:w="787" w:type="dxa"/>
          </w:tcPr>
          <w:p w14:paraId="67072F7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19B449F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0.786</w:t>
            </w:r>
          </w:p>
        </w:tc>
      </w:tr>
      <w:tr w:rsidR="00B77758" w:rsidRPr="009C01D5" w14:paraId="1E27A560" w14:textId="77777777" w:rsidTr="005C1D4B">
        <w:tc>
          <w:tcPr>
            <w:tcW w:w="1984" w:type="dxa"/>
            <w:vMerge w:val="restart"/>
          </w:tcPr>
          <w:p w14:paraId="1A8D2847"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Brexpiprazole</w:t>
            </w:r>
          </w:p>
        </w:tc>
        <w:tc>
          <w:tcPr>
            <w:tcW w:w="1843" w:type="dxa"/>
          </w:tcPr>
          <w:p w14:paraId="344EE0EB"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vAlign w:val="center"/>
          </w:tcPr>
          <w:p w14:paraId="511768E4"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0A1FE4A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0.991 (0.893, 1.098)</w:t>
            </w:r>
          </w:p>
        </w:tc>
        <w:tc>
          <w:tcPr>
            <w:tcW w:w="709" w:type="dxa"/>
          </w:tcPr>
          <w:p w14:paraId="0493646A"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18.41</w:t>
            </w:r>
          </w:p>
        </w:tc>
        <w:tc>
          <w:tcPr>
            <w:tcW w:w="582" w:type="dxa"/>
          </w:tcPr>
          <w:p w14:paraId="257FDB2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2.45</w:t>
            </w:r>
          </w:p>
        </w:tc>
        <w:tc>
          <w:tcPr>
            <w:tcW w:w="787" w:type="dxa"/>
          </w:tcPr>
          <w:p w14:paraId="350713D4"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6B906961"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0.2936</w:t>
            </w:r>
          </w:p>
        </w:tc>
      </w:tr>
      <w:tr w:rsidR="00B77758" w:rsidRPr="009C01D5" w14:paraId="27AF202E" w14:textId="77777777" w:rsidTr="005C1D4B">
        <w:tc>
          <w:tcPr>
            <w:tcW w:w="1984" w:type="dxa"/>
            <w:vMerge/>
          </w:tcPr>
          <w:p w14:paraId="72002685"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0AD2A392"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4DD9D73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3921C473"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-0.004 (-0.064, 0.055)</w:t>
            </w:r>
          </w:p>
        </w:tc>
        <w:tc>
          <w:tcPr>
            <w:tcW w:w="709" w:type="dxa"/>
          </w:tcPr>
          <w:p w14:paraId="5F7A5275"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19.27</w:t>
            </w:r>
          </w:p>
        </w:tc>
        <w:tc>
          <w:tcPr>
            <w:tcW w:w="582" w:type="dxa"/>
          </w:tcPr>
          <w:p w14:paraId="72BA34CF"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2.48</w:t>
            </w:r>
          </w:p>
        </w:tc>
        <w:tc>
          <w:tcPr>
            <w:tcW w:w="787" w:type="dxa"/>
          </w:tcPr>
          <w:p w14:paraId="6C88CF06"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2</w:t>
            </w:r>
          </w:p>
        </w:tc>
        <w:tc>
          <w:tcPr>
            <w:tcW w:w="757" w:type="dxa"/>
          </w:tcPr>
          <w:p w14:paraId="577B13B0" w14:textId="77777777" w:rsidR="00B77758" w:rsidRPr="009C01D5" w:rsidRDefault="00B77758" w:rsidP="00F43E0E">
            <w:pPr>
              <w:pStyle w:val="TableTextcentred"/>
              <w:rPr>
                <w:rFonts w:ascii="Arial Narrow" w:hAnsi="Arial Narrow"/>
                <w:sz w:val="20"/>
                <w:szCs w:val="20"/>
              </w:rPr>
            </w:pPr>
            <w:r w:rsidRPr="009C01D5">
              <w:rPr>
                <w:rFonts w:ascii="Arial Narrow" w:hAnsi="Arial Narrow"/>
                <w:sz w:val="20"/>
                <w:szCs w:val="20"/>
              </w:rPr>
              <w:t>0.290</w:t>
            </w:r>
          </w:p>
        </w:tc>
      </w:tr>
      <w:tr w:rsidR="00B77758" w:rsidRPr="009C01D5" w14:paraId="2ECDE4FF" w14:textId="77777777" w:rsidTr="005C1D4B">
        <w:tc>
          <w:tcPr>
            <w:tcW w:w="9214" w:type="dxa"/>
            <w:gridSpan w:val="8"/>
          </w:tcPr>
          <w:p w14:paraId="04724501" w14:textId="77777777" w:rsidR="00B77758" w:rsidRPr="009C01D5" w:rsidRDefault="00B77758" w:rsidP="00F43E0E">
            <w:pPr>
              <w:pStyle w:val="TableTextcentred"/>
              <w:keepNext/>
              <w:keepLines/>
              <w:jc w:val="left"/>
              <w:rPr>
                <w:rFonts w:ascii="Arial Narrow" w:hAnsi="Arial Narrow"/>
                <w:sz w:val="20"/>
                <w:szCs w:val="20"/>
                <w:lang w:eastAsia="en-AU"/>
              </w:rPr>
            </w:pPr>
            <w:r w:rsidRPr="009C01D5">
              <w:rPr>
                <w:rFonts w:ascii="Arial Narrow" w:hAnsi="Arial Narrow"/>
                <w:b/>
                <w:sz w:val="20"/>
                <w:szCs w:val="20"/>
                <w:lang w:eastAsia="en-AU"/>
              </w:rPr>
              <w:t>Discontinuations due to adverse events</w:t>
            </w:r>
          </w:p>
        </w:tc>
      </w:tr>
      <w:tr w:rsidR="00B77758" w:rsidRPr="009C01D5" w14:paraId="076AE064" w14:textId="77777777" w:rsidTr="005C1D4B">
        <w:tc>
          <w:tcPr>
            <w:tcW w:w="1984" w:type="dxa"/>
            <w:vMerge w:val="restart"/>
          </w:tcPr>
          <w:p w14:paraId="2BD6D5DE"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Cariprazine</w:t>
            </w:r>
          </w:p>
        </w:tc>
        <w:tc>
          <w:tcPr>
            <w:tcW w:w="1843" w:type="dxa"/>
          </w:tcPr>
          <w:p w14:paraId="6BD76735"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419F59F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194BEA9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0.754 (0.535, 1.064)</w:t>
            </w:r>
          </w:p>
        </w:tc>
        <w:tc>
          <w:tcPr>
            <w:tcW w:w="709" w:type="dxa"/>
          </w:tcPr>
          <w:p w14:paraId="10739F1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23.94</w:t>
            </w:r>
          </w:p>
        </w:tc>
        <w:tc>
          <w:tcPr>
            <w:tcW w:w="582" w:type="dxa"/>
          </w:tcPr>
          <w:p w14:paraId="3EAAEEF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3.94</w:t>
            </w:r>
          </w:p>
        </w:tc>
        <w:tc>
          <w:tcPr>
            <w:tcW w:w="787" w:type="dxa"/>
          </w:tcPr>
          <w:p w14:paraId="3E9EBA72"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6A638825"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0.268</w:t>
            </w:r>
          </w:p>
        </w:tc>
      </w:tr>
      <w:tr w:rsidR="00B77758" w:rsidRPr="009C01D5" w14:paraId="079640F9" w14:textId="77777777" w:rsidTr="005C1D4B">
        <w:tc>
          <w:tcPr>
            <w:tcW w:w="1984" w:type="dxa"/>
            <w:vMerge/>
          </w:tcPr>
          <w:p w14:paraId="2A2F13DA"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6B195C86"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46FF61B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4E5465A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-0.027 (-0.064, 0.010)</w:t>
            </w:r>
          </w:p>
        </w:tc>
        <w:tc>
          <w:tcPr>
            <w:tcW w:w="709" w:type="dxa"/>
          </w:tcPr>
          <w:p w14:paraId="16CC65AD"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21.33</w:t>
            </w:r>
          </w:p>
        </w:tc>
        <w:tc>
          <w:tcPr>
            <w:tcW w:w="582" w:type="dxa"/>
          </w:tcPr>
          <w:p w14:paraId="3A65658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3.81</w:t>
            </w:r>
          </w:p>
        </w:tc>
        <w:tc>
          <w:tcPr>
            <w:tcW w:w="787" w:type="dxa"/>
          </w:tcPr>
          <w:p w14:paraId="5EF5CBE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169C5C8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0.282</w:t>
            </w:r>
          </w:p>
        </w:tc>
      </w:tr>
      <w:tr w:rsidR="00B77758" w:rsidRPr="009C01D5" w14:paraId="48F721A7" w14:textId="77777777" w:rsidTr="005C1D4B">
        <w:tc>
          <w:tcPr>
            <w:tcW w:w="1984" w:type="dxa"/>
            <w:vMerge w:val="restart"/>
          </w:tcPr>
          <w:p w14:paraId="2A473E17"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Cariprazine </w:t>
            </w:r>
            <w:r w:rsidRPr="009C01D5">
              <w:rPr>
                <w:rFonts w:ascii="Arial Narrow" w:hAnsi="Arial Narrow"/>
                <w:sz w:val="20"/>
                <w:szCs w:val="20"/>
                <w:lang w:eastAsia="en-AU"/>
              </w:rPr>
              <w:br/>
              <w:t>excluding RGH-MD-04</w:t>
            </w:r>
          </w:p>
        </w:tc>
        <w:tc>
          <w:tcPr>
            <w:tcW w:w="1843" w:type="dxa"/>
          </w:tcPr>
          <w:p w14:paraId="0A25C396"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65CD130D"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0760D775"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0.666 (0.455, 0.975)</w:t>
            </w:r>
          </w:p>
        </w:tc>
        <w:tc>
          <w:tcPr>
            <w:tcW w:w="709" w:type="dxa"/>
          </w:tcPr>
          <w:p w14:paraId="29364F0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12.62</w:t>
            </w:r>
          </w:p>
        </w:tc>
        <w:tc>
          <w:tcPr>
            <w:tcW w:w="582" w:type="dxa"/>
          </w:tcPr>
          <w:p w14:paraId="2382FA91"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2.29</w:t>
            </w:r>
          </w:p>
        </w:tc>
        <w:tc>
          <w:tcPr>
            <w:tcW w:w="787" w:type="dxa"/>
          </w:tcPr>
          <w:p w14:paraId="72D34E8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w:t>
            </w:r>
          </w:p>
        </w:tc>
        <w:tc>
          <w:tcPr>
            <w:tcW w:w="757" w:type="dxa"/>
          </w:tcPr>
          <w:p w14:paraId="2F78D103"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0.3184</w:t>
            </w:r>
          </w:p>
        </w:tc>
      </w:tr>
      <w:tr w:rsidR="00B77758" w:rsidRPr="009C01D5" w14:paraId="24C623DB" w14:textId="77777777" w:rsidTr="005C1D4B">
        <w:tc>
          <w:tcPr>
            <w:tcW w:w="1984" w:type="dxa"/>
            <w:vMerge/>
          </w:tcPr>
          <w:p w14:paraId="4BD2DB09"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7329BA2A"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22D7CB8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4BA8C873"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-0.038 (-0.084, 0.007)</w:t>
            </w:r>
          </w:p>
        </w:tc>
        <w:tc>
          <w:tcPr>
            <w:tcW w:w="709" w:type="dxa"/>
          </w:tcPr>
          <w:p w14:paraId="251EB0A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24.95</w:t>
            </w:r>
          </w:p>
        </w:tc>
        <w:tc>
          <w:tcPr>
            <w:tcW w:w="582" w:type="dxa"/>
          </w:tcPr>
          <w:p w14:paraId="256BDE72"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2.66</w:t>
            </w:r>
          </w:p>
        </w:tc>
        <w:tc>
          <w:tcPr>
            <w:tcW w:w="787" w:type="dxa"/>
          </w:tcPr>
          <w:p w14:paraId="364184D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w:t>
            </w:r>
          </w:p>
        </w:tc>
        <w:tc>
          <w:tcPr>
            <w:tcW w:w="757" w:type="dxa"/>
          </w:tcPr>
          <w:p w14:paraId="0A922C9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0.2638</w:t>
            </w:r>
          </w:p>
        </w:tc>
      </w:tr>
      <w:tr w:rsidR="00B77758" w:rsidRPr="009C01D5" w14:paraId="575BD843" w14:textId="77777777" w:rsidTr="005C1D4B">
        <w:tc>
          <w:tcPr>
            <w:tcW w:w="1984" w:type="dxa"/>
            <w:vMerge w:val="restart"/>
          </w:tcPr>
          <w:p w14:paraId="605A5176"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Aripiprazole </w:t>
            </w:r>
            <w:r w:rsidRPr="009C01D5">
              <w:rPr>
                <w:rFonts w:ascii="Arial Narrow" w:hAnsi="Arial Narrow"/>
                <w:sz w:val="20"/>
                <w:szCs w:val="20"/>
                <w:lang w:eastAsia="en-AU"/>
              </w:rPr>
              <w:br/>
              <w:t>excluding RGH-MD-04</w:t>
            </w:r>
          </w:p>
        </w:tc>
        <w:tc>
          <w:tcPr>
            <w:tcW w:w="1843" w:type="dxa"/>
          </w:tcPr>
          <w:p w14:paraId="03F411F5"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vAlign w:val="center"/>
          </w:tcPr>
          <w:p w14:paraId="4561A1AB"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5</w:t>
            </w:r>
          </w:p>
        </w:tc>
        <w:tc>
          <w:tcPr>
            <w:tcW w:w="1985" w:type="dxa"/>
          </w:tcPr>
          <w:p w14:paraId="4D8409C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0.629 (0.436, 0.907)</w:t>
            </w:r>
          </w:p>
        </w:tc>
        <w:tc>
          <w:tcPr>
            <w:tcW w:w="709" w:type="dxa"/>
          </w:tcPr>
          <w:p w14:paraId="5D778C9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4E58E49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2.98</w:t>
            </w:r>
          </w:p>
        </w:tc>
        <w:tc>
          <w:tcPr>
            <w:tcW w:w="787" w:type="dxa"/>
          </w:tcPr>
          <w:p w14:paraId="4345E14D"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757" w:type="dxa"/>
          </w:tcPr>
          <w:p w14:paraId="6AE1112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0.562</w:t>
            </w:r>
          </w:p>
        </w:tc>
      </w:tr>
      <w:tr w:rsidR="00B77758" w:rsidRPr="009C01D5" w14:paraId="35521A67" w14:textId="77777777" w:rsidTr="005C1D4B">
        <w:tc>
          <w:tcPr>
            <w:tcW w:w="1984" w:type="dxa"/>
            <w:vMerge/>
          </w:tcPr>
          <w:p w14:paraId="79846D1C"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685AC527"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7D4A5E4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5</w:t>
            </w:r>
          </w:p>
        </w:tc>
        <w:tc>
          <w:tcPr>
            <w:tcW w:w="1985" w:type="dxa"/>
          </w:tcPr>
          <w:p w14:paraId="290FC653"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-0.028 (-0.064, 0.008)</w:t>
            </w:r>
          </w:p>
        </w:tc>
        <w:tc>
          <w:tcPr>
            <w:tcW w:w="709" w:type="dxa"/>
          </w:tcPr>
          <w:p w14:paraId="5D3833CB"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26.48</w:t>
            </w:r>
          </w:p>
        </w:tc>
        <w:tc>
          <w:tcPr>
            <w:tcW w:w="582" w:type="dxa"/>
          </w:tcPr>
          <w:p w14:paraId="5027E43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5.44</w:t>
            </w:r>
          </w:p>
        </w:tc>
        <w:tc>
          <w:tcPr>
            <w:tcW w:w="787" w:type="dxa"/>
          </w:tcPr>
          <w:p w14:paraId="2569DF6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757" w:type="dxa"/>
          </w:tcPr>
          <w:p w14:paraId="69AD383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0.245</w:t>
            </w:r>
          </w:p>
        </w:tc>
      </w:tr>
      <w:tr w:rsidR="00B77758" w:rsidRPr="009C01D5" w14:paraId="687F1052" w14:textId="77777777" w:rsidTr="005C1D4B">
        <w:tc>
          <w:tcPr>
            <w:tcW w:w="1984" w:type="dxa"/>
            <w:vMerge w:val="restart"/>
          </w:tcPr>
          <w:p w14:paraId="29CBB065"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Brexpiprazole</w:t>
            </w:r>
          </w:p>
        </w:tc>
        <w:tc>
          <w:tcPr>
            <w:tcW w:w="1843" w:type="dxa"/>
          </w:tcPr>
          <w:p w14:paraId="063AD768"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1A66538D"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62A0067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0.641 (0.477, 0.860)</w:t>
            </w:r>
          </w:p>
        </w:tc>
        <w:tc>
          <w:tcPr>
            <w:tcW w:w="709" w:type="dxa"/>
          </w:tcPr>
          <w:p w14:paraId="3025C11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3.48</w:t>
            </w:r>
          </w:p>
        </w:tc>
        <w:tc>
          <w:tcPr>
            <w:tcW w:w="582" w:type="dxa"/>
          </w:tcPr>
          <w:p w14:paraId="336CE3A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3.11</w:t>
            </w:r>
          </w:p>
        </w:tc>
        <w:tc>
          <w:tcPr>
            <w:tcW w:w="787" w:type="dxa"/>
          </w:tcPr>
          <w:p w14:paraId="73671B4B"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558EF5F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0.375</w:t>
            </w:r>
          </w:p>
        </w:tc>
      </w:tr>
      <w:tr w:rsidR="00B77758" w:rsidRPr="009C01D5" w14:paraId="4D9310C6" w14:textId="77777777" w:rsidTr="005C1D4B">
        <w:tc>
          <w:tcPr>
            <w:tcW w:w="1984" w:type="dxa"/>
            <w:vMerge/>
          </w:tcPr>
          <w:p w14:paraId="6DA202D6"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7B53BEE7"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56CFAB2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77E63ED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-0.036 (-0.073, 0.002)</w:t>
            </w:r>
          </w:p>
        </w:tc>
        <w:tc>
          <w:tcPr>
            <w:tcW w:w="709" w:type="dxa"/>
          </w:tcPr>
          <w:p w14:paraId="57060DC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38.05</w:t>
            </w:r>
          </w:p>
        </w:tc>
        <w:tc>
          <w:tcPr>
            <w:tcW w:w="582" w:type="dxa"/>
          </w:tcPr>
          <w:p w14:paraId="1E4C852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4.84</w:t>
            </w:r>
          </w:p>
        </w:tc>
        <w:tc>
          <w:tcPr>
            <w:tcW w:w="787" w:type="dxa"/>
          </w:tcPr>
          <w:p w14:paraId="789D29E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405D124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0.284</w:t>
            </w:r>
          </w:p>
        </w:tc>
      </w:tr>
      <w:tr w:rsidR="00B77758" w:rsidRPr="009C01D5" w14:paraId="34549BBB" w14:textId="77777777" w:rsidTr="005C1D4B">
        <w:tc>
          <w:tcPr>
            <w:tcW w:w="9214" w:type="dxa"/>
            <w:gridSpan w:val="8"/>
          </w:tcPr>
          <w:p w14:paraId="1DF753C0" w14:textId="77777777" w:rsidR="00B77758" w:rsidRPr="009C01D5" w:rsidRDefault="00B77758" w:rsidP="00F43E0E">
            <w:pPr>
              <w:pStyle w:val="TableTextcentred"/>
              <w:keepNext/>
              <w:keepLines/>
              <w:jc w:val="left"/>
              <w:rPr>
                <w:rFonts w:ascii="Arial Narrow" w:hAnsi="Arial Narrow"/>
                <w:sz w:val="20"/>
                <w:szCs w:val="20"/>
                <w:lang w:eastAsia="en-AU"/>
              </w:rPr>
            </w:pPr>
            <w:r w:rsidRPr="009C01D5">
              <w:rPr>
                <w:rFonts w:ascii="Arial Narrow" w:hAnsi="Arial Narrow"/>
                <w:b/>
                <w:sz w:val="20"/>
                <w:szCs w:val="20"/>
                <w:lang w:eastAsia="en-AU"/>
              </w:rPr>
              <w:t>Serious adverse events</w:t>
            </w:r>
          </w:p>
        </w:tc>
      </w:tr>
      <w:tr w:rsidR="00B77758" w:rsidRPr="009C01D5" w14:paraId="14FA3C1F" w14:textId="77777777" w:rsidTr="005C1D4B">
        <w:tc>
          <w:tcPr>
            <w:tcW w:w="1984" w:type="dxa"/>
            <w:vMerge w:val="restart"/>
          </w:tcPr>
          <w:p w14:paraId="2CE72A81"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Cariprazine</w:t>
            </w:r>
          </w:p>
        </w:tc>
        <w:tc>
          <w:tcPr>
            <w:tcW w:w="1843" w:type="dxa"/>
          </w:tcPr>
          <w:p w14:paraId="3B565AF9"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7AECE09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6C6FF9E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0.675 (0.403, 1.131)</w:t>
            </w:r>
          </w:p>
        </w:tc>
        <w:tc>
          <w:tcPr>
            <w:tcW w:w="709" w:type="dxa"/>
          </w:tcPr>
          <w:p w14:paraId="1ED3346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278DA49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2.14</w:t>
            </w:r>
          </w:p>
        </w:tc>
        <w:tc>
          <w:tcPr>
            <w:tcW w:w="787" w:type="dxa"/>
          </w:tcPr>
          <w:p w14:paraId="7FEFFA8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346B572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0.543</w:t>
            </w:r>
          </w:p>
        </w:tc>
      </w:tr>
      <w:tr w:rsidR="00B77758" w:rsidRPr="009C01D5" w14:paraId="10F3A906" w14:textId="77777777" w:rsidTr="005C1D4B">
        <w:tc>
          <w:tcPr>
            <w:tcW w:w="1984" w:type="dxa"/>
            <w:vMerge/>
          </w:tcPr>
          <w:p w14:paraId="5EE12E67"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7FBE07A5"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38384A2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6282059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-0.007 (-0.027, 0.012)</w:t>
            </w:r>
          </w:p>
        </w:tc>
        <w:tc>
          <w:tcPr>
            <w:tcW w:w="709" w:type="dxa"/>
          </w:tcPr>
          <w:p w14:paraId="311D9E5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10.36</w:t>
            </w:r>
          </w:p>
        </w:tc>
        <w:tc>
          <w:tcPr>
            <w:tcW w:w="582" w:type="dxa"/>
          </w:tcPr>
          <w:p w14:paraId="58504EB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3.35</w:t>
            </w:r>
          </w:p>
        </w:tc>
        <w:tc>
          <w:tcPr>
            <w:tcW w:w="787" w:type="dxa"/>
          </w:tcPr>
          <w:p w14:paraId="1BE7A309"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206655BB"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0.341</w:t>
            </w:r>
          </w:p>
        </w:tc>
      </w:tr>
      <w:tr w:rsidR="00B77758" w:rsidRPr="009C01D5" w14:paraId="3B6ED2A7" w14:textId="77777777" w:rsidTr="005C1D4B">
        <w:tc>
          <w:tcPr>
            <w:tcW w:w="1984" w:type="dxa"/>
            <w:vMerge w:val="restart"/>
          </w:tcPr>
          <w:p w14:paraId="6EA80698"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Cariprazine </w:t>
            </w:r>
            <w:r w:rsidRPr="009C01D5">
              <w:rPr>
                <w:rFonts w:ascii="Arial Narrow" w:hAnsi="Arial Narrow"/>
                <w:sz w:val="20"/>
                <w:szCs w:val="20"/>
                <w:lang w:eastAsia="en-AU"/>
              </w:rPr>
              <w:br/>
              <w:t>excluding RGH-MD-04</w:t>
            </w:r>
          </w:p>
        </w:tc>
        <w:tc>
          <w:tcPr>
            <w:tcW w:w="1843" w:type="dxa"/>
          </w:tcPr>
          <w:p w14:paraId="3F11F6FF"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2F3D5F31"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6079AA5F"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0.601 (0.348, 1.039)</w:t>
            </w:r>
          </w:p>
        </w:tc>
        <w:tc>
          <w:tcPr>
            <w:tcW w:w="709" w:type="dxa"/>
          </w:tcPr>
          <w:p w14:paraId="3689FAF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666DCA9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0.60</w:t>
            </w:r>
          </w:p>
        </w:tc>
        <w:tc>
          <w:tcPr>
            <w:tcW w:w="787" w:type="dxa"/>
          </w:tcPr>
          <w:p w14:paraId="1D02F70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w:t>
            </w:r>
          </w:p>
        </w:tc>
        <w:tc>
          <w:tcPr>
            <w:tcW w:w="757" w:type="dxa"/>
          </w:tcPr>
          <w:p w14:paraId="15CB830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0.7418</w:t>
            </w:r>
          </w:p>
        </w:tc>
      </w:tr>
      <w:tr w:rsidR="00B77758" w:rsidRPr="009C01D5" w14:paraId="61931C6F" w14:textId="77777777" w:rsidTr="005C1D4B">
        <w:tc>
          <w:tcPr>
            <w:tcW w:w="1984" w:type="dxa"/>
            <w:vMerge/>
          </w:tcPr>
          <w:p w14:paraId="2594171A"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3D471065"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6A4CC543"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1985" w:type="dxa"/>
          </w:tcPr>
          <w:p w14:paraId="1E387BA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-0.024 (-0.051, 0.002)</w:t>
            </w:r>
          </w:p>
        </w:tc>
        <w:tc>
          <w:tcPr>
            <w:tcW w:w="709" w:type="dxa"/>
          </w:tcPr>
          <w:p w14:paraId="77EB6C42"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1DA51697"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0.02</w:t>
            </w:r>
          </w:p>
        </w:tc>
        <w:tc>
          <w:tcPr>
            <w:tcW w:w="787" w:type="dxa"/>
          </w:tcPr>
          <w:p w14:paraId="61606702"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2</w:t>
            </w:r>
          </w:p>
        </w:tc>
        <w:tc>
          <w:tcPr>
            <w:tcW w:w="757" w:type="dxa"/>
          </w:tcPr>
          <w:p w14:paraId="4A5CB4DB"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0.9919</w:t>
            </w:r>
          </w:p>
        </w:tc>
      </w:tr>
      <w:tr w:rsidR="00B77758" w:rsidRPr="009C01D5" w14:paraId="0024EA05" w14:textId="77777777" w:rsidTr="005C1D4B">
        <w:tc>
          <w:tcPr>
            <w:tcW w:w="1984" w:type="dxa"/>
            <w:vMerge w:val="restart"/>
          </w:tcPr>
          <w:p w14:paraId="63B6B739"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 xml:space="preserve">Aripiprazole </w:t>
            </w:r>
            <w:r w:rsidRPr="009C01D5">
              <w:rPr>
                <w:rFonts w:ascii="Arial Narrow" w:hAnsi="Arial Narrow"/>
                <w:sz w:val="20"/>
                <w:szCs w:val="20"/>
                <w:lang w:eastAsia="en-AU"/>
              </w:rPr>
              <w:br/>
              <w:t>excluding RGH-MD-04</w:t>
            </w:r>
          </w:p>
        </w:tc>
        <w:tc>
          <w:tcPr>
            <w:tcW w:w="1843" w:type="dxa"/>
          </w:tcPr>
          <w:p w14:paraId="739FEAEF"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vAlign w:val="center"/>
          </w:tcPr>
          <w:p w14:paraId="5904BBDF"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5</w:t>
            </w:r>
          </w:p>
        </w:tc>
        <w:tc>
          <w:tcPr>
            <w:tcW w:w="1985" w:type="dxa"/>
          </w:tcPr>
          <w:p w14:paraId="25A84D5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0.972 (0.592, 1.597)</w:t>
            </w:r>
          </w:p>
        </w:tc>
        <w:tc>
          <w:tcPr>
            <w:tcW w:w="709" w:type="dxa"/>
          </w:tcPr>
          <w:p w14:paraId="44AB57E5"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7C57D7D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1.00</w:t>
            </w:r>
          </w:p>
        </w:tc>
        <w:tc>
          <w:tcPr>
            <w:tcW w:w="787" w:type="dxa"/>
          </w:tcPr>
          <w:p w14:paraId="510113C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757" w:type="dxa"/>
          </w:tcPr>
          <w:p w14:paraId="31616322"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0.910</w:t>
            </w:r>
          </w:p>
        </w:tc>
      </w:tr>
      <w:tr w:rsidR="00B77758" w:rsidRPr="009C01D5" w14:paraId="5776307C" w14:textId="77777777" w:rsidTr="005C1D4B">
        <w:tc>
          <w:tcPr>
            <w:tcW w:w="1984" w:type="dxa"/>
            <w:vMerge/>
          </w:tcPr>
          <w:p w14:paraId="23326D0D"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608E5E25"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50BE922C"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5</w:t>
            </w:r>
          </w:p>
        </w:tc>
        <w:tc>
          <w:tcPr>
            <w:tcW w:w="1985" w:type="dxa"/>
          </w:tcPr>
          <w:p w14:paraId="39FA8EE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-0.001 (-0.024, 0.021)</w:t>
            </w:r>
          </w:p>
        </w:tc>
        <w:tc>
          <w:tcPr>
            <w:tcW w:w="709" w:type="dxa"/>
          </w:tcPr>
          <w:p w14:paraId="5C4A1E58"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0.00</w:t>
            </w:r>
          </w:p>
        </w:tc>
        <w:tc>
          <w:tcPr>
            <w:tcW w:w="582" w:type="dxa"/>
          </w:tcPr>
          <w:p w14:paraId="227B06AA"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0.93</w:t>
            </w:r>
          </w:p>
        </w:tc>
        <w:tc>
          <w:tcPr>
            <w:tcW w:w="787" w:type="dxa"/>
          </w:tcPr>
          <w:p w14:paraId="64BB626D"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757" w:type="dxa"/>
          </w:tcPr>
          <w:p w14:paraId="03BBD20F"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0.920</w:t>
            </w:r>
          </w:p>
        </w:tc>
      </w:tr>
      <w:tr w:rsidR="00B77758" w:rsidRPr="009C01D5" w14:paraId="6686D581" w14:textId="77777777" w:rsidTr="005C1D4B">
        <w:tc>
          <w:tcPr>
            <w:tcW w:w="1984" w:type="dxa"/>
            <w:vMerge w:val="restart"/>
          </w:tcPr>
          <w:p w14:paraId="6C2EF73C" w14:textId="77777777" w:rsidR="00B77758" w:rsidRPr="009C01D5" w:rsidRDefault="00B77758" w:rsidP="00F43E0E">
            <w:pPr>
              <w:pStyle w:val="TableTextleftalign"/>
              <w:keepNext/>
              <w:keepLines/>
              <w:rPr>
                <w:rFonts w:ascii="Arial Narrow" w:hAnsi="Arial Narrow"/>
                <w:sz w:val="20"/>
                <w:szCs w:val="20"/>
                <w:lang w:eastAsia="en-AU"/>
              </w:rPr>
            </w:pPr>
            <w:r w:rsidRPr="009C01D5">
              <w:rPr>
                <w:rFonts w:ascii="Arial Narrow" w:hAnsi="Arial Narrow"/>
                <w:sz w:val="20"/>
                <w:szCs w:val="20"/>
                <w:lang w:eastAsia="en-AU"/>
              </w:rPr>
              <w:t>Brexpiprazole</w:t>
            </w:r>
          </w:p>
        </w:tc>
        <w:tc>
          <w:tcPr>
            <w:tcW w:w="1843" w:type="dxa"/>
          </w:tcPr>
          <w:p w14:paraId="60CFB21B"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RR</w:t>
            </w:r>
          </w:p>
        </w:tc>
        <w:tc>
          <w:tcPr>
            <w:tcW w:w="567" w:type="dxa"/>
          </w:tcPr>
          <w:p w14:paraId="1AF092A6" w14:textId="77777777" w:rsidR="00B77758" w:rsidRPr="009C01D5" w:rsidRDefault="00B77758" w:rsidP="00F43E0E">
            <w:pPr>
              <w:pStyle w:val="TableTextleftalign"/>
              <w:keepNext/>
              <w:keepLines/>
              <w:jc w:val="center"/>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1A369FC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0.688 (0.362, 1.306)</w:t>
            </w:r>
          </w:p>
        </w:tc>
        <w:tc>
          <w:tcPr>
            <w:tcW w:w="709" w:type="dxa"/>
          </w:tcPr>
          <w:p w14:paraId="3C9D6FD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32.86</w:t>
            </w:r>
          </w:p>
        </w:tc>
        <w:tc>
          <w:tcPr>
            <w:tcW w:w="582" w:type="dxa"/>
          </w:tcPr>
          <w:p w14:paraId="7ED841F3"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4.47</w:t>
            </w:r>
          </w:p>
        </w:tc>
        <w:tc>
          <w:tcPr>
            <w:tcW w:w="787" w:type="dxa"/>
          </w:tcPr>
          <w:p w14:paraId="496705FB"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105D4E05"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0.215</w:t>
            </w:r>
          </w:p>
        </w:tc>
      </w:tr>
      <w:tr w:rsidR="00B77758" w:rsidRPr="009C01D5" w14:paraId="6BDF57C9" w14:textId="77777777" w:rsidTr="005C1D4B">
        <w:tc>
          <w:tcPr>
            <w:tcW w:w="1984" w:type="dxa"/>
            <w:vMerge/>
          </w:tcPr>
          <w:p w14:paraId="5DB99ED6" w14:textId="77777777" w:rsidR="00B77758" w:rsidRPr="009C01D5" w:rsidRDefault="00B77758" w:rsidP="00F43E0E">
            <w:pPr>
              <w:pStyle w:val="TableTextleftalign"/>
              <w:keepNext/>
              <w:keepLines/>
              <w:rPr>
                <w:rFonts w:ascii="Arial Narrow" w:hAnsi="Arial Narrow"/>
                <w:sz w:val="20"/>
                <w:szCs w:val="20"/>
                <w:lang w:eastAsia="en-AU"/>
              </w:rPr>
            </w:pPr>
          </w:p>
        </w:tc>
        <w:tc>
          <w:tcPr>
            <w:tcW w:w="1843" w:type="dxa"/>
          </w:tcPr>
          <w:p w14:paraId="350F63F1" w14:textId="77777777" w:rsidR="00B77758" w:rsidRPr="009C01D5" w:rsidRDefault="00B77758" w:rsidP="00F43E0E">
            <w:pPr>
              <w:pStyle w:val="TableTextcentred"/>
              <w:rPr>
                <w:rFonts w:ascii="Arial Narrow" w:hAnsi="Arial Narrow"/>
                <w:sz w:val="20"/>
                <w:szCs w:val="20"/>
                <w:lang w:eastAsia="en-AU"/>
              </w:rPr>
            </w:pPr>
            <w:r w:rsidRPr="009C01D5">
              <w:rPr>
                <w:rFonts w:ascii="Arial Narrow" w:hAnsi="Arial Narrow"/>
                <w:sz w:val="20"/>
                <w:szCs w:val="20"/>
                <w:lang w:eastAsia="en-AU"/>
              </w:rPr>
              <w:t>Pooled result, RD</w:t>
            </w:r>
          </w:p>
        </w:tc>
        <w:tc>
          <w:tcPr>
            <w:tcW w:w="567" w:type="dxa"/>
          </w:tcPr>
          <w:p w14:paraId="2A79D31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4</w:t>
            </w:r>
          </w:p>
        </w:tc>
        <w:tc>
          <w:tcPr>
            <w:tcW w:w="1985" w:type="dxa"/>
          </w:tcPr>
          <w:p w14:paraId="1EA4F31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-0.012 (-0.033, 0.008)</w:t>
            </w:r>
          </w:p>
        </w:tc>
        <w:tc>
          <w:tcPr>
            <w:tcW w:w="709" w:type="dxa"/>
          </w:tcPr>
          <w:p w14:paraId="390DFD30"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16.15</w:t>
            </w:r>
          </w:p>
        </w:tc>
        <w:tc>
          <w:tcPr>
            <w:tcW w:w="582" w:type="dxa"/>
          </w:tcPr>
          <w:p w14:paraId="68B6F9BE"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3.58</w:t>
            </w:r>
          </w:p>
        </w:tc>
        <w:tc>
          <w:tcPr>
            <w:tcW w:w="787" w:type="dxa"/>
          </w:tcPr>
          <w:p w14:paraId="4E97F006"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3</w:t>
            </w:r>
          </w:p>
        </w:tc>
        <w:tc>
          <w:tcPr>
            <w:tcW w:w="757" w:type="dxa"/>
          </w:tcPr>
          <w:p w14:paraId="35DFF5A4" w14:textId="77777777" w:rsidR="00B77758" w:rsidRPr="009C01D5" w:rsidRDefault="00B77758" w:rsidP="00F43E0E">
            <w:pPr>
              <w:pStyle w:val="TableTextcentred"/>
              <w:keepNext/>
              <w:keepLines/>
              <w:rPr>
                <w:rFonts w:ascii="Arial Narrow" w:hAnsi="Arial Narrow"/>
                <w:sz w:val="20"/>
                <w:szCs w:val="20"/>
                <w:lang w:eastAsia="en-AU"/>
              </w:rPr>
            </w:pPr>
            <w:r w:rsidRPr="009C01D5">
              <w:rPr>
                <w:rFonts w:ascii="Arial Narrow" w:hAnsi="Arial Narrow"/>
                <w:sz w:val="20"/>
                <w:szCs w:val="20"/>
                <w:lang w:eastAsia="en-AU"/>
              </w:rPr>
              <w:t>0.311</w:t>
            </w:r>
          </w:p>
        </w:tc>
      </w:tr>
    </w:tbl>
    <w:p w14:paraId="7237B799" w14:textId="77777777" w:rsidR="00B77758" w:rsidRPr="009C01D5" w:rsidRDefault="00B77758" w:rsidP="00B77758">
      <w:pPr>
        <w:pStyle w:val="TableFootnoteindent"/>
        <w:rPr>
          <w:rFonts w:ascii="Arial Narrow" w:hAnsi="Arial Narrow"/>
          <w:sz w:val="18"/>
          <w:szCs w:val="18"/>
        </w:rPr>
      </w:pPr>
      <w:r w:rsidRPr="009C01D5">
        <w:rPr>
          <w:rFonts w:ascii="Arial Narrow" w:hAnsi="Arial Narrow"/>
          <w:sz w:val="18"/>
          <w:szCs w:val="18"/>
        </w:rPr>
        <w:t xml:space="preserve">Abbreviations: CI = confidence interval; RR = Relative Risk; RD = Risk Difference; </w:t>
      </w:r>
      <w:r w:rsidRPr="009C01D5">
        <w:rPr>
          <w:rFonts w:ascii="Arial Narrow" w:hAnsi="Arial Narrow"/>
          <w:sz w:val="18"/>
          <w:szCs w:val="18"/>
          <w:lang w:eastAsia="en-AU"/>
        </w:rPr>
        <w:t>N = number of trials; df = degrees of freedom.</w:t>
      </w:r>
    </w:p>
    <w:p w14:paraId="5E8B52E7" w14:textId="77777777" w:rsidR="00B77758" w:rsidRPr="009C01D5" w:rsidRDefault="00B77758" w:rsidP="00B77758">
      <w:pPr>
        <w:pStyle w:val="TableFootnoteindent"/>
        <w:rPr>
          <w:rFonts w:ascii="Arial Narrow" w:hAnsi="Arial Narrow"/>
          <w:sz w:val="18"/>
          <w:szCs w:val="18"/>
        </w:rPr>
      </w:pPr>
      <w:r w:rsidRPr="009C01D5">
        <w:rPr>
          <w:rFonts w:ascii="Arial Narrow" w:hAnsi="Arial Narrow"/>
          <w:sz w:val="18"/>
          <w:szCs w:val="18"/>
        </w:rPr>
        <w:t xml:space="preserve">Source: Table 2.6.4 p151 of the submission </w:t>
      </w:r>
    </w:p>
    <w:p w14:paraId="21F85E88" w14:textId="77777777" w:rsidR="00B77758" w:rsidRPr="009C01D5" w:rsidRDefault="00B77758" w:rsidP="00B77758">
      <w:pPr>
        <w:pStyle w:val="TableFootnoteindent"/>
        <w:rPr>
          <w:rFonts w:ascii="Arial Narrow" w:hAnsi="Arial Narrow"/>
          <w:sz w:val="18"/>
          <w:szCs w:val="18"/>
        </w:rPr>
      </w:pPr>
      <w:r w:rsidRPr="009C01D5">
        <w:rPr>
          <w:rFonts w:ascii="Arial Narrow" w:hAnsi="Arial Narrow"/>
          <w:sz w:val="18"/>
          <w:szCs w:val="18"/>
        </w:rPr>
        <w:t>Note: 1. p-value refers to a test of difference across trials</w:t>
      </w:r>
    </w:p>
    <w:p w14:paraId="504F4F7D" w14:textId="77777777" w:rsidR="00B52A9F" w:rsidRPr="009C01D5" w:rsidRDefault="00B52A9F" w:rsidP="00B52A9F">
      <w:pPr>
        <w:pStyle w:val="3-BodyText"/>
        <w:numPr>
          <w:ilvl w:val="0"/>
          <w:numId w:val="0"/>
        </w:numPr>
      </w:pPr>
    </w:p>
    <w:p w14:paraId="0DA93E36" w14:textId="77777777" w:rsidR="00936AB1" w:rsidRPr="009C01D5" w:rsidRDefault="00936AB1" w:rsidP="00936AB1">
      <w:pPr>
        <w:pStyle w:val="4-SubsectionHeading"/>
      </w:pPr>
      <w:bookmarkStart w:id="29" w:name="_Toc22897643"/>
      <w:bookmarkStart w:id="30" w:name="_Toc51163086"/>
      <w:r w:rsidRPr="009C01D5">
        <w:t>Benefits/harms</w:t>
      </w:r>
      <w:bookmarkEnd w:id="29"/>
      <w:bookmarkEnd w:id="30"/>
    </w:p>
    <w:p w14:paraId="30C46241" w14:textId="77777777" w:rsidR="00936AB1" w:rsidRPr="009C01D5" w:rsidRDefault="00936AB1" w:rsidP="00936AB1">
      <w:pPr>
        <w:pStyle w:val="3-BodyText"/>
      </w:pPr>
      <w:r w:rsidRPr="009C01D5">
        <w:rPr>
          <w:snapToGrid/>
        </w:rPr>
        <w:t xml:space="preserve">A summary of the benefits and harms was not presented given the non-inferiority nature of the claim. </w:t>
      </w:r>
    </w:p>
    <w:p w14:paraId="78FA19C6" w14:textId="77777777" w:rsidR="00936AB1" w:rsidRPr="009C01D5" w:rsidRDefault="00936AB1" w:rsidP="00936AB1">
      <w:pPr>
        <w:pStyle w:val="4-SubsectionHeading"/>
      </w:pPr>
      <w:bookmarkStart w:id="31" w:name="_Toc22897644"/>
      <w:bookmarkStart w:id="32" w:name="_Toc51163087"/>
      <w:r w:rsidRPr="009C01D5">
        <w:t>Clinical claim</w:t>
      </w:r>
      <w:bookmarkEnd w:id="31"/>
      <w:bookmarkEnd w:id="32"/>
    </w:p>
    <w:p w14:paraId="2DBBA9AE" w14:textId="77777777" w:rsidR="00936AB1" w:rsidRPr="009C01D5" w:rsidRDefault="00936AB1" w:rsidP="00936AB1">
      <w:pPr>
        <w:pStyle w:val="3-BodyText"/>
        <w:rPr>
          <w:rFonts w:eastAsia="Calibri"/>
          <w:i/>
        </w:rPr>
      </w:pPr>
      <w:r w:rsidRPr="009C01D5">
        <w:rPr>
          <w:rFonts w:eastAsia="Calibri"/>
        </w:rPr>
        <w:t>On the basis of post-hoc direct comparison of cariprazine and aripiprazole (RGH-MD-04 trial) and the ITC of cariprazine with aripiprazole and brexpiprazole via common placebo arm, the submission claimed that cariprazine was non-inferior in terms of effectiveness and safety compared to aripiprazole and brexpiprazole. Th</w:t>
      </w:r>
      <w:r w:rsidR="00BA3F74" w:rsidRPr="009C01D5">
        <w:rPr>
          <w:rFonts w:eastAsia="Calibri"/>
        </w:rPr>
        <w:t>e clinical claim was supported by the evidence presented</w:t>
      </w:r>
      <w:r w:rsidR="00C67437" w:rsidRPr="009C01D5">
        <w:rPr>
          <w:rFonts w:eastAsia="Calibri"/>
        </w:rPr>
        <w:t xml:space="preserve">, </w:t>
      </w:r>
      <w:r w:rsidRPr="009C01D5">
        <w:rPr>
          <w:rFonts w:eastAsia="Calibri"/>
        </w:rPr>
        <w:t>noting that the RGH-MD-04</w:t>
      </w:r>
      <w:r w:rsidR="00BA3F74" w:rsidRPr="009C01D5">
        <w:rPr>
          <w:rFonts w:eastAsia="Calibri"/>
        </w:rPr>
        <w:t xml:space="preserve"> trial</w:t>
      </w:r>
      <w:r w:rsidRPr="009C01D5">
        <w:rPr>
          <w:rFonts w:eastAsia="Calibri"/>
        </w:rPr>
        <w:t xml:space="preserve">, </w:t>
      </w:r>
      <w:r w:rsidRPr="009C01D5">
        <w:t>the only RCT comparing cariprazine with aripiprazole directly, included aripiprazole as the positive control for the purpose of validating assay sensitivity</w:t>
      </w:r>
      <w:r w:rsidRPr="009C01D5">
        <w:rPr>
          <w:rFonts w:eastAsia="Calibri"/>
        </w:rPr>
        <w:t xml:space="preserve">. In addition, </w:t>
      </w:r>
      <w:r w:rsidR="00C67437" w:rsidRPr="009C01D5">
        <w:rPr>
          <w:rFonts w:eastAsia="Calibri"/>
        </w:rPr>
        <w:t xml:space="preserve">while the results of the ITC did not include the MCID, they </w:t>
      </w:r>
      <w:r w:rsidRPr="009C01D5">
        <w:rPr>
          <w:rFonts w:eastAsia="Calibri"/>
        </w:rPr>
        <w:t>are likely to be confounded by issues of transitivity between the trials.</w:t>
      </w:r>
      <w:r w:rsidRPr="009C01D5">
        <w:rPr>
          <w:rFonts w:eastAsia="Calibri"/>
          <w:i/>
        </w:rPr>
        <w:t xml:space="preserve"> </w:t>
      </w:r>
      <w:r w:rsidR="004E58A6" w:rsidRPr="009C01D5">
        <w:rPr>
          <w:rFonts w:eastAsia="Calibri"/>
        </w:rPr>
        <w:t>The results of the post-hoc comparison of cariprazine with aripiprazole and the corresponding ITC was not used in the estimation of equi-effective doses.</w:t>
      </w:r>
    </w:p>
    <w:p w14:paraId="13694FA8" w14:textId="77777777" w:rsidR="00C16D42" w:rsidRPr="009C01D5" w:rsidRDefault="00006B4D" w:rsidP="00C16D42">
      <w:pPr>
        <w:pStyle w:val="3-BodyText"/>
        <w:rPr>
          <w:lang w:eastAsia="en-US"/>
        </w:rPr>
      </w:pPr>
      <w:r w:rsidRPr="009C01D5">
        <w:rPr>
          <w:lang w:eastAsia="en-US"/>
        </w:rPr>
        <w:t xml:space="preserve">The PBAC considered that the claim of non-inferior comparative effectiveness was reasonable. </w:t>
      </w:r>
    </w:p>
    <w:p w14:paraId="4A219288" w14:textId="77777777" w:rsidR="00C16D42" w:rsidRPr="009C01D5" w:rsidRDefault="00006B4D" w:rsidP="00C16D42">
      <w:pPr>
        <w:pStyle w:val="3-BodyText"/>
        <w:rPr>
          <w:lang w:eastAsia="en-US"/>
        </w:rPr>
      </w:pPr>
      <w:r w:rsidRPr="009C01D5">
        <w:rPr>
          <w:lang w:eastAsia="en-US"/>
        </w:rPr>
        <w:t>The PBAC considered that the claim</w:t>
      </w:r>
      <w:r w:rsidR="009F4060" w:rsidRPr="009C01D5">
        <w:rPr>
          <w:lang w:eastAsia="en-US"/>
        </w:rPr>
        <w:t xml:space="preserve"> of non-inferior comparative </w:t>
      </w:r>
      <w:r w:rsidRPr="009C01D5">
        <w:rPr>
          <w:lang w:eastAsia="en-US"/>
        </w:rPr>
        <w:t xml:space="preserve">safety was reasonable. </w:t>
      </w:r>
    </w:p>
    <w:p w14:paraId="04FF5595" w14:textId="77777777" w:rsidR="00CE4D3D" w:rsidRPr="009C01D5" w:rsidRDefault="00CE4D3D" w:rsidP="00CE4D3D">
      <w:pPr>
        <w:pStyle w:val="4-SubsectionHeading"/>
      </w:pPr>
      <w:bookmarkStart w:id="33" w:name="_Toc22897645"/>
      <w:bookmarkStart w:id="34" w:name="_Toc51163088"/>
      <w:r w:rsidRPr="009C01D5">
        <w:t>Economic analysis</w:t>
      </w:r>
      <w:bookmarkEnd w:id="33"/>
      <w:bookmarkEnd w:id="34"/>
      <w:r w:rsidRPr="009C01D5">
        <w:t xml:space="preserve"> </w:t>
      </w:r>
    </w:p>
    <w:p w14:paraId="5282F75D" w14:textId="77777777" w:rsidR="00CE4D3D" w:rsidRPr="009C01D5" w:rsidRDefault="00CE4D3D" w:rsidP="00CE4D3D">
      <w:pPr>
        <w:pStyle w:val="3-BodyText"/>
        <w:rPr>
          <w:rFonts w:eastAsia="Calibri"/>
          <w:szCs w:val="20"/>
        </w:rPr>
      </w:pPr>
      <w:r w:rsidRPr="009C01D5">
        <w:t>The</w:t>
      </w:r>
      <w:r w:rsidRPr="009C01D5">
        <w:rPr>
          <w:rFonts w:ascii="Calibri" w:hAnsi="Calibri"/>
          <w:snapToGrid/>
        </w:rPr>
        <w:t xml:space="preserve"> </w:t>
      </w:r>
      <w:r w:rsidRPr="009C01D5">
        <w:t>submission presented a</w:t>
      </w:r>
      <w:r w:rsidR="007217F2" w:rsidRPr="009C01D5">
        <w:t xml:space="preserve"> </w:t>
      </w:r>
      <w:r w:rsidRPr="009C01D5">
        <w:t xml:space="preserve">CMA comparing cariprazine to aripiprazole and brexpiprazole. </w:t>
      </w:r>
      <w:r w:rsidR="009A225C" w:rsidRPr="009C01D5">
        <w:t xml:space="preserve">The PBAC has previously considered the group of medicines </w:t>
      </w:r>
      <w:r w:rsidR="00F50872" w:rsidRPr="009C01D5">
        <w:t>that were listed on a cost-minimisation basis compared to olanzapine (paliperidone, ziprasidone, aripiprazole and lurasidone)</w:t>
      </w:r>
      <w:r w:rsidR="002D7BD5" w:rsidRPr="009C01D5">
        <w:t>,</w:t>
      </w:r>
      <w:r w:rsidR="00F50872" w:rsidRPr="009C01D5">
        <w:t xml:space="preserve"> as relevant comparators for brexpiprazole on the basis that, on balance, brexpiprazole has shown to be non-inferior to lurasidone. However, the PBAC was satisfied </w:t>
      </w:r>
      <w:r w:rsidR="000E5F04" w:rsidRPr="009C01D5">
        <w:t xml:space="preserve">in 2017 </w:t>
      </w:r>
      <w:r w:rsidR="00F50872" w:rsidRPr="009C01D5">
        <w:t>that olanzapine should not be considered as an alternative therapy due to its inferior sa</w:t>
      </w:r>
      <w:r w:rsidR="00C67437" w:rsidRPr="009C01D5">
        <w:t>f</w:t>
      </w:r>
      <w:r w:rsidR="00F50872" w:rsidRPr="009C01D5">
        <w:t xml:space="preserve">ety compared to the other medicines in the group (Brexpiprazole PSD, PBAC March 2017, </w:t>
      </w:r>
      <w:r w:rsidR="00967438" w:rsidRPr="009C01D5">
        <w:t>paragraph</w:t>
      </w:r>
      <w:r w:rsidR="00F50872" w:rsidRPr="009C01D5">
        <w:t xml:space="preserve"> 5.10). </w:t>
      </w:r>
      <w:r w:rsidR="00C67437" w:rsidRPr="009C01D5">
        <w:t xml:space="preserve">Given that brexpiprazole is a comparator for cariprazine, </w:t>
      </w:r>
      <w:r w:rsidR="00667179" w:rsidRPr="009C01D5">
        <w:t xml:space="preserve">the PBAC considered that </w:t>
      </w:r>
      <w:r w:rsidR="00F50872" w:rsidRPr="009C01D5">
        <w:t xml:space="preserve">paliperidone, ziprasidone and lurasidone may also be </w:t>
      </w:r>
      <w:r w:rsidR="007010F3" w:rsidRPr="009C01D5">
        <w:t>alternative therapies</w:t>
      </w:r>
      <w:r w:rsidR="00C67437" w:rsidRPr="009C01D5">
        <w:t xml:space="preserve"> for cariprazine</w:t>
      </w:r>
      <w:r w:rsidR="00F50872" w:rsidRPr="009C01D5">
        <w:t>.</w:t>
      </w:r>
      <w:r w:rsidR="009564B6" w:rsidRPr="009C01D5">
        <w:t xml:space="preserve"> As shown in T</w:t>
      </w:r>
      <w:r w:rsidR="00772F2B" w:rsidRPr="009C01D5">
        <w:t xml:space="preserve">able 14, </w:t>
      </w:r>
      <w:r w:rsidR="000E5F04" w:rsidRPr="009C01D5">
        <w:t xml:space="preserve">based on the equi-effective doses proposed in the submission, </w:t>
      </w:r>
      <w:r w:rsidR="00772F2B" w:rsidRPr="009C01D5">
        <w:t>none of these</w:t>
      </w:r>
      <w:r w:rsidR="000E5F04" w:rsidRPr="009C01D5">
        <w:t xml:space="preserve"> therapies</w:t>
      </w:r>
      <w:r w:rsidR="00772F2B" w:rsidRPr="009C01D5">
        <w:t xml:space="preserve"> are </w:t>
      </w:r>
      <w:r w:rsidR="007010F3" w:rsidRPr="009C01D5">
        <w:t xml:space="preserve">less expensive </w:t>
      </w:r>
      <w:r w:rsidR="009564B6" w:rsidRPr="009C01D5">
        <w:t>than</w:t>
      </w:r>
      <w:r w:rsidR="00772F2B" w:rsidRPr="009C01D5">
        <w:t xml:space="preserve"> cariprazine</w:t>
      </w:r>
      <w:r w:rsidR="009564B6" w:rsidRPr="009C01D5">
        <w:t>.</w:t>
      </w:r>
    </w:p>
    <w:p w14:paraId="05589A82" w14:textId="77777777" w:rsidR="00CE4D3D" w:rsidRPr="009C01D5" w:rsidRDefault="00CE4D3D" w:rsidP="00CE4D3D">
      <w:pPr>
        <w:pStyle w:val="3-BodyText"/>
        <w:rPr>
          <w:rFonts w:eastAsia="Calibri"/>
          <w:szCs w:val="20"/>
        </w:rPr>
      </w:pPr>
      <w:r w:rsidRPr="009C01D5">
        <w:t xml:space="preserve">To estimate the equi-effective doses the submission </w:t>
      </w:r>
      <w:r w:rsidR="008F531B" w:rsidRPr="009C01D5">
        <w:t>considered</w:t>
      </w:r>
      <w:r w:rsidRPr="009C01D5">
        <w:t xml:space="preserve"> that the most relevant comparison between cariprazine and the nominated comparators, aripiprazole and brexpiprazole, is at their steady state doses</w:t>
      </w:r>
      <w:r w:rsidR="008F531B" w:rsidRPr="009C01D5">
        <w:t>,</w:t>
      </w:r>
      <w:r w:rsidRPr="009C01D5">
        <w:t xml:space="preserve"> as the intended use of these drugs is as indefinite chronic treatment. Th</w:t>
      </w:r>
      <w:r w:rsidR="00667179" w:rsidRPr="009C01D5">
        <w:t>e PBAC considered that this</w:t>
      </w:r>
      <w:r w:rsidRPr="009C01D5">
        <w:t xml:space="preserve"> was appropriate and in line with the PBAC Guidelines</w:t>
      </w:r>
      <w:r w:rsidR="00616D25" w:rsidRPr="009C01D5">
        <w:t xml:space="preserve"> v5.0</w:t>
      </w:r>
      <w:r w:rsidRPr="009C01D5">
        <w:t>.</w:t>
      </w:r>
    </w:p>
    <w:p w14:paraId="332C1A09" w14:textId="77777777" w:rsidR="00CE4D3D" w:rsidRPr="009C01D5" w:rsidRDefault="0052686B" w:rsidP="0052686B">
      <w:pPr>
        <w:pStyle w:val="3-BodyText"/>
      </w:pPr>
      <w:r w:rsidRPr="009C01D5">
        <w:t>In the estimation of the equi-effective doses of cariprazine and aripiprazole, the submission relied on cariprazine utilisation data from Germany and aripiprazole PBS utilisation data from Australia</w:t>
      </w:r>
      <w:r w:rsidR="007010F3" w:rsidRPr="009C01D5">
        <w:t>,</w:t>
      </w:r>
      <w:r w:rsidR="00CE4D3D" w:rsidRPr="009C01D5">
        <w:t xml:space="preserve"> </w:t>
      </w:r>
      <w:r w:rsidR="007010F3" w:rsidRPr="009C01D5">
        <w:t>rather than</w:t>
      </w:r>
      <w:r w:rsidR="00CE4D3D" w:rsidRPr="009C01D5">
        <w:t xml:space="preserve"> data from the clinical trials presented in </w:t>
      </w:r>
      <w:r w:rsidR="007010F3" w:rsidRPr="009C01D5">
        <w:t>the submission</w:t>
      </w:r>
      <w:r w:rsidR="00CE4D3D" w:rsidRPr="009C01D5">
        <w:t xml:space="preserve">. </w:t>
      </w:r>
      <w:r w:rsidRPr="009C01D5">
        <w:t>The approach relied on</w:t>
      </w:r>
      <w:r w:rsidR="007010F3" w:rsidRPr="009C01D5">
        <w:t xml:space="preserve"> the distribution of prescriptions dispensed rather than the doses prescribed.</w:t>
      </w:r>
      <w:r w:rsidRPr="009C01D5">
        <w:t xml:space="preserve"> </w:t>
      </w:r>
      <w:r w:rsidR="00CE4D3D" w:rsidRPr="009C01D5">
        <w:t xml:space="preserve">The submission justified its approach in that: </w:t>
      </w:r>
    </w:p>
    <w:p w14:paraId="3DEF9693" w14:textId="77777777" w:rsidR="00CE4D3D" w:rsidRPr="009C01D5" w:rsidRDefault="00CE4D3D" w:rsidP="00CD3BC7">
      <w:pPr>
        <w:pStyle w:val="3-BodyText"/>
        <w:numPr>
          <w:ilvl w:val="0"/>
          <w:numId w:val="11"/>
        </w:numPr>
        <w:ind w:left="1560"/>
      </w:pPr>
      <w:r w:rsidRPr="009C01D5">
        <w:t>There were no direct randomised flexible dose trials where doses of both cariprazine and the comparator medicines were titrated against a response.</w:t>
      </w:r>
    </w:p>
    <w:p w14:paraId="2B704DEF" w14:textId="77777777" w:rsidR="00CE4D3D" w:rsidRPr="009C01D5" w:rsidRDefault="00CE4D3D" w:rsidP="00CD3BC7">
      <w:pPr>
        <w:pStyle w:val="3-BodyText"/>
        <w:numPr>
          <w:ilvl w:val="0"/>
          <w:numId w:val="11"/>
        </w:numPr>
        <w:ind w:left="1560"/>
      </w:pPr>
      <w:r w:rsidRPr="009C01D5">
        <w:t>The dosing and titration schedules in the cariprazine trials are not reflective of the Australian recommended clinical practice, hence cannot be used to establish a steady state dose for cariprazine relevant to prescribing recommendations in Australia.</w:t>
      </w:r>
    </w:p>
    <w:p w14:paraId="0E6A9D13" w14:textId="77777777" w:rsidR="008D33DF" w:rsidRPr="009C01D5" w:rsidRDefault="00D5264B" w:rsidP="00F72AFD">
      <w:pPr>
        <w:pStyle w:val="3-BodyText"/>
        <w:rPr>
          <w:snapToGrid/>
        </w:rPr>
      </w:pPr>
      <w:r w:rsidRPr="009C01D5">
        <w:rPr>
          <w:snapToGrid/>
        </w:rPr>
        <w:t>Based on the German</w:t>
      </w:r>
      <w:r w:rsidRPr="009C01D5">
        <w:t xml:space="preserve"> prescription data for the period April 19-Mar</w:t>
      </w:r>
      <w:r w:rsidR="007B40EE" w:rsidRPr="009C01D5">
        <w:t>ch</w:t>
      </w:r>
      <w:r w:rsidRPr="009C01D5">
        <w:t xml:space="preserve"> 20</w:t>
      </w:r>
      <w:r w:rsidR="005A364A" w:rsidRPr="009C01D5">
        <w:t>,</w:t>
      </w:r>
      <w:r w:rsidR="008D33DF" w:rsidRPr="009C01D5">
        <w:rPr>
          <w:snapToGrid/>
        </w:rPr>
        <w:t xml:space="preserve"> the distribution of </w:t>
      </w:r>
      <w:r w:rsidR="00421408" w:rsidRPr="009C01D5">
        <w:rPr>
          <w:snapToGrid/>
        </w:rPr>
        <w:t>prescriptions</w:t>
      </w:r>
      <w:r w:rsidR="008D33DF" w:rsidRPr="009C01D5">
        <w:rPr>
          <w:snapToGrid/>
        </w:rPr>
        <w:t xml:space="preserve"> across the 1.5</w:t>
      </w:r>
      <w:r w:rsidR="001C0A6C" w:rsidRPr="009C01D5">
        <w:rPr>
          <w:snapToGrid/>
        </w:rPr>
        <w:t xml:space="preserve"> </w:t>
      </w:r>
      <w:r w:rsidR="008D33DF" w:rsidRPr="009C01D5">
        <w:rPr>
          <w:snapToGrid/>
        </w:rPr>
        <w:t>mg</w:t>
      </w:r>
      <w:r w:rsidR="001C0A6C" w:rsidRPr="009C01D5">
        <w:rPr>
          <w:snapToGrid/>
        </w:rPr>
        <w:t>,</w:t>
      </w:r>
      <w:r w:rsidR="008D33DF" w:rsidRPr="009C01D5">
        <w:rPr>
          <w:snapToGrid/>
        </w:rPr>
        <w:t xml:space="preserve"> 3</w:t>
      </w:r>
      <w:r w:rsidR="001C0A6C" w:rsidRPr="009C01D5">
        <w:rPr>
          <w:snapToGrid/>
        </w:rPr>
        <w:t xml:space="preserve"> </w:t>
      </w:r>
      <w:r w:rsidR="008D33DF" w:rsidRPr="009C01D5">
        <w:rPr>
          <w:snapToGrid/>
        </w:rPr>
        <w:t>mg, 4.5</w:t>
      </w:r>
      <w:r w:rsidR="001C0A6C" w:rsidRPr="009C01D5">
        <w:rPr>
          <w:snapToGrid/>
        </w:rPr>
        <w:t xml:space="preserve"> </w:t>
      </w:r>
      <w:r w:rsidR="008D33DF" w:rsidRPr="009C01D5">
        <w:rPr>
          <w:snapToGrid/>
        </w:rPr>
        <w:t>mg and 6</w:t>
      </w:r>
      <w:r w:rsidR="001C0A6C" w:rsidRPr="009C01D5">
        <w:rPr>
          <w:snapToGrid/>
        </w:rPr>
        <w:t xml:space="preserve"> </w:t>
      </w:r>
      <w:r w:rsidR="008D33DF" w:rsidRPr="009C01D5">
        <w:rPr>
          <w:snapToGrid/>
        </w:rPr>
        <w:t>mg cariprazine strengths was 41.2%, 32.3%, 14.9% and 11.6%</w:t>
      </w:r>
      <w:r w:rsidR="008D33DF" w:rsidRPr="009C01D5">
        <w:t xml:space="preserve">. </w:t>
      </w:r>
      <w:r w:rsidRPr="009C01D5">
        <w:t xml:space="preserve">This was estimated to represent a </w:t>
      </w:r>
      <w:r w:rsidRPr="009C01D5">
        <w:rPr>
          <w:snapToGrid/>
        </w:rPr>
        <w:t>dose of cariprazine of 2.96</w:t>
      </w:r>
      <w:r w:rsidR="001C0A6C" w:rsidRPr="009C01D5">
        <w:rPr>
          <w:snapToGrid/>
        </w:rPr>
        <w:t xml:space="preserve"> </w:t>
      </w:r>
      <w:r w:rsidRPr="009C01D5">
        <w:rPr>
          <w:snapToGrid/>
        </w:rPr>
        <w:t>mg (0.412 x 1.5 + 0.323 x 3 + 0.149 x 4.5 + 0.116 x 6).</w:t>
      </w:r>
    </w:p>
    <w:p w14:paraId="2B188DD0" w14:textId="77777777" w:rsidR="00D5264B" w:rsidRPr="009C01D5" w:rsidRDefault="00D5264B" w:rsidP="00F72AFD">
      <w:pPr>
        <w:pStyle w:val="3-BodyText"/>
      </w:pPr>
      <w:r w:rsidRPr="009C01D5">
        <w:t>Based on PBS prescription data for 2019</w:t>
      </w:r>
      <w:r w:rsidR="005A364A" w:rsidRPr="009C01D5">
        <w:t>,</w:t>
      </w:r>
      <w:r w:rsidRPr="009C01D5">
        <w:t xml:space="preserve"> the distribution of </w:t>
      </w:r>
      <w:r w:rsidR="00421408" w:rsidRPr="009C01D5">
        <w:t>prescriptions</w:t>
      </w:r>
      <w:r w:rsidRPr="009C01D5">
        <w:t xml:space="preserve"> across the 10</w:t>
      </w:r>
      <w:r w:rsidR="001C0A6C" w:rsidRPr="009C01D5">
        <w:t xml:space="preserve"> </w:t>
      </w:r>
      <w:r w:rsidRPr="009C01D5">
        <w:t>mg, 15</w:t>
      </w:r>
      <w:r w:rsidR="001C0A6C" w:rsidRPr="009C01D5">
        <w:t xml:space="preserve"> </w:t>
      </w:r>
      <w:r w:rsidRPr="009C01D5">
        <w:t>mg, 20</w:t>
      </w:r>
      <w:r w:rsidR="001C0A6C" w:rsidRPr="009C01D5">
        <w:t xml:space="preserve"> </w:t>
      </w:r>
      <w:r w:rsidRPr="009C01D5">
        <w:t>mg and 30</w:t>
      </w:r>
      <w:r w:rsidR="001C0A6C" w:rsidRPr="009C01D5">
        <w:t xml:space="preserve"> </w:t>
      </w:r>
      <w:r w:rsidRPr="009C01D5">
        <w:t xml:space="preserve">mg aripiprazole strengths was 47%, 19%, 19% and 15%. </w:t>
      </w:r>
      <w:r w:rsidR="00744130" w:rsidRPr="009C01D5">
        <w:t xml:space="preserve">This was estimated to represent a dose of aripiprazole of </w:t>
      </w:r>
      <w:r w:rsidRPr="009C01D5">
        <w:t>15.89</w:t>
      </w:r>
      <w:r w:rsidR="001C0A6C" w:rsidRPr="009C01D5">
        <w:t xml:space="preserve"> </w:t>
      </w:r>
      <w:r w:rsidRPr="009C01D5">
        <w:t>mg</w:t>
      </w:r>
      <w:r w:rsidR="00744130" w:rsidRPr="009C01D5">
        <w:t xml:space="preserve"> (0.47 x 10 + 0.19 x 15 + 0.19 x 20 + 0.15 x 30</w:t>
      </w:r>
      <w:r w:rsidRPr="009C01D5">
        <w:t>).</w:t>
      </w:r>
    </w:p>
    <w:p w14:paraId="680528F8" w14:textId="77777777" w:rsidR="008D33DF" w:rsidRPr="009C01D5" w:rsidRDefault="00421408" w:rsidP="00F72AFD">
      <w:pPr>
        <w:pStyle w:val="3-BodyText"/>
      </w:pPr>
      <w:r w:rsidRPr="009C01D5">
        <w:t>Based on</w:t>
      </w:r>
      <w:r w:rsidR="00744130" w:rsidRPr="009C01D5">
        <w:t xml:space="preserve"> the above</w:t>
      </w:r>
      <w:r w:rsidRPr="009C01D5">
        <w:t>,</w:t>
      </w:r>
      <w:r w:rsidR="00744130" w:rsidRPr="009C01D5">
        <w:t xml:space="preserve"> the</w:t>
      </w:r>
      <w:r w:rsidR="008D33DF" w:rsidRPr="009C01D5">
        <w:t xml:space="preserve"> equi-effective doses </w:t>
      </w:r>
      <w:r w:rsidR="00744130" w:rsidRPr="009C01D5">
        <w:t>were assumed in the submission to be</w:t>
      </w:r>
      <w:r w:rsidR="008D33DF" w:rsidRPr="009C01D5">
        <w:t xml:space="preserve"> 2.96</w:t>
      </w:r>
      <w:r w:rsidR="001C0A6C" w:rsidRPr="009C01D5">
        <w:t xml:space="preserve"> </w:t>
      </w:r>
      <w:r w:rsidR="008D33DF" w:rsidRPr="009C01D5">
        <w:t>mg cariprazine and 15.89</w:t>
      </w:r>
      <w:r w:rsidR="001C0A6C" w:rsidRPr="009C01D5">
        <w:t xml:space="preserve"> </w:t>
      </w:r>
      <w:r w:rsidR="008D33DF" w:rsidRPr="009C01D5">
        <w:t>mg aripiprazole</w:t>
      </w:r>
      <w:r w:rsidR="00744130" w:rsidRPr="009C01D5">
        <w:t>. For consistency with the previously established PBAC relativities for brexpiprazole and aripiprazole (equi-effective doses of 3.58</w:t>
      </w:r>
      <w:r w:rsidR="001C0A6C" w:rsidRPr="009C01D5">
        <w:t xml:space="preserve"> </w:t>
      </w:r>
      <w:r w:rsidR="00744130" w:rsidRPr="009C01D5">
        <w:t>mg and 19.06</w:t>
      </w:r>
      <w:r w:rsidR="001C0A6C" w:rsidRPr="009C01D5">
        <w:t xml:space="preserve"> </w:t>
      </w:r>
      <w:r w:rsidR="00744130" w:rsidRPr="009C01D5">
        <w:t xml:space="preserve">mg), the equi-effective doses proposed in the submission were </w:t>
      </w:r>
      <w:r w:rsidR="008D33DF" w:rsidRPr="009C01D5">
        <w:t>3.55mg cariprazine</w:t>
      </w:r>
      <w:r w:rsidR="00744130" w:rsidRPr="009C01D5">
        <w:t xml:space="preserve"> (19.06 / 15.89 x 2.96)</w:t>
      </w:r>
      <w:r w:rsidR="008D33DF" w:rsidRPr="009C01D5">
        <w:t>, 19.06</w:t>
      </w:r>
      <w:r w:rsidR="001C0A6C" w:rsidRPr="009C01D5">
        <w:t xml:space="preserve"> </w:t>
      </w:r>
      <w:r w:rsidR="008D33DF" w:rsidRPr="009C01D5">
        <w:t>mg aripip</w:t>
      </w:r>
      <w:r w:rsidR="00744130" w:rsidRPr="009C01D5">
        <w:t>razole and 3.58</w:t>
      </w:r>
      <w:r w:rsidR="001C0A6C" w:rsidRPr="009C01D5">
        <w:t xml:space="preserve"> </w:t>
      </w:r>
      <w:r w:rsidR="00744130" w:rsidRPr="009C01D5">
        <w:t>mg brexpiprazole.</w:t>
      </w:r>
    </w:p>
    <w:p w14:paraId="2901AC14" w14:textId="77777777" w:rsidR="00993AF2" w:rsidRPr="009C01D5" w:rsidRDefault="00CE4D3D" w:rsidP="00F72AFD">
      <w:pPr>
        <w:pStyle w:val="3-BodyText"/>
      </w:pPr>
      <w:r w:rsidRPr="009C01D5">
        <w:t xml:space="preserve">The </w:t>
      </w:r>
      <w:r w:rsidR="002A30FD" w:rsidRPr="009C01D5">
        <w:t>PBAC</w:t>
      </w:r>
      <w:r w:rsidR="00360A0C" w:rsidRPr="009C01D5">
        <w:t xml:space="preserve"> </w:t>
      </w:r>
      <w:r w:rsidR="007F354D" w:rsidRPr="009C01D5">
        <w:t>not</w:t>
      </w:r>
      <w:r w:rsidR="00993AF2" w:rsidRPr="009C01D5">
        <w:t>ed</w:t>
      </w:r>
      <w:r w:rsidR="007F354D" w:rsidRPr="009C01D5">
        <w:t xml:space="preserve"> </w:t>
      </w:r>
      <w:r w:rsidR="0017644F" w:rsidRPr="009C01D5">
        <w:t xml:space="preserve">that </w:t>
      </w:r>
      <w:r w:rsidR="00993AF2" w:rsidRPr="009C01D5">
        <w:t xml:space="preserve">the use </w:t>
      </w:r>
      <w:r w:rsidR="00442159" w:rsidRPr="009C01D5">
        <w:t>of</w:t>
      </w:r>
      <w:r w:rsidR="00442159" w:rsidRPr="009C01D5">
        <w:rPr>
          <w:bCs/>
        </w:rPr>
        <w:t xml:space="preserve"> data from which dose, but not effect, is measured </w:t>
      </w:r>
      <w:r w:rsidR="00442159" w:rsidRPr="009C01D5">
        <w:t>is the least preferred form of evidence for</w:t>
      </w:r>
      <w:r w:rsidR="007F354D" w:rsidRPr="009C01D5">
        <w:t xml:space="preserve"> estimating equi-effective dose according to the PBAC guidelines</w:t>
      </w:r>
      <w:r w:rsidR="00616D25" w:rsidRPr="009C01D5">
        <w:t xml:space="preserve"> v5.0</w:t>
      </w:r>
      <w:r w:rsidR="00993AF2" w:rsidRPr="009C01D5">
        <w:t xml:space="preserve"> and introduces a disconnect between the treatment utilisation underpinning the efficacy and safety claim of non-inferiority and that utilised for the statement of equi-effective doses</w:t>
      </w:r>
      <w:r w:rsidRPr="009C01D5">
        <w:t>.</w:t>
      </w:r>
      <w:r w:rsidR="00993AF2" w:rsidRPr="009C01D5">
        <w:t xml:space="preserve"> </w:t>
      </w:r>
      <w:r w:rsidR="00442159" w:rsidRPr="009C01D5">
        <w:t xml:space="preserve">The PBAC further noted that </w:t>
      </w:r>
      <w:r w:rsidR="001F3C59" w:rsidRPr="009C01D5">
        <w:t>the data used to infer the dose was the number of prescriptions dispensed rather than steady state dosing for patients.</w:t>
      </w:r>
      <w:r w:rsidR="004A22E9" w:rsidRPr="009C01D5">
        <w:t xml:space="preserve"> The pre-PBAC response stated that the steady state dose of cariprazine was estimated as 3.55 mg (not 2.96 mg)</w:t>
      </w:r>
      <w:r w:rsidR="009C01D5">
        <w:t xml:space="preserve">. </w:t>
      </w:r>
      <w:r w:rsidR="004A22E9" w:rsidRPr="009C01D5">
        <w:t>The PBAC noted there was no data to directly support the dose of 3.55 mg, rather this dose was calculated</w:t>
      </w:r>
      <w:r w:rsidR="0009626D" w:rsidRPr="009C01D5">
        <w:t xml:space="preserve"> as described in the above paragraph.</w:t>
      </w:r>
    </w:p>
    <w:p w14:paraId="40334A04" w14:textId="77777777" w:rsidR="00CE4D3D" w:rsidRPr="009C01D5" w:rsidRDefault="00993AF2" w:rsidP="00F72AFD">
      <w:pPr>
        <w:pStyle w:val="3-BodyText"/>
        <w:rPr>
          <w:iCs/>
        </w:rPr>
      </w:pPr>
      <w:r w:rsidRPr="009C01D5">
        <w:t>I</w:t>
      </w:r>
      <w:r w:rsidR="00CE4D3D" w:rsidRPr="009C01D5">
        <w:t>n forming the equi-effective doses by comparing</w:t>
      </w:r>
      <w:r w:rsidRPr="009C01D5">
        <w:t xml:space="preserve"> prescription</w:t>
      </w:r>
      <w:r w:rsidR="00CE4D3D" w:rsidRPr="009C01D5">
        <w:t xml:space="preserve"> data from Germany with those from Australia, the submission has assumed that</w:t>
      </w:r>
      <w:r w:rsidR="002017C4" w:rsidRPr="009C01D5">
        <w:t xml:space="preserve"> utilisation</w:t>
      </w:r>
      <w:r w:rsidR="00CE4D3D" w:rsidRPr="009C01D5">
        <w:t xml:space="preserve"> of cariprazine in </w:t>
      </w:r>
      <w:r w:rsidR="00D07F09" w:rsidRPr="009C01D5">
        <w:t xml:space="preserve">Australia will be the same as for </w:t>
      </w:r>
      <w:r w:rsidR="00CE4D3D" w:rsidRPr="009C01D5">
        <w:t>Germany. This may not necessarily be the case</w:t>
      </w:r>
      <w:r w:rsidR="00BA3F74" w:rsidRPr="009C01D5">
        <w:t xml:space="preserve">. </w:t>
      </w:r>
      <w:r w:rsidR="00CE4D3D" w:rsidRPr="009C01D5">
        <w:rPr>
          <w:iCs/>
        </w:rPr>
        <w:t xml:space="preserve">During the evaluation, the Sponsor was contacted to enquire as to whether </w:t>
      </w:r>
      <w:r w:rsidRPr="009C01D5">
        <w:rPr>
          <w:iCs/>
        </w:rPr>
        <w:t xml:space="preserve">prescription </w:t>
      </w:r>
      <w:r w:rsidR="00CE4D3D" w:rsidRPr="009C01D5">
        <w:rPr>
          <w:iCs/>
        </w:rPr>
        <w:t>data on aripiprazole from Germany were available (as a means of circumventing issues of comparing data across countries). The Sponsor advised that those data could not be provided given that data on aripiprazole use in Germany includes its use in indications other than schizophrenia and in those under 18 (for which the treatment dose is lower</w:t>
      </w:r>
      <w:r w:rsidR="002017C4" w:rsidRPr="009C01D5">
        <w:rPr>
          <w:iCs/>
        </w:rPr>
        <w:t>)</w:t>
      </w:r>
      <w:r w:rsidR="00CE4D3D" w:rsidRPr="009C01D5">
        <w:rPr>
          <w:iCs/>
        </w:rPr>
        <w:t>.</w:t>
      </w:r>
      <w:r w:rsidR="001E7E43" w:rsidRPr="009C01D5">
        <w:rPr>
          <w:iCs/>
        </w:rPr>
        <w:t xml:space="preserve"> </w:t>
      </w:r>
      <w:r w:rsidR="00AF79B1" w:rsidRPr="009C01D5">
        <w:t>In addition to the concerns noted by the commentary, t</w:t>
      </w:r>
      <w:r w:rsidR="001E7E43" w:rsidRPr="009C01D5">
        <w:rPr>
          <w:iCs/>
        </w:rPr>
        <w:t xml:space="preserve">he ESC </w:t>
      </w:r>
      <w:r w:rsidR="00AF79B1" w:rsidRPr="009C01D5">
        <w:rPr>
          <w:iCs/>
        </w:rPr>
        <w:t xml:space="preserve">also </w:t>
      </w:r>
      <w:r w:rsidR="001E7E43" w:rsidRPr="009C01D5">
        <w:rPr>
          <w:iCs/>
        </w:rPr>
        <w:t xml:space="preserve">considered that the </w:t>
      </w:r>
      <w:r w:rsidRPr="009C01D5">
        <w:rPr>
          <w:iCs/>
        </w:rPr>
        <w:t xml:space="preserve">German </w:t>
      </w:r>
      <w:r w:rsidR="001E7E43" w:rsidRPr="009C01D5">
        <w:rPr>
          <w:iCs/>
        </w:rPr>
        <w:t>data</w:t>
      </w:r>
      <w:r w:rsidR="001E7E43" w:rsidRPr="009C01D5">
        <w:rPr>
          <w:i/>
          <w:iCs/>
        </w:rPr>
        <w:t xml:space="preserve"> </w:t>
      </w:r>
      <w:r w:rsidR="001E7E43" w:rsidRPr="009C01D5">
        <w:rPr>
          <w:iCs/>
        </w:rPr>
        <w:t xml:space="preserve">provided for cariprazine may not be </w:t>
      </w:r>
      <w:r w:rsidR="00163C81" w:rsidRPr="009C01D5">
        <w:rPr>
          <w:iCs/>
        </w:rPr>
        <w:t>reliable</w:t>
      </w:r>
      <w:r w:rsidR="001E7E43" w:rsidRPr="009C01D5">
        <w:rPr>
          <w:iCs/>
        </w:rPr>
        <w:t xml:space="preserve"> as </w:t>
      </w:r>
      <w:r w:rsidR="008F2A78" w:rsidRPr="009C01D5">
        <w:rPr>
          <w:iCs/>
        </w:rPr>
        <w:t>it is unclear to what extent cariprazine may have been</w:t>
      </w:r>
      <w:r w:rsidR="00163C81" w:rsidRPr="009C01D5">
        <w:rPr>
          <w:iCs/>
        </w:rPr>
        <w:t xml:space="preserve"> prescribed</w:t>
      </w:r>
      <w:r w:rsidR="00F00E1D" w:rsidRPr="009C01D5">
        <w:rPr>
          <w:iCs/>
        </w:rPr>
        <w:t xml:space="preserve"> outside of the EMA approved indication of schizophrenia. </w:t>
      </w:r>
      <w:r w:rsidR="00523479" w:rsidRPr="009C01D5">
        <w:rPr>
          <w:iCs/>
        </w:rPr>
        <w:t>The ESC also noted that</w:t>
      </w:r>
      <w:r w:rsidR="000B43CB" w:rsidRPr="009C01D5">
        <w:rPr>
          <w:iCs/>
        </w:rPr>
        <w:t xml:space="preserve"> based on the data provided the</w:t>
      </w:r>
      <w:r w:rsidR="00523479" w:rsidRPr="009C01D5">
        <w:rPr>
          <w:iCs/>
        </w:rPr>
        <w:t xml:space="preserve"> use of cariprazine in Germany is increasing</w:t>
      </w:r>
      <w:r w:rsidR="000B43CB" w:rsidRPr="009C01D5">
        <w:rPr>
          <w:iCs/>
        </w:rPr>
        <w:t xml:space="preserve"> and so may include a relatively large proportion of new patients who are not receiving steady state doses</w:t>
      </w:r>
      <w:r w:rsidR="00523479" w:rsidRPr="009C01D5">
        <w:rPr>
          <w:iCs/>
        </w:rPr>
        <w:t>.</w:t>
      </w:r>
    </w:p>
    <w:p w14:paraId="0AAB51A0" w14:textId="77777777" w:rsidR="008C5545" w:rsidRPr="009C01D5" w:rsidRDefault="008C5545" w:rsidP="00F72AFD">
      <w:pPr>
        <w:pStyle w:val="3-BodyText"/>
        <w:rPr>
          <w:iCs/>
        </w:rPr>
      </w:pPr>
      <w:r w:rsidRPr="009C01D5">
        <w:rPr>
          <w:iCs/>
        </w:rPr>
        <w:t xml:space="preserve">The pre-PBAC response </w:t>
      </w:r>
      <w:r w:rsidR="000A7744" w:rsidRPr="009C01D5">
        <w:rPr>
          <w:iCs/>
        </w:rPr>
        <w:t xml:space="preserve">stated that </w:t>
      </w:r>
      <w:r w:rsidR="005A364A" w:rsidRPr="009C01D5">
        <w:rPr>
          <w:iCs/>
        </w:rPr>
        <w:t xml:space="preserve">there were </w:t>
      </w:r>
      <w:r w:rsidR="000A7744" w:rsidRPr="009C01D5">
        <w:rPr>
          <w:iCs/>
        </w:rPr>
        <w:t xml:space="preserve">only two </w:t>
      </w:r>
      <w:r w:rsidR="005A364A" w:rsidRPr="009C01D5">
        <w:rPr>
          <w:iCs/>
        </w:rPr>
        <w:t xml:space="preserve">reported </w:t>
      </w:r>
      <w:r w:rsidR="000A7744" w:rsidRPr="009C01D5">
        <w:rPr>
          <w:iCs/>
        </w:rPr>
        <w:t xml:space="preserve">cases of off-label use </w:t>
      </w:r>
      <w:r w:rsidR="00A748B3" w:rsidRPr="009C01D5">
        <w:rPr>
          <w:iCs/>
        </w:rPr>
        <w:t xml:space="preserve">of cariprazine </w:t>
      </w:r>
      <w:r w:rsidR="000A7744" w:rsidRPr="009C01D5">
        <w:rPr>
          <w:iCs/>
        </w:rPr>
        <w:t>during the P</w:t>
      </w:r>
      <w:r w:rsidR="005A364A" w:rsidRPr="009C01D5">
        <w:rPr>
          <w:iCs/>
        </w:rPr>
        <w:t xml:space="preserve">eriodic </w:t>
      </w:r>
      <w:r w:rsidR="000A7744" w:rsidRPr="009C01D5">
        <w:rPr>
          <w:iCs/>
        </w:rPr>
        <w:t>S</w:t>
      </w:r>
      <w:r w:rsidR="005A364A" w:rsidRPr="009C01D5">
        <w:rPr>
          <w:iCs/>
        </w:rPr>
        <w:t xml:space="preserve">afety </w:t>
      </w:r>
      <w:r w:rsidR="000A7744" w:rsidRPr="009C01D5">
        <w:rPr>
          <w:iCs/>
        </w:rPr>
        <w:t>U</w:t>
      </w:r>
      <w:r w:rsidR="005A364A" w:rsidRPr="009C01D5">
        <w:rPr>
          <w:iCs/>
        </w:rPr>
        <w:t xml:space="preserve">pdate </w:t>
      </w:r>
      <w:r w:rsidR="000A7744" w:rsidRPr="009C01D5">
        <w:rPr>
          <w:iCs/>
        </w:rPr>
        <w:t>R</w:t>
      </w:r>
      <w:r w:rsidR="005A364A" w:rsidRPr="009C01D5">
        <w:rPr>
          <w:iCs/>
        </w:rPr>
        <w:t>eport</w:t>
      </w:r>
      <w:r w:rsidR="000A7744" w:rsidRPr="009C01D5">
        <w:rPr>
          <w:iCs/>
        </w:rPr>
        <w:t xml:space="preserve"> period. </w:t>
      </w:r>
      <w:r w:rsidR="0010061E" w:rsidRPr="009C01D5">
        <w:rPr>
          <w:iCs/>
        </w:rPr>
        <w:t>The pre-PBAC response noted the data for aripiprazole</w:t>
      </w:r>
      <w:r w:rsidR="0009626D" w:rsidRPr="009C01D5">
        <w:rPr>
          <w:iCs/>
        </w:rPr>
        <w:t xml:space="preserve"> similarly</w:t>
      </w:r>
      <w:r w:rsidR="0010061E" w:rsidRPr="009C01D5">
        <w:rPr>
          <w:iCs/>
        </w:rPr>
        <w:t xml:space="preserve"> included data for initiating and switching patients in whom up-titration would be required.</w:t>
      </w:r>
    </w:p>
    <w:p w14:paraId="69671641" w14:textId="7A0C8B42" w:rsidR="00B55A86" w:rsidRPr="009C01D5" w:rsidRDefault="00B55A86" w:rsidP="00B55A86">
      <w:pPr>
        <w:pStyle w:val="3-BodyText"/>
      </w:pPr>
      <w:r w:rsidRPr="009C01D5">
        <w:t xml:space="preserve">The ESC noted that cariprazine was </w:t>
      </w:r>
      <w:r w:rsidR="008C0DB7" w:rsidRPr="009C01D5">
        <w:t>registered</w:t>
      </w:r>
      <w:r w:rsidRPr="009C01D5">
        <w:t xml:space="preserve"> in a number of countries and considered that there may be other </w:t>
      </w:r>
      <w:r w:rsidR="000B43CB" w:rsidRPr="009C01D5">
        <w:t>prescription</w:t>
      </w:r>
      <w:r w:rsidRPr="009C01D5">
        <w:t xml:space="preserve"> data </w:t>
      </w:r>
      <w:r w:rsidR="00AF16FD" w:rsidRPr="009C01D5">
        <w:t>available, which</w:t>
      </w:r>
      <w:r w:rsidR="008F2A78" w:rsidRPr="009C01D5">
        <w:t xml:space="preserve"> could be used </w:t>
      </w:r>
      <w:r w:rsidRPr="009C01D5">
        <w:t xml:space="preserve">to compare use </w:t>
      </w:r>
      <w:r w:rsidR="008F2A78" w:rsidRPr="009C01D5">
        <w:t xml:space="preserve">of cariprazine and aripiprazole </w:t>
      </w:r>
      <w:r w:rsidRPr="009C01D5">
        <w:t xml:space="preserve">in the same country. </w:t>
      </w:r>
      <w:r w:rsidR="00DD2907" w:rsidRPr="009C01D5">
        <w:t xml:space="preserve">The </w:t>
      </w:r>
      <w:r w:rsidR="000A7642">
        <w:t>Pre-Sub-Committee-Response (</w:t>
      </w:r>
      <w:r w:rsidR="00DD2907" w:rsidRPr="009C01D5">
        <w:t>PSCR</w:t>
      </w:r>
      <w:r w:rsidR="000A7642">
        <w:t>)</w:t>
      </w:r>
      <w:r w:rsidR="00DD2907" w:rsidRPr="009C01D5">
        <w:t xml:space="preserve"> stated that of all the European markets, Germany has had cariprazine available for the longest time and therefore has the most extensive historic utilisation data available</w:t>
      </w:r>
      <w:r w:rsidR="009C01D5">
        <w:t xml:space="preserve">. </w:t>
      </w:r>
    </w:p>
    <w:p w14:paraId="32CD9F1F" w14:textId="77777777" w:rsidR="0009626D" w:rsidRPr="009C01D5" w:rsidRDefault="0010061E" w:rsidP="00085D5E">
      <w:pPr>
        <w:pStyle w:val="3-BodyText"/>
      </w:pPr>
      <w:r w:rsidRPr="009C01D5">
        <w:t>The ESC noted that the submission had relied on Level 4 evidence (market prescription data) to determine the equi-effective dose</w:t>
      </w:r>
      <w:r w:rsidR="0009626D" w:rsidRPr="009C01D5">
        <w:t>s</w:t>
      </w:r>
      <w:r w:rsidRPr="009C01D5">
        <w:t xml:space="preserve">, rather than the Level 2 evidence available in the submission (head-to-head trial with fixed doses, Study RGH-MD-04). The ESC noted that the data available from RGH-MD-04 suggested that 6 mg of cariprazine resulted in equivalent outcomes to 10 mg aripiprazole based on the change in PANSS total scores (see Figure 3), and considered that this may represent more appropriate equi-effective doses than those proposed in the submission. The ESC noted that there was an increase in efficacy up to 6 mg of cariprazine, and that the recommended maximum dose is 6 mg due to increased AEs at higher doses. The ESC considered that if AEs are limited below 6 mg, it is possible that clinicians would attempt to achieve the optimum effect by using the maximum safe dose of 6 mg. The </w:t>
      </w:r>
      <w:r w:rsidRPr="009C01D5">
        <w:rPr>
          <w:rFonts w:cstheme="minorHAnsi"/>
        </w:rPr>
        <w:t>ESC acknowledged that the trial included a single fixed dose of aripiprazole.</w:t>
      </w:r>
    </w:p>
    <w:p w14:paraId="155E2422" w14:textId="77777777" w:rsidR="002E295F" w:rsidRPr="009C01D5" w:rsidRDefault="002E295F" w:rsidP="00085D5E">
      <w:pPr>
        <w:pStyle w:val="3-BodyText"/>
      </w:pPr>
      <w:r w:rsidRPr="009C01D5">
        <w:rPr>
          <w:rFonts w:cstheme="minorHAnsi"/>
        </w:rPr>
        <w:t xml:space="preserve">The pre-PBAC response </w:t>
      </w:r>
      <w:r w:rsidR="005A364A" w:rsidRPr="009C01D5">
        <w:rPr>
          <w:rFonts w:cstheme="minorHAnsi"/>
        </w:rPr>
        <w:t>stated</w:t>
      </w:r>
      <w:r w:rsidRPr="009C01D5">
        <w:rPr>
          <w:rFonts w:cstheme="minorHAnsi"/>
        </w:rPr>
        <w:t xml:space="preserve"> that the study RGH-MD-04 does not provide the evidence required to determine the </w:t>
      </w:r>
      <w:r w:rsidR="005A364A" w:rsidRPr="009C01D5">
        <w:rPr>
          <w:rFonts w:cstheme="minorHAnsi"/>
        </w:rPr>
        <w:t>equi-effective dose</w:t>
      </w:r>
      <w:r w:rsidR="0009626D" w:rsidRPr="009C01D5">
        <w:rPr>
          <w:rFonts w:cstheme="minorHAnsi"/>
        </w:rPr>
        <w:t>s</w:t>
      </w:r>
      <w:r w:rsidRPr="009C01D5">
        <w:rPr>
          <w:rFonts w:cstheme="minorHAnsi"/>
        </w:rPr>
        <w:t xml:space="preserve">, as it is a fixed dose trial that included a single 10 mg </w:t>
      </w:r>
      <w:r w:rsidR="004652D2" w:rsidRPr="009C01D5">
        <w:rPr>
          <w:rFonts w:cstheme="minorHAnsi"/>
        </w:rPr>
        <w:t xml:space="preserve">dose of aripiprazole and does not allow for estimation or comparison of steady state dose. </w:t>
      </w:r>
      <w:r w:rsidR="00953341" w:rsidRPr="009C01D5">
        <w:rPr>
          <w:rFonts w:cstheme="minorHAnsi"/>
        </w:rPr>
        <w:t xml:space="preserve">It also rejected the </w:t>
      </w:r>
      <w:r w:rsidR="005A364A" w:rsidRPr="009C01D5">
        <w:rPr>
          <w:rFonts w:cstheme="minorHAnsi"/>
        </w:rPr>
        <w:t xml:space="preserve">ESC’s </w:t>
      </w:r>
      <w:r w:rsidR="00953341" w:rsidRPr="009C01D5">
        <w:rPr>
          <w:rFonts w:cstheme="minorHAnsi"/>
        </w:rPr>
        <w:t xml:space="preserve">suggestion </w:t>
      </w:r>
      <w:r w:rsidR="00E04BE0" w:rsidRPr="009C01D5">
        <w:rPr>
          <w:rFonts w:cstheme="minorHAnsi"/>
        </w:rPr>
        <w:t>that</w:t>
      </w:r>
      <w:r w:rsidR="00953341" w:rsidRPr="009C01D5">
        <w:rPr>
          <w:rFonts w:cstheme="minorHAnsi"/>
        </w:rPr>
        <w:t xml:space="preserve"> based on this trial, the maximum recommended dose of cariprazine (6 mg) may be a more appropriate </w:t>
      </w:r>
      <w:r w:rsidR="005A364A" w:rsidRPr="009C01D5">
        <w:rPr>
          <w:rFonts w:cstheme="minorHAnsi"/>
        </w:rPr>
        <w:t>equi-effective dose</w:t>
      </w:r>
      <w:r w:rsidR="00953341" w:rsidRPr="009C01D5">
        <w:rPr>
          <w:rFonts w:cstheme="minorHAnsi"/>
        </w:rPr>
        <w:t xml:space="preserve"> to the minimum starting dose of aripiprazole (10 mg)</w:t>
      </w:r>
      <w:r w:rsidR="004E3197" w:rsidRPr="009C01D5">
        <w:rPr>
          <w:rFonts w:cstheme="minorHAnsi"/>
        </w:rPr>
        <w:t>. The pre-PBAC response stated that these equi-effective doses were</w:t>
      </w:r>
      <w:r w:rsidR="00150929" w:rsidRPr="009C01D5">
        <w:rPr>
          <w:rFonts w:cstheme="minorHAnsi"/>
        </w:rPr>
        <w:t xml:space="preserve"> clinically implausible and inconsistent with </w:t>
      </w:r>
      <w:r w:rsidR="004E3197" w:rsidRPr="009C01D5">
        <w:rPr>
          <w:rFonts w:cstheme="minorHAnsi"/>
        </w:rPr>
        <w:t xml:space="preserve">the </w:t>
      </w:r>
      <w:r w:rsidR="00150929" w:rsidRPr="009C01D5">
        <w:rPr>
          <w:rFonts w:cstheme="minorHAnsi"/>
        </w:rPr>
        <w:t xml:space="preserve">demonstrated non-inferior efficacy of cariprazine 3 mg to aripiprazole 10 mg in the study. </w:t>
      </w:r>
    </w:p>
    <w:p w14:paraId="579CE4D9" w14:textId="77777777" w:rsidR="00BD5045" w:rsidRPr="009C01D5" w:rsidRDefault="00BD5045" w:rsidP="00FF629C">
      <w:pPr>
        <w:pStyle w:val="3-BodyText"/>
        <w:numPr>
          <w:ilvl w:val="0"/>
          <w:numId w:val="0"/>
        </w:numPr>
        <w:ind w:left="720"/>
      </w:pPr>
    </w:p>
    <w:p w14:paraId="39043106" w14:textId="77777777" w:rsidR="005268C1" w:rsidRPr="009C01D5" w:rsidRDefault="005268C1" w:rsidP="005268C1">
      <w:pPr>
        <w:pStyle w:val="TableFigureHeading"/>
      </w:pPr>
      <w:r w:rsidRPr="009C01D5">
        <w:t xml:space="preserve">Figure </w:t>
      </w:r>
      <w:r w:rsidR="005110E0" w:rsidRPr="009C01D5">
        <w:t>3</w:t>
      </w:r>
      <w:r w:rsidRPr="009C01D5">
        <w:t>: Primary and Secondary Efficacy data from RGH-MD-04</w:t>
      </w:r>
      <w:r w:rsidR="00910EAE" w:rsidRPr="009C01D5">
        <w:t>: Change from Baseline at each Study Week</w:t>
      </w:r>
    </w:p>
    <w:p w14:paraId="70D98500" w14:textId="77777777" w:rsidR="008E4E31" w:rsidRPr="009C01D5" w:rsidRDefault="008E4E31" w:rsidP="008E4E31">
      <w:pPr>
        <w:pStyle w:val="3-BodyText"/>
        <w:numPr>
          <w:ilvl w:val="0"/>
          <w:numId w:val="0"/>
        </w:numPr>
      </w:pPr>
      <w:r w:rsidRPr="009C01D5">
        <w:rPr>
          <w:noProof/>
        </w:rPr>
        <w:drawing>
          <wp:inline distT="0" distB="0" distL="0" distR="0" wp14:anchorId="3379FFB7" wp14:editId="60C57910">
            <wp:extent cx="4250725" cy="3203893"/>
            <wp:effectExtent l="0" t="0" r="0" b="0"/>
            <wp:docPr id="2" name="Picture 1" title="Figure 3: Primary and Secondary Efficacy data from RGH-MD-04: Change from Baseline at each Study Week">
              <a:extLst xmlns:a="http://schemas.openxmlformats.org/drawingml/2006/main">
                <a:ext uri="{FF2B5EF4-FFF2-40B4-BE49-F238E27FC236}">
                  <a16:creationId xmlns:a16="http://schemas.microsoft.com/office/drawing/2014/main" id="{A3598AB9-AE20-46D7-9009-E9411A6606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3598AB9-AE20-46D7-9009-E9411A660695}"/>
                        </a:ext>
                      </a:extLst>
                    </pic:cNvPr>
                    <pic:cNvPicPr>
                      <a:picLocks noChangeAspect="1"/>
                    </pic:cNvPicPr>
                  </pic:nvPicPr>
                  <pic:blipFill rotWithShape="1">
                    <a:blip r:embed="rId12"/>
                    <a:srcRect t="2746"/>
                    <a:stretch/>
                  </pic:blipFill>
                  <pic:spPr bwMode="auto">
                    <a:xfrm>
                      <a:off x="0" y="0"/>
                      <a:ext cx="4269647" cy="3218155"/>
                    </a:xfrm>
                    <a:prstGeom prst="rect">
                      <a:avLst/>
                    </a:prstGeom>
                    <a:ln>
                      <a:noFill/>
                    </a:ln>
                    <a:extLst>
                      <a:ext uri="{53640926-AAD7-44D8-BBD7-CCE9431645EC}">
                        <a14:shadowObscured xmlns:a14="http://schemas.microsoft.com/office/drawing/2010/main"/>
                      </a:ext>
                    </a:extLst>
                  </pic:spPr>
                </pic:pic>
              </a:graphicData>
            </a:graphic>
          </wp:inline>
        </w:drawing>
      </w:r>
    </w:p>
    <w:p w14:paraId="63D03853" w14:textId="77777777" w:rsidR="0006390F" w:rsidRPr="009C01D5" w:rsidRDefault="0006390F" w:rsidP="0006390F">
      <w:pPr>
        <w:pStyle w:val="TableFootnotetext"/>
        <w:rPr>
          <w:rFonts w:ascii="Arial Narrow" w:hAnsi="Arial Narrow"/>
          <w:sz w:val="18"/>
          <w:szCs w:val="18"/>
        </w:rPr>
      </w:pPr>
      <w:r w:rsidRPr="009C01D5">
        <w:rPr>
          <w:rFonts w:ascii="Arial Narrow" w:hAnsi="Arial Narrow"/>
          <w:sz w:val="18"/>
          <w:szCs w:val="18"/>
        </w:rPr>
        <w:t>Source: Cariprazine in Acute Exacerbation of Schizophrenia: A Fixed-Dose, Phase 3, Randomized, Double-Blind, Placebo- and Active-Controlled Trial, Durgam et.al; Figure 1, page 5</w:t>
      </w:r>
    </w:p>
    <w:p w14:paraId="460DB493" w14:textId="77777777" w:rsidR="0006390F" w:rsidRPr="009C01D5" w:rsidRDefault="0006390F" w:rsidP="0006390F">
      <w:pPr>
        <w:pStyle w:val="TableFootnotetext"/>
      </w:pPr>
    </w:p>
    <w:p w14:paraId="16D53EE0" w14:textId="77777777" w:rsidR="00FF629C" w:rsidRPr="009C01D5" w:rsidRDefault="00926828" w:rsidP="0006390F">
      <w:pPr>
        <w:pStyle w:val="3-BodyText"/>
        <w:rPr>
          <w:rFonts w:cstheme="minorHAnsi"/>
        </w:rPr>
      </w:pPr>
      <w:r w:rsidRPr="009C01D5">
        <w:t xml:space="preserve">A summary of the information available to inform the equi-effective doses of cariprazine and </w:t>
      </w:r>
      <w:r w:rsidR="00AF16FD" w:rsidRPr="009C01D5">
        <w:t>aripiprazole</w:t>
      </w:r>
      <w:r w:rsidRPr="009C01D5">
        <w:t xml:space="preserve"> is presented </w:t>
      </w:r>
      <w:r w:rsidR="00FF629C" w:rsidRPr="009C01D5">
        <w:rPr>
          <w:rFonts w:cstheme="minorHAnsi"/>
        </w:rPr>
        <w:t>in Table 13</w:t>
      </w:r>
      <w:r w:rsidR="009C01D5">
        <w:rPr>
          <w:rFonts w:cstheme="minorHAnsi"/>
        </w:rPr>
        <w:t xml:space="preserve">. </w:t>
      </w:r>
    </w:p>
    <w:p w14:paraId="0DD9D831" w14:textId="77777777" w:rsidR="000352E8" w:rsidRDefault="000352E8">
      <w:pPr>
        <w:jc w:val="left"/>
        <w:rPr>
          <w:rFonts w:ascii="Arial Narrow" w:eastAsiaTheme="majorEastAsia" w:hAnsi="Arial Narrow" w:cstheme="majorBidi"/>
          <w:b/>
          <w:bCs/>
          <w:sz w:val="20"/>
        </w:rPr>
      </w:pPr>
      <w:r>
        <w:br w:type="page"/>
      </w:r>
    </w:p>
    <w:p w14:paraId="794787D8" w14:textId="77777777" w:rsidR="008362CD" w:rsidRPr="009C01D5" w:rsidRDefault="00102AA3" w:rsidP="008362CD">
      <w:pPr>
        <w:pStyle w:val="TableFigureHeading"/>
      </w:pPr>
      <w:r w:rsidRPr="009C01D5">
        <w:t>Table 13:</w:t>
      </w:r>
      <w:r w:rsidR="005110E0" w:rsidRPr="009C01D5">
        <w:t xml:space="preserve"> Possible dose relativities for cariprazine and aripiprazole </w:t>
      </w:r>
    </w:p>
    <w:tbl>
      <w:tblPr>
        <w:tblStyle w:val="TableGrid"/>
        <w:tblW w:w="0" w:type="auto"/>
        <w:tblLook w:val="0620" w:firstRow="1" w:lastRow="0" w:firstColumn="0" w:lastColumn="0" w:noHBand="1" w:noVBand="1"/>
        <w:tblCaption w:val="Table 13: Possible dose relativities for cariprazine and aripiprazole "/>
      </w:tblPr>
      <w:tblGrid>
        <w:gridCol w:w="3005"/>
        <w:gridCol w:w="3006"/>
        <w:gridCol w:w="3006"/>
      </w:tblGrid>
      <w:tr w:rsidR="00DA5F20" w:rsidRPr="009C01D5" w14:paraId="2081C837" w14:textId="77777777" w:rsidTr="005C1D4B">
        <w:trPr>
          <w:tblHeader/>
        </w:trPr>
        <w:tc>
          <w:tcPr>
            <w:tcW w:w="3005" w:type="dxa"/>
          </w:tcPr>
          <w:p w14:paraId="48336493" w14:textId="77777777" w:rsidR="00DA5F20" w:rsidRPr="009C01D5" w:rsidRDefault="00DA5F20" w:rsidP="00DA5F20">
            <w:pPr>
              <w:pStyle w:val="3-BodyText"/>
              <w:numPr>
                <w:ilvl w:val="0"/>
                <w:numId w:val="0"/>
              </w:numPr>
              <w:rPr>
                <w:rFonts w:ascii="Arial Narrow" w:hAnsi="Arial Narrow"/>
                <w:b/>
                <w:sz w:val="20"/>
                <w:szCs w:val="20"/>
              </w:rPr>
            </w:pPr>
            <w:r w:rsidRPr="009C01D5">
              <w:rPr>
                <w:rFonts w:ascii="Arial Narrow" w:hAnsi="Arial Narrow"/>
                <w:b/>
                <w:sz w:val="20"/>
                <w:szCs w:val="20"/>
              </w:rPr>
              <w:t>Possible Relativity</w:t>
            </w:r>
          </w:p>
        </w:tc>
        <w:tc>
          <w:tcPr>
            <w:tcW w:w="3006" w:type="dxa"/>
          </w:tcPr>
          <w:p w14:paraId="76A64606" w14:textId="77777777" w:rsidR="00DA5F20" w:rsidRPr="009C01D5" w:rsidRDefault="00DA5F20" w:rsidP="00DA5F20">
            <w:pPr>
              <w:pStyle w:val="3-BodyText"/>
              <w:numPr>
                <w:ilvl w:val="0"/>
                <w:numId w:val="0"/>
              </w:numPr>
              <w:rPr>
                <w:rFonts w:ascii="Arial Narrow" w:hAnsi="Arial Narrow"/>
                <w:b/>
                <w:sz w:val="20"/>
                <w:szCs w:val="20"/>
              </w:rPr>
            </w:pPr>
            <w:r w:rsidRPr="009C01D5">
              <w:rPr>
                <w:rFonts w:ascii="Arial Narrow" w:hAnsi="Arial Narrow"/>
                <w:b/>
                <w:sz w:val="20"/>
                <w:szCs w:val="20"/>
              </w:rPr>
              <w:t>Source</w:t>
            </w:r>
          </w:p>
        </w:tc>
        <w:tc>
          <w:tcPr>
            <w:tcW w:w="3006" w:type="dxa"/>
          </w:tcPr>
          <w:p w14:paraId="63D94039" w14:textId="77777777" w:rsidR="00DA5F20" w:rsidRPr="009C01D5" w:rsidRDefault="00DA5F20" w:rsidP="00DA5F20">
            <w:pPr>
              <w:pStyle w:val="3-BodyText"/>
              <w:numPr>
                <w:ilvl w:val="0"/>
                <w:numId w:val="0"/>
              </w:numPr>
              <w:rPr>
                <w:rFonts w:ascii="Arial Narrow" w:hAnsi="Arial Narrow"/>
                <w:b/>
                <w:sz w:val="20"/>
                <w:szCs w:val="20"/>
              </w:rPr>
            </w:pPr>
            <w:r w:rsidRPr="009C01D5">
              <w:rPr>
                <w:rFonts w:ascii="Arial Narrow" w:hAnsi="Arial Narrow"/>
                <w:b/>
                <w:sz w:val="20"/>
                <w:szCs w:val="20"/>
              </w:rPr>
              <w:t>Issues</w:t>
            </w:r>
          </w:p>
        </w:tc>
      </w:tr>
      <w:tr w:rsidR="00DA5F20" w:rsidRPr="009C01D5" w14:paraId="497F684A" w14:textId="77777777" w:rsidTr="005C1D4B">
        <w:tc>
          <w:tcPr>
            <w:tcW w:w="3005" w:type="dxa"/>
          </w:tcPr>
          <w:p w14:paraId="2DEAA2F9" w14:textId="77777777" w:rsidR="00DA5F20" w:rsidRPr="009C01D5" w:rsidRDefault="00DA5F20" w:rsidP="00DA5F20">
            <w:pPr>
              <w:pStyle w:val="3-BodyText"/>
              <w:numPr>
                <w:ilvl w:val="0"/>
                <w:numId w:val="0"/>
              </w:numPr>
              <w:rPr>
                <w:rFonts w:ascii="Arial Narrow" w:hAnsi="Arial Narrow"/>
                <w:sz w:val="20"/>
                <w:szCs w:val="20"/>
              </w:rPr>
            </w:pPr>
            <w:r w:rsidRPr="009C01D5">
              <w:rPr>
                <w:rFonts w:ascii="Arial Narrow" w:hAnsi="Arial Narrow"/>
                <w:sz w:val="20"/>
                <w:szCs w:val="20"/>
              </w:rPr>
              <w:t xml:space="preserve">3.55 mg cariprazine = 19.06 mg aripiprazole (1 mg cariprazine = 5.37 mg aripiprazole) </w:t>
            </w:r>
          </w:p>
        </w:tc>
        <w:tc>
          <w:tcPr>
            <w:tcW w:w="3006" w:type="dxa"/>
          </w:tcPr>
          <w:p w14:paraId="1D7AFEC1" w14:textId="77777777" w:rsidR="00DA5F20" w:rsidRPr="009C01D5" w:rsidRDefault="00DA5F20" w:rsidP="00DA5F20">
            <w:pPr>
              <w:pStyle w:val="3-BodyText"/>
              <w:numPr>
                <w:ilvl w:val="0"/>
                <w:numId w:val="0"/>
              </w:numPr>
              <w:rPr>
                <w:rFonts w:ascii="Arial Narrow" w:hAnsi="Arial Narrow"/>
                <w:sz w:val="20"/>
                <w:szCs w:val="20"/>
              </w:rPr>
            </w:pPr>
            <w:r w:rsidRPr="009C01D5">
              <w:rPr>
                <w:rFonts w:ascii="Arial Narrow" w:hAnsi="Arial Narrow"/>
                <w:sz w:val="20"/>
                <w:szCs w:val="20"/>
              </w:rPr>
              <w:t>Submission based on comparison of in-market data.</w:t>
            </w:r>
          </w:p>
        </w:tc>
        <w:tc>
          <w:tcPr>
            <w:tcW w:w="3006" w:type="dxa"/>
          </w:tcPr>
          <w:p w14:paraId="128BF2DB"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Level 4 evidence. </w:t>
            </w:r>
          </w:p>
          <w:p w14:paraId="1DF06CA4"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Decouples statement of therapeutic relativity from dose. </w:t>
            </w:r>
          </w:p>
          <w:p w14:paraId="2B848215" w14:textId="77777777" w:rsidR="00AF79B1" w:rsidRPr="009C01D5" w:rsidRDefault="00AF79B1"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Unclear applicability of Ger</w:t>
            </w:r>
            <w:r w:rsidR="004E3197" w:rsidRPr="009C01D5">
              <w:rPr>
                <w:rFonts w:ascii="Arial Narrow" w:hAnsi="Arial Narrow"/>
                <w:sz w:val="20"/>
                <w:szCs w:val="20"/>
              </w:rPr>
              <w:t>man</w:t>
            </w:r>
            <w:r w:rsidRPr="009C01D5">
              <w:rPr>
                <w:rFonts w:ascii="Arial Narrow" w:hAnsi="Arial Narrow"/>
                <w:sz w:val="20"/>
                <w:szCs w:val="20"/>
              </w:rPr>
              <w:t xml:space="preserve"> prescribing practices to Australia</w:t>
            </w:r>
          </w:p>
          <w:p w14:paraId="157F2371"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Potential dilution of in-market dose by use in other indications.</w:t>
            </w:r>
          </w:p>
        </w:tc>
      </w:tr>
      <w:tr w:rsidR="00DA5F20" w:rsidRPr="009C01D5" w14:paraId="201B54DC" w14:textId="77777777" w:rsidTr="005C1D4B">
        <w:tc>
          <w:tcPr>
            <w:tcW w:w="3005" w:type="dxa"/>
          </w:tcPr>
          <w:p w14:paraId="37D0A83D" w14:textId="77777777" w:rsidR="00DA5F20" w:rsidRPr="009C01D5" w:rsidRDefault="00DA5F20" w:rsidP="00DA5F20">
            <w:pPr>
              <w:pStyle w:val="3-BodyText"/>
              <w:numPr>
                <w:ilvl w:val="0"/>
                <w:numId w:val="0"/>
              </w:numPr>
              <w:rPr>
                <w:rFonts w:ascii="Arial Narrow" w:hAnsi="Arial Narrow"/>
                <w:sz w:val="20"/>
                <w:szCs w:val="20"/>
              </w:rPr>
            </w:pPr>
            <w:r w:rsidRPr="009C01D5">
              <w:rPr>
                <w:rFonts w:ascii="Arial Narrow" w:hAnsi="Arial Narrow"/>
                <w:sz w:val="20"/>
                <w:szCs w:val="20"/>
              </w:rPr>
              <w:t>3 mg cariprazine = 10 mg aripiprazole (1 mg cariprazine = 3.33 mg aripiprazole)</w:t>
            </w:r>
          </w:p>
        </w:tc>
        <w:tc>
          <w:tcPr>
            <w:tcW w:w="3006" w:type="dxa"/>
          </w:tcPr>
          <w:p w14:paraId="5AD2FF54" w14:textId="77777777" w:rsidR="00DA5F20" w:rsidRPr="009C01D5" w:rsidRDefault="00DA5F20" w:rsidP="004A311C">
            <w:pPr>
              <w:pStyle w:val="3-BodyText"/>
              <w:numPr>
                <w:ilvl w:val="0"/>
                <w:numId w:val="0"/>
              </w:numPr>
              <w:rPr>
                <w:rFonts w:ascii="Arial Narrow" w:hAnsi="Arial Narrow"/>
                <w:sz w:val="20"/>
                <w:szCs w:val="20"/>
              </w:rPr>
            </w:pPr>
            <w:r w:rsidRPr="009C01D5">
              <w:rPr>
                <w:rFonts w:ascii="Arial Narrow" w:hAnsi="Arial Narrow"/>
                <w:sz w:val="20"/>
                <w:szCs w:val="20"/>
              </w:rPr>
              <w:t>Implied based on</w:t>
            </w:r>
            <w:r w:rsidR="004A311C" w:rsidRPr="009C01D5">
              <w:rPr>
                <w:rFonts w:ascii="Arial Narrow" w:hAnsi="Arial Narrow"/>
                <w:sz w:val="20"/>
                <w:szCs w:val="20"/>
              </w:rPr>
              <w:t xml:space="preserve"> trial</w:t>
            </w:r>
            <w:r w:rsidRPr="009C01D5">
              <w:rPr>
                <w:rFonts w:ascii="Arial Narrow" w:hAnsi="Arial Narrow"/>
                <w:sz w:val="20"/>
                <w:szCs w:val="20"/>
              </w:rPr>
              <w:t xml:space="preserve"> RGH-MD-04, CSR Figure 11.4.1.1-1</w:t>
            </w:r>
          </w:p>
        </w:tc>
        <w:tc>
          <w:tcPr>
            <w:tcW w:w="3006" w:type="dxa"/>
          </w:tcPr>
          <w:p w14:paraId="6B9A2B2E"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Level 2 evidence.</w:t>
            </w:r>
          </w:p>
          <w:p w14:paraId="1477729C"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Trial not powder</w:t>
            </w:r>
            <w:r w:rsidR="00771DAB" w:rsidRPr="009C01D5">
              <w:rPr>
                <w:rFonts w:ascii="Arial Narrow" w:hAnsi="Arial Narrow"/>
                <w:sz w:val="20"/>
                <w:szCs w:val="20"/>
              </w:rPr>
              <w:t>ed</w:t>
            </w:r>
            <w:r w:rsidRPr="009C01D5">
              <w:rPr>
                <w:rFonts w:ascii="Arial Narrow" w:hAnsi="Arial Narrow"/>
                <w:sz w:val="20"/>
                <w:szCs w:val="20"/>
              </w:rPr>
              <w:t xml:space="preserve"> for comparison of drugs. </w:t>
            </w:r>
          </w:p>
          <w:p w14:paraId="4574778E" w14:textId="77777777" w:rsidR="00DA5F20" w:rsidRPr="009C01D5" w:rsidRDefault="00DA5F20"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Aripiprazole dose fixed at starting dose, cariprazine dose is </w:t>
            </w:r>
            <w:r w:rsidR="00214F2F" w:rsidRPr="009C01D5">
              <w:rPr>
                <w:rFonts w:ascii="Arial Narrow" w:hAnsi="Arial Narrow"/>
                <w:sz w:val="20"/>
                <w:szCs w:val="20"/>
              </w:rPr>
              <w:t xml:space="preserve">at </w:t>
            </w:r>
            <w:r w:rsidRPr="009C01D5">
              <w:rPr>
                <w:rFonts w:ascii="Arial Narrow" w:hAnsi="Arial Narrow"/>
                <w:sz w:val="20"/>
                <w:szCs w:val="20"/>
              </w:rPr>
              <w:t xml:space="preserve">second step in titration. </w:t>
            </w:r>
          </w:p>
        </w:tc>
      </w:tr>
      <w:tr w:rsidR="00DA5F20" w:rsidRPr="009C01D5" w14:paraId="5B08CF4A" w14:textId="77777777" w:rsidTr="005C1D4B">
        <w:tc>
          <w:tcPr>
            <w:tcW w:w="3005" w:type="dxa"/>
          </w:tcPr>
          <w:p w14:paraId="53934055" w14:textId="77777777" w:rsidR="00DA5F20" w:rsidRPr="009C01D5" w:rsidRDefault="00DA5F20" w:rsidP="00DA5F20">
            <w:pPr>
              <w:pStyle w:val="3-BodyText"/>
              <w:numPr>
                <w:ilvl w:val="0"/>
                <w:numId w:val="0"/>
              </w:numPr>
              <w:rPr>
                <w:rFonts w:ascii="Arial Narrow" w:hAnsi="Arial Narrow"/>
                <w:sz w:val="20"/>
                <w:szCs w:val="20"/>
              </w:rPr>
            </w:pPr>
            <w:r w:rsidRPr="009C01D5">
              <w:rPr>
                <w:rFonts w:ascii="Arial Narrow" w:hAnsi="Arial Narrow"/>
                <w:sz w:val="20"/>
                <w:szCs w:val="20"/>
              </w:rPr>
              <w:t xml:space="preserve">6 mg cariprazine </w:t>
            </w:r>
            <w:r w:rsidR="00214F2F" w:rsidRPr="009C01D5">
              <w:rPr>
                <w:rFonts w:ascii="Arial Narrow" w:hAnsi="Arial Narrow"/>
                <w:sz w:val="20"/>
                <w:szCs w:val="20"/>
              </w:rPr>
              <w:t>= 10 mg aripiprazole (1 mg cariprazine = 1.67 mg aripiprazole)</w:t>
            </w:r>
          </w:p>
        </w:tc>
        <w:tc>
          <w:tcPr>
            <w:tcW w:w="3006" w:type="dxa"/>
          </w:tcPr>
          <w:p w14:paraId="5317D07F" w14:textId="77777777" w:rsidR="00DA5F20" w:rsidRPr="009C01D5" w:rsidRDefault="00214F2F" w:rsidP="004A311C">
            <w:pPr>
              <w:pStyle w:val="3-BodyText"/>
              <w:numPr>
                <w:ilvl w:val="0"/>
                <w:numId w:val="0"/>
              </w:numPr>
              <w:rPr>
                <w:rFonts w:ascii="Arial Narrow" w:hAnsi="Arial Narrow"/>
                <w:sz w:val="20"/>
                <w:szCs w:val="20"/>
              </w:rPr>
            </w:pPr>
            <w:r w:rsidRPr="009C01D5">
              <w:rPr>
                <w:rFonts w:ascii="Arial Narrow" w:hAnsi="Arial Narrow"/>
                <w:sz w:val="20"/>
                <w:szCs w:val="20"/>
              </w:rPr>
              <w:t>Implied based on</w:t>
            </w:r>
            <w:r w:rsidR="004A311C" w:rsidRPr="009C01D5">
              <w:rPr>
                <w:rFonts w:ascii="Arial Narrow" w:hAnsi="Arial Narrow"/>
                <w:sz w:val="20"/>
                <w:szCs w:val="20"/>
              </w:rPr>
              <w:t xml:space="preserve"> trial</w:t>
            </w:r>
            <w:r w:rsidRPr="009C01D5">
              <w:rPr>
                <w:rFonts w:ascii="Arial Narrow" w:hAnsi="Arial Narrow"/>
                <w:sz w:val="20"/>
                <w:szCs w:val="20"/>
              </w:rPr>
              <w:t xml:space="preserve"> RGH-MD-04, CSR Figure 11.4.1.1-1</w:t>
            </w:r>
          </w:p>
        </w:tc>
        <w:tc>
          <w:tcPr>
            <w:tcW w:w="3006" w:type="dxa"/>
          </w:tcPr>
          <w:p w14:paraId="53A68D40" w14:textId="77777777" w:rsidR="00DA5F20"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Level 2 evidence.</w:t>
            </w:r>
          </w:p>
          <w:p w14:paraId="3785A66B" w14:textId="77777777" w:rsidR="00214F2F"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Trial not powdered for comparison of drugs. </w:t>
            </w:r>
          </w:p>
          <w:p w14:paraId="1D4E2C5E" w14:textId="77777777" w:rsidR="00214F2F"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Aripiprazole dose fixed at starting dose, cariprazine dose is at maximum dose.</w:t>
            </w:r>
          </w:p>
        </w:tc>
      </w:tr>
      <w:tr w:rsidR="00214F2F" w:rsidRPr="009C01D5" w14:paraId="55134CBD" w14:textId="77777777" w:rsidTr="005C1D4B">
        <w:tc>
          <w:tcPr>
            <w:tcW w:w="3005" w:type="dxa"/>
          </w:tcPr>
          <w:p w14:paraId="7C052C1C" w14:textId="77777777" w:rsidR="00214F2F" w:rsidRPr="009C01D5" w:rsidRDefault="00214F2F" w:rsidP="00DA5F20">
            <w:pPr>
              <w:pStyle w:val="3-BodyText"/>
              <w:numPr>
                <w:ilvl w:val="0"/>
                <w:numId w:val="0"/>
              </w:numPr>
              <w:rPr>
                <w:rFonts w:ascii="Arial Narrow" w:hAnsi="Arial Narrow"/>
                <w:sz w:val="20"/>
                <w:szCs w:val="20"/>
              </w:rPr>
            </w:pPr>
            <w:r w:rsidRPr="009C01D5">
              <w:rPr>
                <w:rFonts w:ascii="Arial Narrow" w:hAnsi="Arial Narrow"/>
                <w:sz w:val="20"/>
                <w:szCs w:val="20"/>
              </w:rPr>
              <w:t>1.5 mg cariprazine = 10 mg aripiprazole (1 mg cariprazine = 6.67 mg aripiprazole)</w:t>
            </w:r>
          </w:p>
        </w:tc>
        <w:tc>
          <w:tcPr>
            <w:tcW w:w="3006" w:type="dxa"/>
          </w:tcPr>
          <w:p w14:paraId="6D7A3364" w14:textId="77777777" w:rsidR="00214F2F" w:rsidRPr="009C01D5" w:rsidRDefault="00214F2F" w:rsidP="00DA5F20">
            <w:pPr>
              <w:pStyle w:val="3-BodyText"/>
              <w:numPr>
                <w:ilvl w:val="0"/>
                <w:numId w:val="0"/>
              </w:numPr>
              <w:rPr>
                <w:rFonts w:ascii="Arial Narrow" w:hAnsi="Arial Narrow"/>
                <w:sz w:val="20"/>
                <w:szCs w:val="20"/>
              </w:rPr>
            </w:pPr>
            <w:r w:rsidRPr="009C01D5">
              <w:rPr>
                <w:rFonts w:ascii="Arial Narrow" w:hAnsi="Arial Narrow"/>
                <w:sz w:val="20"/>
                <w:szCs w:val="20"/>
              </w:rPr>
              <w:t>Theoretical comparison of starting doses.</w:t>
            </w:r>
          </w:p>
        </w:tc>
        <w:tc>
          <w:tcPr>
            <w:tcW w:w="3006" w:type="dxa"/>
          </w:tcPr>
          <w:p w14:paraId="04128209" w14:textId="77777777" w:rsidR="00214F2F"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No comparative evidence provided.</w:t>
            </w:r>
          </w:p>
        </w:tc>
      </w:tr>
      <w:tr w:rsidR="00DA5F20" w:rsidRPr="009C01D5" w14:paraId="5BC48ADB" w14:textId="77777777" w:rsidTr="005C1D4B">
        <w:tc>
          <w:tcPr>
            <w:tcW w:w="3005" w:type="dxa"/>
          </w:tcPr>
          <w:p w14:paraId="6073D4B6" w14:textId="77777777" w:rsidR="00DA5F20"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6 mg cariprazine = 30 mg aripiprazole (1 mg cariprazine = 5 mg aripiprazole)</w:t>
            </w:r>
          </w:p>
          <w:p w14:paraId="56B43317" w14:textId="77777777" w:rsidR="00214F2F" w:rsidRPr="009C01D5" w:rsidRDefault="00214F2F" w:rsidP="00214F2F">
            <w:pPr>
              <w:pStyle w:val="3-BodyText"/>
              <w:numPr>
                <w:ilvl w:val="0"/>
                <w:numId w:val="0"/>
              </w:numPr>
              <w:spacing w:after="0"/>
              <w:rPr>
                <w:rFonts w:ascii="Arial Narrow" w:hAnsi="Arial Narrow"/>
                <w:sz w:val="20"/>
                <w:szCs w:val="20"/>
              </w:rPr>
            </w:pPr>
          </w:p>
          <w:p w14:paraId="5A18E58D" w14:textId="77777777" w:rsidR="00214F2F"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3 mg cariprazine = 15 mg aripiprazole (1 mg cariprazine = 5 mg aripiprazole)</w:t>
            </w:r>
          </w:p>
        </w:tc>
        <w:tc>
          <w:tcPr>
            <w:tcW w:w="3006" w:type="dxa"/>
          </w:tcPr>
          <w:p w14:paraId="082B3728" w14:textId="77777777" w:rsidR="00DA5F20"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Theoretical comparison of maximum doses.</w:t>
            </w:r>
          </w:p>
          <w:p w14:paraId="7CEFA057" w14:textId="77777777" w:rsidR="00214F2F" w:rsidRPr="009C01D5" w:rsidRDefault="00214F2F" w:rsidP="00214F2F">
            <w:pPr>
              <w:pStyle w:val="3-BodyText"/>
              <w:numPr>
                <w:ilvl w:val="0"/>
                <w:numId w:val="0"/>
              </w:numPr>
              <w:spacing w:after="0"/>
              <w:rPr>
                <w:rFonts w:ascii="Arial Narrow" w:hAnsi="Arial Narrow"/>
                <w:sz w:val="20"/>
                <w:szCs w:val="20"/>
              </w:rPr>
            </w:pPr>
          </w:p>
          <w:p w14:paraId="0FE72D42" w14:textId="77777777" w:rsidR="00214F2F" w:rsidRPr="009C01D5" w:rsidRDefault="00214F2F" w:rsidP="004A311C">
            <w:pPr>
              <w:pStyle w:val="3-BodyText"/>
              <w:numPr>
                <w:ilvl w:val="0"/>
                <w:numId w:val="0"/>
              </w:numPr>
              <w:spacing w:after="0"/>
              <w:rPr>
                <w:rFonts w:ascii="Arial Narrow" w:hAnsi="Arial Narrow"/>
                <w:sz w:val="20"/>
                <w:szCs w:val="20"/>
              </w:rPr>
            </w:pPr>
            <w:r w:rsidRPr="009C01D5">
              <w:rPr>
                <w:rFonts w:ascii="Arial Narrow" w:hAnsi="Arial Narrow"/>
                <w:sz w:val="20"/>
                <w:szCs w:val="20"/>
              </w:rPr>
              <w:t>Theoretical comparison of DDD.</w:t>
            </w:r>
          </w:p>
        </w:tc>
        <w:tc>
          <w:tcPr>
            <w:tcW w:w="3006" w:type="dxa"/>
          </w:tcPr>
          <w:p w14:paraId="32BFF600" w14:textId="77777777" w:rsidR="00DA5F20"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No comparative evidence provided. </w:t>
            </w:r>
          </w:p>
          <w:p w14:paraId="6DF497DC" w14:textId="1D4FEF50" w:rsidR="00214F2F" w:rsidRDefault="00214F2F" w:rsidP="00214F2F">
            <w:pPr>
              <w:pStyle w:val="3-BodyText"/>
              <w:numPr>
                <w:ilvl w:val="0"/>
                <w:numId w:val="0"/>
              </w:numPr>
              <w:spacing w:after="0"/>
              <w:rPr>
                <w:rFonts w:ascii="Arial Narrow" w:hAnsi="Arial Narrow"/>
                <w:sz w:val="20"/>
                <w:szCs w:val="20"/>
              </w:rPr>
            </w:pPr>
          </w:p>
          <w:p w14:paraId="1E9C893C" w14:textId="77777777" w:rsidR="005C1D4B" w:rsidRPr="009C01D5" w:rsidRDefault="005C1D4B" w:rsidP="00214F2F">
            <w:pPr>
              <w:pStyle w:val="3-BodyText"/>
              <w:numPr>
                <w:ilvl w:val="0"/>
                <w:numId w:val="0"/>
              </w:numPr>
              <w:spacing w:after="0"/>
              <w:rPr>
                <w:rFonts w:ascii="Arial Narrow" w:hAnsi="Arial Narrow"/>
                <w:sz w:val="20"/>
                <w:szCs w:val="20"/>
              </w:rPr>
            </w:pPr>
          </w:p>
          <w:p w14:paraId="5B72BCDF" w14:textId="77777777" w:rsidR="00214F2F" w:rsidRPr="009C01D5" w:rsidRDefault="00214F2F" w:rsidP="00214F2F">
            <w:pPr>
              <w:pStyle w:val="3-BodyText"/>
              <w:numPr>
                <w:ilvl w:val="0"/>
                <w:numId w:val="0"/>
              </w:numPr>
              <w:spacing w:after="0"/>
              <w:rPr>
                <w:rFonts w:ascii="Arial Narrow" w:hAnsi="Arial Narrow"/>
                <w:sz w:val="20"/>
                <w:szCs w:val="20"/>
              </w:rPr>
            </w:pPr>
            <w:r w:rsidRPr="009C01D5">
              <w:rPr>
                <w:rFonts w:ascii="Arial Narrow" w:hAnsi="Arial Narrow"/>
                <w:sz w:val="20"/>
                <w:szCs w:val="20"/>
              </w:rPr>
              <w:t xml:space="preserve">No comparative evidence provided. </w:t>
            </w:r>
          </w:p>
        </w:tc>
      </w:tr>
    </w:tbl>
    <w:p w14:paraId="1E0FD737" w14:textId="77777777" w:rsidR="00DA5F20" w:rsidRPr="009C01D5" w:rsidRDefault="002C4FDC" w:rsidP="002C4FDC">
      <w:pPr>
        <w:pStyle w:val="TableFigureFooter"/>
        <w:rPr>
          <w:szCs w:val="18"/>
        </w:rPr>
      </w:pPr>
      <w:r w:rsidRPr="009C01D5">
        <w:rPr>
          <w:szCs w:val="18"/>
        </w:rPr>
        <w:t xml:space="preserve">Source: Compiled during </w:t>
      </w:r>
      <w:r w:rsidR="00926828" w:rsidRPr="009C01D5">
        <w:rPr>
          <w:szCs w:val="18"/>
        </w:rPr>
        <w:t>preparation of the ESC Advice</w:t>
      </w:r>
      <w:r w:rsidRPr="009C01D5">
        <w:rPr>
          <w:szCs w:val="18"/>
        </w:rPr>
        <w:t xml:space="preserve">. </w:t>
      </w:r>
    </w:p>
    <w:p w14:paraId="60C022C8" w14:textId="77777777" w:rsidR="004A311C" w:rsidRPr="009C01D5" w:rsidRDefault="004A311C" w:rsidP="002C4FDC">
      <w:pPr>
        <w:pStyle w:val="TableFigureFooter"/>
        <w:rPr>
          <w:szCs w:val="18"/>
        </w:rPr>
      </w:pPr>
      <w:r w:rsidRPr="009C01D5">
        <w:rPr>
          <w:szCs w:val="18"/>
          <w:vertAlign w:val="superscript"/>
        </w:rPr>
        <w:t>b</w:t>
      </w:r>
      <w:r w:rsidRPr="009C01D5">
        <w:rPr>
          <w:szCs w:val="18"/>
        </w:rPr>
        <w:t>DDD</w:t>
      </w:r>
      <w:r w:rsidR="00465F06" w:rsidRPr="009C01D5">
        <w:rPr>
          <w:szCs w:val="18"/>
        </w:rPr>
        <w:t xml:space="preserve"> = defined daily dose</w:t>
      </w:r>
    </w:p>
    <w:p w14:paraId="46034FA3" w14:textId="77777777" w:rsidR="00C01BBC" w:rsidRPr="009C01D5" w:rsidRDefault="00C01BBC" w:rsidP="00CE4D3D">
      <w:pPr>
        <w:pStyle w:val="3-BodyText"/>
      </w:pPr>
      <w:r w:rsidRPr="009C01D5">
        <w:t>The pre-PBAC response considered the equi-effective doses estimates in the submission (3.55</w:t>
      </w:r>
      <w:r w:rsidR="0009626D" w:rsidRPr="009C01D5">
        <w:t xml:space="preserve"> </w:t>
      </w:r>
      <w:r w:rsidRPr="009C01D5">
        <w:t>mg</w:t>
      </w:r>
      <w:r w:rsidR="0009626D" w:rsidRPr="009C01D5">
        <w:t>/day</w:t>
      </w:r>
      <w:r w:rsidRPr="009C01D5">
        <w:t xml:space="preserve"> cariprazine and 19.06</w:t>
      </w:r>
      <w:r w:rsidR="0009626D" w:rsidRPr="009C01D5">
        <w:t xml:space="preserve"> </w:t>
      </w:r>
      <w:r w:rsidRPr="009C01D5">
        <w:t>mg</w:t>
      </w:r>
      <w:r w:rsidR="0009626D" w:rsidRPr="009C01D5">
        <w:t>/da</w:t>
      </w:r>
      <w:r w:rsidR="00400CD2">
        <w:t>y</w:t>
      </w:r>
      <w:r w:rsidRPr="009C01D5">
        <w:t xml:space="preserve"> aripiprazole) were supported by:</w:t>
      </w:r>
    </w:p>
    <w:p w14:paraId="0812F929" w14:textId="77777777" w:rsidR="0010061E" w:rsidRPr="009C01D5" w:rsidRDefault="00C01BBC" w:rsidP="0009626D">
      <w:pPr>
        <w:pStyle w:val="3-BodyText"/>
        <w:numPr>
          <w:ilvl w:val="0"/>
          <w:numId w:val="10"/>
        </w:numPr>
        <w:ind w:left="1276" w:hanging="425"/>
      </w:pPr>
      <w:r w:rsidRPr="009C01D5">
        <w:t>T</w:t>
      </w:r>
      <w:r w:rsidR="0010061E" w:rsidRPr="009C01D5">
        <w:t>he weighted average doses across the treatment arms that fell within recommended ranges and were included in the meta-analyses and indirect comparisons</w:t>
      </w:r>
      <w:r w:rsidRPr="009C01D5">
        <w:t>. These</w:t>
      </w:r>
      <w:r w:rsidR="0010061E" w:rsidRPr="009C01D5">
        <w:t xml:space="preserve"> were </w:t>
      </w:r>
      <w:r w:rsidRPr="009C01D5">
        <w:t xml:space="preserve">stated to be </w:t>
      </w:r>
      <w:r w:rsidR="0010061E" w:rsidRPr="009C01D5">
        <w:t>3.90 mg of cariprazine and 18.54 mg of aripiprazole</w:t>
      </w:r>
      <w:r w:rsidRPr="009C01D5">
        <w:t>.</w:t>
      </w:r>
    </w:p>
    <w:p w14:paraId="5AED3E4F" w14:textId="77777777" w:rsidR="00C01BBC" w:rsidRPr="009C01D5" w:rsidRDefault="00C01BBC" w:rsidP="0009626D">
      <w:pPr>
        <w:pStyle w:val="3-BodyText"/>
        <w:numPr>
          <w:ilvl w:val="0"/>
          <w:numId w:val="10"/>
        </w:numPr>
        <w:ind w:left="1276" w:hanging="425"/>
      </w:pPr>
      <w:r w:rsidRPr="009C01D5">
        <w:t>An indirect comparisons of the cariprazine RGH-MD-04 trial versus the aripiprazole McEvoy 2007 trial using aripiprazole 10 mg as a common arm</w:t>
      </w:r>
      <w:r w:rsidR="009C01D5">
        <w:t xml:space="preserve">. </w:t>
      </w:r>
      <w:r w:rsidRPr="009C01D5">
        <w:t xml:space="preserve">The pre-PBAC response stated that the results support non-inferior efficacy of cariprazine 3 mg/day compared to aripiprazole 15 mg/day, as the 95% CI excluded the MCID of 7 points in the PANSS total score in favour of aripiprazole. </w:t>
      </w:r>
      <w:r w:rsidR="00D85B75" w:rsidRPr="009C01D5">
        <w:t>The PBAC noted that in McEvoy 2007 a large</w:t>
      </w:r>
      <w:r w:rsidR="00EF4FFF" w:rsidRPr="009C01D5">
        <w:t>r</w:t>
      </w:r>
      <w:r w:rsidR="00D85B75" w:rsidRPr="009C01D5">
        <w:t xml:space="preserve"> numerical difference in PANSS total s</w:t>
      </w:r>
      <w:r w:rsidR="000A575E" w:rsidRPr="009C01D5">
        <w:t>core</w:t>
      </w:r>
      <w:r w:rsidR="0009626D" w:rsidRPr="009C01D5">
        <w:t xml:space="preserve"> from baseline to week 6</w:t>
      </w:r>
      <w:r w:rsidR="000A575E" w:rsidRPr="009C01D5">
        <w:t xml:space="preserve"> was reported for the 10</w:t>
      </w:r>
      <w:r w:rsidR="00D85B75" w:rsidRPr="009C01D5">
        <w:t xml:space="preserve"> mg/day group compared with </w:t>
      </w:r>
      <w:r w:rsidR="000A575E" w:rsidRPr="009C01D5">
        <w:t>the 15</w:t>
      </w:r>
      <w:r w:rsidR="00D85B75" w:rsidRPr="009C01D5">
        <w:t xml:space="preserve"> mg/day group (-15.04 and -11.73, respectively)</w:t>
      </w:r>
      <w:r w:rsidR="00EF4FFF" w:rsidRPr="009C01D5">
        <w:t xml:space="preserve">, and thus </w:t>
      </w:r>
      <w:r w:rsidR="000A575E" w:rsidRPr="009C01D5">
        <w:t xml:space="preserve">the presented indirect comparison </w:t>
      </w:r>
      <w:r w:rsidR="00EF4FFF" w:rsidRPr="009C01D5">
        <w:t xml:space="preserve">also </w:t>
      </w:r>
      <w:r w:rsidR="00577C90" w:rsidRPr="009C01D5">
        <w:t xml:space="preserve">potentially </w:t>
      </w:r>
      <w:r w:rsidR="00EF4FFF" w:rsidRPr="009C01D5">
        <w:t>supports equi-effective dose of 3</w:t>
      </w:r>
      <w:r w:rsidR="0009626D" w:rsidRPr="009C01D5">
        <w:t xml:space="preserve"> </w:t>
      </w:r>
      <w:r w:rsidR="00EF4FFF" w:rsidRPr="009C01D5">
        <w:t>mg</w:t>
      </w:r>
      <w:r w:rsidR="0009626D" w:rsidRPr="009C01D5">
        <w:t>/day</w:t>
      </w:r>
      <w:r w:rsidR="00EF4FFF" w:rsidRPr="009C01D5">
        <w:t xml:space="preserve"> cariprazine and 10 mg</w:t>
      </w:r>
      <w:r w:rsidR="0009626D" w:rsidRPr="009C01D5">
        <w:t>/day</w:t>
      </w:r>
      <w:r w:rsidR="00EF4FFF" w:rsidRPr="009C01D5">
        <w:t xml:space="preserve"> aripiprazole.</w:t>
      </w:r>
    </w:p>
    <w:p w14:paraId="5A7C412D" w14:textId="77777777" w:rsidR="00FE3A5A" w:rsidRDefault="00242807" w:rsidP="00E76849">
      <w:pPr>
        <w:pStyle w:val="3-BodyText"/>
      </w:pPr>
      <w:r>
        <w:t xml:space="preserve">The PBAC noted the flat dose response for aripiprazole made estimating the equi-effective doses for cariprazine and aripiprazole </w:t>
      </w:r>
      <w:r w:rsidR="000631C7">
        <w:t xml:space="preserve">from the available evidence </w:t>
      </w:r>
      <w:r>
        <w:t>difficult. The PBAC recalled when recommending the listing of brexpiprazole, that equi-effective doses were determined for brexpiprazole and lurasidone, the nominated secondary comparator, rather than for brexpiprazole and aripiprazole, the nominated primary comparator. The PBAC further recalled the equi-effective doses were based on dose</w:t>
      </w:r>
      <w:r w:rsidR="00E76849">
        <w:t xml:space="preserve">s </w:t>
      </w:r>
      <w:r>
        <w:t>used in long-term maintenance trial</w:t>
      </w:r>
      <w:r w:rsidR="00E76849">
        <w:t>s</w:t>
      </w:r>
      <w:r>
        <w:t xml:space="preserve"> (</w:t>
      </w:r>
      <w:r w:rsidR="00FE3A5A" w:rsidRPr="009C01D5">
        <w:t>Brexpiprazole PSD,</w:t>
      </w:r>
      <w:r w:rsidR="00FE3A5A">
        <w:t xml:space="preserve"> PBAC March 2017, paragraph 6.33).</w:t>
      </w:r>
      <w:r>
        <w:t xml:space="preserve"> </w:t>
      </w:r>
      <w:r w:rsidR="004B609C">
        <w:t>Thus,</w:t>
      </w:r>
      <w:r w:rsidR="00FE3A5A">
        <w:t xml:space="preserve"> th</w:t>
      </w:r>
      <w:r>
        <w:t xml:space="preserve">e PBAC considered </w:t>
      </w:r>
      <w:r w:rsidR="00FE3A5A">
        <w:t xml:space="preserve">it appropriate </w:t>
      </w:r>
      <w:r>
        <w:t>for equi-effective doses for cariprazine and brexpiprazole</w:t>
      </w:r>
      <w:r w:rsidR="00FE3A5A">
        <w:t xml:space="preserve"> to be determined based on doses used in long-term maintenance trials.</w:t>
      </w:r>
    </w:p>
    <w:p w14:paraId="6BDD4B70" w14:textId="77777777" w:rsidR="00FE3A5A" w:rsidRDefault="00FE3A5A" w:rsidP="008E2E0E">
      <w:pPr>
        <w:pStyle w:val="3-BodyText"/>
      </w:pPr>
      <w:r>
        <w:t>The PBAC noted the brexpiprazole maintenance trial included in this submission was the same trial as included in the March 2017 brexpiprazole submission (EQUATOR/</w:t>
      </w:r>
      <w:r w:rsidRPr="00FE3A5A">
        <w:t xml:space="preserve"> </w:t>
      </w:r>
      <w:r>
        <w:t xml:space="preserve">331-10-232). </w:t>
      </w:r>
      <w:r w:rsidR="004B609C">
        <w:t>Thus,</w:t>
      </w:r>
      <w:r>
        <w:t xml:space="preserve"> the PBAC considered the dose</w:t>
      </w:r>
      <w:r w:rsidR="00B51B6F">
        <w:t xml:space="preserve"> of brexpiprazole should be 3.58</w:t>
      </w:r>
      <w:r>
        <w:t xml:space="preserve"> mg/day.</w:t>
      </w:r>
    </w:p>
    <w:p w14:paraId="23A3FDB4" w14:textId="77777777" w:rsidR="00FE3A5A" w:rsidRDefault="00FE3A5A" w:rsidP="00FE3A5A">
      <w:pPr>
        <w:pStyle w:val="3-BodyText"/>
      </w:pPr>
      <w:r>
        <w:t>The PBAC noted in the cariprazine maintenance trial (RGH-MD-6) the dose for the long term maintenance period was determined during the 8 week flexible dose run-in period</w:t>
      </w:r>
      <w:r w:rsidR="005B4EF2">
        <w:t>. T</w:t>
      </w:r>
      <w:r>
        <w:t>he</w:t>
      </w:r>
      <w:r w:rsidR="005B4EF2">
        <w:t xml:space="preserve"> PBAC noted the</w:t>
      </w:r>
      <w:r>
        <w:t xml:space="preserve"> average dose </w:t>
      </w:r>
      <w:r w:rsidR="005B4EF2">
        <w:t>in this trial (</w:t>
      </w:r>
      <w:r>
        <w:t>6.39</w:t>
      </w:r>
      <w:r w:rsidR="005B4EF2">
        <w:t xml:space="preserve"> </w:t>
      </w:r>
      <w:r>
        <w:t>mg</w:t>
      </w:r>
      <w:r w:rsidR="005B4EF2">
        <w:t>/day) exceeded</w:t>
      </w:r>
      <w:r>
        <w:t xml:space="preserve"> the max</w:t>
      </w:r>
      <w:r w:rsidR="005B4EF2">
        <w:t>imum</w:t>
      </w:r>
      <w:r>
        <w:t xml:space="preserve"> recommended dose</w:t>
      </w:r>
      <w:r w:rsidR="005B4EF2">
        <w:t xml:space="preserve"> (6</w:t>
      </w:r>
      <w:r w:rsidR="00BF6E2D">
        <w:t xml:space="preserve"> </w:t>
      </w:r>
      <w:r w:rsidR="005B4EF2">
        <w:t>mg/day)</w:t>
      </w:r>
      <w:r>
        <w:t xml:space="preserve"> </w:t>
      </w:r>
      <w:r w:rsidR="005B4EF2">
        <w:t>with</w:t>
      </w:r>
      <w:r>
        <w:t xml:space="preserve"> </w:t>
      </w:r>
      <w:r w:rsidR="005B4EF2">
        <w:t>more than half of the patients (54.8%) treated with a dose of 9 mg/day.</w:t>
      </w:r>
    </w:p>
    <w:p w14:paraId="65489929" w14:textId="77777777" w:rsidR="00FE3A5A" w:rsidRDefault="005B4EF2" w:rsidP="008E2E0E">
      <w:pPr>
        <w:pStyle w:val="3-BodyText"/>
      </w:pPr>
      <w:r>
        <w:t xml:space="preserve">The PBAC noted 2 additional open-label flexible dose cariprazine trials were included in the submission. </w:t>
      </w:r>
      <w:r w:rsidR="00FE3A5A">
        <w:t xml:space="preserve">Trial RGH-MD-11 was a 53 week open label flexible dose study that enrolled either new patients or patients who completed one of the lead-in studies:  RGH-MD-04 or RGH-MD-05. The </w:t>
      </w:r>
      <w:r w:rsidR="00BF6E2D">
        <w:t xml:space="preserve">cariprazine </w:t>
      </w:r>
      <w:r>
        <w:t>average</w:t>
      </w:r>
      <w:r w:rsidR="00FE3A5A">
        <w:t xml:space="preserve"> daily </w:t>
      </w:r>
      <w:r>
        <w:t xml:space="preserve">dose was </w:t>
      </w:r>
      <w:r w:rsidR="00FE3A5A">
        <w:t>5.66 mg</w:t>
      </w:r>
      <w:r>
        <w:t xml:space="preserve">. </w:t>
      </w:r>
      <w:r w:rsidR="00747A1D">
        <w:t>T</w:t>
      </w:r>
      <w:r>
        <w:t>he PBAC acknowledged the submission</w:t>
      </w:r>
      <w:r w:rsidR="00BF6E2D">
        <w:t>’</w:t>
      </w:r>
      <w:r>
        <w:t>s arguments that the steady-state dose was potentially</w:t>
      </w:r>
      <w:r w:rsidR="00FE3A5A">
        <w:t xml:space="preserve"> overestimate</w:t>
      </w:r>
      <w:r>
        <w:t>d</w:t>
      </w:r>
      <w:r w:rsidR="00FE3A5A">
        <w:t xml:space="preserve"> </w:t>
      </w:r>
      <w:r>
        <w:t xml:space="preserve">due to (i) permitting dose of 3, 6 and 9 mg/day but not 1.5 and 4.5 mg/day and (ii) including the 9 mg/day dose which is greater than the maximum recommended dose. In this trial, 28.7% of patients were treated with the 9 mg/day dose. Assuming these patients were treated with </w:t>
      </w:r>
      <w:r w:rsidR="00747A1D">
        <w:t>a dose of 6 mg/day, the average daily dose would be 5.35 mg.</w:t>
      </w:r>
    </w:p>
    <w:p w14:paraId="2D28B1A2" w14:textId="77777777" w:rsidR="00FE3A5A" w:rsidRDefault="00FE3A5A" w:rsidP="008E2E0E">
      <w:pPr>
        <w:pStyle w:val="3-BodyText"/>
      </w:pPr>
      <w:r>
        <w:t xml:space="preserve">Trial RGH-MD-17 was a 53 week open-label, flexible dose safety and tolerability extension study for outpatients who had completed study RGH-MD-16. The final </w:t>
      </w:r>
      <w:r w:rsidR="00747A1D">
        <w:t xml:space="preserve">average </w:t>
      </w:r>
      <w:r>
        <w:t xml:space="preserve">daily dose </w:t>
      </w:r>
      <w:r w:rsidR="00747A1D">
        <w:t xml:space="preserve">was 3.97 mg. </w:t>
      </w:r>
      <w:r>
        <w:t xml:space="preserve"> </w:t>
      </w:r>
      <w:r w:rsidR="00747A1D">
        <w:t>The PBAC considered that the steady-state dose was potentially underestimated as p</w:t>
      </w:r>
      <w:r>
        <w:t>atients were not permitted to up-titrate to 6 mg/day.</w:t>
      </w:r>
      <w:r w:rsidR="00747A1D">
        <w:t xml:space="preserve"> Further, almost 70% of patients were treated with 4.5 mg/day, the maximum dose permitted in the trial, and it is likely that a proportion of these </w:t>
      </w:r>
      <w:r w:rsidR="00BF6E2D">
        <w:t xml:space="preserve">patients </w:t>
      </w:r>
      <w:r w:rsidR="00747A1D">
        <w:t xml:space="preserve">would </w:t>
      </w:r>
      <w:r w:rsidR="00BF6E2D">
        <w:t xml:space="preserve">have </w:t>
      </w:r>
      <w:r w:rsidR="00747A1D">
        <w:t>up-titrated to</w:t>
      </w:r>
      <w:r w:rsidR="00BF6E2D">
        <w:t xml:space="preserve"> a dose of</w:t>
      </w:r>
      <w:r w:rsidR="00747A1D">
        <w:t xml:space="preserve"> 6 mg/day</w:t>
      </w:r>
      <w:r w:rsidR="00BF6E2D">
        <w:t xml:space="preserve"> if allowed</w:t>
      </w:r>
      <w:r w:rsidR="00747A1D">
        <w:t>.</w:t>
      </w:r>
      <w:r w:rsidR="00BD2CB5">
        <w:t xml:space="preserve"> If all patients treated with </w:t>
      </w:r>
      <w:r w:rsidR="00BF6E2D">
        <w:t xml:space="preserve">a dose of </w:t>
      </w:r>
      <w:r w:rsidR="00BD2CB5">
        <w:t xml:space="preserve">4.5 mg/day were titrated up to 6 mg/day, the average daily dose would </w:t>
      </w:r>
      <w:r w:rsidR="00BF6E2D">
        <w:t xml:space="preserve">have </w:t>
      </w:r>
      <w:r w:rsidR="00BD2CB5">
        <w:t>be</w:t>
      </w:r>
      <w:r w:rsidR="00BF6E2D">
        <w:t>en approximately</w:t>
      </w:r>
      <w:r w:rsidR="00BD2CB5">
        <w:t xml:space="preserve"> 5 mg.</w:t>
      </w:r>
    </w:p>
    <w:p w14:paraId="0D33515F" w14:textId="77777777" w:rsidR="00242807" w:rsidRDefault="00BD2CB5" w:rsidP="007B0E47">
      <w:pPr>
        <w:widowControl w:val="0"/>
        <w:numPr>
          <w:ilvl w:val="1"/>
          <w:numId w:val="1"/>
        </w:numPr>
        <w:spacing w:after="120"/>
      </w:pPr>
      <w:r>
        <w:t>Overall, the PBAC considered b</w:t>
      </w:r>
      <w:r w:rsidR="00FE3A5A">
        <w:t xml:space="preserve">ased on </w:t>
      </w:r>
      <w:r>
        <w:t xml:space="preserve">Trial RGH-MD-11 and Trial RGH-MD-17 </w:t>
      </w:r>
      <w:r w:rsidR="00FE3A5A">
        <w:t>the cariprazine average</w:t>
      </w:r>
      <w:r>
        <w:t xml:space="preserve"> daily</w:t>
      </w:r>
      <w:r w:rsidR="00FE3A5A">
        <w:t xml:space="preserve"> dose is likely to be </w:t>
      </w:r>
      <w:r>
        <w:t xml:space="preserve">greater than </w:t>
      </w:r>
      <w:r w:rsidR="00FE3A5A">
        <w:t>3.97</w:t>
      </w:r>
      <w:r>
        <w:t xml:space="preserve"> </w:t>
      </w:r>
      <w:r w:rsidR="00FE3A5A">
        <w:t>mg</w:t>
      </w:r>
      <w:r>
        <w:t xml:space="preserve"> but less than 5.35 mg</w:t>
      </w:r>
      <w:r w:rsidR="00FE3A5A">
        <w:t xml:space="preserve">. </w:t>
      </w:r>
      <w:r>
        <w:t xml:space="preserve">The PBAC considered the revised estimated dose from Trial RGH-MD-17 (5 mg/day) to be reasonable </w:t>
      </w:r>
      <w:r w:rsidR="00BF6E2D">
        <w:t>for determining the equi-effective dose</w:t>
      </w:r>
      <w:r>
        <w:t xml:space="preserve">. The PBAC therefore </w:t>
      </w:r>
      <w:r w:rsidR="007B0E47">
        <w:t>considered it reasonable for the cost-minimisation analysis to the based on equi-effective doses of 5 mg/day cariprazine and 3.58 mg/day brexpiprazole.</w:t>
      </w:r>
    </w:p>
    <w:p w14:paraId="04C561DD" w14:textId="77777777" w:rsidR="00CE4D3D" w:rsidRPr="009C01D5" w:rsidRDefault="00CE4D3D" w:rsidP="00CE4D3D">
      <w:pPr>
        <w:pStyle w:val="3-BodyText"/>
      </w:pPr>
      <w:r w:rsidRPr="009C01D5">
        <w:t xml:space="preserve">The submission did </w:t>
      </w:r>
      <w:r w:rsidR="00BA3F74" w:rsidRPr="009C01D5">
        <w:t xml:space="preserve">not </w:t>
      </w:r>
      <w:r w:rsidRPr="009C01D5">
        <w:t xml:space="preserve">include additional costs and/or cost offsets as part of the CMA on the basis that there were no differences in the prescribing, administration or safety profiles of cariprazine and its main comparators that would be expected to result in differential costs of administration, monitoring or managing AEs respectively. The </w:t>
      </w:r>
      <w:r w:rsidR="00C04DAB" w:rsidRPr="009C01D5">
        <w:t xml:space="preserve">ESC considered the </w:t>
      </w:r>
      <w:r w:rsidRPr="009C01D5">
        <w:t>submission’s approach was reasonable.</w:t>
      </w:r>
    </w:p>
    <w:p w14:paraId="2347FF2E" w14:textId="77777777" w:rsidR="00CE4D3D" w:rsidRPr="0024069D" w:rsidRDefault="00CE4D3D" w:rsidP="00CE4D3D">
      <w:pPr>
        <w:pStyle w:val="3-BodyText"/>
      </w:pPr>
      <w:r w:rsidRPr="0024069D">
        <w:t>The submission cost-minimised cariprazine to aripiprazole due to its lowest cost and in accordance with Section 101</w:t>
      </w:r>
      <w:r w:rsidR="002562F4" w:rsidRPr="0024069D">
        <w:t>(</w:t>
      </w:r>
      <w:r w:rsidRPr="0024069D">
        <w:t>3B</w:t>
      </w:r>
      <w:r w:rsidR="002562F4" w:rsidRPr="0024069D">
        <w:t>)</w:t>
      </w:r>
      <w:r w:rsidRPr="0024069D">
        <w:t xml:space="preserve"> of the National Health Act. The pricing of aripiprazole used in the CMA was calculated using the AEMP of the aripiprazole dose strength (20 mg</w:t>
      </w:r>
      <w:r w:rsidR="00B54839" w:rsidRPr="0024069D">
        <w:t xml:space="preserve"> = $</w:t>
      </w:r>
      <w:r w:rsidR="00D06CC7">
        <w:rPr>
          <w:noProof/>
          <w:color w:val="000000"/>
          <w:highlight w:val="black"/>
        </w:rPr>
        <w:t>''''''''''''</w:t>
      </w:r>
      <w:r w:rsidRPr="0024069D">
        <w:t>) closest to the estimated equi-effective dose for aripiprazole (19.06 mg): $</w:t>
      </w:r>
      <w:r w:rsidR="00D06CC7">
        <w:rPr>
          <w:noProof/>
          <w:color w:val="000000"/>
          <w:highlight w:val="black"/>
        </w:rPr>
        <w:t>''''''''''''''</w:t>
      </w:r>
      <w:r w:rsidRPr="0024069D">
        <w:t xml:space="preserve"> (DPMQ = $</w:t>
      </w:r>
      <w:r w:rsidR="00D06CC7">
        <w:rPr>
          <w:noProof/>
          <w:color w:val="000000"/>
          <w:highlight w:val="black"/>
        </w:rPr>
        <w:t>''''''''''''''</w:t>
      </w:r>
      <w:r w:rsidRPr="0024069D">
        <w:t>).</w:t>
      </w:r>
      <w:r w:rsidR="00DD2907" w:rsidRPr="0024069D">
        <w:t xml:space="preserve"> The</w:t>
      </w:r>
      <w:r w:rsidR="00D07F32" w:rsidRPr="0024069D">
        <w:t xml:space="preserve"> PSCR noted</w:t>
      </w:r>
      <w:r w:rsidR="00DD2907" w:rsidRPr="0024069D">
        <w:t xml:space="preserve"> that the aripiprazole price per mg decreases with increasing strength ($</w:t>
      </w:r>
      <w:r w:rsidR="00D06CC7">
        <w:rPr>
          <w:noProof/>
          <w:color w:val="000000"/>
          <w:highlight w:val="black"/>
        </w:rPr>
        <w:t>''''''''</w:t>
      </w:r>
      <w:r w:rsidR="00DD2907" w:rsidRPr="0024069D">
        <w:t>, $</w:t>
      </w:r>
      <w:r w:rsidR="00D06CC7">
        <w:rPr>
          <w:noProof/>
          <w:color w:val="000000"/>
          <w:highlight w:val="black"/>
        </w:rPr>
        <w:t>'''''''''</w:t>
      </w:r>
      <w:r w:rsidR="00DD2907" w:rsidRPr="0024069D">
        <w:t>, $</w:t>
      </w:r>
      <w:r w:rsidR="00D06CC7">
        <w:rPr>
          <w:noProof/>
          <w:color w:val="000000"/>
          <w:highlight w:val="black"/>
        </w:rPr>
        <w:t xml:space="preserve">''''''''' </w:t>
      </w:r>
      <w:r w:rsidR="00DD2907" w:rsidRPr="0024069D">
        <w:t>and $</w:t>
      </w:r>
      <w:r w:rsidR="00D06CC7">
        <w:rPr>
          <w:noProof/>
          <w:color w:val="000000"/>
          <w:highlight w:val="black"/>
        </w:rPr>
        <w:t xml:space="preserve">''''''''' </w:t>
      </w:r>
      <w:r w:rsidR="00DD2907" w:rsidRPr="0024069D">
        <w:t>for aripiprazole 10, 15, 20 and</w:t>
      </w:r>
      <w:r w:rsidR="00D07F32" w:rsidRPr="0024069D">
        <w:t xml:space="preserve"> 30 mg strengths, respectively) and that use of the</w:t>
      </w:r>
      <w:r w:rsidR="00D07F32" w:rsidRPr="0024069D">
        <w:rPr>
          <w:i/>
        </w:rPr>
        <w:t xml:space="preserve"> </w:t>
      </w:r>
      <w:r w:rsidR="00D07F32" w:rsidRPr="0024069D">
        <w:t>price per mg for the 20</w:t>
      </w:r>
      <w:r w:rsidR="00465F06" w:rsidRPr="0024069D">
        <w:t xml:space="preserve"> </w:t>
      </w:r>
      <w:r w:rsidR="00D07F32" w:rsidRPr="0024069D">
        <w:t xml:space="preserve">mg strength </w:t>
      </w:r>
      <w:r w:rsidR="00DD2907" w:rsidRPr="0024069D">
        <w:t>is a more conservative assumption than applying the weighted average price per mg, since there is higher utilisation of the lower strengths of aripiprazole.</w:t>
      </w:r>
    </w:p>
    <w:p w14:paraId="1C153B6A" w14:textId="77777777" w:rsidR="00CE4D3D" w:rsidRPr="009C01D5" w:rsidRDefault="00CE4D3D" w:rsidP="00CE4D3D">
      <w:pPr>
        <w:pStyle w:val="3-BodyText"/>
      </w:pPr>
      <w:r w:rsidRPr="009C01D5">
        <w:t>Based on the equi-effective dose</w:t>
      </w:r>
      <w:r w:rsidR="009533DB" w:rsidRPr="009C01D5">
        <w:t>s</w:t>
      </w:r>
      <w:r w:rsidRPr="009C01D5">
        <w:t xml:space="preserve"> of cariprazine 3.55 mg = </w:t>
      </w:r>
      <w:r w:rsidR="002B76F9" w:rsidRPr="009C01D5">
        <w:t>aripiprazole 19.06 mg</w:t>
      </w:r>
      <w:r w:rsidR="00BF6E2D">
        <w:t xml:space="preserve"> as proposed in the submission</w:t>
      </w:r>
      <w:r w:rsidR="002B76F9" w:rsidRPr="009C01D5">
        <w:t xml:space="preserve">, the submission estimated a cost of </w:t>
      </w:r>
      <w:r w:rsidRPr="0024069D">
        <w:t>$</w:t>
      </w:r>
      <w:r w:rsidR="00D06CC7">
        <w:rPr>
          <w:noProof/>
          <w:color w:val="000000"/>
          <w:highlight w:val="black"/>
        </w:rPr>
        <w:t>'''''''''''''</w:t>
      </w:r>
      <w:r w:rsidR="002B76F9" w:rsidRPr="0024069D">
        <w:t xml:space="preserve"> (AEMP)</w:t>
      </w:r>
      <w:r w:rsidRPr="0024069D">
        <w:t xml:space="preserve"> and $</w:t>
      </w:r>
      <w:r w:rsidR="00D06CC7">
        <w:rPr>
          <w:noProof/>
          <w:color w:val="000000"/>
          <w:highlight w:val="black"/>
        </w:rPr>
        <w:t>''''''''''''</w:t>
      </w:r>
      <w:r w:rsidRPr="0024069D">
        <w:t xml:space="preserve"> (</w:t>
      </w:r>
      <w:r w:rsidR="00B97C0F" w:rsidRPr="0024069D">
        <w:t>DPMQ</w:t>
      </w:r>
      <w:r w:rsidR="002B76F9" w:rsidRPr="0024069D">
        <w:t>). Applying that cost, t</w:t>
      </w:r>
      <w:r w:rsidRPr="0024069D">
        <w:t>he submission calculated the cost</w:t>
      </w:r>
      <w:r w:rsidRPr="009C01D5">
        <w:t xml:space="preserve">-minimised pricing for each strength of cariprazine, with the </w:t>
      </w:r>
      <w:r w:rsidR="00D21E47" w:rsidRPr="009C01D5">
        <w:rPr>
          <w:iCs/>
        </w:rPr>
        <w:t>distribution of prices across</w:t>
      </w:r>
      <w:r w:rsidRPr="009C01D5">
        <w:rPr>
          <w:iCs/>
        </w:rPr>
        <w:t xml:space="preserve"> the four strengths of cariprazine capsules</w:t>
      </w:r>
      <w:r w:rsidR="00D21E47" w:rsidRPr="009C01D5">
        <w:rPr>
          <w:iCs/>
        </w:rPr>
        <w:t xml:space="preserve"> </w:t>
      </w:r>
      <w:r w:rsidR="0086425D" w:rsidRPr="009C01D5">
        <w:rPr>
          <w:iCs/>
        </w:rPr>
        <w:t xml:space="preserve">being </w:t>
      </w:r>
      <w:r w:rsidR="00D21E47" w:rsidRPr="009C01D5">
        <w:rPr>
          <w:iCs/>
        </w:rPr>
        <w:t>arbitrary</w:t>
      </w:r>
      <w:r w:rsidRPr="009C01D5">
        <w:rPr>
          <w:iCs/>
        </w:rPr>
        <w:t>.</w:t>
      </w:r>
    </w:p>
    <w:p w14:paraId="759511B8" w14:textId="77777777" w:rsidR="00CE4D3D" w:rsidRPr="009C01D5" w:rsidRDefault="00CE4D3D" w:rsidP="00CE4D3D">
      <w:pPr>
        <w:pStyle w:val="3-BodyText"/>
      </w:pPr>
      <w:r w:rsidRPr="009C01D5">
        <w:t xml:space="preserve">The price of cariprazine as estimated by the submission is presented alongside the price comparison of the five atypical antipsychotics considered </w:t>
      </w:r>
      <w:r w:rsidR="00B46D41" w:rsidRPr="009C01D5">
        <w:t xml:space="preserve">non-inferior </w:t>
      </w:r>
      <w:r w:rsidRPr="009C01D5">
        <w:t>by the PBAC (Table 1</w:t>
      </w:r>
      <w:r w:rsidR="008100D9" w:rsidRPr="009C01D5">
        <w:t>4</w:t>
      </w:r>
      <w:r w:rsidRPr="009C01D5">
        <w:t xml:space="preserve">) using the same approach used in Table 1 of the Brexpiprazole PSD, March 2017. </w:t>
      </w:r>
      <w:r w:rsidR="00D21E47" w:rsidRPr="009C01D5">
        <w:t>Based on the equi-effective doses proposed in the submission, c</w:t>
      </w:r>
      <w:r w:rsidRPr="009C01D5">
        <w:t xml:space="preserve">ariprazine appears to be the </w:t>
      </w:r>
      <w:r w:rsidR="00D21E47" w:rsidRPr="009C01D5">
        <w:t xml:space="preserve">least expensive </w:t>
      </w:r>
      <w:r w:rsidRPr="009C01D5">
        <w:t xml:space="preserve">amongst these six drugs </w:t>
      </w:r>
      <w:r w:rsidR="00B54839" w:rsidRPr="009C01D5">
        <w:t>based on their equi-effective dose to olanzapine</w:t>
      </w:r>
      <w:r w:rsidRPr="009C01D5">
        <w:t>. This approach assumed a proportional price to that of the AEMP corresponding to the antipsychotic strength that was closest to the equi-effective dose (equivalent to 15.032 mg olanzapine; price (AEMP) for 30 days = $21.84), as per the Therapeutic Relativity Sheet.</w:t>
      </w:r>
      <w:r w:rsidR="00531EEC" w:rsidRPr="009C01D5">
        <w:t xml:space="preserve"> Olanzapine was not included in the price comparison of atypical </w:t>
      </w:r>
      <w:r w:rsidR="00967438" w:rsidRPr="009C01D5">
        <w:t>antipsychotics</w:t>
      </w:r>
      <w:r w:rsidR="00531EEC" w:rsidRPr="009C01D5">
        <w:t xml:space="preserve"> because the PBAC has previously considered </w:t>
      </w:r>
      <w:r w:rsidR="00630CD6" w:rsidRPr="009C01D5">
        <w:t xml:space="preserve">olanzapine as not an appropriate alternative therapy </w:t>
      </w:r>
      <w:r w:rsidR="00EF74DA" w:rsidRPr="009C01D5">
        <w:t>due to</w:t>
      </w:r>
      <w:r w:rsidR="00630CD6" w:rsidRPr="009C01D5">
        <w:t xml:space="preserve"> its inferior safety profile compared to the drugs in the group (Brexpiprazole PSD, PBAC March 2017, paragraph 5.10).</w:t>
      </w:r>
    </w:p>
    <w:p w14:paraId="72D5B33B" w14:textId="77777777" w:rsidR="00CE4D3D" w:rsidRPr="009C01D5" w:rsidRDefault="00CE4D3D" w:rsidP="00CE4D3D">
      <w:pPr>
        <w:pStyle w:val="TableFigureHeading"/>
      </w:pPr>
      <w:bookmarkStart w:id="35" w:name="_Ref50105501"/>
      <w:r w:rsidRPr="009C01D5">
        <w:t>Table</w:t>
      </w:r>
      <w:bookmarkEnd w:id="35"/>
      <w:r w:rsidRPr="009C01D5">
        <w:t xml:space="preserve"> 1</w:t>
      </w:r>
      <w:r w:rsidR="008100D9" w:rsidRPr="009C01D5">
        <w:t>4</w:t>
      </w:r>
      <w:r w:rsidRPr="009C01D5">
        <w:t xml:space="preserve">: Price comparison of atypical antipsychotics considered </w:t>
      </w:r>
      <w:r w:rsidR="003D3B3A" w:rsidRPr="009C01D5">
        <w:t xml:space="preserve">non-inferior </w:t>
      </w:r>
      <w:r w:rsidRPr="009C01D5">
        <w:t>by the PBAC and Cariprazine</w:t>
      </w:r>
    </w:p>
    <w:tbl>
      <w:tblPr>
        <w:tblStyle w:val="TableGrid"/>
        <w:tblW w:w="9056" w:type="dxa"/>
        <w:tblLook w:val="0620" w:firstRow="1" w:lastRow="0" w:firstColumn="0" w:lastColumn="0" w:noHBand="1" w:noVBand="1"/>
        <w:tblCaption w:val="Table 14: Price comparison of atypical antipsychotics considered non-inferior by the PBAC and Cariprazine"/>
      </w:tblPr>
      <w:tblGrid>
        <w:gridCol w:w="1467"/>
        <w:gridCol w:w="1231"/>
        <w:gridCol w:w="1328"/>
        <w:gridCol w:w="1167"/>
        <w:gridCol w:w="1225"/>
        <w:gridCol w:w="1180"/>
        <w:gridCol w:w="1458"/>
      </w:tblGrid>
      <w:tr w:rsidR="00CE4D3D" w:rsidRPr="009C01D5" w14:paraId="6DB5ECB2" w14:textId="77777777" w:rsidTr="005C1D4B">
        <w:trPr>
          <w:trHeight w:val="213"/>
          <w:tblHeader/>
        </w:trPr>
        <w:tc>
          <w:tcPr>
            <w:tcW w:w="1467" w:type="dxa"/>
          </w:tcPr>
          <w:p w14:paraId="0B49D426" w14:textId="77777777" w:rsidR="00CE4D3D" w:rsidRPr="009C01D5" w:rsidRDefault="00CE4D3D" w:rsidP="0041213B">
            <w:pPr>
              <w:keepNext/>
              <w:jc w:val="left"/>
              <w:rPr>
                <w:rFonts w:ascii="Arial Narrow" w:eastAsiaTheme="majorEastAsia" w:hAnsi="Arial Narrow" w:cstheme="majorBidi"/>
                <w:b/>
                <w:bCs/>
                <w:sz w:val="20"/>
              </w:rPr>
            </w:pPr>
            <w:r w:rsidRPr="009C01D5">
              <w:rPr>
                <w:rFonts w:ascii="Arial Narrow" w:eastAsiaTheme="majorEastAsia" w:hAnsi="Arial Narrow" w:cstheme="majorBidi"/>
                <w:b/>
                <w:bCs/>
                <w:sz w:val="20"/>
              </w:rPr>
              <w:t>Drug</w:t>
            </w:r>
          </w:p>
        </w:tc>
        <w:tc>
          <w:tcPr>
            <w:tcW w:w="1231" w:type="dxa"/>
          </w:tcPr>
          <w:p w14:paraId="2A5C7712"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Aripiprazole</w:t>
            </w:r>
          </w:p>
        </w:tc>
        <w:tc>
          <w:tcPr>
            <w:tcW w:w="1328" w:type="dxa"/>
          </w:tcPr>
          <w:p w14:paraId="3850A908"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Brexpiprazole</w:t>
            </w:r>
          </w:p>
        </w:tc>
        <w:tc>
          <w:tcPr>
            <w:tcW w:w="1167" w:type="dxa"/>
          </w:tcPr>
          <w:p w14:paraId="09717A4A"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Lurasidone</w:t>
            </w:r>
          </w:p>
        </w:tc>
        <w:tc>
          <w:tcPr>
            <w:tcW w:w="1225" w:type="dxa"/>
          </w:tcPr>
          <w:p w14:paraId="616D2F50"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Paliperidone</w:t>
            </w:r>
          </w:p>
        </w:tc>
        <w:tc>
          <w:tcPr>
            <w:tcW w:w="1180" w:type="dxa"/>
          </w:tcPr>
          <w:p w14:paraId="34BD0660"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Ziprasidone</w:t>
            </w:r>
          </w:p>
        </w:tc>
        <w:tc>
          <w:tcPr>
            <w:tcW w:w="1458" w:type="dxa"/>
          </w:tcPr>
          <w:p w14:paraId="52AA6372" w14:textId="77777777" w:rsidR="00CE4D3D" w:rsidRPr="009C01D5" w:rsidRDefault="00CE4D3D" w:rsidP="0041213B">
            <w:pPr>
              <w:keepNext/>
              <w:jc w:val="center"/>
              <w:rPr>
                <w:rFonts w:ascii="Arial Narrow" w:eastAsiaTheme="majorEastAsia" w:hAnsi="Arial Narrow" w:cstheme="majorBidi"/>
                <w:b/>
                <w:bCs/>
                <w:sz w:val="20"/>
              </w:rPr>
            </w:pPr>
            <w:r w:rsidRPr="009C01D5">
              <w:rPr>
                <w:rFonts w:ascii="Arial Narrow" w:eastAsiaTheme="majorEastAsia" w:hAnsi="Arial Narrow" w:cstheme="majorBidi"/>
                <w:b/>
                <w:bCs/>
                <w:sz w:val="20"/>
              </w:rPr>
              <w:t>Cariprazine</w:t>
            </w:r>
            <w:r w:rsidRPr="009C01D5">
              <w:rPr>
                <w:rFonts w:ascii="Arial Narrow" w:eastAsiaTheme="majorEastAsia" w:hAnsi="Arial Narrow" w:cstheme="majorBidi"/>
                <w:b/>
                <w:bCs/>
                <w:sz w:val="20"/>
                <w:vertAlign w:val="superscript"/>
              </w:rPr>
              <w:t>1</w:t>
            </w:r>
            <w:r w:rsidRPr="009C01D5">
              <w:rPr>
                <w:rFonts w:ascii="Arial Narrow" w:eastAsiaTheme="majorEastAsia" w:hAnsi="Arial Narrow" w:cstheme="majorBidi"/>
                <w:b/>
                <w:bCs/>
                <w:sz w:val="20"/>
              </w:rPr>
              <w:t xml:space="preserve"> </w:t>
            </w:r>
          </w:p>
        </w:tc>
      </w:tr>
      <w:tr w:rsidR="00CE4D3D" w:rsidRPr="009C01D5" w14:paraId="4AEBE0E6" w14:textId="77777777" w:rsidTr="005C1D4B">
        <w:trPr>
          <w:trHeight w:val="228"/>
        </w:trPr>
        <w:tc>
          <w:tcPr>
            <w:tcW w:w="1467" w:type="dxa"/>
          </w:tcPr>
          <w:p w14:paraId="77465229" w14:textId="77777777" w:rsidR="00CE4D3D" w:rsidRPr="009C01D5" w:rsidRDefault="00CE4D3D" w:rsidP="0041213B">
            <w:pPr>
              <w:keepNext/>
              <w:jc w:val="left"/>
              <w:rPr>
                <w:rFonts w:ascii="Arial Narrow" w:eastAsiaTheme="majorEastAsia" w:hAnsi="Arial Narrow" w:cstheme="majorBidi"/>
                <w:bCs/>
                <w:sz w:val="20"/>
              </w:rPr>
            </w:pPr>
            <w:r w:rsidRPr="009C01D5">
              <w:rPr>
                <w:rFonts w:ascii="Arial Narrow" w:eastAsiaTheme="majorEastAsia" w:hAnsi="Arial Narrow" w:cstheme="majorBidi"/>
                <w:bCs/>
                <w:sz w:val="20"/>
              </w:rPr>
              <w:t>ATC Group</w:t>
            </w:r>
          </w:p>
        </w:tc>
        <w:tc>
          <w:tcPr>
            <w:tcW w:w="1231" w:type="dxa"/>
          </w:tcPr>
          <w:p w14:paraId="5FCAE581"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NO5AX</w:t>
            </w:r>
          </w:p>
        </w:tc>
        <w:tc>
          <w:tcPr>
            <w:tcW w:w="1328" w:type="dxa"/>
          </w:tcPr>
          <w:p w14:paraId="05D37463"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NO5AX</w:t>
            </w:r>
          </w:p>
        </w:tc>
        <w:tc>
          <w:tcPr>
            <w:tcW w:w="1167" w:type="dxa"/>
          </w:tcPr>
          <w:p w14:paraId="1C24AA5F"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NO5AE</w:t>
            </w:r>
          </w:p>
        </w:tc>
        <w:tc>
          <w:tcPr>
            <w:tcW w:w="1225" w:type="dxa"/>
          </w:tcPr>
          <w:p w14:paraId="45A8BF06"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NO5AX</w:t>
            </w:r>
          </w:p>
        </w:tc>
        <w:tc>
          <w:tcPr>
            <w:tcW w:w="1180" w:type="dxa"/>
          </w:tcPr>
          <w:p w14:paraId="75B53214"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NO5AE</w:t>
            </w:r>
          </w:p>
        </w:tc>
        <w:tc>
          <w:tcPr>
            <w:tcW w:w="1458" w:type="dxa"/>
          </w:tcPr>
          <w:p w14:paraId="434F0E7E"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NO5AX</w:t>
            </w:r>
          </w:p>
        </w:tc>
      </w:tr>
      <w:tr w:rsidR="00CE4D3D" w:rsidRPr="009C01D5" w14:paraId="51D50ECA" w14:textId="77777777" w:rsidTr="005C1D4B">
        <w:trPr>
          <w:trHeight w:val="442"/>
        </w:trPr>
        <w:tc>
          <w:tcPr>
            <w:tcW w:w="1467" w:type="dxa"/>
          </w:tcPr>
          <w:p w14:paraId="561FAB53" w14:textId="77777777" w:rsidR="00CE4D3D" w:rsidRPr="009C01D5" w:rsidRDefault="00CE4D3D" w:rsidP="0041213B">
            <w:pPr>
              <w:keepNext/>
              <w:jc w:val="left"/>
              <w:rPr>
                <w:rFonts w:ascii="Arial Narrow" w:eastAsiaTheme="majorEastAsia" w:hAnsi="Arial Narrow" w:cstheme="majorBidi"/>
                <w:bCs/>
                <w:sz w:val="20"/>
              </w:rPr>
            </w:pPr>
            <w:r w:rsidRPr="009C01D5">
              <w:rPr>
                <w:rFonts w:ascii="Arial Narrow" w:eastAsiaTheme="majorEastAsia" w:hAnsi="Arial Narrow" w:cstheme="majorBidi"/>
                <w:bCs/>
                <w:sz w:val="20"/>
              </w:rPr>
              <w:t>Basis of recommendation</w:t>
            </w:r>
          </w:p>
        </w:tc>
        <w:tc>
          <w:tcPr>
            <w:tcW w:w="1231" w:type="dxa"/>
          </w:tcPr>
          <w:p w14:paraId="17FC6BD7"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olanzapine</w:t>
            </w:r>
          </w:p>
        </w:tc>
        <w:tc>
          <w:tcPr>
            <w:tcW w:w="1328" w:type="dxa"/>
          </w:tcPr>
          <w:p w14:paraId="49C1E508"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lurasidone</w:t>
            </w:r>
          </w:p>
        </w:tc>
        <w:tc>
          <w:tcPr>
            <w:tcW w:w="1167" w:type="dxa"/>
          </w:tcPr>
          <w:p w14:paraId="2E7C3A26"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ziprasidone</w:t>
            </w:r>
          </w:p>
        </w:tc>
        <w:tc>
          <w:tcPr>
            <w:tcW w:w="1225" w:type="dxa"/>
          </w:tcPr>
          <w:p w14:paraId="6ECFA043"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olanzapine</w:t>
            </w:r>
          </w:p>
        </w:tc>
        <w:tc>
          <w:tcPr>
            <w:tcW w:w="1180" w:type="dxa"/>
          </w:tcPr>
          <w:p w14:paraId="2E443017"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olanzapine</w:t>
            </w:r>
          </w:p>
        </w:tc>
        <w:tc>
          <w:tcPr>
            <w:tcW w:w="1458" w:type="dxa"/>
          </w:tcPr>
          <w:p w14:paraId="08F59EAD"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Cost-minimised to aripiprazole</w:t>
            </w:r>
          </w:p>
        </w:tc>
      </w:tr>
      <w:tr w:rsidR="00CE4D3D" w:rsidRPr="009C01D5" w14:paraId="3A9B5BFF" w14:textId="77777777" w:rsidTr="005C1D4B">
        <w:trPr>
          <w:trHeight w:val="271"/>
        </w:trPr>
        <w:tc>
          <w:tcPr>
            <w:tcW w:w="1467" w:type="dxa"/>
          </w:tcPr>
          <w:p w14:paraId="75A54135" w14:textId="77777777" w:rsidR="00CE4D3D" w:rsidRPr="009C01D5" w:rsidRDefault="00CE4D3D" w:rsidP="0041213B">
            <w:pPr>
              <w:keepNext/>
              <w:jc w:val="left"/>
              <w:rPr>
                <w:rFonts w:ascii="Arial Narrow" w:eastAsiaTheme="majorEastAsia" w:hAnsi="Arial Narrow" w:cstheme="majorBidi"/>
                <w:bCs/>
                <w:sz w:val="20"/>
                <w:vertAlign w:val="superscript"/>
              </w:rPr>
            </w:pPr>
            <w:r w:rsidRPr="009C01D5">
              <w:rPr>
                <w:rFonts w:ascii="Arial Narrow" w:eastAsiaTheme="majorEastAsia" w:hAnsi="Arial Narrow" w:cstheme="majorBidi"/>
                <w:bCs/>
                <w:sz w:val="20"/>
              </w:rPr>
              <w:t>EED vs olanzapine</w:t>
            </w:r>
            <w:r w:rsidRPr="009C01D5">
              <w:rPr>
                <w:rFonts w:ascii="Arial Narrow" w:eastAsiaTheme="majorEastAsia" w:hAnsi="Arial Narrow" w:cstheme="majorBidi"/>
                <w:bCs/>
                <w:sz w:val="20"/>
                <w:vertAlign w:val="superscript"/>
              </w:rPr>
              <w:t>2</w:t>
            </w:r>
          </w:p>
        </w:tc>
        <w:tc>
          <w:tcPr>
            <w:tcW w:w="1231" w:type="dxa"/>
          </w:tcPr>
          <w:p w14:paraId="5FC388AF"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21.3 mg</w:t>
            </w:r>
          </w:p>
        </w:tc>
        <w:tc>
          <w:tcPr>
            <w:tcW w:w="1328" w:type="dxa"/>
          </w:tcPr>
          <w:p w14:paraId="6B5F9A48" w14:textId="77777777" w:rsidR="00CE4D3D" w:rsidRPr="009C01D5" w:rsidRDefault="00CE4D3D" w:rsidP="0041213B">
            <w:pPr>
              <w:keepNext/>
              <w:jc w:val="center"/>
              <w:rPr>
                <w:rFonts w:ascii="Arial Narrow" w:eastAsiaTheme="majorEastAsia" w:hAnsi="Arial Narrow" w:cstheme="majorBidi"/>
                <w:bCs/>
                <w:sz w:val="20"/>
                <w:vertAlign w:val="superscript"/>
              </w:rPr>
            </w:pPr>
            <w:r w:rsidRPr="009C01D5">
              <w:rPr>
                <w:rFonts w:ascii="Arial Narrow" w:eastAsiaTheme="majorEastAsia" w:hAnsi="Arial Narrow" w:cstheme="majorBidi"/>
                <w:bCs/>
                <w:sz w:val="20"/>
              </w:rPr>
              <w:t>Indirect 4.00 mg</w:t>
            </w:r>
            <w:r w:rsidRPr="009C01D5">
              <w:rPr>
                <w:rFonts w:ascii="Arial Narrow" w:eastAsiaTheme="majorEastAsia" w:hAnsi="Arial Narrow" w:cstheme="majorBidi"/>
                <w:bCs/>
                <w:sz w:val="20"/>
                <w:vertAlign w:val="superscript"/>
              </w:rPr>
              <w:t>3</w:t>
            </w:r>
          </w:p>
        </w:tc>
        <w:tc>
          <w:tcPr>
            <w:tcW w:w="1167" w:type="dxa"/>
          </w:tcPr>
          <w:p w14:paraId="4DAEADE6" w14:textId="77777777" w:rsidR="00CE4D3D" w:rsidRPr="009C01D5" w:rsidRDefault="00CE4D3D" w:rsidP="0041213B">
            <w:pPr>
              <w:keepNext/>
              <w:jc w:val="center"/>
              <w:rPr>
                <w:rFonts w:ascii="Arial Narrow" w:eastAsiaTheme="majorEastAsia" w:hAnsi="Arial Narrow" w:cstheme="majorBidi"/>
                <w:bCs/>
                <w:sz w:val="20"/>
                <w:vertAlign w:val="superscript"/>
              </w:rPr>
            </w:pPr>
            <w:r w:rsidRPr="009C01D5">
              <w:rPr>
                <w:rFonts w:ascii="Arial Narrow" w:eastAsiaTheme="majorEastAsia" w:hAnsi="Arial Narrow" w:cstheme="majorBidi"/>
                <w:bCs/>
                <w:sz w:val="20"/>
              </w:rPr>
              <w:t>Indirect 88.17 mg</w:t>
            </w:r>
            <w:r w:rsidRPr="009C01D5">
              <w:rPr>
                <w:rFonts w:ascii="Arial Narrow" w:eastAsiaTheme="majorEastAsia" w:hAnsi="Arial Narrow" w:cstheme="majorBidi"/>
                <w:bCs/>
                <w:sz w:val="20"/>
                <w:vertAlign w:val="superscript"/>
              </w:rPr>
              <w:t>4</w:t>
            </w:r>
          </w:p>
        </w:tc>
        <w:tc>
          <w:tcPr>
            <w:tcW w:w="1225" w:type="dxa"/>
          </w:tcPr>
          <w:p w14:paraId="41522034"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11.4 mg</w:t>
            </w:r>
          </w:p>
        </w:tc>
        <w:tc>
          <w:tcPr>
            <w:tcW w:w="1180" w:type="dxa"/>
          </w:tcPr>
          <w:p w14:paraId="06AA47F5"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125.75 mg</w:t>
            </w:r>
          </w:p>
        </w:tc>
        <w:tc>
          <w:tcPr>
            <w:tcW w:w="1458" w:type="dxa"/>
          </w:tcPr>
          <w:p w14:paraId="4D97260B" w14:textId="77777777" w:rsidR="00CE4D3D" w:rsidRPr="009C01D5" w:rsidRDefault="00CE4D3D" w:rsidP="0041213B">
            <w:pPr>
              <w:keepNext/>
              <w:jc w:val="center"/>
              <w:rPr>
                <w:rFonts w:ascii="Arial Narrow" w:eastAsiaTheme="majorEastAsia" w:hAnsi="Arial Narrow" w:cstheme="majorBidi"/>
                <w:bCs/>
                <w:sz w:val="20"/>
                <w:vertAlign w:val="superscript"/>
              </w:rPr>
            </w:pPr>
            <w:r w:rsidRPr="009C01D5">
              <w:rPr>
                <w:rFonts w:ascii="Arial Narrow" w:eastAsiaTheme="majorEastAsia" w:hAnsi="Arial Narrow" w:cstheme="majorBidi"/>
                <w:bCs/>
                <w:sz w:val="20"/>
              </w:rPr>
              <w:t>3.97 mg</w:t>
            </w:r>
            <w:r w:rsidRPr="009C01D5">
              <w:rPr>
                <w:rFonts w:ascii="Arial Narrow" w:eastAsiaTheme="majorEastAsia" w:hAnsi="Arial Narrow" w:cstheme="majorBidi"/>
                <w:bCs/>
                <w:sz w:val="20"/>
                <w:vertAlign w:val="superscript"/>
              </w:rPr>
              <w:t>5</w:t>
            </w:r>
          </w:p>
        </w:tc>
      </w:tr>
      <w:tr w:rsidR="00CE4D3D" w:rsidRPr="009C01D5" w14:paraId="28F99369" w14:textId="77777777" w:rsidTr="005C1D4B">
        <w:trPr>
          <w:trHeight w:val="213"/>
        </w:trPr>
        <w:tc>
          <w:tcPr>
            <w:tcW w:w="1467" w:type="dxa"/>
          </w:tcPr>
          <w:p w14:paraId="752523F8" w14:textId="77777777" w:rsidR="00CE4D3D" w:rsidRPr="009C01D5" w:rsidRDefault="00CE4D3D" w:rsidP="0041213B">
            <w:pPr>
              <w:keepNext/>
              <w:jc w:val="left"/>
              <w:rPr>
                <w:rFonts w:ascii="Arial Narrow" w:eastAsiaTheme="majorEastAsia" w:hAnsi="Arial Narrow" w:cstheme="majorBidi"/>
                <w:bCs/>
                <w:sz w:val="20"/>
              </w:rPr>
            </w:pPr>
            <w:r w:rsidRPr="009C01D5">
              <w:rPr>
                <w:rFonts w:ascii="Arial Narrow" w:eastAsiaTheme="majorEastAsia" w:hAnsi="Arial Narrow" w:cstheme="majorBidi"/>
                <w:bCs/>
                <w:sz w:val="20"/>
              </w:rPr>
              <w:t>AEMP June 2020</w:t>
            </w:r>
          </w:p>
          <w:p w14:paraId="2CE1D53C" w14:textId="77777777" w:rsidR="00CE4D3D" w:rsidRPr="009C01D5" w:rsidRDefault="00CE4D3D" w:rsidP="0041213B">
            <w:pPr>
              <w:keepNext/>
              <w:jc w:val="left"/>
              <w:rPr>
                <w:rFonts w:ascii="Arial Narrow" w:eastAsiaTheme="majorEastAsia" w:hAnsi="Arial Narrow" w:cstheme="majorBidi"/>
                <w:bCs/>
                <w:sz w:val="20"/>
              </w:rPr>
            </w:pPr>
            <w:r w:rsidRPr="009C01D5">
              <w:rPr>
                <w:rFonts w:ascii="Arial Narrow" w:eastAsiaTheme="majorEastAsia" w:hAnsi="Arial Narrow" w:cstheme="majorBidi"/>
                <w:bCs/>
                <w:sz w:val="20"/>
              </w:rPr>
              <w:t>Closest dose to EED</w:t>
            </w:r>
          </w:p>
        </w:tc>
        <w:tc>
          <w:tcPr>
            <w:tcW w:w="1231" w:type="dxa"/>
          </w:tcPr>
          <w:p w14:paraId="6EBE2740"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$111.49</w:t>
            </w:r>
          </w:p>
          <w:p w14:paraId="0FF4B4E5"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for 20 mg, 30</w:t>
            </w:r>
          </w:p>
        </w:tc>
        <w:tc>
          <w:tcPr>
            <w:tcW w:w="1328" w:type="dxa"/>
          </w:tcPr>
          <w:p w14:paraId="39CC655F"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$122.10</w:t>
            </w:r>
          </w:p>
          <w:p w14:paraId="7159BF7B"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for 4 mg, 30</w:t>
            </w:r>
          </w:p>
        </w:tc>
        <w:tc>
          <w:tcPr>
            <w:tcW w:w="1167" w:type="dxa"/>
          </w:tcPr>
          <w:p w14:paraId="1B13C6F3"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$123.94</w:t>
            </w:r>
          </w:p>
          <w:p w14:paraId="60C41617"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for 80 mg, 30</w:t>
            </w:r>
          </w:p>
        </w:tc>
        <w:tc>
          <w:tcPr>
            <w:tcW w:w="1225" w:type="dxa"/>
          </w:tcPr>
          <w:p w14:paraId="5D906AF0"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$160.31</w:t>
            </w:r>
          </w:p>
          <w:p w14:paraId="08635953"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for 9 mg, 28</w:t>
            </w:r>
          </w:p>
        </w:tc>
        <w:tc>
          <w:tcPr>
            <w:tcW w:w="1180" w:type="dxa"/>
          </w:tcPr>
          <w:p w14:paraId="66667A59"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$124.20</w:t>
            </w:r>
          </w:p>
          <w:p w14:paraId="0470A731"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theme="majorBidi"/>
                <w:bCs/>
                <w:sz w:val="20"/>
              </w:rPr>
              <w:t>per 60 mg, 60</w:t>
            </w:r>
          </w:p>
        </w:tc>
        <w:tc>
          <w:tcPr>
            <w:tcW w:w="1458" w:type="dxa"/>
          </w:tcPr>
          <w:p w14:paraId="70CAA3C4" w14:textId="77777777" w:rsidR="00CE4D3D" w:rsidRPr="0024069D" w:rsidRDefault="00CE4D3D" w:rsidP="0041213B">
            <w:pPr>
              <w:keepNext/>
              <w:jc w:val="center"/>
              <w:rPr>
                <w:rFonts w:ascii="Arial Narrow" w:eastAsiaTheme="majorEastAsia" w:hAnsi="Arial Narrow" w:cstheme="majorBidi"/>
                <w:bCs/>
                <w:sz w:val="20"/>
              </w:rPr>
            </w:pPr>
            <w:r w:rsidRPr="0024069D">
              <w:rPr>
                <w:rFonts w:ascii="Arial Narrow" w:eastAsiaTheme="majorEastAsia" w:hAnsi="Arial Narrow" w:cstheme="majorBidi"/>
                <w:bCs/>
                <w:sz w:val="20"/>
              </w:rPr>
              <w:t>$</w:t>
            </w:r>
            <w:r w:rsidR="00D06CC7">
              <w:rPr>
                <w:rFonts w:ascii="Arial Narrow" w:eastAsiaTheme="majorEastAsia" w:hAnsi="Arial Narrow" w:cstheme="majorBidi"/>
                <w:bCs/>
                <w:noProof/>
                <w:color w:val="000000"/>
                <w:sz w:val="20"/>
                <w:highlight w:val="black"/>
              </w:rPr>
              <w:t>'''''''''''''''''</w:t>
            </w:r>
            <w:r w:rsidRPr="0024069D">
              <w:rPr>
                <w:rFonts w:ascii="Arial Narrow" w:eastAsiaTheme="majorEastAsia" w:hAnsi="Arial Narrow" w:cstheme="majorBidi"/>
                <w:bCs/>
                <w:sz w:val="20"/>
              </w:rPr>
              <w:t xml:space="preserve"> per 4.5 mg, 30</w:t>
            </w:r>
          </w:p>
        </w:tc>
      </w:tr>
      <w:tr w:rsidR="00CE4D3D" w:rsidRPr="009C01D5" w14:paraId="28A3A095" w14:textId="77777777" w:rsidTr="005C1D4B">
        <w:trPr>
          <w:trHeight w:val="442"/>
        </w:trPr>
        <w:tc>
          <w:tcPr>
            <w:tcW w:w="1467" w:type="dxa"/>
          </w:tcPr>
          <w:p w14:paraId="0998EAB4" w14:textId="77777777" w:rsidR="00CE4D3D" w:rsidRPr="009C01D5" w:rsidRDefault="00CE4D3D" w:rsidP="0041213B">
            <w:pPr>
              <w:keepNext/>
              <w:jc w:val="left"/>
              <w:rPr>
                <w:rFonts w:ascii="Arial Narrow" w:eastAsiaTheme="majorEastAsia" w:hAnsi="Arial Narrow" w:cstheme="majorBidi"/>
                <w:bCs/>
                <w:sz w:val="20"/>
              </w:rPr>
            </w:pPr>
            <w:r w:rsidRPr="009C01D5">
              <w:rPr>
                <w:rFonts w:ascii="Arial Narrow" w:eastAsiaTheme="majorEastAsia" w:hAnsi="Arial Narrow" w:cstheme="majorBidi"/>
                <w:bCs/>
                <w:sz w:val="20"/>
              </w:rPr>
              <w:t>AEMP for EED for 30 days</w:t>
            </w:r>
            <w:r w:rsidRPr="009C01D5">
              <w:rPr>
                <w:rFonts w:ascii="Arial Narrow" w:eastAsiaTheme="majorEastAsia" w:hAnsi="Arial Narrow" w:cstheme="majorBidi"/>
                <w:bCs/>
                <w:sz w:val="20"/>
                <w:vertAlign w:val="superscript"/>
              </w:rPr>
              <w:t>6</w:t>
            </w:r>
          </w:p>
        </w:tc>
        <w:tc>
          <w:tcPr>
            <w:tcW w:w="1231" w:type="dxa"/>
          </w:tcPr>
          <w:p w14:paraId="4A70C0C6"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Calibri"/>
                <w:bCs/>
                <w:color w:val="000000"/>
                <w:sz w:val="20"/>
              </w:rPr>
              <w:t>$118.74</w:t>
            </w:r>
          </w:p>
        </w:tc>
        <w:tc>
          <w:tcPr>
            <w:tcW w:w="1328" w:type="dxa"/>
          </w:tcPr>
          <w:p w14:paraId="62A04D69"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Calibri"/>
                <w:bCs/>
                <w:color w:val="000000"/>
                <w:sz w:val="20"/>
              </w:rPr>
              <w:t>$122.10</w:t>
            </w:r>
          </w:p>
        </w:tc>
        <w:tc>
          <w:tcPr>
            <w:tcW w:w="1167" w:type="dxa"/>
          </w:tcPr>
          <w:p w14:paraId="3AC69B0C" w14:textId="77777777" w:rsidR="00CE4D3D" w:rsidRPr="009C01D5" w:rsidRDefault="00CE4D3D" w:rsidP="0041213B">
            <w:pPr>
              <w:keepNext/>
              <w:jc w:val="center"/>
              <w:rPr>
                <w:rFonts w:ascii="Arial Narrow" w:eastAsiaTheme="majorEastAsia" w:hAnsi="Arial Narrow" w:cstheme="majorBidi"/>
                <w:bCs/>
                <w:i/>
                <w:sz w:val="20"/>
                <w:vertAlign w:val="superscript"/>
              </w:rPr>
            </w:pPr>
            <w:r w:rsidRPr="009C01D5">
              <w:rPr>
                <w:rFonts w:ascii="Arial Narrow" w:eastAsiaTheme="majorEastAsia" w:hAnsi="Arial Narrow" w:cs="Calibri"/>
                <w:bCs/>
                <w:color w:val="000000"/>
                <w:sz w:val="20"/>
              </w:rPr>
              <w:t>$136.33 ($136.60)</w:t>
            </w:r>
            <w:r w:rsidRPr="009C01D5">
              <w:rPr>
                <w:rFonts w:ascii="Arial Narrow" w:eastAsiaTheme="majorEastAsia" w:hAnsi="Arial Narrow" w:cs="Calibri"/>
                <w:bCs/>
                <w:color w:val="000000"/>
                <w:sz w:val="20"/>
                <w:vertAlign w:val="superscript"/>
              </w:rPr>
              <w:t>7</w:t>
            </w:r>
          </w:p>
        </w:tc>
        <w:tc>
          <w:tcPr>
            <w:tcW w:w="1225" w:type="dxa"/>
          </w:tcPr>
          <w:p w14:paraId="7036F665"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Calibri"/>
                <w:bCs/>
                <w:color w:val="000000"/>
                <w:sz w:val="20"/>
              </w:rPr>
              <w:t>$217.56</w:t>
            </w:r>
          </w:p>
        </w:tc>
        <w:tc>
          <w:tcPr>
            <w:tcW w:w="1180" w:type="dxa"/>
          </w:tcPr>
          <w:p w14:paraId="07977522" w14:textId="77777777" w:rsidR="00CE4D3D" w:rsidRPr="009C01D5" w:rsidRDefault="00CE4D3D" w:rsidP="0041213B">
            <w:pPr>
              <w:keepNext/>
              <w:jc w:val="center"/>
              <w:rPr>
                <w:rFonts w:ascii="Arial Narrow" w:eastAsiaTheme="majorEastAsia" w:hAnsi="Arial Narrow" w:cstheme="majorBidi"/>
                <w:bCs/>
                <w:sz w:val="20"/>
              </w:rPr>
            </w:pPr>
            <w:r w:rsidRPr="009C01D5">
              <w:rPr>
                <w:rFonts w:ascii="Arial Narrow" w:eastAsiaTheme="majorEastAsia" w:hAnsi="Arial Narrow" w:cs="Calibri"/>
                <w:bCs/>
                <w:color w:val="000000"/>
                <w:sz w:val="20"/>
              </w:rPr>
              <w:t>$130.15</w:t>
            </w:r>
          </w:p>
        </w:tc>
        <w:tc>
          <w:tcPr>
            <w:tcW w:w="1458" w:type="dxa"/>
          </w:tcPr>
          <w:p w14:paraId="58755751" w14:textId="77777777" w:rsidR="00CE4D3D" w:rsidRPr="0024069D" w:rsidRDefault="00CE4D3D" w:rsidP="0041213B">
            <w:pPr>
              <w:keepNext/>
              <w:jc w:val="center"/>
              <w:rPr>
                <w:rFonts w:ascii="Arial Narrow" w:eastAsiaTheme="majorEastAsia" w:hAnsi="Arial Narrow" w:cs="Calibri"/>
                <w:bCs/>
                <w:color w:val="000000"/>
                <w:sz w:val="20"/>
              </w:rPr>
            </w:pPr>
            <w:r w:rsidRPr="0024069D">
              <w:rPr>
                <w:rFonts w:ascii="Arial Narrow" w:eastAsiaTheme="majorEastAsia" w:hAnsi="Arial Narrow" w:cs="Calibri"/>
                <w:bCs/>
                <w:color w:val="000000"/>
                <w:sz w:val="20"/>
              </w:rPr>
              <w:t>$</w:t>
            </w:r>
            <w:r w:rsidR="00D06CC7">
              <w:rPr>
                <w:rFonts w:ascii="Arial Narrow" w:eastAsiaTheme="majorEastAsia" w:hAnsi="Arial Narrow" w:cs="Calibri"/>
                <w:bCs/>
                <w:noProof/>
                <w:color w:val="000000"/>
                <w:sz w:val="20"/>
                <w:highlight w:val="black"/>
              </w:rPr>
              <w:t>'''''''''''''''''</w:t>
            </w:r>
          </w:p>
        </w:tc>
      </w:tr>
    </w:tbl>
    <w:p w14:paraId="28544C06" w14:textId="77777777" w:rsidR="00CE4D3D" w:rsidRPr="009C01D5" w:rsidRDefault="00CE4D3D" w:rsidP="00CE4D3D">
      <w:pPr>
        <w:spacing w:after="120"/>
        <w:contextualSpacing/>
        <w:rPr>
          <w:rFonts w:ascii="Arial Narrow" w:hAnsi="Arial Narrow"/>
          <w:snapToGrid w:val="0"/>
          <w:sz w:val="18"/>
          <w:szCs w:val="22"/>
        </w:rPr>
      </w:pPr>
      <w:r w:rsidRPr="009C01D5">
        <w:rPr>
          <w:rFonts w:ascii="Arial Narrow" w:hAnsi="Arial Narrow"/>
          <w:snapToGrid w:val="0"/>
          <w:sz w:val="18"/>
          <w:szCs w:val="22"/>
        </w:rPr>
        <w:t>Abbreviations: EED = equi-effective dose; AEMP = approved ex-manufacturer price; mg = milligram</w:t>
      </w:r>
    </w:p>
    <w:p w14:paraId="44F53821" w14:textId="77777777" w:rsidR="00CE4D3D" w:rsidRPr="009C01D5" w:rsidRDefault="00CE4D3D" w:rsidP="00CE4D3D">
      <w:pPr>
        <w:spacing w:after="120"/>
        <w:contextualSpacing/>
        <w:rPr>
          <w:rFonts w:ascii="Arial Narrow" w:hAnsi="Arial Narrow"/>
          <w:snapToGrid w:val="0"/>
          <w:sz w:val="18"/>
          <w:szCs w:val="22"/>
        </w:rPr>
      </w:pPr>
      <w:r w:rsidRPr="009C01D5">
        <w:rPr>
          <w:rFonts w:ascii="Arial Narrow" w:hAnsi="Arial Narrow"/>
          <w:snapToGrid w:val="0"/>
          <w:sz w:val="18"/>
          <w:szCs w:val="22"/>
        </w:rPr>
        <w:t>Source: Table 3.4.2, p178 of the submission.</w:t>
      </w:r>
    </w:p>
    <w:p w14:paraId="0E771B70" w14:textId="77777777" w:rsidR="00CE4D3D" w:rsidRPr="009C01D5" w:rsidRDefault="00CE4D3D" w:rsidP="00CE4D3D">
      <w:pPr>
        <w:spacing w:after="120"/>
        <w:contextualSpacing/>
        <w:rPr>
          <w:rFonts w:ascii="Arial Narrow" w:hAnsi="Arial Narrow"/>
          <w:bCs/>
          <w:snapToGrid w:val="0"/>
          <w:sz w:val="18"/>
          <w:szCs w:val="22"/>
        </w:rPr>
      </w:pPr>
      <w:r w:rsidRPr="009C01D5">
        <w:rPr>
          <w:rFonts w:ascii="Arial Narrow" w:hAnsi="Arial Narrow"/>
          <w:snapToGrid w:val="0"/>
          <w:sz w:val="18"/>
          <w:szCs w:val="22"/>
        </w:rPr>
        <w:t xml:space="preserve">Note: </w:t>
      </w:r>
      <w:r w:rsidRPr="009C01D5">
        <w:rPr>
          <w:rFonts w:ascii="Arial Narrow" w:hAnsi="Arial Narrow"/>
          <w:bCs/>
          <w:snapToGrid w:val="0"/>
          <w:sz w:val="18"/>
          <w:szCs w:val="22"/>
        </w:rPr>
        <w:t>1 Estimates for cariprazine was calculated during the evaluation</w:t>
      </w:r>
    </w:p>
    <w:p w14:paraId="0A645C2D" w14:textId="77777777" w:rsidR="00CE4D3D" w:rsidRPr="009C01D5" w:rsidRDefault="00CE4D3D" w:rsidP="00CE4D3D">
      <w:pPr>
        <w:spacing w:after="120"/>
        <w:contextualSpacing/>
        <w:rPr>
          <w:rFonts w:ascii="Arial Narrow" w:hAnsi="Arial Narrow"/>
          <w:bCs/>
          <w:snapToGrid w:val="0"/>
          <w:sz w:val="18"/>
          <w:szCs w:val="22"/>
        </w:rPr>
      </w:pPr>
      <w:r w:rsidRPr="009C01D5">
        <w:rPr>
          <w:rFonts w:ascii="Arial Narrow" w:hAnsi="Arial Narrow"/>
          <w:bCs/>
          <w:snapToGrid w:val="0"/>
          <w:sz w:val="18"/>
          <w:szCs w:val="22"/>
        </w:rPr>
        <w:t xml:space="preserve">          2 Per Therapeutic Relativity Sheet, equivalent to olanzapine 15.032 mg.</w:t>
      </w:r>
    </w:p>
    <w:p w14:paraId="4730DE93" w14:textId="77777777" w:rsidR="00CE4D3D" w:rsidRPr="009C01D5" w:rsidRDefault="00CE4D3D" w:rsidP="00CE4D3D">
      <w:pPr>
        <w:spacing w:after="120"/>
        <w:ind w:left="360"/>
        <w:contextualSpacing/>
        <w:rPr>
          <w:rFonts w:ascii="Arial Narrow" w:hAnsi="Arial Narrow"/>
          <w:snapToGrid w:val="0"/>
          <w:sz w:val="18"/>
          <w:szCs w:val="22"/>
        </w:rPr>
      </w:pPr>
      <w:r w:rsidRPr="009C01D5">
        <w:rPr>
          <w:rFonts w:ascii="Arial Narrow" w:hAnsi="Arial Narrow"/>
          <w:bCs/>
          <w:snapToGrid w:val="0"/>
          <w:sz w:val="18"/>
          <w:szCs w:val="22"/>
        </w:rPr>
        <w:t xml:space="preserve"> 3 </w:t>
      </w:r>
      <w:r w:rsidRPr="009C01D5">
        <w:rPr>
          <w:rFonts w:ascii="Arial Narrow" w:hAnsi="Arial Narrow"/>
          <w:snapToGrid w:val="0"/>
          <w:sz w:val="18"/>
          <w:szCs w:val="22"/>
        </w:rPr>
        <w:t>Based on equi-effective doses of 3.58 mg brexpiprazole and 78.9 mg lurasidone</w:t>
      </w:r>
      <w:r w:rsidR="009C01D5">
        <w:rPr>
          <w:rFonts w:ascii="Arial Narrow" w:hAnsi="Arial Narrow"/>
          <w:snapToGrid w:val="0"/>
          <w:sz w:val="18"/>
          <w:szCs w:val="22"/>
        </w:rPr>
        <w:t xml:space="preserve">. </w:t>
      </w:r>
    </w:p>
    <w:p w14:paraId="38D77808" w14:textId="77777777" w:rsidR="00CE4D3D" w:rsidRPr="009C01D5" w:rsidRDefault="00CE4D3D" w:rsidP="00CE4D3D">
      <w:pPr>
        <w:spacing w:after="120"/>
        <w:ind w:left="360"/>
        <w:contextualSpacing/>
        <w:rPr>
          <w:rFonts w:ascii="Arial Narrow" w:hAnsi="Arial Narrow"/>
          <w:snapToGrid w:val="0"/>
          <w:sz w:val="18"/>
          <w:szCs w:val="22"/>
        </w:rPr>
      </w:pPr>
      <w:r w:rsidRPr="009C01D5">
        <w:rPr>
          <w:rFonts w:ascii="Arial Narrow" w:hAnsi="Arial Narrow"/>
          <w:snapToGrid w:val="0"/>
          <w:sz w:val="18"/>
          <w:szCs w:val="22"/>
        </w:rPr>
        <w:t xml:space="preserve"> 4 Based on equi-effective doses of 80 mg lurasidone and 114.1 mg ziprasidone. Table 1 in the Brexpiprazole PSD, March 2017 dose rounds this number down to 88 mg. </w:t>
      </w:r>
    </w:p>
    <w:p w14:paraId="3D24A173" w14:textId="77777777" w:rsidR="00CE4D3D" w:rsidRPr="009C01D5" w:rsidRDefault="00CE4D3D" w:rsidP="00CE4D3D">
      <w:pPr>
        <w:spacing w:after="120"/>
        <w:ind w:left="360"/>
        <w:contextualSpacing/>
        <w:rPr>
          <w:rFonts w:ascii="Arial Narrow" w:hAnsi="Arial Narrow"/>
          <w:snapToGrid w:val="0"/>
          <w:sz w:val="18"/>
          <w:szCs w:val="22"/>
        </w:rPr>
      </w:pPr>
      <w:r w:rsidRPr="009C01D5">
        <w:rPr>
          <w:rFonts w:ascii="Arial Narrow" w:hAnsi="Arial Narrow"/>
          <w:snapToGrid w:val="0"/>
          <w:sz w:val="18"/>
          <w:szCs w:val="22"/>
        </w:rPr>
        <w:t>5 Based on equi-effective doses of 19.06 mg aripiprazole and 3.55 mg cariprazine</w:t>
      </w:r>
    </w:p>
    <w:p w14:paraId="41528AC0" w14:textId="77777777" w:rsidR="00CE4D3D" w:rsidRPr="009C01D5" w:rsidRDefault="00CE4D3D" w:rsidP="00CE4D3D">
      <w:pPr>
        <w:spacing w:after="120"/>
        <w:ind w:left="360"/>
        <w:contextualSpacing/>
        <w:rPr>
          <w:rFonts w:ascii="Arial Narrow" w:hAnsi="Arial Narrow"/>
          <w:snapToGrid w:val="0"/>
          <w:sz w:val="18"/>
          <w:szCs w:val="22"/>
        </w:rPr>
      </w:pPr>
      <w:r w:rsidRPr="009C01D5">
        <w:rPr>
          <w:rFonts w:ascii="Arial Narrow" w:hAnsi="Arial Narrow"/>
          <w:snapToGrid w:val="0"/>
          <w:sz w:val="18"/>
          <w:szCs w:val="22"/>
        </w:rPr>
        <w:t>6 Calculated as proportional to the AEMP of the dose closest to the EED, with the exception of brexpiprazole, which has flat pricing and was therefore assumed to have the same price as all other strengths.</w:t>
      </w:r>
    </w:p>
    <w:p w14:paraId="16A1B6A7" w14:textId="77777777" w:rsidR="00CE4D3D" w:rsidRPr="009C01D5" w:rsidRDefault="00CE4D3D" w:rsidP="00CE4D3D">
      <w:pPr>
        <w:spacing w:after="120"/>
        <w:ind w:left="360"/>
        <w:contextualSpacing/>
        <w:rPr>
          <w:rFonts w:ascii="Arial Narrow" w:hAnsi="Arial Narrow"/>
          <w:snapToGrid w:val="0"/>
          <w:sz w:val="18"/>
          <w:szCs w:val="22"/>
        </w:rPr>
      </w:pPr>
      <w:r w:rsidRPr="009C01D5">
        <w:rPr>
          <w:rFonts w:ascii="Arial Narrow" w:hAnsi="Arial Narrow"/>
          <w:snapToGrid w:val="0"/>
          <w:sz w:val="18"/>
          <w:szCs w:val="22"/>
        </w:rPr>
        <w:t>7 Calculated during the evaluation using 88.17 mg as presented by the submission.</w:t>
      </w:r>
    </w:p>
    <w:p w14:paraId="54E8E268" w14:textId="77777777" w:rsidR="00CE4D3D" w:rsidRPr="009C01D5" w:rsidRDefault="00CE4D3D" w:rsidP="00CE4D3D">
      <w:pPr>
        <w:pStyle w:val="4-SubsectionHeading"/>
      </w:pPr>
      <w:bookmarkStart w:id="36" w:name="_Toc22897646"/>
      <w:bookmarkStart w:id="37" w:name="_Toc51163089"/>
      <w:r w:rsidRPr="009C01D5">
        <w:t>Drug cost/patient/</w:t>
      </w:r>
      <w:bookmarkEnd w:id="36"/>
      <w:bookmarkEnd w:id="37"/>
      <w:r w:rsidR="00695CBA" w:rsidRPr="009C01D5">
        <w:t>month</w:t>
      </w:r>
    </w:p>
    <w:p w14:paraId="0542A366" w14:textId="77777777" w:rsidR="00CE4D3D" w:rsidRPr="009C01D5" w:rsidRDefault="00CE4D3D" w:rsidP="00CA764F">
      <w:pPr>
        <w:pStyle w:val="3-BodyText"/>
        <w:rPr>
          <w:snapToGrid/>
        </w:rPr>
      </w:pPr>
      <w:r w:rsidRPr="009C01D5">
        <w:t xml:space="preserve">The cost per patient per </w:t>
      </w:r>
      <w:r w:rsidR="00695CBA" w:rsidRPr="009C01D5">
        <w:t xml:space="preserve">month based on the equi-effective doses proposed in the submission </w:t>
      </w:r>
      <w:r w:rsidRPr="009C01D5">
        <w:t>is presented in Table 1</w:t>
      </w:r>
      <w:r w:rsidR="00DE4E29" w:rsidRPr="009C01D5">
        <w:t>6</w:t>
      </w:r>
      <w:r w:rsidRPr="009C01D5">
        <w:t xml:space="preserve">. There are differences in the mean dose for </w:t>
      </w:r>
      <w:r w:rsidR="00695CBA" w:rsidRPr="009C01D5">
        <w:t xml:space="preserve">the </w:t>
      </w:r>
      <w:r w:rsidRPr="009C01D5">
        <w:t>CMA and financial estimates for each drug</w:t>
      </w:r>
      <w:r w:rsidR="006D1F77" w:rsidRPr="009C01D5">
        <w:t>, which can be attributed to the differences in the source of data upon which the mean doses were derived</w:t>
      </w:r>
      <w:r w:rsidR="00C15D04" w:rsidRPr="009C01D5">
        <w:t xml:space="preserve"> (see notes to Table 1</w:t>
      </w:r>
      <w:r w:rsidR="008100D9" w:rsidRPr="009C01D5">
        <w:t>5</w:t>
      </w:r>
      <w:r w:rsidR="00C15D04" w:rsidRPr="009C01D5">
        <w:t>)</w:t>
      </w:r>
      <w:r w:rsidRPr="009C01D5">
        <w:t xml:space="preserve">. </w:t>
      </w:r>
    </w:p>
    <w:p w14:paraId="68833DF1" w14:textId="77777777" w:rsidR="00CE4D3D" w:rsidRPr="009C01D5" w:rsidRDefault="00CE4D3D" w:rsidP="00CE4D3D">
      <w:pPr>
        <w:pStyle w:val="TableFigureHeading"/>
        <w:rPr>
          <w:rStyle w:val="CommentReference"/>
          <w:b/>
          <w:szCs w:val="24"/>
        </w:rPr>
      </w:pPr>
      <w:r w:rsidRPr="009C01D5">
        <w:rPr>
          <w:rStyle w:val="CommentReference"/>
          <w:b/>
          <w:szCs w:val="24"/>
        </w:rPr>
        <w:t>Table 1</w:t>
      </w:r>
      <w:r w:rsidR="008100D9" w:rsidRPr="009C01D5">
        <w:rPr>
          <w:rStyle w:val="CommentReference"/>
          <w:b/>
          <w:szCs w:val="24"/>
        </w:rPr>
        <w:t>5</w:t>
      </w:r>
      <w:r w:rsidRPr="009C01D5">
        <w:rPr>
          <w:rStyle w:val="CommentReference"/>
          <w:b/>
          <w:szCs w:val="24"/>
        </w:rPr>
        <w:t xml:space="preserve">: Drug cost per patient for the proposed drug (cariprazine) and comparator drug (aripiprazole)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1"/>
        <w:gridCol w:w="2310"/>
        <w:gridCol w:w="1636"/>
        <w:gridCol w:w="1542"/>
        <w:gridCol w:w="1527"/>
        <w:gridCol w:w="11"/>
      </w:tblGrid>
      <w:tr w:rsidR="00CE4D3D" w:rsidRPr="009C01D5" w14:paraId="4B820905" w14:textId="77777777" w:rsidTr="00910EAE">
        <w:trPr>
          <w:gridAfter w:val="1"/>
          <w:wAfter w:w="7" w:type="pct"/>
          <w:cantSplit/>
          <w:tblHeader/>
          <w:jc w:val="center"/>
        </w:trPr>
        <w:tc>
          <w:tcPr>
            <w:tcW w:w="1104" w:type="pct"/>
            <w:shd w:val="clear" w:color="auto" w:fill="auto"/>
            <w:vAlign w:val="center"/>
          </w:tcPr>
          <w:p w14:paraId="0DEC481B" w14:textId="77777777" w:rsidR="00CE4D3D" w:rsidRPr="009C01D5" w:rsidRDefault="00CE4D3D" w:rsidP="0041213B">
            <w:pPr>
              <w:pStyle w:val="In-tableHeading"/>
              <w:jc w:val="center"/>
              <w:rPr>
                <w:lang w:val="en-AU"/>
              </w:rPr>
            </w:pPr>
          </w:p>
        </w:tc>
        <w:tc>
          <w:tcPr>
            <w:tcW w:w="2188" w:type="pct"/>
            <w:gridSpan w:val="2"/>
            <w:shd w:val="clear" w:color="auto" w:fill="auto"/>
            <w:vAlign w:val="center"/>
          </w:tcPr>
          <w:p w14:paraId="3C96E975" w14:textId="77777777" w:rsidR="00CE4D3D" w:rsidRPr="009C01D5" w:rsidRDefault="00CE4D3D" w:rsidP="0041213B">
            <w:pPr>
              <w:pStyle w:val="In-tableHeading"/>
              <w:jc w:val="center"/>
              <w:rPr>
                <w:lang w:val="en-AU"/>
              </w:rPr>
            </w:pPr>
            <w:r w:rsidRPr="009C01D5">
              <w:rPr>
                <w:lang w:val="en-AU"/>
              </w:rPr>
              <w:t xml:space="preserve">Cariprazine </w:t>
            </w:r>
          </w:p>
        </w:tc>
        <w:tc>
          <w:tcPr>
            <w:tcW w:w="1702" w:type="pct"/>
            <w:gridSpan w:val="2"/>
            <w:shd w:val="clear" w:color="auto" w:fill="FFFFFF" w:themeFill="background1"/>
            <w:vAlign w:val="center"/>
          </w:tcPr>
          <w:p w14:paraId="04870972" w14:textId="77777777" w:rsidR="00CE4D3D" w:rsidRPr="009C01D5" w:rsidRDefault="00CE4D3D" w:rsidP="0041213B">
            <w:pPr>
              <w:pStyle w:val="In-tableHeading"/>
              <w:jc w:val="center"/>
              <w:rPr>
                <w:lang w:val="en-AU"/>
              </w:rPr>
            </w:pPr>
            <w:r w:rsidRPr="009C01D5">
              <w:rPr>
                <w:lang w:val="en-AU"/>
              </w:rPr>
              <w:t xml:space="preserve">Aripiprazole </w:t>
            </w:r>
          </w:p>
        </w:tc>
      </w:tr>
      <w:tr w:rsidR="00910EAE" w:rsidRPr="009C01D5" w14:paraId="4C454383" w14:textId="77777777" w:rsidTr="00910EAE">
        <w:trPr>
          <w:cantSplit/>
          <w:tblHeader/>
          <w:jc w:val="center"/>
        </w:trPr>
        <w:tc>
          <w:tcPr>
            <w:tcW w:w="1104" w:type="pct"/>
            <w:shd w:val="clear" w:color="auto" w:fill="auto"/>
            <w:vAlign w:val="center"/>
          </w:tcPr>
          <w:p w14:paraId="56A0DDE8" w14:textId="77777777" w:rsidR="00910EAE" w:rsidRPr="009C01D5" w:rsidRDefault="00910EAE" w:rsidP="0041213B">
            <w:pPr>
              <w:pStyle w:val="In-tableHeading"/>
              <w:jc w:val="center"/>
              <w:rPr>
                <w:lang w:val="en-AU"/>
              </w:rPr>
            </w:pPr>
          </w:p>
        </w:tc>
        <w:tc>
          <w:tcPr>
            <w:tcW w:w="1281" w:type="pct"/>
            <w:shd w:val="clear" w:color="auto" w:fill="auto"/>
            <w:vAlign w:val="center"/>
          </w:tcPr>
          <w:p w14:paraId="746DE5FE" w14:textId="77777777" w:rsidR="00910EAE" w:rsidRPr="009C01D5" w:rsidRDefault="00910EAE" w:rsidP="0041213B">
            <w:pPr>
              <w:pStyle w:val="In-tableHeading"/>
              <w:jc w:val="center"/>
              <w:rPr>
                <w:lang w:val="en-AU"/>
              </w:rPr>
            </w:pPr>
            <w:r w:rsidRPr="009C01D5">
              <w:rPr>
                <w:lang w:val="en-AU"/>
              </w:rPr>
              <w:t>CMA</w:t>
            </w:r>
          </w:p>
        </w:tc>
        <w:tc>
          <w:tcPr>
            <w:tcW w:w="907" w:type="pct"/>
            <w:shd w:val="clear" w:color="auto" w:fill="auto"/>
            <w:vAlign w:val="center"/>
          </w:tcPr>
          <w:p w14:paraId="371D43E0" w14:textId="77777777" w:rsidR="00910EAE" w:rsidRPr="009C01D5" w:rsidRDefault="00910EAE" w:rsidP="0041213B">
            <w:pPr>
              <w:pStyle w:val="In-tableHeading"/>
              <w:jc w:val="center"/>
              <w:rPr>
                <w:lang w:val="en-AU"/>
              </w:rPr>
            </w:pPr>
            <w:r w:rsidRPr="009C01D5">
              <w:rPr>
                <w:lang w:val="en-AU"/>
              </w:rPr>
              <w:t>Financial estimates</w:t>
            </w:r>
          </w:p>
        </w:tc>
        <w:tc>
          <w:tcPr>
            <w:tcW w:w="855" w:type="pct"/>
            <w:shd w:val="clear" w:color="auto" w:fill="FFFFFF" w:themeFill="background1"/>
            <w:vAlign w:val="center"/>
          </w:tcPr>
          <w:p w14:paraId="78C1B2ED" w14:textId="77777777" w:rsidR="00910EAE" w:rsidRPr="009C01D5" w:rsidRDefault="00910EAE" w:rsidP="0041213B">
            <w:pPr>
              <w:pStyle w:val="In-tableHeading"/>
              <w:jc w:val="center"/>
              <w:rPr>
                <w:lang w:val="en-AU"/>
              </w:rPr>
            </w:pPr>
            <w:r w:rsidRPr="009C01D5">
              <w:rPr>
                <w:lang w:val="en-AU"/>
              </w:rPr>
              <w:t>CMA</w:t>
            </w:r>
          </w:p>
        </w:tc>
        <w:tc>
          <w:tcPr>
            <w:tcW w:w="853" w:type="pct"/>
            <w:gridSpan w:val="2"/>
            <w:shd w:val="clear" w:color="auto" w:fill="FFFFFF" w:themeFill="background1"/>
          </w:tcPr>
          <w:p w14:paraId="39FA2409" w14:textId="77777777" w:rsidR="00910EAE" w:rsidRPr="009C01D5" w:rsidRDefault="00910EAE" w:rsidP="0041213B">
            <w:pPr>
              <w:pStyle w:val="In-tableHeading"/>
              <w:jc w:val="center"/>
              <w:rPr>
                <w:vertAlign w:val="superscript"/>
                <w:lang w:val="en-AU"/>
              </w:rPr>
            </w:pPr>
            <w:r w:rsidRPr="009C01D5">
              <w:rPr>
                <w:lang w:val="en-AU"/>
              </w:rPr>
              <w:t>Financial estimates</w:t>
            </w:r>
          </w:p>
        </w:tc>
      </w:tr>
      <w:tr w:rsidR="00910EAE" w:rsidRPr="009C01D5" w14:paraId="1605B292" w14:textId="77777777" w:rsidTr="00910EAE">
        <w:trPr>
          <w:cantSplit/>
          <w:jc w:val="center"/>
        </w:trPr>
        <w:tc>
          <w:tcPr>
            <w:tcW w:w="1104" w:type="pct"/>
            <w:shd w:val="clear" w:color="auto" w:fill="auto"/>
            <w:vAlign w:val="center"/>
          </w:tcPr>
          <w:p w14:paraId="183BD50E" w14:textId="77777777" w:rsidR="00910EAE" w:rsidRPr="009C01D5" w:rsidRDefault="00910EAE" w:rsidP="0041213B">
            <w:pPr>
              <w:pStyle w:val="TableText0"/>
            </w:pPr>
            <w:r w:rsidRPr="009C01D5">
              <w:t>Mean dose</w:t>
            </w:r>
          </w:p>
        </w:tc>
        <w:tc>
          <w:tcPr>
            <w:tcW w:w="1281" w:type="pct"/>
            <w:shd w:val="clear" w:color="auto" w:fill="auto"/>
            <w:vAlign w:val="center"/>
          </w:tcPr>
          <w:p w14:paraId="4A69331B" w14:textId="77777777" w:rsidR="00910EAE" w:rsidRPr="009C01D5" w:rsidRDefault="00910EAE" w:rsidP="0041213B">
            <w:pPr>
              <w:pStyle w:val="TableText0"/>
              <w:jc w:val="center"/>
              <w:rPr>
                <w:vertAlign w:val="superscript"/>
              </w:rPr>
            </w:pPr>
            <w:r w:rsidRPr="009C01D5">
              <w:t>3.55 mg/day</w:t>
            </w:r>
            <w:r w:rsidRPr="009C01D5">
              <w:rPr>
                <w:vertAlign w:val="superscript"/>
              </w:rPr>
              <w:t>a</w:t>
            </w:r>
          </w:p>
        </w:tc>
        <w:tc>
          <w:tcPr>
            <w:tcW w:w="907" w:type="pct"/>
            <w:shd w:val="clear" w:color="auto" w:fill="auto"/>
            <w:vAlign w:val="center"/>
          </w:tcPr>
          <w:p w14:paraId="40DA756A" w14:textId="77777777" w:rsidR="00910EAE" w:rsidRPr="009C01D5" w:rsidRDefault="00910EAE" w:rsidP="0041213B">
            <w:pPr>
              <w:pStyle w:val="TableText0"/>
              <w:jc w:val="center"/>
              <w:rPr>
                <w:vertAlign w:val="superscript"/>
              </w:rPr>
            </w:pPr>
            <w:r w:rsidRPr="009C01D5">
              <w:t>2.87 mg/day</w:t>
            </w:r>
            <w:r w:rsidRPr="009C01D5">
              <w:rPr>
                <w:vertAlign w:val="superscript"/>
              </w:rPr>
              <w:t>b</w:t>
            </w:r>
          </w:p>
        </w:tc>
        <w:tc>
          <w:tcPr>
            <w:tcW w:w="855" w:type="pct"/>
            <w:shd w:val="clear" w:color="auto" w:fill="FFFFFF" w:themeFill="background1"/>
            <w:vAlign w:val="center"/>
          </w:tcPr>
          <w:p w14:paraId="17D73ED9" w14:textId="77777777" w:rsidR="00910EAE" w:rsidRPr="009C01D5" w:rsidRDefault="00910EAE" w:rsidP="00664369">
            <w:pPr>
              <w:pStyle w:val="TableText0"/>
              <w:jc w:val="center"/>
              <w:rPr>
                <w:vertAlign w:val="superscript"/>
              </w:rPr>
            </w:pPr>
            <w:r w:rsidRPr="009C01D5">
              <w:t>19.06 mg/day</w:t>
            </w:r>
            <w:r w:rsidRPr="009C01D5">
              <w:rPr>
                <w:vertAlign w:val="superscript"/>
              </w:rPr>
              <w:t>a</w:t>
            </w:r>
          </w:p>
        </w:tc>
        <w:tc>
          <w:tcPr>
            <w:tcW w:w="853" w:type="pct"/>
            <w:gridSpan w:val="2"/>
            <w:shd w:val="clear" w:color="auto" w:fill="FFFFFF" w:themeFill="background1"/>
          </w:tcPr>
          <w:p w14:paraId="3792CE6B" w14:textId="77777777" w:rsidR="00910EAE" w:rsidRPr="009C01D5" w:rsidRDefault="00910EAE" w:rsidP="00664369">
            <w:pPr>
              <w:pStyle w:val="TableText0"/>
              <w:jc w:val="center"/>
              <w:rPr>
                <w:vertAlign w:val="superscript"/>
              </w:rPr>
            </w:pPr>
            <w:r w:rsidRPr="009C01D5">
              <w:t>15.68 mg/day</w:t>
            </w:r>
            <w:r w:rsidRPr="009C01D5">
              <w:rPr>
                <w:vertAlign w:val="superscript"/>
              </w:rPr>
              <w:t>b</w:t>
            </w:r>
          </w:p>
        </w:tc>
      </w:tr>
      <w:tr w:rsidR="00910EAE" w:rsidRPr="009C01D5" w14:paraId="0DB0754D" w14:textId="77777777" w:rsidTr="00910EAE">
        <w:trPr>
          <w:cantSplit/>
          <w:jc w:val="center"/>
        </w:trPr>
        <w:tc>
          <w:tcPr>
            <w:tcW w:w="1104" w:type="pct"/>
            <w:shd w:val="clear" w:color="auto" w:fill="auto"/>
            <w:vAlign w:val="center"/>
          </w:tcPr>
          <w:p w14:paraId="73A03A64" w14:textId="77777777" w:rsidR="00910EAE" w:rsidRPr="009C01D5" w:rsidRDefault="00910EAE" w:rsidP="00D21E47">
            <w:pPr>
              <w:pStyle w:val="TableText0"/>
            </w:pPr>
            <w:r w:rsidRPr="009C01D5">
              <w:t>Cost/patient/month</w:t>
            </w:r>
          </w:p>
        </w:tc>
        <w:tc>
          <w:tcPr>
            <w:tcW w:w="1281" w:type="pct"/>
            <w:shd w:val="clear" w:color="auto" w:fill="auto"/>
            <w:vAlign w:val="center"/>
          </w:tcPr>
          <w:p w14:paraId="64ED06BC" w14:textId="77777777" w:rsidR="00910EAE" w:rsidRPr="0024069D" w:rsidRDefault="00910EAE" w:rsidP="00664369">
            <w:pPr>
              <w:pStyle w:val="TableText0"/>
              <w:jc w:val="center"/>
            </w:pPr>
            <w:r w:rsidRPr="0024069D">
              <w:t>$</w:t>
            </w:r>
            <w:r w:rsidR="00D06CC7">
              <w:rPr>
                <w:noProof/>
                <w:color w:val="000000"/>
                <w:highlight w:val="black"/>
              </w:rPr>
              <w:t>''''''''''''''''</w:t>
            </w:r>
            <w:r w:rsidRPr="0024069D">
              <w:rPr>
                <w:vertAlign w:val="superscript"/>
              </w:rPr>
              <w:t>c</w:t>
            </w:r>
            <w:r w:rsidRPr="0024069D">
              <w:t xml:space="preserve"> </w:t>
            </w:r>
          </w:p>
        </w:tc>
        <w:tc>
          <w:tcPr>
            <w:tcW w:w="907" w:type="pct"/>
            <w:shd w:val="clear" w:color="auto" w:fill="auto"/>
            <w:vAlign w:val="center"/>
          </w:tcPr>
          <w:p w14:paraId="7428569A" w14:textId="77777777" w:rsidR="00910EAE" w:rsidRPr="0024069D" w:rsidRDefault="00910EAE" w:rsidP="00664369">
            <w:pPr>
              <w:pStyle w:val="TableText0"/>
              <w:jc w:val="center"/>
            </w:pPr>
            <w:r w:rsidRPr="0024069D">
              <w:t>$</w:t>
            </w:r>
            <w:r w:rsidR="00D06CC7">
              <w:rPr>
                <w:noProof/>
                <w:color w:val="000000"/>
                <w:highlight w:val="black"/>
              </w:rPr>
              <w:t>'''''''''''''</w:t>
            </w:r>
            <w:r w:rsidRPr="0024069D">
              <w:rPr>
                <w:vertAlign w:val="superscript"/>
              </w:rPr>
              <w:t>d</w:t>
            </w:r>
            <w:r w:rsidRPr="0024069D">
              <w:t xml:space="preserve"> </w:t>
            </w:r>
          </w:p>
        </w:tc>
        <w:tc>
          <w:tcPr>
            <w:tcW w:w="855" w:type="pct"/>
            <w:shd w:val="clear" w:color="auto" w:fill="FFFFFF" w:themeFill="background1"/>
            <w:vAlign w:val="center"/>
          </w:tcPr>
          <w:p w14:paraId="4A8F38E5" w14:textId="77777777" w:rsidR="00910EAE" w:rsidRPr="0024069D" w:rsidRDefault="00910EAE" w:rsidP="0041213B">
            <w:pPr>
              <w:pStyle w:val="TableText0"/>
              <w:jc w:val="center"/>
              <w:rPr>
                <w:vertAlign w:val="superscript"/>
              </w:rPr>
            </w:pPr>
            <w:r w:rsidRPr="0024069D">
              <w:t>$</w:t>
            </w:r>
            <w:r w:rsidR="00D06CC7">
              <w:rPr>
                <w:noProof/>
                <w:color w:val="000000"/>
                <w:highlight w:val="black"/>
              </w:rPr>
              <w:t>''''''''''''''''</w:t>
            </w:r>
            <w:r w:rsidRPr="0024069D">
              <w:rPr>
                <w:vertAlign w:val="superscript"/>
              </w:rPr>
              <w:t>f</w:t>
            </w:r>
          </w:p>
        </w:tc>
        <w:tc>
          <w:tcPr>
            <w:tcW w:w="853" w:type="pct"/>
            <w:gridSpan w:val="2"/>
            <w:shd w:val="clear" w:color="auto" w:fill="FFFFFF" w:themeFill="background1"/>
          </w:tcPr>
          <w:p w14:paraId="73869935" w14:textId="77777777" w:rsidR="00910EAE" w:rsidRPr="0024069D" w:rsidRDefault="00910EAE" w:rsidP="0041213B">
            <w:pPr>
              <w:pStyle w:val="TableText0"/>
              <w:jc w:val="center"/>
              <w:rPr>
                <w:vertAlign w:val="superscript"/>
              </w:rPr>
            </w:pPr>
            <w:r w:rsidRPr="0024069D">
              <w:t>$</w:t>
            </w:r>
            <w:r w:rsidR="00D06CC7">
              <w:rPr>
                <w:noProof/>
                <w:color w:val="000000"/>
                <w:highlight w:val="black"/>
              </w:rPr>
              <w:t>''''''''''''''''</w:t>
            </w:r>
            <w:r w:rsidRPr="0024069D">
              <w:rPr>
                <w:vertAlign w:val="superscript"/>
              </w:rPr>
              <w:t>g</w:t>
            </w:r>
          </w:p>
        </w:tc>
      </w:tr>
    </w:tbl>
    <w:p w14:paraId="4590C5F1" w14:textId="77777777" w:rsidR="00CE4D3D" w:rsidRPr="009C01D5" w:rsidRDefault="00CE4D3D" w:rsidP="00CE4D3D">
      <w:pPr>
        <w:pStyle w:val="TableFigureFooter"/>
      </w:pPr>
      <w:r w:rsidRPr="009C01D5">
        <w:t>Abbreviations: CMA = cost-minimisation analysis; mg = milligram.</w:t>
      </w:r>
    </w:p>
    <w:p w14:paraId="5E068684" w14:textId="77777777" w:rsidR="00CE4D3D" w:rsidRPr="009C01D5" w:rsidRDefault="00CE4D3D" w:rsidP="00CE4D3D">
      <w:pPr>
        <w:pStyle w:val="TableFigureFooter"/>
      </w:pPr>
      <w:r w:rsidRPr="009C01D5">
        <w:t>Source: Table 4.2.9, p187; Excel file ‘Cariprazine UCM’, worksheet ‘4a.Scripts – affected; Excel file ‘Economic model workbook’ sheets ‘Aripiprazole utilization’, ‘Cariprazine utilization’ of the submission.</w:t>
      </w:r>
    </w:p>
    <w:p w14:paraId="3B63593C" w14:textId="77777777" w:rsidR="00CE4D3D" w:rsidRPr="009C01D5" w:rsidRDefault="00CE4D3D" w:rsidP="00CE4D3D">
      <w:pPr>
        <w:pStyle w:val="TableFigureFooter"/>
      </w:pPr>
      <w:r w:rsidRPr="009C01D5">
        <w:t xml:space="preserve">Note: </w:t>
      </w:r>
      <w:r w:rsidR="00E772FE" w:rsidRPr="009C01D5">
        <w:t>*</w:t>
      </w:r>
      <w:r w:rsidRPr="009C01D5">
        <w:t xml:space="preserve"> estimated during the evaluation.</w:t>
      </w:r>
    </w:p>
    <w:p w14:paraId="6D63201F" w14:textId="77777777" w:rsidR="00CE4D3D" w:rsidRPr="009C01D5" w:rsidRDefault="00664369" w:rsidP="00CE4D3D">
      <w:pPr>
        <w:pStyle w:val="TableFigureFooter"/>
      </w:pPr>
      <w:r w:rsidRPr="009C01D5">
        <w:rPr>
          <w:vertAlign w:val="superscript"/>
        </w:rPr>
        <w:t>a</w:t>
      </w:r>
      <w:r w:rsidR="00CE4D3D" w:rsidRPr="009C01D5">
        <w:t>Equi-effective dose of drugs presented in the submission</w:t>
      </w:r>
    </w:p>
    <w:p w14:paraId="0ED4307D" w14:textId="77777777" w:rsidR="00CE4D3D" w:rsidRPr="009C01D5" w:rsidRDefault="00664369" w:rsidP="00CE4D3D">
      <w:pPr>
        <w:pStyle w:val="TableFigureFooter"/>
      </w:pPr>
      <w:r w:rsidRPr="009C01D5">
        <w:rPr>
          <w:vertAlign w:val="superscript"/>
        </w:rPr>
        <w:t>b</w:t>
      </w:r>
      <w:r w:rsidR="00CE4D3D" w:rsidRPr="009C01D5">
        <w:t xml:space="preserve"> Calculated as the weighted mean dose of drug using the dose strength presented in the submission and the proportion of use of drug in Year 1, 2021.</w:t>
      </w:r>
    </w:p>
    <w:p w14:paraId="7D54DC2F" w14:textId="77777777" w:rsidR="00CE4D3D" w:rsidRPr="009C01D5" w:rsidRDefault="00664369" w:rsidP="00910EAE">
      <w:pPr>
        <w:pStyle w:val="TableFigureFooter"/>
        <w:tabs>
          <w:tab w:val="left" w:pos="5989"/>
        </w:tabs>
      </w:pPr>
      <w:r w:rsidRPr="009C01D5">
        <w:rPr>
          <w:vertAlign w:val="superscript"/>
        </w:rPr>
        <w:t>c</w:t>
      </w:r>
      <w:r w:rsidR="00CE4D3D" w:rsidRPr="009C01D5">
        <w:t xml:space="preserve"> Price per equi-effective dose of drug presented by the submission</w:t>
      </w:r>
      <w:r w:rsidR="00910EAE" w:rsidRPr="009C01D5">
        <w:tab/>
      </w:r>
    </w:p>
    <w:p w14:paraId="3B9000CB" w14:textId="77777777" w:rsidR="00CE4D3D" w:rsidRPr="009C01D5" w:rsidRDefault="00664369" w:rsidP="000E54AC">
      <w:pPr>
        <w:pStyle w:val="TableFigureFooter"/>
      </w:pPr>
      <w:r w:rsidRPr="009C01D5">
        <w:rPr>
          <w:vertAlign w:val="superscript"/>
        </w:rPr>
        <w:t>d</w:t>
      </w:r>
      <w:r w:rsidR="00CE4D3D" w:rsidRPr="009C01D5">
        <w:t xml:space="preserve"> Calculated as the average weighted price of drug using the price per dose strength and proportion of use of drug in Year 1, 2021</w:t>
      </w:r>
    </w:p>
    <w:p w14:paraId="1E7B4031" w14:textId="77777777" w:rsidR="000E54AC" w:rsidRPr="009C01D5" w:rsidRDefault="000E54AC" w:rsidP="000E54AC">
      <w:pPr>
        <w:pStyle w:val="TableFigureFooter"/>
      </w:pPr>
    </w:p>
    <w:p w14:paraId="795A6679" w14:textId="77777777" w:rsidR="00CE4D3D" w:rsidRPr="009C01D5" w:rsidRDefault="00CE4D3D" w:rsidP="00CE4D3D">
      <w:pPr>
        <w:pStyle w:val="4-SubsectionHeading"/>
      </w:pPr>
      <w:bookmarkStart w:id="38" w:name="_Toc22897647"/>
      <w:bookmarkStart w:id="39" w:name="_Toc51163090"/>
      <w:r w:rsidRPr="009C01D5">
        <w:t>Estimated PBS usage &amp; financial implications</w:t>
      </w:r>
      <w:bookmarkEnd w:id="38"/>
      <w:bookmarkEnd w:id="39"/>
    </w:p>
    <w:p w14:paraId="1C1A2586" w14:textId="77777777" w:rsidR="00CE4D3D" w:rsidRPr="009C01D5" w:rsidRDefault="00CE4D3D" w:rsidP="00CE4D3D">
      <w:pPr>
        <w:pStyle w:val="3-BodyText"/>
        <w:rPr>
          <w:color w:val="0066FF"/>
        </w:rPr>
      </w:pPr>
      <w:r w:rsidRPr="009C01D5">
        <w:t>This submissio</w:t>
      </w:r>
      <w:r w:rsidR="00EB5F9A" w:rsidRPr="009C01D5">
        <w:t>n was not considered by DUSC.</w:t>
      </w:r>
    </w:p>
    <w:p w14:paraId="321E3902" w14:textId="77777777" w:rsidR="00CE4D3D" w:rsidRPr="009C01D5" w:rsidRDefault="00CE4D3D" w:rsidP="00CE4D3D">
      <w:pPr>
        <w:pStyle w:val="3-BodyText"/>
        <w:rPr>
          <w:rStyle w:val="CommentReference"/>
          <w:rFonts w:asciiTheme="minorHAnsi" w:hAnsiTheme="minorHAnsi"/>
          <w:b w:val="0"/>
          <w:sz w:val="24"/>
          <w:szCs w:val="24"/>
        </w:rPr>
      </w:pPr>
      <w:r w:rsidRPr="009C01D5">
        <w:t>The submission used a market share approach to estimate the market size and financial implications of listing cariprazine on the PBS. This approach was reasonable. A summary of key inputs used in the financial estimates is provided in Table 1</w:t>
      </w:r>
      <w:r w:rsidR="008100D9" w:rsidRPr="009C01D5">
        <w:t>6</w:t>
      </w:r>
      <w:r w:rsidRPr="009C01D5">
        <w:rPr>
          <w:rStyle w:val="CommentReference"/>
          <w:rFonts w:asciiTheme="minorHAnsi" w:hAnsiTheme="minorHAnsi"/>
          <w:b w:val="0"/>
          <w:sz w:val="24"/>
          <w:szCs w:val="24"/>
        </w:rPr>
        <w:t>.</w:t>
      </w:r>
    </w:p>
    <w:p w14:paraId="4C7DC576" w14:textId="77777777" w:rsidR="00CE4D3D" w:rsidRPr="009C01D5" w:rsidRDefault="00CE4D3D" w:rsidP="00B54839">
      <w:pPr>
        <w:pStyle w:val="Caption"/>
        <w:keepNext/>
        <w:spacing w:after="0"/>
        <w:jc w:val="left"/>
        <w:rPr>
          <w:rFonts w:ascii="Arial Narrow" w:hAnsi="Arial Narrow"/>
          <w:b w:val="0"/>
          <w:color w:val="auto"/>
          <w:sz w:val="20"/>
          <w:szCs w:val="20"/>
        </w:rPr>
      </w:pPr>
      <w:bookmarkStart w:id="40" w:name="_Ref50105609"/>
      <w:r w:rsidRPr="009C01D5">
        <w:rPr>
          <w:rFonts w:ascii="Arial Narrow" w:hAnsi="Arial Narrow"/>
          <w:color w:val="auto"/>
          <w:sz w:val="20"/>
          <w:szCs w:val="20"/>
        </w:rPr>
        <w:t>Table</w:t>
      </w:r>
      <w:bookmarkEnd w:id="40"/>
      <w:r w:rsidRPr="009C01D5">
        <w:rPr>
          <w:rFonts w:ascii="Arial Narrow" w:hAnsi="Arial Narrow"/>
          <w:color w:val="auto"/>
          <w:sz w:val="20"/>
          <w:szCs w:val="20"/>
        </w:rPr>
        <w:t xml:space="preserve"> 1</w:t>
      </w:r>
      <w:r w:rsidR="008100D9" w:rsidRPr="009C01D5">
        <w:rPr>
          <w:rFonts w:ascii="Arial Narrow" w:hAnsi="Arial Narrow"/>
          <w:color w:val="auto"/>
          <w:sz w:val="20"/>
          <w:szCs w:val="20"/>
        </w:rPr>
        <w:t>6</w:t>
      </w:r>
      <w:r w:rsidRPr="009C01D5">
        <w:rPr>
          <w:rFonts w:ascii="Arial Narrow" w:hAnsi="Arial Narrow"/>
          <w:color w:val="auto"/>
          <w:sz w:val="20"/>
          <w:szCs w:val="20"/>
        </w:rPr>
        <w:t xml:space="preserve">: </w:t>
      </w:r>
      <w:r w:rsidRPr="009C01D5">
        <w:rPr>
          <w:rStyle w:val="CommentReference"/>
          <w:b/>
          <w:color w:val="auto"/>
          <w:szCs w:val="20"/>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701"/>
        <w:gridCol w:w="2552"/>
        <w:gridCol w:w="2784"/>
      </w:tblGrid>
      <w:tr w:rsidR="00CE4D3D" w:rsidRPr="009C01D5" w14:paraId="3AD59CD8" w14:textId="77777777" w:rsidTr="0041213B">
        <w:trPr>
          <w:tblHeader/>
        </w:trPr>
        <w:tc>
          <w:tcPr>
            <w:tcW w:w="1098" w:type="pct"/>
            <w:shd w:val="clear" w:color="auto" w:fill="auto"/>
            <w:vAlign w:val="center"/>
          </w:tcPr>
          <w:p w14:paraId="100D2181" w14:textId="77777777" w:rsidR="00CE4D3D" w:rsidRPr="009C01D5" w:rsidRDefault="00CE4D3D" w:rsidP="0041213B">
            <w:pPr>
              <w:pStyle w:val="In-tableHeading"/>
              <w:keepNext w:val="0"/>
              <w:widowControl w:val="0"/>
              <w:rPr>
                <w:lang w:val="en-AU"/>
              </w:rPr>
            </w:pPr>
            <w:r w:rsidRPr="009C01D5">
              <w:rPr>
                <w:lang w:val="en-AU"/>
              </w:rPr>
              <w:t>Parameter</w:t>
            </w:r>
          </w:p>
        </w:tc>
        <w:tc>
          <w:tcPr>
            <w:tcW w:w="943" w:type="pct"/>
            <w:shd w:val="clear" w:color="auto" w:fill="auto"/>
            <w:vAlign w:val="center"/>
          </w:tcPr>
          <w:p w14:paraId="62CAF8F9" w14:textId="77777777" w:rsidR="00CE4D3D" w:rsidRPr="009C01D5" w:rsidRDefault="00CE4D3D" w:rsidP="0041213B">
            <w:pPr>
              <w:pStyle w:val="In-tableHeading"/>
              <w:keepNext w:val="0"/>
              <w:widowControl w:val="0"/>
              <w:rPr>
                <w:lang w:val="en-AU"/>
              </w:rPr>
            </w:pPr>
            <w:r w:rsidRPr="009C01D5">
              <w:rPr>
                <w:lang w:val="en-AU"/>
              </w:rPr>
              <w:t>Value applied</w:t>
            </w:r>
          </w:p>
        </w:tc>
        <w:tc>
          <w:tcPr>
            <w:tcW w:w="1415" w:type="pct"/>
          </w:tcPr>
          <w:p w14:paraId="1FBE619E" w14:textId="77777777" w:rsidR="00CE4D3D" w:rsidRPr="009C01D5" w:rsidRDefault="00CE4D3D" w:rsidP="0041213B">
            <w:pPr>
              <w:pStyle w:val="In-tableHeading"/>
              <w:keepNext w:val="0"/>
              <w:widowControl w:val="0"/>
              <w:rPr>
                <w:lang w:val="en-AU"/>
              </w:rPr>
            </w:pPr>
            <w:r w:rsidRPr="009C01D5">
              <w:rPr>
                <w:lang w:val="en-AU"/>
              </w:rPr>
              <w:t xml:space="preserve">Source </w:t>
            </w:r>
          </w:p>
        </w:tc>
        <w:tc>
          <w:tcPr>
            <w:tcW w:w="1544" w:type="pct"/>
            <w:shd w:val="clear" w:color="auto" w:fill="auto"/>
            <w:vAlign w:val="center"/>
          </w:tcPr>
          <w:p w14:paraId="65B3B939" w14:textId="77777777" w:rsidR="00CE4D3D" w:rsidRPr="009C01D5" w:rsidRDefault="00CE4D3D" w:rsidP="0041213B">
            <w:pPr>
              <w:pStyle w:val="In-tableHeading"/>
              <w:keepNext w:val="0"/>
              <w:widowControl w:val="0"/>
              <w:rPr>
                <w:lang w:val="en-AU"/>
              </w:rPr>
            </w:pPr>
            <w:r w:rsidRPr="009C01D5">
              <w:rPr>
                <w:lang w:val="en-AU"/>
              </w:rPr>
              <w:t>Comment</w:t>
            </w:r>
          </w:p>
        </w:tc>
      </w:tr>
      <w:tr w:rsidR="00CE4D3D" w:rsidRPr="009C01D5" w14:paraId="7974AAFB" w14:textId="77777777" w:rsidTr="0041213B">
        <w:tc>
          <w:tcPr>
            <w:tcW w:w="5000" w:type="pct"/>
            <w:gridSpan w:val="4"/>
            <w:shd w:val="clear" w:color="auto" w:fill="auto"/>
            <w:vAlign w:val="center"/>
          </w:tcPr>
          <w:p w14:paraId="2FEEDBD8" w14:textId="77777777" w:rsidR="00CE4D3D" w:rsidRPr="009C01D5" w:rsidRDefault="00CE4D3D" w:rsidP="0041213B">
            <w:pPr>
              <w:pStyle w:val="TableText0"/>
              <w:keepNext w:val="0"/>
              <w:widowControl w:val="0"/>
            </w:pPr>
            <w:r w:rsidRPr="009C01D5">
              <w:t>Eligible population</w:t>
            </w:r>
          </w:p>
        </w:tc>
      </w:tr>
      <w:tr w:rsidR="00CE4D3D" w:rsidRPr="009C01D5" w14:paraId="2D91F494" w14:textId="77777777" w:rsidTr="0041213B">
        <w:tc>
          <w:tcPr>
            <w:tcW w:w="1098" w:type="pct"/>
            <w:shd w:val="clear" w:color="auto" w:fill="auto"/>
            <w:vAlign w:val="center"/>
          </w:tcPr>
          <w:p w14:paraId="0BD06442" w14:textId="77777777" w:rsidR="00CE4D3D" w:rsidRPr="009C01D5" w:rsidRDefault="00CE4D3D" w:rsidP="0041213B">
            <w:pPr>
              <w:pStyle w:val="TableText0"/>
              <w:keepNext w:val="0"/>
              <w:widowControl w:val="0"/>
            </w:pPr>
            <w:r w:rsidRPr="009C01D5">
              <w:rPr>
                <w:bCs w:val="0"/>
              </w:rPr>
              <w:t>Relative proportion of aripiprazole and brexpiprazole dispensed in 2019 for patients initiating a new treatment or switching from one atypical antipsychotic to another.</w:t>
            </w:r>
          </w:p>
        </w:tc>
        <w:tc>
          <w:tcPr>
            <w:tcW w:w="943" w:type="pct"/>
            <w:shd w:val="clear" w:color="auto" w:fill="auto"/>
            <w:vAlign w:val="center"/>
          </w:tcPr>
          <w:p w14:paraId="54A3023B"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Aripiprazole = 76%</w:t>
            </w:r>
          </w:p>
          <w:p w14:paraId="0C996B80" w14:textId="77777777" w:rsidR="00CE4D3D" w:rsidRPr="009C01D5" w:rsidRDefault="00CE4D3D" w:rsidP="0041213B">
            <w:pPr>
              <w:pStyle w:val="TableText0"/>
              <w:keepNext w:val="0"/>
              <w:widowControl w:val="0"/>
            </w:pPr>
            <w:r w:rsidRPr="009C01D5">
              <w:rPr>
                <w:bCs w:val="0"/>
              </w:rPr>
              <w:t>Brexpiprazole = 24%</w:t>
            </w:r>
          </w:p>
        </w:tc>
        <w:tc>
          <w:tcPr>
            <w:tcW w:w="1415" w:type="pct"/>
            <w:vAlign w:val="center"/>
          </w:tcPr>
          <w:p w14:paraId="74BDCDB6" w14:textId="77777777" w:rsidR="00CE4D3D" w:rsidRPr="009C01D5" w:rsidRDefault="00CE4D3D" w:rsidP="0041213B">
            <w:pPr>
              <w:pStyle w:val="TableText0"/>
              <w:keepNext w:val="0"/>
              <w:widowControl w:val="0"/>
              <w:rPr>
                <w:i/>
              </w:rPr>
            </w:pPr>
            <w:r w:rsidRPr="009C01D5">
              <w:rPr>
                <w:bCs w:val="0"/>
              </w:rPr>
              <w:t>Analyses of 10% PBS sample</w:t>
            </w:r>
          </w:p>
        </w:tc>
        <w:tc>
          <w:tcPr>
            <w:tcW w:w="1544" w:type="pct"/>
            <w:shd w:val="clear" w:color="auto" w:fill="auto"/>
            <w:vAlign w:val="center"/>
          </w:tcPr>
          <w:p w14:paraId="3089B282" w14:textId="77777777" w:rsidR="00CE4D3D" w:rsidRPr="009C01D5" w:rsidRDefault="00CE4D3D" w:rsidP="0041213B">
            <w:pPr>
              <w:pStyle w:val="TableText0"/>
              <w:keepNext w:val="0"/>
              <w:widowControl w:val="0"/>
            </w:pPr>
            <w:r w:rsidRPr="009C01D5">
              <w:rPr>
                <w:bCs w:val="0"/>
              </w:rPr>
              <w:t>Estimates were appropriately derived from the proportion of atypical antipsychotic schizophrenia treatment starts for naïve initiations, switches and delayed switches for aripiprazole and brexpiprazole.</w:t>
            </w:r>
          </w:p>
        </w:tc>
      </w:tr>
      <w:tr w:rsidR="00CE4D3D" w:rsidRPr="009C01D5" w14:paraId="3AF27587" w14:textId="77777777" w:rsidTr="0041213B">
        <w:tc>
          <w:tcPr>
            <w:tcW w:w="5000" w:type="pct"/>
            <w:gridSpan w:val="4"/>
            <w:shd w:val="clear" w:color="auto" w:fill="auto"/>
            <w:vAlign w:val="center"/>
          </w:tcPr>
          <w:p w14:paraId="536092F4" w14:textId="77777777" w:rsidR="00CE4D3D" w:rsidRPr="009C01D5" w:rsidRDefault="00CE4D3D" w:rsidP="0041213B">
            <w:pPr>
              <w:pStyle w:val="TableText0"/>
              <w:keepNext w:val="0"/>
              <w:widowControl w:val="0"/>
              <w:rPr>
                <w:bCs w:val="0"/>
              </w:rPr>
            </w:pPr>
            <w:r w:rsidRPr="009C01D5">
              <w:rPr>
                <w:bCs w:val="0"/>
              </w:rPr>
              <w:t>Treatment utilisation</w:t>
            </w:r>
          </w:p>
        </w:tc>
      </w:tr>
      <w:tr w:rsidR="00CE4D3D" w:rsidRPr="009C01D5" w14:paraId="7E73DFF1" w14:textId="77777777" w:rsidTr="0041213B">
        <w:tc>
          <w:tcPr>
            <w:tcW w:w="1098" w:type="pct"/>
            <w:shd w:val="clear" w:color="auto" w:fill="auto"/>
            <w:vAlign w:val="center"/>
          </w:tcPr>
          <w:p w14:paraId="0293A28D" w14:textId="77777777" w:rsidR="00CE4D3D" w:rsidRPr="009C01D5" w:rsidRDefault="00CE4D3D" w:rsidP="0041213B">
            <w:pPr>
              <w:pStyle w:val="TableText0"/>
              <w:keepNext w:val="0"/>
              <w:widowControl w:val="0"/>
            </w:pPr>
            <w:r w:rsidRPr="009C01D5">
              <w:rPr>
                <w:bCs w:val="0"/>
              </w:rPr>
              <w:t>Uptake rate</w:t>
            </w:r>
          </w:p>
        </w:tc>
        <w:tc>
          <w:tcPr>
            <w:tcW w:w="943" w:type="pct"/>
            <w:shd w:val="clear" w:color="auto" w:fill="auto"/>
            <w:vAlign w:val="center"/>
          </w:tcPr>
          <w:p w14:paraId="74CF9AEA"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Year 1: 220%</w:t>
            </w:r>
          </w:p>
          <w:p w14:paraId="5B76FCD8"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Year 2: 110%</w:t>
            </w:r>
          </w:p>
          <w:p w14:paraId="7ECEC25B"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Year 3: 110%</w:t>
            </w:r>
          </w:p>
          <w:p w14:paraId="5D031FBB"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Year 4: 110%</w:t>
            </w:r>
          </w:p>
          <w:p w14:paraId="5BE540BE"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Year 5: 110%</w:t>
            </w:r>
          </w:p>
          <w:p w14:paraId="04F1A3E0" w14:textId="77777777" w:rsidR="00CE4D3D" w:rsidRPr="009C01D5" w:rsidRDefault="00CE4D3D" w:rsidP="0041213B">
            <w:pPr>
              <w:pStyle w:val="TableText0"/>
              <w:keepNext w:val="0"/>
              <w:widowControl w:val="0"/>
            </w:pPr>
          </w:p>
        </w:tc>
        <w:tc>
          <w:tcPr>
            <w:tcW w:w="1415" w:type="pct"/>
            <w:vAlign w:val="center"/>
          </w:tcPr>
          <w:p w14:paraId="45287C9A" w14:textId="77777777" w:rsidR="00CE4D3D" w:rsidRPr="009C01D5" w:rsidRDefault="00CE4D3D" w:rsidP="0041213B">
            <w:pPr>
              <w:pStyle w:val="TableText0"/>
              <w:keepNext w:val="0"/>
              <w:widowControl w:val="0"/>
              <w:rPr>
                <w:i/>
              </w:rPr>
            </w:pPr>
            <w:r w:rsidRPr="009C01D5">
              <w:rPr>
                <w:bCs w:val="0"/>
              </w:rPr>
              <w:t>Observed and projected uptake of brexpiprazole in the first five years after PBS listing. The submission assumed the uptake rate for brexpiprazole, plus 10% additional uptake by reasoning that cariprazine has efficacy for negative symptoms, would apply.</w:t>
            </w:r>
          </w:p>
        </w:tc>
        <w:tc>
          <w:tcPr>
            <w:tcW w:w="1544" w:type="pct"/>
            <w:shd w:val="clear" w:color="auto" w:fill="auto"/>
            <w:vAlign w:val="center"/>
          </w:tcPr>
          <w:p w14:paraId="3D40EA93" w14:textId="77777777" w:rsidR="00CE4D3D" w:rsidRPr="009C01D5" w:rsidRDefault="00AA1352" w:rsidP="0041213B">
            <w:pPr>
              <w:pStyle w:val="TableText0"/>
              <w:keepNext w:val="0"/>
              <w:widowControl w:val="0"/>
            </w:pPr>
            <w:r w:rsidRPr="009C01D5">
              <w:rPr>
                <w:bCs w:val="0"/>
              </w:rPr>
              <w:t>The PBAC noted that n</w:t>
            </w:r>
            <w:r w:rsidR="00CE4D3D" w:rsidRPr="009C01D5">
              <w:rPr>
                <w:bCs w:val="0"/>
              </w:rPr>
              <w:t>o justification was provided for the numerical value 10% as the additional uptake for cariprazine. It appears that the submission has doubled the uptake rate for cariprazine in Year 1.</w:t>
            </w:r>
          </w:p>
        </w:tc>
      </w:tr>
      <w:tr w:rsidR="00CE4D3D" w:rsidRPr="009C01D5" w14:paraId="673CF4E4" w14:textId="77777777" w:rsidTr="0041213B">
        <w:tc>
          <w:tcPr>
            <w:tcW w:w="1098" w:type="pct"/>
            <w:shd w:val="clear" w:color="auto" w:fill="auto"/>
            <w:vAlign w:val="center"/>
          </w:tcPr>
          <w:p w14:paraId="3E6318E3" w14:textId="77777777" w:rsidR="00CE4D3D" w:rsidRPr="009C01D5" w:rsidRDefault="00CE4D3D" w:rsidP="0041213B">
            <w:pPr>
              <w:pStyle w:val="TableText0"/>
              <w:keepNext w:val="0"/>
              <w:widowControl w:val="0"/>
            </w:pPr>
            <w:r w:rsidRPr="009C01D5">
              <w:rPr>
                <w:bCs w:val="0"/>
              </w:rPr>
              <w:t>Proportion of cariprazine scripts replacing oral aripiprazole and brexpiprazole</w:t>
            </w:r>
          </w:p>
        </w:tc>
        <w:tc>
          <w:tcPr>
            <w:tcW w:w="943" w:type="pct"/>
            <w:shd w:val="clear" w:color="auto" w:fill="auto"/>
            <w:vAlign w:val="center"/>
          </w:tcPr>
          <w:p w14:paraId="7ABE8B83" w14:textId="77777777" w:rsidR="00CE4D3D" w:rsidRPr="009C01D5" w:rsidRDefault="00CE4D3D" w:rsidP="0041213B">
            <w:pPr>
              <w:pStyle w:val="TableText0"/>
              <w:keepNext w:val="0"/>
              <w:widowControl w:val="0"/>
            </w:pPr>
            <w:r w:rsidRPr="009C01D5">
              <w:t>Oral aripiprazole: 58.1% each year</w:t>
            </w:r>
          </w:p>
          <w:p w14:paraId="7AFB12A1" w14:textId="77777777" w:rsidR="00CE4D3D" w:rsidRPr="009C01D5" w:rsidRDefault="00CE4D3D" w:rsidP="0041213B">
            <w:pPr>
              <w:pStyle w:val="TableText0"/>
              <w:keepNext w:val="0"/>
              <w:widowControl w:val="0"/>
            </w:pPr>
            <w:r w:rsidRPr="009C01D5">
              <w:t>Brexpiprazole: 41.9% each year</w:t>
            </w:r>
          </w:p>
        </w:tc>
        <w:tc>
          <w:tcPr>
            <w:tcW w:w="1415" w:type="pct"/>
          </w:tcPr>
          <w:p w14:paraId="0D069604" w14:textId="77777777" w:rsidR="00CE4D3D" w:rsidRPr="009C01D5" w:rsidRDefault="00CE4D3D" w:rsidP="0041213B">
            <w:pPr>
              <w:pStyle w:val="TableText0"/>
              <w:keepNext w:val="0"/>
              <w:widowControl w:val="0"/>
            </w:pPr>
            <w:r w:rsidRPr="009C01D5">
              <w:rPr>
                <w:bCs w:val="0"/>
              </w:rPr>
              <w:t>PBS utilisation data for patients initiating a new treatment or switching from one atypical antipsychotic to another for aripiprazole and brexpiprazole.</w:t>
            </w:r>
          </w:p>
        </w:tc>
        <w:tc>
          <w:tcPr>
            <w:tcW w:w="1544" w:type="pct"/>
            <w:shd w:val="clear" w:color="auto" w:fill="auto"/>
            <w:vAlign w:val="center"/>
          </w:tcPr>
          <w:p w14:paraId="50B5BDBE" w14:textId="77777777" w:rsidR="00CE4D3D" w:rsidRPr="009C01D5" w:rsidRDefault="00CE4D3D" w:rsidP="0041213B">
            <w:pPr>
              <w:pStyle w:val="TableText0"/>
              <w:keepNext w:val="0"/>
              <w:widowControl w:val="0"/>
            </w:pPr>
            <w:r w:rsidRPr="009C01D5">
              <w:rPr>
                <w:bCs w:val="0"/>
              </w:rPr>
              <w:t>It is likely that the listing of cariprazine will not only result in replacement of aripiprazole and brexpiprazole but also their displacement to a later line.</w:t>
            </w:r>
          </w:p>
        </w:tc>
      </w:tr>
      <w:tr w:rsidR="00CE4D3D" w:rsidRPr="009C01D5" w14:paraId="32D63F60" w14:textId="77777777" w:rsidTr="0041213B">
        <w:tc>
          <w:tcPr>
            <w:tcW w:w="1098" w:type="pct"/>
            <w:shd w:val="clear" w:color="auto" w:fill="auto"/>
            <w:vAlign w:val="center"/>
          </w:tcPr>
          <w:p w14:paraId="288BCAFC" w14:textId="77777777" w:rsidR="00CE4D3D" w:rsidRPr="009C01D5" w:rsidRDefault="00CE4D3D" w:rsidP="0041213B">
            <w:pPr>
              <w:pStyle w:val="TableText0"/>
              <w:keepNext w:val="0"/>
              <w:widowControl w:val="0"/>
            </w:pPr>
            <w:r w:rsidRPr="009C01D5">
              <w:rPr>
                <w:bCs w:val="0"/>
              </w:rPr>
              <w:t>Scripts dispensed</w:t>
            </w:r>
          </w:p>
        </w:tc>
        <w:tc>
          <w:tcPr>
            <w:tcW w:w="943" w:type="pct"/>
            <w:shd w:val="clear" w:color="auto" w:fill="auto"/>
            <w:vAlign w:val="center"/>
          </w:tcPr>
          <w:p w14:paraId="15F6FE91" w14:textId="77777777" w:rsidR="00CE4D3D" w:rsidRPr="00BB6C11" w:rsidRDefault="00CE4D3D" w:rsidP="0041213B">
            <w:pPr>
              <w:widowControl w:val="0"/>
              <w:jc w:val="left"/>
              <w:rPr>
                <w:rFonts w:ascii="Arial Narrow" w:eastAsiaTheme="majorEastAsia" w:hAnsi="Arial Narrow" w:cstheme="majorBidi"/>
                <w:bCs/>
                <w:sz w:val="20"/>
                <w:vertAlign w:val="superscript"/>
              </w:rPr>
            </w:pPr>
            <w:r w:rsidRPr="009C01D5">
              <w:rPr>
                <w:rFonts w:ascii="Arial Narrow" w:eastAsiaTheme="majorEastAsia" w:hAnsi="Arial Narrow" w:cstheme="majorBidi"/>
                <w:bCs/>
                <w:sz w:val="20"/>
              </w:rPr>
              <w:t>Year 1</w:t>
            </w:r>
            <w:r w:rsidRPr="00BB6C11">
              <w:rPr>
                <w:rFonts w:ascii="Arial Narrow" w:eastAsiaTheme="majorEastAsia" w:hAnsi="Arial Narrow" w:cstheme="majorBidi"/>
                <w:bCs/>
                <w:sz w:val="20"/>
              </w:rPr>
              <w:t xml:space="preserve">: </w:t>
            </w:r>
            <w:r w:rsidR="00D06CC7">
              <w:rPr>
                <w:rFonts w:ascii="Arial Narrow" w:eastAsiaTheme="majorEastAsia" w:hAnsi="Arial Narrow" w:cstheme="majorBidi"/>
                <w:bCs/>
                <w:noProof/>
                <w:color w:val="000000"/>
                <w:sz w:val="20"/>
                <w:highlight w:val="black"/>
              </w:rPr>
              <w:t>''''''''''''''</w:t>
            </w:r>
            <w:r w:rsidR="00BB2A42" w:rsidRPr="00BB6C11">
              <w:rPr>
                <w:rFonts w:ascii="Arial Narrow" w:eastAsiaTheme="majorEastAsia" w:hAnsi="Arial Narrow" w:cstheme="majorBidi"/>
                <w:bCs/>
                <w:sz w:val="20"/>
                <w:vertAlign w:val="superscript"/>
              </w:rPr>
              <w:t>1</w:t>
            </w:r>
          </w:p>
          <w:p w14:paraId="3F90AC0F" w14:textId="77777777" w:rsidR="00CE4D3D" w:rsidRPr="00BB6C11" w:rsidRDefault="00CE4D3D" w:rsidP="0041213B">
            <w:pPr>
              <w:widowControl w:val="0"/>
              <w:jc w:val="left"/>
              <w:rPr>
                <w:rFonts w:ascii="Arial Narrow" w:eastAsiaTheme="majorEastAsia" w:hAnsi="Arial Narrow" w:cstheme="majorBidi"/>
                <w:bCs/>
                <w:sz w:val="20"/>
                <w:vertAlign w:val="superscript"/>
              </w:rPr>
            </w:pPr>
            <w:r w:rsidRPr="00BB6C11">
              <w:rPr>
                <w:rFonts w:ascii="Arial Narrow" w:eastAsiaTheme="majorEastAsia" w:hAnsi="Arial Narrow" w:cstheme="majorBidi"/>
                <w:bCs/>
                <w:sz w:val="20"/>
              </w:rPr>
              <w:t xml:space="preserve">Year 2: </w:t>
            </w:r>
            <w:r w:rsidR="00D06CC7">
              <w:rPr>
                <w:rFonts w:ascii="Arial Narrow" w:eastAsiaTheme="majorEastAsia" w:hAnsi="Arial Narrow" w:cstheme="majorBidi"/>
                <w:bCs/>
                <w:noProof/>
                <w:color w:val="000000"/>
                <w:sz w:val="20"/>
                <w:highlight w:val="black"/>
              </w:rPr>
              <w:t>'''''''''''''''''</w:t>
            </w:r>
            <w:r w:rsidR="00BB2A42" w:rsidRPr="00BB6C11">
              <w:rPr>
                <w:rFonts w:ascii="Arial Narrow" w:eastAsiaTheme="majorEastAsia" w:hAnsi="Arial Narrow" w:cstheme="majorBidi"/>
                <w:bCs/>
                <w:sz w:val="20"/>
                <w:vertAlign w:val="superscript"/>
              </w:rPr>
              <w:t>2</w:t>
            </w:r>
          </w:p>
          <w:p w14:paraId="2C259BCF" w14:textId="77777777" w:rsidR="00CE4D3D" w:rsidRPr="00BB6C11" w:rsidRDefault="00CE4D3D" w:rsidP="0041213B">
            <w:pPr>
              <w:widowControl w:val="0"/>
              <w:jc w:val="left"/>
              <w:rPr>
                <w:rFonts w:ascii="Arial Narrow" w:eastAsiaTheme="majorEastAsia" w:hAnsi="Arial Narrow" w:cstheme="majorBidi"/>
                <w:bCs/>
                <w:sz w:val="20"/>
                <w:vertAlign w:val="superscript"/>
              </w:rPr>
            </w:pPr>
            <w:r w:rsidRPr="00BB6C11">
              <w:rPr>
                <w:rFonts w:ascii="Arial Narrow" w:eastAsiaTheme="majorEastAsia" w:hAnsi="Arial Narrow" w:cstheme="majorBidi"/>
                <w:bCs/>
                <w:sz w:val="20"/>
              </w:rPr>
              <w:t xml:space="preserve">Year 3: </w:t>
            </w:r>
            <w:r w:rsidR="00D06CC7">
              <w:rPr>
                <w:rFonts w:ascii="Arial Narrow" w:eastAsiaTheme="majorEastAsia" w:hAnsi="Arial Narrow" w:cstheme="majorBidi"/>
                <w:bCs/>
                <w:noProof/>
                <w:color w:val="000000"/>
                <w:sz w:val="20"/>
                <w:highlight w:val="black"/>
              </w:rPr>
              <w:t>'''''''''''''''</w:t>
            </w:r>
            <w:r w:rsidR="00BB2A42" w:rsidRPr="00BB6C11">
              <w:rPr>
                <w:rFonts w:ascii="Arial Narrow" w:eastAsiaTheme="majorEastAsia" w:hAnsi="Arial Narrow" w:cstheme="majorBidi"/>
                <w:bCs/>
                <w:sz w:val="20"/>
                <w:vertAlign w:val="superscript"/>
              </w:rPr>
              <w:t>3</w:t>
            </w:r>
          </w:p>
          <w:p w14:paraId="39D71E4E" w14:textId="77777777" w:rsidR="00CE4D3D" w:rsidRPr="00BB6C11" w:rsidRDefault="00CE4D3D" w:rsidP="0041213B">
            <w:pPr>
              <w:widowControl w:val="0"/>
              <w:jc w:val="left"/>
              <w:rPr>
                <w:rFonts w:ascii="Arial Narrow" w:eastAsiaTheme="majorEastAsia" w:hAnsi="Arial Narrow" w:cstheme="majorBidi"/>
                <w:bCs/>
                <w:sz w:val="20"/>
                <w:vertAlign w:val="superscript"/>
              </w:rPr>
            </w:pPr>
            <w:r w:rsidRPr="00BB6C11">
              <w:rPr>
                <w:rFonts w:ascii="Arial Narrow" w:eastAsiaTheme="majorEastAsia" w:hAnsi="Arial Narrow" w:cstheme="majorBidi"/>
                <w:bCs/>
                <w:sz w:val="20"/>
              </w:rPr>
              <w:t xml:space="preserve">Year 4: </w:t>
            </w:r>
            <w:r w:rsidR="00D06CC7">
              <w:rPr>
                <w:rFonts w:ascii="Arial Narrow" w:eastAsiaTheme="majorEastAsia" w:hAnsi="Arial Narrow" w:cstheme="majorBidi"/>
                <w:bCs/>
                <w:noProof/>
                <w:color w:val="000000"/>
                <w:sz w:val="20"/>
                <w:highlight w:val="black"/>
              </w:rPr>
              <w:t>''''''''''''''''</w:t>
            </w:r>
            <w:r w:rsidR="00BB2A42" w:rsidRPr="00BB6C11">
              <w:rPr>
                <w:rFonts w:ascii="Arial Narrow" w:eastAsiaTheme="majorEastAsia" w:hAnsi="Arial Narrow" w:cstheme="majorBidi"/>
                <w:bCs/>
                <w:sz w:val="20"/>
                <w:vertAlign w:val="superscript"/>
              </w:rPr>
              <w:t>4</w:t>
            </w:r>
          </w:p>
          <w:p w14:paraId="0CB26277" w14:textId="77777777" w:rsidR="00CE4D3D" w:rsidRPr="00BB2A42" w:rsidRDefault="00CE4D3D" w:rsidP="0041213B">
            <w:pPr>
              <w:pStyle w:val="TableText0"/>
              <w:keepNext w:val="0"/>
              <w:widowControl w:val="0"/>
              <w:rPr>
                <w:vertAlign w:val="superscript"/>
              </w:rPr>
            </w:pPr>
            <w:r w:rsidRPr="00BB6C11">
              <w:rPr>
                <w:bCs w:val="0"/>
              </w:rPr>
              <w:t xml:space="preserve">Year 5: </w:t>
            </w:r>
            <w:r w:rsidR="00D06CC7">
              <w:rPr>
                <w:bCs w:val="0"/>
                <w:noProof/>
                <w:color w:val="000000"/>
                <w:highlight w:val="black"/>
              </w:rPr>
              <w:t>'''''''''''''''''''''</w:t>
            </w:r>
          </w:p>
        </w:tc>
        <w:tc>
          <w:tcPr>
            <w:tcW w:w="1415" w:type="pct"/>
            <w:vAlign w:val="center"/>
          </w:tcPr>
          <w:p w14:paraId="327837B0" w14:textId="77777777" w:rsidR="00CE4D3D" w:rsidRPr="009C01D5" w:rsidRDefault="00CE4D3D" w:rsidP="0041213B">
            <w:pPr>
              <w:pStyle w:val="TableText0"/>
              <w:keepNext w:val="0"/>
              <w:widowControl w:val="0"/>
              <w:rPr>
                <w:i/>
              </w:rPr>
            </w:pPr>
            <w:r w:rsidRPr="009C01D5">
              <w:rPr>
                <w:bCs w:val="0"/>
              </w:rPr>
              <w:t>This was calculated as a product of the number of brexpiprazole scripts dispensed and projected to be dispensed in the first five years after listing and the estimated uptake rate of cariprazine.</w:t>
            </w:r>
          </w:p>
        </w:tc>
        <w:tc>
          <w:tcPr>
            <w:tcW w:w="1544" w:type="pct"/>
            <w:shd w:val="clear" w:color="auto" w:fill="auto"/>
            <w:vAlign w:val="center"/>
          </w:tcPr>
          <w:p w14:paraId="48FD2737" w14:textId="77777777" w:rsidR="00CE4D3D" w:rsidRPr="009C01D5" w:rsidRDefault="00CE4D3D" w:rsidP="0041213B">
            <w:pPr>
              <w:pStyle w:val="TableText0"/>
              <w:keepNext w:val="0"/>
              <w:widowControl w:val="0"/>
            </w:pPr>
            <w:r w:rsidRPr="009C01D5">
              <w:rPr>
                <w:bCs w:val="0"/>
              </w:rPr>
              <w:t>This was appropriate.</w:t>
            </w:r>
          </w:p>
        </w:tc>
      </w:tr>
      <w:tr w:rsidR="00CE4D3D" w:rsidRPr="009C01D5" w14:paraId="136B06CA" w14:textId="77777777" w:rsidTr="0041213B">
        <w:tc>
          <w:tcPr>
            <w:tcW w:w="5000" w:type="pct"/>
            <w:gridSpan w:val="4"/>
            <w:shd w:val="clear" w:color="auto" w:fill="auto"/>
            <w:vAlign w:val="center"/>
          </w:tcPr>
          <w:p w14:paraId="604A09E9" w14:textId="77777777" w:rsidR="00CE4D3D" w:rsidRPr="009C01D5" w:rsidRDefault="00CE4D3D" w:rsidP="0041213B">
            <w:pPr>
              <w:pStyle w:val="TableText0"/>
              <w:keepNext w:val="0"/>
              <w:widowControl w:val="0"/>
              <w:rPr>
                <w:b/>
                <w:i/>
              </w:rPr>
            </w:pPr>
            <w:r w:rsidRPr="009C01D5">
              <w:rPr>
                <w:b/>
              </w:rPr>
              <w:t xml:space="preserve">Costs </w:t>
            </w:r>
          </w:p>
        </w:tc>
      </w:tr>
      <w:tr w:rsidR="00CE4D3D" w:rsidRPr="009C01D5" w14:paraId="76A088F0" w14:textId="77777777" w:rsidTr="0041213B">
        <w:tc>
          <w:tcPr>
            <w:tcW w:w="1098" w:type="pct"/>
            <w:shd w:val="clear" w:color="auto" w:fill="auto"/>
            <w:vAlign w:val="center"/>
          </w:tcPr>
          <w:p w14:paraId="0BF03061" w14:textId="77777777" w:rsidR="00CE4D3D" w:rsidRPr="009C01D5" w:rsidRDefault="00CE4D3D" w:rsidP="0041213B">
            <w:pPr>
              <w:pStyle w:val="TableText0"/>
              <w:keepNext w:val="0"/>
              <w:widowControl w:val="0"/>
            </w:pPr>
            <w:r w:rsidRPr="009C01D5">
              <w:rPr>
                <w:bCs w:val="0"/>
              </w:rPr>
              <w:t>Cariprazine (DPMQ)</w:t>
            </w:r>
          </w:p>
        </w:tc>
        <w:tc>
          <w:tcPr>
            <w:tcW w:w="943" w:type="pct"/>
            <w:shd w:val="clear" w:color="auto" w:fill="auto"/>
            <w:vAlign w:val="center"/>
          </w:tcPr>
          <w:p w14:paraId="187CA72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1.5 mg = $</w:t>
            </w:r>
            <w:r w:rsidR="00D06CC7">
              <w:rPr>
                <w:rFonts w:ascii="Arial Narrow" w:eastAsiaTheme="majorEastAsia" w:hAnsi="Arial Narrow" w:cstheme="majorBidi"/>
                <w:bCs/>
                <w:noProof/>
                <w:color w:val="000000"/>
                <w:sz w:val="20"/>
                <w:highlight w:val="black"/>
              </w:rPr>
              <w:t>''''''''''''''''''</w:t>
            </w:r>
          </w:p>
          <w:p w14:paraId="012603BA" w14:textId="77777777" w:rsidR="00CE4D3D" w:rsidRPr="00BB2A42" w:rsidRDefault="00CE4D3D" w:rsidP="0041213B">
            <w:pPr>
              <w:widowControl w:val="0"/>
              <w:jc w:val="left"/>
              <w:rPr>
                <w:rFonts w:ascii="Arial Narrow" w:eastAsiaTheme="majorEastAsia" w:hAnsi="Arial Narrow" w:cstheme="majorBidi"/>
                <w:bCs/>
                <w:sz w:val="20"/>
                <w:highlight w:val="red"/>
              </w:rPr>
            </w:pPr>
            <w:r w:rsidRPr="009C01D5">
              <w:rPr>
                <w:rFonts w:ascii="Arial Narrow" w:eastAsiaTheme="majorEastAsia" w:hAnsi="Arial Narrow" w:cstheme="majorBidi"/>
                <w:bCs/>
                <w:sz w:val="20"/>
              </w:rPr>
              <w:t>3 mg = $</w:t>
            </w:r>
            <w:r w:rsidR="00D06CC7">
              <w:rPr>
                <w:rFonts w:ascii="Arial Narrow" w:eastAsiaTheme="majorEastAsia" w:hAnsi="Arial Narrow" w:cstheme="majorBidi"/>
                <w:bCs/>
                <w:noProof/>
                <w:color w:val="000000"/>
                <w:sz w:val="20"/>
                <w:highlight w:val="black"/>
              </w:rPr>
              <w:t>'''''''''''''''''</w:t>
            </w:r>
          </w:p>
          <w:p w14:paraId="2A69A7A6"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4.5 mg = $</w:t>
            </w:r>
            <w:r w:rsidR="00D06CC7">
              <w:rPr>
                <w:rFonts w:ascii="Arial Narrow" w:eastAsiaTheme="majorEastAsia" w:hAnsi="Arial Narrow" w:cstheme="majorBidi"/>
                <w:bCs/>
                <w:noProof/>
                <w:color w:val="000000"/>
                <w:sz w:val="20"/>
                <w:highlight w:val="black"/>
              </w:rPr>
              <w:t>'''''''''''''''''</w:t>
            </w:r>
          </w:p>
          <w:p w14:paraId="3251642C" w14:textId="77777777" w:rsidR="00CE4D3D" w:rsidRPr="009C01D5" w:rsidRDefault="00CE4D3D" w:rsidP="0041213B">
            <w:pPr>
              <w:pStyle w:val="TableText0"/>
              <w:keepNext w:val="0"/>
              <w:widowControl w:val="0"/>
            </w:pPr>
            <w:r w:rsidRPr="009C01D5">
              <w:rPr>
                <w:bCs w:val="0"/>
              </w:rPr>
              <w:t>6 mg = $</w:t>
            </w:r>
            <w:r w:rsidR="00D06CC7">
              <w:rPr>
                <w:bCs w:val="0"/>
                <w:noProof/>
                <w:color w:val="000000"/>
                <w:highlight w:val="black"/>
              </w:rPr>
              <w:t>'''''''''''''''</w:t>
            </w:r>
          </w:p>
        </w:tc>
        <w:tc>
          <w:tcPr>
            <w:tcW w:w="1415" w:type="pct"/>
            <w:vAlign w:val="center"/>
          </w:tcPr>
          <w:p w14:paraId="777CBB4B" w14:textId="77777777" w:rsidR="00CE4D3D" w:rsidRPr="009C01D5" w:rsidRDefault="00CE4D3D" w:rsidP="0041213B">
            <w:pPr>
              <w:pStyle w:val="TableText0"/>
              <w:keepNext w:val="0"/>
              <w:widowControl w:val="0"/>
              <w:rPr>
                <w:i/>
              </w:rPr>
            </w:pPr>
            <w:r w:rsidRPr="009C01D5">
              <w:rPr>
                <w:bCs w:val="0"/>
              </w:rPr>
              <w:t>Requested price was estimated by cost-minimising cariprazine to aripiprazole.</w:t>
            </w:r>
          </w:p>
        </w:tc>
        <w:tc>
          <w:tcPr>
            <w:tcW w:w="1544" w:type="pct"/>
            <w:shd w:val="clear" w:color="auto" w:fill="auto"/>
            <w:vAlign w:val="center"/>
          </w:tcPr>
          <w:p w14:paraId="072A2380" w14:textId="77777777" w:rsidR="00CE4D3D" w:rsidRPr="009C01D5" w:rsidRDefault="00B46D41" w:rsidP="0041213B">
            <w:pPr>
              <w:pStyle w:val="TableText0"/>
              <w:keepNext w:val="0"/>
              <w:widowControl w:val="0"/>
            </w:pPr>
            <w:r w:rsidRPr="009C01D5">
              <w:rPr>
                <w:bCs w:val="0"/>
              </w:rPr>
              <w:t>The PBAC did not accept the equi-effective doses proposed in the submission.</w:t>
            </w:r>
          </w:p>
        </w:tc>
      </w:tr>
      <w:tr w:rsidR="00CE4D3D" w:rsidRPr="009C01D5" w14:paraId="4D5ECD7A" w14:textId="77777777" w:rsidTr="0041213B">
        <w:tc>
          <w:tcPr>
            <w:tcW w:w="1098" w:type="pct"/>
            <w:shd w:val="clear" w:color="auto" w:fill="auto"/>
            <w:vAlign w:val="center"/>
          </w:tcPr>
          <w:p w14:paraId="07B25C2C" w14:textId="77777777" w:rsidR="00CE4D3D" w:rsidRPr="009C01D5" w:rsidRDefault="00CE4D3D" w:rsidP="0041213B">
            <w:pPr>
              <w:pStyle w:val="TableText0"/>
              <w:keepNext w:val="0"/>
              <w:widowControl w:val="0"/>
            </w:pPr>
            <w:r w:rsidRPr="009C01D5">
              <w:rPr>
                <w:bCs w:val="0"/>
              </w:rPr>
              <w:t>Oral Aripiprazole (DPMQ)</w:t>
            </w:r>
          </w:p>
        </w:tc>
        <w:tc>
          <w:tcPr>
            <w:tcW w:w="943" w:type="pct"/>
            <w:shd w:val="clear" w:color="auto" w:fill="auto"/>
            <w:vAlign w:val="center"/>
          </w:tcPr>
          <w:p w14:paraId="6086B68F"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10 mg = $81.41</w:t>
            </w:r>
          </w:p>
          <w:p w14:paraId="2B167D18"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15 mg = $110.50</w:t>
            </w:r>
          </w:p>
          <w:p w14:paraId="18C9BFD6"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20 mg = $132.88</w:t>
            </w:r>
          </w:p>
          <w:p w14:paraId="0ED13E7A" w14:textId="77777777" w:rsidR="00CE4D3D" w:rsidRPr="009C01D5" w:rsidRDefault="00CE4D3D" w:rsidP="0041213B">
            <w:pPr>
              <w:pStyle w:val="TableText0"/>
              <w:keepNext w:val="0"/>
              <w:widowControl w:val="0"/>
            </w:pPr>
            <w:r w:rsidRPr="009C01D5">
              <w:rPr>
                <w:bCs w:val="0"/>
              </w:rPr>
              <w:t>30 mg = $160.40</w:t>
            </w:r>
          </w:p>
        </w:tc>
        <w:tc>
          <w:tcPr>
            <w:tcW w:w="1415" w:type="pct"/>
            <w:vAlign w:val="center"/>
          </w:tcPr>
          <w:p w14:paraId="0C56779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8717T</w:t>
            </w:r>
          </w:p>
          <w:p w14:paraId="6C37525E"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8718W</w:t>
            </w:r>
          </w:p>
          <w:p w14:paraId="215FD0EB"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8719X</w:t>
            </w:r>
          </w:p>
          <w:p w14:paraId="73DE8915" w14:textId="77777777" w:rsidR="00CE4D3D" w:rsidRPr="009C01D5" w:rsidRDefault="00CE4D3D" w:rsidP="0041213B">
            <w:pPr>
              <w:pStyle w:val="TableText0"/>
              <w:keepNext w:val="0"/>
              <w:widowControl w:val="0"/>
              <w:rPr>
                <w:i/>
              </w:rPr>
            </w:pPr>
            <w:r w:rsidRPr="009C01D5">
              <w:rPr>
                <w:bCs w:val="0"/>
              </w:rPr>
              <w:t>8720Y</w:t>
            </w:r>
          </w:p>
        </w:tc>
        <w:tc>
          <w:tcPr>
            <w:tcW w:w="1544" w:type="pct"/>
            <w:shd w:val="clear" w:color="auto" w:fill="auto"/>
            <w:vAlign w:val="center"/>
          </w:tcPr>
          <w:p w14:paraId="3B3DCFEF" w14:textId="77777777" w:rsidR="00CE4D3D" w:rsidRPr="009C01D5" w:rsidRDefault="00CE4D3D" w:rsidP="0041213B">
            <w:pPr>
              <w:pStyle w:val="TableText0"/>
              <w:keepNext w:val="0"/>
              <w:widowControl w:val="0"/>
            </w:pPr>
            <w:r w:rsidRPr="009C01D5">
              <w:rPr>
                <w:bCs w:val="0"/>
              </w:rPr>
              <w:t>This was appropriate.</w:t>
            </w:r>
          </w:p>
        </w:tc>
      </w:tr>
      <w:tr w:rsidR="00CE4D3D" w:rsidRPr="009C01D5" w14:paraId="4C0B3E64" w14:textId="77777777" w:rsidTr="0041213B">
        <w:tc>
          <w:tcPr>
            <w:tcW w:w="1098" w:type="pct"/>
            <w:shd w:val="clear" w:color="auto" w:fill="auto"/>
            <w:vAlign w:val="center"/>
          </w:tcPr>
          <w:p w14:paraId="48FDB05D" w14:textId="77777777" w:rsidR="00CE4D3D" w:rsidRPr="009C01D5" w:rsidRDefault="00CE4D3D" w:rsidP="0041213B">
            <w:pPr>
              <w:pStyle w:val="TableText0"/>
              <w:keepNext w:val="0"/>
              <w:widowControl w:val="0"/>
            </w:pPr>
            <w:r w:rsidRPr="009C01D5">
              <w:rPr>
                <w:bCs w:val="0"/>
              </w:rPr>
              <w:t>Brexpiprazole (DPMQ)</w:t>
            </w:r>
          </w:p>
        </w:tc>
        <w:tc>
          <w:tcPr>
            <w:tcW w:w="943" w:type="pct"/>
            <w:shd w:val="clear" w:color="auto" w:fill="auto"/>
            <w:vAlign w:val="center"/>
          </w:tcPr>
          <w:p w14:paraId="4763C0F8"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 mg = $144.86</w:t>
            </w:r>
          </w:p>
          <w:p w14:paraId="58EEB41F"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2 mg = $144.86</w:t>
            </w:r>
          </w:p>
          <w:p w14:paraId="5880F4C8"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3 mg = $144.86</w:t>
            </w:r>
          </w:p>
          <w:p w14:paraId="663B8F98" w14:textId="77777777" w:rsidR="00CE4D3D" w:rsidRPr="009C01D5" w:rsidRDefault="00CE4D3D" w:rsidP="0041213B">
            <w:pPr>
              <w:pStyle w:val="TableText0"/>
              <w:keepNext w:val="0"/>
              <w:widowControl w:val="0"/>
            </w:pPr>
            <w:r w:rsidRPr="009C01D5">
              <w:rPr>
                <w:bCs w:val="0"/>
              </w:rPr>
              <w:t>4 mg = $144.86</w:t>
            </w:r>
          </w:p>
        </w:tc>
        <w:tc>
          <w:tcPr>
            <w:tcW w:w="1415" w:type="pct"/>
            <w:vAlign w:val="center"/>
          </w:tcPr>
          <w:p w14:paraId="1600AC7D"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11189X</w:t>
            </w:r>
          </w:p>
          <w:p w14:paraId="32E5EAF6"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11188W</w:t>
            </w:r>
          </w:p>
          <w:p w14:paraId="3973B802"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11190Y</w:t>
            </w:r>
          </w:p>
          <w:p w14:paraId="2766F9FF" w14:textId="77777777" w:rsidR="00CE4D3D" w:rsidRPr="009C01D5" w:rsidRDefault="00CE4D3D" w:rsidP="0041213B">
            <w:pPr>
              <w:pStyle w:val="TableText0"/>
              <w:keepNext w:val="0"/>
              <w:widowControl w:val="0"/>
              <w:rPr>
                <w:i/>
              </w:rPr>
            </w:pPr>
            <w:r w:rsidRPr="009C01D5">
              <w:rPr>
                <w:bCs w:val="0"/>
              </w:rPr>
              <w:t>11184P</w:t>
            </w:r>
          </w:p>
        </w:tc>
        <w:tc>
          <w:tcPr>
            <w:tcW w:w="1544" w:type="pct"/>
            <w:shd w:val="clear" w:color="auto" w:fill="auto"/>
            <w:vAlign w:val="center"/>
          </w:tcPr>
          <w:p w14:paraId="34917A3D" w14:textId="77777777" w:rsidR="00CE4D3D" w:rsidRPr="009C01D5" w:rsidRDefault="00CE4D3D" w:rsidP="0041213B">
            <w:pPr>
              <w:pStyle w:val="TableText0"/>
              <w:keepNext w:val="0"/>
              <w:widowControl w:val="0"/>
            </w:pPr>
            <w:r w:rsidRPr="009C01D5">
              <w:rPr>
                <w:bCs w:val="0"/>
              </w:rPr>
              <w:t>This was appropriate.</w:t>
            </w:r>
          </w:p>
        </w:tc>
      </w:tr>
      <w:tr w:rsidR="00CE4D3D" w:rsidRPr="009C01D5" w14:paraId="3F66E1AD" w14:textId="77777777" w:rsidTr="0041213B">
        <w:tc>
          <w:tcPr>
            <w:tcW w:w="1098" w:type="pct"/>
            <w:shd w:val="clear" w:color="auto" w:fill="auto"/>
            <w:vAlign w:val="center"/>
          </w:tcPr>
          <w:p w14:paraId="66656010" w14:textId="77777777" w:rsidR="00CE4D3D" w:rsidRPr="009C01D5" w:rsidRDefault="00CE4D3D" w:rsidP="0041213B">
            <w:pPr>
              <w:pStyle w:val="TableText0"/>
              <w:keepNext w:val="0"/>
              <w:widowControl w:val="0"/>
              <w:rPr>
                <w:bCs w:val="0"/>
              </w:rPr>
            </w:pPr>
            <w:r w:rsidRPr="009C01D5">
              <w:rPr>
                <w:bCs w:val="0"/>
              </w:rPr>
              <w:t>Patient co-payment</w:t>
            </w:r>
          </w:p>
        </w:tc>
        <w:tc>
          <w:tcPr>
            <w:tcW w:w="943" w:type="pct"/>
            <w:shd w:val="clear" w:color="auto" w:fill="auto"/>
            <w:vAlign w:val="center"/>
          </w:tcPr>
          <w:p w14:paraId="5A232891"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 xml:space="preserve">PBS co-payment = </w:t>
            </w:r>
          </w:p>
          <w:p w14:paraId="11D82BF4"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$13.82</w:t>
            </w:r>
          </w:p>
          <w:p w14:paraId="2D1AEAF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RPBS co-payment = $5.37</w:t>
            </w:r>
          </w:p>
        </w:tc>
        <w:tc>
          <w:tcPr>
            <w:tcW w:w="1415" w:type="pct"/>
            <w:vAlign w:val="center"/>
          </w:tcPr>
          <w:p w14:paraId="7CB599FD"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Weighted average of all PBS services.</w:t>
            </w:r>
          </w:p>
          <w:p w14:paraId="5DE173F2"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Weighted average of all RPBS services.</w:t>
            </w:r>
          </w:p>
        </w:tc>
        <w:tc>
          <w:tcPr>
            <w:tcW w:w="1544" w:type="pct"/>
            <w:shd w:val="clear" w:color="auto" w:fill="auto"/>
            <w:vAlign w:val="center"/>
          </w:tcPr>
          <w:p w14:paraId="2D2A00A1" w14:textId="77777777" w:rsidR="00CE4D3D" w:rsidRPr="009C01D5" w:rsidRDefault="00CE4D3D" w:rsidP="0041213B">
            <w:pPr>
              <w:pStyle w:val="TableText0"/>
              <w:keepNext w:val="0"/>
              <w:widowControl w:val="0"/>
              <w:rPr>
                <w:bCs w:val="0"/>
              </w:rPr>
            </w:pPr>
            <w:r w:rsidRPr="009C01D5">
              <w:rPr>
                <w:bCs w:val="0"/>
              </w:rPr>
              <w:t xml:space="preserve">Estimates were appropriately sourced and calculated based on utilisation of aripiprazole. </w:t>
            </w:r>
          </w:p>
        </w:tc>
      </w:tr>
      <w:tr w:rsidR="00CE4D3D" w:rsidRPr="009C01D5" w14:paraId="1D33688E" w14:textId="77777777" w:rsidTr="0041213B">
        <w:tc>
          <w:tcPr>
            <w:tcW w:w="1098" w:type="pct"/>
            <w:shd w:val="clear" w:color="auto" w:fill="auto"/>
            <w:vAlign w:val="center"/>
          </w:tcPr>
          <w:p w14:paraId="68EC84BC" w14:textId="77777777" w:rsidR="00CE4D3D" w:rsidRPr="009C01D5" w:rsidRDefault="00CE4D3D" w:rsidP="0041213B">
            <w:pPr>
              <w:pStyle w:val="TableText0"/>
              <w:keepNext w:val="0"/>
              <w:widowControl w:val="0"/>
              <w:rPr>
                <w:bCs w:val="0"/>
              </w:rPr>
            </w:pPr>
            <w:r w:rsidRPr="009C01D5">
              <w:rPr>
                <w:bCs w:val="0"/>
              </w:rPr>
              <w:t>MBS costs</w:t>
            </w:r>
          </w:p>
        </w:tc>
        <w:tc>
          <w:tcPr>
            <w:tcW w:w="943" w:type="pct"/>
            <w:shd w:val="clear" w:color="auto" w:fill="auto"/>
            <w:vAlign w:val="center"/>
          </w:tcPr>
          <w:p w14:paraId="54AD06C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None used</w:t>
            </w:r>
          </w:p>
        </w:tc>
        <w:tc>
          <w:tcPr>
            <w:tcW w:w="1415" w:type="pct"/>
            <w:vAlign w:val="center"/>
          </w:tcPr>
          <w:p w14:paraId="0CEAAC89"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NA</w:t>
            </w:r>
          </w:p>
        </w:tc>
        <w:tc>
          <w:tcPr>
            <w:tcW w:w="1544" w:type="pct"/>
            <w:shd w:val="clear" w:color="auto" w:fill="auto"/>
            <w:vAlign w:val="center"/>
          </w:tcPr>
          <w:p w14:paraId="21E9B0E1" w14:textId="77777777" w:rsidR="00CE4D3D" w:rsidRPr="009C01D5" w:rsidRDefault="00CE4D3D" w:rsidP="0041213B">
            <w:pPr>
              <w:pStyle w:val="TableText0"/>
              <w:keepNext w:val="0"/>
              <w:widowControl w:val="0"/>
              <w:rPr>
                <w:bCs w:val="0"/>
              </w:rPr>
            </w:pPr>
            <w:r w:rsidRPr="009C01D5">
              <w:rPr>
                <w:bCs w:val="0"/>
              </w:rPr>
              <w:t xml:space="preserve">This appears reasonable as the submission claimed no additional MBS services </w:t>
            </w:r>
            <w:r w:rsidR="00FE3489" w:rsidRPr="009C01D5">
              <w:rPr>
                <w:bCs w:val="0"/>
              </w:rPr>
              <w:t>would</w:t>
            </w:r>
            <w:r w:rsidRPr="009C01D5">
              <w:rPr>
                <w:bCs w:val="0"/>
              </w:rPr>
              <w:t xml:space="preserve"> be required because cariprazine has a similar safety profile</w:t>
            </w:r>
            <w:r w:rsidR="00FE3489" w:rsidRPr="009C01D5">
              <w:rPr>
                <w:bCs w:val="0"/>
              </w:rPr>
              <w:t>,</w:t>
            </w:r>
            <w:r w:rsidRPr="009C01D5">
              <w:rPr>
                <w:bCs w:val="0"/>
              </w:rPr>
              <w:t xml:space="preserve"> as its main comparators, aripiprazole and brexpiprazole, and the frequency of consultation for cariprazine will remain the same as for aripiprazole and brexpiprazole. </w:t>
            </w:r>
          </w:p>
        </w:tc>
      </w:tr>
    </w:tbl>
    <w:p w14:paraId="583EC7A2" w14:textId="77777777" w:rsidR="00CE4D3D" w:rsidRPr="009C01D5" w:rsidRDefault="00CE4D3D" w:rsidP="00CE4D3D">
      <w:pPr>
        <w:keepNext/>
        <w:keepLines/>
        <w:spacing w:after="120"/>
        <w:contextualSpacing/>
        <w:rPr>
          <w:rFonts w:ascii="Arial Narrow" w:hAnsi="Arial Narrow"/>
          <w:snapToGrid w:val="0"/>
          <w:sz w:val="18"/>
          <w:szCs w:val="22"/>
        </w:rPr>
      </w:pPr>
      <w:r w:rsidRPr="009C01D5">
        <w:rPr>
          <w:rFonts w:ascii="Arial Narrow" w:hAnsi="Arial Narrow"/>
          <w:snapToGrid w:val="0"/>
          <w:sz w:val="18"/>
          <w:szCs w:val="22"/>
        </w:rPr>
        <w:t>Abbreviations: mg = milligram; NA = not applicable; PBS = Pharmaceutical Benefit Scheme; RPBS = Repatriation Schedule of Pharmaceutical Benefits.</w:t>
      </w:r>
    </w:p>
    <w:p w14:paraId="7B7D6698" w14:textId="77777777" w:rsidR="00CE4D3D" w:rsidRDefault="00CE4D3D" w:rsidP="00CE4D3D">
      <w:pPr>
        <w:keepNext/>
        <w:keepLines/>
        <w:spacing w:after="120"/>
        <w:contextualSpacing/>
        <w:rPr>
          <w:rFonts w:ascii="Arial Narrow" w:hAnsi="Arial Narrow"/>
          <w:snapToGrid w:val="0"/>
          <w:sz w:val="18"/>
          <w:szCs w:val="22"/>
        </w:rPr>
      </w:pPr>
      <w:r w:rsidRPr="009C01D5">
        <w:rPr>
          <w:rFonts w:ascii="Arial Narrow" w:hAnsi="Arial Narrow"/>
          <w:snapToGrid w:val="0"/>
          <w:sz w:val="18"/>
          <w:szCs w:val="22"/>
        </w:rPr>
        <w:t>Source: Table 3.4.1, p177; Table 3.4.4, p 179; Table 4.2.6, p186; text page 186 and Economic workbook ‘Cariprazine UCM’, worksheet ‘2d. Scripts – market’ of the submission.</w:t>
      </w:r>
    </w:p>
    <w:p w14:paraId="14D5BFC5" w14:textId="77777777" w:rsidR="00BB2A42" w:rsidRPr="00EB70B2" w:rsidRDefault="00BB2A42" w:rsidP="00BB2A42">
      <w:pPr>
        <w:rPr>
          <w:rFonts w:ascii="Arial Narrow" w:hAnsi="Arial Narrow"/>
          <w:i/>
          <w:sz w:val="18"/>
          <w:vertAlign w:val="superscript"/>
        </w:rPr>
      </w:pPr>
      <w:r w:rsidRPr="00EB70B2">
        <w:rPr>
          <w:rFonts w:ascii="Arial Narrow" w:hAnsi="Arial Narrow"/>
          <w:i/>
          <w:sz w:val="18"/>
        </w:rPr>
        <w:t>The redacted values correspond to the following ranges:</w:t>
      </w:r>
    </w:p>
    <w:p w14:paraId="672AA76E" w14:textId="77777777" w:rsidR="00BB2A42" w:rsidRPr="00EB70B2" w:rsidRDefault="00BB2A42" w:rsidP="00BB2A42">
      <w:pPr>
        <w:tabs>
          <w:tab w:val="left" w:pos="2622"/>
        </w:tabs>
        <w:rPr>
          <w:rFonts w:ascii="Arial Narrow" w:hAnsi="Arial Narrow"/>
          <w:i/>
          <w:sz w:val="18"/>
        </w:rPr>
      </w:pPr>
      <w:r w:rsidRPr="00EB70B2">
        <w:rPr>
          <w:rFonts w:ascii="Arial Narrow" w:hAnsi="Arial Narrow"/>
          <w:i/>
          <w:sz w:val="18"/>
          <w:vertAlign w:val="superscript"/>
        </w:rPr>
        <w:t>1</w:t>
      </w:r>
      <w:r w:rsidRPr="00EB70B2">
        <w:rPr>
          <w:rFonts w:ascii="Arial Narrow" w:hAnsi="Arial Narrow"/>
          <w:i/>
          <w:sz w:val="18"/>
        </w:rPr>
        <w:t>500 to &lt;5,000</w:t>
      </w:r>
    </w:p>
    <w:p w14:paraId="6A661002" w14:textId="77777777" w:rsidR="00BB2A42" w:rsidRDefault="00BB2A42" w:rsidP="00BB2A42">
      <w:pPr>
        <w:tabs>
          <w:tab w:val="left" w:pos="2622"/>
        </w:tabs>
        <w:rPr>
          <w:rFonts w:ascii="Arial Narrow" w:hAnsi="Arial Narrow"/>
          <w:i/>
          <w:sz w:val="18"/>
        </w:rPr>
      </w:pPr>
      <w:r>
        <w:rPr>
          <w:rFonts w:ascii="Arial Narrow" w:hAnsi="Arial Narrow"/>
          <w:i/>
          <w:sz w:val="18"/>
          <w:vertAlign w:val="superscript"/>
        </w:rPr>
        <w:t>2</w:t>
      </w:r>
      <w:r w:rsidRPr="00EB70B2">
        <w:rPr>
          <w:rFonts w:ascii="Arial Narrow" w:hAnsi="Arial Narrow"/>
          <w:i/>
          <w:sz w:val="18"/>
        </w:rPr>
        <w:t>20,000 to &lt;30,000</w:t>
      </w:r>
    </w:p>
    <w:p w14:paraId="68810FE4" w14:textId="77777777" w:rsidR="00BB2A42" w:rsidRDefault="00BB2A42" w:rsidP="00BB2A42">
      <w:pPr>
        <w:tabs>
          <w:tab w:val="left" w:pos="2622"/>
        </w:tabs>
        <w:rPr>
          <w:rFonts w:ascii="Arial Narrow" w:hAnsi="Arial Narrow"/>
          <w:i/>
          <w:sz w:val="18"/>
        </w:rPr>
      </w:pPr>
      <w:r>
        <w:rPr>
          <w:rFonts w:ascii="Arial Narrow" w:hAnsi="Arial Narrow"/>
          <w:i/>
          <w:sz w:val="18"/>
          <w:vertAlign w:val="superscript"/>
        </w:rPr>
        <w:t>3</w:t>
      </w:r>
      <w:r w:rsidRPr="00EB70B2">
        <w:rPr>
          <w:rFonts w:ascii="Arial Narrow" w:hAnsi="Arial Narrow"/>
          <w:i/>
          <w:sz w:val="18"/>
        </w:rPr>
        <w:t>40,000 to &lt;50,000</w:t>
      </w:r>
    </w:p>
    <w:p w14:paraId="3A4B7EA3" w14:textId="77777777" w:rsidR="00BB2A42" w:rsidRDefault="00BB2A42" w:rsidP="00BB2A42">
      <w:pPr>
        <w:tabs>
          <w:tab w:val="left" w:pos="2622"/>
        </w:tabs>
        <w:rPr>
          <w:rFonts w:ascii="Arial Narrow" w:hAnsi="Arial Narrow"/>
          <w:i/>
          <w:sz w:val="18"/>
        </w:rPr>
      </w:pPr>
      <w:r>
        <w:rPr>
          <w:rFonts w:ascii="Arial Narrow" w:hAnsi="Arial Narrow"/>
          <w:i/>
          <w:sz w:val="18"/>
          <w:vertAlign w:val="superscript"/>
        </w:rPr>
        <w:t>4</w:t>
      </w:r>
      <w:r w:rsidRPr="00EB70B2">
        <w:rPr>
          <w:rFonts w:ascii="Arial Narrow" w:hAnsi="Arial Narrow"/>
          <w:i/>
          <w:sz w:val="18"/>
        </w:rPr>
        <w:t>50,000 to &lt;60,000</w:t>
      </w:r>
    </w:p>
    <w:p w14:paraId="7D4600C3" w14:textId="77777777" w:rsidR="00BB2A42" w:rsidRPr="00C05142" w:rsidRDefault="00BB2A42" w:rsidP="00BB2A42">
      <w:pPr>
        <w:tabs>
          <w:tab w:val="left" w:pos="2622"/>
        </w:tabs>
        <w:rPr>
          <w:rFonts w:ascii="Arial Narrow" w:hAnsi="Arial Narrow"/>
          <w:i/>
          <w:sz w:val="18"/>
        </w:rPr>
      </w:pPr>
      <w:r>
        <w:rPr>
          <w:rFonts w:ascii="Arial Narrow" w:hAnsi="Arial Narrow"/>
          <w:i/>
          <w:sz w:val="18"/>
          <w:vertAlign w:val="superscript"/>
        </w:rPr>
        <w:t>5</w:t>
      </w:r>
      <w:r>
        <w:rPr>
          <w:rFonts w:ascii="Arial Narrow" w:hAnsi="Arial Narrow"/>
          <w:i/>
          <w:sz w:val="18"/>
        </w:rPr>
        <w:t>70,000 to &lt;80,000</w:t>
      </w:r>
    </w:p>
    <w:p w14:paraId="019838F9" w14:textId="77777777" w:rsidR="00BB2A42" w:rsidRPr="009C01D5" w:rsidRDefault="00BB2A42" w:rsidP="00CE4D3D">
      <w:pPr>
        <w:keepNext/>
        <w:keepLines/>
        <w:spacing w:after="120"/>
        <w:contextualSpacing/>
        <w:rPr>
          <w:rFonts w:ascii="Arial Narrow" w:hAnsi="Arial Narrow"/>
          <w:snapToGrid w:val="0"/>
          <w:sz w:val="18"/>
          <w:szCs w:val="22"/>
        </w:rPr>
      </w:pPr>
    </w:p>
    <w:p w14:paraId="47CE4CF2" w14:textId="77777777" w:rsidR="00CE4D3D" w:rsidRPr="009C01D5" w:rsidRDefault="00CE4D3D" w:rsidP="00CE4D3D">
      <w:pPr>
        <w:pStyle w:val="3-BodyText"/>
      </w:pPr>
      <w:r w:rsidRPr="009C01D5">
        <w:t xml:space="preserve">The submission provided detailed information in applying the market share approach. </w:t>
      </w:r>
      <w:r w:rsidRPr="009C01D5">
        <w:rPr>
          <w:iCs/>
        </w:rPr>
        <w:t>The Commentary note</w:t>
      </w:r>
      <w:r w:rsidR="00E1029A" w:rsidRPr="009C01D5">
        <w:rPr>
          <w:iCs/>
        </w:rPr>
        <w:t>d</w:t>
      </w:r>
      <w:r w:rsidRPr="009C01D5">
        <w:rPr>
          <w:iCs/>
        </w:rPr>
        <w:t xml:space="preserve"> the following issues of concern with the steps taken by </w:t>
      </w:r>
      <w:r w:rsidR="00B54839" w:rsidRPr="009C01D5">
        <w:rPr>
          <w:iCs/>
        </w:rPr>
        <w:t xml:space="preserve">the </w:t>
      </w:r>
      <w:r w:rsidRPr="009C01D5">
        <w:rPr>
          <w:iCs/>
        </w:rPr>
        <w:t>submission in applying the market share approach:</w:t>
      </w:r>
    </w:p>
    <w:p w14:paraId="506ACB5D" w14:textId="77777777" w:rsidR="00CE4D3D" w:rsidRPr="009C01D5" w:rsidRDefault="00CE4D3D" w:rsidP="00CD3BC7">
      <w:pPr>
        <w:pStyle w:val="3-BodyText"/>
        <w:numPr>
          <w:ilvl w:val="0"/>
          <w:numId w:val="12"/>
        </w:numPr>
      </w:pPr>
      <w:r w:rsidRPr="009C01D5">
        <w:t xml:space="preserve">The submission claimed that cariprazine </w:t>
      </w:r>
      <w:r w:rsidR="00E1029A" w:rsidRPr="009C01D5">
        <w:t>would</w:t>
      </w:r>
      <w:r w:rsidRPr="009C01D5">
        <w:t xml:space="preserve"> primarily replace its closest pharmacological analogues, aripiprazole and brexpiprazole. The submission examined the impact of potential replacement of the five </w:t>
      </w:r>
      <w:r w:rsidR="00B46D41" w:rsidRPr="009C01D5">
        <w:t xml:space="preserve">non-inferior </w:t>
      </w:r>
      <w:r w:rsidRPr="009C01D5">
        <w:t>drugs as previously considered by the PBAC (aripiprazole, brexpiprazole, lurasidone, paliperidone and ziprasidone) in sensitivity analyses (Table 1</w:t>
      </w:r>
      <w:r w:rsidR="00102AA3" w:rsidRPr="009C01D5">
        <w:t>8</w:t>
      </w:r>
      <w:r w:rsidRPr="009C01D5">
        <w:t xml:space="preserve">). </w:t>
      </w:r>
      <w:r w:rsidRPr="009C01D5">
        <w:rPr>
          <w:bCs/>
          <w:iCs/>
        </w:rPr>
        <w:t>The submission’s assumption that substitution w</w:t>
      </w:r>
      <w:r w:rsidR="006226AB" w:rsidRPr="009C01D5">
        <w:rPr>
          <w:bCs/>
          <w:iCs/>
        </w:rPr>
        <w:t>ould</w:t>
      </w:r>
      <w:r w:rsidRPr="009C01D5">
        <w:rPr>
          <w:bCs/>
          <w:iCs/>
        </w:rPr>
        <w:t xml:space="preserve"> result in only replacement of cariprazine for its </w:t>
      </w:r>
      <w:r w:rsidR="00695CBA" w:rsidRPr="009C01D5">
        <w:rPr>
          <w:bCs/>
          <w:iCs/>
        </w:rPr>
        <w:t xml:space="preserve">pharmacological analogues </w:t>
      </w:r>
      <w:r w:rsidRPr="009C01D5">
        <w:rPr>
          <w:bCs/>
          <w:iCs/>
        </w:rPr>
        <w:t>may not be appropriate</w:t>
      </w:r>
      <w:r w:rsidR="0014333A" w:rsidRPr="009C01D5">
        <w:rPr>
          <w:bCs/>
          <w:iCs/>
        </w:rPr>
        <w:t>.</w:t>
      </w:r>
      <w:r w:rsidRPr="009C01D5">
        <w:rPr>
          <w:bCs/>
          <w:iCs/>
        </w:rPr>
        <w:t xml:space="preserve"> </w:t>
      </w:r>
      <w:r w:rsidR="0014333A" w:rsidRPr="009C01D5">
        <w:rPr>
          <w:bCs/>
          <w:iCs/>
        </w:rPr>
        <w:t>I</w:t>
      </w:r>
      <w:r w:rsidRPr="009C01D5">
        <w:rPr>
          <w:bCs/>
          <w:iCs/>
        </w:rPr>
        <w:t>t is likely that it will also result in displacement of the</w:t>
      </w:r>
      <w:r w:rsidR="00695CBA" w:rsidRPr="009C01D5">
        <w:rPr>
          <w:bCs/>
          <w:iCs/>
        </w:rPr>
        <w:t>se</w:t>
      </w:r>
      <w:r w:rsidRPr="009C01D5">
        <w:rPr>
          <w:bCs/>
          <w:iCs/>
        </w:rPr>
        <w:t xml:space="preserve"> </w:t>
      </w:r>
      <w:r w:rsidR="00695CBA" w:rsidRPr="009C01D5">
        <w:rPr>
          <w:bCs/>
          <w:iCs/>
        </w:rPr>
        <w:t xml:space="preserve">treatments </w:t>
      </w:r>
      <w:r w:rsidRPr="009C01D5">
        <w:rPr>
          <w:bCs/>
          <w:iCs/>
        </w:rPr>
        <w:t>(and possibly</w:t>
      </w:r>
      <w:r w:rsidRPr="009C01D5">
        <w:t xml:space="preserve"> </w:t>
      </w:r>
      <w:r w:rsidRPr="009C01D5">
        <w:rPr>
          <w:bCs/>
          <w:iCs/>
        </w:rPr>
        <w:t>lurasidone, paliperidone and ziprasidone) to later line use</w:t>
      </w:r>
      <w:r w:rsidR="009C01D5">
        <w:rPr>
          <w:bCs/>
          <w:iCs/>
        </w:rPr>
        <w:t xml:space="preserve">. </w:t>
      </w:r>
    </w:p>
    <w:p w14:paraId="2C087FDC" w14:textId="77777777" w:rsidR="00CE4D3D" w:rsidRPr="009C01D5" w:rsidRDefault="00CE4D3D" w:rsidP="00CD3BC7">
      <w:pPr>
        <w:pStyle w:val="3-BodyText"/>
        <w:numPr>
          <w:ilvl w:val="0"/>
          <w:numId w:val="12"/>
        </w:numPr>
      </w:pPr>
      <w:r w:rsidRPr="009C01D5">
        <w:t>The submission estimated the future market size of cariprazine based on the projected rate of growth and number of scripts of oral aripiprazole and brexpiprazole over the six years following PBS listing. The approach taken by the submission to calculate the projected growth of the comparators appear</w:t>
      </w:r>
      <w:r w:rsidR="007F77D0" w:rsidRPr="009C01D5">
        <w:t>ed</w:t>
      </w:r>
      <w:r w:rsidRPr="009C01D5">
        <w:t xml:space="preserve"> reasonable</w:t>
      </w:r>
      <w:r w:rsidR="007F77D0" w:rsidRPr="009C01D5">
        <w:t>;</w:t>
      </w:r>
      <w:r w:rsidRPr="009C01D5">
        <w:t xml:space="preserve"> however</w:t>
      </w:r>
      <w:r w:rsidR="007F77D0" w:rsidRPr="009C01D5">
        <w:t>,</w:t>
      </w:r>
      <w:r w:rsidRPr="009C01D5">
        <w:t xml:space="preserve"> since prescription data are available from 2017, it would have been more appropriate for the submission to estimate the linear projections of brexpiprazole using the same approach as for aripiprazole, based on data from 2017 to 2019, for consistency. </w:t>
      </w:r>
      <w:r w:rsidR="00E50F7B" w:rsidRPr="009C01D5">
        <w:t>The PBAC considered that by</w:t>
      </w:r>
      <w:r w:rsidR="0014333A" w:rsidRPr="009C01D5">
        <w:t xml:space="preserve"> </w:t>
      </w:r>
      <w:r w:rsidRPr="009C01D5">
        <w:t>using monthly data from 2019, when the utilisation and growth rate of brexpiprazole ha</w:t>
      </w:r>
      <w:r w:rsidR="0014333A" w:rsidRPr="009C01D5">
        <w:t>d increased</w:t>
      </w:r>
      <w:r w:rsidRPr="009C01D5">
        <w:t>, the submission may have overestimated the projections for 2020 to 2025.</w:t>
      </w:r>
    </w:p>
    <w:p w14:paraId="5D1DE2ED" w14:textId="77777777" w:rsidR="00CE4D3D" w:rsidRPr="009C01D5" w:rsidRDefault="00CE4D3D" w:rsidP="00CD3BC7">
      <w:pPr>
        <w:pStyle w:val="3-BodyText"/>
        <w:numPr>
          <w:ilvl w:val="0"/>
          <w:numId w:val="12"/>
        </w:numPr>
      </w:pPr>
      <w:r w:rsidRPr="009C01D5">
        <w:t xml:space="preserve">The market share of cariprazine was estimated using brexpiprazole. </w:t>
      </w:r>
      <w:r w:rsidR="007B1AE5" w:rsidRPr="009C01D5">
        <w:rPr>
          <w:bCs/>
        </w:rPr>
        <w:t>T</w:t>
      </w:r>
      <w:r w:rsidRPr="009C01D5">
        <w:rPr>
          <w:bCs/>
        </w:rPr>
        <w:t xml:space="preserve">he </w:t>
      </w:r>
      <w:r w:rsidR="00277B0C" w:rsidRPr="009C01D5">
        <w:rPr>
          <w:bCs/>
        </w:rPr>
        <w:t xml:space="preserve">PBAC noted the </w:t>
      </w:r>
      <w:r w:rsidRPr="009C01D5">
        <w:rPr>
          <w:bCs/>
        </w:rPr>
        <w:t xml:space="preserve">submission claimed cariprazine uptake </w:t>
      </w:r>
      <w:r w:rsidR="00DD299E" w:rsidRPr="009C01D5">
        <w:rPr>
          <w:bCs/>
        </w:rPr>
        <w:t>would</w:t>
      </w:r>
      <w:r w:rsidRPr="009C01D5">
        <w:rPr>
          <w:bCs/>
        </w:rPr>
        <w:t xml:space="preserve"> exceed brexpiprazole by 10% (no justification was provided for this assumption) because of its proven efficacy in treatment of negative symptoms. The submission further assumed that cariprazine </w:t>
      </w:r>
      <w:r w:rsidR="00DD299E" w:rsidRPr="009C01D5">
        <w:rPr>
          <w:bCs/>
        </w:rPr>
        <w:t>would</w:t>
      </w:r>
      <w:r w:rsidRPr="009C01D5">
        <w:rPr>
          <w:bCs/>
        </w:rPr>
        <w:t xml:space="preserve"> be listed in July 2021 relative to brexpiprazole that was listed in October, thus the relative uptake for the first year for cariprazine is doubled to correspond to two quarters. </w:t>
      </w:r>
      <w:r w:rsidR="001B7954">
        <w:rPr>
          <w:bCs/>
        </w:rPr>
        <w:t xml:space="preserve">Despite the PBAC Guidelines v5.0 stating that </w:t>
      </w:r>
      <w:r w:rsidR="001B7954" w:rsidRPr="001B7954">
        <w:rPr>
          <w:bCs/>
        </w:rPr>
        <w:t>sponsors should present a full six years of financial data, the submission presented data for Year 1 that was not based on a full 12 months but reflected part of a calendar year.</w:t>
      </w:r>
      <w:r w:rsidR="001B7954">
        <w:rPr>
          <w:bCs/>
        </w:rPr>
        <w:t xml:space="preserve"> </w:t>
      </w:r>
      <w:r w:rsidRPr="009C01D5">
        <w:rPr>
          <w:bCs/>
        </w:rPr>
        <w:t>The submission also doubled its assumed 10% additional uptake of brexpiprazole for Year 1 (Table 1</w:t>
      </w:r>
      <w:r w:rsidR="008100D9" w:rsidRPr="009C01D5">
        <w:rPr>
          <w:bCs/>
        </w:rPr>
        <w:t>6</w:t>
      </w:r>
      <w:r w:rsidRPr="009C01D5">
        <w:rPr>
          <w:bCs/>
        </w:rPr>
        <w:t xml:space="preserve">). Based on the justification provided by the submission and the additional 10% uptake applied </w:t>
      </w:r>
      <w:r w:rsidR="0014333A" w:rsidRPr="009C01D5">
        <w:rPr>
          <w:bCs/>
        </w:rPr>
        <w:t>for</w:t>
      </w:r>
      <w:r w:rsidRPr="009C01D5">
        <w:rPr>
          <w:bCs/>
        </w:rPr>
        <w:t xml:space="preserve"> Year 2 to Year 5, it is expected that correspondingly, there will be an additional 10% uptake in Year </w:t>
      </w:r>
      <w:r w:rsidR="00DD299E" w:rsidRPr="009C01D5">
        <w:rPr>
          <w:bCs/>
        </w:rPr>
        <w:t>1</w:t>
      </w:r>
      <w:r w:rsidRPr="009C01D5">
        <w:rPr>
          <w:bCs/>
        </w:rPr>
        <w:t xml:space="preserve"> and not 20% additional uptake. Assuming 10% additional uptake in Year 1 will result in </w:t>
      </w:r>
      <w:r w:rsidR="003A4CC9">
        <w:rPr>
          <w:bCs/>
        </w:rPr>
        <w:t>500 to &lt;5,000</w:t>
      </w:r>
      <w:r w:rsidRPr="009C01D5">
        <w:rPr>
          <w:bCs/>
        </w:rPr>
        <w:t xml:space="preserve"> cariprazine scripts compared to the estimated </w:t>
      </w:r>
      <w:r w:rsidR="003A4CC9">
        <w:rPr>
          <w:bCs/>
        </w:rPr>
        <w:t>500 to &lt;5,000</w:t>
      </w:r>
      <w:r w:rsidRPr="009C01D5">
        <w:rPr>
          <w:bCs/>
        </w:rPr>
        <w:t xml:space="preserve"> scripts.</w:t>
      </w:r>
      <w:r w:rsidRPr="009C01D5">
        <w:rPr>
          <w:bCs/>
          <w:i/>
        </w:rPr>
        <w:t xml:space="preserve"> </w:t>
      </w:r>
    </w:p>
    <w:p w14:paraId="5E978D4A" w14:textId="77777777" w:rsidR="00CE4D3D" w:rsidRPr="009C01D5" w:rsidRDefault="00CE4D3D" w:rsidP="00CD3BC7">
      <w:pPr>
        <w:pStyle w:val="3-BodyText"/>
        <w:numPr>
          <w:ilvl w:val="0"/>
          <w:numId w:val="12"/>
        </w:numPr>
        <w:rPr>
          <w:i/>
        </w:rPr>
      </w:pPr>
      <w:r w:rsidRPr="009C01D5">
        <w:t>The submission assumed substitution of each strength of the comparator by the most likely strength of cariprazine based on similarity to the cariprazine dose equivalent (based on the equi-effective doses). The submission further assumed that substitution for brexpiprazole 2 mg, which represents approximately 40% of brexpiprazole utilisation, is split between the 1.5 mg and 3 mg strengths of cariprazine based on the differences in the specific dosing and manner of administration recommendations for brexpiprazole compared to cariprazine. The split between the two cariprazine strengths, 1.5 mg and 3 mg, for brexpiprazole 2 mg was not consistent for all the years and the submission did not provide any justification</w:t>
      </w:r>
      <w:r w:rsidR="007971A0" w:rsidRPr="009C01D5">
        <w:t xml:space="preserve"> for</w:t>
      </w:r>
      <w:r w:rsidRPr="009C01D5">
        <w:t xml:space="preserve"> </w:t>
      </w:r>
      <w:r w:rsidR="0014333A" w:rsidRPr="009C01D5">
        <w:t>this</w:t>
      </w:r>
      <w:r w:rsidRPr="009C01D5">
        <w:t>. The submission varied this assumption in a sensitivity analysis (Table 1</w:t>
      </w:r>
      <w:r w:rsidR="008100D9" w:rsidRPr="009C01D5">
        <w:t>7</w:t>
      </w:r>
      <w:r w:rsidRPr="009C01D5">
        <w:t>).</w:t>
      </w:r>
    </w:p>
    <w:p w14:paraId="77143F00" w14:textId="77777777" w:rsidR="00CE4D3D" w:rsidRPr="009C01D5" w:rsidRDefault="00CE4D3D" w:rsidP="00CD3BC7">
      <w:pPr>
        <w:pStyle w:val="3-BodyText"/>
        <w:numPr>
          <w:ilvl w:val="0"/>
          <w:numId w:val="12"/>
        </w:numPr>
        <w:rPr>
          <w:i/>
        </w:rPr>
      </w:pPr>
      <w:r w:rsidRPr="009C01D5">
        <w:t>The resulting numbers and proportions of each strength of cariprazine dispensed on the PBS/RPBS varied over the first five years of listing cariprazine. The average weighted price of cariprazine will change when the submission’s estimated proportion of scripts used in Australia over the first five years of listing are applied as weights: $</w:t>
      </w:r>
      <w:r w:rsidR="00D06CC7">
        <w:rPr>
          <w:noProof/>
          <w:color w:val="000000"/>
          <w:highlight w:val="black"/>
        </w:rPr>
        <w:t>'''''''''''</w:t>
      </w:r>
      <w:r w:rsidRPr="0024069D">
        <w:t xml:space="preserve"> (AEMP) in 2021 to $</w:t>
      </w:r>
      <w:r w:rsidR="00D06CC7">
        <w:rPr>
          <w:noProof/>
          <w:color w:val="000000"/>
          <w:highlight w:val="black"/>
        </w:rPr>
        <w:t>''''''''''''''</w:t>
      </w:r>
      <w:r w:rsidRPr="0024069D">
        <w:t xml:space="preserve"> (AEMP</w:t>
      </w:r>
      <w:r w:rsidRPr="009C01D5">
        <w:t>) in 2025.</w:t>
      </w:r>
    </w:p>
    <w:p w14:paraId="5EC1CB26" w14:textId="77777777" w:rsidR="00636840" w:rsidRPr="009C01D5" w:rsidRDefault="00636840" w:rsidP="00636840">
      <w:pPr>
        <w:pStyle w:val="3-BodyText"/>
      </w:pPr>
      <w:r w:rsidRPr="009C01D5">
        <w:t xml:space="preserve">The ESC noted that there was an increase in efficacy up to 6 mg of cariprazine, and that the recommended </w:t>
      </w:r>
      <w:r w:rsidR="00943E06" w:rsidRPr="009C01D5">
        <w:t xml:space="preserve">maximum </w:t>
      </w:r>
      <w:r w:rsidRPr="009C01D5">
        <w:t xml:space="preserve">dose is 6 mg due to increased AEs at higher doses. The ESC considered that if AEs are limited below 6 mg, it is possible that clinicians would attempt to achieve the optimum effect by using the maximum safe dose of 6 mg. This </w:t>
      </w:r>
      <w:r w:rsidR="00AA1352" w:rsidRPr="009C01D5">
        <w:t xml:space="preserve">PBAC noted that this </w:t>
      </w:r>
      <w:r w:rsidRPr="009C01D5">
        <w:t>could lead to a higher cost to the Government than was estimated by the submission, as the submission assumed that the lower strengths would be used more than the higher strengths</w:t>
      </w:r>
      <w:r w:rsidR="009C01D5">
        <w:t xml:space="preserve">. </w:t>
      </w:r>
      <w:r w:rsidRPr="009C01D5">
        <w:t xml:space="preserve"> </w:t>
      </w:r>
    </w:p>
    <w:p w14:paraId="4B9B5D3A" w14:textId="77777777" w:rsidR="00FA3DBB" w:rsidRPr="009C01D5" w:rsidRDefault="00FA3DBB" w:rsidP="00636840">
      <w:pPr>
        <w:pStyle w:val="3-BodyText"/>
      </w:pPr>
      <w:r w:rsidRPr="009C01D5">
        <w:t xml:space="preserve">The pre-PBAC response </w:t>
      </w:r>
      <w:r w:rsidR="00D23A8C" w:rsidRPr="009C01D5">
        <w:t>disagreed with the ESC</w:t>
      </w:r>
      <w:r w:rsidRPr="009C01D5">
        <w:t xml:space="preserve"> that clinicians would attempt to achieve the optimum effect by usin</w:t>
      </w:r>
      <w:r w:rsidR="00D36E2D" w:rsidRPr="009C01D5">
        <w:t xml:space="preserve">g the maximum safe dose of 6 mg, stating that the dosing recommendations are to use the lowest effective dose and real-world utilisation patterns shows limited use of the 6 mg dose. </w:t>
      </w:r>
    </w:p>
    <w:p w14:paraId="22544D8B" w14:textId="77777777" w:rsidR="002864C6" w:rsidRPr="009C01D5" w:rsidRDefault="00FE6209" w:rsidP="002864C6">
      <w:pPr>
        <w:pStyle w:val="3-BodyText"/>
      </w:pPr>
      <w:r w:rsidRPr="009C01D5">
        <w:t xml:space="preserve">The ESC considered that cariprazine may have clinical benefits over aripiprazole and brexpiprazole, including a slightly favourable AE profile, which may lead to an increase in the market share, however the ESC </w:t>
      </w:r>
      <w:r w:rsidR="00636840" w:rsidRPr="009C01D5">
        <w:t>acknowledged</w:t>
      </w:r>
      <w:r w:rsidRPr="009C01D5">
        <w:t xml:space="preserve"> that this would be difficult to </w:t>
      </w:r>
      <w:r w:rsidR="00E71B6F" w:rsidRPr="009C01D5">
        <w:t>forecast</w:t>
      </w:r>
      <w:r w:rsidRPr="009C01D5">
        <w:t xml:space="preserve">. </w:t>
      </w:r>
    </w:p>
    <w:p w14:paraId="172F8E50" w14:textId="77777777" w:rsidR="00CE4D3D" w:rsidRPr="009C01D5" w:rsidRDefault="00CE4D3D" w:rsidP="00CE4D3D">
      <w:pPr>
        <w:pStyle w:val="3-BodyText"/>
        <w:rPr>
          <w:i/>
          <w:iCs/>
        </w:rPr>
      </w:pPr>
      <w:r w:rsidRPr="009C01D5">
        <w:t>A summary of the estimated use and financial implications for listing cariprazine on the PBS is presented in Table 1</w:t>
      </w:r>
      <w:r w:rsidR="008100D9" w:rsidRPr="009C01D5">
        <w:t>7</w:t>
      </w:r>
      <w:r w:rsidRPr="009C01D5">
        <w:t>. The submission assumed that cariprazine w</w:t>
      </w:r>
      <w:r w:rsidR="000B320D" w:rsidRPr="009C01D5">
        <w:t>ould</w:t>
      </w:r>
      <w:r w:rsidRPr="009C01D5">
        <w:t xml:space="preserve"> be listed in July 2021. </w:t>
      </w:r>
      <w:r w:rsidRPr="009C01D5">
        <w:rPr>
          <w:iCs/>
        </w:rPr>
        <w:t xml:space="preserve">The </w:t>
      </w:r>
      <w:r w:rsidR="00277B0C" w:rsidRPr="009C01D5">
        <w:rPr>
          <w:iCs/>
        </w:rPr>
        <w:t xml:space="preserve">PBAC noted the </w:t>
      </w:r>
      <w:r w:rsidRPr="009C01D5">
        <w:rPr>
          <w:iCs/>
        </w:rPr>
        <w:t>submission presented information for part of the first year of listing (2021) that corresponds with information for only four full years of listing. The Commentary was not able to extend the submission’s methods of calculating use in that fourth year to estimate use in years 5 and 6 due to the structure of the analysis in the Excel file ‘Cariprazine UCM’ presented by the submission.</w:t>
      </w:r>
    </w:p>
    <w:p w14:paraId="16734B1D" w14:textId="77777777" w:rsidR="000A2E54" w:rsidRPr="009C01D5" w:rsidRDefault="000A2E54">
      <w:pPr>
        <w:jc w:val="left"/>
        <w:rPr>
          <w:rFonts w:ascii="Arial Narrow" w:eastAsiaTheme="majorEastAsia" w:hAnsi="Arial Narrow" w:cstheme="majorBidi"/>
          <w:b/>
          <w:bCs/>
          <w:sz w:val="20"/>
        </w:rPr>
      </w:pPr>
      <w:bookmarkStart w:id="41" w:name="_Ref50105867"/>
      <w:r w:rsidRPr="009C01D5">
        <w:br w:type="page"/>
      </w:r>
    </w:p>
    <w:p w14:paraId="601545EA" w14:textId="77777777" w:rsidR="00CE4D3D" w:rsidRPr="009C01D5" w:rsidRDefault="00CE4D3D" w:rsidP="00CE4D3D">
      <w:pPr>
        <w:pStyle w:val="TableFigureHeading"/>
      </w:pPr>
      <w:r w:rsidRPr="009C01D5">
        <w:t>Table</w:t>
      </w:r>
      <w:bookmarkEnd w:id="41"/>
      <w:r w:rsidRPr="009C01D5">
        <w:t xml:space="preserve"> 1</w:t>
      </w:r>
      <w:r w:rsidR="008100D9" w:rsidRPr="009C01D5">
        <w:t>7</w:t>
      </w:r>
      <w:r w:rsidRPr="009C01D5">
        <w:t xml:space="preserve">: </w:t>
      </w:r>
      <w:r w:rsidRPr="009C01D5">
        <w:rPr>
          <w:rStyle w:val="CommentReference"/>
          <w:b/>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CE4D3D" w:rsidRPr="009C01D5" w14:paraId="4E697F01" w14:textId="77777777" w:rsidTr="0041213B">
        <w:trPr>
          <w:tblHeader/>
        </w:trPr>
        <w:tc>
          <w:tcPr>
            <w:tcW w:w="1116" w:type="pct"/>
            <w:shd w:val="clear" w:color="auto" w:fill="auto"/>
            <w:vAlign w:val="center"/>
          </w:tcPr>
          <w:p w14:paraId="2B280C8F" w14:textId="77777777" w:rsidR="00CE4D3D" w:rsidRPr="009C01D5" w:rsidRDefault="00CE4D3D" w:rsidP="0041213B">
            <w:pPr>
              <w:pStyle w:val="In-tableHeading"/>
              <w:keepNext w:val="0"/>
              <w:widowControl w:val="0"/>
              <w:jc w:val="center"/>
              <w:rPr>
                <w:lang w:val="en-AU"/>
              </w:rPr>
            </w:pPr>
          </w:p>
        </w:tc>
        <w:tc>
          <w:tcPr>
            <w:tcW w:w="647" w:type="pct"/>
            <w:shd w:val="clear" w:color="auto" w:fill="auto"/>
            <w:vAlign w:val="center"/>
          </w:tcPr>
          <w:p w14:paraId="3A7688AA" w14:textId="77777777" w:rsidR="00CE4D3D" w:rsidRPr="009C01D5" w:rsidRDefault="00CE4D3D" w:rsidP="0041213B">
            <w:pPr>
              <w:pStyle w:val="In-tableHeading"/>
              <w:keepNext w:val="0"/>
              <w:widowControl w:val="0"/>
              <w:jc w:val="center"/>
              <w:rPr>
                <w:lang w:val="en-AU"/>
              </w:rPr>
            </w:pPr>
            <w:r w:rsidRPr="009C01D5">
              <w:rPr>
                <w:lang w:val="en-AU"/>
              </w:rPr>
              <w:t>Year 1</w:t>
            </w:r>
          </w:p>
        </w:tc>
        <w:tc>
          <w:tcPr>
            <w:tcW w:w="647" w:type="pct"/>
            <w:shd w:val="clear" w:color="auto" w:fill="auto"/>
            <w:vAlign w:val="center"/>
          </w:tcPr>
          <w:p w14:paraId="7065BCDE" w14:textId="77777777" w:rsidR="00CE4D3D" w:rsidRPr="009C01D5" w:rsidRDefault="00CE4D3D" w:rsidP="0041213B">
            <w:pPr>
              <w:pStyle w:val="In-tableHeading"/>
              <w:keepNext w:val="0"/>
              <w:widowControl w:val="0"/>
              <w:jc w:val="center"/>
              <w:rPr>
                <w:lang w:val="en-AU"/>
              </w:rPr>
            </w:pPr>
            <w:r w:rsidRPr="009C01D5">
              <w:rPr>
                <w:lang w:val="en-AU"/>
              </w:rPr>
              <w:t>Year 2</w:t>
            </w:r>
          </w:p>
        </w:tc>
        <w:tc>
          <w:tcPr>
            <w:tcW w:w="647" w:type="pct"/>
            <w:shd w:val="clear" w:color="auto" w:fill="auto"/>
            <w:vAlign w:val="center"/>
          </w:tcPr>
          <w:p w14:paraId="0A0B8C0F" w14:textId="77777777" w:rsidR="00CE4D3D" w:rsidRPr="009C01D5" w:rsidRDefault="00CE4D3D" w:rsidP="0041213B">
            <w:pPr>
              <w:pStyle w:val="In-tableHeading"/>
              <w:keepNext w:val="0"/>
              <w:widowControl w:val="0"/>
              <w:jc w:val="center"/>
              <w:rPr>
                <w:lang w:val="en-AU"/>
              </w:rPr>
            </w:pPr>
            <w:r w:rsidRPr="009C01D5">
              <w:rPr>
                <w:lang w:val="en-AU"/>
              </w:rPr>
              <w:t>Year 3</w:t>
            </w:r>
          </w:p>
        </w:tc>
        <w:tc>
          <w:tcPr>
            <w:tcW w:w="647" w:type="pct"/>
            <w:shd w:val="clear" w:color="auto" w:fill="auto"/>
            <w:vAlign w:val="center"/>
          </w:tcPr>
          <w:p w14:paraId="7808D537" w14:textId="77777777" w:rsidR="00CE4D3D" w:rsidRPr="009C01D5" w:rsidRDefault="00CE4D3D" w:rsidP="0041213B">
            <w:pPr>
              <w:pStyle w:val="In-tableHeading"/>
              <w:keepNext w:val="0"/>
              <w:widowControl w:val="0"/>
              <w:jc w:val="center"/>
              <w:rPr>
                <w:lang w:val="en-AU"/>
              </w:rPr>
            </w:pPr>
            <w:r w:rsidRPr="009C01D5">
              <w:rPr>
                <w:lang w:val="en-AU"/>
              </w:rPr>
              <w:t>Year 4</w:t>
            </w:r>
          </w:p>
        </w:tc>
        <w:tc>
          <w:tcPr>
            <w:tcW w:w="647" w:type="pct"/>
            <w:shd w:val="clear" w:color="auto" w:fill="auto"/>
            <w:vAlign w:val="center"/>
          </w:tcPr>
          <w:p w14:paraId="05E8A0E9" w14:textId="77777777" w:rsidR="00CE4D3D" w:rsidRPr="009C01D5" w:rsidRDefault="00CE4D3D" w:rsidP="0041213B">
            <w:pPr>
              <w:pStyle w:val="In-tableHeading"/>
              <w:keepNext w:val="0"/>
              <w:widowControl w:val="0"/>
              <w:jc w:val="center"/>
              <w:rPr>
                <w:lang w:val="en-AU"/>
              </w:rPr>
            </w:pPr>
            <w:r w:rsidRPr="009C01D5">
              <w:rPr>
                <w:lang w:val="en-AU"/>
              </w:rPr>
              <w:t>Year 5</w:t>
            </w:r>
          </w:p>
        </w:tc>
        <w:tc>
          <w:tcPr>
            <w:tcW w:w="649" w:type="pct"/>
          </w:tcPr>
          <w:p w14:paraId="4871BCEC" w14:textId="77777777" w:rsidR="00CE4D3D" w:rsidRPr="009C01D5" w:rsidRDefault="00CE4D3D" w:rsidP="0041213B">
            <w:pPr>
              <w:pStyle w:val="In-tableHeading"/>
              <w:keepNext w:val="0"/>
              <w:widowControl w:val="0"/>
              <w:jc w:val="center"/>
              <w:rPr>
                <w:lang w:val="en-AU"/>
              </w:rPr>
            </w:pPr>
            <w:r w:rsidRPr="009C01D5">
              <w:rPr>
                <w:lang w:val="en-AU"/>
              </w:rPr>
              <w:t>Year 6</w:t>
            </w:r>
          </w:p>
        </w:tc>
      </w:tr>
      <w:tr w:rsidR="00CE4D3D" w:rsidRPr="009C01D5" w14:paraId="0FB626F7" w14:textId="77777777" w:rsidTr="0041213B">
        <w:tc>
          <w:tcPr>
            <w:tcW w:w="5000" w:type="pct"/>
            <w:gridSpan w:val="7"/>
            <w:shd w:val="clear" w:color="auto" w:fill="auto"/>
            <w:vAlign w:val="center"/>
          </w:tcPr>
          <w:p w14:paraId="403A17F7" w14:textId="77777777" w:rsidR="00CE4D3D" w:rsidRPr="009C01D5" w:rsidRDefault="00CE4D3D" w:rsidP="0041213B">
            <w:pPr>
              <w:pStyle w:val="In-tableHeading"/>
              <w:keepNext w:val="0"/>
              <w:widowControl w:val="0"/>
              <w:rPr>
                <w:bCs/>
                <w:color w:val="000000"/>
                <w:lang w:val="en-AU"/>
              </w:rPr>
            </w:pPr>
            <w:r w:rsidRPr="009C01D5">
              <w:rPr>
                <w:bCs/>
                <w:color w:val="000000"/>
                <w:lang w:val="en-AU"/>
              </w:rPr>
              <w:t>Estimated extent of use</w:t>
            </w:r>
          </w:p>
        </w:tc>
      </w:tr>
      <w:tr w:rsidR="00CE4D3D" w:rsidRPr="009C01D5" w14:paraId="0ADA95C3" w14:textId="77777777" w:rsidTr="0041213B">
        <w:tc>
          <w:tcPr>
            <w:tcW w:w="1116" w:type="pct"/>
            <w:shd w:val="clear" w:color="auto" w:fill="auto"/>
            <w:vAlign w:val="center"/>
          </w:tcPr>
          <w:p w14:paraId="5A01891A" w14:textId="77777777" w:rsidR="00CE4D3D" w:rsidRPr="009C01D5" w:rsidRDefault="00CE4D3D" w:rsidP="0041213B">
            <w:pPr>
              <w:pStyle w:val="TableText0"/>
              <w:keepNext w:val="0"/>
              <w:widowControl w:val="0"/>
              <w:rPr>
                <w:rFonts w:ascii="Times" w:hAnsi="Times"/>
              </w:rPr>
            </w:pPr>
            <w:r w:rsidRPr="009C01D5">
              <w:t>Number of scripts dispensed</w:t>
            </w:r>
            <w:r w:rsidRPr="009C01D5">
              <w:rPr>
                <w:vertAlign w:val="superscript"/>
              </w:rPr>
              <w:t>a</w:t>
            </w:r>
          </w:p>
        </w:tc>
        <w:tc>
          <w:tcPr>
            <w:tcW w:w="647" w:type="pct"/>
            <w:shd w:val="clear" w:color="auto" w:fill="auto"/>
          </w:tcPr>
          <w:p w14:paraId="07F58D34" w14:textId="77777777" w:rsidR="00CE4D3D" w:rsidRPr="00977A20" w:rsidRDefault="00D06CC7" w:rsidP="0041213B">
            <w:pPr>
              <w:pStyle w:val="TableText0"/>
              <w:keepNext w:val="0"/>
              <w:widowControl w:val="0"/>
              <w:jc w:val="center"/>
              <w:rPr>
                <w:color w:val="000000"/>
                <w:vertAlign w:val="superscript"/>
              </w:rPr>
            </w:pPr>
            <w:r>
              <w:rPr>
                <w:noProof/>
                <w:color w:val="000000"/>
                <w:highlight w:val="black"/>
              </w:rPr>
              <w:t>''''''''''''''</w:t>
            </w:r>
            <w:r w:rsidR="00977A20">
              <w:rPr>
                <w:vertAlign w:val="superscript"/>
              </w:rPr>
              <w:t>1</w:t>
            </w:r>
          </w:p>
        </w:tc>
        <w:tc>
          <w:tcPr>
            <w:tcW w:w="647" w:type="pct"/>
            <w:shd w:val="clear" w:color="auto" w:fill="auto"/>
          </w:tcPr>
          <w:p w14:paraId="7236C6CD" w14:textId="77777777" w:rsidR="00CE4D3D" w:rsidRPr="00977A20" w:rsidRDefault="00D06CC7" w:rsidP="0041213B">
            <w:pPr>
              <w:pStyle w:val="TableText0"/>
              <w:keepNext w:val="0"/>
              <w:widowControl w:val="0"/>
              <w:jc w:val="center"/>
              <w:rPr>
                <w:color w:val="000000"/>
                <w:vertAlign w:val="superscript"/>
              </w:rPr>
            </w:pPr>
            <w:r>
              <w:rPr>
                <w:noProof/>
                <w:color w:val="000000"/>
                <w:highlight w:val="black"/>
              </w:rPr>
              <w:t>'''''''''''''''''</w:t>
            </w:r>
            <w:r w:rsidR="00977A20">
              <w:rPr>
                <w:vertAlign w:val="superscript"/>
              </w:rPr>
              <w:t>2</w:t>
            </w:r>
          </w:p>
        </w:tc>
        <w:tc>
          <w:tcPr>
            <w:tcW w:w="647" w:type="pct"/>
            <w:shd w:val="clear" w:color="auto" w:fill="auto"/>
          </w:tcPr>
          <w:p w14:paraId="3A75882E" w14:textId="77777777" w:rsidR="00CE4D3D" w:rsidRPr="00977A20" w:rsidRDefault="00D06CC7" w:rsidP="0041213B">
            <w:pPr>
              <w:pStyle w:val="TableText0"/>
              <w:keepNext w:val="0"/>
              <w:widowControl w:val="0"/>
              <w:jc w:val="center"/>
              <w:rPr>
                <w:color w:val="000000"/>
                <w:vertAlign w:val="superscript"/>
              </w:rPr>
            </w:pPr>
            <w:r>
              <w:rPr>
                <w:noProof/>
                <w:color w:val="000000"/>
                <w:highlight w:val="black"/>
              </w:rPr>
              <w:t>''''''''''''''''</w:t>
            </w:r>
            <w:r w:rsidR="00977A20">
              <w:rPr>
                <w:vertAlign w:val="superscript"/>
              </w:rPr>
              <w:t>3</w:t>
            </w:r>
          </w:p>
        </w:tc>
        <w:tc>
          <w:tcPr>
            <w:tcW w:w="647" w:type="pct"/>
            <w:shd w:val="clear" w:color="auto" w:fill="auto"/>
          </w:tcPr>
          <w:p w14:paraId="49F62128" w14:textId="77777777" w:rsidR="00CE4D3D" w:rsidRPr="00977A20" w:rsidRDefault="00D06CC7" w:rsidP="0041213B">
            <w:pPr>
              <w:pStyle w:val="TableText0"/>
              <w:keepNext w:val="0"/>
              <w:widowControl w:val="0"/>
              <w:jc w:val="center"/>
              <w:rPr>
                <w:color w:val="000000"/>
                <w:vertAlign w:val="superscript"/>
              </w:rPr>
            </w:pPr>
            <w:r>
              <w:rPr>
                <w:noProof/>
                <w:color w:val="000000"/>
                <w:highlight w:val="black"/>
              </w:rPr>
              <w:t>'''''''''''''''''</w:t>
            </w:r>
            <w:r w:rsidR="00977A20">
              <w:rPr>
                <w:vertAlign w:val="superscript"/>
              </w:rPr>
              <w:t>4</w:t>
            </w:r>
          </w:p>
        </w:tc>
        <w:tc>
          <w:tcPr>
            <w:tcW w:w="647" w:type="pct"/>
            <w:shd w:val="clear" w:color="auto" w:fill="auto"/>
          </w:tcPr>
          <w:p w14:paraId="0262CA36" w14:textId="77777777" w:rsidR="00CE4D3D" w:rsidRPr="00977A20" w:rsidRDefault="00D06CC7" w:rsidP="0041213B">
            <w:pPr>
              <w:pStyle w:val="TableText0"/>
              <w:keepNext w:val="0"/>
              <w:widowControl w:val="0"/>
              <w:jc w:val="center"/>
              <w:rPr>
                <w:color w:val="000000"/>
                <w:vertAlign w:val="superscript"/>
              </w:rPr>
            </w:pPr>
            <w:r>
              <w:rPr>
                <w:noProof/>
                <w:color w:val="000000"/>
                <w:highlight w:val="black"/>
              </w:rPr>
              <w:t>'''''''''''''''</w:t>
            </w:r>
            <w:r w:rsidR="00977A20">
              <w:rPr>
                <w:vertAlign w:val="superscript"/>
              </w:rPr>
              <w:t>5</w:t>
            </w:r>
          </w:p>
        </w:tc>
        <w:tc>
          <w:tcPr>
            <w:tcW w:w="649" w:type="pct"/>
          </w:tcPr>
          <w:p w14:paraId="22F42275" w14:textId="77777777" w:rsidR="00CE4D3D" w:rsidRPr="009C01D5" w:rsidRDefault="00CE4D3D" w:rsidP="0041213B">
            <w:pPr>
              <w:pStyle w:val="TableText0"/>
              <w:keepNext w:val="0"/>
              <w:widowControl w:val="0"/>
              <w:jc w:val="center"/>
              <w:rPr>
                <w:color w:val="000000"/>
              </w:rPr>
            </w:pPr>
            <w:r w:rsidRPr="009C01D5">
              <w:rPr>
                <w:color w:val="000000"/>
              </w:rPr>
              <w:t>Not provided</w:t>
            </w:r>
          </w:p>
        </w:tc>
      </w:tr>
      <w:tr w:rsidR="00CE4D3D" w:rsidRPr="009C01D5" w14:paraId="4212D893" w14:textId="77777777" w:rsidTr="0041213B">
        <w:tc>
          <w:tcPr>
            <w:tcW w:w="5000" w:type="pct"/>
            <w:gridSpan w:val="7"/>
            <w:shd w:val="clear" w:color="auto" w:fill="auto"/>
            <w:vAlign w:val="center"/>
          </w:tcPr>
          <w:p w14:paraId="7EB0073E" w14:textId="77777777" w:rsidR="00CE4D3D" w:rsidRPr="009C01D5" w:rsidRDefault="00CE4D3D" w:rsidP="0041213B">
            <w:pPr>
              <w:pStyle w:val="In-tableHeading"/>
              <w:keepNext w:val="0"/>
              <w:widowControl w:val="0"/>
              <w:rPr>
                <w:lang w:val="en-AU"/>
              </w:rPr>
            </w:pPr>
            <w:r w:rsidRPr="009C01D5">
              <w:rPr>
                <w:lang w:val="en-AU"/>
              </w:rPr>
              <w:t>Estimated financial implications of cariprazine</w:t>
            </w:r>
          </w:p>
        </w:tc>
      </w:tr>
      <w:tr w:rsidR="00CE4D3D" w:rsidRPr="009C01D5" w14:paraId="1CBBE7A5" w14:textId="77777777" w:rsidTr="0041213B">
        <w:tc>
          <w:tcPr>
            <w:tcW w:w="1116" w:type="pct"/>
            <w:shd w:val="clear" w:color="auto" w:fill="auto"/>
            <w:vAlign w:val="center"/>
          </w:tcPr>
          <w:p w14:paraId="680B4D67" w14:textId="77777777" w:rsidR="00CE4D3D" w:rsidRPr="009C01D5" w:rsidRDefault="00CE4D3D" w:rsidP="0041213B">
            <w:pPr>
              <w:pStyle w:val="TableText0"/>
              <w:keepNext w:val="0"/>
              <w:widowControl w:val="0"/>
              <w:rPr>
                <w:sz w:val="19"/>
                <w:szCs w:val="19"/>
              </w:rPr>
            </w:pPr>
            <w:r w:rsidRPr="009C01D5">
              <w:rPr>
                <w:sz w:val="19"/>
                <w:szCs w:val="19"/>
              </w:rPr>
              <w:t>Cost to PBS/RPBS less copayments</w:t>
            </w:r>
          </w:p>
        </w:tc>
        <w:tc>
          <w:tcPr>
            <w:tcW w:w="647" w:type="pct"/>
            <w:shd w:val="clear" w:color="auto" w:fill="auto"/>
            <w:vAlign w:val="center"/>
          </w:tcPr>
          <w:p w14:paraId="14A545A2" w14:textId="77777777" w:rsidR="00CE4D3D" w:rsidRPr="00977A20" w:rsidRDefault="00CE4D3D" w:rsidP="0041213B">
            <w:pPr>
              <w:pStyle w:val="TableText0"/>
              <w:keepNext w:val="0"/>
              <w:widowControl w:val="0"/>
              <w:jc w:val="center"/>
              <w:rPr>
                <w:vertAlign w:val="superscript"/>
              </w:rPr>
            </w:pPr>
            <w:r w:rsidRPr="009C01D5">
              <w:rPr>
                <w:color w:val="000000"/>
                <w:szCs w:val="20"/>
              </w:rPr>
              <w:t>$</w:t>
            </w:r>
            <w:r w:rsidR="00D06CC7">
              <w:rPr>
                <w:noProof/>
                <w:color w:val="000000"/>
                <w:szCs w:val="20"/>
                <w:highlight w:val="black"/>
              </w:rPr>
              <w:t>''''''''''''''''''''</w:t>
            </w:r>
            <w:r w:rsidR="00977A20">
              <w:rPr>
                <w:color w:val="000000"/>
                <w:szCs w:val="20"/>
                <w:vertAlign w:val="superscript"/>
              </w:rPr>
              <w:t>6</w:t>
            </w:r>
          </w:p>
        </w:tc>
        <w:tc>
          <w:tcPr>
            <w:tcW w:w="647" w:type="pct"/>
            <w:shd w:val="clear" w:color="auto" w:fill="auto"/>
            <w:vAlign w:val="center"/>
          </w:tcPr>
          <w:p w14:paraId="236D09D5" w14:textId="77777777" w:rsidR="00CE4D3D" w:rsidRPr="00977A20" w:rsidRDefault="00CE4D3D" w:rsidP="0041213B">
            <w:pPr>
              <w:pStyle w:val="TableText0"/>
              <w:keepNext w:val="0"/>
              <w:widowControl w:val="0"/>
              <w:jc w:val="center"/>
              <w:rPr>
                <w:vertAlign w:val="superscript"/>
              </w:rPr>
            </w:pPr>
            <w:r w:rsidRPr="009C01D5">
              <w:rPr>
                <w:color w:val="000000"/>
                <w:szCs w:val="20"/>
              </w:rPr>
              <w:t>$</w:t>
            </w:r>
            <w:r w:rsidR="00D06CC7">
              <w:rPr>
                <w:noProof/>
                <w:color w:val="000000"/>
                <w:szCs w:val="20"/>
                <w:highlight w:val="black"/>
              </w:rPr>
              <w:t>''''''''''''''''''''''''</w:t>
            </w:r>
            <w:r w:rsidR="00977A20">
              <w:rPr>
                <w:color w:val="000000"/>
                <w:szCs w:val="20"/>
                <w:vertAlign w:val="superscript"/>
              </w:rPr>
              <w:t>6</w:t>
            </w:r>
          </w:p>
        </w:tc>
        <w:tc>
          <w:tcPr>
            <w:tcW w:w="647" w:type="pct"/>
            <w:shd w:val="clear" w:color="auto" w:fill="auto"/>
            <w:vAlign w:val="center"/>
          </w:tcPr>
          <w:p w14:paraId="291EE9C7" w14:textId="77777777" w:rsidR="00CE4D3D" w:rsidRPr="00977A20" w:rsidRDefault="00CE4D3D" w:rsidP="0041213B">
            <w:pPr>
              <w:pStyle w:val="TableText0"/>
              <w:keepNext w:val="0"/>
              <w:widowControl w:val="0"/>
              <w:jc w:val="center"/>
              <w:rPr>
                <w:vertAlign w:val="superscript"/>
              </w:rPr>
            </w:pPr>
            <w:r w:rsidRPr="009C01D5">
              <w:rPr>
                <w:color w:val="000000"/>
                <w:szCs w:val="20"/>
              </w:rPr>
              <w:t>$</w:t>
            </w:r>
            <w:r w:rsidR="00D06CC7">
              <w:rPr>
                <w:noProof/>
                <w:color w:val="000000"/>
                <w:szCs w:val="20"/>
                <w:highlight w:val="black"/>
              </w:rPr>
              <w:t>'''''''''''''''''''''''''</w:t>
            </w:r>
            <w:r w:rsidR="00977A20">
              <w:rPr>
                <w:color w:val="000000"/>
                <w:szCs w:val="20"/>
                <w:vertAlign w:val="superscript"/>
              </w:rPr>
              <w:t>6</w:t>
            </w:r>
          </w:p>
        </w:tc>
        <w:tc>
          <w:tcPr>
            <w:tcW w:w="647" w:type="pct"/>
            <w:shd w:val="clear" w:color="auto" w:fill="auto"/>
            <w:vAlign w:val="center"/>
          </w:tcPr>
          <w:p w14:paraId="21FB3004" w14:textId="77777777" w:rsidR="00CE4D3D" w:rsidRPr="00977A20" w:rsidRDefault="00CE4D3D" w:rsidP="0041213B">
            <w:pPr>
              <w:pStyle w:val="TableText0"/>
              <w:keepNext w:val="0"/>
              <w:widowControl w:val="0"/>
              <w:jc w:val="center"/>
              <w:rPr>
                <w:vertAlign w:val="superscript"/>
              </w:rPr>
            </w:pPr>
            <w:r w:rsidRPr="009C01D5">
              <w:rPr>
                <w:color w:val="000000"/>
                <w:szCs w:val="20"/>
              </w:rPr>
              <w:t>$</w:t>
            </w:r>
            <w:r w:rsidR="00D06CC7">
              <w:rPr>
                <w:noProof/>
                <w:color w:val="000000"/>
                <w:szCs w:val="20"/>
                <w:highlight w:val="black"/>
              </w:rPr>
              <w:t>''''''''''''''''''''''''</w:t>
            </w:r>
            <w:r w:rsidR="00977A20">
              <w:rPr>
                <w:color w:val="000000"/>
                <w:szCs w:val="20"/>
                <w:vertAlign w:val="superscript"/>
              </w:rPr>
              <w:t>6</w:t>
            </w:r>
          </w:p>
        </w:tc>
        <w:tc>
          <w:tcPr>
            <w:tcW w:w="647" w:type="pct"/>
            <w:shd w:val="clear" w:color="auto" w:fill="auto"/>
            <w:vAlign w:val="center"/>
          </w:tcPr>
          <w:p w14:paraId="3C6DD030" w14:textId="77777777" w:rsidR="00CE4D3D" w:rsidRPr="00977A20" w:rsidRDefault="00CE4D3D" w:rsidP="0041213B">
            <w:pPr>
              <w:pStyle w:val="TableText0"/>
              <w:keepNext w:val="0"/>
              <w:widowControl w:val="0"/>
              <w:jc w:val="center"/>
              <w:rPr>
                <w:vertAlign w:val="superscript"/>
              </w:rPr>
            </w:pPr>
            <w:r w:rsidRPr="009C01D5">
              <w:rPr>
                <w:color w:val="000000"/>
                <w:szCs w:val="20"/>
              </w:rPr>
              <w:t>$</w:t>
            </w:r>
            <w:r w:rsidR="00D06CC7">
              <w:rPr>
                <w:noProof/>
                <w:color w:val="000000"/>
                <w:szCs w:val="20"/>
                <w:highlight w:val="black"/>
              </w:rPr>
              <w:t>''''''''''''''''''''''''</w:t>
            </w:r>
            <w:r w:rsidR="00977A20">
              <w:rPr>
                <w:color w:val="000000"/>
                <w:szCs w:val="20"/>
                <w:vertAlign w:val="superscript"/>
              </w:rPr>
              <w:t>6</w:t>
            </w:r>
          </w:p>
        </w:tc>
        <w:tc>
          <w:tcPr>
            <w:tcW w:w="649" w:type="pct"/>
            <w:vAlign w:val="center"/>
          </w:tcPr>
          <w:p w14:paraId="5BD886E5" w14:textId="77777777" w:rsidR="00CE4D3D" w:rsidRPr="009C01D5" w:rsidRDefault="00CE4D3D" w:rsidP="0041213B">
            <w:pPr>
              <w:pStyle w:val="TableText0"/>
              <w:keepNext w:val="0"/>
              <w:widowControl w:val="0"/>
              <w:jc w:val="center"/>
            </w:pPr>
            <w:r w:rsidRPr="009C01D5">
              <w:rPr>
                <w:color w:val="000000"/>
              </w:rPr>
              <w:t>Not provided</w:t>
            </w:r>
          </w:p>
        </w:tc>
      </w:tr>
      <w:tr w:rsidR="00CE4D3D" w:rsidRPr="009C01D5" w14:paraId="292784D6" w14:textId="77777777" w:rsidTr="0041213B">
        <w:tc>
          <w:tcPr>
            <w:tcW w:w="5000" w:type="pct"/>
            <w:gridSpan w:val="7"/>
            <w:shd w:val="clear" w:color="auto" w:fill="auto"/>
            <w:vAlign w:val="center"/>
          </w:tcPr>
          <w:p w14:paraId="6FB2605B" w14:textId="77777777" w:rsidR="00CE4D3D" w:rsidRPr="009C01D5" w:rsidRDefault="00CE4D3D" w:rsidP="0041213B">
            <w:pPr>
              <w:pStyle w:val="TableText0"/>
              <w:keepNext w:val="0"/>
              <w:widowControl w:val="0"/>
              <w:rPr>
                <w:b/>
              </w:rPr>
            </w:pPr>
            <w:r w:rsidRPr="009C01D5">
              <w:rPr>
                <w:b/>
              </w:rPr>
              <w:t>Estimated financial implications for aripiprazole and brexpiprazole</w:t>
            </w:r>
          </w:p>
        </w:tc>
      </w:tr>
      <w:tr w:rsidR="00CE4D3D" w:rsidRPr="009C01D5" w14:paraId="64A1BA04" w14:textId="77777777" w:rsidTr="0041213B">
        <w:tc>
          <w:tcPr>
            <w:tcW w:w="1116" w:type="pct"/>
            <w:shd w:val="clear" w:color="auto" w:fill="auto"/>
            <w:vAlign w:val="center"/>
          </w:tcPr>
          <w:p w14:paraId="6C1FD04B" w14:textId="77777777" w:rsidR="00CE4D3D" w:rsidRPr="009C01D5" w:rsidRDefault="00CE4D3D" w:rsidP="0041213B">
            <w:pPr>
              <w:pStyle w:val="TableText0"/>
              <w:keepNext w:val="0"/>
              <w:widowControl w:val="0"/>
              <w:rPr>
                <w:sz w:val="19"/>
                <w:szCs w:val="19"/>
              </w:rPr>
            </w:pPr>
            <w:r w:rsidRPr="009C01D5">
              <w:rPr>
                <w:sz w:val="19"/>
                <w:szCs w:val="19"/>
              </w:rPr>
              <w:t>Cost to PBS/RPBS less copayments</w:t>
            </w:r>
          </w:p>
        </w:tc>
        <w:tc>
          <w:tcPr>
            <w:tcW w:w="647" w:type="pct"/>
            <w:shd w:val="clear" w:color="auto" w:fill="auto"/>
            <w:vAlign w:val="center"/>
          </w:tcPr>
          <w:p w14:paraId="1B86C330" w14:textId="77777777" w:rsidR="00CE4D3D" w:rsidRPr="00F72D5E" w:rsidRDefault="00CE4D3D" w:rsidP="0041213B">
            <w:pPr>
              <w:pStyle w:val="TableText0"/>
              <w:keepNext w:val="0"/>
              <w:widowControl w:val="0"/>
              <w:jc w:val="center"/>
              <w:rPr>
                <w:vertAlign w:val="superscript"/>
              </w:rPr>
            </w:pPr>
            <w:r w:rsidRPr="009C01D5">
              <w:t>-$</w:t>
            </w:r>
            <w:r w:rsidR="00D06CC7">
              <w:rPr>
                <w:noProof/>
                <w:color w:val="000000"/>
                <w:highlight w:val="black"/>
              </w:rPr>
              <w:t>''''''''''''''''''</w:t>
            </w:r>
            <w:r w:rsidR="00F72D5E">
              <w:rPr>
                <w:vertAlign w:val="superscript"/>
              </w:rPr>
              <w:t>6</w:t>
            </w:r>
          </w:p>
        </w:tc>
        <w:tc>
          <w:tcPr>
            <w:tcW w:w="647" w:type="pct"/>
            <w:shd w:val="clear" w:color="auto" w:fill="auto"/>
            <w:vAlign w:val="center"/>
          </w:tcPr>
          <w:p w14:paraId="1BFAB852" w14:textId="77777777" w:rsidR="00CE4D3D" w:rsidRPr="00F72D5E" w:rsidRDefault="00CE4D3D" w:rsidP="0041213B">
            <w:pPr>
              <w:pStyle w:val="TableText0"/>
              <w:keepNext w:val="0"/>
              <w:widowControl w:val="0"/>
              <w:jc w:val="center"/>
              <w:rPr>
                <w:vertAlign w:val="superscript"/>
              </w:rPr>
            </w:pPr>
            <w:r w:rsidRPr="009C01D5">
              <w:t>-$</w:t>
            </w:r>
            <w:r w:rsidR="00D06CC7">
              <w:rPr>
                <w:noProof/>
                <w:color w:val="000000"/>
                <w:highlight w:val="black"/>
              </w:rPr>
              <w:t>''''''''''''''''''''''</w:t>
            </w:r>
            <w:r w:rsidR="00F72D5E">
              <w:rPr>
                <w:vertAlign w:val="superscript"/>
              </w:rPr>
              <w:t>6</w:t>
            </w:r>
          </w:p>
        </w:tc>
        <w:tc>
          <w:tcPr>
            <w:tcW w:w="647" w:type="pct"/>
            <w:shd w:val="clear" w:color="auto" w:fill="auto"/>
            <w:vAlign w:val="center"/>
          </w:tcPr>
          <w:p w14:paraId="7C7DD7E2" w14:textId="77777777" w:rsidR="00CE4D3D" w:rsidRPr="00F72D5E" w:rsidRDefault="00CE4D3D" w:rsidP="0041213B">
            <w:pPr>
              <w:pStyle w:val="TableText0"/>
              <w:keepNext w:val="0"/>
              <w:widowControl w:val="0"/>
              <w:jc w:val="center"/>
              <w:rPr>
                <w:vertAlign w:val="superscript"/>
              </w:rPr>
            </w:pPr>
            <w:r w:rsidRPr="009C01D5">
              <w:t>-$</w:t>
            </w:r>
            <w:r w:rsidR="00D06CC7">
              <w:rPr>
                <w:noProof/>
                <w:color w:val="000000"/>
                <w:highlight w:val="black"/>
              </w:rPr>
              <w:t>''''''''''''''''''''''</w:t>
            </w:r>
            <w:r w:rsidR="00F72D5E">
              <w:rPr>
                <w:vertAlign w:val="superscript"/>
              </w:rPr>
              <w:t>6</w:t>
            </w:r>
          </w:p>
        </w:tc>
        <w:tc>
          <w:tcPr>
            <w:tcW w:w="647" w:type="pct"/>
            <w:shd w:val="clear" w:color="auto" w:fill="auto"/>
            <w:vAlign w:val="center"/>
          </w:tcPr>
          <w:p w14:paraId="02CFFEDA" w14:textId="77777777" w:rsidR="00CE4D3D" w:rsidRPr="00F72D5E" w:rsidRDefault="00CE4D3D" w:rsidP="0041213B">
            <w:pPr>
              <w:pStyle w:val="TableText0"/>
              <w:keepNext w:val="0"/>
              <w:widowControl w:val="0"/>
              <w:jc w:val="center"/>
              <w:rPr>
                <w:vertAlign w:val="superscript"/>
              </w:rPr>
            </w:pPr>
            <w:r w:rsidRPr="009C01D5">
              <w:t>-$</w:t>
            </w:r>
            <w:r w:rsidR="00D06CC7">
              <w:rPr>
                <w:noProof/>
                <w:color w:val="000000"/>
                <w:highlight w:val="black"/>
              </w:rPr>
              <w:t>''''''''''''''''''''''</w:t>
            </w:r>
            <w:r w:rsidR="00F72D5E">
              <w:rPr>
                <w:vertAlign w:val="superscript"/>
              </w:rPr>
              <w:t>6</w:t>
            </w:r>
          </w:p>
        </w:tc>
        <w:tc>
          <w:tcPr>
            <w:tcW w:w="647" w:type="pct"/>
            <w:shd w:val="clear" w:color="auto" w:fill="auto"/>
            <w:vAlign w:val="center"/>
          </w:tcPr>
          <w:p w14:paraId="0070AD84" w14:textId="77777777" w:rsidR="00CE4D3D" w:rsidRPr="00F72D5E" w:rsidRDefault="00CE4D3D" w:rsidP="0041213B">
            <w:pPr>
              <w:pStyle w:val="TableText0"/>
              <w:keepNext w:val="0"/>
              <w:widowControl w:val="0"/>
              <w:jc w:val="center"/>
              <w:rPr>
                <w:vertAlign w:val="superscript"/>
              </w:rPr>
            </w:pPr>
            <w:r w:rsidRPr="009C01D5">
              <w:t>-$</w:t>
            </w:r>
            <w:r w:rsidR="00D06CC7">
              <w:rPr>
                <w:noProof/>
                <w:color w:val="000000"/>
                <w:highlight w:val="black"/>
              </w:rPr>
              <w:t>''''''''''''''''''''''</w:t>
            </w:r>
            <w:r w:rsidR="00F72D5E">
              <w:rPr>
                <w:vertAlign w:val="superscript"/>
              </w:rPr>
              <w:t>6</w:t>
            </w:r>
          </w:p>
        </w:tc>
        <w:tc>
          <w:tcPr>
            <w:tcW w:w="649" w:type="pct"/>
            <w:vAlign w:val="center"/>
          </w:tcPr>
          <w:p w14:paraId="7DBD5CE5" w14:textId="77777777" w:rsidR="00CE4D3D" w:rsidRPr="009C01D5" w:rsidRDefault="00CE4D3D" w:rsidP="0041213B">
            <w:pPr>
              <w:pStyle w:val="TableText0"/>
              <w:keepNext w:val="0"/>
              <w:widowControl w:val="0"/>
              <w:jc w:val="center"/>
            </w:pPr>
            <w:r w:rsidRPr="009C01D5">
              <w:rPr>
                <w:color w:val="000000"/>
              </w:rPr>
              <w:t>Not provided</w:t>
            </w:r>
          </w:p>
        </w:tc>
      </w:tr>
      <w:tr w:rsidR="00CE4D3D" w:rsidRPr="009C01D5" w14:paraId="1E065829" w14:textId="77777777" w:rsidTr="0041213B">
        <w:tc>
          <w:tcPr>
            <w:tcW w:w="5000" w:type="pct"/>
            <w:gridSpan w:val="7"/>
            <w:shd w:val="clear" w:color="auto" w:fill="auto"/>
            <w:vAlign w:val="center"/>
          </w:tcPr>
          <w:p w14:paraId="2B6A09CA" w14:textId="77777777" w:rsidR="00CE4D3D" w:rsidRPr="009C01D5" w:rsidRDefault="00CE4D3D" w:rsidP="0041213B">
            <w:pPr>
              <w:pStyle w:val="In-tableHeading"/>
              <w:keepNext w:val="0"/>
              <w:widowControl w:val="0"/>
              <w:rPr>
                <w:lang w:val="en-AU"/>
              </w:rPr>
            </w:pPr>
            <w:r w:rsidRPr="009C01D5">
              <w:rPr>
                <w:lang w:val="en-AU"/>
              </w:rPr>
              <w:t>Net financial implications</w:t>
            </w:r>
            <w:r w:rsidRPr="009C01D5">
              <w:rPr>
                <w:color w:val="4BACC6" w:themeColor="accent5"/>
                <w:lang w:val="en-AU"/>
              </w:rPr>
              <w:t xml:space="preserve"> </w:t>
            </w:r>
          </w:p>
        </w:tc>
      </w:tr>
      <w:tr w:rsidR="00CE4D3D" w:rsidRPr="009C01D5" w14:paraId="21045ED3" w14:textId="77777777" w:rsidTr="0041213B">
        <w:tc>
          <w:tcPr>
            <w:tcW w:w="1116" w:type="pct"/>
            <w:shd w:val="clear" w:color="auto" w:fill="auto"/>
            <w:vAlign w:val="center"/>
          </w:tcPr>
          <w:p w14:paraId="7470E533" w14:textId="77777777" w:rsidR="00CE4D3D" w:rsidRPr="009C01D5" w:rsidRDefault="00CE4D3D" w:rsidP="0041213B">
            <w:pPr>
              <w:pStyle w:val="TableText0"/>
              <w:keepNext w:val="0"/>
              <w:widowControl w:val="0"/>
              <w:rPr>
                <w:sz w:val="19"/>
                <w:szCs w:val="19"/>
              </w:rPr>
            </w:pPr>
            <w:r w:rsidRPr="009C01D5">
              <w:rPr>
                <w:sz w:val="19"/>
                <w:szCs w:val="19"/>
              </w:rPr>
              <w:t>Net cost to PBS/RPBS</w:t>
            </w:r>
          </w:p>
        </w:tc>
        <w:tc>
          <w:tcPr>
            <w:tcW w:w="647" w:type="pct"/>
            <w:shd w:val="clear" w:color="auto" w:fill="auto"/>
            <w:vAlign w:val="center"/>
          </w:tcPr>
          <w:p w14:paraId="2A15BA3C"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1E964812"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06579DD4"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A4E85D6"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17148F1"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52083C76" w14:textId="77777777" w:rsidR="00CE4D3D" w:rsidRPr="009C01D5" w:rsidRDefault="00CE4D3D" w:rsidP="0041213B">
            <w:pPr>
              <w:pStyle w:val="TableText0"/>
              <w:keepNext w:val="0"/>
              <w:widowControl w:val="0"/>
              <w:jc w:val="center"/>
            </w:pPr>
            <w:r w:rsidRPr="009C01D5">
              <w:rPr>
                <w:color w:val="000000"/>
              </w:rPr>
              <w:t>Not provided</w:t>
            </w:r>
          </w:p>
        </w:tc>
      </w:tr>
      <w:tr w:rsidR="00CE4D3D" w:rsidRPr="009C01D5" w14:paraId="57F1873A" w14:textId="77777777" w:rsidTr="0041213B">
        <w:tc>
          <w:tcPr>
            <w:tcW w:w="5000" w:type="pct"/>
            <w:gridSpan w:val="7"/>
            <w:shd w:val="clear" w:color="auto" w:fill="auto"/>
            <w:vAlign w:val="center"/>
          </w:tcPr>
          <w:p w14:paraId="3FB683F8" w14:textId="77777777" w:rsidR="00CE4D3D" w:rsidRPr="009C01D5" w:rsidRDefault="00CE4D3D" w:rsidP="0041213B">
            <w:pPr>
              <w:pStyle w:val="TableText0"/>
              <w:keepNext w:val="0"/>
              <w:widowControl w:val="0"/>
              <w:rPr>
                <w:b/>
              </w:rPr>
            </w:pPr>
            <w:r w:rsidRPr="009C01D5">
              <w:rPr>
                <w:b/>
              </w:rPr>
              <w:t>Sensitivity analysis</w:t>
            </w:r>
          </w:p>
        </w:tc>
      </w:tr>
      <w:tr w:rsidR="00CE4D3D" w:rsidRPr="009C01D5" w14:paraId="5E5DC7E7" w14:textId="77777777" w:rsidTr="0041213B">
        <w:tc>
          <w:tcPr>
            <w:tcW w:w="1116" w:type="pct"/>
            <w:shd w:val="clear" w:color="auto" w:fill="auto"/>
            <w:vAlign w:val="center"/>
          </w:tcPr>
          <w:p w14:paraId="67DD9682" w14:textId="77777777" w:rsidR="00CE4D3D" w:rsidRPr="009C01D5" w:rsidRDefault="00CE4D3D" w:rsidP="0041213B">
            <w:pPr>
              <w:pStyle w:val="TableText0"/>
              <w:keepNext w:val="0"/>
              <w:widowControl w:val="0"/>
              <w:rPr>
                <w:sz w:val="19"/>
                <w:szCs w:val="19"/>
              </w:rPr>
            </w:pPr>
            <w:r w:rsidRPr="009C01D5">
              <w:rPr>
                <w:sz w:val="19"/>
                <w:szCs w:val="19"/>
              </w:rPr>
              <w:t>Market share</w:t>
            </w:r>
          </w:p>
        </w:tc>
        <w:tc>
          <w:tcPr>
            <w:tcW w:w="647" w:type="pct"/>
            <w:shd w:val="clear" w:color="auto" w:fill="auto"/>
            <w:vAlign w:val="center"/>
          </w:tcPr>
          <w:p w14:paraId="3AE3DC48" w14:textId="77777777" w:rsidR="00CE4D3D" w:rsidRPr="009C01D5" w:rsidRDefault="00CE4D3D" w:rsidP="0041213B">
            <w:pPr>
              <w:pStyle w:val="TableText0"/>
              <w:keepNext w:val="0"/>
              <w:widowControl w:val="0"/>
              <w:jc w:val="center"/>
            </w:pPr>
          </w:p>
        </w:tc>
        <w:tc>
          <w:tcPr>
            <w:tcW w:w="647" w:type="pct"/>
            <w:shd w:val="clear" w:color="auto" w:fill="auto"/>
            <w:vAlign w:val="center"/>
          </w:tcPr>
          <w:p w14:paraId="528694F1" w14:textId="77777777" w:rsidR="00CE4D3D" w:rsidRPr="009C01D5" w:rsidRDefault="00CE4D3D" w:rsidP="0041213B">
            <w:pPr>
              <w:pStyle w:val="TableText0"/>
              <w:keepNext w:val="0"/>
              <w:widowControl w:val="0"/>
              <w:jc w:val="center"/>
            </w:pPr>
          </w:p>
        </w:tc>
        <w:tc>
          <w:tcPr>
            <w:tcW w:w="647" w:type="pct"/>
            <w:shd w:val="clear" w:color="auto" w:fill="auto"/>
            <w:vAlign w:val="center"/>
          </w:tcPr>
          <w:p w14:paraId="100CB2C7" w14:textId="77777777" w:rsidR="00CE4D3D" w:rsidRPr="009C01D5" w:rsidRDefault="00CE4D3D" w:rsidP="0041213B">
            <w:pPr>
              <w:pStyle w:val="TableText0"/>
              <w:keepNext w:val="0"/>
              <w:widowControl w:val="0"/>
              <w:jc w:val="center"/>
            </w:pPr>
          </w:p>
        </w:tc>
        <w:tc>
          <w:tcPr>
            <w:tcW w:w="647" w:type="pct"/>
            <w:shd w:val="clear" w:color="auto" w:fill="auto"/>
            <w:vAlign w:val="center"/>
          </w:tcPr>
          <w:p w14:paraId="52332BDF" w14:textId="77777777" w:rsidR="00CE4D3D" w:rsidRPr="009C01D5" w:rsidRDefault="00CE4D3D" w:rsidP="0041213B">
            <w:pPr>
              <w:pStyle w:val="TableText0"/>
              <w:keepNext w:val="0"/>
              <w:widowControl w:val="0"/>
              <w:jc w:val="center"/>
            </w:pPr>
          </w:p>
        </w:tc>
        <w:tc>
          <w:tcPr>
            <w:tcW w:w="647" w:type="pct"/>
            <w:shd w:val="clear" w:color="auto" w:fill="auto"/>
            <w:vAlign w:val="center"/>
          </w:tcPr>
          <w:p w14:paraId="1026F0F7" w14:textId="77777777" w:rsidR="00CE4D3D" w:rsidRPr="009C01D5" w:rsidRDefault="00CE4D3D" w:rsidP="0041213B">
            <w:pPr>
              <w:pStyle w:val="TableText0"/>
              <w:keepNext w:val="0"/>
              <w:widowControl w:val="0"/>
              <w:jc w:val="center"/>
            </w:pPr>
          </w:p>
        </w:tc>
        <w:tc>
          <w:tcPr>
            <w:tcW w:w="649" w:type="pct"/>
          </w:tcPr>
          <w:p w14:paraId="40F6FD3C" w14:textId="77777777" w:rsidR="00CE4D3D" w:rsidRPr="009C01D5" w:rsidRDefault="00CE4D3D" w:rsidP="0041213B">
            <w:pPr>
              <w:pStyle w:val="TableText0"/>
              <w:keepNext w:val="0"/>
              <w:widowControl w:val="0"/>
              <w:jc w:val="center"/>
            </w:pPr>
          </w:p>
        </w:tc>
      </w:tr>
      <w:tr w:rsidR="00CE4D3D" w:rsidRPr="009C01D5" w14:paraId="52688553" w14:textId="77777777" w:rsidTr="0041213B">
        <w:tc>
          <w:tcPr>
            <w:tcW w:w="1116" w:type="pct"/>
            <w:shd w:val="clear" w:color="auto" w:fill="auto"/>
            <w:vAlign w:val="center"/>
          </w:tcPr>
          <w:p w14:paraId="4ECAD257" w14:textId="77777777" w:rsidR="00CE4D3D" w:rsidRPr="009C01D5" w:rsidRDefault="00CE4D3D" w:rsidP="0041213B">
            <w:pPr>
              <w:pStyle w:val="TableText0"/>
              <w:keepNext w:val="0"/>
              <w:widowControl w:val="0"/>
              <w:rPr>
                <w:sz w:val="19"/>
                <w:szCs w:val="19"/>
              </w:rPr>
            </w:pPr>
            <w:r w:rsidRPr="009C01D5">
              <w:rPr>
                <w:bCs w:val="0"/>
              </w:rPr>
              <w:t>Low:  90% of brexpiprazole</w:t>
            </w:r>
          </w:p>
        </w:tc>
        <w:tc>
          <w:tcPr>
            <w:tcW w:w="647" w:type="pct"/>
            <w:shd w:val="clear" w:color="auto" w:fill="auto"/>
          </w:tcPr>
          <w:p w14:paraId="55F4433F"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16C4BA74"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1431C391"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542859D5"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2B0B1726"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tcPr>
          <w:p w14:paraId="6383CD51" w14:textId="77777777" w:rsidR="00CE4D3D" w:rsidRPr="009C01D5" w:rsidRDefault="00CE4D3D" w:rsidP="0041213B">
            <w:pPr>
              <w:pStyle w:val="TableText0"/>
              <w:keepNext w:val="0"/>
              <w:widowControl w:val="0"/>
              <w:jc w:val="center"/>
            </w:pPr>
            <w:r w:rsidRPr="009C01D5">
              <w:rPr>
                <w:color w:val="000000"/>
              </w:rPr>
              <w:t>Not provided</w:t>
            </w:r>
          </w:p>
        </w:tc>
      </w:tr>
      <w:tr w:rsidR="00CE4D3D" w:rsidRPr="009C01D5" w14:paraId="4E615C72" w14:textId="77777777" w:rsidTr="0041213B">
        <w:tc>
          <w:tcPr>
            <w:tcW w:w="1116" w:type="pct"/>
            <w:shd w:val="clear" w:color="auto" w:fill="auto"/>
            <w:vAlign w:val="center"/>
          </w:tcPr>
          <w:p w14:paraId="0ECFA662" w14:textId="77777777" w:rsidR="00CE4D3D" w:rsidRPr="009C01D5" w:rsidRDefault="00CE4D3D" w:rsidP="0041213B">
            <w:pPr>
              <w:pStyle w:val="TableText0"/>
              <w:keepNext w:val="0"/>
              <w:widowControl w:val="0"/>
              <w:rPr>
                <w:sz w:val="19"/>
                <w:szCs w:val="19"/>
              </w:rPr>
            </w:pPr>
            <w:r w:rsidRPr="009C01D5">
              <w:rPr>
                <w:bCs w:val="0"/>
              </w:rPr>
              <w:t>High:  130% of brexpiprazole</w:t>
            </w:r>
          </w:p>
        </w:tc>
        <w:tc>
          <w:tcPr>
            <w:tcW w:w="647" w:type="pct"/>
            <w:shd w:val="clear" w:color="auto" w:fill="auto"/>
          </w:tcPr>
          <w:p w14:paraId="4F2EC04A"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4F93A3AF"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6DFB5161"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5D6DEA27"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5CBCB401"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tcPr>
          <w:p w14:paraId="4E528266"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6158B465" w14:textId="77777777" w:rsidTr="0041213B">
        <w:tc>
          <w:tcPr>
            <w:tcW w:w="1116" w:type="pct"/>
            <w:shd w:val="clear" w:color="auto" w:fill="auto"/>
            <w:vAlign w:val="center"/>
          </w:tcPr>
          <w:p w14:paraId="08244FA5" w14:textId="77777777" w:rsidR="00CE4D3D" w:rsidRPr="009C01D5" w:rsidRDefault="00CE4D3D" w:rsidP="0041213B">
            <w:pPr>
              <w:pStyle w:val="TableText0"/>
              <w:keepNext w:val="0"/>
              <w:widowControl w:val="0"/>
              <w:rPr>
                <w:sz w:val="19"/>
                <w:szCs w:val="19"/>
              </w:rPr>
            </w:pPr>
            <w:r w:rsidRPr="009C01D5">
              <w:rPr>
                <w:sz w:val="19"/>
                <w:szCs w:val="19"/>
              </w:rPr>
              <w:t>Cariprazine substitution dose</w:t>
            </w:r>
          </w:p>
        </w:tc>
        <w:tc>
          <w:tcPr>
            <w:tcW w:w="647" w:type="pct"/>
            <w:shd w:val="clear" w:color="auto" w:fill="auto"/>
            <w:vAlign w:val="center"/>
          </w:tcPr>
          <w:p w14:paraId="74101254" w14:textId="77777777" w:rsidR="00CE4D3D" w:rsidRPr="009C01D5" w:rsidRDefault="00CE4D3D" w:rsidP="0041213B">
            <w:pPr>
              <w:pStyle w:val="TableText0"/>
              <w:keepNext w:val="0"/>
              <w:widowControl w:val="0"/>
              <w:jc w:val="center"/>
            </w:pPr>
          </w:p>
        </w:tc>
        <w:tc>
          <w:tcPr>
            <w:tcW w:w="647" w:type="pct"/>
            <w:shd w:val="clear" w:color="auto" w:fill="auto"/>
          </w:tcPr>
          <w:p w14:paraId="279C12DC"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298C3C98"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03FD4F51"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27D87D77" w14:textId="77777777" w:rsidR="00CE4D3D" w:rsidRPr="009C01D5" w:rsidRDefault="00CE4D3D" w:rsidP="0041213B">
            <w:pPr>
              <w:pStyle w:val="TableText0"/>
              <w:keepNext w:val="0"/>
              <w:widowControl w:val="0"/>
              <w:jc w:val="center"/>
              <w:rPr>
                <w:bCs w:val="0"/>
              </w:rPr>
            </w:pPr>
          </w:p>
        </w:tc>
        <w:tc>
          <w:tcPr>
            <w:tcW w:w="649" w:type="pct"/>
          </w:tcPr>
          <w:p w14:paraId="37520A0F" w14:textId="77777777" w:rsidR="00CE4D3D" w:rsidRPr="009C01D5" w:rsidRDefault="00CE4D3D" w:rsidP="0041213B">
            <w:pPr>
              <w:pStyle w:val="TableText0"/>
              <w:keepNext w:val="0"/>
              <w:widowControl w:val="0"/>
              <w:jc w:val="center"/>
              <w:rPr>
                <w:bCs w:val="0"/>
              </w:rPr>
            </w:pPr>
          </w:p>
        </w:tc>
      </w:tr>
      <w:tr w:rsidR="00CE4D3D" w:rsidRPr="009C01D5" w14:paraId="00563C13" w14:textId="77777777" w:rsidTr="0041213B">
        <w:tc>
          <w:tcPr>
            <w:tcW w:w="1116" w:type="pct"/>
            <w:shd w:val="clear" w:color="auto" w:fill="auto"/>
            <w:vAlign w:val="center"/>
          </w:tcPr>
          <w:p w14:paraId="230D6374"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For doses where range is warranted:</w:t>
            </w:r>
          </w:p>
          <w:p w14:paraId="53AD2E09" w14:textId="77777777" w:rsidR="00CE4D3D" w:rsidRPr="009C01D5" w:rsidRDefault="00CE4D3D" w:rsidP="0041213B">
            <w:pPr>
              <w:pStyle w:val="TableText0"/>
              <w:keepNext w:val="0"/>
              <w:widowControl w:val="0"/>
              <w:rPr>
                <w:sz w:val="19"/>
                <w:szCs w:val="19"/>
              </w:rPr>
            </w:pPr>
            <w:r w:rsidRPr="009C01D5">
              <w:rPr>
                <w:bCs w:val="0"/>
              </w:rPr>
              <w:t xml:space="preserve">Equal distribution of lower and higher </w:t>
            </w:r>
          </w:p>
        </w:tc>
        <w:tc>
          <w:tcPr>
            <w:tcW w:w="647" w:type="pct"/>
            <w:shd w:val="clear" w:color="auto" w:fill="auto"/>
            <w:vAlign w:val="center"/>
          </w:tcPr>
          <w:p w14:paraId="35CBE164"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9929629"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3797A51F"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4FA66443"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3D613B8D"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56366890"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7AF79141" w14:textId="77777777" w:rsidTr="0041213B">
        <w:tc>
          <w:tcPr>
            <w:tcW w:w="1116" w:type="pct"/>
            <w:shd w:val="clear" w:color="auto" w:fill="auto"/>
            <w:vAlign w:val="center"/>
          </w:tcPr>
          <w:p w14:paraId="074B5DA0"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Lower dose selected</w:t>
            </w:r>
          </w:p>
        </w:tc>
        <w:tc>
          <w:tcPr>
            <w:tcW w:w="647" w:type="pct"/>
            <w:shd w:val="clear" w:color="auto" w:fill="auto"/>
          </w:tcPr>
          <w:p w14:paraId="715389DB"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2CDC90C2"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24AA36EC"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3109CA69"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5FA6ED58"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tcPr>
          <w:p w14:paraId="21EC2296"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2ED43681" w14:textId="77777777" w:rsidTr="0041213B">
        <w:tc>
          <w:tcPr>
            <w:tcW w:w="1116" w:type="pct"/>
            <w:shd w:val="clear" w:color="auto" w:fill="auto"/>
            <w:vAlign w:val="center"/>
          </w:tcPr>
          <w:p w14:paraId="068C76B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Higher dose selected</w:t>
            </w:r>
          </w:p>
        </w:tc>
        <w:tc>
          <w:tcPr>
            <w:tcW w:w="647" w:type="pct"/>
            <w:shd w:val="clear" w:color="auto" w:fill="auto"/>
          </w:tcPr>
          <w:p w14:paraId="55B3B12F"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69A13C53"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69943DB3"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770FFE66"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tcPr>
          <w:p w14:paraId="3B9F915B"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tcPr>
          <w:p w14:paraId="73982519"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0D7D4CA5" w14:textId="77777777" w:rsidTr="0041213B">
        <w:tc>
          <w:tcPr>
            <w:tcW w:w="1116" w:type="pct"/>
            <w:shd w:val="clear" w:color="auto" w:fill="auto"/>
            <w:vAlign w:val="center"/>
          </w:tcPr>
          <w:p w14:paraId="1E3BC79C"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Replacement of other atypical antipsychotics</w:t>
            </w:r>
          </w:p>
        </w:tc>
        <w:tc>
          <w:tcPr>
            <w:tcW w:w="647" w:type="pct"/>
            <w:shd w:val="clear" w:color="auto" w:fill="auto"/>
            <w:vAlign w:val="center"/>
          </w:tcPr>
          <w:p w14:paraId="76656FDB" w14:textId="77777777" w:rsidR="00CE4D3D" w:rsidRPr="009C01D5" w:rsidRDefault="00CE4D3D" w:rsidP="0041213B">
            <w:pPr>
              <w:pStyle w:val="TableText0"/>
              <w:keepNext w:val="0"/>
              <w:widowControl w:val="0"/>
              <w:jc w:val="center"/>
            </w:pPr>
          </w:p>
        </w:tc>
        <w:tc>
          <w:tcPr>
            <w:tcW w:w="647" w:type="pct"/>
            <w:shd w:val="clear" w:color="auto" w:fill="auto"/>
          </w:tcPr>
          <w:p w14:paraId="2C8109A3"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6D5B8D66"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6C4C846D" w14:textId="77777777" w:rsidR="00CE4D3D" w:rsidRPr="009C01D5" w:rsidRDefault="00CE4D3D" w:rsidP="0041213B">
            <w:pPr>
              <w:pStyle w:val="TableText0"/>
              <w:keepNext w:val="0"/>
              <w:widowControl w:val="0"/>
              <w:jc w:val="center"/>
              <w:rPr>
                <w:bCs w:val="0"/>
              </w:rPr>
            </w:pPr>
          </w:p>
        </w:tc>
        <w:tc>
          <w:tcPr>
            <w:tcW w:w="647" w:type="pct"/>
            <w:shd w:val="clear" w:color="auto" w:fill="auto"/>
          </w:tcPr>
          <w:p w14:paraId="4E814BE6" w14:textId="77777777" w:rsidR="00CE4D3D" w:rsidRPr="009C01D5" w:rsidRDefault="00CE4D3D" w:rsidP="0041213B">
            <w:pPr>
              <w:pStyle w:val="TableText0"/>
              <w:keepNext w:val="0"/>
              <w:widowControl w:val="0"/>
              <w:jc w:val="center"/>
              <w:rPr>
                <w:bCs w:val="0"/>
              </w:rPr>
            </w:pPr>
          </w:p>
        </w:tc>
        <w:tc>
          <w:tcPr>
            <w:tcW w:w="649" w:type="pct"/>
          </w:tcPr>
          <w:p w14:paraId="51498B99" w14:textId="77777777" w:rsidR="00CE4D3D" w:rsidRPr="009C01D5" w:rsidRDefault="00CE4D3D" w:rsidP="0041213B">
            <w:pPr>
              <w:pStyle w:val="TableText0"/>
              <w:keepNext w:val="0"/>
              <w:widowControl w:val="0"/>
              <w:jc w:val="center"/>
              <w:rPr>
                <w:bCs w:val="0"/>
              </w:rPr>
            </w:pPr>
          </w:p>
        </w:tc>
      </w:tr>
      <w:tr w:rsidR="00CE4D3D" w:rsidRPr="009C01D5" w14:paraId="2A012305" w14:textId="77777777" w:rsidTr="0041213B">
        <w:tc>
          <w:tcPr>
            <w:tcW w:w="1116" w:type="pct"/>
            <w:shd w:val="clear" w:color="auto" w:fill="auto"/>
            <w:vAlign w:val="center"/>
          </w:tcPr>
          <w:p w14:paraId="1AF2042D"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70% uptake from main comparators)</w:t>
            </w:r>
          </w:p>
          <w:p w14:paraId="5196E898"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50% of lurasidone 80 mg replaced by cariprazine 4.5 mg</w:t>
            </w:r>
          </w:p>
        </w:tc>
        <w:tc>
          <w:tcPr>
            <w:tcW w:w="647" w:type="pct"/>
            <w:shd w:val="clear" w:color="auto" w:fill="auto"/>
            <w:vAlign w:val="center"/>
          </w:tcPr>
          <w:p w14:paraId="2565FC8B"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5496147F"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1C9D283A"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541CF59D"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760758E1"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12E9AF92"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553A2E12" w14:textId="77777777" w:rsidTr="0041213B">
        <w:tc>
          <w:tcPr>
            <w:tcW w:w="1116" w:type="pct"/>
            <w:shd w:val="clear" w:color="auto" w:fill="auto"/>
            <w:vAlign w:val="center"/>
          </w:tcPr>
          <w:p w14:paraId="08A94C63"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25% of lurasidone 80 mg replaced by cariprazine 4.5 mg</w:t>
            </w:r>
          </w:p>
        </w:tc>
        <w:tc>
          <w:tcPr>
            <w:tcW w:w="647" w:type="pct"/>
            <w:shd w:val="clear" w:color="auto" w:fill="auto"/>
            <w:vAlign w:val="center"/>
          </w:tcPr>
          <w:p w14:paraId="61E43613"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0AFB5504"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6F93352"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0132CBD3"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14C21ADF"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758D9FD9"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2A6D31F2" w14:textId="77777777" w:rsidTr="0041213B">
        <w:tc>
          <w:tcPr>
            <w:tcW w:w="1116" w:type="pct"/>
            <w:shd w:val="clear" w:color="auto" w:fill="auto"/>
            <w:vAlign w:val="center"/>
          </w:tcPr>
          <w:p w14:paraId="34064FDE"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60% uptake from main comparators</w:t>
            </w:r>
          </w:p>
          <w:p w14:paraId="7132BDA1"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50% of lurasidone 80 mg replaced by cariprazine 4.5 mg</w:t>
            </w:r>
          </w:p>
        </w:tc>
        <w:tc>
          <w:tcPr>
            <w:tcW w:w="647" w:type="pct"/>
            <w:shd w:val="clear" w:color="auto" w:fill="auto"/>
            <w:vAlign w:val="center"/>
          </w:tcPr>
          <w:p w14:paraId="42A1BC5B"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51C3B411"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5BDFD52E"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350219DB"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2CA6BFBA"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1415FBE5"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12440872" w14:textId="77777777" w:rsidTr="0041213B">
        <w:tc>
          <w:tcPr>
            <w:tcW w:w="1116" w:type="pct"/>
            <w:shd w:val="clear" w:color="auto" w:fill="auto"/>
            <w:vAlign w:val="center"/>
          </w:tcPr>
          <w:p w14:paraId="3A21DBC5"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80% uptake from main comparators</w:t>
            </w:r>
          </w:p>
          <w:p w14:paraId="3FF8D9A7"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50% of lurasidone 80 mg replaced by cariprazine 4.5 mg</w:t>
            </w:r>
          </w:p>
        </w:tc>
        <w:tc>
          <w:tcPr>
            <w:tcW w:w="647" w:type="pct"/>
            <w:shd w:val="clear" w:color="auto" w:fill="auto"/>
            <w:vAlign w:val="center"/>
          </w:tcPr>
          <w:p w14:paraId="48C2A147"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DB1F0D0"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5E705B77"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1771C078"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01F18614"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29B14F82" w14:textId="77777777" w:rsidR="00CE4D3D" w:rsidRPr="009C01D5" w:rsidRDefault="00CE4D3D" w:rsidP="0041213B">
            <w:pPr>
              <w:pStyle w:val="TableText0"/>
              <w:keepNext w:val="0"/>
              <w:widowControl w:val="0"/>
              <w:jc w:val="center"/>
              <w:rPr>
                <w:bCs w:val="0"/>
              </w:rPr>
            </w:pPr>
            <w:r w:rsidRPr="009C01D5">
              <w:rPr>
                <w:color w:val="000000"/>
              </w:rPr>
              <w:t>Not provided</w:t>
            </w:r>
          </w:p>
        </w:tc>
      </w:tr>
      <w:tr w:rsidR="00CE4D3D" w:rsidRPr="009C01D5" w14:paraId="2C280B80" w14:textId="77777777" w:rsidTr="0041213B">
        <w:tc>
          <w:tcPr>
            <w:tcW w:w="1116" w:type="pct"/>
            <w:shd w:val="clear" w:color="auto" w:fill="auto"/>
            <w:vAlign w:val="center"/>
          </w:tcPr>
          <w:p w14:paraId="5704BC34" w14:textId="77777777" w:rsidR="00CE4D3D" w:rsidRPr="009C01D5" w:rsidRDefault="00CE4D3D" w:rsidP="0041213B">
            <w:pPr>
              <w:widowControl w:val="0"/>
              <w:jc w:val="left"/>
              <w:rPr>
                <w:rFonts w:ascii="Arial Narrow" w:eastAsiaTheme="majorEastAsia" w:hAnsi="Arial Narrow" w:cstheme="majorBidi"/>
                <w:bCs/>
                <w:sz w:val="20"/>
              </w:rPr>
            </w:pPr>
            <w:r w:rsidRPr="009C01D5">
              <w:rPr>
                <w:rFonts w:ascii="Arial Narrow" w:eastAsiaTheme="majorEastAsia" w:hAnsi="Arial Narrow" w:cstheme="majorBidi"/>
                <w:bCs/>
                <w:sz w:val="20"/>
              </w:rPr>
              <w:t>25% of lurasidone 80 mg replaced by cariprazine 4.5 mg</w:t>
            </w:r>
          </w:p>
        </w:tc>
        <w:tc>
          <w:tcPr>
            <w:tcW w:w="647" w:type="pct"/>
            <w:shd w:val="clear" w:color="auto" w:fill="auto"/>
            <w:vAlign w:val="center"/>
          </w:tcPr>
          <w:p w14:paraId="6BB4F8F8" w14:textId="77777777" w:rsidR="00CE4D3D" w:rsidRPr="00F72D5E" w:rsidRDefault="00CE4D3D" w:rsidP="0041213B">
            <w:pPr>
              <w:pStyle w:val="TableText0"/>
              <w:keepNext w:val="0"/>
              <w:widowControl w:val="0"/>
              <w:jc w:val="center"/>
              <w:rPr>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18C03962"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21661EAC"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65B37D8E"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7" w:type="pct"/>
            <w:shd w:val="clear" w:color="auto" w:fill="auto"/>
            <w:vAlign w:val="center"/>
          </w:tcPr>
          <w:p w14:paraId="31E49EF5" w14:textId="77777777" w:rsidR="00CE4D3D" w:rsidRPr="00F72D5E" w:rsidRDefault="00CE4D3D" w:rsidP="0041213B">
            <w:pPr>
              <w:pStyle w:val="TableText0"/>
              <w:keepNext w:val="0"/>
              <w:widowControl w:val="0"/>
              <w:jc w:val="center"/>
              <w:rPr>
                <w:bCs w:val="0"/>
                <w:vertAlign w:val="superscript"/>
              </w:rPr>
            </w:pPr>
            <w:r w:rsidRPr="009C01D5">
              <w:rPr>
                <w:bCs w:val="0"/>
              </w:rPr>
              <w:t>-$</w:t>
            </w:r>
            <w:r w:rsidR="00D06CC7">
              <w:rPr>
                <w:bCs w:val="0"/>
                <w:noProof/>
                <w:color w:val="000000"/>
                <w:highlight w:val="black"/>
              </w:rPr>
              <w:t>''''''''''''''''</w:t>
            </w:r>
            <w:r w:rsidR="00F72D5E">
              <w:rPr>
                <w:bCs w:val="0"/>
                <w:vertAlign w:val="superscript"/>
              </w:rPr>
              <w:t>6</w:t>
            </w:r>
          </w:p>
        </w:tc>
        <w:tc>
          <w:tcPr>
            <w:tcW w:w="649" w:type="pct"/>
            <w:vAlign w:val="center"/>
          </w:tcPr>
          <w:p w14:paraId="2AB2E5D6" w14:textId="77777777" w:rsidR="00CE4D3D" w:rsidRPr="009C01D5" w:rsidRDefault="00CE4D3D" w:rsidP="0041213B">
            <w:pPr>
              <w:pStyle w:val="TableText0"/>
              <w:keepNext w:val="0"/>
              <w:widowControl w:val="0"/>
              <w:jc w:val="center"/>
              <w:rPr>
                <w:bCs w:val="0"/>
              </w:rPr>
            </w:pPr>
            <w:r w:rsidRPr="009C01D5">
              <w:rPr>
                <w:color w:val="000000"/>
              </w:rPr>
              <w:t>Not provided</w:t>
            </w:r>
          </w:p>
        </w:tc>
      </w:tr>
    </w:tbl>
    <w:p w14:paraId="174DEF4A" w14:textId="77777777" w:rsidR="00CE4D3D" w:rsidRPr="009C01D5" w:rsidRDefault="00CE4D3D" w:rsidP="00CE4D3D">
      <w:pPr>
        <w:pStyle w:val="TableFigureFooter"/>
      </w:pPr>
      <w:r w:rsidRPr="009C01D5">
        <w:t xml:space="preserve">Abbreviations: </w:t>
      </w:r>
      <w:r w:rsidR="00967438" w:rsidRPr="009C01D5">
        <w:t>mg =</w:t>
      </w:r>
      <w:r w:rsidRPr="009C01D5">
        <w:t xml:space="preserve"> milligram; PBS = Pharmaceutical Benefit Scheme; RPBS = Repatriation Schedule of Pharmaceutical Benefits.</w:t>
      </w:r>
    </w:p>
    <w:p w14:paraId="23E1AFCB" w14:textId="77777777" w:rsidR="00CE4D3D" w:rsidRPr="009C01D5" w:rsidRDefault="00CE4D3D" w:rsidP="00CE4D3D">
      <w:pPr>
        <w:pStyle w:val="TableFigureFooter"/>
        <w:rPr>
          <w:rStyle w:val="CommentReference"/>
        </w:rPr>
      </w:pPr>
      <w:r w:rsidRPr="009C01D5">
        <w:t>Source: Table 4.2.9, Table 4.2.13, Table 4.3.5, Table 4.4.1 and Table 4.6.3 of the submission.</w:t>
      </w:r>
    </w:p>
    <w:p w14:paraId="2421C448" w14:textId="77777777" w:rsidR="00CE4D3D" w:rsidRDefault="00CE4D3D" w:rsidP="00CE4D3D">
      <w:pPr>
        <w:pStyle w:val="TableFigureFooter"/>
      </w:pPr>
      <w:r w:rsidRPr="009C01D5">
        <w:rPr>
          <w:vertAlign w:val="superscript"/>
        </w:rPr>
        <w:t>a</w:t>
      </w:r>
      <w:r w:rsidRPr="009C01D5">
        <w:t xml:space="preserve"> Assuming scripts per year as estimated by the submission.</w:t>
      </w:r>
    </w:p>
    <w:p w14:paraId="3E73C736" w14:textId="77777777" w:rsidR="00F72D5E" w:rsidRPr="00EB70B2" w:rsidRDefault="00F72D5E" w:rsidP="00F72D5E">
      <w:pPr>
        <w:rPr>
          <w:rFonts w:ascii="Arial Narrow" w:hAnsi="Arial Narrow"/>
          <w:i/>
          <w:sz w:val="18"/>
          <w:vertAlign w:val="superscript"/>
        </w:rPr>
      </w:pPr>
      <w:r w:rsidRPr="00EB70B2">
        <w:rPr>
          <w:rFonts w:ascii="Arial Narrow" w:hAnsi="Arial Narrow"/>
          <w:i/>
          <w:sz w:val="18"/>
        </w:rPr>
        <w:t>The redacted values correspond to the following ranges:</w:t>
      </w:r>
    </w:p>
    <w:p w14:paraId="7AAE4046" w14:textId="77777777" w:rsidR="00F72D5E" w:rsidRPr="00EB70B2" w:rsidRDefault="00F72D5E" w:rsidP="00F72D5E">
      <w:pPr>
        <w:tabs>
          <w:tab w:val="left" w:pos="2622"/>
        </w:tabs>
        <w:rPr>
          <w:rFonts w:ascii="Arial Narrow" w:hAnsi="Arial Narrow"/>
          <w:i/>
          <w:sz w:val="18"/>
        </w:rPr>
      </w:pPr>
      <w:r w:rsidRPr="00EB70B2">
        <w:rPr>
          <w:rFonts w:ascii="Arial Narrow" w:hAnsi="Arial Narrow"/>
          <w:i/>
          <w:sz w:val="18"/>
          <w:vertAlign w:val="superscript"/>
        </w:rPr>
        <w:t>1</w:t>
      </w:r>
      <w:r w:rsidRPr="00EB70B2">
        <w:rPr>
          <w:rFonts w:ascii="Arial Narrow" w:hAnsi="Arial Narrow"/>
          <w:i/>
          <w:sz w:val="18"/>
        </w:rPr>
        <w:t>500 to &lt;5,000</w:t>
      </w:r>
    </w:p>
    <w:p w14:paraId="09E4BF95" w14:textId="77777777" w:rsidR="00F72D5E" w:rsidRDefault="00F72D5E" w:rsidP="00F72D5E">
      <w:pPr>
        <w:tabs>
          <w:tab w:val="left" w:pos="2622"/>
        </w:tabs>
        <w:rPr>
          <w:rFonts w:ascii="Arial Narrow" w:hAnsi="Arial Narrow"/>
          <w:i/>
          <w:sz w:val="18"/>
        </w:rPr>
      </w:pPr>
      <w:r>
        <w:rPr>
          <w:rFonts w:ascii="Arial Narrow" w:hAnsi="Arial Narrow"/>
          <w:i/>
          <w:sz w:val="18"/>
          <w:vertAlign w:val="superscript"/>
        </w:rPr>
        <w:t>2</w:t>
      </w:r>
      <w:r w:rsidRPr="00EB70B2">
        <w:rPr>
          <w:rFonts w:ascii="Arial Narrow" w:hAnsi="Arial Narrow"/>
          <w:i/>
          <w:sz w:val="18"/>
        </w:rPr>
        <w:t>20,000 to &lt;30,000</w:t>
      </w:r>
    </w:p>
    <w:p w14:paraId="27967E3D" w14:textId="77777777" w:rsidR="00F72D5E" w:rsidRDefault="00F72D5E" w:rsidP="00F72D5E">
      <w:pPr>
        <w:tabs>
          <w:tab w:val="left" w:pos="2622"/>
        </w:tabs>
        <w:rPr>
          <w:rFonts w:ascii="Arial Narrow" w:hAnsi="Arial Narrow"/>
          <w:i/>
          <w:sz w:val="18"/>
        </w:rPr>
      </w:pPr>
      <w:r>
        <w:rPr>
          <w:rFonts w:ascii="Arial Narrow" w:hAnsi="Arial Narrow"/>
          <w:i/>
          <w:sz w:val="18"/>
          <w:vertAlign w:val="superscript"/>
        </w:rPr>
        <w:t>3</w:t>
      </w:r>
      <w:r w:rsidRPr="00EB70B2">
        <w:rPr>
          <w:rFonts w:ascii="Arial Narrow" w:hAnsi="Arial Narrow"/>
          <w:i/>
          <w:sz w:val="18"/>
        </w:rPr>
        <w:t>40,000 to &lt;50,000</w:t>
      </w:r>
    </w:p>
    <w:p w14:paraId="5375AC19" w14:textId="77777777" w:rsidR="00F72D5E" w:rsidRDefault="00F72D5E" w:rsidP="00F72D5E">
      <w:pPr>
        <w:tabs>
          <w:tab w:val="left" w:pos="2622"/>
        </w:tabs>
        <w:rPr>
          <w:rFonts w:ascii="Arial Narrow" w:hAnsi="Arial Narrow"/>
          <w:i/>
          <w:sz w:val="18"/>
        </w:rPr>
      </w:pPr>
      <w:r>
        <w:rPr>
          <w:rFonts w:ascii="Arial Narrow" w:hAnsi="Arial Narrow"/>
          <w:i/>
          <w:sz w:val="18"/>
          <w:vertAlign w:val="superscript"/>
        </w:rPr>
        <w:t>4</w:t>
      </w:r>
      <w:r w:rsidRPr="00EB70B2">
        <w:rPr>
          <w:rFonts w:ascii="Arial Narrow" w:hAnsi="Arial Narrow"/>
          <w:i/>
          <w:sz w:val="18"/>
        </w:rPr>
        <w:t>50,000 to &lt;60,000</w:t>
      </w:r>
    </w:p>
    <w:p w14:paraId="64580EED" w14:textId="77777777" w:rsidR="00F72D5E" w:rsidRPr="00C05142" w:rsidRDefault="00F72D5E" w:rsidP="00F72D5E">
      <w:pPr>
        <w:tabs>
          <w:tab w:val="left" w:pos="2622"/>
        </w:tabs>
        <w:rPr>
          <w:rFonts w:ascii="Arial Narrow" w:hAnsi="Arial Narrow"/>
          <w:i/>
          <w:sz w:val="18"/>
        </w:rPr>
      </w:pPr>
      <w:r>
        <w:rPr>
          <w:rFonts w:ascii="Arial Narrow" w:hAnsi="Arial Narrow"/>
          <w:i/>
          <w:sz w:val="18"/>
          <w:vertAlign w:val="superscript"/>
        </w:rPr>
        <w:t>5</w:t>
      </w:r>
      <w:r>
        <w:rPr>
          <w:rFonts w:ascii="Arial Narrow" w:hAnsi="Arial Narrow"/>
          <w:i/>
          <w:sz w:val="18"/>
        </w:rPr>
        <w:t>70,000 to &lt;80,000</w:t>
      </w:r>
    </w:p>
    <w:p w14:paraId="21417DC1" w14:textId="77777777" w:rsidR="00F72D5E" w:rsidRDefault="00F72D5E" w:rsidP="00F72D5E">
      <w:pPr>
        <w:tabs>
          <w:tab w:val="left" w:pos="2622"/>
        </w:tabs>
        <w:rPr>
          <w:rFonts w:ascii="Arial Narrow" w:hAnsi="Arial Narrow"/>
          <w:i/>
          <w:sz w:val="18"/>
        </w:rPr>
      </w:pPr>
      <w:r w:rsidRPr="00EB70B2">
        <w:rPr>
          <w:rFonts w:ascii="Arial Narrow" w:hAnsi="Arial Narrow"/>
          <w:i/>
          <w:sz w:val="18"/>
          <w:vertAlign w:val="superscript"/>
        </w:rPr>
        <w:t>6</w:t>
      </w:r>
      <w:r w:rsidRPr="00EB70B2">
        <w:rPr>
          <w:rFonts w:ascii="Arial Narrow" w:hAnsi="Arial Narrow"/>
          <w:i/>
          <w:sz w:val="18"/>
        </w:rPr>
        <w:t>$</w:t>
      </w:r>
      <w:r>
        <w:rPr>
          <w:rFonts w:ascii="Arial Narrow" w:hAnsi="Arial Narrow"/>
          <w:i/>
          <w:sz w:val="18"/>
        </w:rPr>
        <w:t>0 to &lt;$10 million</w:t>
      </w:r>
    </w:p>
    <w:p w14:paraId="68821EEA" w14:textId="77777777" w:rsidR="00F72D5E" w:rsidRPr="009C01D5" w:rsidRDefault="00F72D5E" w:rsidP="00CE4D3D">
      <w:pPr>
        <w:pStyle w:val="TableFigureFooter"/>
      </w:pPr>
    </w:p>
    <w:p w14:paraId="62E8F3FD" w14:textId="77777777" w:rsidR="00CE4D3D" w:rsidRPr="009C01D5" w:rsidRDefault="00CE4D3D" w:rsidP="00CE4D3D">
      <w:pPr>
        <w:pStyle w:val="3-BodyText"/>
      </w:pPr>
      <w:r w:rsidRPr="009C01D5">
        <w:t xml:space="preserve">The total cost to the PBS/RPBS of listing cariprazine was estimated to be </w:t>
      </w:r>
      <w:r w:rsidR="00D3425B">
        <w:t>net cost saving</w:t>
      </w:r>
      <w:r w:rsidRPr="009C01D5">
        <w:t xml:space="preserve"> in Year 5, and a total of </w:t>
      </w:r>
      <w:r w:rsidR="00D3425B">
        <w:t>net cost saving</w:t>
      </w:r>
      <w:r w:rsidRPr="009C01D5">
        <w:t xml:space="preserve"> in the first 5 years of listing</w:t>
      </w:r>
      <w:r w:rsidRPr="009C01D5">
        <w:rPr>
          <w:color w:val="3366FF"/>
        </w:rPr>
        <w:t xml:space="preserve">. </w:t>
      </w:r>
      <w:r w:rsidRPr="009C01D5">
        <w:t>The submission noted that the listing of cariprazine w</w:t>
      </w:r>
      <w:r w:rsidR="000B320D" w:rsidRPr="009C01D5">
        <w:t>ould</w:t>
      </w:r>
      <w:r w:rsidRPr="009C01D5">
        <w:t xml:space="preserve"> result in a cumulative reduction in expenditure of $</w:t>
      </w:r>
      <w:r w:rsidR="006A0BAC">
        <w:t>0 to &lt;$10M</w:t>
      </w:r>
      <w:r w:rsidRPr="009C01D5">
        <w:t xml:space="preserve"> over the first five years of listing to the PBS/RPBS. This reduction ar</w:t>
      </w:r>
      <w:r w:rsidR="000B320D" w:rsidRPr="009C01D5">
        <w:t>ose</w:t>
      </w:r>
      <w:r w:rsidRPr="009C01D5">
        <w:t xml:space="preserve"> mainly from cariprazine replacing brexpiprazole</w:t>
      </w:r>
      <w:r w:rsidR="000B320D" w:rsidRPr="009C01D5">
        <w:t>,</w:t>
      </w:r>
      <w:r w:rsidRPr="009C01D5">
        <w:t xml:space="preserve"> which is more expensive. However, it relies on the assumption that cariprazine use replaces rather than displaces aripiprazole and brexpiprazole use; estimated reductions may not materialise to the extent that </w:t>
      </w:r>
      <w:r w:rsidR="000B320D" w:rsidRPr="009C01D5">
        <w:t xml:space="preserve">is presented, as </w:t>
      </w:r>
      <w:r w:rsidRPr="009C01D5">
        <w:t xml:space="preserve">there is </w:t>
      </w:r>
      <w:r w:rsidR="007971A0" w:rsidRPr="009C01D5">
        <w:t xml:space="preserve">likely to be </w:t>
      </w:r>
      <w:r w:rsidRPr="009C01D5">
        <w:t>use of these therapies as later line treatment.</w:t>
      </w:r>
    </w:p>
    <w:p w14:paraId="1DE509DA" w14:textId="77777777" w:rsidR="00A33851" w:rsidRPr="009C01D5" w:rsidRDefault="00A33851" w:rsidP="00CE4D3D">
      <w:pPr>
        <w:pStyle w:val="3-BodyText"/>
      </w:pPr>
      <w:r w:rsidRPr="009C01D5">
        <w:t xml:space="preserve">The ESC noted that the PSCR maintained that cariprazine would replace rather than displace aripiprazole and brexpiprazole. The ESC considered that this was reasonable, </w:t>
      </w:r>
      <w:r w:rsidR="00E85D87" w:rsidRPr="009C01D5">
        <w:t xml:space="preserve">as </w:t>
      </w:r>
      <w:r w:rsidRPr="009C01D5">
        <w:t xml:space="preserve">prescribers would be more likely to </w:t>
      </w:r>
      <w:r w:rsidR="00636840" w:rsidRPr="009C01D5">
        <w:t>prescribe</w:t>
      </w:r>
      <w:r w:rsidRPr="009C01D5">
        <w:t xml:space="preserve"> a drug with a different mechanism of action</w:t>
      </w:r>
      <w:r w:rsidR="00636840" w:rsidRPr="009C01D5">
        <w:t xml:space="preserve"> if cariprazine proved ineffective, rather than aripiprazole or brexpiprazole</w:t>
      </w:r>
      <w:r w:rsidRPr="009C01D5">
        <w:t xml:space="preserve">. </w:t>
      </w:r>
    </w:p>
    <w:p w14:paraId="76B7BAF9" w14:textId="77777777" w:rsidR="00CE4D3D" w:rsidRPr="009C01D5" w:rsidRDefault="00CE4D3D" w:rsidP="00CE4D3D">
      <w:pPr>
        <w:pStyle w:val="3-BodyText"/>
      </w:pPr>
      <w:r w:rsidRPr="009C01D5">
        <w:t>The submission stated that there w</w:t>
      </w:r>
      <w:r w:rsidR="000B320D" w:rsidRPr="009C01D5">
        <w:t>ould</w:t>
      </w:r>
      <w:r w:rsidRPr="009C01D5">
        <w:t xml:space="preserve"> be no implications for the wider health budget, as the listing of cariprazine is not expected to be accompanied by any change in MBS services (including specialist consultation</w:t>
      </w:r>
      <w:r w:rsidR="000B320D" w:rsidRPr="009C01D5">
        <w:t>,</w:t>
      </w:r>
      <w:r w:rsidRPr="009C01D5">
        <w:t xml:space="preserve"> which is expected to remain the same) or prescription processing. This appear</w:t>
      </w:r>
      <w:r w:rsidR="000B320D" w:rsidRPr="009C01D5">
        <w:t>ed</w:t>
      </w:r>
      <w:r w:rsidRPr="009C01D5">
        <w:t xml:space="preserve"> reasonable given that cariprazine and its main comparators, aripiprazole and brexpiprazole have the same mode of administration and similar safety profile.</w:t>
      </w:r>
    </w:p>
    <w:p w14:paraId="018CC6F1" w14:textId="77777777" w:rsidR="000213D3" w:rsidRPr="009C01D5" w:rsidRDefault="00CE4D3D" w:rsidP="00A33851">
      <w:pPr>
        <w:pStyle w:val="3-BodyText"/>
        <w:rPr>
          <w:bCs/>
          <w:iCs/>
        </w:rPr>
      </w:pPr>
      <w:r w:rsidRPr="009C01D5">
        <w:t xml:space="preserve">The submission noted that uncertainty around the cariprazine substitution doses and different substitution proportions of the five drugs considered </w:t>
      </w:r>
      <w:r w:rsidR="00B46D41" w:rsidRPr="009C01D5">
        <w:t xml:space="preserve">non-inferior </w:t>
      </w:r>
      <w:r w:rsidRPr="009C01D5">
        <w:t>by the PBAC has a relatively minor and minimal impact on the financial estimates respectively (Table 1</w:t>
      </w:r>
      <w:r w:rsidR="00102AA3" w:rsidRPr="009C01D5">
        <w:t>8</w:t>
      </w:r>
      <w:r w:rsidRPr="009C01D5">
        <w:t xml:space="preserve">). </w:t>
      </w:r>
    </w:p>
    <w:p w14:paraId="10B8AEFF" w14:textId="77777777" w:rsidR="002864C6" w:rsidRPr="009C01D5" w:rsidRDefault="002864C6" w:rsidP="002E7922">
      <w:pPr>
        <w:pStyle w:val="3-BodyText"/>
        <w:rPr>
          <w:bCs/>
          <w:iCs/>
        </w:rPr>
      </w:pPr>
      <w:r w:rsidRPr="009C01D5">
        <w:t xml:space="preserve">The </w:t>
      </w:r>
      <w:r w:rsidR="005D0A01" w:rsidRPr="009C01D5">
        <w:t xml:space="preserve">PBAC </w:t>
      </w:r>
      <w:r w:rsidRPr="009C01D5">
        <w:t xml:space="preserve">considered that the cost savings to the Government may not materialise if prescribers use the higher strengths </w:t>
      </w:r>
      <w:r w:rsidR="00E71B6F" w:rsidRPr="009C01D5">
        <w:t xml:space="preserve">of cariprazine </w:t>
      </w:r>
      <w:r w:rsidRPr="009C01D5">
        <w:t>rather than the lower strengths as predicted by the submission (as discussed in paragraph 6.</w:t>
      </w:r>
      <w:r w:rsidR="00636840" w:rsidRPr="009C01D5">
        <w:t>6</w:t>
      </w:r>
      <w:r w:rsidRPr="009C01D5">
        <w:t>0).</w:t>
      </w:r>
    </w:p>
    <w:p w14:paraId="181E1CE5" w14:textId="77777777" w:rsidR="00CE4D3D" w:rsidRPr="009C01D5" w:rsidRDefault="00CE4D3D" w:rsidP="00CE4D3D">
      <w:pPr>
        <w:pStyle w:val="4-SubsectionHeading"/>
      </w:pPr>
      <w:bookmarkStart w:id="42" w:name="_Toc22897648"/>
      <w:bookmarkStart w:id="43" w:name="_Toc51163091"/>
      <w:r w:rsidRPr="009C01D5">
        <w:t>Quality Use of Medicines</w:t>
      </w:r>
      <w:bookmarkEnd w:id="42"/>
      <w:bookmarkEnd w:id="43"/>
    </w:p>
    <w:p w14:paraId="56473B45" w14:textId="77777777" w:rsidR="00CE4D3D" w:rsidRPr="009C01D5" w:rsidRDefault="00CE4D3D" w:rsidP="00CE4D3D">
      <w:pPr>
        <w:pStyle w:val="3-BodyText"/>
      </w:pPr>
      <w:r w:rsidRPr="009C01D5">
        <w:t xml:space="preserve">The submission acknowledged the occurrence of akathisia with cariprazine administration and the need to ensure quality use of medicines (QUM) thereof. The submission presented a summary of recommendations provided in both the proposed PI and consumer medicines information to address akathisia. The submission proposed prescriber education activities to support QUM for cariprazine. </w:t>
      </w:r>
    </w:p>
    <w:p w14:paraId="05B99F7F" w14:textId="77777777" w:rsidR="00324520" w:rsidRPr="009C01D5" w:rsidRDefault="00324520" w:rsidP="00324520">
      <w:pPr>
        <w:ind w:left="720"/>
        <w:contextualSpacing/>
        <w:rPr>
          <w:rFonts w:eastAsia="Calibri"/>
          <w:i/>
          <w:szCs w:val="22"/>
        </w:rPr>
      </w:pPr>
      <w:r w:rsidRPr="009C01D5">
        <w:rPr>
          <w:rFonts w:asciiTheme="minorHAnsi" w:eastAsia="Calibri" w:hAnsiTheme="minorHAnsi"/>
          <w:i/>
          <w:snapToGrid w:val="0"/>
        </w:rPr>
        <w:t>For more detail on PBAC’s view, see section 7 PBAC outcome.</w:t>
      </w:r>
    </w:p>
    <w:p w14:paraId="3D2889A1" w14:textId="77777777" w:rsidR="00324520" w:rsidRPr="009C01D5" w:rsidRDefault="00324520" w:rsidP="00324520">
      <w:pPr>
        <w:pStyle w:val="2-SectionHeading"/>
      </w:pPr>
      <w:r w:rsidRPr="009C01D5">
        <w:t>PBAC Outcome</w:t>
      </w:r>
    </w:p>
    <w:p w14:paraId="5734ABB2" w14:textId="77777777" w:rsidR="00324520" w:rsidRPr="009C01D5" w:rsidRDefault="00345395"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recommended the </w:t>
      </w:r>
      <w:r w:rsidR="00533B9A" w:rsidRPr="009C01D5">
        <w:rPr>
          <w:rFonts w:asciiTheme="minorHAnsi" w:hAnsiTheme="minorHAnsi"/>
          <w:bCs/>
          <w:snapToGrid w:val="0"/>
        </w:rPr>
        <w:t xml:space="preserve">Authority Required (STREAMLINED) </w:t>
      </w:r>
      <w:r w:rsidRPr="009C01D5">
        <w:rPr>
          <w:rFonts w:asciiTheme="minorHAnsi" w:hAnsiTheme="minorHAnsi"/>
          <w:bCs/>
          <w:snapToGrid w:val="0"/>
        </w:rPr>
        <w:t>listing of cariprazine (Reagila</w:t>
      </w:r>
      <w:r w:rsidRPr="009C01D5">
        <w:rPr>
          <w:rFonts w:asciiTheme="minorHAnsi" w:hAnsiTheme="minorHAnsi" w:cstheme="minorHAnsi"/>
          <w:bCs/>
          <w:snapToGrid w:val="0"/>
        </w:rPr>
        <w:t>®</w:t>
      </w:r>
      <w:r w:rsidRPr="009C01D5">
        <w:rPr>
          <w:rFonts w:asciiTheme="minorHAnsi" w:hAnsiTheme="minorHAnsi"/>
          <w:bCs/>
          <w:snapToGrid w:val="0"/>
        </w:rPr>
        <w:t xml:space="preserve">) </w:t>
      </w:r>
      <w:r w:rsidR="00533B9A" w:rsidRPr="009C01D5">
        <w:rPr>
          <w:rFonts w:asciiTheme="minorHAnsi" w:hAnsiTheme="minorHAnsi"/>
          <w:bCs/>
          <w:snapToGrid w:val="0"/>
        </w:rPr>
        <w:t>for the treatment of schizophrenia.</w:t>
      </w:r>
      <w:r w:rsidR="00EF6968" w:rsidRPr="009C01D5">
        <w:rPr>
          <w:rFonts w:asciiTheme="minorHAnsi" w:hAnsiTheme="minorHAnsi"/>
          <w:bCs/>
          <w:snapToGrid w:val="0"/>
        </w:rPr>
        <w:t xml:space="preserve"> The PBAC considered that the claim</w:t>
      </w:r>
      <w:r w:rsidR="00644786" w:rsidRPr="009C01D5">
        <w:rPr>
          <w:rFonts w:asciiTheme="minorHAnsi" w:hAnsiTheme="minorHAnsi"/>
          <w:bCs/>
          <w:snapToGrid w:val="0"/>
        </w:rPr>
        <w:t>s</w:t>
      </w:r>
      <w:r w:rsidR="00EF6968" w:rsidRPr="009C01D5">
        <w:rPr>
          <w:rFonts w:asciiTheme="minorHAnsi" w:hAnsiTheme="minorHAnsi"/>
          <w:bCs/>
          <w:snapToGrid w:val="0"/>
        </w:rPr>
        <w:t xml:space="preserve"> of non-inferior effectiveness and safety to aripiprazole and </w:t>
      </w:r>
      <w:r w:rsidR="00E06465" w:rsidRPr="009C01D5">
        <w:rPr>
          <w:rFonts w:asciiTheme="minorHAnsi" w:hAnsiTheme="minorHAnsi"/>
          <w:bCs/>
          <w:snapToGrid w:val="0"/>
        </w:rPr>
        <w:t>brexpiprazole</w:t>
      </w:r>
      <w:r w:rsidR="00EF6968" w:rsidRPr="009C01D5">
        <w:rPr>
          <w:rFonts w:asciiTheme="minorHAnsi" w:hAnsiTheme="minorHAnsi"/>
          <w:bCs/>
          <w:snapToGrid w:val="0"/>
        </w:rPr>
        <w:t xml:space="preserve"> </w:t>
      </w:r>
      <w:r w:rsidR="00644786" w:rsidRPr="009C01D5">
        <w:rPr>
          <w:rFonts w:asciiTheme="minorHAnsi" w:hAnsiTheme="minorHAnsi"/>
          <w:bCs/>
          <w:snapToGrid w:val="0"/>
        </w:rPr>
        <w:t>were</w:t>
      </w:r>
      <w:r w:rsidR="00EF6968" w:rsidRPr="009C01D5">
        <w:rPr>
          <w:rFonts w:asciiTheme="minorHAnsi" w:hAnsiTheme="minorHAnsi"/>
          <w:bCs/>
          <w:snapToGrid w:val="0"/>
        </w:rPr>
        <w:t xml:space="preserve"> reasonable.</w:t>
      </w:r>
      <w:r w:rsidR="00046970" w:rsidRPr="009C01D5">
        <w:rPr>
          <w:rFonts w:asciiTheme="minorHAnsi" w:hAnsiTheme="minorHAnsi"/>
          <w:bCs/>
          <w:snapToGrid w:val="0"/>
        </w:rPr>
        <w:t xml:space="preserve"> T</w:t>
      </w:r>
      <w:r w:rsidR="001605B7" w:rsidRPr="009C01D5">
        <w:rPr>
          <w:rFonts w:asciiTheme="minorHAnsi" w:hAnsiTheme="minorHAnsi"/>
          <w:bCs/>
          <w:snapToGrid w:val="0"/>
        </w:rPr>
        <w:t xml:space="preserve">he PBAC considered </w:t>
      </w:r>
      <w:r w:rsidR="00EF6968" w:rsidRPr="009C01D5">
        <w:rPr>
          <w:rFonts w:asciiTheme="minorHAnsi" w:hAnsiTheme="minorHAnsi"/>
          <w:bCs/>
          <w:snapToGrid w:val="0"/>
        </w:rPr>
        <w:t xml:space="preserve">for the purposes of </w:t>
      </w:r>
      <w:r w:rsidR="00EF6968" w:rsidRPr="009C01D5">
        <w:rPr>
          <w:bCs/>
        </w:rPr>
        <w:t xml:space="preserve">Section 101(3B) of the </w:t>
      </w:r>
      <w:r w:rsidR="00EF6968" w:rsidRPr="009C01D5">
        <w:rPr>
          <w:bCs/>
          <w:i/>
        </w:rPr>
        <w:t>National Health Act 1953</w:t>
      </w:r>
      <w:r w:rsidR="00EF6968" w:rsidRPr="009C01D5">
        <w:rPr>
          <w:bCs/>
        </w:rPr>
        <w:t xml:space="preserve">, </w:t>
      </w:r>
      <w:r w:rsidR="001605B7" w:rsidRPr="009C01D5">
        <w:rPr>
          <w:bCs/>
        </w:rPr>
        <w:t xml:space="preserve">additional </w:t>
      </w:r>
      <w:r w:rsidR="00EF6968" w:rsidRPr="009C01D5">
        <w:rPr>
          <w:bCs/>
        </w:rPr>
        <w:t xml:space="preserve">alternative therapies include </w:t>
      </w:r>
      <w:r w:rsidR="00EF6968" w:rsidRPr="009C01D5">
        <w:rPr>
          <w:rFonts w:asciiTheme="minorHAnsi" w:hAnsiTheme="minorHAnsi"/>
          <w:bCs/>
          <w:snapToGrid w:val="0"/>
        </w:rPr>
        <w:t>paliperidone, ziprasidone and lurasidone.</w:t>
      </w:r>
      <w:r w:rsidR="00533B9A" w:rsidRPr="009C01D5">
        <w:rPr>
          <w:rFonts w:asciiTheme="minorHAnsi" w:hAnsiTheme="minorHAnsi"/>
          <w:bCs/>
          <w:snapToGrid w:val="0"/>
        </w:rPr>
        <w:t xml:space="preserve"> </w:t>
      </w:r>
      <w:r w:rsidR="00A259A4" w:rsidRPr="009C01D5">
        <w:rPr>
          <w:rFonts w:asciiTheme="minorHAnsi" w:hAnsiTheme="minorHAnsi"/>
          <w:bCs/>
          <w:snapToGrid w:val="0"/>
        </w:rPr>
        <w:t xml:space="preserve">The PBAC’s recommendation for listing was </w:t>
      </w:r>
      <w:r w:rsidR="001605B7" w:rsidRPr="009C01D5">
        <w:rPr>
          <w:rFonts w:asciiTheme="minorHAnsi" w:hAnsiTheme="minorHAnsi"/>
          <w:bCs/>
          <w:snapToGrid w:val="0"/>
        </w:rPr>
        <w:t>therefore</w:t>
      </w:r>
      <w:r w:rsidR="00A259A4" w:rsidRPr="009C01D5">
        <w:rPr>
          <w:rFonts w:asciiTheme="minorHAnsi" w:hAnsiTheme="minorHAnsi"/>
          <w:bCs/>
          <w:snapToGrid w:val="0"/>
        </w:rPr>
        <w:t>, among other matters</w:t>
      </w:r>
      <w:r w:rsidR="00023164" w:rsidRPr="009C01D5">
        <w:rPr>
          <w:rFonts w:asciiTheme="minorHAnsi" w:hAnsiTheme="minorHAnsi"/>
          <w:bCs/>
          <w:snapToGrid w:val="0"/>
        </w:rPr>
        <w:t xml:space="preserve">, </w:t>
      </w:r>
      <w:r w:rsidR="001605B7" w:rsidRPr="009C01D5">
        <w:rPr>
          <w:rFonts w:asciiTheme="minorHAnsi" w:hAnsiTheme="minorHAnsi"/>
          <w:bCs/>
          <w:snapToGrid w:val="0"/>
        </w:rPr>
        <w:t xml:space="preserve">based on </w:t>
      </w:r>
      <w:r w:rsidR="00023164" w:rsidRPr="009C01D5">
        <w:rPr>
          <w:rFonts w:asciiTheme="minorHAnsi" w:hAnsiTheme="minorHAnsi"/>
          <w:bCs/>
          <w:snapToGrid w:val="0"/>
        </w:rPr>
        <w:t xml:space="preserve">its assessment that the </w:t>
      </w:r>
      <w:r w:rsidR="001605B7" w:rsidRPr="009C01D5">
        <w:rPr>
          <w:rFonts w:asciiTheme="minorHAnsi" w:hAnsiTheme="minorHAnsi"/>
          <w:bCs/>
          <w:snapToGrid w:val="0"/>
        </w:rPr>
        <w:t xml:space="preserve">cost of cariprazine should be no greater than the lowest price alternative therapy. The </w:t>
      </w:r>
      <w:r w:rsidR="00644786" w:rsidRPr="009C01D5">
        <w:rPr>
          <w:rFonts w:asciiTheme="minorHAnsi" w:hAnsiTheme="minorHAnsi"/>
          <w:bCs/>
          <w:snapToGrid w:val="0"/>
        </w:rPr>
        <w:t xml:space="preserve">PBAC </w:t>
      </w:r>
      <w:r w:rsidR="001605B7" w:rsidRPr="009C01D5">
        <w:rPr>
          <w:rFonts w:asciiTheme="minorHAnsi" w:hAnsiTheme="minorHAnsi"/>
          <w:bCs/>
          <w:snapToGrid w:val="0"/>
        </w:rPr>
        <w:t>considered the cost-minimisation analysis should be based on</w:t>
      </w:r>
      <w:r w:rsidR="007072C9" w:rsidRPr="009C01D5">
        <w:rPr>
          <w:rFonts w:asciiTheme="minorHAnsi" w:hAnsiTheme="minorHAnsi"/>
          <w:bCs/>
          <w:snapToGrid w:val="0"/>
        </w:rPr>
        <w:t xml:space="preserve"> the following equi-effec</w:t>
      </w:r>
      <w:r w:rsidR="007072C9" w:rsidRPr="000352E8">
        <w:rPr>
          <w:rFonts w:asciiTheme="minorHAnsi" w:hAnsiTheme="minorHAnsi"/>
          <w:bCs/>
          <w:snapToGrid w:val="0"/>
        </w:rPr>
        <w:t>tive doses:</w:t>
      </w:r>
      <w:r w:rsidR="00023164" w:rsidRPr="000352E8">
        <w:rPr>
          <w:rFonts w:asciiTheme="minorHAnsi" w:hAnsiTheme="minorHAnsi"/>
          <w:bCs/>
          <w:snapToGrid w:val="0"/>
        </w:rPr>
        <w:t xml:space="preserve"> cariprazine </w:t>
      </w:r>
      <w:r w:rsidR="00BF6E2D" w:rsidRPr="000352E8">
        <w:rPr>
          <w:rFonts w:asciiTheme="minorHAnsi" w:hAnsiTheme="minorHAnsi"/>
          <w:bCs/>
          <w:snapToGrid w:val="0"/>
        </w:rPr>
        <w:t>5</w:t>
      </w:r>
      <w:r w:rsidR="00023164" w:rsidRPr="000352E8">
        <w:rPr>
          <w:rFonts w:asciiTheme="minorHAnsi" w:hAnsiTheme="minorHAnsi"/>
          <w:bCs/>
          <w:snapToGrid w:val="0"/>
        </w:rPr>
        <w:t xml:space="preserve"> mg per day and </w:t>
      </w:r>
      <w:r w:rsidR="00BF6E2D" w:rsidRPr="000352E8">
        <w:rPr>
          <w:rFonts w:asciiTheme="minorHAnsi" w:hAnsiTheme="minorHAnsi"/>
          <w:bCs/>
          <w:snapToGrid w:val="0"/>
        </w:rPr>
        <w:t xml:space="preserve">brexpiprazole </w:t>
      </w:r>
      <w:r w:rsidR="00B51B6F" w:rsidRPr="000352E8">
        <w:rPr>
          <w:rFonts w:asciiTheme="minorHAnsi" w:hAnsiTheme="minorHAnsi"/>
          <w:bCs/>
          <w:snapToGrid w:val="0"/>
        </w:rPr>
        <w:t>3.58</w:t>
      </w:r>
      <w:r w:rsidR="00A804D3" w:rsidRPr="000352E8">
        <w:rPr>
          <w:rFonts w:asciiTheme="minorHAnsi" w:hAnsiTheme="minorHAnsi"/>
          <w:bCs/>
          <w:snapToGrid w:val="0"/>
        </w:rPr>
        <w:t xml:space="preserve"> </w:t>
      </w:r>
      <w:r w:rsidR="00023164" w:rsidRPr="000352E8">
        <w:rPr>
          <w:rFonts w:asciiTheme="minorHAnsi" w:hAnsiTheme="minorHAnsi"/>
          <w:bCs/>
          <w:snapToGrid w:val="0"/>
        </w:rPr>
        <w:t>mg per day.</w:t>
      </w:r>
      <w:r w:rsidR="00023164" w:rsidRPr="009C01D5">
        <w:rPr>
          <w:rFonts w:asciiTheme="minorHAnsi" w:hAnsiTheme="minorHAnsi"/>
          <w:bCs/>
          <w:snapToGrid w:val="0"/>
        </w:rPr>
        <w:t xml:space="preserve"> </w:t>
      </w:r>
    </w:p>
    <w:p w14:paraId="1AABAD13" w14:textId="77777777" w:rsidR="00BC155E" w:rsidRPr="009C01D5" w:rsidRDefault="00BC155E"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considered that there was a low to moderate clinical need for cariprazine, noting that there are a number of </w:t>
      </w:r>
      <w:r w:rsidR="00644786" w:rsidRPr="009C01D5">
        <w:rPr>
          <w:rFonts w:asciiTheme="minorHAnsi" w:hAnsiTheme="minorHAnsi"/>
          <w:bCs/>
          <w:snapToGrid w:val="0"/>
        </w:rPr>
        <w:t>alternative</w:t>
      </w:r>
      <w:r w:rsidRPr="009C01D5">
        <w:rPr>
          <w:rFonts w:asciiTheme="minorHAnsi" w:hAnsiTheme="minorHAnsi"/>
          <w:bCs/>
          <w:snapToGrid w:val="0"/>
        </w:rPr>
        <w:t xml:space="preserve"> antipsychotics available on the PBS.</w:t>
      </w:r>
    </w:p>
    <w:p w14:paraId="471B6A79" w14:textId="77777777" w:rsidR="005647EE" w:rsidRPr="009C01D5" w:rsidRDefault="005647EE"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accepted aripiprazole and brexpiprazole as appropriate comparators, and considered that paliperidone, ziprasidone and lurasidone </w:t>
      </w:r>
      <w:r w:rsidR="00644786" w:rsidRPr="009C01D5">
        <w:rPr>
          <w:rFonts w:asciiTheme="minorHAnsi" w:hAnsiTheme="minorHAnsi"/>
          <w:bCs/>
          <w:snapToGrid w:val="0"/>
        </w:rPr>
        <w:t xml:space="preserve">were </w:t>
      </w:r>
      <w:r w:rsidR="000630FC" w:rsidRPr="009C01D5">
        <w:rPr>
          <w:rFonts w:asciiTheme="minorHAnsi" w:hAnsiTheme="minorHAnsi"/>
          <w:bCs/>
          <w:snapToGrid w:val="0"/>
        </w:rPr>
        <w:t xml:space="preserve">also relevant </w:t>
      </w:r>
      <w:r w:rsidR="00644786" w:rsidRPr="009C01D5">
        <w:rPr>
          <w:rFonts w:asciiTheme="minorHAnsi" w:hAnsiTheme="minorHAnsi"/>
          <w:bCs/>
          <w:snapToGrid w:val="0"/>
        </w:rPr>
        <w:t>alternative therapies</w:t>
      </w:r>
      <w:r w:rsidRPr="009C01D5">
        <w:rPr>
          <w:rFonts w:asciiTheme="minorHAnsi" w:hAnsiTheme="minorHAnsi"/>
          <w:bCs/>
          <w:snapToGrid w:val="0"/>
        </w:rPr>
        <w:t>. The PBAC considered that olanzapine was not a</w:t>
      </w:r>
      <w:r w:rsidR="000630FC" w:rsidRPr="009C01D5">
        <w:rPr>
          <w:rFonts w:asciiTheme="minorHAnsi" w:hAnsiTheme="minorHAnsi"/>
          <w:bCs/>
          <w:snapToGrid w:val="0"/>
        </w:rPr>
        <w:t>n</w:t>
      </w:r>
      <w:r w:rsidRPr="009C01D5">
        <w:rPr>
          <w:rFonts w:asciiTheme="minorHAnsi" w:hAnsiTheme="minorHAnsi"/>
          <w:bCs/>
          <w:snapToGrid w:val="0"/>
        </w:rPr>
        <w:t xml:space="preserve"> appropriate </w:t>
      </w:r>
      <w:r w:rsidR="000630FC" w:rsidRPr="009C01D5">
        <w:rPr>
          <w:rFonts w:asciiTheme="minorHAnsi" w:hAnsiTheme="minorHAnsi"/>
          <w:bCs/>
          <w:snapToGrid w:val="0"/>
        </w:rPr>
        <w:t xml:space="preserve">alternative therapy </w:t>
      </w:r>
      <w:r w:rsidRPr="009C01D5">
        <w:rPr>
          <w:rFonts w:asciiTheme="minorHAnsi" w:hAnsiTheme="minorHAnsi"/>
          <w:bCs/>
          <w:snapToGrid w:val="0"/>
        </w:rPr>
        <w:t>due to its inferior safety profile</w:t>
      </w:r>
      <w:r w:rsidR="005B0976" w:rsidRPr="009C01D5">
        <w:rPr>
          <w:rFonts w:asciiTheme="minorHAnsi" w:hAnsiTheme="minorHAnsi"/>
          <w:bCs/>
          <w:snapToGrid w:val="0"/>
        </w:rPr>
        <w:t>.</w:t>
      </w:r>
      <w:r w:rsidR="00F25B58" w:rsidRPr="009C01D5">
        <w:rPr>
          <w:rFonts w:asciiTheme="minorHAnsi" w:hAnsiTheme="minorHAnsi"/>
          <w:bCs/>
          <w:snapToGrid w:val="0"/>
        </w:rPr>
        <w:t xml:space="preserve"> </w:t>
      </w:r>
      <w:r w:rsidR="005B0976" w:rsidRPr="009C01D5">
        <w:rPr>
          <w:rFonts w:asciiTheme="minorHAnsi" w:hAnsiTheme="minorHAnsi"/>
          <w:bCs/>
          <w:snapToGrid w:val="0"/>
        </w:rPr>
        <w:t xml:space="preserve">The PBAC also considered </w:t>
      </w:r>
      <w:r w:rsidRPr="009C01D5">
        <w:rPr>
          <w:rFonts w:asciiTheme="minorHAnsi" w:hAnsiTheme="minorHAnsi"/>
          <w:bCs/>
          <w:snapToGrid w:val="0"/>
        </w:rPr>
        <w:t xml:space="preserve">that second-generation antipsychotics (e.g. risperidone and quetiapine) were not appropriate </w:t>
      </w:r>
      <w:r w:rsidR="000630FC" w:rsidRPr="009C01D5">
        <w:rPr>
          <w:rFonts w:asciiTheme="minorHAnsi" w:hAnsiTheme="minorHAnsi"/>
          <w:bCs/>
          <w:snapToGrid w:val="0"/>
        </w:rPr>
        <w:t>alternative therapies</w:t>
      </w:r>
      <w:r w:rsidRPr="009C01D5">
        <w:rPr>
          <w:rFonts w:asciiTheme="minorHAnsi" w:hAnsiTheme="minorHAnsi"/>
          <w:bCs/>
          <w:snapToGrid w:val="0"/>
        </w:rPr>
        <w:t xml:space="preserve">. </w:t>
      </w:r>
    </w:p>
    <w:p w14:paraId="01D0831F" w14:textId="77777777" w:rsidR="00442159" w:rsidRPr="009C01D5" w:rsidRDefault="00442159" w:rsidP="00442159">
      <w:pPr>
        <w:widowControl w:val="0"/>
        <w:numPr>
          <w:ilvl w:val="1"/>
          <w:numId w:val="1"/>
        </w:numPr>
        <w:spacing w:after="120"/>
        <w:rPr>
          <w:rFonts w:asciiTheme="minorHAnsi" w:hAnsiTheme="minorHAnsi"/>
          <w:bCs/>
          <w:snapToGrid w:val="0"/>
        </w:rPr>
      </w:pPr>
      <w:r w:rsidRPr="009C01D5">
        <w:t xml:space="preserve">The </w:t>
      </w:r>
      <w:r w:rsidRPr="009C01D5">
        <w:rPr>
          <w:rFonts w:asciiTheme="minorHAnsi" w:hAnsiTheme="minorHAnsi"/>
          <w:bCs/>
          <w:snapToGrid w:val="0"/>
        </w:rPr>
        <w:t xml:space="preserve">PBAC noted the primary evidence presented in the submission was a randomised placebo-controlled trial which included an aripiprazole arm as an active control (Study RGH-MD-04). The PBAC noted the trial was not powered for a direct comparison of cariprazine and aripiprazole, and the comparison was conducted post-hoc. The PBAC noted the reduction in PANSS total score </w:t>
      </w:r>
      <w:r w:rsidR="00046970" w:rsidRPr="009C01D5">
        <w:rPr>
          <w:rFonts w:asciiTheme="minorHAnsi" w:hAnsiTheme="minorHAnsi"/>
          <w:bCs/>
          <w:snapToGrid w:val="0"/>
        </w:rPr>
        <w:t>at week 6</w:t>
      </w:r>
      <w:r w:rsidR="00331634" w:rsidRPr="009C01D5">
        <w:rPr>
          <w:rFonts w:asciiTheme="minorHAnsi" w:hAnsiTheme="minorHAnsi"/>
          <w:bCs/>
          <w:snapToGrid w:val="0"/>
        </w:rPr>
        <w:t xml:space="preserve"> versus placebo</w:t>
      </w:r>
      <w:r w:rsidR="00046970" w:rsidRPr="009C01D5">
        <w:rPr>
          <w:rFonts w:asciiTheme="minorHAnsi" w:hAnsiTheme="minorHAnsi"/>
          <w:bCs/>
          <w:snapToGrid w:val="0"/>
        </w:rPr>
        <w:t xml:space="preserve"> </w:t>
      </w:r>
      <w:r w:rsidRPr="009C01D5">
        <w:rPr>
          <w:rFonts w:asciiTheme="minorHAnsi" w:hAnsiTheme="minorHAnsi"/>
          <w:bCs/>
          <w:snapToGrid w:val="0"/>
        </w:rPr>
        <w:t>was not statistically significantly different for the cariprazine 3</w:t>
      </w:r>
      <w:r w:rsidR="009533DB" w:rsidRPr="009C01D5">
        <w:rPr>
          <w:rFonts w:asciiTheme="minorHAnsi" w:hAnsiTheme="minorHAnsi"/>
          <w:bCs/>
          <w:snapToGrid w:val="0"/>
        </w:rPr>
        <w:t xml:space="preserve"> </w:t>
      </w:r>
      <w:r w:rsidRPr="009C01D5">
        <w:rPr>
          <w:rFonts w:asciiTheme="minorHAnsi" w:hAnsiTheme="minorHAnsi"/>
          <w:bCs/>
          <w:snapToGrid w:val="0"/>
        </w:rPr>
        <w:t xml:space="preserve">mg/day and aripiprazole 10mg/day treatment groups, or for the cariprazine 6mg/day and aripiprazole 10mg/day treatment groups. </w:t>
      </w:r>
    </w:p>
    <w:p w14:paraId="3742E39A" w14:textId="77777777" w:rsidR="0072177E" w:rsidRPr="009C01D5" w:rsidRDefault="00442159" w:rsidP="00442159">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noted indirect treatment comparisons for cariprazine versus aripiprazole and cariprazine versus </w:t>
      </w:r>
      <w:r w:rsidR="00E06465" w:rsidRPr="009C01D5">
        <w:rPr>
          <w:rFonts w:asciiTheme="minorHAnsi" w:hAnsiTheme="minorHAnsi"/>
          <w:bCs/>
          <w:snapToGrid w:val="0"/>
        </w:rPr>
        <w:t>brexpiprazole</w:t>
      </w:r>
      <w:r w:rsidRPr="009C01D5">
        <w:rPr>
          <w:rFonts w:asciiTheme="minorHAnsi" w:hAnsiTheme="minorHAnsi"/>
          <w:bCs/>
          <w:snapToGrid w:val="0"/>
        </w:rPr>
        <w:t>, using placebo as the common comparator, were presented as supportive evidence. The PBAC noted both the primary and supportive comparisons were in the acute treatment setting. The PBAC further noted the indirect treatment comparisons were potentially impacted by transitivity issues across the studies. However, overall the PBAC was satisfied that cariprazine is non-inferior in terms of efficacy and safety compared to aripiprazole and brexpiprazole.</w:t>
      </w:r>
    </w:p>
    <w:p w14:paraId="1C224C4A" w14:textId="77777777" w:rsidR="00046970" w:rsidRDefault="009900BD" w:rsidP="009C01D5">
      <w:pPr>
        <w:widowControl w:val="0"/>
        <w:numPr>
          <w:ilvl w:val="1"/>
          <w:numId w:val="1"/>
        </w:numPr>
        <w:spacing w:after="120"/>
      </w:pPr>
      <w:r w:rsidRPr="009C01D5">
        <w:t>The PBAC noted th</w:t>
      </w:r>
      <w:r w:rsidR="00234468" w:rsidRPr="009C01D5">
        <w:t xml:space="preserve">e equi-effective doses </w:t>
      </w:r>
      <w:r w:rsidR="00F366DC" w:rsidRPr="009C01D5">
        <w:t>assumed in the submission were based</w:t>
      </w:r>
      <w:r w:rsidR="00234468" w:rsidRPr="009C01D5">
        <w:t xml:space="preserve"> on </w:t>
      </w:r>
      <w:r w:rsidR="00F366DC" w:rsidRPr="009C01D5">
        <w:t xml:space="preserve">German </w:t>
      </w:r>
      <w:r w:rsidR="00234468" w:rsidRPr="009C01D5">
        <w:t xml:space="preserve">prescription data </w:t>
      </w:r>
      <w:r w:rsidR="00F366DC" w:rsidRPr="009C01D5">
        <w:t xml:space="preserve">for cariprazine and Australian PBS </w:t>
      </w:r>
      <w:r w:rsidR="00272425" w:rsidRPr="009C01D5">
        <w:t xml:space="preserve">prescription </w:t>
      </w:r>
      <w:r w:rsidR="00F366DC" w:rsidRPr="009C01D5">
        <w:t xml:space="preserve">data for aripiprazole. </w:t>
      </w:r>
      <w:r w:rsidR="00030490" w:rsidRPr="009C01D5">
        <w:t xml:space="preserve">The PBAC shared the ESC’s concern about the methodology used by the submission to calculate the equi-effective doses, noting that </w:t>
      </w:r>
      <w:r w:rsidR="000630FC" w:rsidRPr="009C01D5">
        <w:t>using</w:t>
      </w:r>
      <w:r w:rsidR="000630FC" w:rsidRPr="009C01D5">
        <w:rPr>
          <w:bCs/>
        </w:rPr>
        <w:t xml:space="preserve"> data </w:t>
      </w:r>
      <w:r w:rsidR="00F366DC" w:rsidRPr="009C01D5">
        <w:rPr>
          <w:bCs/>
        </w:rPr>
        <w:t>from which</w:t>
      </w:r>
      <w:r w:rsidR="000630FC" w:rsidRPr="009C01D5">
        <w:rPr>
          <w:bCs/>
        </w:rPr>
        <w:t xml:space="preserve"> dose, but not effect, is measured </w:t>
      </w:r>
      <w:r w:rsidR="00030490" w:rsidRPr="009C01D5">
        <w:t xml:space="preserve">is the least preferred form of evidence according to the PBAC Guidelines v5.0. The PBAC </w:t>
      </w:r>
      <w:r w:rsidR="003D176D" w:rsidRPr="009C01D5">
        <w:t xml:space="preserve">further </w:t>
      </w:r>
      <w:r w:rsidR="00030490" w:rsidRPr="009C01D5">
        <w:t xml:space="preserve">noted that </w:t>
      </w:r>
      <w:r w:rsidR="00046970" w:rsidRPr="009C01D5">
        <w:t>the data used to infer the dose</w:t>
      </w:r>
      <w:r w:rsidR="00CD5577" w:rsidRPr="009C01D5">
        <w:t>s</w:t>
      </w:r>
      <w:r w:rsidR="00046970" w:rsidRPr="009C01D5">
        <w:t xml:space="preserve"> was the number of prescriptions dispensed rather than steady state dosing for patients</w:t>
      </w:r>
      <w:r w:rsidR="004C0D66" w:rsidRPr="009C01D5">
        <w:t>,</w:t>
      </w:r>
      <w:r w:rsidR="00950786" w:rsidRPr="009C01D5">
        <w:t xml:space="preserve"> </w:t>
      </w:r>
      <w:r w:rsidR="00030490" w:rsidRPr="009C01D5">
        <w:t xml:space="preserve">and that </w:t>
      </w:r>
      <w:r w:rsidR="00F366DC" w:rsidRPr="009C01D5">
        <w:t>different</w:t>
      </w:r>
      <w:r w:rsidR="00030490" w:rsidRPr="009C01D5">
        <w:t xml:space="preserve"> data sources </w:t>
      </w:r>
      <w:r w:rsidR="00F366DC" w:rsidRPr="009C01D5">
        <w:t>were used for</w:t>
      </w:r>
      <w:r w:rsidR="00030490" w:rsidRPr="009C01D5">
        <w:t xml:space="preserve"> </w:t>
      </w:r>
      <w:r w:rsidR="00046970" w:rsidRPr="009C01D5">
        <w:t xml:space="preserve">the </w:t>
      </w:r>
      <w:r w:rsidR="00030490" w:rsidRPr="009C01D5">
        <w:t>cariprazine and aripiprazole</w:t>
      </w:r>
      <w:r w:rsidR="00046970" w:rsidRPr="009C01D5">
        <w:t xml:space="preserve"> doses</w:t>
      </w:r>
      <w:r w:rsidR="00030490" w:rsidRPr="009C01D5">
        <w:t>.</w:t>
      </w:r>
      <w:r w:rsidR="00046970" w:rsidRPr="009C01D5">
        <w:t xml:space="preserve"> The PBAC considered the analysis presented in the submission was </w:t>
      </w:r>
      <w:r w:rsidR="004C0D66" w:rsidRPr="009C01D5">
        <w:t xml:space="preserve">an </w:t>
      </w:r>
      <w:r w:rsidR="00046970" w:rsidRPr="009C01D5">
        <w:t>unreliable basis for determining</w:t>
      </w:r>
      <w:r w:rsidR="004C0D66" w:rsidRPr="009C01D5">
        <w:t xml:space="preserve"> the</w:t>
      </w:r>
      <w:r w:rsidR="00046970" w:rsidRPr="009C01D5">
        <w:t xml:space="preserve"> equi-effective doses.</w:t>
      </w:r>
    </w:p>
    <w:p w14:paraId="6AD565FB" w14:textId="77777777" w:rsidR="00B51B6F" w:rsidRPr="009C01D5" w:rsidRDefault="00B51B6F" w:rsidP="009C01D5">
      <w:pPr>
        <w:widowControl w:val="0"/>
        <w:numPr>
          <w:ilvl w:val="1"/>
          <w:numId w:val="1"/>
        </w:numPr>
        <w:spacing w:after="120"/>
      </w:pPr>
      <w:r>
        <w:t xml:space="preserve">As outlined in paragraphs 6.58-6.63 above, the </w:t>
      </w:r>
      <w:r w:rsidR="00514C80">
        <w:t xml:space="preserve">PBAC </w:t>
      </w:r>
      <w:r>
        <w:t>considered it would be reasonable for the cost-minimisation analysis to the based on equi-effective doses of 5 mg/day cariprazine and 3.58 mg/day brexpiprazole.</w:t>
      </w:r>
    </w:p>
    <w:p w14:paraId="17B649BE" w14:textId="77777777" w:rsidR="00030490" w:rsidRPr="009C01D5" w:rsidRDefault="00CD5577" w:rsidP="000630FC">
      <w:pPr>
        <w:pStyle w:val="3-BodyText"/>
      </w:pPr>
      <w:r w:rsidRPr="009C01D5">
        <w:rPr>
          <w:bCs/>
        </w:rPr>
        <w:t xml:space="preserve">The PBAC considered for the purposes of Section 101(3B) of the </w:t>
      </w:r>
      <w:r w:rsidRPr="009C01D5">
        <w:rPr>
          <w:bCs/>
          <w:i/>
        </w:rPr>
        <w:t>National Health Act 1953</w:t>
      </w:r>
      <w:r w:rsidRPr="009C01D5">
        <w:rPr>
          <w:bCs/>
        </w:rPr>
        <w:t xml:space="preserve">, the alternative therapies were aripiprazole, </w:t>
      </w:r>
      <w:r w:rsidR="00E06465" w:rsidRPr="009C01D5">
        <w:rPr>
          <w:bCs/>
        </w:rPr>
        <w:t>brexpiprazole</w:t>
      </w:r>
      <w:r w:rsidRPr="009C01D5">
        <w:rPr>
          <w:bCs/>
        </w:rPr>
        <w:t>, paliperidone, ziprasidone and lurasidone, and recommended that the cost of cariprazine should be no greater than the lowest price alternative therapy.</w:t>
      </w:r>
    </w:p>
    <w:p w14:paraId="4737C5BB" w14:textId="77777777" w:rsidR="0072177E" w:rsidRPr="009C01D5" w:rsidRDefault="005B0976" w:rsidP="00BB7436">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considered that there was uncertainty about the projected usage of cariprazine due to </w:t>
      </w:r>
      <w:r w:rsidR="004200F6" w:rsidRPr="009C01D5">
        <w:rPr>
          <w:rFonts w:asciiTheme="minorHAnsi" w:hAnsiTheme="minorHAnsi"/>
          <w:bCs/>
          <w:snapToGrid w:val="0"/>
        </w:rPr>
        <w:t>potentially overestimated</w:t>
      </w:r>
      <w:r w:rsidR="008D52D0" w:rsidRPr="009C01D5">
        <w:rPr>
          <w:rFonts w:asciiTheme="minorHAnsi" w:hAnsiTheme="minorHAnsi"/>
          <w:bCs/>
          <w:snapToGrid w:val="0"/>
        </w:rPr>
        <w:t xml:space="preserve"> </w:t>
      </w:r>
      <w:r w:rsidR="00ED6AB6" w:rsidRPr="009C01D5">
        <w:rPr>
          <w:rFonts w:asciiTheme="minorHAnsi" w:hAnsiTheme="minorHAnsi"/>
          <w:bCs/>
          <w:snapToGrid w:val="0"/>
        </w:rPr>
        <w:t xml:space="preserve">prescription </w:t>
      </w:r>
      <w:r w:rsidR="004200F6" w:rsidRPr="009C01D5">
        <w:rPr>
          <w:rFonts w:asciiTheme="minorHAnsi" w:hAnsiTheme="minorHAnsi"/>
          <w:bCs/>
          <w:snapToGrid w:val="0"/>
        </w:rPr>
        <w:t>growth rates</w:t>
      </w:r>
      <w:r w:rsidR="00ED6AB6" w:rsidRPr="009C01D5">
        <w:rPr>
          <w:rFonts w:asciiTheme="minorHAnsi" w:hAnsiTheme="minorHAnsi"/>
          <w:bCs/>
          <w:snapToGrid w:val="0"/>
        </w:rPr>
        <w:t xml:space="preserve"> of brexpiprazole</w:t>
      </w:r>
      <w:r w:rsidRPr="009C01D5">
        <w:rPr>
          <w:rFonts w:asciiTheme="minorHAnsi" w:hAnsiTheme="minorHAnsi"/>
          <w:bCs/>
          <w:snapToGrid w:val="0"/>
        </w:rPr>
        <w:t xml:space="preserve"> and uncertainty </w:t>
      </w:r>
      <w:r w:rsidR="00ED6AB6" w:rsidRPr="009C01D5">
        <w:rPr>
          <w:rFonts w:asciiTheme="minorHAnsi" w:hAnsiTheme="minorHAnsi"/>
          <w:bCs/>
          <w:snapToGrid w:val="0"/>
        </w:rPr>
        <w:t>about</w:t>
      </w:r>
      <w:r w:rsidRPr="009C01D5">
        <w:rPr>
          <w:rFonts w:asciiTheme="minorHAnsi" w:hAnsiTheme="minorHAnsi"/>
          <w:bCs/>
          <w:snapToGrid w:val="0"/>
        </w:rPr>
        <w:t xml:space="preserve"> the </w:t>
      </w:r>
      <w:r w:rsidR="004200F6" w:rsidRPr="009C01D5">
        <w:rPr>
          <w:rFonts w:asciiTheme="minorHAnsi" w:hAnsiTheme="minorHAnsi"/>
          <w:bCs/>
          <w:snapToGrid w:val="0"/>
        </w:rPr>
        <w:t xml:space="preserve">most commonly prescribed strength of cariprazine. </w:t>
      </w:r>
      <w:r w:rsidR="004D68A3" w:rsidRPr="009C01D5">
        <w:rPr>
          <w:rFonts w:asciiTheme="minorHAnsi" w:hAnsiTheme="minorHAnsi"/>
          <w:bCs/>
          <w:snapToGrid w:val="0"/>
        </w:rPr>
        <w:t>Consistent with the cost-minimisation basis of the listing, the PBAC expected the listing of cariprazine to be approximately cost neutral.</w:t>
      </w:r>
    </w:p>
    <w:p w14:paraId="41A96A41" w14:textId="77777777" w:rsidR="00324520" w:rsidRPr="009C01D5" w:rsidRDefault="004A49BC"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recommended that cariprazine should be treated as interchangeable on an individual patient basis with aripiprazole, brexpiprazole, paliperidone, lurasidone, ziprasidone. </w:t>
      </w:r>
    </w:p>
    <w:p w14:paraId="1B5E18DB" w14:textId="77777777" w:rsidR="00324520" w:rsidRPr="009C01D5" w:rsidRDefault="00C93FD6"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advised that cariprazine is suitable for prescribing by nurse practitioners in a shared care model. </w:t>
      </w:r>
    </w:p>
    <w:p w14:paraId="03EC49DA" w14:textId="77777777" w:rsidR="00324520" w:rsidRPr="009C01D5" w:rsidRDefault="00C93FD6"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recommended that the Early Supply Rule should not apply. </w:t>
      </w:r>
    </w:p>
    <w:p w14:paraId="1AD9DDD4" w14:textId="77777777" w:rsidR="00324520" w:rsidRPr="009C01D5" w:rsidRDefault="00942141" w:rsidP="00BD35A4">
      <w:pPr>
        <w:pStyle w:val="3-BodyText"/>
      </w:pPr>
      <w:r w:rsidRPr="009C01D5">
        <w:rPr>
          <w:rFonts w:eastAsia="Calibri"/>
        </w:rPr>
        <w:t xml:space="preserve">The PBAC </w:t>
      </w:r>
      <w:r w:rsidR="00FE3CF5" w:rsidRPr="009C01D5">
        <w:rPr>
          <w:rFonts w:eastAsia="Calibri"/>
        </w:rPr>
        <w:t>noted that its recommendation was on a cost-minimisation basis and advised that, because cariprazine is not expected to provide a substantial and clinically relevant improvement in efficacy, or reduction of toxicity, over aripiprazole and brexpiprazole, or not expected to address a high and urgent unmet clinical need given the presence of alternative therap</w:t>
      </w:r>
      <w:r w:rsidR="008D52D0" w:rsidRPr="009C01D5">
        <w:rPr>
          <w:rFonts w:eastAsia="Calibri"/>
        </w:rPr>
        <w:t>ies</w:t>
      </w:r>
      <w:r w:rsidR="00FE3CF5" w:rsidRPr="009C01D5">
        <w:rPr>
          <w:rFonts w:eastAsia="Calibri"/>
        </w:rPr>
        <w:t xml:space="preserve">, the criteria prescribed by the </w:t>
      </w:r>
      <w:r w:rsidR="00FE3CF5" w:rsidRPr="002F6BA8">
        <w:rPr>
          <w:rFonts w:eastAsia="Calibri"/>
          <w:i/>
        </w:rPr>
        <w:t>National Health (Pharmaceuticals and Vaccines – Cost Recovery) Regulations 2009</w:t>
      </w:r>
      <w:r w:rsidR="00FE3CF5" w:rsidRPr="009C01D5">
        <w:rPr>
          <w:rFonts w:eastAsia="Calibri"/>
        </w:rPr>
        <w:t xml:space="preserve"> for Pricing Pathway A were not met. </w:t>
      </w:r>
    </w:p>
    <w:p w14:paraId="331FD93F" w14:textId="77777777" w:rsidR="00324520" w:rsidRPr="009C01D5" w:rsidRDefault="00F8033C" w:rsidP="00324520">
      <w:pPr>
        <w:widowControl w:val="0"/>
        <w:numPr>
          <w:ilvl w:val="1"/>
          <w:numId w:val="1"/>
        </w:numPr>
        <w:spacing w:after="120"/>
        <w:rPr>
          <w:rFonts w:asciiTheme="minorHAnsi" w:hAnsiTheme="minorHAnsi"/>
          <w:bCs/>
          <w:snapToGrid w:val="0"/>
        </w:rPr>
      </w:pPr>
      <w:r w:rsidRPr="009C01D5">
        <w:rPr>
          <w:rFonts w:asciiTheme="minorHAnsi" w:hAnsiTheme="minorHAnsi"/>
          <w:bCs/>
          <w:snapToGrid w:val="0"/>
        </w:rPr>
        <w:t xml:space="preserve">The PBAC noted that this submission is not eligible for an Independent Review as it received a positive recommendation. </w:t>
      </w:r>
    </w:p>
    <w:p w14:paraId="67DE0772" w14:textId="77777777" w:rsidR="00324520" w:rsidRPr="009C01D5" w:rsidRDefault="00324520" w:rsidP="00324520">
      <w:pPr>
        <w:spacing w:before="240"/>
        <w:rPr>
          <w:rFonts w:asciiTheme="minorHAnsi" w:hAnsiTheme="minorHAnsi"/>
          <w:b/>
          <w:bCs/>
          <w:snapToGrid w:val="0"/>
        </w:rPr>
      </w:pPr>
      <w:r w:rsidRPr="009C01D5">
        <w:rPr>
          <w:rFonts w:asciiTheme="minorHAnsi" w:hAnsiTheme="minorHAnsi"/>
          <w:b/>
          <w:bCs/>
          <w:snapToGrid w:val="0"/>
        </w:rPr>
        <w:t>Outcome:</w:t>
      </w:r>
    </w:p>
    <w:p w14:paraId="4BD09E25" w14:textId="77777777" w:rsidR="00655C62" w:rsidRPr="009C01D5" w:rsidRDefault="00F8033C" w:rsidP="002F6BA8">
      <w:pPr>
        <w:rPr>
          <w:rFonts w:asciiTheme="minorHAnsi" w:hAnsiTheme="minorHAnsi"/>
          <w:b/>
          <w:bCs/>
          <w:snapToGrid w:val="0"/>
        </w:rPr>
      </w:pPr>
      <w:r w:rsidRPr="009C01D5">
        <w:rPr>
          <w:rFonts w:asciiTheme="minorHAnsi" w:hAnsiTheme="minorHAnsi"/>
          <w:bCs/>
          <w:snapToGrid w:val="0"/>
        </w:rPr>
        <w:t>Recommended</w:t>
      </w:r>
    </w:p>
    <w:p w14:paraId="1D4FC357" w14:textId="77777777" w:rsidR="00324520" w:rsidRPr="009C01D5" w:rsidRDefault="00324520" w:rsidP="00324520">
      <w:pPr>
        <w:pStyle w:val="2-SectionHeading"/>
        <w:rPr>
          <w:i/>
        </w:rPr>
      </w:pPr>
      <w:r w:rsidRPr="009C01D5">
        <w:t>Recommended listing</w:t>
      </w:r>
    </w:p>
    <w:p w14:paraId="1805A88A" w14:textId="77777777" w:rsidR="00451401" w:rsidRPr="009C01D5" w:rsidRDefault="0042720A" w:rsidP="00451401">
      <w:pPr>
        <w:widowControl w:val="0"/>
        <w:numPr>
          <w:ilvl w:val="1"/>
          <w:numId w:val="1"/>
        </w:numPr>
        <w:spacing w:after="120"/>
        <w:rPr>
          <w:rFonts w:asciiTheme="minorHAnsi" w:hAnsiTheme="minorHAnsi"/>
          <w:b/>
          <w:bCs/>
          <w:snapToGrid w:val="0"/>
        </w:rPr>
      </w:pPr>
      <w:r w:rsidRPr="009C01D5">
        <w:rPr>
          <w:rFonts w:asciiTheme="minorHAnsi" w:hAnsiTheme="minorHAnsi"/>
          <w:bCs/>
          <w:snapToGrid w:val="0"/>
        </w:rPr>
        <w:t>Add new</w:t>
      </w:r>
      <w:r w:rsidR="00E06465">
        <w:rPr>
          <w:rFonts w:asciiTheme="minorHAnsi" w:hAnsiTheme="minorHAnsi"/>
          <w:bCs/>
          <w:snapToGrid w:val="0"/>
        </w:rPr>
        <w:t xml:space="preserve"> </w:t>
      </w:r>
      <w:r w:rsidR="00B658FD" w:rsidRPr="009C01D5">
        <w:rPr>
          <w:rFonts w:asciiTheme="minorHAnsi" w:hAnsiTheme="minorHAnsi"/>
          <w:bCs/>
          <w:snapToGrid w:val="0"/>
        </w:rPr>
        <w:t>medicinal product</w:t>
      </w:r>
      <w:r w:rsidRPr="009C01D5">
        <w:rPr>
          <w:rFonts w:asciiTheme="minorHAnsi" w:hAnsiTheme="minorHAnsi"/>
          <w:bCs/>
          <w:snapToGrid w:val="0"/>
        </w:rPr>
        <w:t>:</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2"/>
        <w:gridCol w:w="1275"/>
        <w:gridCol w:w="851"/>
        <w:gridCol w:w="850"/>
        <w:gridCol w:w="709"/>
        <w:gridCol w:w="2553"/>
      </w:tblGrid>
      <w:tr w:rsidR="00451401" w:rsidRPr="009C01D5" w14:paraId="0FD308AA" w14:textId="77777777" w:rsidTr="00181917">
        <w:trPr>
          <w:cantSplit/>
          <w:trHeight w:val="471"/>
        </w:trPr>
        <w:tc>
          <w:tcPr>
            <w:tcW w:w="2689" w:type="dxa"/>
            <w:gridSpan w:val="2"/>
          </w:tcPr>
          <w:p w14:paraId="2C1F77FF" w14:textId="77777777" w:rsidR="00655C62" w:rsidRDefault="008D79A0" w:rsidP="00451401">
            <w:pPr>
              <w:keepNext/>
              <w:ind w:left="-108"/>
              <w:rPr>
                <w:rFonts w:ascii="Arial Narrow" w:hAnsi="Arial Narrow"/>
                <w:b/>
                <w:sz w:val="18"/>
                <w:szCs w:val="18"/>
              </w:rPr>
            </w:pPr>
            <w:r w:rsidRPr="009C01D5">
              <w:rPr>
                <w:rFonts w:ascii="Arial Narrow" w:hAnsi="Arial Narrow"/>
                <w:b/>
                <w:sz w:val="18"/>
                <w:szCs w:val="18"/>
              </w:rPr>
              <w:t xml:space="preserve"> MEDICINAL PRODUCT</w:t>
            </w:r>
          </w:p>
          <w:p w14:paraId="4E4B3E83" w14:textId="77777777" w:rsidR="00451401" w:rsidRPr="009C01D5" w:rsidRDefault="008D79A0" w:rsidP="00451401">
            <w:pPr>
              <w:keepNext/>
              <w:ind w:left="-108"/>
              <w:rPr>
                <w:rFonts w:ascii="Arial Narrow" w:hAnsi="Arial Narrow"/>
                <w:b/>
                <w:sz w:val="18"/>
                <w:szCs w:val="18"/>
              </w:rPr>
            </w:pPr>
            <w:r w:rsidRPr="009C01D5">
              <w:rPr>
                <w:rFonts w:ascii="Arial Narrow" w:hAnsi="Arial Narrow"/>
                <w:b/>
                <w:sz w:val="18"/>
                <w:szCs w:val="18"/>
              </w:rPr>
              <w:t>medicinal product pack</w:t>
            </w:r>
          </w:p>
        </w:tc>
        <w:tc>
          <w:tcPr>
            <w:tcW w:w="1275" w:type="dxa"/>
          </w:tcPr>
          <w:p w14:paraId="37AA0F5E" w14:textId="77777777" w:rsidR="00451401" w:rsidRPr="009C01D5" w:rsidRDefault="00451401" w:rsidP="00451401">
            <w:pPr>
              <w:keepNext/>
              <w:ind w:left="-108"/>
              <w:jc w:val="center"/>
              <w:rPr>
                <w:rFonts w:ascii="Arial Narrow" w:hAnsi="Arial Narrow"/>
                <w:b/>
                <w:sz w:val="18"/>
                <w:szCs w:val="18"/>
              </w:rPr>
            </w:pPr>
            <w:r w:rsidRPr="009C01D5">
              <w:rPr>
                <w:rFonts w:ascii="Arial Narrow" w:hAnsi="Arial Narrow"/>
                <w:b/>
                <w:sz w:val="18"/>
                <w:szCs w:val="18"/>
              </w:rPr>
              <w:t>PBS item code</w:t>
            </w:r>
          </w:p>
        </w:tc>
        <w:tc>
          <w:tcPr>
            <w:tcW w:w="851" w:type="dxa"/>
          </w:tcPr>
          <w:p w14:paraId="121C5295" w14:textId="77777777" w:rsidR="00451401" w:rsidRPr="009C01D5" w:rsidRDefault="00451401" w:rsidP="00451401">
            <w:pPr>
              <w:keepNext/>
              <w:ind w:left="-108"/>
              <w:jc w:val="center"/>
              <w:rPr>
                <w:rFonts w:ascii="Arial Narrow" w:hAnsi="Arial Narrow"/>
                <w:b/>
                <w:sz w:val="18"/>
                <w:szCs w:val="18"/>
              </w:rPr>
            </w:pPr>
            <w:r w:rsidRPr="009C01D5">
              <w:rPr>
                <w:rFonts w:ascii="Arial Narrow" w:hAnsi="Arial Narrow"/>
                <w:b/>
                <w:sz w:val="18"/>
                <w:szCs w:val="18"/>
              </w:rPr>
              <w:t>Max. qty packs</w:t>
            </w:r>
          </w:p>
        </w:tc>
        <w:tc>
          <w:tcPr>
            <w:tcW w:w="850" w:type="dxa"/>
          </w:tcPr>
          <w:p w14:paraId="6398D1E7" w14:textId="77777777" w:rsidR="00451401" w:rsidRPr="009C01D5" w:rsidRDefault="00451401" w:rsidP="00451401">
            <w:pPr>
              <w:keepNext/>
              <w:ind w:left="-108"/>
              <w:jc w:val="center"/>
              <w:rPr>
                <w:rFonts w:ascii="Arial Narrow" w:hAnsi="Arial Narrow"/>
                <w:b/>
                <w:sz w:val="18"/>
                <w:szCs w:val="18"/>
              </w:rPr>
            </w:pPr>
            <w:r w:rsidRPr="009C01D5">
              <w:rPr>
                <w:rFonts w:ascii="Arial Narrow" w:hAnsi="Arial Narrow"/>
                <w:b/>
                <w:sz w:val="18"/>
                <w:szCs w:val="18"/>
              </w:rPr>
              <w:t>Max. qty units</w:t>
            </w:r>
          </w:p>
        </w:tc>
        <w:tc>
          <w:tcPr>
            <w:tcW w:w="709" w:type="dxa"/>
          </w:tcPr>
          <w:p w14:paraId="78B97876" w14:textId="77777777" w:rsidR="00451401" w:rsidRPr="009C01D5" w:rsidRDefault="00451401" w:rsidP="00451401">
            <w:pPr>
              <w:keepNext/>
              <w:ind w:left="-108"/>
              <w:jc w:val="center"/>
              <w:rPr>
                <w:rFonts w:ascii="Arial Narrow" w:hAnsi="Arial Narrow"/>
                <w:b/>
                <w:sz w:val="18"/>
                <w:szCs w:val="18"/>
              </w:rPr>
            </w:pPr>
            <w:r w:rsidRPr="009C01D5">
              <w:rPr>
                <w:rFonts w:ascii="Arial Narrow" w:hAnsi="Arial Narrow"/>
                <w:b/>
                <w:sz w:val="18"/>
                <w:szCs w:val="18"/>
              </w:rPr>
              <w:t>№.of</w:t>
            </w:r>
          </w:p>
          <w:p w14:paraId="7E4F3622" w14:textId="77777777" w:rsidR="00451401" w:rsidRPr="009C01D5" w:rsidRDefault="00451401" w:rsidP="00451401">
            <w:pPr>
              <w:keepNext/>
              <w:ind w:left="-108"/>
              <w:jc w:val="center"/>
              <w:rPr>
                <w:rFonts w:ascii="Arial Narrow" w:hAnsi="Arial Narrow"/>
                <w:b/>
                <w:sz w:val="18"/>
                <w:szCs w:val="18"/>
              </w:rPr>
            </w:pPr>
            <w:r w:rsidRPr="009C01D5">
              <w:rPr>
                <w:rFonts w:ascii="Arial Narrow" w:hAnsi="Arial Narrow"/>
                <w:b/>
                <w:sz w:val="18"/>
                <w:szCs w:val="18"/>
              </w:rPr>
              <w:t>Rpts</w:t>
            </w:r>
          </w:p>
        </w:tc>
        <w:tc>
          <w:tcPr>
            <w:tcW w:w="2553" w:type="dxa"/>
          </w:tcPr>
          <w:p w14:paraId="3FDCAC84" w14:textId="77777777" w:rsidR="00451401" w:rsidRPr="009C01D5" w:rsidRDefault="008D79A0" w:rsidP="00451401">
            <w:pPr>
              <w:keepNext/>
              <w:rPr>
                <w:rFonts w:ascii="Arial Narrow" w:hAnsi="Arial Narrow"/>
                <w:b/>
                <w:sz w:val="18"/>
                <w:szCs w:val="18"/>
              </w:rPr>
            </w:pPr>
            <w:r w:rsidRPr="009C01D5">
              <w:rPr>
                <w:rFonts w:ascii="Arial Narrow" w:hAnsi="Arial Narrow"/>
                <w:b/>
                <w:sz w:val="18"/>
                <w:szCs w:val="18"/>
              </w:rPr>
              <w:t>Available brands</w:t>
            </w:r>
          </w:p>
        </w:tc>
      </w:tr>
      <w:tr w:rsidR="00181917" w:rsidRPr="009C01D5" w14:paraId="577A2B18" w14:textId="77777777" w:rsidTr="00181917">
        <w:trPr>
          <w:cantSplit/>
          <w:trHeight w:val="303"/>
        </w:trPr>
        <w:tc>
          <w:tcPr>
            <w:tcW w:w="8927" w:type="dxa"/>
            <w:gridSpan w:val="7"/>
          </w:tcPr>
          <w:p w14:paraId="2E002AE4" w14:textId="77777777" w:rsidR="00181917" w:rsidRPr="009C01D5" w:rsidDel="008D79A0" w:rsidRDefault="00181917" w:rsidP="00181917">
            <w:pPr>
              <w:keepNext/>
              <w:ind w:left="-110"/>
              <w:rPr>
                <w:rFonts w:ascii="Arial Narrow" w:hAnsi="Arial Narrow"/>
                <w:sz w:val="18"/>
                <w:szCs w:val="18"/>
              </w:rPr>
            </w:pPr>
            <w:r w:rsidRPr="009C01D5">
              <w:rPr>
                <w:rFonts w:ascii="Arial Narrow" w:hAnsi="Arial Narrow"/>
                <w:sz w:val="18"/>
                <w:szCs w:val="18"/>
              </w:rPr>
              <w:t>CARIPRAZINE</w:t>
            </w:r>
          </w:p>
        </w:tc>
      </w:tr>
      <w:tr w:rsidR="00655C62" w:rsidRPr="009C01D5" w14:paraId="5E7A285D" w14:textId="77777777" w:rsidTr="00655C62">
        <w:trPr>
          <w:cantSplit/>
          <w:trHeight w:val="421"/>
        </w:trPr>
        <w:tc>
          <w:tcPr>
            <w:tcW w:w="2689" w:type="dxa"/>
            <w:gridSpan w:val="2"/>
          </w:tcPr>
          <w:p w14:paraId="04D40F64" w14:textId="77777777" w:rsidR="00655C62" w:rsidRPr="009C01D5" w:rsidRDefault="00655C62" w:rsidP="00181917">
            <w:pPr>
              <w:keepNext/>
              <w:ind w:left="-110"/>
              <w:rPr>
                <w:rFonts w:ascii="Arial Narrow" w:hAnsi="Arial Narrow"/>
                <w:sz w:val="18"/>
                <w:szCs w:val="18"/>
              </w:rPr>
            </w:pPr>
            <w:r w:rsidRPr="009C01D5">
              <w:rPr>
                <w:rFonts w:ascii="Arial Narrow" w:hAnsi="Arial Narrow"/>
                <w:sz w:val="18"/>
                <w:szCs w:val="18"/>
              </w:rPr>
              <w:t>cariprazine 1.5 mg capsule, 30</w:t>
            </w:r>
          </w:p>
        </w:tc>
        <w:tc>
          <w:tcPr>
            <w:tcW w:w="1275" w:type="dxa"/>
          </w:tcPr>
          <w:p w14:paraId="565F105F" w14:textId="77777777" w:rsidR="00655C62" w:rsidRPr="009C01D5" w:rsidRDefault="00655C62" w:rsidP="00181917">
            <w:pPr>
              <w:keepNext/>
              <w:jc w:val="center"/>
              <w:rPr>
                <w:rFonts w:ascii="Arial Narrow" w:hAnsi="Arial Narrow"/>
                <w:sz w:val="18"/>
                <w:szCs w:val="18"/>
              </w:rPr>
            </w:pPr>
            <w:r w:rsidRPr="009C01D5">
              <w:rPr>
                <w:rFonts w:ascii="Arial Narrow" w:hAnsi="Arial Narrow"/>
                <w:sz w:val="18"/>
                <w:szCs w:val="18"/>
              </w:rPr>
              <w:t>NEW</w:t>
            </w:r>
          </w:p>
        </w:tc>
        <w:tc>
          <w:tcPr>
            <w:tcW w:w="851" w:type="dxa"/>
          </w:tcPr>
          <w:p w14:paraId="1803EA53" w14:textId="77777777" w:rsidR="00655C62" w:rsidRPr="009C01D5" w:rsidRDefault="00655C62" w:rsidP="00181917">
            <w:pPr>
              <w:keepNext/>
              <w:jc w:val="center"/>
              <w:rPr>
                <w:rFonts w:ascii="Arial Narrow" w:hAnsi="Arial Narrow"/>
                <w:sz w:val="18"/>
                <w:szCs w:val="18"/>
              </w:rPr>
            </w:pPr>
            <w:r w:rsidRPr="009C01D5">
              <w:rPr>
                <w:rFonts w:ascii="Arial Narrow" w:hAnsi="Arial Narrow"/>
                <w:sz w:val="18"/>
                <w:szCs w:val="18"/>
              </w:rPr>
              <w:t>1</w:t>
            </w:r>
          </w:p>
        </w:tc>
        <w:tc>
          <w:tcPr>
            <w:tcW w:w="850" w:type="dxa"/>
          </w:tcPr>
          <w:p w14:paraId="69413583" w14:textId="77777777" w:rsidR="00655C62" w:rsidRPr="009C01D5" w:rsidRDefault="00655C62" w:rsidP="002F6BA8">
            <w:pPr>
              <w:keepNext/>
              <w:ind w:left="-108"/>
              <w:jc w:val="center"/>
              <w:rPr>
                <w:rFonts w:ascii="Arial Narrow" w:hAnsi="Arial Narrow"/>
                <w:sz w:val="18"/>
                <w:szCs w:val="18"/>
              </w:rPr>
            </w:pPr>
            <w:r w:rsidRPr="009C01D5">
              <w:rPr>
                <w:rFonts w:ascii="Arial Narrow" w:hAnsi="Arial Narrow"/>
                <w:sz w:val="18"/>
                <w:szCs w:val="18"/>
              </w:rPr>
              <w:t>30</w:t>
            </w:r>
          </w:p>
        </w:tc>
        <w:tc>
          <w:tcPr>
            <w:tcW w:w="709" w:type="dxa"/>
          </w:tcPr>
          <w:p w14:paraId="05AEC7BF" w14:textId="77777777" w:rsidR="00655C62" w:rsidRPr="009C01D5" w:rsidRDefault="00655C62" w:rsidP="002F6BA8">
            <w:pPr>
              <w:keepNext/>
              <w:ind w:left="-108"/>
              <w:jc w:val="center"/>
              <w:rPr>
                <w:rFonts w:ascii="Arial Narrow" w:hAnsi="Arial Narrow"/>
                <w:sz w:val="18"/>
                <w:szCs w:val="18"/>
              </w:rPr>
            </w:pPr>
            <w:r w:rsidRPr="009C01D5">
              <w:rPr>
                <w:rFonts w:ascii="Arial Narrow" w:hAnsi="Arial Narrow"/>
                <w:sz w:val="18"/>
                <w:szCs w:val="18"/>
              </w:rPr>
              <w:t>5</w:t>
            </w:r>
          </w:p>
          <w:p w14:paraId="1D31A61B" w14:textId="77777777" w:rsidR="00655C62" w:rsidRPr="009C01D5" w:rsidRDefault="00655C62" w:rsidP="00181917">
            <w:pPr>
              <w:keepNext/>
              <w:jc w:val="center"/>
              <w:rPr>
                <w:rFonts w:ascii="Arial Narrow" w:hAnsi="Arial Narrow"/>
                <w:sz w:val="18"/>
                <w:szCs w:val="18"/>
              </w:rPr>
            </w:pPr>
          </w:p>
        </w:tc>
        <w:tc>
          <w:tcPr>
            <w:tcW w:w="2553" w:type="dxa"/>
          </w:tcPr>
          <w:p w14:paraId="14BE2ABC" w14:textId="77777777" w:rsidR="00655C62" w:rsidRPr="009C01D5" w:rsidRDefault="00655C62" w:rsidP="00451401">
            <w:pPr>
              <w:keepNext/>
              <w:rPr>
                <w:rFonts w:ascii="Arial Narrow" w:hAnsi="Arial Narrow"/>
                <w:sz w:val="18"/>
                <w:szCs w:val="18"/>
              </w:rPr>
            </w:pPr>
            <w:r>
              <w:rPr>
                <w:rFonts w:ascii="Arial Narrow" w:hAnsi="Arial Narrow"/>
                <w:sz w:val="18"/>
                <w:szCs w:val="18"/>
              </w:rPr>
              <w:t>Reagila</w:t>
            </w:r>
          </w:p>
        </w:tc>
      </w:tr>
      <w:tr w:rsidR="00655C62" w:rsidRPr="009C01D5" w14:paraId="30C47DE2" w14:textId="77777777" w:rsidTr="00655C62">
        <w:trPr>
          <w:cantSplit/>
          <w:trHeight w:val="347"/>
        </w:trPr>
        <w:tc>
          <w:tcPr>
            <w:tcW w:w="2689" w:type="dxa"/>
            <w:gridSpan w:val="2"/>
          </w:tcPr>
          <w:p w14:paraId="0F6B6F39" w14:textId="77777777" w:rsidR="00655C62" w:rsidRPr="009C01D5" w:rsidRDefault="00655C62" w:rsidP="00451401">
            <w:pPr>
              <w:keepNext/>
              <w:ind w:left="-108"/>
              <w:rPr>
                <w:rFonts w:ascii="Arial Narrow" w:hAnsi="Arial Narrow"/>
                <w:sz w:val="18"/>
                <w:szCs w:val="18"/>
              </w:rPr>
            </w:pPr>
            <w:r w:rsidRPr="009C01D5">
              <w:rPr>
                <w:rFonts w:ascii="Arial Narrow" w:hAnsi="Arial Narrow"/>
                <w:sz w:val="18"/>
                <w:szCs w:val="18"/>
              </w:rPr>
              <w:t>cariprazine 3 mg capsule, 30</w:t>
            </w:r>
          </w:p>
        </w:tc>
        <w:tc>
          <w:tcPr>
            <w:tcW w:w="1275" w:type="dxa"/>
          </w:tcPr>
          <w:p w14:paraId="2796A5B7"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NEW</w:t>
            </w:r>
          </w:p>
        </w:tc>
        <w:tc>
          <w:tcPr>
            <w:tcW w:w="851" w:type="dxa"/>
          </w:tcPr>
          <w:p w14:paraId="5960264F"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1</w:t>
            </w:r>
          </w:p>
        </w:tc>
        <w:tc>
          <w:tcPr>
            <w:tcW w:w="850" w:type="dxa"/>
          </w:tcPr>
          <w:p w14:paraId="58AA93D1"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30</w:t>
            </w:r>
          </w:p>
        </w:tc>
        <w:tc>
          <w:tcPr>
            <w:tcW w:w="709" w:type="dxa"/>
          </w:tcPr>
          <w:p w14:paraId="22F5A114"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5</w:t>
            </w:r>
          </w:p>
        </w:tc>
        <w:tc>
          <w:tcPr>
            <w:tcW w:w="2553" w:type="dxa"/>
          </w:tcPr>
          <w:p w14:paraId="4431422C" w14:textId="77777777" w:rsidR="00655C62" w:rsidRPr="009C01D5" w:rsidRDefault="00655C62" w:rsidP="00451401">
            <w:pPr>
              <w:keepNext/>
              <w:rPr>
                <w:rFonts w:ascii="Arial Narrow" w:hAnsi="Arial Narrow"/>
                <w:sz w:val="18"/>
                <w:szCs w:val="18"/>
              </w:rPr>
            </w:pPr>
            <w:r>
              <w:rPr>
                <w:rFonts w:ascii="Arial Narrow" w:hAnsi="Arial Narrow"/>
                <w:sz w:val="18"/>
                <w:szCs w:val="18"/>
              </w:rPr>
              <w:t>Reagila</w:t>
            </w:r>
          </w:p>
        </w:tc>
      </w:tr>
      <w:tr w:rsidR="00655C62" w:rsidRPr="009C01D5" w14:paraId="62D69BEB" w14:textId="77777777" w:rsidTr="00655C62">
        <w:trPr>
          <w:cantSplit/>
          <w:trHeight w:val="327"/>
        </w:trPr>
        <w:tc>
          <w:tcPr>
            <w:tcW w:w="2689" w:type="dxa"/>
            <w:gridSpan w:val="2"/>
          </w:tcPr>
          <w:p w14:paraId="7D1E1027" w14:textId="77777777" w:rsidR="00655C62" w:rsidRPr="009C01D5" w:rsidRDefault="00655C62" w:rsidP="00451401">
            <w:pPr>
              <w:keepNext/>
              <w:ind w:left="-108"/>
              <w:rPr>
                <w:rFonts w:ascii="Arial Narrow" w:hAnsi="Arial Narrow"/>
                <w:sz w:val="18"/>
                <w:szCs w:val="18"/>
              </w:rPr>
            </w:pPr>
            <w:r w:rsidRPr="009C01D5">
              <w:rPr>
                <w:rFonts w:ascii="Arial Narrow" w:hAnsi="Arial Narrow"/>
                <w:sz w:val="18"/>
                <w:szCs w:val="18"/>
              </w:rPr>
              <w:t>cariprazine 4.5 mg capsule, 30</w:t>
            </w:r>
          </w:p>
        </w:tc>
        <w:tc>
          <w:tcPr>
            <w:tcW w:w="1275" w:type="dxa"/>
          </w:tcPr>
          <w:p w14:paraId="055EAC32"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NEW</w:t>
            </w:r>
          </w:p>
        </w:tc>
        <w:tc>
          <w:tcPr>
            <w:tcW w:w="851" w:type="dxa"/>
          </w:tcPr>
          <w:p w14:paraId="1C00AFBE"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1</w:t>
            </w:r>
          </w:p>
        </w:tc>
        <w:tc>
          <w:tcPr>
            <w:tcW w:w="850" w:type="dxa"/>
          </w:tcPr>
          <w:p w14:paraId="6162BAA1"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30</w:t>
            </w:r>
          </w:p>
        </w:tc>
        <w:tc>
          <w:tcPr>
            <w:tcW w:w="709" w:type="dxa"/>
          </w:tcPr>
          <w:p w14:paraId="239E8B95"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5</w:t>
            </w:r>
          </w:p>
        </w:tc>
        <w:tc>
          <w:tcPr>
            <w:tcW w:w="2553" w:type="dxa"/>
          </w:tcPr>
          <w:p w14:paraId="145D857C" w14:textId="77777777" w:rsidR="00655C62" w:rsidRPr="009C01D5" w:rsidRDefault="00655C62" w:rsidP="00451401">
            <w:pPr>
              <w:keepNext/>
              <w:rPr>
                <w:rFonts w:ascii="Arial Narrow" w:hAnsi="Arial Narrow"/>
                <w:sz w:val="18"/>
                <w:szCs w:val="18"/>
              </w:rPr>
            </w:pPr>
            <w:r>
              <w:rPr>
                <w:rFonts w:ascii="Arial Narrow" w:hAnsi="Arial Narrow"/>
                <w:sz w:val="18"/>
                <w:szCs w:val="18"/>
              </w:rPr>
              <w:t xml:space="preserve">Reagila </w:t>
            </w:r>
          </w:p>
        </w:tc>
      </w:tr>
      <w:tr w:rsidR="00655C62" w:rsidRPr="009C01D5" w14:paraId="49E0C867" w14:textId="77777777" w:rsidTr="00655C62">
        <w:trPr>
          <w:cantSplit/>
          <w:trHeight w:val="327"/>
        </w:trPr>
        <w:tc>
          <w:tcPr>
            <w:tcW w:w="2689" w:type="dxa"/>
            <w:gridSpan w:val="2"/>
          </w:tcPr>
          <w:p w14:paraId="5E287736" w14:textId="77777777" w:rsidR="00655C62" w:rsidRPr="009C01D5" w:rsidRDefault="00655C62" w:rsidP="00451401">
            <w:pPr>
              <w:keepNext/>
              <w:ind w:left="-108"/>
              <w:rPr>
                <w:rFonts w:ascii="Arial Narrow" w:hAnsi="Arial Narrow"/>
                <w:sz w:val="18"/>
                <w:szCs w:val="18"/>
              </w:rPr>
            </w:pPr>
            <w:r w:rsidRPr="009C01D5">
              <w:rPr>
                <w:rFonts w:ascii="Arial Narrow" w:hAnsi="Arial Narrow"/>
                <w:sz w:val="18"/>
                <w:szCs w:val="18"/>
              </w:rPr>
              <w:t>cariprazine 6 mg capsule, 30</w:t>
            </w:r>
          </w:p>
        </w:tc>
        <w:tc>
          <w:tcPr>
            <w:tcW w:w="1275" w:type="dxa"/>
          </w:tcPr>
          <w:p w14:paraId="51724196"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NEW</w:t>
            </w:r>
          </w:p>
        </w:tc>
        <w:tc>
          <w:tcPr>
            <w:tcW w:w="851" w:type="dxa"/>
          </w:tcPr>
          <w:p w14:paraId="274AF1B5" w14:textId="77777777" w:rsidR="00655C62" w:rsidRPr="009C01D5" w:rsidRDefault="00655C62" w:rsidP="00451401">
            <w:pPr>
              <w:keepNext/>
              <w:jc w:val="center"/>
              <w:rPr>
                <w:rFonts w:ascii="Arial Narrow" w:hAnsi="Arial Narrow"/>
                <w:sz w:val="18"/>
                <w:szCs w:val="18"/>
              </w:rPr>
            </w:pPr>
            <w:r w:rsidRPr="009C01D5">
              <w:rPr>
                <w:rFonts w:ascii="Arial Narrow" w:hAnsi="Arial Narrow"/>
                <w:sz w:val="18"/>
                <w:szCs w:val="18"/>
              </w:rPr>
              <w:t>1</w:t>
            </w:r>
          </w:p>
        </w:tc>
        <w:tc>
          <w:tcPr>
            <w:tcW w:w="850" w:type="dxa"/>
          </w:tcPr>
          <w:p w14:paraId="01277AE9"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30</w:t>
            </w:r>
          </w:p>
        </w:tc>
        <w:tc>
          <w:tcPr>
            <w:tcW w:w="709" w:type="dxa"/>
          </w:tcPr>
          <w:p w14:paraId="62A2DB10" w14:textId="77777777" w:rsidR="00655C62" w:rsidRPr="009C01D5" w:rsidRDefault="00655C62" w:rsidP="00451401">
            <w:pPr>
              <w:keepNext/>
              <w:ind w:left="-108"/>
              <w:jc w:val="center"/>
              <w:rPr>
                <w:rFonts w:ascii="Arial Narrow" w:hAnsi="Arial Narrow"/>
                <w:sz w:val="18"/>
                <w:szCs w:val="18"/>
              </w:rPr>
            </w:pPr>
            <w:r w:rsidRPr="009C01D5">
              <w:rPr>
                <w:rFonts w:ascii="Arial Narrow" w:hAnsi="Arial Narrow"/>
                <w:sz w:val="18"/>
                <w:szCs w:val="18"/>
              </w:rPr>
              <w:t>5</w:t>
            </w:r>
          </w:p>
        </w:tc>
        <w:tc>
          <w:tcPr>
            <w:tcW w:w="2553" w:type="dxa"/>
          </w:tcPr>
          <w:p w14:paraId="1CBAEB47" w14:textId="77777777" w:rsidR="00655C62" w:rsidRPr="009C01D5" w:rsidRDefault="00655C62" w:rsidP="00451401">
            <w:pPr>
              <w:keepNext/>
              <w:rPr>
                <w:rFonts w:ascii="Arial Narrow" w:hAnsi="Arial Narrow"/>
                <w:sz w:val="18"/>
                <w:szCs w:val="18"/>
              </w:rPr>
            </w:pPr>
            <w:r>
              <w:rPr>
                <w:rFonts w:ascii="Arial Narrow" w:hAnsi="Arial Narrow"/>
                <w:sz w:val="18"/>
                <w:szCs w:val="18"/>
              </w:rPr>
              <w:t xml:space="preserve">Reagila </w:t>
            </w:r>
          </w:p>
        </w:tc>
      </w:tr>
      <w:tr w:rsidR="008D79A0" w:rsidRPr="009C01D5" w14:paraId="52DFB397" w14:textId="77777777" w:rsidTr="008D79A0">
        <w:tblPrEx>
          <w:tblCellMar>
            <w:top w:w="15" w:type="dxa"/>
            <w:left w:w="15" w:type="dxa"/>
            <w:bottom w:w="15" w:type="dxa"/>
            <w:right w:w="15" w:type="dxa"/>
          </w:tblCellMar>
          <w:tblLook w:val="04A0" w:firstRow="1" w:lastRow="0" w:firstColumn="1" w:lastColumn="0" w:noHBand="0" w:noVBand="1"/>
        </w:tblPrEx>
        <w:tc>
          <w:tcPr>
            <w:tcW w:w="8927" w:type="dxa"/>
            <w:gridSpan w:val="7"/>
            <w:tcBorders>
              <w:top w:val="single" w:sz="4" w:space="0" w:color="auto"/>
              <w:left w:val="single" w:sz="4" w:space="0" w:color="auto"/>
              <w:right w:val="single" w:sz="4" w:space="0" w:color="auto"/>
            </w:tcBorders>
          </w:tcPr>
          <w:p w14:paraId="4F74E771" w14:textId="77777777" w:rsidR="008D79A0" w:rsidRPr="009C01D5" w:rsidRDefault="008D79A0" w:rsidP="00451401">
            <w:pPr>
              <w:rPr>
                <w:rFonts w:ascii="Arial Narrow" w:hAnsi="Arial Narrow"/>
                <w:b/>
                <w:sz w:val="18"/>
                <w:szCs w:val="18"/>
              </w:rPr>
            </w:pPr>
          </w:p>
        </w:tc>
      </w:tr>
      <w:tr w:rsidR="008D79A0" w:rsidRPr="009C01D5" w14:paraId="014A7755" w14:textId="77777777" w:rsidTr="008D79A0">
        <w:tblPrEx>
          <w:tblCellMar>
            <w:top w:w="15" w:type="dxa"/>
            <w:left w:w="15" w:type="dxa"/>
            <w:bottom w:w="15" w:type="dxa"/>
            <w:right w:w="15" w:type="dxa"/>
          </w:tblCellMar>
          <w:tblLook w:val="04A0" w:firstRow="1" w:lastRow="0" w:firstColumn="1" w:lastColumn="0" w:noHBand="0" w:noVBand="1"/>
        </w:tblPrEx>
        <w:tc>
          <w:tcPr>
            <w:tcW w:w="8927" w:type="dxa"/>
            <w:gridSpan w:val="7"/>
            <w:tcBorders>
              <w:top w:val="single" w:sz="4" w:space="0" w:color="auto"/>
              <w:left w:val="single" w:sz="4" w:space="0" w:color="auto"/>
              <w:right w:val="single" w:sz="4" w:space="0" w:color="auto"/>
            </w:tcBorders>
          </w:tcPr>
          <w:p w14:paraId="6AF98404" w14:textId="77777777" w:rsidR="008D79A0" w:rsidRPr="009C01D5" w:rsidRDefault="008D79A0" w:rsidP="008D79A0">
            <w:pPr>
              <w:rPr>
                <w:rFonts w:ascii="Arial Narrow" w:hAnsi="Arial Narrow"/>
                <w:b/>
                <w:sz w:val="18"/>
                <w:szCs w:val="18"/>
              </w:rPr>
            </w:pPr>
            <w:r w:rsidRPr="009C01D5">
              <w:rPr>
                <w:rFonts w:ascii="Arial Narrow" w:hAnsi="Arial Narrow"/>
                <w:b/>
                <w:sz w:val="18"/>
                <w:szCs w:val="18"/>
              </w:rPr>
              <w:t xml:space="preserve">Restriction Summary </w:t>
            </w:r>
            <w:r w:rsidR="00B658FD" w:rsidRPr="009C01D5">
              <w:rPr>
                <w:rFonts w:ascii="Arial Narrow" w:hAnsi="Arial Narrow"/>
                <w:b/>
                <w:sz w:val="18"/>
                <w:szCs w:val="18"/>
              </w:rPr>
              <w:t xml:space="preserve">4246 </w:t>
            </w:r>
            <w:r w:rsidRPr="009C01D5">
              <w:rPr>
                <w:rFonts w:ascii="Arial Narrow" w:hAnsi="Arial Narrow"/>
                <w:b/>
                <w:sz w:val="18"/>
                <w:szCs w:val="18"/>
              </w:rPr>
              <w:t>/ Treatment of Concept: 4246</w:t>
            </w:r>
          </w:p>
        </w:tc>
      </w:tr>
      <w:tr w:rsidR="008D79A0" w:rsidRPr="009C01D5" w14:paraId="543658D9" w14:textId="77777777" w:rsidTr="008D79A0">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20D09E52" w14:textId="77777777" w:rsidR="008D79A0" w:rsidRPr="009C01D5" w:rsidRDefault="008D79A0" w:rsidP="00451401">
            <w:pPr>
              <w:rPr>
                <w:rFonts w:ascii="Arial Narrow" w:hAnsi="Arial Narrow"/>
                <w:b/>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7E566A3B" w14:textId="77777777" w:rsidR="008D79A0" w:rsidRPr="009C01D5" w:rsidRDefault="008D79A0" w:rsidP="00451401">
            <w:pPr>
              <w:rPr>
                <w:rFonts w:ascii="Arial Narrow" w:hAnsi="Arial Narrow"/>
                <w:sz w:val="18"/>
                <w:szCs w:val="18"/>
              </w:rPr>
            </w:pPr>
            <w:r w:rsidRPr="009C01D5">
              <w:rPr>
                <w:rFonts w:ascii="Arial Narrow" w:hAnsi="Arial Narrow"/>
                <w:b/>
                <w:sz w:val="18"/>
                <w:szCs w:val="18"/>
              </w:rPr>
              <w:t xml:space="preserve">Category / Program:   </w:t>
            </w:r>
            <w:r w:rsidRPr="009C01D5">
              <w:rPr>
                <w:rFonts w:ascii="Arial Narrow" w:hAnsi="Arial Narrow"/>
                <w:sz w:val="18"/>
                <w:szCs w:val="18"/>
              </w:rPr>
              <w:t xml:space="preserve">GENERAL – General Schedule (Code GE) </w:t>
            </w:r>
          </w:p>
        </w:tc>
      </w:tr>
      <w:tr w:rsidR="008D79A0" w:rsidRPr="009C01D5" w14:paraId="3965A87E" w14:textId="77777777" w:rsidTr="008D79A0">
        <w:tblPrEx>
          <w:tblCellMar>
            <w:top w:w="15" w:type="dxa"/>
            <w:left w:w="15" w:type="dxa"/>
            <w:bottom w:w="15" w:type="dxa"/>
            <w:right w:w="15" w:type="dxa"/>
          </w:tblCellMar>
          <w:tblLook w:val="04A0" w:firstRow="1" w:lastRow="0" w:firstColumn="1" w:lastColumn="0" w:noHBand="0" w:noVBand="1"/>
        </w:tblPrEx>
        <w:trPr>
          <w:trHeight w:val="366"/>
        </w:trPr>
        <w:tc>
          <w:tcPr>
            <w:tcW w:w="987" w:type="dxa"/>
            <w:vMerge/>
            <w:tcBorders>
              <w:left w:val="single" w:sz="4" w:space="0" w:color="auto"/>
              <w:right w:val="single" w:sz="4" w:space="0" w:color="auto"/>
            </w:tcBorders>
          </w:tcPr>
          <w:p w14:paraId="43FB655B" w14:textId="77777777" w:rsidR="008D79A0" w:rsidRPr="009C01D5" w:rsidRDefault="008D79A0" w:rsidP="00451401">
            <w:pPr>
              <w:rPr>
                <w:rFonts w:ascii="Arial Narrow" w:hAnsi="Arial Narrow"/>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1E6C3CD0" w14:textId="447F9554" w:rsidR="008D79A0" w:rsidRPr="009C01D5" w:rsidRDefault="008D79A0" w:rsidP="005F3899">
            <w:pPr>
              <w:rPr>
                <w:rFonts w:ascii="Arial Narrow" w:hAnsi="Arial Narrow"/>
                <w:sz w:val="18"/>
                <w:szCs w:val="18"/>
              </w:rPr>
            </w:pPr>
            <w:r w:rsidRPr="009C01D5">
              <w:rPr>
                <w:rFonts w:ascii="Arial Narrow" w:hAnsi="Arial Narrow"/>
                <w:b/>
                <w:sz w:val="18"/>
                <w:szCs w:val="18"/>
              </w:rPr>
              <w:t>Prescriber type:</w:t>
            </w:r>
            <w:r w:rsidR="005C1D4B">
              <w:rPr>
                <w:rFonts w:ascii="Arial Narrow" w:hAnsi="Arial Narrow"/>
                <w:b/>
                <w:sz w:val="18"/>
                <w:szCs w:val="18"/>
              </w:rPr>
              <w:t xml:space="preserve"> </w:t>
            </w:r>
            <w:r w:rsidRPr="009C01D5">
              <w:rPr>
                <w:rFonts w:ascii="Arial Narrow" w:hAnsi="Arial Narrow"/>
                <w:sz w:val="18"/>
                <w:szCs w:val="18"/>
              </w:rPr>
              <w:t xml:space="preserve">  </w:t>
            </w:r>
            <w:r w:rsidRPr="009C01D5">
              <w:rPr>
                <w:rFonts w:ascii="Arial Narrow" w:hAnsi="Arial Narrow"/>
                <w:sz w:val="18"/>
                <w:szCs w:val="18"/>
              </w:rPr>
              <w:fldChar w:fldCharType="begin">
                <w:ffData>
                  <w:name w:val=""/>
                  <w:enabled/>
                  <w:calcOnExit w:val="0"/>
                  <w:checkBox>
                    <w:sizeAuto/>
                    <w:default w:val="1"/>
                  </w:checkBox>
                </w:ffData>
              </w:fldChar>
            </w:r>
            <w:r w:rsidRPr="009C01D5">
              <w:rPr>
                <w:rFonts w:ascii="Arial Narrow" w:hAnsi="Arial Narrow"/>
                <w:sz w:val="18"/>
                <w:szCs w:val="18"/>
              </w:rPr>
              <w:instrText xml:space="preserve"> FORMCHECKBOX </w:instrText>
            </w:r>
            <w:r w:rsidR="00591C6F">
              <w:rPr>
                <w:rFonts w:ascii="Arial Narrow" w:hAnsi="Arial Narrow"/>
                <w:sz w:val="18"/>
                <w:szCs w:val="18"/>
              </w:rPr>
            </w:r>
            <w:r w:rsidR="00591C6F">
              <w:rPr>
                <w:rFonts w:ascii="Arial Narrow" w:hAnsi="Arial Narrow"/>
                <w:sz w:val="18"/>
                <w:szCs w:val="18"/>
              </w:rPr>
              <w:fldChar w:fldCharType="separate"/>
            </w:r>
            <w:r w:rsidRPr="009C01D5">
              <w:rPr>
                <w:rFonts w:ascii="Arial Narrow" w:hAnsi="Arial Narrow"/>
                <w:sz w:val="18"/>
                <w:szCs w:val="18"/>
              </w:rPr>
              <w:fldChar w:fldCharType="end"/>
            </w:r>
            <w:r w:rsidRPr="009C01D5">
              <w:rPr>
                <w:rFonts w:ascii="Arial Narrow" w:hAnsi="Arial Narrow"/>
                <w:sz w:val="18"/>
                <w:szCs w:val="18"/>
              </w:rPr>
              <w:t xml:space="preserve">Medical Practitioners  </w:t>
            </w:r>
            <w:r w:rsidRPr="009C01D5">
              <w:rPr>
                <w:rFonts w:ascii="Arial Narrow" w:hAnsi="Arial Narrow"/>
                <w:sz w:val="18"/>
                <w:szCs w:val="18"/>
              </w:rPr>
              <w:fldChar w:fldCharType="begin">
                <w:ffData>
                  <w:name w:val="Check3"/>
                  <w:enabled/>
                  <w:calcOnExit w:val="0"/>
                  <w:checkBox>
                    <w:sizeAuto/>
                    <w:default w:val="1"/>
                  </w:checkBox>
                </w:ffData>
              </w:fldChar>
            </w:r>
            <w:r w:rsidRPr="009C01D5">
              <w:rPr>
                <w:rFonts w:ascii="Arial Narrow" w:hAnsi="Arial Narrow"/>
                <w:sz w:val="18"/>
                <w:szCs w:val="18"/>
              </w:rPr>
              <w:instrText xml:space="preserve"> FORMCHECKBOX </w:instrText>
            </w:r>
            <w:r w:rsidR="00591C6F">
              <w:rPr>
                <w:rFonts w:ascii="Arial Narrow" w:hAnsi="Arial Narrow"/>
                <w:sz w:val="18"/>
                <w:szCs w:val="18"/>
              </w:rPr>
            </w:r>
            <w:r w:rsidR="00591C6F">
              <w:rPr>
                <w:rFonts w:ascii="Arial Narrow" w:hAnsi="Arial Narrow"/>
                <w:sz w:val="18"/>
                <w:szCs w:val="18"/>
              </w:rPr>
              <w:fldChar w:fldCharType="separate"/>
            </w:r>
            <w:r w:rsidRPr="009C01D5">
              <w:rPr>
                <w:rFonts w:ascii="Arial Narrow" w:hAnsi="Arial Narrow"/>
                <w:sz w:val="18"/>
                <w:szCs w:val="18"/>
              </w:rPr>
              <w:fldChar w:fldCharType="end"/>
            </w:r>
            <w:r w:rsidRPr="009C01D5">
              <w:rPr>
                <w:rFonts w:ascii="Arial Narrow" w:hAnsi="Arial Narrow"/>
                <w:sz w:val="18"/>
                <w:szCs w:val="18"/>
              </w:rPr>
              <w:t xml:space="preserve">Nurse practitioners - SCM  </w:t>
            </w:r>
          </w:p>
        </w:tc>
      </w:tr>
      <w:tr w:rsidR="008D79A0" w:rsidRPr="009C01D5" w14:paraId="63E4BBE6" w14:textId="77777777" w:rsidTr="008D79A0">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right w:val="single" w:sz="4" w:space="0" w:color="auto"/>
            </w:tcBorders>
          </w:tcPr>
          <w:p w14:paraId="0BFDB4B5" w14:textId="77777777" w:rsidR="008D79A0" w:rsidRPr="009C01D5" w:rsidRDefault="008D79A0" w:rsidP="00451401">
            <w:pPr>
              <w:rPr>
                <w:rFonts w:ascii="Arial Narrow" w:hAnsi="Arial Narrow"/>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1F0A2972" w14:textId="77777777" w:rsidR="008D79A0" w:rsidRPr="009C01D5" w:rsidRDefault="008D79A0" w:rsidP="008D79A0">
            <w:pPr>
              <w:rPr>
                <w:rFonts w:ascii="Arial Narrow" w:hAnsi="Arial Narrow"/>
                <w:b/>
                <w:sz w:val="18"/>
                <w:szCs w:val="18"/>
              </w:rPr>
            </w:pPr>
            <w:r w:rsidRPr="009C01D5">
              <w:rPr>
                <w:rFonts w:ascii="Arial Narrow" w:hAnsi="Arial Narrow"/>
                <w:b/>
                <w:sz w:val="18"/>
                <w:szCs w:val="18"/>
              </w:rPr>
              <w:t>Restriction</w:t>
            </w:r>
            <w:r w:rsidR="00655C62">
              <w:rPr>
                <w:rFonts w:ascii="Arial Narrow" w:hAnsi="Arial Narrow"/>
                <w:b/>
                <w:sz w:val="18"/>
                <w:szCs w:val="18"/>
              </w:rPr>
              <w:t xml:space="preserve"> </w:t>
            </w:r>
            <w:r w:rsidRPr="009C01D5">
              <w:rPr>
                <w:rFonts w:ascii="Arial Narrow" w:hAnsi="Arial Narrow"/>
                <w:b/>
                <w:sz w:val="18"/>
                <w:szCs w:val="18"/>
              </w:rPr>
              <w:t xml:space="preserve">type : </w:t>
            </w:r>
            <w:r w:rsidRPr="009C01D5">
              <w:rPr>
                <w:rFonts w:ascii="Arial Narrow" w:hAnsi="Arial Narrow"/>
                <w:sz w:val="18"/>
                <w:szCs w:val="18"/>
              </w:rPr>
              <w:fldChar w:fldCharType="begin">
                <w:ffData>
                  <w:name w:val=""/>
                  <w:enabled/>
                  <w:calcOnExit w:val="0"/>
                  <w:checkBox>
                    <w:sizeAuto/>
                    <w:default w:val="1"/>
                  </w:checkBox>
                </w:ffData>
              </w:fldChar>
            </w:r>
            <w:r w:rsidRPr="009C01D5">
              <w:rPr>
                <w:rFonts w:ascii="Arial Narrow" w:hAnsi="Arial Narrow"/>
                <w:sz w:val="18"/>
                <w:szCs w:val="18"/>
              </w:rPr>
              <w:instrText xml:space="preserve"> FORMCHECKBOX </w:instrText>
            </w:r>
            <w:r w:rsidR="00591C6F">
              <w:rPr>
                <w:rFonts w:ascii="Arial Narrow" w:hAnsi="Arial Narrow"/>
                <w:sz w:val="18"/>
                <w:szCs w:val="18"/>
              </w:rPr>
            </w:r>
            <w:r w:rsidR="00591C6F">
              <w:rPr>
                <w:rFonts w:ascii="Arial Narrow" w:hAnsi="Arial Narrow"/>
                <w:sz w:val="18"/>
                <w:szCs w:val="18"/>
              </w:rPr>
              <w:fldChar w:fldCharType="separate"/>
            </w:r>
            <w:r w:rsidRPr="009C01D5">
              <w:rPr>
                <w:rFonts w:ascii="Arial Narrow" w:hAnsi="Arial Narrow"/>
                <w:sz w:val="18"/>
                <w:szCs w:val="18"/>
              </w:rPr>
              <w:fldChar w:fldCharType="end"/>
            </w:r>
            <w:r w:rsidRPr="009C01D5">
              <w:rPr>
                <w:rFonts w:ascii="Arial Narrow" w:hAnsi="Arial Narrow"/>
                <w:sz w:val="18"/>
                <w:szCs w:val="18"/>
              </w:rPr>
              <w:t>Authority Required – Streamlined [4246]</w:t>
            </w:r>
          </w:p>
        </w:tc>
      </w:tr>
      <w:tr w:rsidR="008D79A0" w:rsidRPr="009C01D5" w14:paraId="5D2956F8" w14:textId="77777777" w:rsidTr="008D79A0">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right w:val="single" w:sz="4" w:space="0" w:color="auto"/>
            </w:tcBorders>
            <w:vAlign w:val="center"/>
          </w:tcPr>
          <w:p w14:paraId="59095D51" w14:textId="77777777" w:rsidR="008D79A0" w:rsidRPr="009C01D5" w:rsidRDefault="008D79A0" w:rsidP="00451401">
            <w:pPr>
              <w:jc w:val="center"/>
              <w:rPr>
                <w:rFonts w:ascii="Arial Narrow" w:hAnsi="Arial Narrow"/>
                <w:color w:val="333333"/>
                <w:sz w:val="18"/>
                <w:szCs w:val="18"/>
              </w:rPr>
            </w:pPr>
          </w:p>
        </w:tc>
        <w:tc>
          <w:tcPr>
            <w:tcW w:w="7940" w:type="dxa"/>
            <w:gridSpan w:val="6"/>
            <w:tcBorders>
              <w:left w:val="single" w:sz="4" w:space="0" w:color="auto"/>
            </w:tcBorders>
            <w:vAlign w:val="center"/>
          </w:tcPr>
          <w:p w14:paraId="574DC271" w14:textId="77777777" w:rsidR="008D79A0" w:rsidRPr="009C01D5" w:rsidRDefault="008D79A0" w:rsidP="00451401">
            <w:pPr>
              <w:rPr>
                <w:rFonts w:ascii="Arial Narrow" w:hAnsi="Arial Narrow"/>
                <w:b/>
                <w:bCs/>
                <w:color w:val="333333"/>
                <w:sz w:val="18"/>
                <w:szCs w:val="18"/>
              </w:rPr>
            </w:pPr>
            <w:r w:rsidRPr="009C01D5">
              <w:rPr>
                <w:rFonts w:ascii="Arial Narrow" w:hAnsi="Arial Narrow"/>
                <w:b/>
                <w:bCs/>
                <w:color w:val="333333"/>
                <w:sz w:val="18"/>
                <w:szCs w:val="18"/>
              </w:rPr>
              <w:t xml:space="preserve">Condition: </w:t>
            </w:r>
            <w:r w:rsidRPr="009C01D5">
              <w:rPr>
                <w:rFonts w:ascii="Arial Narrow" w:hAnsi="Arial Narrow"/>
                <w:bCs/>
                <w:color w:val="333333"/>
                <w:sz w:val="18"/>
                <w:szCs w:val="18"/>
              </w:rPr>
              <w:t>Schizophrenia</w:t>
            </w:r>
          </w:p>
        </w:tc>
      </w:tr>
      <w:tr w:rsidR="00451401" w:rsidRPr="009C01D5" w14:paraId="2A0DA065" w14:textId="77777777" w:rsidTr="00E6355F">
        <w:tblPrEx>
          <w:tblCellMar>
            <w:top w:w="15" w:type="dxa"/>
            <w:left w:w="15" w:type="dxa"/>
            <w:bottom w:w="15" w:type="dxa"/>
            <w:right w:w="15" w:type="dxa"/>
          </w:tblCellMar>
          <w:tblLook w:val="04A0" w:firstRow="1" w:lastRow="0" w:firstColumn="1" w:lastColumn="0" w:noHBand="0" w:noVBand="1"/>
        </w:tblPrEx>
        <w:tc>
          <w:tcPr>
            <w:tcW w:w="987" w:type="dxa"/>
            <w:vAlign w:val="center"/>
          </w:tcPr>
          <w:p w14:paraId="15FA53D8" w14:textId="77777777" w:rsidR="00451401" w:rsidRPr="009C01D5" w:rsidRDefault="00451401" w:rsidP="00451401">
            <w:pPr>
              <w:jc w:val="center"/>
              <w:rPr>
                <w:rFonts w:ascii="Arial Narrow" w:hAnsi="Arial Narrow"/>
                <w:color w:val="333333"/>
                <w:sz w:val="18"/>
                <w:szCs w:val="18"/>
              </w:rPr>
            </w:pPr>
          </w:p>
        </w:tc>
        <w:tc>
          <w:tcPr>
            <w:tcW w:w="7940" w:type="dxa"/>
            <w:gridSpan w:val="6"/>
            <w:vAlign w:val="center"/>
            <w:hideMark/>
          </w:tcPr>
          <w:p w14:paraId="3F6F4096" w14:textId="77777777" w:rsidR="00451401" w:rsidRPr="009C01D5" w:rsidRDefault="00451401" w:rsidP="00451401">
            <w:pPr>
              <w:rPr>
                <w:rFonts w:ascii="Arial Narrow" w:hAnsi="Arial Narrow"/>
                <w:color w:val="333333"/>
                <w:sz w:val="18"/>
                <w:szCs w:val="18"/>
              </w:rPr>
            </w:pPr>
            <w:r w:rsidRPr="009C01D5">
              <w:rPr>
                <w:rFonts w:ascii="Arial Narrow" w:hAnsi="Arial Narrow"/>
                <w:b/>
                <w:bCs/>
                <w:color w:val="333333"/>
                <w:sz w:val="18"/>
                <w:szCs w:val="18"/>
              </w:rPr>
              <w:t>Indication:</w:t>
            </w:r>
            <w:r w:rsidRPr="009C01D5">
              <w:rPr>
                <w:rFonts w:ascii="Arial Narrow" w:hAnsi="Arial Narrow"/>
                <w:color w:val="333333"/>
                <w:sz w:val="18"/>
                <w:szCs w:val="18"/>
              </w:rPr>
              <w:t xml:space="preserve"> Schizophrenia</w:t>
            </w:r>
          </w:p>
        </w:tc>
      </w:tr>
      <w:tr w:rsidR="00451401" w:rsidRPr="009C01D5" w14:paraId="33F2C7A2" w14:textId="77777777" w:rsidTr="00E6355F">
        <w:tblPrEx>
          <w:tblCellMar>
            <w:top w:w="15" w:type="dxa"/>
            <w:left w:w="15" w:type="dxa"/>
            <w:bottom w:w="15" w:type="dxa"/>
            <w:right w:w="15" w:type="dxa"/>
          </w:tblCellMar>
          <w:tblLook w:val="04A0" w:firstRow="1" w:lastRow="0" w:firstColumn="1" w:lastColumn="0" w:noHBand="0" w:noVBand="1"/>
        </w:tblPrEx>
        <w:tc>
          <w:tcPr>
            <w:tcW w:w="987" w:type="dxa"/>
            <w:vAlign w:val="center"/>
          </w:tcPr>
          <w:p w14:paraId="67CF1DBA" w14:textId="77777777" w:rsidR="00451401" w:rsidRPr="009C01D5" w:rsidRDefault="00451401" w:rsidP="00451401">
            <w:pPr>
              <w:jc w:val="center"/>
              <w:rPr>
                <w:rFonts w:ascii="Arial Narrow" w:hAnsi="Arial Narrow"/>
                <w:color w:val="333333"/>
                <w:sz w:val="18"/>
                <w:szCs w:val="18"/>
              </w:rPr>
            </w:pPr>
          </w:p>
        </w:tc>
        <w:tc>
          <w:tcPr>
            <w:tcW w:w="7940" w:type="dxa"/>
            <w:gridSpan w:val="6"/>
            <w:vAlign w:val="center"/>
            <w:hideMark/>
          </w:tcPr>
          <w:p w14:paraId="0FB45D03" w14:textId="77777777" w:rsidR="00451401" w:rsidRPr="009C01D5" w:rsidRDefault="00451401" w:rsidP="00451401">
            <w:pPr>
              <w:rPr>
                <w:rFonts w:ascii="Arial Narrow" w:hAnsi="Arial Narrow"/>
                <w:bCs/>
                <w:color w:val="333333"/>
                <w:sz w:val="18"/>
                <w:szCs w:val="18"/>
              </w:rPr>
            </w:pPr>
            <w:r w:rsidRPr="009C01D5">
              <w:rPr>
                <w:rFonts w:ascii="Arial Narrow" w:hAnsi="Arial Narrow"/>
                <w:b/>
                <w:bCs/>
                <w:color w:val="333333"/>
                <w:sz w:val="18"/>
                <w:szCs w:val="18"/>
              </w:rPr>
              <w:t>Administrative Advice:</w:t>
            </w:r>
            <w:r w:rsidRPr="009C01D5">
              <w:rPr>
                <w:rFonts w:ascii="Arial Narrow" w:hAnsi="Arial Narrow"/>
                <w:bCs/>
                <w:color w:val="333333"/>
                <w:sz w:val="18"/>
                <w:szCs w:val="18"/>
              </w:rPr>
              <w:t xml:space="preserve"> </w:t>
            </w:r>
          </w:p>
          <w:p w14:paraId="1560F9E9" w14:textId="77777777" w:rsidR="008D79A0" w:rsidRPr="009C01D5" w:rsidRDefault="00451401" w:rsidP="00451401">
            <w:pPr>
              <w:rPr>
                <w:rFonts w:ascii="Arial Narrow" w:hAnsi="Arial Narrow"/>
                <w:bCs/>
                <w:color w:val="333333"/>
                <w:sz w:val="18"/>
                <w:szCs w:val="18"/>
              </w:rPr>
            </w:pPr>
            <w:r w:rsidRPr="009C01D5">
              <w:rPr>
                <w:rFonts w:ascii="Arial Narrow" w:hAnsi="Arial Narrow"/>
                <w:b/>
                <w:bCs/>
                <w:color w:val="333333"/>
                <w:sz w:val="18"/>
                <w:szCs w:val="18"/>
              </w:rPr>
              <w:t>Shared Care Model:</w:t>
            </w:r>
          </w:p>
          <w:p w14:paraId="44600D80" w14:textId="77777777" w:rsidR="00451401" w:rsidRPr="009C01D5" w:rsidRDefault="00451401" w:rsidP="00451401">
            <w:pPr>
              <w:rPr>
                <w:rFonts w:ascii="Arial Narrow" w:hAnsi="Arial Narrow"/>
                <w:color w:val="333333"/>
                <w:sz w:val="18"/>
                <w:szCs w:val="18"/>
              </w:rPr>
            </w:pPr>
            <w:r w:rsidRPr="009C01D5">
              <w:rPr>
                <w:rFonts w:ascii="Arial Narrow" w:hAnsi="Arial Narrow"/>
                <w:bCs/>
                <w:color w:val="333333"/>
                <w:sz w:val="18"/>
                <w:szCs w:val="18"/>
              </w:rPr>
              <w:t xml:space="preserve"> For prescribing by nurse practitioners where care of a patient is shared between a nurse practitioner </w:t>
            </w:r>
            <w:r w:rsidRPr="009C01D5">
              <w:rPr>
                <w:rFonts w:ascii="Arial Narrow" w:hAnsi="Arial Narrow"/>
                <w:color w:val="333333"/>
                <w:sz w:val="18"/>
                <w:szCs w:val="18"/>
              </w:rPr>
              <w:t xml:space="preserve">and medical practitioner in a formalised arrangement with an agreed management plan. Further information can be found in the Explanatory Notes for Nurse Practitioners. </w:t>
            </w:r>
          </w:p>
        </w:tc>
      </w:tr>
    </w:tbl>
    <w:p w14:paraId="03E16D6B" w14:textId="77777777" w:rsidR="00324520" w:rsidRPr="009C01D5" w:rsidRDefault="00324520" w:rsidP="00686A2A">
      <w:pPr>
        <w:widowControl w:val="0"/>
        <w:rPr>
          <w:rFonts w:asciiTheme="minorHAnsi" w:hAnsiTheme="minorHAnsi"/>
          <w:bCs/>
          <w:snapToGrid w:val="0"/>
        </w:rPr>
      </w:pPr>
    </w:p>
    <w:p w14:paraId="7A2F53FF" w14:textId="77777777" w:rsidR="00CE4D3D" w:rsidRDefault="00985317" w:rsidP="00AA11F6">
      <w:pPr>
        <w:rPr>
          <w:rFonts w:asciiTheme="minorHAnsi" w:hAnsiTheme="minorHAnsi"/>
          <w:b/>
          <w:i/>
          <w:snapToGrid w:val="0"/>
        </w:rPr>
      </w:pPr>
      <w:r w:rsidRPr="00AA11F6">
        <w:rPr>
          <w:rFonts w:asciiTheme="minorHAnsi" w:hAnsiTheme="minorHAnsi"/>
          <w:b/>
          <w:i/>
          <w:snapToGrid w:val="0"/>
        </w:rPr>
        <w:t xml:space="preserve">This restriction may be subject to further review. Should there be any changes made to the restriction the Sponsor will be informed. </w:t>
      </w:r>
    </w:p>
    <w:p w14:paraId="04B64B56" w14:textId="77777777" w:rsidR="00E6355F" w:rsidRDefault="00E6355F" w:rsidP="00AA11F6">
      <w:pPr>
        <w:rPr>
          <w:rFonts w:asciiTheme="minorHAnsi" w:hAnsiTheme="minorHAnsi"/>
          <w:b/>
          <w:i/>
          <w:snapToGrid w:val="0"/>
        </w:rPr>
      </w:pPr>
    </w:p>
    <w:p w14:paraId="6074D2B8" w14:textId="77777777" w:rsidR="00E6355F" w:rsidRPr="00E6355F" w:rsidRDefault="00E6355F" w:rsidP="00E6355F">
      <w:pPr>
        <w:pStyle w:val="2-SectionHeading"/>
      </w:pPr>
      <w:r w:rsidRPr="00C07617">
        <w:t>Context for Decision</w:t>
      </w:r>
    </w:p>
    <w:p w14:paraId="7CC4CAAF" w14:textId="77777777" w:rsidR="00E6355F" w:rsidRPr="00E6355F" w:rsidRDefault="00E6355F" w:rsidP="00897315">
      <w:pPr>
        <w:widowControl w:val="0"/>
        <w:spacing w:after="120"/>
        <w:ind w:left="720"/>
        <w:rPr>
          <w:rFonts w:asciiTheme="minorHAnsi" w:hAnsiTheme="minorHAnsi"/>
          <w:bCs/>
          <w:snapToGrid w:val="0"/>
        </w:rPr>
      </w:pPr>
      <w:r w:rsidRPr="00E6355F">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A0A6B8" w14:textId="77777777" w:rsidR="00E6355F" w:rsidRPr="00E6355F" w:rsidRDefault="00E6355F" w:rsidP="00E6355F">
      <w:pPr>
        <w:pStyle w:val="2-SectionHeading"/>
      </w:pPr>
      <w:r>
        <w:t>Sponsor’s Comment</w:t>
      </w:r>
    </w:p>
    <w:p w14:paraId="4228A029" w14:textId="77777777" w:rsidR="00E6355F" w:rsidRPr="001179AC" w:rsidRDefault="00E6355F" w:rsidP="00897315">
      <w:pPr>
        <w:widowControl w:val="0"/>
        <w:spacing w:after="120"/>
        <w:ind w:firstLine="720"/>
        <w:rPr>
          <w:rFonts w:asciiTheme="minorHAnsi" w:hAnsiTheme="minorHAnsi"/>
          <w:bCs/>
        </w:rPr>
      </w:pPr>
      <w:r w:rsidRPr="00C07617">
        <w:rPr>
          <w:rFonts w:asciiTheme="minorHAnsi" w:hAnsiTheme="minorHAnsi"/>
          <w:bCs/>
        </w:rPr>
        <w:t>The sponsor had no comment.</w:t>
      </w:r>
    </w:p>
    <w:p w14:paraId="2B950B07" w14:textId="77777777" w:rsidR="00E6355F" w:rsidRPr="00AA11F6" w:rsidRDefault="00E6355F" w:rsidP="00AA11F6">
      <w:pPr>
        <w:rPr>
          <w:rFonts w:asciiTheme="minorHAnsi" w:hAnsiTheme="minorHAnsi"/>
          <w:b/>
          <w:i/>
          <w:snapToGrid w:val="0"/>
        </w:rPr>
      </w:pPr>
    </w:p>
    <w:sectPr w:rsidR="00E6355F" w:rsidRPr="00AA11F6"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94752" w16cex:dateUtc="2020-11-25T11:12:00Z"/>
  <w16cex:commentExtensible w16cex:durableId="2369470F" w16cex:dateUtc="2020-11-25T11:11:00Z"/>
  <w16cex:commentExtensible w16cex:durableId="2369467A" w16cex:dateUtc="2020-11-25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CFA3A" w16cid:durableId="23693885"/>
  <w16cid:commentId w16cid:paraId="4A3495A9" w16cid:durableId="23694752"/>
  <w16cid:commentId w16cid:paraId="1CCF8999" w16cid:durableId="23693886"/>
  <w16cid:commentId w16cid:paraId="44DB4B0A" w16cid:durableId="2369470F"/>
  <w16cid:commentId w16cid:paraId="0BC771F6" w16cid:durableId="23693887"/>
  <w16cid:commentId w16cid:paraId="4C8A69DA" w16cid:durableId="236946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A586" w14:textId="77777777" w:rsidR="00591C6F" w:rsidRDefault="00591C6F" w:rsidP="00124A51">
      <w:r>
        <w:separator/>
      </w:r>
    </w:p>
    <w:p w14:paraId="3843F493" w14:textId="77777777" w:rsidR="00591C6F" w:rsidRDefault="00591C6F"/>
  </w:endnote>
  <w:endnote w:type="continuationSeparator" w:id="0">
    <w:p w14:paraId="07A97894" w14:textId="77777777" w:rsidR="00591C6F" w:rsidRDefault="00591C6F" w:rsidP="00124A51">
      <w:r>
        <w:continuationSeparator/>
      </w:r>
    </w:p>
    <w:p w14:paraId="0B838A2E" w14:textId="77777777" w:rsidR="00591C6F" w:rsidRDefault="0059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8FB7" w14:textId="77777777" w:rsidR="00591C6F" w:rsidRDefault="0059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6135" w14:textId="77777777" w:rsidR="00591C6F" w:rsidRDefault="00591C6F">
    <w:pPr>
      <w:pStyle w:val="Footer"/>
      <w:jc w:val="center"/>
    </w:pPr>
  </w:p>
  <w:p w14:paraId="41F3F2F7" w14:textId="1329CB28" w:rsidR="00591C6F" w:rsidRPr="00EE6780" w:rsidRDefault="00591C6F" w:rsidP="00EE6780">
    <w:pPr>
      <w:pStyle w:val="Footer"/>
      <w:jc w:val="center"/>
      <w:rPr>
        <w:b/>
      </w:rPr>
    </w:pPr>
    <w:sdt>
      <w:sdtPr>
        <w:rPr>
          <w:b/>
        </w:rPr>
        <w:id w:val="1679310895"/>
        <w:docPartObj>
          <w:docPartGallery w:val="Page Numbers (Bottom of Page)"/>
          <w:docPartUnique/>
        </w:docPartObj>
      </w:sdtPr>
      <w:sdtEndPr>
        <w:rPr>
          <w:noProof/>
        </w:rPr>
      </w:sdtEndPr>
      <w:sdtContent>
        <w:r w:rsidRPr="00EE6780">
          <w:rPr>
            <w:b/>
          </w:rPr>
          <w:fldChar w:fldCharType="begin"/>
        </w:r>
        <w:r w:rsidRPr="00EE6780">
          <w:rPr>
            <w:b/>
          </w:rPr>
          <w:instrText xml:space="preserve"> PAGE   \* MERGEFORMAT </w:instrText>
        </w:r>
        <w:r w:rsidRPr="00EE6780">
          <w:rPr>
            <w:b/>
          </w:rPr>
          <w:fldChar w:fldCharType="separate"/>
        </w:r>
        <w:r w:rsidR="005C1D4B">
          <w:rPr>
            <w:b/>
            <w:noProof/>
          </w:rPr>
          <w:t>21</w:t>
        </w:r>
        <w:r w:rsidRPr="00EE6780">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0C32" w14:textId="77777777" w:rsidR="00591C6F" w:rsidRDefault="0059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24BB" w14:textId="77777777" w:rsidR="00591C6F" w:rsidRDefault="00591C6F" w:rsidP="00124A51">
      <w:r>
        <w:separator/>
      </w:r>
    </w:p>
    <w:p w14:paraId="0B38F2CD" w14:textId="77777777" w:rsidR="00591C6F" w:rsidRDefault="00591C6F"/>
  </w:footnote>
  <w:footnote w:type="continuationSeparator" w:id="0">
    <w:p w14:paraId="56ABC0C1" w14:textId="77777777" w:rsidR="00591C6F" w:rsidRDefault="00591C6F" w:rsidP="00124A51">
      <w:r>
        <w:continuationSeparator/>
      </w:r>
    </w:p>
    <w:p w14:paraId="160E9BD6" w14:textId="77777777" w:rsidR="00591C6F" w:rsidRDefault="00591C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69DB" w14:textId="77777777" w:rsidR="00591C6F" w:rsidRDefault="00591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5DDB" w14:textId="77777777" w:rsidR="00591C6F" w:rsidRPr="00EE6780" w:rsidRDefault="00591C6F" w:rsidP="00EE6780">
    <w:pPr>
      <w:tabs>
        <w:tab w:val="left" w:pos="142"/>
        <w:tab w:val="right" w:pos="9027"/>
      </w:tabs>
      <w:jc w:val="center"/>
      <w:rPr>
        <w:i/>
      </w:rPr>
    </w:pPr>
    <w:r>
      <w:rPr>
        <w:i/>
      </w:rPr>
      <w:t>Public Summary Document</w:t>
    </w:r>
    <w:r w:rsidRPr="00EE6780">
      <w:rPr>
        <w:i/>
      </w:rPr>
      <w:t xml:space="preserve"> – November 2020 PBAC Meeting</w:t>
    </w:r>
  </w:p>
  <w:p w14:paraId="238D8C01" w14:textId="77777777" w:rsidR="00591C6F" w:rsidRDefault="00591C6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639A" w14:textId="77777777" w:rsidR="00591C6F" w:rsidRDefault="0059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147A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8221E"/>
    <w:multiLevelType w:val="hybridMultilevel"/>
    <w:tmpl w:val="279873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5146EF"/>
    <w:multiLevelType w:val="hybridMultilevel"/>
    <w:tmpl w:val="66ECD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774417"/>
    <w:multiLevelType w:val="hybridMultilevel"/>
    <w:tmpl w:val="FF28598C"/>
    <w:lvl w:ilvl="0" w:tplc="B9AEE7AE">
      <w:start w:val="1"/>
      <w:numFmt w:val="decimal"/>
      <w:lvlText w:val="%1."/>
      <w:lvlJc w:val="left"/>
      <w:pPr>
        <w:ind w:left="1080" w:hanging="360"/>
      </w:pPr>
      <w:rPr>
        <w:rFonts w:hint="default"/>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90A12CB"/>
    <w:multiLevelType w:val="hybridMultilevel"/>
    <w:tmpl w:val="494ECD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93411A"/>
    <w:multiLevelType w:val="hybridMultilevel"/>
    <w:tmpl w:val="A96E4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D10A8"/>
    <w:multiLevelType w:val="hybridMultilevel"/>
    <w:tmpl w:val="437A15F4"/>
    <w:lvl w:ilvl="0" w:tplc="37228788">
      <w:numFmt w:val="bullet"/>
      <w:lvlText w:val="-"/>
      <w:lvlJc w:val="left"/>
      <w:pPr>
        <w:ind w:left="2160" w:hanging="360"/>
      </w:pPr>
      <w:rPr>
        <w:rFonts w:ascii="Arial" w:eastAsia="Times New Roman"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D77BA"/>
    <w:multiLevelType w:val="hybridMultilevel"/>
    <w:tmpl w:val="FFE475E2"/>
    <w:lvl w:ilvl="0" w:tplc="0C090001">
      <w:start w:val="1"/>
      <w:numFmt w:val="bullet"/>
      <w:lvlText w:val=""/>
      <w:lvlJc w:val="left"/>
      <w:pPr>
        <w:ind w:left="720" w:hanging="360"/>
      </w:pPr>
      <w:rPr>
        <w:rFonts w:ascii="Symbol" w:hAnsi="Symbol" w:hint="default"/>
      </w:rPr>
    </w:lvl>
    <w:lvl w:ilvl="1" w:tplc="BC883CC4">
      <w:start w:val="1"/>
      <w:numFmt w:val="bullet"/>
      <w:pStyle w:val="TableTextbullet"/>
      <w:lvlText w:val="o"/>
      <w:lvlJc w:val="left"/>
      <w:pPr>
        <w:ind w:left="1440" w:hanging="360"/>
      </w:pPr>
      <w:rPr>
        <w:rFonts w:ascii="Courier New" w:hAnsi="Courier New" w:cs="Courier New" w:hint="default"/>
      </w:rPr>
    </w:lvl>
    <w:lvl w:ilvl="2" w:tplc="E4949E3E">
      <w:start w:val="93"/>
      <w:numFmt w:val="bullet"/>
      <w:lvlText w:val="-"/>
      <w:lvlJc w:val="left"/>
      <w:pPr>
        <w:ind w:left="2160" w:hanging="360"/>
      </w:pPr>
      <w:rPr>
        <w:rFonts w:ascii="Arial Narrow" w:eastAsia="Times New Roman" w:hAnsi="Arial Narrow"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43556"/>
    <w:multiLevelType w:val="hybridMultilevel"/>
    <w:tmpl w:val="8640E71E"/>
    <w:lvl w:ilvl="0" w:tplc="4252B48C">
      <w:start w:val="1"/>
      <w:numFmt w:val="decimal"/>
      <w:lvlText w:val="%1."/>
      <w:lvlJc w:val="left"/>
      <w:pPr>
        <w:ind w:left="360" w:hanging="360"/>
      </w:pPr>
      <w:rPr>
        <w:rFonts w:hint="default"/>
        <w:i w:val="0"/>
        <w:color w:val="auto"/>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9"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tentative="1">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A2840A1"/>
    <w:multiLevelType w:val="hybridMultilevel"/>
    <w:tmpl w:val="1E666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84D033C"/>
    <w:multiLevelType w:val="multilevel"/>
    <w:tmpl w:val="CEC86412"/>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14"/>
  </w:num>
  <w:num w:numId="4">
    <w:abstractNumId w:val="0"/>
  </w:num>
  <w:num w:numId="5">
    <w:abstractNumId w:val="21"/>
  </w:num>
  <w:num w:numId="6">
    <w:abstractNumId w:val="15"/>
  </w:num>
  <w:num w:numId="7">
    <w:abstractNumId w:val="19"/>
  </w:num>
  <w:num w:numId="8">
    <w:abstractNumId w:val="13"/>
  </w:num>
  <w:num w:numId="9">
    <w:abstractNumId w:val="18"/>
  </w:num>
  <w:num w:numId="10">
    <w:abstractNumId w:val="9"/>
  </w:num>
  <w:num w:numId="11">
    <w:abstractNumId w:val="11"/>
  </w:num>
  <w:num w:numId="12">
    <w:abstractNumId w:val="3"/>
  </w:num>
  <w:num w:numId="13">
    <w:abstractNumId w:val="4"/>
  </w:num>
  <w:num w:numId="14">
    <w:abstractNumId w:val="7"/>
  </w:num>
  <w:num w:numId="15">
    <w:abstractNumId w:val="16"/>
  </w:num>
  <w:num w:numId="16">
    <w:abstractNumId w:val="17"/>
  </w:num>
  <w:num w:numId="17">
    <w:abstractNumId w:val="2"/>
  </w:num>
  <w:num w:numId="18">
    <w:abstractNumId w:val="1"/>
  </w:num>
  <w:num w:numId="19">
    <w:abstractNumId w:val="6"/>
  </w:num>
  <w:num w:numId="20">
    <w:abstractNumId w:val="10"/>
  </w:num>
  <w:num w:numId="21">
    <w:abstractNumId w:val="5"/>
  </w:num>
  <w:num w:numId="22">
    <w:abstractNumId w:val="8"/>
  </w:num>
  <w:num w:numId="23">
    <w:abstractNumId w:val="21"/>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65"/>
    <w:rsid w:val="00000790"/>
    <w:rsid w:val="00000CC5"/>
    <w:rsid w:val="0000110B"/>
    <w:rsid w:val="0000184F"/>
    <w:rsid w:val="00002383"/>
    <w:rsid w:val="00002C67"/>
    <w:rsid w:val="00003499"/>
    <w:rsid w:val="000039B7"/>
    <w:rsid w:val="000057A2"/>
    <w:rsid w:val="0000630E"/>
    <w:rsid w:val="0000639A"/>
    <w:rsid w:val="000064D9"/>
    <w:rsid w:val="000068B5"/>
    <w:rsid w:val="00006A17"/>
    <w:rsid w:val="00006B4D"/>
    <w:rsid w:val="000079C5"/>
    <w:rsid w:val="00010C79"/>
    <w:rsid w:val="00011A17"/>
    <w:rsid w:val="00011CF2"/>
    <w:rsid w:val="00012338"/>
    <w:rsid w:val="000126C7"/>
    <w:rsid w:val="00012757"/>
    <w:rsid w:val="00012EE1"/>
    <w:rsid w:val="00013170"/>
    <w:rsid w:val="00013247"/>
    <w:rsid w:val="00014DA3"/>
    <w:rsid w:val="000154F0"/>
    <w:rsid w:val="00015886"/>
    <w:rsid w:val="000162EF"/>
    <w:rsid w:val="000177B8"/>
    <w:rsid w:val="000207C9"/>
    <w:rsid w:val="000213D3"/>
    <w:rsid w:val="00021A39"/>
    <w:rsid w:val="0002225F"/>
    <w:rsid w:val="0002250B"/>
    <w:rsid w:val="00022569"/>
    <w:rsid w:val="00022894"/>
    <w:rsid w:val="00023164"/>
    <w:rsid w:val="00023763"/>
    <w:rsid w:val="00023812"/>
    <w:rsid w:val="00023A44"/>
    <w:rsid w:val="00023E2C"/>
    <w:rsid w:val="00023F66"/>
    <w:rsid w:val="0002409E"/>
    <w:rsid w:val="0002509B"/>
    <w:rsid w:val="00025128"/>
    <w:rsid w:val="0002652B"/>
    <w:rsid w:val="00027365"/>
    <w:rsid w:val="000274B8"/>
    <w:rsid w:val="00027570"/>
    <w:rsid w:val="000276E3"/>
    <w:rsid w:val="00030490"/>
    <w:rsid w:val="00032ABC"/>
    <w:rsid w:val="0003331F"/>
    <w:rsid w:val="00033863"/>
    <w:rsid w:val="00033BDD"/>
    <w:rsid w:val="00033D24"/>
    <w:rsid w:val="00033DF6"/>
    <w:rsid w:val="000340F4"/>
    <w:rsid w:val="000352E8"/>
    <w:rsid w:val="000357DD"/>
    <w:rsid w:val="00035DC0"/>
    <w:rsid w:val="00036829"/>
    <w:rsid w:val="00040895"/>
    <w:rsid w:val="00042663"/>
    <w:rsid w:val="000431D2"/>
    <w:rsid w:val="000434EC"/>
    <w:rsid w:val="000435EE"/>
    <w:rsid w:val="000436D0"/>
    <w:rsid w:val="00043C37"/>
    <w:rsid w:val="00043F8A"/>
    <w:rsid w:val="00045017"/>
    <w:rsid w:val="0004547B"/>
    <w:rsid w:val="00045A2B"/>
    <w:rsid w:val="00045F84"/>
    <w:rsid w:val="000460C2"/>
    <w:rsid w:val="00046970"/>
    <w:rsid w:val="0004698F"/>
    <w:rsid w:val="000509FC"/>
    <w:rsid w:val="00051311"/>
    <w:rsid w:val="00053102"/>
    <w:rsid w:val="000539D0"/>
    <w:rsid w:val="000540C3"/>
    <w:rsid w:val="00054621"/>
    <w:rsid w:val="000546D7"/>
    <w:rsid w:val="00055201"/>
    <w:rsid w:val="000562D5"/>
    <w:rsid w:val="000566B4"/>
    <w:rsid w:val="000568DC"/>
    <w:rsid w:val="000569B8"/>
    <w:rsid w:val="00056CE2"/>
    <w:rsid w:val="00056ECF"/>
    <w:rsid w:val="00057ABF"/>
    <w:rsid w:val="000604DF"/>
    <w:rsid w:val="00060901"/>
    <w:rsid w:val="00062BB9"/>
    <w:rsid w:val="000630FC"/>
    <w:rsid w:val="000631C7"/>
    <w:rsid w:val="0006390F"/>
    <w:rsid w:val="000650BC"/>
    <w:rsid w:val="00065203"/>
    <w:rsid w:val="000653B5"/>
    <w:rsid w:val="00065D1E"/>
    <w:rsid w:val="00066360"/>
    <w:rsid w:val="000666C7"/>
    <w:rsid w:val="00066AF8"/>
    <w:rsid w:val="0007050B"/>
    <w:rsid w:val="000706AD"/>
    <w:rsid w:val="00070DFA"/>
    <w:rsid w:val="0007110E"/>
    <w:rsid w:val="000711E9"/>
    <w:rsid w:val="00071248"/>
    <w:rsid w:val="000720B9"/>
    <w:rsid w:val="000729C7"/>
    <w:rsid w:val="000732B8"/>
    <w:rsid w:val="000737F7"/>
    <w:rsid w:val="0007459B"/>
    <w:rsid w:val="00074A5B"/>
    <w:rsid w:val="00075038"/>
    <w:rsid w:val="0007513F"/>
    <w:rsid w:val="000751B2"/>
    <w:rsid w:val="00076067"/>
    <w:rsid w:val="0007672F"/>
    <w:rsid w:val="00076B54"/>
    <w:rsid w:val="00076D10"/>
    <w:rsid w:val="0007729E"/>
    <w:rsid w:val="0007738A"/>
    <w:rsid w:val="000774F0"/>
    <w:rsid w:val="00077EE1"/>
    <w:rsid w:val="00077FBB"/>
    <w:rsid w:val="00080716"/>
    <w:rsid w:val="00080909"/>
    <w:rsid w:val="000812CA"/>
    <w:rsid w:val="00081D53"/>
    <w:rsid w:val="00081E63"/>
    <w:rsid w:val="0008258D"/>
    <w:rsid w:val="00082C99"/>
    <w:rsid w:val="00083E99"/>
    <w:rsid w:val="00084FA8"/>
    <w:rsid w:val="000855B5"/>
    <w:rsid w:val="000856C5"/>
    <w:rsid w:val="00085C31"/>
    <w:rsid w:val="00085D5E"/>
    <w:rsid w:val="000902D9"/>
    <w:rsid w:val="00090C7E"/>
    <w:rsid w:val="00091C32"/>
    <w:rsid w:val="00091DE2"/>
    <w:rsid w:val="00092600"/>
    <w:rsid w:val="0009262B"/>
    <w:rsid w:val="00092926"/>
    <w:rsid w:val="00092CB4"/>
    <w:rsid w:val="00093310"/>
    <w:rsid w:val="00093603"/>
    <w:rsid w:val="00094130"/>
    <w:rsid w:val="00094153"/>
    <w:rsid w:val="0009445C"/>
    <w:rsid w:val="00095200"/>
    <w:rsid w:val="000959B4"/>
    <w:rsid w:val="00095FE5"/>
    <w:rsid w:val="00096218"/>
    <w:rsid w:val="0009626D"/>
    <w:rsid w:val="00096284"/>
    <w:rsid w:val="00097058"/>
    <w:rsid w:val="00097DB7"/>
    <w:rsid w:val="00097E6E"/>
    <w:rsid w:val="000A0436"/>
    <w:rsid w:val="000A0A73"/>
    <w:rsid w:val="000A0B27"/>
    <w:rsid w:val="000A1733"/>
    <w:rsid w:val="000A1BC0"/>
    <w:rsid w:val="000A1F71"/>
    <w:rsid w:val="000A2644"/>
    <w:rsid w:val="000A28BF"/>
    <w:rsid w:val="000A2E54"/>
    <w:rsid w:val="000A355B"/>
    <w:rsid w:val="000A4F7D"/>
    <w:rsid w:val="000A5748"/>
    <w:rsid w:val="000A575E"/>
    <w:rsid w:val="000A6039"/>
    <w:rsid w:val="000A60A4"/>
    <w:rsid w:val="000A6C34"/>
    <w:rsid w:val="000A6E29"/>
    <w:rsid w:val="000A71E7"/>
    <w:rsid w:val="000A72FD"/>
    <w:rsid w:val="000A7453"/>
    <w:rsid w:val="000A74E7"/>
    <w:rsid w:val="000A7642"/>
    <w:rsid w:val="000A7744"/>
    <w:rsid w:val="000A7A29"/>
    <w:rsid w:val="000A7C9F"/>
    <w:rsid w:val="000A7D08"/>
    <w:rsid w:val="000B00C8"/>
    <w:rsid w:val="000B0121"/>
    <w:rsid w:val="000B01B2"/>
    <w:rsid w:val="000B0427"/>
    <w:rsid w:val="000B0670"/>
    <w:rsid w:val="000B0D27"/>
    <w:rsid w:val="000B0E75"/>
    <w:rsid w:val="000B13D7"/>
    <w:rsid w:val="000B2253"/>
    <w:rsid w:val="000B279F"/>
    <w:rsid w:val="000B2DCB"/>
    <w:rsid w:val="000B320D"/>
    <w:rsid w:val="000B3340"/>
    <w:rsid w:val="000B345C"/>
    <w:rsid w:val="000B34BA"/>
    <w:rsid w:val="000B43CB"/>
    <w:rsid w:val="000B4DCE"/>
    <w:rsid w:val="000B4E76"/>
    <w:rsid w:val="000B59D0"/>
    <w:rsid w:val="000B5CE0"/>
    <w:rsid w:val="000B6CAC"/>
    <w:rsid w:val="000B7612"/>
    <w:rsid w:val="000B78AE"/>
    <w:rsid w:val="000C01D4"/>
    <w:rsid w:val="000C1218"/>
    <w:rsid w:val="000C2ED0"/>
    <w:rsid w:val="000C338C"/>
    <w:rsid w:val="000C3DF9"/>
    <w:rsid w:val="000C4FC0"/>
    <w:rsid w:val="000C5507"/>
    <w:rsid w:val="000C5EFE"/>
    <w:rsid w:val="000C6524"/>
    <w:rsid w:val="000C6713"/>
    <w:rsid w:val="000C6CC3"/>
    <w:rsid w:val="000D0944"/>
    <w:rsid w:val="000D1BFC"/>
    <w:rsid w:val="000D1D5D"/>
    <w:rsid w:val="000D274C"/>
    <w:rsid w:val="000D281A"/>
    <w:rsid w:val="000D2848"/>
    <w:rsid w:val="000D2BF6"/>
    <w:rsid w:val="000D326A"/>
    <w:rsid w:val="000D3515"/>
    <w:rsid w:val="000D51FB"/>
    <w:rsid w:val="000D5CD9"/>
    <w:rsid w:val="000D6AB0"/>
    <w:rsid w:val="000E01E5"/>
    <w:rsid w:val="000E0640"/>
    <w:rsid w:val="000E0A58"/>
    <w:rsid w:val="000E135D"/>
    <w:rsid w:val="000E1CB1"/>
    <w:rsid w:val="000E3607"/>
    <w:rsid w:val="000E497B"/>
    <w:rsid w:val="000E4C1D"/>
    <w:rsid w:val="000E54AC"/>
    <w:rsid w:val="000E58B8"/>
    <w:rsid w:val="000E59D7"/>
    <w:rsid w:val="000E5CBA"/>
    <w:rsid w:val="000E5F04"/>
    <w:rsid w:val="000E5FF4"/>
    <w:rsid w:val="000E604B"/>
    <w:rsid w:val="000E6188"/>
    <w:rsid w:val="000E649C"/>
    <w:rsid w:val="000E7356"/>
    <w:rsid w:val="000F00BA"/>
    <w:rsid w:val="000F2567"/>
    <w:rsid w:val="000F316A"/>
    <w:rsid w:val="000F35C0"/>
    <w:rsid w:val="000F3B53"/>
    <w:rsid w:val="000F3C74"/>
    <w:rsid w:val="000F3EE8"/>
    <w:rsid w:val="000F4BB8"/>
    <w:rsid w:val="000F4E93"/>
    <w:rsid w:val="000F4FA9"/>
    <w:rsid w:val="000F53FB"/>
    <w:rsid w:val="000F5414"/>
    <w:rsid w:val="000F5B86"/>
    <w:rsid w:val="000F5EAC"/>
    <w:rsid w:val="000F7127"/>
    <w:rsid w:val="000F7490"/>
    <w:rsid w:val="000F7B54"/>
    <w:rsid w:val="0010061E"/>
    <w:rsid w:val="00100687"/>
    <w:rsid w:val="00100BCF"/>
    <w:rsid w:val="00100F8A"/>
    <w:rsid w:val="001026C2"/>
    <w:rsid w:val="00102AA3"/>
    <w:rsid w:val="0010452E"/>
    <w:rsid w:val="00105AE2"/>
    <w:rsid w:val="001060C6"/>
    <w:rsid w:val="00106B80"/>
    <w:rsid w:val="00106C4A"/>
    <w:rsid w:val="00107854"/>
    <w:rsid w:val="0011032E"/>
    <w:rsid w:val="0011060E"/>
    <w:rsid w:val="00111713"/>
    <w:rsid w:val="00112E9D"/>
    <w:rsid w:val="00112FFC"/>
    <w:rsid w:val="0011348B"/>
    <w:rsid w:val="00113F38"/>
    <w:rsid w:val="00115463"/>
    <w:rsid w:val="00115982"/>
    <w:rsid w:val="00116941"/>
    <w:rsid w:val="00116BFD"/>
    <w:rsid w:val="00116C53"/>
    <w:rsid w:val="00116FBD"/>
    <w:rsid w:val="001175EA"/>
    <w:rsid w:val="0011760B"/>
    <w:rsid w:val="00120255"/>
    <w:rsid w:val="001211C8"/>
    <w:rsid w:val="001212FB"/>
    <w:rsid w:val="00121799"/>
    <w:rsid w:val="00121E1A"/>
    <w:rsid w:val="001222FC"/>
    <w:rsid w:val="00123039"/>
    <w:rsid w:val="001233D5"/>
    <w:rsid w:val="00123650"/>
    <w:rsid w:val="00123902"/>
    <w:rsid w:val="00123E55"/>
    <w:rsid w:val="00124609"/>
    <w:rsid w:val="00124A51"/>
    <w:rsid w:val="00124E97"/>
    <w:rsid w:val="001252AA"/>
    <w:rsid w:val="00126621"/>
    <w:rsid w:val="00126B1D"/>
    <w:rsid w:val="00127DF0"/>
    <w:rsid w:val="001301E9"/>
    <w:rsid w:val="00131049"/>
    <w:rsid w:val="00131D82"/>
    <w:rsid w:val="00132B22"/>
    <w:rsid w:val="00133949"/>
    <w:rsid w:val="00133D36"/>
    <w:rsid w:val="001341AB"/>
    <w:rsid w:val="00135F90"/>
    <w:rsid w:val="001362E1"/>
    <w:rsid w:val="00136436"/>
    <w:rsid w:val="00137645"/>
    <w:rsid w:val="001377D2"/>
    <w:rsid w:val="00137B5F"/>
    <w:rsid w:val="0014015A"/>
    <w:rsid w:val="00140D2B"/>
    <w:rsid w:val="00140E99"/>
    <w:rsid w:val="00141F3A"/>
    <w:rsid w:val="0014333A"/>
    <w:rsid w:val="00143F67"/>
    <w:rsid w:val="0014463E"/>
    <w:rsid w:val="00144909"/>
    <w:rsid w:val="00144DEB"/>
    <w:rsid w:val="0014523C"/>
    <w:rsid w:val="00145540"/>
    <w:rsid w:val="001456B0"/>
    <w:rsid w:val="00146239"/>
    <w:rsid w:val="00147695"/>
    <w:rsid w:val="001500E4"/>
    <w:rsid w:val="00150929"/>
    <w:rsid w:val="001520A8"/>
    <w:rsid w:val="001532D1"/>
    <w:rsid w:val="00153FC6"/>
    <w:rsid w:val="001547D8"/>
    <w:rsid w:val="0015549C"/>
    <w:rsid w:val="00155631"/>
    <w:rsid w:val="00156EBF"/>
    <w:rsid w:val="00156F8F"/>
    <w:rsid w:val="00157130"/>
    <w:rsid w:val="001576B1"/>
    <w:rsid w:val="001600DC"/>
    <w:rsid w:val="0016012B"/>
    <w:rsid w:val="0016047B"/>
    <w:rsid w:val="001605B7"/>
    <w:rsid w:val="0016084A"/>
    <w:rsid w:val="00160A4C"/>
    <w:rsid w:val="00161461"/>
    <w:rsid w:val="00162913"/>
    <w:rsid w:val="00162C1B"/>
    <w:rsid w:val="00163398"/>
    <w:rsid w:val="00163C81"/>
    <w:rsid w:val="00163EFF"/>
    <w:rsid w:val="00163F66"/>
    <w:rsid w:val="00164455"/>
    <w:rsid w:val="001661FB"/>
    <w:rsid w:val="001671A0"/>
    <w:rsid w:val="001671FD"/>
    <w:rsid w:val="0016767F"/>
    <w:rsid w:val="00167758"/>
    <w:rsid w:val="00167CC0"/>
    <w:rsid w:val="0017079C"/>
    <w:rsid w:val="00170844"/>
    <w:rsid w:val="00170DC1"/>
    <w:rsid w:val="001719CD"/>
    <w:rsid w:val="00171EC0"/>
    <w:rsid w:val="00173565"/>
    <w:rsid w:val="00173B07"/>
    <w:rsid w:val="00173D55"/>
    <w:rsid w:val="001751FA"/>
    <w:rsid w:val="001754BF"/>
    <w:rsid w:val="00175E54"/>
    <w:rsid w:val="0017644F"/>
    <w:rsid w:val="001778F5"/>
    <w:rsid w:val="00181917"/>
    <w:rsid w:val="00181D9C"/>
    <w:rsid w:val="001832FA"/>
    <w:rsid w:val="001837E2"/>
    <w:rsid w:val="00183A7C"/>
    <w:rsid w:val="00183D8E"/>
    <w:rsid w:val="001849FE"/>
    <w:rsid w:val="00184B0E"/>
    <w:rsid w:val="00185491"/>
    <w:rsid w:val="00185DB6"/>
    <w:rsid w:val="0018752F"/>
    <w:rsid w:val="0019050A"/>
    <w:rsid w:val="001914A3"/>
    <w:rsid w:val="00191B93"/>
    <w:rsid w:val="00191D23"/>
    <w:rsid w:val="001922F7"/>
    <w:rsid w:val="001931DB"/>
    <w:rsid w:val="00193838"/>
    <w:rsid w:val="00193926"/>
    <w:rsid w:val="00193AA8"/>
    <w:rsid w:val="00193B08"/>
    <w:rsid w:val="00194AD8"/>
    <w:rsid w:val="00195222"/>
    <w:rsid w:val="001975D8"/>
    <w:rsid w:val="00197C0D"/>
    <w:rsid w:val="001A0A87"/>
    <w:rsid w:val="001A13CE"/>
    <w:rsid w:val="001A178E"/>
    <w:rsid w:val="001A1CD0"/>
    <w:rsid w:val="001A2985"/>
    <w:rsid w:val="001A3AAB"/>
    <w:rsid w:val="001A43FA"/>
    <w:rsid w:val="001A47C5"/>
    <w:rsid w:val="001A51A9"/>
    <w:rsid w:val="001A59FB"/>
    <w:rsid w:val="001A5E9E"/>
    <w:rsid w:val="001A6354"/>
    <w:rsid w:val="001A6366"/>
    <w:rsid w:val="001A69C1"/>
    <w:rsid w:val="001A6C19"/>
    <w:rsid w:val="001A6E03"/>
    <w:rsid w:val="001A75CC"/>
    <w:rsid w:val="001A7AE8"/>
    <w:rsid w:val="001B204E"/>
    <w:rsid w:val="001B2372"/>
    <w:rsid w:val="001B333C"/>
    <w:rsid w:val="001B3443"/>
    <w:rsid w:val="001B4A89"/>
    <w:rsid w:val="001B4D20"/>
    <w:rsid w:val="001B5498"/>
    <w:rsid w:val="001B5658"/>
    <w:rsid w:val="001B5BDA"/>
    <w:rsid w:val="001B6333"/>
    <w:rsid w:val="001B7954"/>
    <w:rsid w:val="001C0011"/>
    <w:rsid w:val="001C0836"/>
    <w:rsid w:val="001C0A6C"/>
    <w:rsid w:val="001C22CB"/>
    <w:rsid w:val="001C272D"/>
    <w:rsid w:val="001C27C2"/>
    <w:rsid w:val="001C2862"/>
    <w:rsid w:val="001C29DF"/>
    <w:rsid w:val="001C2A7E"/>
    <w:rsid w:val="001C2A9B"/>
    <w:rsid w:val="001C310E"/>
    <w:rsid w:val="001C336A"/>
    <w:rsid w:val="001C358E"/>
    <w:rsid w:val="001C4299"/>
    <w:rsid w:val="001C4874"/>
    <w:rsid w:val="001C4B95"/>
    <w:rsid w:val="001C529B"/>
    <w:rsid w:val="001C5AFE"/>
    <w:rsid w:val="001C5F94"/>
    <w:rsid w:val="001C6E66"/>
    <w:rsid w:val="001C76B0"/>
    <w:rsid w:val="001C7A8C"/>
    <w:rsid w:val="001C7B9A"/>
    <w:rsid w:val="001D0CC4"/>
    <w:rsid w:val="001D10A0"/>
    <w:rsid w:val="001D1100"/>
    <w:rsid w:val="001D1391"/>
    <w:rsid w:val="001D1F48"/>
    <w:rsid w:val="001D25D7"/>
    <w:rsid w:val="001D26CF"/>
    <w:rsid w:val="001D393E"/>
    <w:rsid w:val="001D450E"/>
    <w:rsid w:val="001D46F2"/>
    <w:rsid w:val="001D4B41"/>
    <w:rsid w:val="001D4C79"/>
    <w:rsid w:val="001D50B2"/>
    <w:rsid w:val="001D5CCD"/>
    <w:rsid w:val="001D7137"/>
    <w:rsid w:val="001D722C"/>
    <w:rsid w:val="001D763F"/>
    <w:rsid w:val="001D7645"/>
    <w:rsid w:val="001D7DC6"/>
    <w:rsid w:val="001E0451"/>
    <w:rsid w:val="001E0DA8"/>
    <w:rsid w:val="001E1137"/>
    <w:rsid w:val="001E14B6"/>
    <w:rsid w:val="001E1E86"/>
    <w:rsid w:val="001E238E"/>
    <w:rsid w:val="001E2483"/>
    <w:rsid w:val="001E24E5"/>
    <w:rsid w:val="001E2A34"/>
    <w:rsid w:val="001E2B1E"/>
    <w:rsid w:val="001E2CFF"/>
    <w:rsid w:val="001E2F24"/>
    <w:rsid w:val="001E30D4"/>
    <w:rsid w:val="001E34DF"/>
    <w:rsid w:val="001E35D6"/>
    <w:rsid w:val="001E386F"/>
    <w:rsid w:val="001E4EAE"/>
    <w:rsid w:val="001E50A7"/>
    <w:rsid w:val="001E52EB"/>
    <w:rsid w:val="001E57F2"/>
    <w:rsid w:val="001E5997"/>
    <w:rsid w:val="001E61D2"/>
    <w:rsid w:val="001E62D8"/>
    <w:rsid w:val="001E71E4"/>
    <w:rsid w:val="001E740C"/>
    <w:rsid w:val="001E7939"/>
    <w:rsid w:val="001E7E43"/>
    <w:rsid w:val="001F06D3"/>
    <w:rsid w:val="001F0F3B"/>
    <w:rsid w:val="001F1235"/>
    <w:rsid w:val="001F160C"/>
    <w:rsid w:val="001F1CB3"/>
    <w:rsid w:val="001F201D"/>
    <w:rsid w:val="001F31BC"/>
    <w:rsid w:val="001F38B5"/>
    <w:rsid w:val="001F3C59"/>
    <w:rsid w:val="001F4081"/>
    <w:rsid w:val="001F4201"/>
    <w:rsid w:val="001F51D7"/>
    <w:rsid w:val="001F685B"/>
    <w:rsid w:val="001F7361"/>
    <w:rsid w:val="001F74D6"/>
    <w:rsid w:val="00200061"/>
    <w:rsid w:val="002011B0"/>
    <w:rsid w:val="002017C4"/>
    <w:rsid w:val="00201B7C"/>
    <w:rsid w:val="0020200E"/>
    <w:rsid w:val="0020216E"/>
    <w:rsid w:val="00203181"/>
    <w:rsid w:val="00203783"/>
    <w:rsid w:val="0020385F"/>
    <w:rsid w:val="0020477E"/>
    <w:rsid w:val="00204D6B"/>
    <w:rsid w:val="002054DC"/>
    <w:rsid w:val="0020635C"/>
    <w:rsid w:val="002068A0"/>
    <w:rsid w:val="00207021"/>
    <w:rsid w:val="0020732F"/>
    <w:rsid w:val="00207460"/>
    <w:rsid w:val="0020754F"/>
    <w:rsid w:val="00207D00"/>
    <w:rsid w:val="002105C1"/>
    <w:rsid w:val="00210F42"/>
    <w:rsid w:val="00211ED3"/>
    <w:rsid w:val="00212786"/>
    <w:rsid w:val="00213B62"/>
    <w:rsid w:val="00213EF5"/>
    <w:rsid w:val="00214805"/>
    <w:rsid w:val="00214F2F"/>
    <w:rsid w:val="00214FB2"/>
    <w:rsid w:val="00216BF5"/>
    <w:rsid w:val="00217A2B"/>
    <w:rsid w:val="0022012F"/>
    <w:rsid w:val="0022389A"/>
    <w:rsid w:val="00223B49"/>
    <w:rsid w:val="00223C4E"/>
    <w:rsid w:val="00223D5A"/>
    <w:rsid w:val="00224830"/>
    <w:rsid w:val="00224DD4"/>
    <w:rsid w:val="00226B7A"/>
    <w:rsid w:val="00227809"/>
    <w:rsid w:val="002278A0"/>
    <w:rsid w:val="002309CC"/>
    <w:rsid w:val="002312DC"/>
    <w:rsid w:val="0023209F"/>
    <w:rsid w:val="00233A65"/>
    <w:rsid w:val="00233C01"/>
    <w:rsid w:val="002340CC"/>
    <w:rsid w:val="0023413C"/>
    <w:rsid w:val="0023416B"/>
    <w:rsid w:val="00234468"/>
    <w:rsid w:val="002346F0"/>
    <w:rsid w:val="00234BA4"/>
    <w:rsid w:val="002354AE"/>
    <w:rsid w:val="0023587D"/>
    <w:rsid w:val="0023629D"/>
    <w:rsid w:val="00236B99"/>
    <w:rsid w:val="00236E5E"/>
    <w:rsid w:val="00237255"/>
    <w:rsid w:val="0023731E"/>
    <w:rsid w:val="00237FF1"/>
    <w:rsid w:val="0024009F"/>
    <w:rsid w:val="0024030D"/>
    <w:rsid w:val="0024069D"/>
    <w:rsid w:val="002406C9"/>
    <w:rsid w:val="0024073E"/>
    <w:rsid w:val="002408FB"/>
    <w:rsid w:val="00241CE5"/>
    <w:rsid w:val="002424AF"/>
    <w:rsid w:val="00242807"/>
    <w:rsid w:val="002439DC"/>
    <w:rsid w:val="002441D2"/>
    <w:rsid w:val="00244A7A"/>
    <w:rsid w:val="00244DC8"/>
    <w:rsid w:val="002458BA"/>
    <w:rsid w:val="00245CE9"/>
    <w:rsid w:val="00245FF5"/>
    <w:rsid w:val="0024636C"/>
    <w:rsid w:val="0024696E"/>
    <w:rsid w:val="002472DE"/>
    <w:rsid w:val="002473A8"/>
    <w:rsid w:val="002477F2"/>
    <w:rsid w:val="00247925"/>
    <w:rsid w:val="00247E35"/>
    <w:rsid w:val="00250A14"/>
    <w:rsid w:val="00251006"/>
    <w:rsid w:val="002524D5"/>
    <w:rsid w:val="00253B1D"/>
    <w:rsid w:val="00253E1B"/>
    <w:rsid w:val="00254DCF"/>
    <w:rsid w:val="0025534B"/>
    <w:rsid w:val="00255BB7"/>
    <w:rsid w:val="00255DE0"/>
    <w:rsid w:val="00255E06"/>
    <w:rsid w:val="002562F4"/>
    <w:rsid w:val="00257541"/>
    <w:rsid w:val="002575EC"/>
    <w:rsid w:val="00257A39"/>
    <w:rsid w:val="00257AC4"/>
    <w:rsid w:val="002613A7"/>
    <w:rsid w:val="00261475"/>
    <w:rsid w:val="00261EEF"/>
    <w:rsid w:val="00262A1A"/>
    <w:rsid w:val="00262A87"/>
    <w:rsid w:val="002632B5"/>
    <w:rsid w:val="0026374A"/>
    <w:rsid w:val="0026491B"/>
    <w:rsid w:val="00264D26"/>
    <w:rsid w:val="0026581D"/>
    <w:rsid w:val="00265950"/>
    <w:rsid w:val="00265DAE"/>
    <w:rsid w:val="00267642"/>
    <w:rsid w:val="002679CC"/>
    <w:rsid w:val="00267AEA"/>
    <w:rsid w:val="00267F29"/>
    <w:rsid w:val="002700E6"/>
    <w:rsid w:val="002704AD"/>
    <w:rsid w:val="002704F4"/>
    <w:rsid w:val="00271152"/>
    <w:rsid w:val="00272224"/>
    <w:rsid w:val="00272425"/>
    <w:rsid w:val="0027294B"/>
    <w:rsid w:val="00273977"/>
    <w:rsid w:val="00273EB4"/>
    <w:rsid w:val="00274682"/>
    <w:rsid w:val="00274FA3"/>
    <w:rsid w:val="002751DE"/>
    <w:rsid w:val="00275A9C"/>
    <w:rsid w:val="00275C5A"/>
    <w:rsid w:val="00276953"/>
    <w:rsid w:val="00276B5D"/>
    <w:rsid w:val="00276BCD"/>
    <w:rsid w:val="00277B0C"/>
    <w:rsid w:val="00280985"/>
    <w:rsid w:val="00281014"/>
    <w:rsid w:val="00281211"/>
    <w:rsid w:val="00281B76"/>
    <w:rsid w:val="00282BCF"/>
    <w:rsid w:val="0028475A"/>
    <w:rsid w:val="00285D71"/>
    <w:rsid w:val="002864C6"/>
    <w:rsid w:val="0028665D"/>
    <w:rsid w:val="002905BB"/>
    <w:rsid w:val="00290A11"/>
    <w:rsid w:val="00290F26"/>
    <w:rsid w:val="00290F35"/>
    <w:rsid w:val="00292C15"/>
    <w:rsid w:val="00292E49"/>
    <w:rsid w:val="002940CF"/>
    <w:rsid w:val="00294474"/>
    <w:rsid w:val="00295447"/>
    <w:rsid w:val="002955C1"/>
    <w:rsid w:val="0029634B"/>
    <w:rsid w:val="002A13EF"/>
    <w:rsid w:val="002A14AB"/>
    <w:rsid w:val="002A19CB"/>
    <w:rsid w:val="002A21E3"/>
    <w:rsid w:val="002A2ADE"/>
    <w:rsid w:val="002A2DE5"/>
    <w:rsid w:val="002A2F50"/>
    <w:rsid w:val="002A30FD"/>
    <w:rsid w:val="002A31F8"/>
    <w:rsid w:val="002A43F9"/>
    <w:rsid w:val="002A5368"/>
    <w:rsid w:val="002A7BB0"/>
    <w:rsid w:val="002B05A1"/>
    <w:rsid w:val="002B05D4"/>
    <w:rsid w:val="002B098E"/>
    <w:rsid w:val="002B09A4"/>
    <w:rsid w:val="002B09DC"/>
    <w:rsid w:val="002B1C1F"/>
    <w:rsid w:val="002B1C22"/>
    <w:rsid w:val="002B3FE6"/>
    <w:rsid w:val="002B432F"/>
    <w:rsid w:val="002B4EDB"/>
    <w:rsid w:val="002B52B0"/>
    <w:rsid w:val="002B5D68"/>
    <w:rsid w:val="002B6189"/>
    <w:rsid w:val="002B62B3"/>
    <w:rsid w:val="002B6754"/>
    <w:rsid w:val="002B6C32"/>
    <w:rsid w:val="002B6CCE"/>
    <w:rsid w:val="002B76F9"/>
    <w:rsid w:val="002B7937"/>
    <w:rsid w:val="002B7942"/>
    <w:rsid w:val="002B7A02"/>
    <w:rsid w:val="002C0A1A"/>
    <w:rsid w:val="002C1437"/>
    <w:rsid w:val="002C1A4F"/>
    <w:rsid w:val="002C1EC3"/>
    <w:rsid w:val="002C2510"/>
    <w:rsid w:val="002C2775"/>
    <w:rsid w:val="002C27C1"/>
    <w:rsid w:val="002C2C4A"/>
    <w:rsid w:val="002C4FDC"/>
    <w:rsid w:val="002C5099"/>
    <w:rsid w:val="002C54CF"/>
    <w:rsid w:val="002C5889"/>
    <w:rsid w:val="002C5A0B"/>
    <w:rsid w:val="002C5E3C"/>
    <w:rsid w:val="002C67D0"/>
    <w:rsid w:val="002C6B90"/>
    <w:rsid w:val="002C71CE"/>
    <w:rsid w:val="002C7705"/>
    <w:rsid w:val="002C771B"/>
    <w:rsid w:val="002D08F8"/>
    <w:rsid w:val="002D0E7D"/>
    <w:rsid w:val="002D0FCF"/>
    <w:rsid w:val="002D1202"/>
    <w:rsid w:val="002D1E92"/>
    <w:rsid w:val="002D3032"/>
    <w:rsid w:val="002D577C"/>
    <w:rsid w:val="002D5EC0"/>
    <w:rsid w:val="002D61BC"/>
    <w:rsid w:val="002D62AA"/>
    <w:rsid w:val="002D62D7"/>
    <w:rsid w:val="002D693A"/>
    <w:rsid w:val="002D6BB9"/>
    <w:rsid w:val="002D7387"/>
    <w:rsid w:val="002D7AA9"/>
    <w:rsid w:val="002D7B34"/>
    <w:rsid w:val="002D7BD5"/>
    <w:rsid w:val="002E0806"/>
    <w:rsid w:val="002E1071"/>
    <w:rsid w:val="002E15B9"/>
    <w:rsid w:val="002E2158"/>
    <w:rsid w:val="002E295F"/>
    <w:rsid w:val="002E40E1"/>
    <w:rsid w:val="002E493D"/>
    <w:rsid w:val="002E4F02"/>
    <w:rsid w:val="002E5421"/>
    <w:rsid w:val="002E5709"/>
    <w:rsid w:val="002E6F9A"/>
    <w:rsid w:val="002E7722"/>
    <w:rsid w:val="002E7922"/>
    <w:rsid w:val="002F0012"/>
    <w:rsid w:val="002F053D"/>
    <w:rsid w:val="002F07BA"/>
    <w:rsid w:val="002F0DA9"/>
    <w:rsid w:val="002F1014"/>
    <w:rsid w:val="002F1AC1"/>
    <w:rsid w:val="002F1CE0"/>
    <w:rsid w:val="002F1EEF"/>
    <w:rsid w:val="002F239B"/>
    <w:rsid w:val="002F329E"/>
    <w:rsid w:val="002F3B07"/>
    <w:rsid w:val="002F449B"/>
    <w:rsid w:val="002F4C74"/>
    <w:rsid w:val="002F5EAC"/>
    <w:rsid w:val="002F643C"/>
    <w:rsid w:val="002F6A8B"/>
    <w:rsid w:val="002F6BA8"/>
    <w:rsid w:val="002F6D16"/>
    <w:rsid w:val="002F6F0A"/>
    <w:rsid w:val="002F6F20"/>
    <w:rsid w:val="002F6F8C"/>
    <w:rsid w:val="002F71C0"/>
    <w:rsid w:val="002F74F1"/>
    <w:rsid w:val="002F794C"/>
    <w:rsid w:val="002F7D0F"/>
    <w:rsid w:val="0030095D"/>
    <w:rsid w:val="00301017"/>
    <w:rsid w:val="0030155F"/>
    <w:rsid w:val="00301CAA"/>
    <w:rsid w:val="003027BA"/>
    <w:rsid w:val="00302B47"/>
    <w:rsid w:val="003036FC"/>
    <w:rsid w:val="0030390E"/>
    <w:rsid w:val="00303D7D"/>
    <w:rsid w:val="0030403E"/>
    <w:rsid w:val="0030478B"/>
    <w:rsid w:val="0030587B"/>
    <w:rsid w:val="00305B20"/>
    <w:rsid w:val="003061A8"/>
    <w:rsid w:val="00306D98"/>
    <w:rsid w:val="0030786C"/>
    <w:rsid w:val="0031031A"/>
    <w:rsid w:val="00310670"/>
    <w:rsid w:val="003106C3"/>
    <w:rsid w:val="00310981"/>
    <w:rsid w:val="00310DB0"/>
    <w:rsid w:val="00311267"/>
    <w:rsid w:val="00311BA5"/>
    <w:rsid w:val="0031239C"/>
    <w:rsid w:val="003124D9"/>
    <w:rsid w:val="00312594"/>
    <w:rsid w:val="003130EF"/>
    <w:rsid w:val="00313622"/>
    <w:rsid w:val="00315498"/>
    <w:rsid w:val="00315DE2"/>
    <w:rsid w:val="00316446"/>
    <w:rsid w:val="00316474"/>
    <w:rsid w:val="003169AB"/>
    <w:rsid w:val="00316B67"/>
    <w:rsid w:val="00316F58"/>
    <w:rsid w:val="003217EB"/>
    <w:rsid w:val="0032201C"/>
    <w:rsid w:val="00322107"/>
    <w:rsid w:val="00322355"/>
    <w:rsid w:val="003227AE"/>
    <w:rsid w:val="00322846"/>
    <w:rsid w:val="00324520"/>
    <w:rsid w:val="00325826"/>
    <w:rsid w:val="00326DA7"/>
    <w:rsid w:val="003270E4"/>
    <w:rsid w:val="00327ABB"/>
    <w:rsid w:val="00327EC6"/>
    <w:rsid w:val="00330468"/>
    <w:rsid w:val="00330DAA"/>
    <w:rsid w:val="00330F5C"/>
    <w:rsid w:val="00331634"/>
    <w:rsid w:val="00331D2C"/>
    <w:rsid w:val="00331FF9"/>
    <w:rsid w:val="00332D85"/>
    <w:rsid w:val="00332E0A"/>
    <w:rsid w:val="003331C0"/>
    <w:rsid w:val="00334363"/>
    <w:rsid w:val="003359BA"/>
    <w:rsid w:val="003366C9"/>
    <w:rsid w:val="003371B0"/>
    <w:rsid w:val="00337949"/>
    <w:rsid w:val="00337A1D"/>
    <w:rsid w:val="00340DF1"/>
    <w:rsid w:val="00341992"/>
    <w:rsid w:val="003419B4"/>
    <w:rsid w:val="00341B7C"/>
    <w:rsid w:val="00343983"/>
    <w:rsid w:val="003441F0"/>
    <w:rsid w:val="00344419"/>
    <w:rsid w:val="00345110"/>
    <w:rsid w:val="00345395"/>
    <w:rsid w:val="0034584B"/>
    <w:rsid w:val="003463B1"/>
    <w:rsid w:val="00346A89"/>
    <w:rsid w:val="0035004E"/>
    <w:rsid w:val="00350FD7"/>
    <w:rsid w:val="003517F9"/>
    <w:rsid w:val="00351BA9"/>
    <w:rsid w:val="003526BA"/>
    <w:rsid w:val="00354F64"/>
    <w:rsid w:val="0035620E"/>
    <w:rsid w:val="00356F83"/>
    <w:rsid w:val="00360345"/>
    <w:rsid w:val="00360A0C"/>
    <w:rsid w:val="0036165E"/>
    <w:rsid w:val="003617A8"/>
    <w:rsid w:val="00361A05"/>
    <w:rsid w:val="00361FFA"/>
    <w:rsid w:val="00362150"/>
    <w:rsid w:val="003624C3"/>
    <w:rsid w:val="003624C4"/>
    <w:rsid w:val="003625B1"/>
    <w:rsid w:val="00363B00"/>
    <w:rsid w:val="0036427C"/>
    <w:rsid w:val="003649E8"/>
    <w:rsid w:val="00365090"/>
    <w:rsid w:val="003653C1"/>
    <w:rsid w:val="003654AC"/>
    <w:rsid w:val="00367D90"/>
    <w:rsid w:val="00367F14"/>
    <w:rsid w:val="00370B63"/>
    <w:rsid w:val="003710CF"/>
    <w:rsid w:val="00371783"/>
    <w:rsid w:val="00371CD3"/>
    <w:rsid w:val="003724F1"/>
    <w:rsid w:val="00372CE7"/>
    <w:rsid w:val="00373084"/>
    <w:rsid w:val="0037358A"/>
    <w:rsid w:val="00373E66"/>
    <w:rsid w:val="003750F6"/>
    <w:rsid w:val="00375163"/>
    <w:rsid w:val="003759FA"/>
    <w:rsid w:val="00375DA8"/>
    <w:rsid w:val="003760FC"/>
    <w:rsid w:val="0037643A"/>
    <w:rsid w:val="00376441"/>
    <w:rsid w:val="003800C8"/>
    <w:rsid w:val="003809EF"/>
    <w:rsid w:val="00381736"/>
    <w:rsid w:val="0038224D"/>
    <w:rsid w:val="00382B19"/>
    <w:rsid w:val="00383442"/>
    <w:rsid w:val="00383509"/>
    <w:rsid w:val="0038365C"/>
    <w:rsid w:val="0038369B"/>
    <w:rsid w:val="00383B78"/>
    <w:rsid w:val="00384CF6"/>
    <w:rsid w:val="003851CB"/>
    <w:rsid w:val="0038545D"/>
    <w:rsid w:val="00385A9D"/>
    <w:rsid w:val="003863D0"/>
    <w:rsid w:val="00386B19"/>
    <w:rsid w:val="00386C4C"/>
    <w:rsid w:val="00386FC3"/>
    <w:rsid w:val="003870A8"/>
    <w:rsid w:val="003902B1"/>
    <w:rsid w:val="0039131B"/>
    <w:rsid w:val="0039179C"/>
    <w:rsid w:val="003922EA"/>
    <w:rsid w:val="0039370C"/>
    <w:rsid w:val="00393CA9"/>
    <w:rsid w:val="00394337"/>
    <w:rsid w:val="003961C9"/>
    <w:rsid w:val="00396896"/>
    <w:rsid w:val="00396FD0"/>
    <w:rsid w:val="00397C15"/>
    <w:rsid w:val="003A05F2"/>
    <w:rsid w:val="003A1A7A"/>
    <w:rsid w:val="003A2392"/>
    <w:rsid w:val="003A2831"/>
    <w:rsid w:val="003A340C"/>
    <w:rsid w:val="003A3B32"/>
    <w:rsid w:val="003A3CB6"/>
    <w:rsid w:val="003A3ED1"/>
    <w:rsid w:val="003A44DB"/>
    <w:rsid w:val="003A4CC9"/>
    <w:rsid w:val="003A7719"/>
    <w:rsid w:val="003A78EE"/>
    <w:rsid w:val="003A7AAD"/>
    <w:rsid w:val="003B0208"/>
    <w:rsid w:val="003B1949"/>
    <w:rsid w:val="003B1D1B"/>
    <w:rsid w:val="003B2155"/>
    <w:rsid w:val="003B3971"/>
    <w:rsid w:val="003B46F7"/>
    <w:rsid w:val="003B533D"/>
    <w:rsid w:val="003B55D1"/>
    <w:rsid w:val="003B5B61"/>
    <w:rsid w:val="003B73D3"/>
    <w:rsid w:val="003C0CE0"/>
    <w:rsid w:val="003C1654"/>
    <w:rsid w:val="003C1B44"/>
    <w:rsid w:val="003C227E"/>
    <w:rsid w:val="003C28E2"/>
    <w:rsid w:val="003C3232"/>
    <w:rsid w:val="003C3C50"/>
    <w:rsid w:val="003C4012"/>
    <w:rsid w:val="003C452C"/>
    <w:rsid w:val="003C49DF"/>
    <w:rsid w:val="003C5542"/>
    <w:rsid w:val="003C5DBE"/>
    <w:rsid w:val="003C662F"/>
    <w:rsid w:val="003C759E"/>
    <w:rsid w:val="003C7D19"/>
    <w:rsid w:val="003C7D2F"/>
    <w:rsid w:val="003C7D61"/>
    <w:rsid w:val="003D01C4"/>
    <w:rsid w:val="003D0DD6"/>
    <w:rsid w:val="003D176D"/>
    <w:rsid w:val="003D1828"/>
    <w:rsid w:val="003D1DE4"/>
    <w:rsid w:val="003D1E9A"/>
    <w:rsid w:val="003D2422"/>
    <w:rsid w:val="003D29A7"/>
    <w:rsid w:val="003D2EB4"/>
    <w:rsid w:val="003D3184"/>
    <w:rsid w:val="003D39A1"/>
    <w:rsid w:val="003D39B3"/>
    <w:rsid w:val="003D3B3A"/>
    <w:rsid w:val="003D3BAB"/>
    <w:rsid w:val="003D3FBF"/>
    <w:rsid w:val="003D4A30"/>
    <w:rsid w:val="003D5090"/>
    <w:rsid w:val="003D5F88"/>
    <w:rsid w:val="003D630A"/>
    <w:rsid w:val="003D63FD"/>
    <w:rsid w:val="003D7452"/>
    <w:rsid w:val="003D79BB"/>
    <w:rsid w:val="003D7C98"/>
    <w:rsid w:val="003D7D9D"/>
    <w:rsid w:val="003E019C"/>
    <w:rsid w:val="003E0543"/>
    <w:rsid w:val="003E0601"/>
    <w:rsid w:val="003E3F26"/>
    <w:rsid w:val="003E4086"/>
    <w:rsid w:val="003E441A"/>
    <w:rsid w:val="003E5FE2"/>
    <w:rsid w:val="003E6B0A"/>
    <w:rsid w:val="003E6B21"/>
    <w:rsid w:val="003E6C5E"/>
    <w:rsid w:val="003E6D86"/>
    <w:rsid w:val="003E7060"/>
    <w:rsid w:val="003E749E"/>
    <w:rsid w:val="003E7D01"/>
    <w:rsid w:val="003F091A"/>
    <w:rsid w:val="003F0CB6"/>
    <w:rsid w:val="003F1323"/>
    <w:rsid w:val="003F1937"/>
    <w:rsid w:val="003F2A44"/>
    <w:rsid w:val="003F2B2C"/>
    <w:rsid w:val="003F366D"/>
    <w:rsid w:val="003F4156"/>
    <w:rsid w:val="003F432E"/>
    <w:rsid w:val="003F44E3"/>
    <w:rsid w:val="003F486E"/>
    <w:rsid w:val="003F575C"/>
    <w:rsid w:val="003F5975"/>
    <w:rsid w:val="003F5ADF"/>
    <w:rsid w:val="003F659C"/>
    <w:rsid w:val="003F69CC"/>
    <w:rsid w:val="003F7267"/>
    <w:rsid w:val="00400B29"/>
    <w:rsid w:val="00400BBB"/>
    <w:rsid w:val="00400CD2"/>
    <w:rsid w:val="0040504B"/>
    <w:rsid w:val="00405534"/>
    <w:rsid w:val="004057F2"/>
    <w:rsid w:val="004059F4"/>
    <w:rsid w:val="004060FA"/>
    <w:rsid w:val="00407010"/>
    <w:rsid w:val="00407FE5"/>
    <w:rsid w:val="004101B0"/>
    <w:rsid w:val="00410326"/>
    <w:rsid w:val="0041033E"/>
    <w:rsid w:val="00410708"/>
    <w:rsid w:val="00410AC8"/>
    <w:rsid w:val="00410EC7"/>
    <w:rsid w:val="004110F4"/>
    <w:rsid w:val="00411B39"/>
    <w:rsid w:val="00411D05"/>
    <w:rsid w:val="0041213B"/>
    <w:rsid w:val="004127A7"/>
    <w:rsid w:val="00412D1F"/>
    <w:rsid w:val="004139D0"/>
    <w:rsid w:val="00413A1E"/>
    <w:rsid w:val="00414476"/>
    <w:rsid w:val="00414C2E"/>
    <w:rsid w:val="00414D57"/>
    <w:rsid w:val="004151CF"/>
    <w:rsid w:val="00415D21"/>
    <w:rsid w:val="0041601A"/>
    <w:rsid w:val="00416364"/>
    <w:rsid w:val="00417CF3"/>
    <w:rsid w:val="004200F6"/>
    <w:rsid w:val="0042047F"/>
    <w:rsid w:val="00420AA6"/>
    <w:rsid w:val="00420B9F"/>
    <w:rsid w:val="00421408"/>
    <w:rsid w:val="0042192C"/>
    <w:rsid w:val="00422260"/>
    <w:rsid w:val="00423118"/>
    <w:rsid w:val="004231AC"/>
    <w:rsid w:val="004237F6"/>
    <w:rsid w:val="004240B8"/>
    <w:rsid w:val="0042413F"/>
    <w:rsid w:val="00424D94"/>
    <w:rsid w:val="00425724"/>
    <w:rsid w:val="0042573E"/>
    <w:rsid w:val="00425834"/>
    <w:rsid w:val="00425B82"/>
    <w:rsid w:val="0042720A"/>
    <w:rsid w:val="004276AE"/>
    <w:rsid w:val="00430260"/>
    <w:rsid w:val="004309B9"/>
    <w:rsid w:val="004319F8"/>
    <w:rsid w:val="00431E55"/>
    <w:rsid w:val="004321F6"/>
    <w:rsid w:val="0043263B"/>
    <w:rsid w:val="004326BF"/>
    <w:rsid w:val="0043271B"/>
    <w:rsid w:val="00432A91"/>
    <w:rsid w:val="00432BF5"/>
    <w:rsid w:val="00433044"/>
    <w:rsid w:val="004334E2"/>
    <w:rsid w:val="00433749"/>
    <w:rsid w:val="00433BF5"/>
    <w:rsid w:val="00434008"/>
    <w:rsid w:val="00434088"/>
    <w:rsid w:val="004375B9"/>
    <w:rsid w:val="004376DD"/>
    <w:rsid w:val="004414D6"/>
    <w:rsid w:val="0044208A"/>
    <w:rsid w:val="00442159"/>
    <w:rsid w:val="004428D0"/>
    <w:rsid w:val="00444185"/>
    <w:rsid w:val="004443A7"/>
    <w:rsid w:val="0044442C"/>
    <w:rsid w:val="0044495E"/>
    <w:rsid w:val="00445941"/>
    <w:rsid w:val="004464EB"/>
    <w:rsid w:val="00446A84"/>
    <w:rsid w:val="0044717C"/>
    <w:rsid w:val="00447238"/>
    <w:rsid w:val="00447778"/>
    <w:rsid w:val="00447D26"/>
    <w:rsid w:val="00447DFC"/>
    <w:rsid w:val="00447F13"/>
    <w:rsid w:val="00451401"/>
    <w:rsid w:val="0045339A"/>
    <w:rsid w:val="00455D45"/>
    <w:rsid w:val="00456DCF"/>
    <w:rsid w:val="00457C8B"/>
    <w:rsid w:val="0046044E"/>
    <w:rsid w:val="00461B60"/>
    <w:rsid w:val="00461B7A"/>
    <w:rsid w:val="004625B5"/>
    <w:rsid w:val="00463D16"/>
    <w:rsid w:val="00464595"/>
    <w:rsid w:val="004652D2"/>
    <w:rsid w:val="004656D2"/>
    <w:rsid w:val="004658B5"/>
    <w:rsid w:val="00465B1D"/>
    <w:rsid w:val="00465C05"/>
    <w:rsid w:val="00465F06"/>
    <w:rsid w:val="00466534"/>
    <w:rsid w:val="00467979"/>
    <w:rsid w:val="0047088A"/>
    <w:rsid w:val="00470AE4"/>
    <w:rsid w:val="00470C43"/>
    <w:rsid w:val="004711AD"/>
    <w:rsid w:val="00471808"/>
    <w:rsid w:val="00471EA5"/>
    <w:rsid w:val="00472A79"/>
    <w:rsid w:val="00473530"/>
    <w:rsid w:val="00473D7D"/>
    <w:rsid w:val="00473F19"/>
    <w:rsid w:val="004746C8"/>
    <w:rsid w:val="00475377"/>
    <w:rsid w:val="00475459"/>
    <w:rsid w:val="00475C80"/>
    <w:rsid w:val="00475E22"/>
    <w:rsid w:val="00476821"/>
    <w:rsid w:val="0047688E"/>
    <w:rsid w:val="004806CF"/>
    <w:rsid w:val="0048088E"/>
    <w:rsid w:val="004809A8"/>
    <w:rsid w:val="00480F2B"/>
    <w:rsid w:val="004814D3"/>
    <w:rsid w:val="004816D7"/>
    <w:rsid w:val="0048177D"/>
    <w:rsid w:val="0048193F"/>
    <w:rsid w:val="00482629"/>
    <w:rsid w:val="00482720"/>
    <w:rsid w:val="00482729"/>
    <w:rsid w:val="00482C0F"/>
    <w:rsid w:val="00482F93"/>
    <w:rsid w:val="00483184"/>
    <w:rsid w:val="004835E7"/>
    <w:rsid w:val="00483D4B"/>
    <w:rsid w:val="004845A5"/>
    <w:rsid w:val="0048460E"/>
    <w:rsid w:val="00484F71"/>
    <w:rsid w:val="00485439"/>
    <w:rsid w:val="00485583"/>
    <w:rsid w:val="00485FCE"/>
    <w:rsid w:val="004867E2"/>
    <w:rsid w:val="004868EB"/>
    <w:rsid w:val="004874FA"/>
    <w:rsid w:val="00487F75"/>
    <w:rsid w:val="004902CF"/>
    <w:rsid w:val="00490B17"/>
    <w:rsid w:val="00491552"/>
    <w:rsid w:val="00491823"/>
    <w:rsid w:val="00491A7B"/>
    <w:rsid w:val="00491B3A"/>
    <w:rsid w:val="00491E62"/>
    <w:rsid w:val="0049236A"/>
    <w:rsid w:val="0049268C"/>
    <w:rsid w:val="00492B02"/>
    <w:rsid w:val="00492C86"/>
    <w:rsid w:val="00492CFD"/>
    <w:rsid w:val="00492E5D"/>
    <w:rsid w:val="00493B3D"/>
    <w:rsid w:val="00494207"/>
    <w:rsid w:val="00494DD5"/>
    <w:rsid w:val="0049596C"/>
    <w:rsid w:val="00495E57"/>
    <w:rsid w:val="0049615E"/>
    <w:rsid w:val="004962D2"/>
    <w:rsid w:val="004963FA"/>
    <w:rsid w:val="00496408"/>
    <w:rsid w:val="00496923"/>
    <w:rsid w:val="004970B6"/>
    <w:rsid w:val="004974D8"/>
    <w:rsid w:val="0049775D"/>
    <w:rsid w:val="00497D63"/>
    <w:rsid w:val="004A02FC"/>
    <w:rsid w:val="004A0DA1"/>
    <w:rsid w:val="004A104F"/>
    <w:rsid w:val="004A119A"/>
    <w:rsid w:val="004A13D6"/>
    <w:rsid w:val="004A22E9"/>
    <w:rsid w:val="004A2392"/>
    <w:rsid w:val="004A311C"/>
    <w:rsid w:val="004A3203"/>
    <w:rsid w:val="004A3588"/>
    <w:rsid w:val="004A3A6F"/>
    <w:rsid w:val="004A424D"/>
    <w:rsid w:val="004A4853"/>
    <w:rsid w:val="004A49BC"/>
    <w:rsid w:val="004A52E9"/>
    <w:rsid w:val="004A6040"/>
    <w:rsid w:val="004A6597"/>
    <w:rsid w:val="004A6EF5"/>
    <w:rsid w:val="004A7848"/>
    <w:rsid w:val="004B05F1"/>
    <w:rsid w:val="004B1CB4"/>
    <w:rsid w:val="004B2B6C"/>
    <w:rsid w:val="004B2F18"/>
    <w:rsid w:val="004B3DDB"/>
    <w:rsid w:val="004B434D"/>
    <w:rsid w:val="004B44FD"/>
    <w:rsid w:val="004B5829"/>
    <w:rsid w:val="004B5B9E"/>
    <w:rsid w:val="004B5BB2"/>
    <w:rsid w:val="004B5CFC"/>
    <w:rsid w:val="004B5DE7"/>
    <w:rsid w:val="004B609C"/>
    <w:rsid w:val="004B6D06"/>
    <w:rsid w:val="004B6F79"/>
    <w:rsid w:val="004B774D"/>
    <w:rsid w:val="004B785C"/>
    <w:rsid w:val="004C0D66"/>
    <w:rsid w:val="004C1761"/>
    <w:rsid w:val="004C2E52"/>
    <w:rsid w:val="004C30D4"/>
    <w:rsid w:val="004C317F"/>
    <w:rsid w:val="004C3D9A"/>
    <w:rsid w:val="004C44D9"/>
    <w:rsid w:val="004C460D"/>
    <w:rsid w:val="004C4AED"/>
    <w:rsid w:val="004C6DAC"/>
    <w:rsid w:val="004C7144"/>
    <w:rsid w:val="004C7DD3"/>
    <w:rsid w:val="004D01DF"/>
    <w:rsid w:val="004D049D"/>
    <w:rsid w:val="004D0DEB"/>
    <w:rsid w:val="004D10FD"/>
    <w:rsid w:val="004D1B2E"/>
    <w:rsid w:val="004D2C2D"/>
    <w:rsid w:val="004D68A3"/>
    <w:rsid w:val="004D69B5"/>
    <w:rsid w:val="004D6B68"/>
    <w:rsid w:val="004D7227"/>
    <w:rsid w:val="004D7622"/>
    <w:rsid w:val="004E0E7F"/>
    <w:rsid w:val="004E0EB8"/>
    <w:rsid w:val="004E0FDE"/>
    <w:rsid w:val="004E18E9"/>
    <w:rsid w:val="004E2ADC"/>
    <w:rsid w:val="004E3197"/>
    <w:rsid w:val="004E328A"/>
    <w:rsid w:val="004E3D11"/>
    <w:rsid w:val="004E43B2"/>
    <w:rsid w:val="004E46F8"/>
    <w:rsid w:val="004E4A49"/>
    <w:rsid w:val="004E58A6"/>
    <w:rsid w:val="004E6887"/>
    <w:rsid w:val="004E6A59"/>
    <w:rsid w:val="004E6A9D"/>
    <w:rsid w:val="004F016C"/>
    <w:rsid w:val="004F0DAB"/>
    <w:rsid w:val="004F144C"/>
    <w:rsid w:val="004F1D02"/>
    <w:rsid w:val="004F2679"/>
    <w:rsid w:val="004F2F21"/>
    <w:rsid w:val="004F3DE5"/>
    <w:rsid w:val="004F4B47"/>
    <w:rsid w:val="004F5422"/>
    <w:rsid w:val="004F65D0"/>
    <w:rsid w:val="004F6913"/>
    <w:rsid w:val="004F6940"/>
    <w:rsid w:val="004F6A51"/>
    <w:rsid w:val="004F6F6F"/>
    <w:rsid w:val="004F6FD9"/>
    <w:rsid w:val="004F7464"/>
    <w:rsid w:val="004F7865"/>
    <w:rsid w:val="004F7EA6"/>
    <w:rsid w:val="0050111B"/>
    <w:rsid w:val="0050174E"/>
    <w:rsid w:val="00501854"/>
    <w:rsid w:val="0050219B"/>
    <w:rsid w:val="00502CBF"/>
    <w:rsid w:val="00503F17"/>
    <w:rsid w:val="00505481"/>
    <w:rsid w:val="005055C6"/>
    <w:rsid w:val="0050635D"/>
    <w:rsid w:val="00506928"/>
    <w:rsid w:val="00506EE3"/>
    <w:rsid w:val="005077EF"/>
    <w:rsid w:val="005102D6"/>
    <w:rsid w:val="00510393"/>
    <w:rsid w:val="00510455"/>
    <w:rsid w:val="005108F4"/>
    <w:rsid w:val="005110E0"/>
    <w:rsid w:val="005114C9"/>
    <w:rsid w:val="00511AD5"/>
    <w:rsid w:val="00511DC7"/>
    <w:rsid w:val="00512BBE"/>
    <w:rsid w:val="005135C4"/>
    <w:rsid w:val="005142C5"/>
    <w:rsid w:val="00514B4B"/>
    <w:rsid w:val="00514C80"/>
    <w:rsid w:val="0051501B"/>
    <w:rsid w:val="005152B5"/>
    <w:rsid w:val="005157A5"/>
    <w:rsid w:val="0051639D"/>
    <w:rsid w:val="00516519"/>
    <w:rsid w:val="00516C53"/>
    <w:rsid w:val="005178E8"/>
    <w:rsid w:val="00520152"/>
    <w:rsid w:val="0052068E"/>
    <w:rsid w:val="0052123C"/>
    <w:rsid w:val="00521319"/>
    <w:rsid w:val="00522BC8"/>
    <w:rsid w:val="00523479"/>
    <w:rsid w:val="00523C28"/>
    <w:rsid w:val="005242C5"/>
    <w:rsid w:val="00524464"/>
    <w:rsid w:val="0052511E"/>
    <w:rsid w:val="005258A8"/>
    <w:rsid w:val="0052686B"/>
    <w:rsid w:val="005268C1"/>
    <w:rsid w:val="00526C76"/>
    <w:rsid w:val="005273C3"/>
    <w:rsid w:val="00531079"/>
    <w:rsid w:val="0053176B"/>
    <w:rsid w:val="00531E14"/>
    <w:rsid w:val="00531EEC"/>
    <w:rsid w:val="00533B9A"/>
    <w:rsid w:val="00533D8F"/>
    <w:rsid w:val="0053535C"/>
    <w:rsid w:val="00536F42"/>
    <w:rsid w:val="00537182"/>
    <w:rsid w:val="00537C47"/>
    <w:rsid w:val="005401B6"/>
    <w:rsid w:val="00540B94"/>
    <w:rsid w:val="00540E46"/>
    <w:rsid w:val="0054156A"/>
    <w:rsid w:val="00541EA1"/>
    <w:rsid w:val="00541EDD"/>
    <w:rsid w:val="005426AC"/>
    <w:rsid w:val="00542743"/>
    <w:rsid w:val="00542C2D"/>
    <w:rsid w:val="00542DFE"/>
    <w:rsid w:val="005442DB"/>
    <w:rsid w:val="0054785D"/>
    <w:rsid w:val="005478BD"/>
    <w:rsid w:val="005479E3"/>
    <w:rsid w:val="00547E9C"/>
    <w:rsid w:val="005502B7"/>
    <w:rsid w:val="00551985"/>
    <w:rsid w:val="00551C43"/>
    <w:rsid w:val="0055209F"/>
    <w:rsid w:val="005520EF"/>
    <w:rsid w:val="005525E5"/>
    <w:rsid w:val="00552604"/>
    <w:rsid w:val="00552BD3"/>
    <w:rsid w:val="005532A0"/>
    <w:rsid w:val="00555109"/>
    <w:rsid w:val="00555AAA"/>
    <w:rsid w:val="00556B35"/>
    <w:rsid w:val="0055741A"/>
    <w:rsid w:val="00557AA6"/>
    <w:rsid w:val="00560983"/>
    <w:rsid w:val="005611B7"/>
    <w:rsid w:val="00561227"/>
    <w:rsid w:val="00561231"/>
    <w:rsid w:val="005618D4"/>
    <w:rsid w:val="00562857"/>
    <w:rsid w:val="0056325A"/>
    <w:rsid w:val="00563473"/>
    <w:rsid w:val="00563AC5"/>
    <w:rsid w:val="00563D4D"/>
    <w:rsid w:val="005644B5"/>
    <w:rsid w:val="005647EE"/>
    <w:rsid w:val="00564862"/>
    <w:rsid w:val="00564B05"/>
    <w:rsid w:val="00565237"/>
    <w:rsid w:val="005652E4"/>
    <w:rsid w:val="00565DF0"/>
    <w:rsid w:val="005663CD"/>
    <w:rsid w:val="005668D6"/>
    <w:rsid w:val="0056696F"/>
    <w:rsid w:val="00570F78"/>
    <w:rsid w:val="00571266"/>
    <w:rsid w:val="00571635"/>
    <w:rsid w:val="0057203A"/>
    <w:rsid w:val="00572269"/>
    <w:rsid w:val="0057244A"/>
    <w:rsid w:val="00572B6A"/>
    <w:rsid w:val="00572F26"/>
    <w:rsid w:val="00573234"/>
    <w:rsid w:val="005742AB"/>
    <w:rsid w:val="00574FC2"/>
    <w:rsid w:val="005750C5"/>
    <w:rsid w:val="005752DE"/>
    <w:rsid w:val="0057541A"/>
    <w:rsid w:val="00575731"/>
    <w:rsid w:val="005758C8"/>
    <w:rsid w:val="00575D8D"/>
    <w:rsid w:val="00576972"/>
    <w:rsid w:val="00576F3C"/>
    <w:rsid w:val="00577C90"/>
    <w:rsid w:val="00577DA1"/>
    <w:rsid w:val="00580238"/>
    <w:rsid w:val="0058069E"/>
    <w:rsid w:val="00580722"/>
    <w:rsid w:val="005808DF"/>
    <w:rsid w:val="00580986"/>
    <w:rsid w:val="00580D91"/>
    <w:rsid w:val="00580FA6"/>
    <w:rsid w:val="00581808"/>
    <w:rsid w:val="00581A9C"/>
    <w:rsid w:val="005820DC"/>
    <w:rsid w:val="005830A6"/>
    <w:rsid w:val="00583699"/>
    <w:rsid w:val="005839E8"/>
    <w:rsid w:val="0058415D"/>
    <w:rsid w:val="005845FE"/>
    <w:rsid w:val="00585CDD"/>
    <w:rsid w:val="005862D7"/>
    <w:rsid w:val="00587058"/>
    <w:rsid w:val="0059017D"/>
    <w:rsid w:val="00590459"/>
    <w:rsid w:val="00590B74"/>
    <w:rsid w:val="0059125B"/>
    <w:rsid w:val="00591957"/>
    <w:rsid w:val="00591C6F"/>
    <w:rsid w:val="00593ED8"/>
    <w:rsid w:val="00594379"/>
    <w:rsid w:val="005947DE"/>
    <w:rsid w:val="00595FF3"/>
    <w:rsid w:val="005967B6"/>
    <w:rsid w:val="005976FF"/>
    <w:rsid w:val="00597BF9"/>
    <w:rsid w:val="00597D07"/>
    <w:rsid w:val="00597E14"/>
    <w:rsid w:val="005A0EB8"/>
    <w:rsid w:val="005A2778"/>
    <w:rsid w:val="005A27FC"/>
    <w:rsid w:val="005A2CBE"/>
    <w:rsid w:val="005A309A"/>
    <w:rsid w:val="005A31CB"/>
    <w:rsid w:val="005A364A"/>
    <w:rsid w:val="005A373D"/>
    <w:rsid w:val="005A5451"/>
    <w:rsid w:val="005A5576"/>
    <w:rsid w:val="005A7ED6"/>
    <w:rsid w:val="005B06F3"/>
    <w:rsid w:val="005B0976"/>
    <w:rsid w:val="005B0B58"/>
    <w:rsid w:val="005B0C02"/>
    <w:rsid w:val="005B10B6"/>
    <w:rsid w:val="005B13F7"/>
    <w:rsid w:val="005B28D9"/>
    <w:rsid w:val="005B2B5E"/>
    <w:rsid w:val="005B3303"/>
    <w:rsid w:val="005B397A"/>
    <w:rsid w:val="005B47D1"/>
    <w:rsid w:val="005B4DD1"/>
    <w:rsid w:val="005B4E53"/>
    <w:rsid w:val="005B4EF2"/>
    <w:rsid w:val="005B5589"/>
    <w:rsid w:val="005B5857"/>
    <w:rsid w:val="005B5F82"/>
    <w:rsid w:val="005B6179"/>
    <w:rsid w:val="005B6E9F"/>
    <w:rsid w:val="005C1192"/>
    <w:rsid w:val="005C1B83"/>
    <w:rsid w:val="005C1D4B"/>
    <w:rsid w:val="005C2330"/>
    <w:rsid w:val="005C25FF"/>
    <w:rsid w:val="005C2D55"/>
    <w:rsid w:val="005C30BC"/>
    <w:rsid w:val="005C31D6"/>
    <w:rsid w:val="005C346B"/>
    <w:rsid w:val="005C5CD4"/>
    <w:rsid w:val="005C6F45"/>
    <w:rsid w:val="005C7147"/>
    <w:rsid w:val="005D044D"/>
    <w:rsid w:val="005D0A01"/>
    <w:rsid w:val="005D0ABD"/>
    <w:rsid w:val="005D0CA6"/>
    <w:rsid w:val="005D18AD"/>
    <w:rsid w:val="005D2061"/>
    <w:rsid w:val="005D26B4"/>
    <w:rsid w:val="005D2EA0"/>
    <w:rsid w:val="005D50E5"/>
    <w:rsid w:val="005D5458"/>
    <w:rsid w:val="005D56C4"/>
    <w:rsid w:val="005D5D4C"/>
    <w:rsid w:val="005D6E37"/>
    <w:rsid w:val="005D72BE"/>
    <w:rsid w:val="005E10F5"/>
    <w:rsid w:val="005E1129"/>
    <w:rsid w:val="005E12FB"/>
    <w:rsid w:val="005E2365"/>
    <w:rsid w:val="005E2996"/>
    <w:rsid w:val="005E3029"/>
    <w:rsid w:val="005E34CA"/>
    <w:rsid w:val="005E4739"/>
    <w:rsid w:val="005E4A84"/>
    <w:rsid w:val="005E4DE4"/>
    <w:rsid w:val="005E6CBC"/>
    <w:rsid w:val="005E72FF"/>
    <w:rsid w:val="005E73C0"/>
    <w:rsid w:val="005E77F5"/>
    <w:rsid w:val="005F1DCA"/>
    <w:rsid w:val="005F2706"/>
    <w:rsid w:val="005F3899"/>
    <w:rsid w:val="005F3FBF"/>
    <w:rsid w:val="005F69E9"/>
    <w:rsid w:val="005F6A8F"/>
    <w:rsid w:val="005F6BB7"/>
    <w:rsid w:val="005F6D33"/>
    <w:rsid w:val="005F7588"/>
    <w:rsid w:val="005F778D"/>
    <w:rsid w:val="005F7D99"/>
    <w:rsid w:val="00601999"/>
    <w:rsid w:val="00601A86"/>
    <w:rsid w:val="0060397F"/>
    <w:rsid w:val="00603DB9"/>
    <w:rsid w:val="006040B5"/>
    <w:rsid w:val="00604DB2"/>
    <w:rsid w:val="006066B8"/>
    <w:rsid w:val="00606FBA"/>
    <w:rsid w:val="00607669"/>
    <w:rsid w:val="0060767D"/>
    <w:rsid w:val="006076F4"/>
    <w:rsid w:val="00607AFD"/>
    <w:rsid w:val="00607B40"/>
    <w:rsid w:val="00611105"/>
    <w:rsid w:val="006111B6"/>
    <w:rsid w:val="006113C3"/>
    <w:rsid w:val="006114DE"/>
    <w:rsid w:val="00611B71"/>
    <w:rsid w:val="00612F97"/>
    <w:rsid w:val="0061345D"/>
    <w:rsid w:val="006134AD"/>
    <w:rsid w:val="006134AE"/>
    <w:rsid w:val="006139CB"/>
    <w:rsid w:val="00613F88"/>
    <w:rsid w:val="006143BF"/>
    <w:rsid w:val="006144BC"/>
    <w:rsid w:val="0061549B"/>
    <w:rsid w:val="00615F74"/>
    <w:rsid w:val="00616802"/>
    <w:rsid w:val="00616CBC"/>
    <w:rsid w:val="00616D25"/>
    <w:rsid w:val="00617151"/>
    <w:rsid w:val="00617991"/>
    <w:rsid w:val="00617C93"/>
    <w:rsid w:val="00617E12"/>
    <w:rsid w:val="00620596"/>
    <w:rsid w:val="006206E3"/>
    <w:rsid w:val="00620C25"/>
    <w:rsid w:val="006210FD"/>
    <w:rsid w:val="00621477"/>
    <w:rsid w:val="00621ADA"/>
    <w:rsid w:val="006226AB"/>
    <w:rsid w:val="00623F7B"/>
    <w:rsid w:val="006245F7"/>
    <w:rsid w:val="00625599"/>
    <w:rsid w:val="00625821"/>
    <w:rsid w:val="006265BA"/>
    <w:rsid w:val="00626FEF"/>
    <w:rsid w:val="006300B5"/>
    <w:rsid w:val="00630B53"/>
    <w:rsid w:val="00630CD6"/>
    <w:rsid w:val="0063158F"/>
    <w:rsid w:val="0063192B"/>
    <w:rsid w:val="00631D6B"/>
    <w:rsid w:val="00632183"/>
    <w:rsid w:val="00632958"/>
    <w:rsid w:val="006330A1"/>
    <w:rsid w:val="00633332"/>
    <w:rsid w:val="006338FE"/>
    <w:rsid w:val="0063479F"/>
    <w:rsid w:val="006353F0"/>
    <w:rsid w:val="0063568A"/>
    <w:rsid w:val="006357B5"/>
    <w:rsid w:val="00635A04"/>
    <w:rsid w:val="00635ACF"/>
    <w:rsid w:val="00635FF4"/>
    <w:rsid w:val="0063631C"/>
    <w:rsid w:val="006363F3"/>
    <w:rsid w:val="006364A1"/>
    <w:rsid w:val="0063678E"/>
    <w:rsid w:val="00636840"/>
    <w:rsid w:val="00636D75"/>
    <w:rsid w:val="00637BFD"/>
    <w:rsid w:val="00637E58"/>
    <w:rsid w:val="00640401"/>
    <w:rsid w:val="0064082B"/>
    <w:rsid w:val="0064161F"/>
    <w:rsid w:val="006419F8"/>
    <w:rsid w:val="00641C4E"/>
    <w:rsid w:val="00641E34"/>
    <w:rsid w:val="00641FB3"/>
    <w:rsid w:val="006420FA"/>
    <w:rsid w:val="006442DB"/>
    <w:rsid w:val="0064434C"/>
    <w:rsid w:val="006446FB"/>
    <w:rsid w:val="00644786"/>
    <w:rsid w:val="00644C8A"/>
    <w:rsid w:val="006456E9"/>
    <w:rsid w:val="00645C08"/>
    <w:rsid w:val="00646255"/>
    <w:rsid w:val="006471CC"/>
    <w:rsid w:val="00647A29"/>
    <w:rsid w:val="00647E68"/>
    <w:rsid w:val="006504EE"/>
    <w:rsid w:val="0065079F"/>
    <w:rsid w:val="006508DD"/>
    <w:rsid w:val="00650B81"/>
    <w:rsid w:val="006523BE"/>
    <w:rsid w:val="00652A28"/>
    <w:rsid w:val="00652C5B"/>
    <w:rsid w:val="00653440"/>
    <w:rsid w:val="006535BD"/>
    <w:rsid w:val="0065379F"/>
    <w:rsid w:val="0065460A"/>
    <w:rsid w:val="00655176"/>
    <w:rsid w:val="00655C62"/>
    <w:rsid w:val="00655DCD"/>
    <w:rsid w:val="00656188"/>
    <w:rsid w:val="00656F0F"/>
    <w:rsid w:val="0065715A"/>
    <w:rsid w:val="00660202"/>
    <w:rsid w:val="006610F1"/>
    <w:rsid w:val="006617EB"/>
    <w:rsid w:val="00661C6B"/>
    <w:rsid w:val="00662876"/>
    <w:rsid w:val="00662919"/>
    <w:rsid w:val="00662F6E"/>
    <w:rsid w:val="00662FBF"/>
    <w:rsid w:val="00664369"/>
    <w:rsid w:val="006649DB"/>
    <w:rsid w:val="00665963"/>
    <w:rsid w:val="00667179"/>
    <w:rsid w:val="00670C56"/>
    <w:rsid w:val="00671004"/>
    <w:rsid w:val="00671BBF"/>
    <w:rsid w:val="00672646"/>
    <w:rsid w:val="00672954"/>
    <w:rsid w:val="00673101"/>
    <w:rsid w:val="006733FD"/>
    <w:rsid w:val="00673DDA"/>
    <w:rsid w:val="00674179"/>
    <w:rsid w:val="00674C03"/>
    <w:rsid w:val="00674E42"/>
    <w:rsid w:val="0067672C"/>
    <w:rsid w:val="006813F8"/>
    <w:rsid w:val="00681E1F"/>
    <w:rsid w:val="00682112"/>
    <w:rsid w:val="0068214A"/>
    <w:rsid w:val="006828AF"/>
    <w:rsid w:val="00682BA6"/>
    <w:rsid w:val="0068326F"/>
    <w:rsid w:val="00684463"/>
    <w:rsid w:val="00686751"/>
    <w:rsid w:val="00686957"/>
    <w:rsid w:val="00686A2A"/>
    <w:rsid w:val="00687175"/>
    <w:rsid w:val="006872BA"/>
    <w:rsid w:val="00687317"/>
    <w:rsid w:val="006874E0"/>
    <w:rsid w:val="006876A2"/>
    <w:rsid w:val="00687CE8"/>
    <w:rsid w:val="00690795"/>
    <w:rsid w:val="00691648"/>
    <w:rsid w:val="006917D7"/>
    <w:rsid w:val="00693194"/>
    <w:rsid w:val="00693895"/>
    <w:rsid w:val="0069434C"/>
    <w:rsid w:val="00694D3F"/>
    <w:rsid w:val="00694F44"/>
    <w:rsid w:val="00694FC3"/>
    <w:rsid w:val="00695355"/>
    <w:rsid w:val="00695691"/>
    <w:rsid w:val="00695CBA"/>
    <w:rsid w:val="006966C0"/>
    <w:rsid w:val="00696CCE"/>
    <w:rsid w:val="00696F51"/>
    <w:rsid w:val="00697001"/>
    <w:rsid w:val="006979A5"/>
    <w:rsid w:val="006A0BAC"/>
    <w:rsid w:val="006A0FC0"/>
    <w:rsid w:val="006A11BF"/>
    <w:rsid w:val="006A292F"/>
    <w:rsid w:val="006A36F4"/>
    <w:rsid w:val="006A5C8E"/>
    <w:rsid w:val="006A6B99"/>
    <w:rsid w:val="006A71FA"/>
    <w:rsid w:val="006A746D"/>
    <w:rsid w:val="006A7E5F"/>
    <w:rsid w:val="006B0355"/>
    <w:rsid w:val="006B05D9"/>
    <w:rsid w:val="006B1CE2"/>
    <w:rsid w:val="006B261B"/>
    <w:rsid w:val="006B293A"/>
    <w:rsid w:val="006B2C90"/>
    <w:rsid w:val="006B2FB8"/>
    <w:rsid w:val="006B3069"/>
    <w:rsid w:val="006B35E6"/>
    <w:rsid w:val="006B364C"/>
    <w:rsid w:val="006B43E9"/>
    <w:rsid w:val="006B465A"/>
    <w:rsid w:val="006B4AD7"/>
    <w:rsid w:val="006B6543"/>
    <w:rsid w:val="006B6856"/>
    <w:rsid w:val="006B6D58"/>
    <w:rsid w:val="006B6DD0"/>
    <w:rsid w:val="006C0399"/>
    <w:rsid w:val="006C0B5E"/>
    <w:rsid w:val="006C2522"/>
    <w:rsid w:val="006C2758"/>
    <w:rsid w:val="006C2A8E"/>
    <w:rsid w:val="006C30B4"/>
    <w:rsid w:val="006C3255"/>
    <w:rsid w:val="006C3F26"/>
    <w:rsid w:val="006C4D6A"/>
    <w:rsid w:val="006C6544"/>
    <w:rsid w:val="006C7162"/>
    <w:rsid w:val="006C74FF"/>
    <w:rsid w:val="006D0CF7"/>
    <w:rsid w:val="006D0D17"/>
    <w:rsid w:val="006D1F77"/>
    <w:rsid w:val="006D3C7D"/>
    <w:rsid w:val="006D4659"/>
    <w:rsid w:val="006D4D9C"/>
    <w:rsid w:val="006D5D5F"/>
    <w:rsid w:val="006D68FB"/>
    <w:rsid w:val="006D735B"/>
    <w:rsid w:val="006D73AB"/>
    <w:rsid w:val="006D746C"/>
    <w:rsid w:val="006D7A5D"/>
    <w:rsid w:val="006D7E7B"/>
    <w:rsid w:val="006E0FD3"/>
    <w:rsid w:val="006E2868"/>
    <w:rsid w:val="006E3808"/>
    <w:rsid w:val="006E429D"/>
    <w:rsid w:val="006E4309"/>
    <w:rsid w:val="006E529E"/>
    <w:rsid w:val="006E55AC"/>
    <w:rsid w:val="006E5F67"/>
    <w:rsid w:val="006F1360"/>
    <w:rsid w:val="006F227C"/>
    <w:rsid w:val="006F2A84"/>
    <w:rsid w:val="006F2F7A"/>
    <w:rsid w:val="006F306C"/>
    <w:rsid w:val="006F4207"/>
    <w:rsid w:val="006F4EA7"/>
    <w:rsid w:val="006F63A5"/>
    <w:rsid w:val="006F7D81"/>
    <w:rsid w:val="0070013B"/>
    <w:rsid w:val="00700208"/>
    <w:rsid w:val="00700EC9"/>
    <w:rsid w:val="00700ED6"/>
    <w:rsid w:val="007010F3"/>
    <w:rsid w:val="0070142B"/>
    <w:rsid w:val="0070193F"/>
    <w:rsid w:val="007022C0"/>
    <w:rsid w:val="0070255B"/>
    <w:rsid w:val="0070276E"/>
    <w:rsid w:val="00702C4A"/>
    <w:rsid w:val="00702F8F"/>
    <w:rsid w:val="00704B92"/>
    <w:rsid w:val="007052F4"/>
    <w:rsid w:val="00705691"/>
    <w:rsid w:val="00705892"/>
    <w:rsid w:val="007071C7"/>
    <w:rsid w:val="007072C9"/>
    <w:rsid w:val="007073D8"/>
    <w:rsid w:val="007079FC"/>
    <w:rsid w:val="00710B92"/>
    <w:rsid w:val="00710DAD"/>
    <w:rsid w:val="00710F0C"/>
    <w:rsid w:val="00711886"/>
    <w:rsid w:val="00711A36"/>
    <w:rsid w:val="00713182"/>
    <w:rsid w:val="00714C26"/>
    <w:rsid w:val="007150F2"/>
    <w:rsid w:val="0071529C"/>
    <w:rsid w:val="007153D9"/>
    <w:rsid w:val="00715B62"/>
    <w:rsid w:val="007170DA"/>
    <w:rsid w:val="007172AD"/>
    <w:rsid w:val="007202AE"/>
    <w:rsid w:val="00720801"/>
    <w:rsid w:val="00720880"/>
    <w:rsid w:val="0072177E"/>
    <w:rsid w:val="007217F2"/>
    <w:rsid w:val="00722B1B"/>
    <w:rsid w:val="0072346A"/>
    <w:rsid w:val="0072416F"/>
    <w:rsid w:val="0072434B"/>
    <w:rsid w:val="00727C94"/>
    <w:rsid w:val="0073007C"/>
    <w:rsid w:val="0073018A"/>
    <w:rsid w:val="00730315"/>
    <w:rsid w:val="00730659"/>
    <w:rsid w:val="007306F9"/>
    <w:rsid w:val="00731B0A"/>
    <w:rsid w:val="00731EAE"/>
    <w:rsid w:val="00731EE3"/>
    <w:rsid w:val="007320DE"/>
    <w:rsid w:val="0073228F"/>
    <w:rsid w:val="00732ACD"/>
    <w:rsid w:val="00732B5D"/>
    <w:rsid w:val="00733073"/>
    <w:rsid w:val="007338D1"/>
    <w:rsid w:val="007340C8"/>
    <w:rsid w:val="00734555"/>
    <w:rsid w:val="00735033"/>
    <w:rsid w:val="00735328"/>
    <w:rsid w:val="007353C5"/>
    <w:rsid w:val="00735799"/>
    <w:rsid w:val="0073685B"/>
    <w:rsid w:val="00737C17"/>
    <w:rsid w:val="0074000F"/>
    <w:rsid w:val="00740013"/>
    <w:rsid w:val="00741E1E"/>
    <w:rsid w:val="00742E4D"/>
    <w:rsid w:val="00743483"/>
    <w:rsid w:val="007438C5"/>
    <w:rsid w:val="00743C08"/>
    <w:rsid w:val="00743D03"/>
    <w:rsid w:val="00744130"/>
    <w:rsid w:val="00744230"/>
    <w:rsid w:val="0074439F"/>
    <w:rsid w:val="007449BF"/>
    <w:rsid w:val="00745EA4"/>
    <w:rsid w:val="0074602D"/>
    <w:rsid w:val="00746087"/>
    <w:rsid w:val="007464BD"/>
    <w:rsid w:val="00746BC0"/>
    <w:rsid w:val="0074791C"/>
    <w:rsid w:val="00747A1D"/>
    <w:rsid w:val="00747BAF"/>
    <w:rsid w:val="00750104"/>
    <w:rsid w:val="00750460"/>
    <w:rsid w:val="007510B4"/>
    <w:rsid w:val="00752142"/>
    <w:rsid w:val="0075221F"/>
    <w:rsid w:val="007523F9"/>
    <w:rsid w:val="007526D7"/>
    <w:rsid w:val="00752BA9"/>
    <w:rsid w:val="0075357E"/>
    <w:rsid w:val="007549D4"/>
    <w:rsid w:val="00755643"/>
    <w:rsid w:val="007573E8"/>
    <w:rsid w:val="00757EE7"/>
    <w:rsid w:val="00760952"/>
    <w:rsid w:val="00760C4E"/>
    <w:rsid w:val="00760DC1"/>
    <w:rsid w:val="00760F9E"/>
    <w:rsid w:val="007619F4"/>
    <w:rsid w:val="0076212D"/>
    <w:rsid w:val="007627BE"/>
    <w:rsid w:val="00762A7A"/>
    <w:rsid w:val="00762E43"/>
    <w:rsid w:val="00763CBB"/>
    <w:rsid w:val="007641E0"/>
    <w:rsid w:val="00764F03"/>
    <w:rsid w:val="00765720"/>
    <w:rsid w:val="007659B8"/>
    <w:rsid w:val="00765B1A"/>
    <w:rsid w:val="00765BDD"/>
    <w:rsid w:val="00766A09"/>
    <w:rsid w:val="00771DAB"/>
    <w:rsid w:val="00772760"/>
    <w:rsid w:val="00772F2B"/>
    <w:rsid w:val="00774006"/>
    <w:rsid w:val="00774E59"/>
    <w:rsid w:val="00775A4C"/>
    <w:rsid w:val="00775BA7"/>
    <w:rsid w:val="00775BF1"/>
    <w:rsid w:val="00776A09"/>
    <w:rsid w:val="00777335"/>
    <w:rsid w:val="0078122C"/>
    <w:rsid w:val="00781AEB"/>
    <w:rsid w:val="007826F2"/>
    <w:rsid w:val="0078304B"/>
    <w:rsid w:val="0078377C"/>
    <w:rsid w:val="00783A1C"/>
    <w:rsid w:val="007843F2"/>
    <w:rsid w:val="007851B8"/>
    <w:rsid w:val="00785596"/>
    <w:rsid w:val="00785835"/>
    <w:rsid w:val="00785A9F"/>
    <w:rsid w:val="00785EFF"/>
    <w:rsid w:val="007860DA"/>
    <w:rsid w:val="00786385"/>
    <w:rsid w:val="00786ED6"/>
    <w:rsid w:val="007907C3"/>
    <w:rsid w:val="00790C6D"/>
    <w:rsid w:val="00790CE2"/>
    <w:rsid w:val="007925DF"/>
    <w:rsid w:val="00792C7E"/>
    <w:rsid w:val="00795F18"/>
    <w:rsid w:val="00796CCB"/>
    <w:rsid w:val="007971A0"/>
    <w:rsid w:val="007974D9"/>
    <w:rsid w:val="007976B8"/>
    <w:rsid w:val="00797C22"/>
    <w:rsid w:val="007A001C"/>
    <w:rsid w:val="007A08AA"/>
    <w:rsid w:val="007A0A12"/>
    <w:rsid w:val="007A109B"/>
    <w:rsid w:val="007A132D"/>
    <w:rsid w:val="007A1345"/>
    <w:rsid w:val="007A1F5E"/>
    <w:rsid w:val="007A2DDB"/>
    <w:rsid w:val="007A3298"/>
    <w:rsid w:val="007A3A12"/>
    <w:rsid w:val="007A6324"/>
    <w:rsid w:val="007A6404"/>
    <w:rsid w:val="007A6909"/>
    <w:rsid w:val="007A6A72"/>
    <w:rsid w:val="007A6B46"/>
    <w:rsid w:val="007A6BE8"/>
    <w:rsid w:val="007A70BA"/>
    <w:rsid w:val="007A74C6"/>
    <w:rsid w:val="007A78D5"/>
    <w:rsid w:val="007B0028"/>
    <w:rsid w:val="007B0D68"/>
    <w:rsid w:val="007B0E47"/>
    <w:rsid w:val="007B1028"/>
    <w:rsid w:val="007B158C"/>
    <w:rsid w:val="007B1AE5"/>
    <w:rsid w:val="007B2123"/>
    <w:rsid w:val="007B251D"/>
    <w:rsid w:val="007B26F1"/>
    <w:rsid w:val="007B397F"/>
    <w:rsid w:val="007B40EE"/>
    <w:rsid w:val="007B4F58"/>
    <w:rsid w:val="007B528D"/>
    <w:rsid w:val="007B63CA"/>
    <w:rsid w:val="007B6906"/>
    <w:rsid w:val="007B75F8"/>
    <w:rsid w:val="007B77D1"/>
    <w:rsid w:val="007C01C4"/>
    <w:rsid w:val="007C07C7"/>
    <w:rsid w:val="007C16CF"/>
    <w:rsid w:val="007C1CD9"/>
    <w:rsid w:val="007C313F"/>
    <w:rsid w:val="007C32EF"/>
    <w:rsid w:val="007C34E8"/>
    <w:rsid w:val="007C3545"/>
    <w:rsid w:val="007C361D"/>
    <w:rsid w:val="007C3D90"/>
    <w:rsid w:val="007C45F1"/>
    <w:rsid w:val="007C4B84"/>
    <w:rsid w:val="007C50A2"/>
    <w:rsid w:val="007C53AF"/>
    <w:rsid w:val="007C59F1"/>
    <w:rsid w:val="007C6172"/>
    <w:rsid w:val="007C689F"/>
    <w:rsid w:val="007C70FF"/>
    <w:rsid w:val="007C7322"/>
    <w:rsid w:val="007C7AC3"/>
    <w:rsid w:val="007C7C25"/>
    <w:rsid w:val="007D004F"/>
    <w:rsid w:val="007D0224"/>
    <w:rsid w:val="007D066E"/>
    <w:rsid w:val="007D0B38"/>
    <w:rsid w:val="007D1579"/>
    <w:rsid w:val="007D2B1C"/>
    <w:rsid w:val="007D37FA"/>
    <w:rsid w:val="007D3DF1"/>
    <w:rsid w:val="007D3F2F"/>
    <w:rsid w:val="007D41DC"/>
    <w:rsid w:val="007D42C4"/>
    <w:rsid w:val="007D52B7"/>
    <w:rsid w:val="007D5440"/>
    <w:rsid w:val="007D5805"/>
    <w:rsid w:val="007D58C7"/>
    <w:rsid w:val="007D5F91"/>
    <w:rsid w:val="007D69EB"/>
    <w:rsid w:val="007D6ADC"/>
    <w:rsid w:val="007E128F"/>
    <w:rsid w:val="007E12C4"/>
    <w:rsid w:val="007E41E6"/>
    <w:rsid w:val="007E4BCF"/>
    <w:rsid w:val="007E4EC2"/>
    <w:rsid w:val="007E5DE7"/>
    <w:rsid w:val="007E65AE"/>
    <w:rsid w:val="007E6CEC"/>
    <w:rsid w:val="007F045C"/>
    <w:rsid w:val="007F1017"/>
    <w:rsid w:val="007F17C1"/>
    <w:rsid w:val="007F354D"/>
    <w:rsid w:val="007F3B68"/>
    <w:rsid w:val="007F3DE9"/>
    <w:rsid w:val="007F428B"/>
    <w:rsid w:val="007F4A3F"/>
    <w:rsid w:val="007F4A61"/>
    <w:rsid w:val="007F5255"/>
    <w:rsid w:val="007F56CC"/>
    <w:rsid w:val="007F5E8A"/>
    <w:rsid w:val="007F6014"/>
    <w:rsid w:val="007F61C2"/>
    <w:rsid w:val="007F77D0"/>
    <w:rsid w:val="007F78C9"/>
    <w:rsid w:val="008017C2"/>
    <w:rsid w:val="00801A36"/>
    <w:rsid w:val="00801E6D"/>
    <w:rsid w:val="00801F02"/>
    <w:rsid w:val="008020F1"/>
    <w:rsid w:val="008027A4"/>
    <w:rsid w:val="00802C24"/>
    <w:rsid w:val="00803349"/>
    <w:rsid w:val="008036A1"/>
    <w:rsid w:val="0080490A"/>
    <w:rsid w:val="00805142"/>
    <w:rsid w:val="0080596F"/>
    <w:rsid w:val="00805F0E"/>
    <w:rsid w:val="00805FCE"/>
    <w:rsid w:val="00806B1C"/>
    <w:rsid w:val="00807A8B"/>
    <w:rsid w:val="00807E49"/>
    <w:rsid w:val="008100D9"/>
    <w:rsid w:val="00811383"/>
    <w:rsid w:val="00811AFC"/>
    <w:rsid w:val="00811D91"/>
    <w:rsid w:val="00812149"/>
    <w:rsid w:val="008122BF"/>
    <w:rsid w:val="00812CAC"/>
    <w:rsid w:val="00812EF9"/>
    <w:rsid w:val="00812FFE"/>
    <w:rsid w:val="008140E6"/>
    <w:rsid w:val="008142EF"/>
    <w:rsid w:val="00815821"/>
    <w:rsid w:val="00816061"/>
    <w:rsid w:val="00816361"/>
    <w:rsid w:val="008166EF"/>
    <w:rsid w:val="00816FEF"/>
    <w:rsid w:val="00817F49"/>
    <w:rsid w:val="008208D2"/>
    <w:rsid w:val="00820A8C"/>
    <w:rsid w:val="00820FA2"/>
    <w:rsid w:val="008215FB"/>
    <w:rsid w:val="00821E99"/>
    <w:rsid w:val="008221F2"/>
    <w:rsid w:val="00822F5F"/>
    <w:rsid w:val="00823174"/>
    <w:rsid w:val="008238A9"/>
    <w:rsid w:val="0082409E"/>
    <w:rsid w:val="008241D2"/>
    <w:rsid w:val="00825751"/>
    <w:rsid w:val="008260B4"/>
    <w:rsid w:val="008264EB"/>
    <w:rsid w:val="00826E0F"/>
    <w:rsid w:val="00827849"/>
    <w:rsid w:val="00827B47"/>
    <w:rsid w:val="0083074C"/>
    <w:rsid w:val="00831153"/>
    <w:rsid w:val="00832817"/>
    <w:rsid w:val="008334D2"/>
    <w:rsid w:val="00833B05"/>
    <w:rsid w:val="00833CFB"/>
    <w:rsid w:val="00834704"/>
    <w:rsid w:val="0083622B"/>
    <w:rsid w:val="008362B4"/>
    <w:rsid w:val="008362CD"/>
    <w:rsid w:val="00837805"/>
    <w:rsid w:val="00837AA3"/>
    <w:rsid w:val="00840CA2"/>
    <w:rsid w:val="00841E1E"/>
    <w:rsid w:val="00842E7D"/>
    <w:rsid w:val="0084374F"/>
    <w:rsid w:val="00844A22"/>
    <w:rsid w:val="008451C8"/>
    <w:rsid w:val="00845721"/>
    <w:rsid w:val="00846642"/>
    <w:rsid w:val="00846687"/>
    <w:rsid w:val="008466CA"/>
    <w:rsid w:val="008466ED"/>
    <w:rsid w:val="008475DE"/>
    <w:rsid w:val="00847703"/>
    <w:rsid w:val="00847BB3"/>
    <w:rsid w:val="00847DF5"/>
    <w:rsid w:val="00850077"/>
    <w:rsid w:val="008503BC"/>
    <w:rsid w:val="00850956"/>
    <w:rsid w:val="0085149C"/>
    <w:rsid w:val="008518D1"/>
    <w:rsid w:val="00851BBD"/>
    <w:rsid w:val="00851F1C"/>
    <w:rsid w:val="008524AE"/>
    <w:rsid w:val="008527F6"/>
    <w:rsid w:val="00852E3F"/>
    <w:rsid w:val="0085309D"/>
    <w:rsid w:val="00853416"/>
    <w:rsid w:val="00854C8F"/>
    <w:rsid w:val="00856897"/>
    <w:rsid w:val="00856A1D"/>
    <w:rsid w:val="00856E9A"/>
    <w:rsid w:val="00860727"/>
    <w:rsid w:val="0086075D"/>
    <w:rsid w:val="008609CB"/>
    <w:rsid w:val="00861971"/>
    <w:rsid w:val="00862502"/>
    <w:rsid w:val="00862CC1"/>
    <w:rsid w:val="008632BD"/>
    <w:rsid w:val="008641EE"/>
    <w:rsid w:val="0086425D"/>
    <w:rsid w:val="00864DCC"/>
    <w:rsid w:val="008660D4"/>
    <w:rsid w:val="008666FE"/>
    <w:rsid w:val="00866F0C"/>
    <w:rsid w:val="00866FEC"/>
    <w:rsid w:val="00867A4E"/>
    <w:rsid w:val="0087058B"/>
    <w:rsid w:val="0087137F"/>
    <w:rsid w:val="00871FA9"/>
    <w:rsid w:val="008728E9"/>
    <w:rsid w:val="00872BB7"/>
    <w:rsid w:val="00872E79"/>
    <w:rsid w:val="00873512"/>
    <w:rsid w:val="008735DC"/>
    <w:rsid w:val="00874994"/>
    <w:rsid w:val="00882874"/>
    <w:rsid w:val="008828DF"/>
    <w:rsid w:val="00882E3C"/>
    <w:rsid w:val="00883511"/>
    <w:rsid w:val="00883787"/>
    <w:rsid w:val="0088409C"/>
    <w:rsid w:val="00885356"/>
    <w:rsid w:val="008855E4"/>
    <w:rsid w:val="00886CD2"/>
    <w:rsid w:val="00887E77"/>
    <w:rsid w:val="00887FA4"/>
    <w:rsid w:val="00891250"/>
    <w:rsid w:val="00891D23"/>
    <w:rsid w:val="00891E6F"/>
    <w:rsid w:val="00891F4D"/>
    <w:rsid w:val="0089257A"/>
    <w:rsid w:val="0089275D"/>
    <w:rsid w:val="00892A36"/>
    <w:rsid w:val="00893239"/>
    <w:rsid w:val="00894489"/>
    <w:rsid w:val="00894BD8"/>
    <w:rsid w:val="00894CCF"/>
    <w:rsid w:val="008950E1"/>
    <w:rsid w:val="008963A5"/>
    <w:rsid w:val="00896D5D"/>
    <w:rsid w:val="00896E14"/>
    <w:rsid w:val="00897315"/>
    <w:rsid w:val="008A0757"/>
    <w:rsid w:val="008A085F"/>
    <w:rsid w:val="008A1D2A"/>
    <w:rsid w:val="008A3363"/>
    <w:rsid w:val="008A3371"/>
    <w:rsid w:val="008A3C3E"/>
    <w:rsid w:val="008A3DE0"/>
    <w:rsid w:val="008A4313"/>
    <w:rsid w:val="008A4543"/>
    <w:rsid w:val="008A6ED8"/>
    <w:rsid w:val="008A70A5"/>
    <w:rsid w:val="008A72AF"/>
    <w:rsid w:val="008A72EF"/>
    <w:rsid w:val="008A7458"/>
    <w:rsid w:val="008A79DE"/>
    <w:rsid w:val="008B083A"/>
    <w:rsid w:val="008B0991"/>
    <w:rsid w:val="008B14CC"/>
    <w:rsid w:val="008B1711"/>
    <w:rsid w:val="008B1757"/>
    <w:rsid w:val="008B1A41"/>
    <w:rsid w:val="008B1A94"/>
    <w:rsid w:val="008B264D"/>
    <w:rsid w:val="008B4A58"/>
    <w:rsid w:val="008B59D5"/>
    <w:rsid w:val="008B5EFB"/>
    <w:rsid w:val="008B7992"/>
    <w:rsid w:val="008B7D7E"/>
    <w:rsid w:val="008C092A"/>
    <w:rsid w:val="008C0DB7"/>
    <w:rsid w:val="008C0E0D"/>
    <w:rsid w:val="008C2019"/>
    <w:rsid w:val="008C2C66"/>
    <w:rsid w:val="008C2D4B"/>
    <w:rsid w:val="008C3945"/>
    <w:rsid w:val="008C40AF"/>
    <w:rsid w:val="008C45A6"/>
    <w:rsid w:val="008C46FF"/>
    <w:rsid w:val="008C5545"/>
    <w:rsid w:val="008C5610"/>
    <w:rsid w:val="008C5739"/>
    <w:rsid w:val="008C626F"/>
    <w:rsid w:val="008C629F"/>
    <w:rsid w:val="008C685D"/>
    <w:rsid w:val="008C6F24"/>
    <w:rsid w:val="008C7313"/>
    <w:rsid w:val="008C7500"/>
    <w:rsid w:val="008C7CD0"/>
    <w:rsid w:val="008C7ECB"/>
    <w:rsid w:val="008D07DA"/>
    <w:rsid w:val="008D08F8"/>
    <w:rsid w:val="008D1790"/>
    <w:rsid w:val="008D2608"/>
    <w:rsid w:val="008D26B1"/>
    <w:rsid w:val="008D3167"/>
    <w:rsid w:val="008D33DF"/>
    <w:rsid w:val="008D3525"/>
    <w:rsid w:val="008D391C"/>
    <w:rsid w:val="008D3B86"/>
    <w:rsid w:val="008D4755"/>
    <w:rsid w:val="008D4C3D"/>
    <w:rsid w:val="008D5172"/>
    <w:rsid w:val="008D52D0"/>
    <w:rsid w:val="008D5315"/>
    <w:rsid w:val="008D6DA5"/>
    <w:rsid w:val="008D732A"/>
    <w:rsid w:val="008D743C"/>
    <w:rsid w:val="008D7721"/>
    <w:rsid w:val="008D78F9"/>
    <w:rsid w:val="008D79A0"/>
    <w:rsid w:val="008D7C29"/>
    <w:rsid w:val="008E0D3C"/>
    <w:rsid w:val="008E1B9E"/>
    <w:rsid w:val="008E2E0E"/>
    <w:rsid w:val="008E40FE"/>
    <w:rsid w:val="008E4E31"/>
    <w:rsid w:val="008E55AB"/>
    <w:rsid w:val="008E5E89"/>
    <w:rsid w:val="008E6AE5"/>
    <w:rsid w:val="008E6FE4"/>
    <w:rsid w:val="008F01B7"/>
    <w:rsid w:val="008F0A35"/>
    <w:rsid w:val="008F120A"/>
    <w:rsid w:val="008F1376"/>
    <w:rsid w:val="008F1A8E"/>
    <w:rsid w:val="008F1EC4"/>
    <w:rsid w:val="008F1FE6"/>
    <w:rsid w:val="008F21AC"/>
    <w:rsid w:val="008F27E0"/>
    <w:rsid w:val="008F2A78"/>
    <w:rsid w:val="008F2AD9"/>
    <w:rsid w:val="008F31FB"/>
    <w:rsid w:val="008F3643"/>
    <w:rsid w:val="008F4338"/>
    <w:rsid w:val="008F48EB"/>
    <w:rsid w:val="008F4F0B"/>
    <w:rsid w:val="008F531B"/>
    <w:rsid w:val="008F538E"/>
    <w:rsid w:val="008F5F78"/>
    <w:rsid w:val="008F61BB"/>
    <w:rsid w:val="008F6CA7"/>
    <w:rsid w:val="008F6FDF"/>
    <w:rsid w:val="008F72CC"/>
    <w:rsid w:val="008F74AB"/>
    <w:rsid w:val="008F79FD"/>
    <w:rsid w:val="008F7C79"/>
    <w:rsid w:val="00901B28"/>
    <w:rsid w:val="00902A8A"/>
    <w:rsid w:val="00902B79"/>
    <w:rsid w:val="00902F1E"/>
    <w:rsid w:val="00903069"/>
    <w:rsid w:val="009046C4"/>
    <w:rsid w:val="009061DF"/>
    <w:rsid w:val="009062A5"/>
    <w:rsid w:val="0090664F"/>
    <w:rsid w:val="00907ECF"/>
    <w:rsid w:val="00910EAE"/>
    <w:rsid w:val="00910FA7"/>
    <w:rsid w:val="00911272"/>
    <w:rsid w:val="009114E8"/>
    <w:rsid w:val="00912250"/>
    <w:rsid w:val="0091263A"/>
    <w:rsid w:val="00912AD5"/>
    <w:rsid w:val="009135D6"/>
    <w:rsid w:val="009145AC"/>
    <w:rsid w:val="00914C77"/>
    <w:rsid w:val="00915D32"/>
    <w:rsid w:val="00920402"/>
    <w:rsid w:val="00920AD4"/>
    <w:rsid w:val="0092162F"/>
    <w:rsid w:val="00921889"/>
    <w:rsid w:val="00921ACB"/>
    <w:rsid w:val="00921B6D"/>
    <w:rsid w:val="00922CE8"/>
    <w:rsid w:val="0092369B"/>
    <w:rsid w:val="00924822"/>
    <w:rsid w:val="00924D42"/>
    <w:rsid w:val="0092504D"/>
    <w:rsid w:val="009257DE"/>
    <w:rsid w:val="00925C1A"/>
    <w:rsid w:val="00926828"/>
    <w:rsid w:val="00926ED7"/>
    <w:rsid w:val="00930023"/>
    <w:rsid w:val="00930726"/>
    <w:rsid w:val="00930E57"/>
    <w:rsid w:val="0093131B"/>
    <w:rsid w:val="009319FA"/>
    <w:rsid w:val="00931A04"/>
    <w:rsid w:val="0093331D"/>
    <w:rsid w:val="0093391A"/>
    <w:rsid w:val="00934988"/>
    <w:rsid w:val="00936A7D"/>
    <w:rsid w:val="00936AB1"/>
    <w:rsid w:val="00937089"/>
    <w:rsid w:val="00937C9D"/>
    <w:rsid w:val="0094088D"/>
    <w:rsid w:val="00940EBE"/>
    <w:rsid w:val="009415D0"/>
    <w:rsid w:val="00941E4A"/>
    <w:rsid w:val="00942141"/>
    <w:rsid w:val="009427C1"/>
    <w:rsid w:val="0094304B"/>
    <w:rsid w:val="00943E06"/>
    <w:rsid w:val="00944F8A"/>
    <w:rsid w:val="00944F94"/>
    <w:rsid w:val="00945AFE"/>
    <w:rsid w:val="00947278"/>
    <w:rsid w:val="00950786"/>
    <w:rsid w:val="00950A19"/>
    <w:rsid w:val="009510A2"/>
    <w:rsid w:val="0095137C"/>
    <w:rsid w:val="00951598"/>
    <w:rsid w:val="00953257"/>
    <w:rsid w:val="00953341"/>
    <w:rsid w:val="009533DB"/>
    <w:rsid w:val="0095351F"/>
    <w:rsid w:val="0095474C"/>
    <w:rsid w:val="0095577C"/>
    <w:rsid w:val="00955ABC"/>
    <w:rsid w:val="009564B6"/>
    <w:rsid w:val="00957EE5"/>
    <w:rsid w:val="0096048F"/>
    <w:rsid w:val="00961503"/>
    <w:rsid w:val="00962114"/>
    <w:rsid w:val="00962117"/>
    <w:rsid w:val="00962CB9"/>
    <w:rsid w:val="009642E6"/>
    <w:rsid w:val="00964312"/>
    <w:rsid w:val="0096439F"/>
    <w:rsid w:val="00964E94"/>
    <w:rsid w:val="0096517A"/>
    <w:rsid w:val="00965499"/>
    <w:rsid w:val="00965B8A"/>
    <w:rsid w:val="009666B2"/>
    <w:rsid w:val="00966811"/>
    <w:rsid w:val="00967438"/>
    <w:rsid w:val="00967DD6"/>
    <w:rsid w:val="0097071F"/>
    <w:rsid w:val="00971005"/>
    <w:rsid w:val="009710C3"/>
    <w:rsid w:val="009717AC"/>
    <w:rsid w:val="00972428"/>
    <w:rsid w:val="00972794"/>
    <w:rsid w:val="009729BF"/>
    <w:rsid w:val="00973289"/>
    <w:rsid w:val="009751C1"/>
    <w:rsid w:val="00975EB4"/>
    <w:rsid w:val="00976067"/>
    <w:rsid w:val="009773C6"/>
    <w:rsid w:val="00977511"/>
    <w:rsid w:val="0097757F"/>
    <w:rsid w:val="00977A20"/>
    <w:rsid w:val="009802E5"/>
    <w:rsid w:val="009811F1"/>
    <w:rsid w:val="00981E5F"/>
    <w:rsid w:val="00981F03"/>
    <w:rsid w:val="0098307E"/>
    <w:rsid w:val="00983A26"/>
    <w:rsid w:val="00983B63"/>
    <w:rsid w:val="00983E48"/>
    <w:rsid w:val="00983E57"/>
    <w:rsid w:val="0098409A"/>
    <w:rsid w:val="00984485"/>
    <w:rsid w:val="00984BBA"/>
    <w:rsid w:val="00985317"/>
    <w:rsid w:val="009857D8"/>
    <w:rsid w:val="00985DE2"/>
    <w:rsid w:val="0098675D"/>
    <w:rsid w:val="00986AFD"/>
    <w:rsid w:val="00986CBA"/>
    <w:rsid w:val="009900BD"/>
    <w:rsid w:val="00991B30"/>
    <w:rsid w:val="009926E0"/>
    <w:rsid w:val="0099280D"/>
    <w:rsid w:val="00992D93"/>
    <w:rsid w:val="00993059"/>
    <w:rsid w:val="00993AF2"/>
    <w:rsid w:val="0099451E"/>
    <w:rsid w:val="0099626A"/>
    <w:rsid w:val="00996B1A"/>
    <w:rsid w:val="00996CCF"/>
    <w:rsid w:val="00997517"/>
    <w:rsid w:val="009A01FF"/>
    <w:rsid w:val="009A0491"/>
    <w:rsid w:val="009A0A8D"/>
    <w:rsid w:val="009A1784"/>
    <w:rsid w:val="009A2254"/>
    <w:rsid w:val="009A225C"/>
    <w:rsid w:val="009A27B9"/>
    <w:rsid w:val="009A2D7A"/>
    <w:rsid w:val="009A2DCC"/>
    <w:rsid w:val="009A3139"/>
    <w:rsid w:val="009A34B3"/>
    <w:rsid w:val="009A358F"/>
    <w:rsid w:val="009A4090"/>
    <w:rsid w:val="009A4CAF"/>
    <w:rsid w:val="009A5920"/>
    <w:rsid w:val="009A5ABC"/>
    <w:rsid w:val="009A5DED"/>
    <w:rsid w:val="009A6BFF"/>
    <w:rsid w:val="009A7253"/>
    <w:rsid w:val="009A7D9F"/>
    <w:rsid w:val="009A7F10"/>
    <w:rsid w:val="009B0007"/>
    <w:rsid w:val="009B1640"/>
    <w:rsid w:val="009B2736"/>
    <w:rsid w:val="009B3BB6"/>
    <w:rsid w:val="009B3E26"/>
    <w:rsid w:val="009B4642"/>
    <w:rsid w:val="009B73DF"/>
    <w:rsid w:val="009B7976"/>
    <w:rsid w:val="009B7DD6"/>
    <w:rsid w:val="009C01D5"/>
    <w:rsid w:val="009C0FDA"/>
    <w:rsid w:val="009C1E58"/>
    <w:rsid w:val="009C1F1E"/>
    <w:rsid w:val="009C27AB"/>
    <w:rsid w:val="009C2C89"/>
    <w:rsid w:val="009C3706"/>
    <w:rsid w:val="009C3A3A"/>
    <w:rsid w:val="009C4D7F"/>
    <w:rsid w:val="009C537F"/>
    <w:rsid w:val="009C68AE"/>
    <w:rsid w:val="009C6CEA"/>
    <w:rsid w:val="009C7B18"/>
    <w:rsid w:val="009C7B85"/>
    <w:rsid w:val="009D0077"/>
    <w:rsid w:val="009D0254"/>
    <w:rsid w:val="009D086D"/>
    <w:rsid w:val="009D1A64"/>
    <w:rsid w:val="009D1F56"/>
    <w:rsid w:val="009D2CEE"/>
    <w:rsid w:val="009D2FEF"/>
    <w:rsid w:val="009D323E"/>
    <w:rsid w:val="009D3569"/>
    <w:rsid w:val="009D5B91"/>
    <w:rsid w:val="009D6082"/>
    <w:rsid w:val="009D6972"/>
    <w:rsid w:val="009D6E76"/>
    <w:rsid w:val="009D792E"/>
    <w:rsid w:val="009E0DFE"/>
    <w:rsid w:val="009E156F"/>
    <w:rsid w:val="009E23D0"/>
    <w:rsid w:val="009E2591"/>
    <w:rsid w:val="009E31F6"/>
    <w:rsid w:val="009E4C07"/>
    <w:rsid w:val="009E54F1"/>
    <w:rsid w:val="009E6EC4"/>
    <w:rsid w:val="009F1416"/>
    <w:rsid w:val="009F1529"/>
    <w:rsid w:val="009F2076"/>
    <w:rsid w:val="009F325E"/>
    <w:rsid w:val="009F4060"/>
    <w:rsid w:val="009F409D"/>
    <w:rsid w:val="009F4C4D"/>
    <w:rsid w:val="009F6A3C"/>
    <w:rsid w:val="009F6FD3"/>
    <w:rsid w:val="009F7B67"/>
    <w:rsid w:val="00A00ACC"/>
    <w:rsid w:val="00A01184"/>
    <w:rsid w:val="00A02F44"/>
    <w:rsid w:val="00A037C2"/>
    <w:rsid w:val="00A03D43"/>
    <w:rsid w:val="00A04380"/>
    <w:rsid w:val="00A0441B"/>
    <w:rsid w:val="00A05472"/>
    <w:rsid w:val="00A05508"/>
    <w:rsid w:val="00A05B52"/>
    <w:rsid w:val="00A05C32"/>
    <w:rsid w:val="00A061B3"/>
    <w:rsid w:val="00A0653F"/>
    <w:rsid w:val="00A06681"/>
    <w:rsid w:val="00A10F1C"/>
    <w:rsid w:val="00A11CD0"/>
    <w:rsid w:val="00A12814"/>
    <w:rsid w:val="00A12912"/>
    <w:rsid w:val="00A13948"/>
    <w:rsid w:val="00A142C0"/>
    <w:rsid w:val="00A14457"/>
    <w:rsid w:val="00A1517A"/>
    <w:rsid w:val="00A1555B"/>
    <w:rsid w:val="00A155C5"/>
    <w:rsid w:val="00A16AD8"/>
    <w:rsid w:val="00A177EA"/>
    <w:rsid w:val="00A20062"/>
    <w:rsid w:val="00A2045B"/>
    <w:rsid w:val="00A21153"/>
    <w:rsid w:val="00A21C95"/>
    <w:rsid w:val="00A21CF3"/>
    <w:rsid w:val="00A220B1"/>
    <w:rsid w:val="00A2325B"/>
    <w:rsid w:val="00A24813"/>
    <w:rsid w:val="00A259A4"/>
    <w:rsid w:val="00A267D0"/>
    <w:rsid w:val="00A27AEC"/>
    <w:rsid w:val="00A27B2E"/>
    <w:rsid w:val="00A3135F"/>
    <w:rsid w:val="00A320DB"/>
    <w:rsid w:val="00A33087"/>
    <w:rsid w:val="00A33851"/>
    <w:rsid w:val="00A34B1F"/>
    <w:rsid w:val="00A34FFC"/>
    <w:rsid w:val="00A35134"/>
    <w:rsid w:val="00A35168"/>
    <w:rsid w:val="00A35638"/>
    <w:rsid w:val="00A35D16"/>
    <w:rsid w:val="00A3731A"/>
    <w:rsid w:val="00A37BCD"/>
    <w:rsid w:val="00A37F7C"/>
    <w:rsid w:val="00A4037B"/>
    <w:rsid w:val="00A40A1B"/>
    <w:rsid w:val="00A40FD7"/>
    <w:rsid w:val="00A41689"/>
    <w:rsid w:val="00A42592"/>
    <w:rsid w:val="00A4275B"/>
    <w:rsid w:val="00A42992"/>
    <w:rsid w:val="00A43C59"/>
    <w:rsid w:val="00A4487A"/>
    <w:rsid w:val="00A450C7"/>
    <w:rsid w:val="00A455BF"/>
    <w:rsid w:val="00A45A62"/>
    <w:rsid w:val="00A46185"/>
    <w:rsid w:val="00A46E27"/>
    <w:rsid w:val="00A50227"/>
    <w:rsid w:val="00A5090E"/>
    <w:rsid w:val="00A50ECD"/>
    <w:rsid w:val="00A51063"/>
    <w:rsid w:val="00A518F3"/>
    <w:rsid w:val="00A522D9"/>
    <w:rsid w:val="00A52415"/>
    <w:rsid w:val="00A52729"/>
    <w:rsid w:val="00A52AF6"/>
    <w:rsid w:val="00A53675"/>
    <w:rsid w:val="00A5530D"/>
    <w:rsid w:val="00A564D7"/>
    <w:rsid w:val="00A56B6A"/>
    <w:rsid w:val="00A578DC"/>
    <w:rsid w:val="00A57CC8"/>
    <w:rsid w:val="00A61430"/>
    <w:rsid w:val="00A61473"/>
    <w:rsid w:val="00A6149A"/>
    <w:rsid w:val="00A63579"/>
    <w:rsid w:val="00A6403A"/>
    <w:rsid w:val="00A640E2"/>
    <w:rsid w:val="00A642F3"/>
    <w:rsid w:val="00A64D65"/>
    <w:rsid w:val="00A66CDB"/>
    <w:rsid w:val="00A670E4"/>
    <w:rsid w:val="00A6725B"/>
    <w:rsid w:val="00A67B9F"/>
    <w:rsid w:val="00A67E1F"/>
    <w:rsid w:val="00A67EE1"/>
    <w:rsid w:val="00A67F0B"/>
    <w:rsid w:val="00A67FBD"/>
    <w:rsid w:val="00A70605"/>
    <w:rsid w:val="00A70AAC"/>
    <w:rsid w:val="00A7172C"/>
    <w:rsid w:val="00A73134"/>
    <w:rsid w:val="00A745E4"/>
    <w:rsid w:val="00A74740"/>
    <w:rsid w:val="00A748B3"/>
    <w:rsid w:val="00A7530D"/>
    <w:rsid w:val="00A7566F"/>
    <w:rsid w:val="00A76001"/>
    <w:rsid w:val="00A77116"/>
    <w:rsid w:val="00A777B2"/>
    <w:rsid w:val="00A804D3"/>
    <w:rsid w:val="00A80640"/>
    <w:rsid w:val="00A8068C"/>
    <w:rsid w:val="00A814C3"/>
    <w:rsid w:val="00A820E8"/>
    <w:rsid w:val="00A825D4"/>
    <w:rsid w:val="00A828F6"/>
    <w:rsid w:val="00A82B73"/>
    <w:rsid w:val="00A8440B"/>
    <w:rsid w:val="00A8472E"/>
    <w:rsid w:val="00A84C16"/>
    <w:rsid w:val="00A8518B"/>
    <w:rsid w:val="00A85206"/>
    <w:rsid w:val="00A8531C"/>
    <w:rsid w:val="00A8642E"/>
    <w:rsid w:val="00A86525"/>
    <w:rsid w:val="00A8694A"/>
    <w:rsid w:val="00A86E8B"/>
    <w:rsid w:val="00A87164"/>
    <w:rsid w:val="00A87414"/>
    <w:rsid w:val="00A8746F"/>
    <w:rsid w:val="00A904C0"/>
    <w:rsid w:val="00A90636"/>
    <w:rsid w:val="00A9233D"/>
    <w:rsid w:val="00A923F7"/>
    <w:rsid w:val="00A92F4D"/>
    <w:rsid w:val="00A93072"/>
    <w:rsid w:val="00A933AA"/>
    <w:rsid w:val="00A93636"/>
    <w:rsid w:val="00A938BD"/>
    <w:rsid w:val="00A93953"/>
    <w:rsid w:val="00A93CC2"/>
    <w:rsid w:val="00A942E6"/>
    <w:rsid w:val="00A94E04"/>
    <w:rsid w:val="00A94F20"/>
    <w:rsid w:val="00A95668"/>
    <w:rsid w:val="00A959D8"/>
    <w:rsid w:val="00A967EE"/>
    <w:rsid w:val="00A96D65"/>
    <w:rsid w:val="00A970C4"/>
    <w:rsid w:val="00AA0714"/>
    <w:rsid w:val="00AA113D"/>
    <w:rsid w:val="00AA11F6"/>
    <w:rsid w:val="00AA12A4"/>
    <w:rsid w:val="00AA1352"/>
    <w:rsid w:val="00AA198E"/>
    <w:rsid w:val="00AA23CC"/>
    <w:rsid w:val="00AA24DC"/>
    <w:rsid w:val="00AA3BF1"/>
    <w:rsid w:val="00AA4CDF"/>
    <w:rsid w:val="00AA543C"/>
    <w:rsid w:val="00AA5E35"/>
    <w:rsid w:val="00AA643E"/>
    <w:rsid w:val="00AA6BD5"/>
    <w:rsid w:val="00AA6BD8"/>
    <w:rsid w:val="00AA6C7D"/>
    <w:rsid w:val="00AA7FD6"/>
    <w:rsid w:val="00AB01B4"/>
    <w:rsid w:val="00AB042A"/>
    <w:rsid w:val="00AB19EF"/>
    <w:rsid w:val="00AB20D0"/>
    <w:rsid w:val="00AB23B7"/>
    <w:rsid w:val="00AB2D34"/>
    <w:rsid w:val="00AB3430"/>
    <w:rsid w:val="00AB37B9"/>
    <w:rsid w:val="00AB4058"/>
    <w:rsid w:val="00AB4AD1"/>
    <w:rsid w:val="00AB4C71"/>
    <w:rsid w:val="00AB5E07"/>
    <w:rsid w:val="00AB616A"/>
    <w:rsid w:val="00AB73E6"/>
    <w:rsid w:val="00AB75E1"/>
    <w:rsid w:val="00AB7CFA"/>
    <w:rsid w:val="00AB7DC0"/>
    <w:rsid w:val="00AB7E82"/>
    <w:rsid w:val="00AC0974"/>
    <w:rsid w:val="00AC2155"/>
    <w:rsid w:val="00AC23AF"/>
    <w:rsid w:val="00AC3063"/>
    <w:rsid w:val="00AC33BE"/>
    <w:rsid w:val="00AC5B48"/>
    <w:rsid w:val="00AC6BE4"/>
    <w:rsid w:val="00AC758B"/>
    <w:rsid w:val="00AC76A7"/>
    <w:rsid w:val="00AC7E15"/>
    <w:rsid w:val="00AD142A"/>
    <w:rsid w:val="00AD1450"/>
    <w:rsid w:val="00AD160A"/>
    <w:rsid w:val="00AD385F"/>
    <w:rsid w:val="00AD3BBA"/>
    <w:rsid w:val="00AD444B"/>
    <w:rsid w:val="00AD4A87"/>
    <w:rsid w:val="00AD626D"/>
    <w:rsid w:val="00AD6502"/>
    <w:rsid w:val="00AD7334"/>
    <w:rsid w:val="00AD76D8"/>
    <w:rsid w:val="00AD7CE8"/>
    <w:rsid w:val="00AE0695"/>
    <w:rsid w:val="00AE0C4A"/>
    <w:rsid w:val="00AE23F4"/>
    <w:rsid w:val="00AE29F5"/>
    <w:rsid w:val="00AE3068"/>
    <w:rsid w:val="00AE3DEE"/>
    <w:rsid w:val="00AE3E7E"/>
    <w:rsid w:val="00AE4E22"/>
    <w:rsid w:val="00AE506C"/>
    <w:rsid w:val="00AE5705"/>
    <w:rsid w:val="00AE5A2A"/>
    <w:rsid w:val="00AE69D5"/>
    <w:rsid w:val="00AE730C"/>
    <w:rsid w:val="00AE76AB"/>
    <w:rsid w:val="00AF0CFF"/>
    <w:rsid w:val="00AF1315"/>
    <w:rsid w:val="00AF137E"/>
    <w:rsid w:val="00AF16FD"/>
    <w:rsid w:val="00AF19BF"/>
    <w:rsid w:val="00AF2DC3"/>
    <w:rsid w:val="00AF37AC"/>
    <w:rsid w:val="00AF39CA"/>
    <w:rsid w:val="00AF52D7"/>
    <w:rsid w:val="00AF79B1"/>
    <w:rsid w:val="00B002BF"/>
    <w:rsid w:val="00B01026"/>
    <w:rsid w:val="00B01533"/>
    <w:rsid w:val="00B015F9"/>
    <w:rsid w:val="00B01920"/>
    <w:rsid w:val="00B01CB8"/>
    <w:rsid w:val="00B02650"/>
    <w:rsid w:val="00B033E5"/>
    <w:rsid w:val="00B034A9"/>
    <w:rsid w:val="00B03518"/>
    <w:rsid w:val="00B036EB"/>
    <w:rsid w:val="00B03A63"/>
    <w:rsid w:val="00B03CE8"/>
    <w:rsid w:val="00B03F54"/>
    <w:rsid w:val="00B04759"/>
    <w:rsid w:val="00B053A4"/>
    <w:rsid w:val="00B0586F"/>
    <w:rsid w:val="00B070B5"/>
    <w:rsid w:val="00B11C2D"/>
    <w:rsid w:val="00B12F11"/>
    <w:rsid w:val="00B1388F"/>
    <w:rsid w:val="00B1436F"/>
    <w:rsid w:val="00B158C8"/>
    <w:rsid w:val="00B16506"/>
    <w:rsid w:val="00B17727"/>
    <w:rsid w:val="00B17F26"/>
    <w:rsid w:val="00B201A4"/>
    <w:rsid w:val="00B201D1"/>
    <w:rsid w:val="00B20AC6"/>
    <w:rsid w:val="00B20F11"/>
    <w:rsid w:val="00B212DE"/>
    <w:rsid w:val="00B213A6"/>
    <w:rsid w:val="00B2221E"/>
    <w:rsid w:val="00B223FA"/>
    <w:rsid w:val="00B22C18"/>
    <w:rsid w:val="00B235B0"/>
    <w:rsid w:val="00B2381F"/>
    <w:rsid w:val="00B24741"/>
    <w:rsid w:val="00B24DF6"/>
    <w:rsid w:val="00B2558F"/>
    <w:rsid w:val="00B25E80"/>
    <w:rsid w:val="00B2640B"/>
    <w:rsid w:val="00B26456"/>
    <w:rsid w:val="00B268FF"/>
    <w:rsid w:val="00B27521"/>
    <w:rsid w:val="00B3037F"/>
    <w:rsid w:val="00B311DB"/>
    <w:rsid w:val="00B315A1"/>
    <w:rsid w:val="00B31AC7"/>
    <w:rsid w:val="00B320C7"/>
    <w:rsid w:val="00B33EF9"/>
    <w:rsid w:val="00B34FE2"/>
    <w:rsid w:val="00B35053"/>
    <w:rsid w:val="00B35166"/>
    <w:rsid w:val="00B352BA"/>
    <w:rsid w:val="00B357D8"/>
    <w:rsid w:val="00B35DAB"/>
    <w:rsid w:val="00B360F4"/>
    <w:rsid w:val="00B36A00"/>
    <w:rsid w:val="00B37837"/>
    <w:rsid w:val="00B37B9A"/>
    <w:rsid w:val="00B37BFC"/>
    <w:rsid w:val="00B40358"/>
    <w:rsid w:val="00B40C91"/>
    <w:rsid w:val="00B40C93"/>
    <w:rsid w:val="00B41614"/>
    <w:rsid w:val="00B416F6"/>
    <w:rsid w:val="00B42851"/>
    <w:rsid w:val="00B42F80"/>
    <w:rsid w:val="00B435CB"/>
    <w:rsid w:val="00B45796"/>
    <w:rsid w:val="00B4590F"/>
    <w:rsid w:val="00B460F1"/>
    <w:rsid w:val="00B46D41"/>
    <w:rsid w:val="00B505C8"/>
    <w:rsid w:val="00B50DB8"/>
    <w:rsid w:val="00B51ABA"/>
    <w:rsid w:val="00B51B6F"/>
    <w:rsid w:val="00B52A9F"/>
    <w:rsid w:val="00B52B61"/>
    <w:rsid w:val="00B532DC"/>
    <w:rsid w:val="00B53654"/>
    <w:rsid w:val="00B53905"/>
    <w:rsid w:val="00B540E5"/>
    <w:rsid w:val="00B54839"/>
    <w:rsid w:val="00B54ABF"/>
    <w:rsid w:val="00B54B5B"/>
    <w:rsid w:val="00B555B7"/>
    <w:rsid w:val="00B5562E"/>
    <w:rsid w:val="00B55A86"/>
    <w:rsid w:val="00B55D65"/>
    <w:rsid w:val="00B55FFF"/>
    <w:rsid w:val="00B56C90"/>
    <w:rsid w:val="00B56ECC"/>
    <w:rsid w:val="00B56F3C"/>
    <w:rsid w:val="00B57000"/>
    <w:rsid w:val="00B57C49"/>
    <w:rsid w:val="00B57CBD"/>
    <w:rsid w:val="00B606E9"/>
    <w:rsid w:val="00B60939"/>
    <w:rsid w:val="00B60AFD"/>
    <w:rsid w:val="00B61636"/>
    <w:rsid w:val="00B62715"/>
    <w:rsid w:val="00B63573"/>
    <w:rsid w:val="00B635B0"/>
    <w:rsid w:val="00B63ADC"/>
    <w:rsid w:val="00B652FA"/>
    <w:rsid w:val="00B65611"/>
    <w:rsid w:val="00B658FD"/>
    <w:rsid w:val="00B66252"/>
    <w:rsid w:val="00B66864"/>
    <w:rsid w:val="00B676E1"/>
    <w:rsid w:val="00B67E37"/>
    <w:rsid w:val="00B70B9A"/>
    <w:rsid w:val="00B70E8E"/>
    <w:rsid w:val="00B71A73"/>
    <w:rsid w:val="00B726D8"/>
    <w:rsid w:val="00B72E44"/>
    <w:rsid w:val="00B7591E"/>
    <w:rsid w:val="00B76543"/>
    <w:rsid w:val="00B76C92"/>
    <w:rsid w:val="00B77758"/>
    <w:rsid w:val="00B77CA6"/>
    <w:rsid w:val="00B8080B"/>
    <w:rsid w:val="00B809B5"/>
    <w:rsid w:val="00B8156D"/>
    <w:rsid w:val="00B818A4"/>
    <w:rsid w:val="00B82A9D"/>
    <w:rsid w:val="00B82BB1"/>
    <w:rsid w:val="00B83889"/>
    <w:rsid w:val="00B84117"/>
    <w:rsid w:val="00B84200"/>
    <w:rsid w:val="00B858F0"/>
    <w:rsid w:val="00B85AA2"/>
    <w:rsid w:val="00B85B1D"/>
    <w:rsid w:val="00B85E6E"/>
    <w:rsid w:val="00B8649C"/>
    <w:rsid w:val="00B865AD"/>
    <w:rsid w:val="00B8695D"/>
    <w:rsid w:val="00B87F0A"/>
    <w:rsid w:val="00B9103B"/>
    <w:rsid w:val="00B91D2D"/>
    <w:rsid w:val="00B91D7C"/>
    <w:rsid w:val="00B92C50"/>
    <w:rsid w:val="00B92D0B"/>
    <w:rsid w:val="00B92DB5"/>
    <w:rsid w:val="00B93E7B"/>
    <w:rsid w:val="00B94945"/>
    <w:rsid w:val="00B94DD6"/>
    <w:rsid w:val="00B94E40"/>
    <w:rsid w:val="00B953F5"/>
    <w:rsid w:val="00B956F7"/>
    <w:rsid w:val="00B96DF5"/>
    <w:rsid w:val="00B97C0F"/>
    <w:rsid w:val="00B97D04"/>
    <w:rsid w:val="00BA0AE7"/>
    <w:rsid w:val="00BA0CB1"/>
    <w:rsid w:val="00BA322D"/>
    <w:rsid w:val="00BA3667"/>
    <w:rsid w:val="00BA3B92"/>
    <w:rsid w:val="00BA3F5A"/>
    <w:rsid w:val="00BA3F74"/>
    <w:rsid w:val="00BA4382"/>
    <w:rsid w:val="00BA47E2"/>
    <w:rsid w:val="00BA5606"/>
    <w:rsid w:val="00BA63FA"/>
    <w:rsid w:val="00BA6867"/>
    <w:rsid w:val="00BA6DB2"/>
    <w:rsid w:val="00BB00B3"/>
    <w:rsid w:val="00BB0BDD"/>
    <w:rsid w:val="00BB14A4"/>
    <w:rsid w:val="00BB16EB"/>
    <w:rsid w:val="00BB176C"/>
    <w:rsid w:val="00BB29B4"/>
    <w:rsid w:val="00BB2A42"/>
    <w:rsid w:val="00BB2A73"/>
    <w:rsid w:val="00BB2BB1"/>
    <w:rsid w:val="00BB3A45"/>
    <w:rsid w:val="00BB3A93"/>
    <w:rsid w:val="00BB40C8"/>
    <w:rsid w:val="00BB4ACC"/>
    <w:rsid w:val="00BB59E9"/>
    <w:rsid w:val="00BB6C11"/>
    <w:rsid w:val="00BB703E"/>
    <w:rsid w:val="00BB732D"/>
    <w:rsid w:val="00BB7405"/>
    <w:rsid w:val="00BB7436"/>
    <w:rsid w:val="00BC06B7"/>
    <w:rsid w:val="00BC07F6"/>
    <w:rsid w:val="00BC155E"/>
    <w:rsid w:val="00BC29C6"/>
    <w:rsid w:val="00BC3631"/>
    <w:rsid w:val="00BC3E60"/>
    <w:rsid w:val="00BC3EE1"/>
    <w:rsid w:val="00BC459D"/>
    <w:rsid w:val="00BC5724"/>
    <w:rsid w:val="00BC591F"/>
    <w:rsid w:val="00BC627B"/>
    <w:rsid w:val="00BC7300"/>
    <w:rsid w:val="00BC77E5"/>
    <w:rsid w:val="00BC7D6D"/>
    <w:rsid w:val="00BD0B20"/>
    <w:rsid w:val="00BD2108"/>
    <w:rsid w:val="00BD2CB5"/>
    <w:rsid w:val="00BD35A4"/>
    <w:rsid w:val="00BD3A46"/>
    <w:rsid w:val="00BD3A70"/>
    <w:rsid w:val="00BD3F67"/>
    <w:rsid w:val="00BD4352"/>
    <w:rsid w:val="00BD4DA3"/>
    <w:rsid w:val="00BD5045"/>
    <w:rsid w:val="00BD68A3"/>
    <w:rsid w:val="00BD6938"/>
    <w:rsid w:val="00BD69C4"/>
    <w:rsid w:val="00BD6CF3"/>
    <w:rsid w:val="00BD78AF"/>
    <w:rsid w:val="00BD796F"/>
    <w:rsid w:val="00BE0228"/>
    <w:rsid w:val="00BE0443"/>
    <w:rsid w:val="00BE04F9"/>
    <w:rsid w:val="00BE0ECA"/>
    <w:rsid w:val="00BE0FF7"/>
    <w:rsid w:val="00BE1C09"/>
    <w:rsid w:val="00BE2180"/>
    <w:rsid w:val="00BE21F2"/>
    <w:rsid w:val="00BE3F92"/>
    <w:rsid w:val="00BE4275"/>
    <w:rsid w:val="00BE4B2A"/>
    <w:rsid w:val="00BE4CCB"/>
    <w:rsid w:val="00BE5A0A"/>
    <w:rsid w:val="00BE639C"/>
    <w:rsid w:val="00BE77A8"/>
    <w:rsid w:val="00BE79EE"/>
    <w:rsid w:val="00BF00F4"/>
    <w:rsid w:val="00BF06AE"/>
    <w:rsid w:val="00BF0F95"/>
    <w:rsid w:val="00BF106F"/>
    <w:rsid w:val="00BF1568"/>
    <w:rsid w:val="00BF1C11"/>
    <w:rsid w:val="00BF2433"/>
    <w:rsid w:val="00BF61C9"/>
    <w:rsid w:val="00BF67F3"/>
    <w:rsid w:val="00BF6C94"/>
    <w:rsid w:val="00BF6CA9"/>
    <w:rsid w:val="00BF6E2D"/>
    <w:rsid w:val="00BF6EFB"/>
    <w:rsid w:val="00C00424"/>
    <w:rsid w:val="00C007FB"/>
    <w:rsid w:val="00C010BB"/>
    <w:rsid w:val="00C015B0"/>
    <w:rsid w:val="00C0193C"/>
    <w:rsid w:val="00C01BBC"/>
    <w:rsid w:val="00C03A44"/>
    <w:rsid w:val="00C041AD"/>
    <w:rsid w:val="00C04DAB"/>
    <w:rsid w:val="00C05047"/>
    <w:rsid w:val="00C05333"/>
    <w:rsid w:val="00C05393"/>
    <w:rsid w:val="00C063F6"/>
    <w:rsid w:val="00C06F25"/>
    <w:rsid w:val="00C0763B"/>
    <w:rsid w:val="00C11016"/>
    <w:rsid w:val="00C11555"/>
    <w:rsid w:val="00C1179F"/>
    <w:rsid w:val="00C11921"/>
    <w:rsid w:val="00C11EF4"/>
    <w:rsid w:val="00C121E8"/>
    <w:rsid w:val="00C12A12"/>
    <w:rsid w:val="00C12C14"/>
    <w:rsid w:val="00C148F5"/>
    <w:rsid w:val="00C154A6"/>
    <w:rsid w:val="00C15D04"/>
    <w:rsid w:val="00C15F04"/>
    <w:rsid w:val="00C16122"/>
    <w:rsid w:val="00C16D42"/>
    <w:rsid w:val="00C1712F"/>
    <w:rsid w:val="00C179B3"/>
    <w:rsid w:val="00C17E3F"/>
    <w:rsid w:val="00C200AA"/>
    <w:rsid w:val="00C20A22"/>
    <w:rsid w:val="00C21613"/>
    <w:rsid w:val="00C22DAB"/>
    <w:rsid w:val="00C233ED"/>
    <w:rsid w:val="00C23412"/>
    <w:rsid w:val="00C237ED"/>
    <w:rsid w:val="00C24632"/>
    <w:rsid w:val="00C25418"/>
    <w:rsid w:val="00C25D9C"/>
    <w:rsid w:val="00C2778B"/>
    <w:rsid w:val="00C31649"/>
    <w:rsid w:val="00C32413"/>
    <w:rsid w:val="00C330E1"/>
    <w:rsid w:val="00C33F78"/>
    <w:rsid w:val="00C3434C"/>
    <w:rsid w:val="00C34D2B"/>
    <w:rsid w:val="00C36DAA"/>
    <w:rsid w:val="00C40385"/>
    <w:rsid w:val="00C40EC8"/>
    <w:rsid w:val="00C41138"/>
    <w:rsid w:val="00C41768"/>
    <w:rsid w:val="00C429C0"/>
    <w:rsid w:val="00C429F6"/>
    <w:rsid w:val="00C42C27"/>
    <w:rsid w:val="00C42C28"/>
    <w:rsid w:val="00C43224"/>
    <w:rsid w:val="00C441B7"/>
    <w:rsid w:val="00C46EEF"/>
    <w:rsid w:val="00C46F04"/>
    <w:rsid w:val="00C4755B"/>
    <w:rsid w:val="00C475AA"/>
    <w:rsid w:val="00C47C1D"/>
    <w:rsid w:val="00C47CB4"/>
    <w:rsid w:val="00C5028F"/>
    <w:rsid w:val="00C53B20"/>
    <w:rsid w:val="00C53C98"/>
    <w:rsid w:val="00C54589"/>
    <w:rsid w:val="00C54B80"/>
    <w:rsid w:val="00C56FCF"/>
    <w:rsid w:val="00C57B6C"/>
    <w:rsid w:val="00C60429"/>
    <w:rsid w:val="00C608FF"/>
    <w:rsid w:val="00C60BB4"/>
    <w:rsid w:val="00C61A0D"/>
    <w:rsid w:val="00C628A6"/>
    <w:rsid w:val="00C62A2A"/>
    <w:rsid w:val="00C63CA1"/>
    <w:rsid w:val="00C64344"/>
    <w:rsid w:val="00C64940"/>
    <w:rsid w:val="00C64F94"/>
    <w:rsid w:val="00C65108"/>
    <w:rsid w:val="00C652DB"/>
    <w:rsid w:val="00C65576"/>
    <w:rsid w:val="00C65B62"/>
    <w:rsid w:val="00C66165"/>
    <w:rsid w:val="00C66C66"/>
    <w:rsid w:val="00C66CFE"/>
    <w:rsid w:val="00C67437"/>
    <w:rsid w:val="00C7031B"/>
    <w:rsid w:val="00C7060A"/>
    <w:rsid w:val="00C70B5D"/>
    <w:rsid w:val="00C70B67"/>
    <w:rsid w:val="00C70D3E"/>
    <w:rsid w:val="00C712D2"/>
    <w:rsid w:val="00C71350"/>
    <w:rsid w:val="00C7151A"/>
    <w:rsid w:val="00C717E3"/>
    <w:rsid w:val="00C71F60"/>
    <w:rsid w:val="00C720A7"/>
    <w:rsid w:val="00C72241"/>
    <w:rsid w:val="00C728BE"/>
    <w:rsid w:val="00C728DE"/>
    <w:rsid w:val="00C750C8"/>
    <w:rsid w:val="00C7560F"/>
    <w:rsid w:val="00C77596"/>
    <w:rsid w:val="00C80831"/>
    <w:rsid w:val="00C8085B"/>
    <w:rsid w:val="00C80A0E"/>
    <w:rsid w:val="00C80B3F"/>
    <w:rsid w:val="00C81207"/>
    <w:rsid w:val="00C81FF8"/>
    <w:rsid w:val="00C8213F"/>
    <w:rsid w:val="00C8346C"/>
    <w:rsid w:val="00C839FD"/>
    <w:rsid w:val="00C83D43"/>
    <w:rsid w:val="00C83E6B"/>
    <w:rsid w:val="00C8471F"/>
    <w:rsid w:val="00C85154"/>
    <w:rsid w:val="00C85260"/>
    <w:rsid w:val="00C8797A"/>
    <w:rsid w:val="00C87BC5"/>
    <w:rsid w:val="00C87D00"/>
    <w:rsid w:val="00C900B8"/>
    <w:rsid w:val="00C907A5"/>
    <w:rsid w:val="00C907E4"/>
    <w:rsid w:val="00C90C71"/>
    <w:rsid w:val="00C91FD1"/>
    <w:rsid w:val="00C9254C"/>
    <w:rsid w:val="00C92EAE"/>
    <w:rsid w:val="00C931CF"/>
    <w:rsid w:val="00C938CF"/>
    <w:rsid w:val="00C93FD6"/>
    <w:rsid w:val="00C94053"/>
    <w:rsid w:val="00C948DE"/>
    <w:rsid w:val="00C94FFE"/>
    <w:rsid w:val="00C95E55"/>
    <w:rsid w:val="00C9624D"/>
    <w:rsid w:val="00C969DA"/>
    <w:rsid w:val="00C96D7F"/>
    <w:rsid w:val="00C97C9D"/>
    <w:rsid w:val="00CA0745"/>
    <w:rsid w:val="00CA2C77"/>
    <w:rsid w:val="00CA3267"/>
    <w:rsid w:val="00CA4355"/>
    <w:rsid w:val="00CA444F"/>
    <w:rsid w:val="00CA5245"/>
    <w:rsid w:val="00CA5331"/>
    <w:rsid w:val="00CA5538"/>
    <w:rsid w:val="00CA5EF9"/>
    <w:rsid w:val="00CA619B"/>
    <w:rsid w:val="00CA643D"/>
    <w:rsid w:val="00CA71F4"/>
    <w:rsid w:val="00CA764F"/>
    <w:rsid w:val="00CA7B09"/>
    <w:rsid w:val="00CB0F78"/>
    <w:rsid w:val="00CB12A5"/>
    <w:rsid w:val="00CB1CAC"/>
    <w:rsid w:val="00CB1F80"/>
    <w:rsid w:val="00CB26C1"/>
    <w:rsid w:val="00CB281A"/>
    <w:rsid w:val="00CB2F2A"/>
    <w:rsid w:val="00CB34E7"/>
    <w:rsid w:val="00CB3DA2"/>
    <w:rsid w:val="00CB5B1A"/>
    <w:rsid w:val="00CB6B22"/>
    <w:rsid w:val="00CB6D56"/>
    <w:rsid w:val="00CB7649"/>
    <w:rsid w:val="00CB792A"/>
    <w:rsid w:val="00CB7DC8"/>
    <w:rsid w:val="00CB7F5F"/>
    <w:rsid w:val="00CC0628"/>
    <w:rsid w:val="00CC13CF"/>
    <w:rsid w:val="00CC1691"/>
    <w:rsid w:val="00CC1B39"/>
    <w:rsid w:val="00CC251B"/>
    <w:rsid w:val="00CC3141"/>
    <w:rsid w:val="00CC330B"/>
    <w:rsid w:val="00CC35EA"/>
    <w:rsid w:val="00CC3848"/>
    <w:rsid w:val="00CC3E5B"/>
    <w:rsid w:val="00CC3FC4"/>
    <w:rsid w:val="00CC5B10"/>
    <w:rsid w:val="00CC5FF0"/>
    <w:rsid w:val="00CC6327"/>
    <w:rsid w:val="00CC7373"/>
    <w:rsid w:val="00CC7436"/>
    <w:rsid w:val="00CC7B4E"/>
    <w:rsid w:val="00CC7CE9"/>
    <w:rsid w:val="00CD009A"/>
    <w:rsid w:val="00CD0BE8"/>
    <w:rsid w:val="00CD1044"/>
    <w:rsid w:val="00CD12A7"/>
    <w:rsid w:val="00CD219C"/>
    <w:rsid w:val="00CD2E2C"/>
    <w:rsid w:val="00CD31E6"/>
    <w:rsid w:val="00CD3356"/>
    <w:rsid w:val="00CD3989"/>
    <w:rsid w:val="00CD3BC7"/>
    <w:rsid w:val="00CD3F77"/>
    <w:rsid w:val="00CD5577"/>
    <w:rsid w:val="00CD5690"/>
    <w:rsid w:val="00CD6ADC"/>
    <w:rsid w:val="00CD7193"/>
    <w:rsid w:val="00CD7986"/>
    <w:rsid w:val="00CE0EB9"/>
    <w:rsid w:val="00CE1487"/>
    <w:rsid w:val="00CE1506"/>
    <w:rsid w:val="00CE38C8"/>
    <w:rsid w:val="00CE40AE"/>
    <w:rsid w:val="00CE4D3D"/>
    <w:rsid w:val="00CE5271"/>
    <w:rsid w:val="00CE6274"/>
    <w:rsid w:val="00CE67C9"/>
    <w:rsid w:val="00CE776D"/>
    <w:rsid w:val="00CE77B6"/>
    <w:rsid w:val="00CE7939"/>
    <w:rsid w:val="00CE7958"/>
    <w:rsid w:val="00CF04A6"/>
    <w:rsid w:val="00CF2B8D"/>
    <w:rsid w:val="00CF2D27"/>
    <w:rsid w:val="00CF2D3B"/>
    <w:rsid w:val="00CF300E"/>
    <w:rsid w:val="00CF456B"/>
    <w:rsid w:val="00CF5A22"/>
    <w:rsid w:val="00CF6601"/>
    <w:rsid w:val="00CF7C4C"/>
    <w:rsid w:val="00D0091A"/>
    <w:rsid w:val="00D0173A"/>
    <w:rsid w:val="00D021BA"/>
    <w:rsid w:val="00D023FD"/>
    <w:rsid w:val="00D0262E"/>
    <w:rsid w:val="00D028BE"/>
    <w:rsid w:val="00D02992"/>
    <w:rsid w:val="00D0455C"/>
    <w:rsid w:val="00D0499B"/>
    <w:rsid w:val="00D04C79"/>
    <w:rsid w:val="00D04E61"/>
    <w:rsid w:val="00D05E3D"/>
    <w:rsid w:val="00D060C7"/>
    <w:rsid w:val="00D06139"/>
    <w:rsid w:val="00D06CC7"/>
    <w:rsid w:val="00D07301"/>
    <w:rsid w:val="00D07F09"/>
    <w:rsid w:val="00D07F32"/>
    <w:rsid w:val="00D110BD"/>
    <w:rsid w:val="00D12AEC"/>
    <w:rsid w:val="00D13675"/>
    <w:rsid w:val="00D141E1"/>
    <w:rsid w:val="00D14D91"/>
    <w:rsid w:val="00D14FA3"/>
    <w:rsid w:val="00D1522F"/>
    <w:rsid w:val="00D15314"/>
    <w:rsid w:val="00D1545E"/>
    <w:rsid w:val="00D15601"/>
    <w:rsid w:val="00D164FA"/>
    <w:rsid w:val="00D16AA1"/>
    <w:rsid w:val="00D17D6C"/>
    <w:rsid w:val="00D206DE"/>
    <w:rsid w:val="00D206EA"/>
    <w:rsid w:val="00D20924"/>
    <w:rsid w:val="00D2155B"/>
    <w:rsid w:val="00D21E47"/>
    <w:rsid w:val="00D22759"/>
    <w:rsid w:val="00D2277B"/>
    <w:rsid w:val="00D233E7"/>
    <w:rsid w:val="00D23A8C"/>
    <w:rsid w:val="00D23C7D"/>
    <w:rsid w:val="00D23D11"/>
    <w:rsid w:val="00D244B6"/>
    <w:rsid w:val="00D24C37"/>
    <w:rsid w:val="00D24DC0"/>
    <w:rsid w:val="00D25768"/>
    <w:rsid w:val="00D2739E"/>
    <w:rsid w:val="00D27536"/>
    <w:rsid w:val="00D2754D"/>
    <w:rsid w:val="00D27B27"/>
    <w:rsid w:val="00D30310"/>
    <w:rsid w:val="00D319CC"/>
    <w:rsid w:val="00D31DB3"/>
    <w:rsid w:val="00D32034"/>
    <w:rsid w:val="00D329D1"/>
    <w:rsid w:val="00D32F6B"/>
    <w:rsid w:val="00D33BE9"/>
    <w:rsid w:val="00D33D61"/>
    <w:rsid w:val="00D33F93"/>
    <w:rsid w:val="00D3425B"/>
    <w:rsid w:val="00D3462B"/>
    <w:rsid w:val="00D34B7B"/>
    <w:rsid w:val="00D357FF"/>
    <w:rsid w:val="00D35DD3"/>
    <w:rsid w:val="00D36E2D"/>
    <w:rsid w:val="00D377B3"/>
    <w:rsid w:val="00D3781C"/>
    <w:rsid w:val="00D405D2"/>
    <w:rsid w:val="00D424C7"/>
    <w:rsid w:val="00D43B2A"/>
    <w:rsid w:val="00D43D83"/>
    <w:rsid w:val="00D448F2"/>
    <w:rsid w:val="00D4509B"/>
    <w:rsid w:val="00D45915"/>
    <w:rsid w:val="00D466C6"/>
    <w:rsid w:val="00D46977"/>
    <w:rsid w:val="00D473B3"/>
    <w:rsid w:val="00D47442"/>
    <w:rsid w:val="00D47575"/>
    <w:rsid w:val="00D476CC"/>
    <w:rsid w:val="00D5115A"/>
    <w:rsid w:val="00D51CCB"/>
    <w:rsid w:val="00D51DBE"/>
    <w:rsid w:val="00D5243B"/>
    <w:rsid w:val="00D52569"/>
    <w:rsid w:val="00D5264B"/>
    <w:rsid w:val="00D533EC"/>
    <w:rsid w:val="00D54689"/>
    <w:rsid w:val="00D56273"/>
    <w:rsid w:val="00D56694"/>
    <w:rsid w:val="00D56A95"/>
    <w:rsid w:val="00D56D17"/>
    <w:rsid w:val="00D6174B"/>
    <w:rsid w:val="00D618B0"/>
    <w:rsid w:val="00D62BFB"/>
    <w:rsid w:val="00D64477"/>
    <w:rsid w:val="00D649E0"/>
    <w:rsid w:val="00D65F98"/>
    <w:rsid w:val="00D666DD"/>
    <w:rsid w:val="00D67485"/>
    <w:rsid w:val="00D70B81"/>
    <w:rsid w:val="00D70F16"/>
    <w:rsid w:val="00D71171"/>
    <w:rsid w:val="00D715CE"/>
    <w:rsid w:val="00D71AC6"/>
    <w:rsid w:val="00D722AA"/>
    <w:rsid w:val="00D72F57"/>
    <w:rsid w:val="00D73E67"/>
    <w:rsid w:val="00D73F98"/>
    <w:rsid w:val="00D7441B"/>
    <w:rsid w:val="00D74961"/>
    <w:rsid w:val="00D74CC9"/>
    <w:rsid w:val="00D75AAF"/>
    <w:rsid w:val="00D75C18"/>
    <w:rsid w:val="00D76085"/>
    <w:rsid w:val="00D76A44"/>
    <w:rsid w:val="00D76B20"/>
    <w:rsid w:val="00D77247"/>
    <w:rsid w:val="00D77E76"/>
    <w:rsid w:val="00D80138"/>
    <w:rsid w:val="00D815EF"/>
    <w:rsid w:val="00D81F26"/>
    <w:rsid w:val="00D830F3"/>
    <w:rsid w:val="00D83D31"/>
    <w:rsid w:val="00D84439"/>
    <w:rsid w:val="00D85B75"/>
    <w:rsid w:val="00D85F07"/>
    <w:rsid w:val="00D86231"/>
    <w:rsid w:val="00D87C11"/>
    <w:rsid w:val="00D9120D"/>
    <w:rsid w:val="00D91923"/>
    <w:rsid w:val="00D93753"/>
    <w:rsid w:val="00D93B87"/>
    <w:rsid w:val="00D9457A"/>
    <w:rsid w:val="00D94BDD"/>
    <w:rsid w:val="00D970CF"/>
    <w:rsid w:val="00D9727E"/>
    <w:rsid w:val="00D972F4"/>
    <w:rsid w:val="00D97C1E"/>
    <w:rsid w:val="00DA1EB2"/>
    <w:rsid w:val="00DA2209"/>
    <w:rsid w:val="00DA3167"/>
    <w:rsid w:val="00DA4DC3"/>
    <w:rsid w:val="00DA5C93"/>
    <w:rsid w:val="00DA5F20"/>
    <w:rsid w:val="00DA5F3A"/>
    <w:rsid w:val="00DA635D"/>
    <w:rsid w:val="00DA75BC"/>
    <w:rsid w:val="00DA77A5"/>
    <w:rsid w:val="00DB0458"/>
    <w:rsid w:val="00DB0984"/>
    <w:rsid w:val="00DB1117"/>
    <w:rsid w:val="00DB180A"/>
    <w:rsid w:val="00DB2704"/>
    <w:rsid w:val="00DB2D75"/>
    <w:rsid w:val="00DB3DBF"/>
    <w:rsid w:val="00DB484F"/>
    <w:rsid w:val="00DB520E"/>
    <w:rsid w:val="00DB6043"/>
    <w:rsid w:val="00DC0438"/>
    <w:rsid w:val="00DC04F6"/>
    <w:rsid w:val="00DC0690"/>
    <w:rsid w:val="00DC099D"/>
    <w:rsid w:val="00DC14AD"/>
    <w:rsid w:val="00DC1515"/>
    <w:rsid w:val="00DC1D65"/>
    <w:rsid w:val="00DC3C57"/>
    <w:rsid w:val="00DC4387"/>
    <w:rsid w:val="00DC489F"/>
    <w:rsid w:val="00DC4AD3"/>
    <w:rsid w:val="00DC4BA2"/>
    <w:rsid w:val="00DC5387"/>
    <w:rsid w:val="00DC5501"/>
    <w:rsid w:val="00DC64FE"/>
    <w:rsid w:val="00DC7154"/>
    <w:rsid w:val="00DC7E8A"/>
    <w:rsid w:val="00DD0F78"/>
    <w:rsid w:val="00DD1138"/>
    <w:rsid w:val="00DD1421"/>
    <w:rsid w:val="00DD1871"/>
    <w:rsid w:val="00DD1D7A"/>
    <w:rsid w:val="00DD1FD6"/>
    <w:rsid w:val="00DD2151"/>
    <w:rsid w:val="00DD273C"/>
    <w:rsid w:val="00DD2907"/>
    <w:rsid w:val="00DD299E"/>
    <w:rsid w:val="00DD3793"/>
    <w:rsid w:val="00DD3F28"/>
    <w:rsid w:val="00DD4537"/>
    <w:rsid w:val="00DD46CE"/>
    <w:rsid w:val="00DD4A89"/>
    <w:rsid w:val="00DD4E15"/>
    <w:rsid w:val="00DD6B8D"/>
    <w:rsid w:val="00DE0C26"/>
    <w:rsid w:val="00DE1250"/>
    <w:rsid w:val="00DE1511"/>
    <w:rsid w:val="00DE222E"/>
    <w:rsid w:val="00DE2304"/>
    <w:rsid w:val="00DE3138"/>
    <w:rsid w:val="00DE37F8"/>
    <w:rsid w:val="00DE3972"/>
    <w:rsid w:val="00DE3A88"/>
    <w:rsid w:val="00DE3AC8"/>
    <w:rsid w:val="00DE3F74"/>
    <w:rsid w:val="00DE4E29"/>
    <w:rsid w:val="00DE4FCB"/>
    <w:rsid w:val="00DE5D07"/>
    <w:rsid w:val="00DE64FF"/>
    <w:rsid w:val="00DE72A7"/>
    <w:rsid w:val="00DE7832"/>
    <w:rsid w:val="00DE7C5A"/>
    <w:rsid w:val="00DF0352"/>
    <w:rsid w:val="00DF0991"/>
    <w:rsid w:val="00DF18FC"/>
    <w:rsid w:val="00DF1C3E"/>
    <w:rsid w:val="00DF2031"/>
    <w:rsid w:val="00DF314A"/>
    <w:rsid w:val="00DF3679"/>
    <w:rsid w:val="00DF4463"/>
    <w:rsid w:val="00DF4479"/>
    <w:rsid w:val="00DF5B35"/>
    <w:rsid w:val="00DF5CB5"/>
    <w:rsid w:val="00DF5D2B"/>
    <w:rsid w:val="00DF5EE2"/>
    <w:rsid w:val="00DF640A"/>
    <w:rsid w:val="00DF7587"/>
    <w:rsid w:val="00DF7779"/>
    <w:rsid w:val="00DF7C37"/>
    <w:rsid w:val="00E008FA"/>
    <w:rsid w:val="00E00E8E"/>
    <w:rsid w:val="00E011EF"/>
    <w:rsid w:val="00E038DA"/>
    <w:rsid w:val="00E04BE0"/>
    <w:rsid w:val="00E05630"/>
    <w:rsid w:val="00E06465"/>
    <w:rsid w:val="00E06868"/>
    <w:rsid w:val="00E06DBB"/>
    <w:rsid w:val="00E07A34"/>
    <w:rsid w:val="00E07FE5"/>
    <w:rsid w:val="00E07FFA"/>
    <w:rsid w:val="00E10149"/>
    <w:rsid w:val="00E1029A"/>
    <w:rsid w:val="00E10EBC"/>
    <w:rsid w:val="00E10F0A"/>
    <w:rsid w:val="00E11340"/>
    <w:rsid w:val="00E11F78"/>
    <w:rsid w:val="00E122A1"/>
    <w:rsid w:val="00E134EE"/>
    <w:rsid w:val="00E1382E"/>
    <w:rsid w:val="00E13E99"/>
    <w:rsid w:val="00E145F0"/>
    <w:rsid w:val="00E14A62"/>
    <w:rsid w:val="00E14E80"/>
    <w:rsid w:val="00E15CE3"/>
    <w:rsid w:val="00E16000"/>
    <w:rsid w:val="00E16372"/>
    <w:rsid w:val="00E16B2A"/>
    <w:rsid w:val="00E201A8"/>
    <w:rsid w:val="00E20E4D"/>
    <w:rsid w:val="00E20ED6"/>
    <w:rsid w:val="00E21358"/>
    <w:rsid w:val="00E21454"/>
    <w:rsid w:val="00E21C32"/>
    <w:rsid w:val="00E22067"/>
    <w:rsid w:val="00E2214D"/>
    <w:rsid w:val="00E222A8"/>
    <w:rsid w:val="00E2249B"/>
    <w:rsid w:val="00E22854"/>
    <w:rsid w:val="00E22A0D"/>
    <w:rsid w:val="00E22ABF"/>
    <w:rsid w:val="00E22FB4"/>
    <w:rsid w:val="00E244F6"/>
    <w:rsid w:val="00E24A26"/>
    <w:rsid w:val="00E24C43"/>
    <w:rsid w:val="00E2663F"/>
    <w:rsid w:val="00E26E3D"/>
    <w:rsid w:val="00E2771E"/>
    <w:rsid w:val="00E30B4E"/>
    <w:rsid w:val="00E311EF"/>
    <w:rsid w:val="00E32004"/>
    <w:rsid w:val="00E320D6"/>
    <w:rsid w:val="00E32180"/>
    <w:rsid w:val="00E32366"/>
    <w:rsid w:val="00E33440"/>
    <w:rsid w:val="00E334C0"/>
    <w:rsid w:val="00E34948"/>
    <w:rsid w:val="00E35663"/>
    <w:rsid w:val="00E356C2"/>
    <w:rsid w:val="00E37569"/>
    <w:rsid w:val="00E375FD"/>
    <w:rsid w:val="00E401B2"/>
    <w:rsid w:val="00E40CA5"/>
    <w:rsid w:val="00E4100A"/>
    <w:rsid w:val="00E41E30"/>
    <w:rsid w:val="00E42BEF"/>
    <w:rsid w:val="00E42F73"/>
    <w:rsid w:val="00E43D70"/>
    <w:rsid w:val="00E44DAA"/>
    <w:rsid w:val="00E4505C"/>
    <w:rsid w:val="00E451E0"/>
    <w:rsid w:val="00E4547A"/>
    <w:rsid w:val="00E45C0A"/>
    <w:rsid w:val="00E45F0C"/>
    <w:rsid w:val="00E46257"/>
    <w:rsid w:val="00E466F3"/>
    <w:rsid w:val="00E46D34"/>
    <w:rsid w:val="00E4759D"/>
    <w:rsid w:val="00E47B2C"/>
    <w:rsid w:val="00E50F7B"/>
    <w:rsid w:val="00E51560"/>
    <w:rsid w:val="00E51A15"/>
    <w:rsid w:val="00E525CC"/>
    <w:rsid w:val="00E52D44"/>
    <w:rsid w:val="00E53FC8"/>
    <w:rsid w:val="00E54347"/>
    <w:rsid w:val="00E55245"/>
    <w:rsid w:val="00E55424"/>
    <w:rsid w:val="00E55915"/>
    <w:rsid w:val="00E55BB5"/>
    <w:rsid w:val="00E56B82"/>
    <w:rsid w:val="00E56F33"/>
    <w:rsid w:val="00E60702"/>
    <w:rsid w:val="00E6144E"/>
    <w:rsid w:val="00E62BFD"/>
    <w:rsid w:val="00E6355F"/>
    <w:rsid w:val="00E63C08"/>
    <w:rsid w:val="00E63F37"/>
    <w:rsid w:val="00E64088"/>
    <w:rsid w:val="00E6454B"/>
    <w:rsid w:val="00E65D97"/>
    <w:rsid w:val="00E65E79"/>
    <w:rsid w:val="00E66BA2"/>
    <w:rsid w:val="00E67416"/>
    <w:rsid w:val="00E704B4"/>
    <w:rsid w:val="00E70F81"/>
    <w:rsid w:val="00E718B6"/>
    <w:rsid w:val="00E71B6F"/>
    <w:rsid w:val="00E723BA"/>
    <w:rsid w:val="00E727EE"/>
    <w:rsid w:val="00E72B9D"/>
    <w:rsid w:val="00E73581"/>
    <w:rsid w:val="00E74019"/>
    <w:rsid w:val="00E751FE"/>
    <w:rsid w:val="00E757DA"/>
    <w:rsid w:val="00E76036"/>
    <w:rsid w:val="00E76849"/>
    <w:rsid w:val="00E769DA"/>
    <w:rsid w:val="00E772DD"/>
    <w:rsid w:val="00E772FE"/>
    <w:rsid w:val="00E77B75"/>
    <w:rsid w:val="00E80739"/>
    <w:rsid w:val="00E81F21"/>
    <w:rsid w:val="00E833AE"/>
    <w:rsid w:val="00E833F7"/>
    <w:rsid w:val="00E83755"/>
    <w:rsid w:val="00E83BDF"/>
    <w:rsid w:val="00E85D87"/>
    <w:rsid w:val="00E86710"/>
    <w:rsid w:val="00E874F4"/>
    <w:rsid w:val="00E878D4"/>
    <w:rsid w:val="00E87A1D"/>
    <w:rsid w:val="00E87BA2"/>
    <w:rsid w:val="00E87C69"/>
    <w:rsid w:val="00E87FD3"/>
    <w:rsid w:val="00E90006"/>
    <w:rsid w:val="00E9094A"/>
    <w:rsid w:val="00E90C41"/>
    <w:rsid w:val="00E9159C"/>
    <w:rsid w:val="00E91D35"/>
    <w:rsid w:val="00E926A5"/>
    <w:rsid w:val="00E93194"/>
    <w:rsid w:val="00E93A29"/>
    <w:rsid w:val="00E94E9A"/>
    <w:rsid w:val="00E9543F"/>
    <w:rsid w:val="00E96580"/>
    <w:rsid w:val="00E97C36"/>
    <w:rsid w:val="00E97ED5"/>
    <w:rsid w:val="00EA0587"/>
    <w:rsid w:val="00EA1470"/>
    <w:rsid w:val="00EA17C3"/>
    <w:rsid w:val="00EA1CA9"/>
    <w:rsid w:val="00EA2285"/>
    <w:rsid w:val="00EA23F8"/>
    <w:rsid w:val="00EA249A"/>
    <w:rsid w:val="00EA2987"/>
    <w:rsid w:val="00EA2B42"/>
    <w:rsid w:val="00EA2CAA"/>
    <w:rsid w:val="00EA3864"/>
    <w:rsid w:val="00EA6C8A"/>
    <w:rsid w:val="00EA714E"/>
    <w:rsid w:val="00EA7F1C"/>
    <w:rsid w:val="00EA7F7B"/>
    <w:rsid w:val="00EB0FFB"/>
    <w:rsid w:val="00EB15B6"/>
    <w:rsid w:val="00EB19BC"/>
    <w:rsid w:val="00EB2B8F"/>
    <w:rsid w:val="00EB3588"/>
    <w:rsid w:val="00EB3602"/>
    <w:rsid w:val="00EB3D06"/>
    <w:rsid w:val="00EB458F"/>
    <w:rsid w:val="00EB4916"/>
    <w:rsid w:val="00EB5750"/>
    <w:rsid w:val="00EB5864"/>
    <w:rsid w:val="00EB5F9A"/>
    <w:rsid w:val="00EB7437"/>
    <w:rsid w:val="00EB7C39"/>
    <w:rsid w:val="00EC00C9"/>
    <w:rsid w:val="00EC0DD9"/>
    <w:rsid w:val="00EC1E71"/>
    <w:rsid w:val="00EC2348"/>
    <w:rsid w:val="00EC2649"/>
    <w:rsid w:val="00EC31ED"/>
    <w:rsid w:val="00EC4E23"/>
    <w:rsid w:val="00EC5112"/>
    <w:rsid w:val="00EC5836"/>
    <w:rsid w:val="00EC5C9A"/>
    <w:rsid w:val="00EC67DC"/>
    <w:rsid w:val="00EC688C"/>
    <w:rsid w:val="00EC7080"/>
    <w:rsid w:val="00ED07E3"/>
    <w:rsid w:val="00ED084F"/>
    <w:rsid w:val="00ED0A79"/>
    <w:rsid w:val="00ED1A72"/>
    <w:rsid w:val="00ED1E4E"/>
    <w:rsid w:val="00ED1F74"/>
    <w:rsid w:val="00ED2130"/>
    <w:rsid w:val="00ED2A9A"/>
    <w:rsid w:val="00ED2D38"/>
    <w:rsid w:val="00ED34D0"/>
    <w:rsid w:val="00ED3AF5"/>
    <w:rsid w:val="00ED467D"/>
    <w:rsid w:val="00ED4A07"/>
    <w:rsid w:val="00ED57EA"/>
    <w:rsid w:val="00ED5BD4"/>
    <w:rsid w:val="00ED6338"/>
    <w:rsid w:val="00ED642E"/>
    <w:rsid w:val="00ED6689"/>
    <w:rsid w:val="00ED69F6"/>
    <w:rsid w:val="00ED6AB6"/>
    <w:rsid w:val="00ED6C62"/>
    <w:rsid w:val="00ED7BC8"/>
    <w:rsid w:val="00ED7BDE"/>
    <w:rsid w:val="00EE01EC"/>
    <w:rsid w:val="00EE07D3"/>
    <w:rsid w:val="00EE1996"/>
    <w:rsid w:val="00EE1C01"/>
    <w:rsid w:val="00EE22AF"/>
    <w:rsid w:val="00EE23E4"/>
    <w:rsid w:val="00EE248A"/>
    <w:rsid w:val="00EE2823"/>
    <w:rsid w:val="00EE3552"/>
    <w:rsid w:val="00EE37E8"/>
    <w:rsid w:val="00EE4001"/>
    <w:rsid w:val="00EE4223"/>
    <w:rsid w:val="00EE4E6D"/>
    <w:rsid w:val="00EE57E5"/>
    <w:rsid w:val="00EE6780"/>
    <w:rsid w:val="00EE6C91"/>
    <w:rsid w:val="00EF0171"/>
    <w:rsid w:val="00EF0FE1"/>
    <w:rsid w:val="00EF1B25"/>
    <w:rsid w:val="00EF1DA0"/>
    <w:rsid w:val="00EF1F4D"/>
    <w:rsid w:val="00EF209F"/>
    <w:rsid w:val="00EF3E2A"/>
    <w:rsid w:val="00EF4747"/>
    <w:rsid w:val="00EF4BF8"/>
    <w:rsid w:val="00EF4FFF"/>
    <w:rsid w:val="00EF6968"/>
    <w:rsid w:val="00EF717B"/>
    <w:rsid w:val="00EF74DA"/>
    <w:rsid w:val="00F00E1D"/>
    <w:rsid w:val="00F0161C"/>
    <w:rsid w:val="00F01EDA"/>
    <w:rsid w:val="00F02253"/>
    <w:rsid w:val="00F03A26"/>
    <w:rsid w:val="00F03C2E"/>
    <w:rsid w:val="00F04A66"/>
    <w:rsid w:val="00F04B4B"/>
    <w:rsid w:val="00F04B8C"/>
    <w:rsid w:val="00F0516C"/>
    <w:rsid w:val="00F052D2"/>
    <w:rsid w:val="00F0530F"/>
    <w:rsid w:val="00F06394"/>
    <w:rsid w:val="00F06477"/>
    <w:rsid w:val="00F067A2"/>
    <w:rsid w:val="00F07B9E"/>
    <w:rsid w:val="00F07F6A"/>
    <w:rsid w:val="00F10471"/>
    <w:rsid w:val="00F1116F"/>
    <w:rsid w:val="00F1148A"/>
    <w:rsid w:val="00F11F4A"/>
    <w:rsid w:val="00F1263A"/>
    <w:rsid w:val="00F1277B"/>
    <w:rsid w:val="00F1546A"/>
    <w:rsid w:val="00F15ADD"/>
    <w:rsid w:val="00F15B77"/>
    <w:rsid w:val="00F16A2C"/>
    <w:rsid w:val="00F16CBD"/>
    <w:rsid w:val="00F170F6"/>
    <w:rsid w:val="00F21677"/>
    <w:rsid w:val="00F222D5"/>
    <w:rsid w:val="00F23138"/>
    <w:rsid w:val="00F2401F"/>
    <w:rsid w:val="00F24182"/>
    <w:rsid w:val="00F245B3"/>
    <w:rsid w:val="00F24837"/>
    <w:rsid w:val="00F24CB9"/>
    <w:rsid w:val="00F25688"/>
    <w:rsid w:val="00F2575F"/>
    <w:rsid w:val="00F25B58"/>
    <w:rsid w:val="00F2702C"/>
    <w:rsid w:val="00F27367"/>
    <w:rsid w:val="00F27565"/>
    <w:rsid w:val="00F27B41"/>
    <w:rsid w:val="00F310D4"/>
    <w:rsid w:val="00F313F6"/>
    <w:rsid w:val="00F31D5A"/>
    <w:rsid w:val="00F32A66"/>
    <w:rsid w:val="00F333CC"/>
    <w:rsid w:val="00F33975"/>
    <w:rsid w:val="00F33DE9"/>
    <w:rsid w:val="00F33DF8"/>
    <w:rsid w:val="00F3435C"/>
    <w:rsid w:val="00F344A0"/>
    <w:rsid w:val="00F3551C"/>
    <w:rsid w:val="00F35E6D"/>
    <w:rsid w:val="00F3619A"/>
    <w:rsid w:val="00F3626A"/>
    <w:rsid w:val="00F366DC"/>
    <w:rsid w:val="00F36C87"/>
    <w:rsid w:val="00F37272"/>
    <w:rsid w:val="00F407FC"/>
    <w:rsid w:val="00F40AAA"/>
    <w:rsid w:val="00F40BA7"/>
    <w:rsid w:val="00F40F9D"/>
    <w:rsid w:val="00F41804"/>
    <w:rsid w:val="00F41ACD"/>
    <w:rsid w:val="00F42891"/>
    <w:rsid w:val="00F4363C"/>
    <w:rsid w:val="00F43D58"/>
    <w:rsid w:val="00F43E0E"/>
    <w:rsid w:val="00F4430E"/>
    <w:rsid w:val="00F45168"/>
    <w:rsid w:val="00F4610C"/>
    <w:rsid w:val="00F46CB6"/>
    <w:rsid w:val="00F46EEF"/>
    <w:rsid w:val="00F4756D"/>
    <w:rsid w:val="00F4774B"/>
    <w:rsid w:val="00F47DE8"/>
    <w:rsid w:val="00F47E3D"/>
    <w:rsid w:val="00F50872"/>
    <w:rsid w:val="00F51C1B"/>
    <w:rsid w:val="00F51DE1"/>
    <w:rsid w:val="00F5208F"/>
    <w:rsid w:val="00F52DF2"/>
    <w:rsid w:val="00F52E70"/>
    <w:rsid w:val="00F52EE7"/>
    <w:rsid w:val="00F53843"/>
    <w:rsid w:val="00F542C1"/>
    <w:rsid w:val="00F55095"/>
    <w:rsid w:val="00F557BB"/>
    <w:rsid w:val="00F55E73"/>
    <w:rsid w:val="00F55EDA"/>
    <w:rsid w:val="00F562C1"/>
    <w:rsid w:val="00F563A2"/>
    <w:rsid w:val="00F563B7"/>
    <w:rsid w:val="00F56C80"/>
    <w:rsid w:val="00F574AA"/>
    <w:rsid w:val="00F579AD"/>
    <w:rsid w:val="00F60092"/>
    <w:rsid w:val="00F600B1"/>
    <w:rsid w:val="00F608A1"/>
    <w:rsid w:val="00F60FCB"/>
    <w:rsid w:val="00F61B22"/>
    <w:rsid w:val="00F61C18"/>
    <w:rsid w:val="00F61C22"/>
    <w:rsid w:val="00F62C28"/>
    <w:rsid w:val="00F62CC6"/>
    <w:rsid w:val="00F65F4B"/>
    <w:rsid w:val="00F67A69"/>
    <w:rsid w:val="00F70BFF"/>
    <w:rsid w:val="00F70C9D"/>
    <w:rsid w:val="00F7155F"/>
    <w:rsid w:val="00F7168F"/>
    <w:rsid w:val="00F717C0"/>
    <w:rsid w:val="00F72AFD"/>
    <w:rsid w:val="00F72D5E"/>
    <w:rsid w:val="00F741AC"/>
    <w:rsid w:val="00F74A99"/>
    <w:rsid w:val="00F74CD9"/>
    <w:rsid w:val="00F75615"/>
    <w:rsid w:val="00F756FE"/>
    <w:rsid w:val="00F75A0E"/>
    <w:rsid w:val="00F77237"/>
    <w:rsid w:val="00F80183"/>
    <w:rsid w:val="00F8033C"/>
    <w:rsid w:val="00F80A7B"/>
    <w:rsid w:val="00F80E5D"/>
    <w:rsid w:val="00F81E78"/>
    <w:rsid w:val="00F822D4"/>
    <w:rsid w:val="00F826A1"/>
    <w:rsid w:val="00F83036"/>
    <w:rsid w:val="00F84159"/>
    <w:rsid w:val="00F851CE"/>
    <w:rsid w:val="00F869B0"/>
    <w:rsid w:val="00F90749"/>
    <w:rsid w:val="00F90934"/>
    <w:rsid w:val="00F90C84"/>
    <w:rsid w:val="00F9116D"/>
    <w:rsid w:val="00F91219"/>
    <w:rsid w:val="00F92444"/>
    <w:rsid w:val="00F9302E"/>
    <w:rsid w:val="00F936EE"/>
    <w:rsid w:val="00F9393E"/>
    <w:rsid w:val="00F93C34"/>
    <w:rsid w:val="00F93E5D"/>
    <w:rsid w:val="00F946C6"/>
    <w:rsid w:val="00F94F64"/>
    <w:rsid w:val="00F95F9E"/>
    <w:rsid w:val="00F961B6"/>
    <w:rsid w:val="00F96FD0"/>
    <w:rsid w:val="00F9764A"/>
    <w:rsid w:val="00F97A78"/>
    <w:rsid w:val="00FA0264"/>
    <w:rsid w:val="00FA0503"/>
    <w:rsid w:val="00FA0B20"/>
    <w:rsid w:val="00FA0D77"/>
    <w:rsid w:val="00FA24E7"/>
    <w:rsid w:val="00FA2940"/>
    <w:rsid w:val="00FA2FE1"/>
    <w:rsid w:val="00FA3DBB"/>
    <w:rsid w:val="00FA4235"/>
    <w:rsid w:val="00FA5EE6"/>
    <w:rsid w:val="00FA6017"/>
    <w:rsid w:val="00FA6D75"/>
    <w:rsid w:val="00FA7380"/>
    <w:rsid w:val="00FA78B7"/>
    <w:rsid w:val="00FA7956"/>
    <w:rsid w:val="00FB0234"/>
    <w:rsid w:val="00FB04F6"/>
    <w:rsid w:val="00FB09B0"/>
    <w:rsid w:val="00FB2B3C"/>
    <w:rsid w:val="00FB2CEB"/>
    <w:rsid w:val="00FB2FCB"/>
    <w:rsid w:val="00FB3381"/>
    <w:rsid w:val="00FB35FF"/>
    <w:rsid w:val="00FB37AD"/>
    <w:rsid w:val="00FB395F"/>
    <w:rsid w:val="00FB4647"/>
    <w:rsid w:val="00FB4763"/>
    <w:rsid w:val="00FB48B8"/>
    <w:rsid w:val="00FB5A06"/>
    <w:rsid w:val="00FB645D"/>
    <w:rsid w:val="00FB6750"/>
    <w:rsid w:val="00FB763A"/>
    <w:rsid w:val="00FB7B89"/>
    <w:rsid w:val="00FB7C55"/>
    <w:rsid w:val="00FC049E"/>
    <w:rsid w:val="00FC04AE"/>
    <w:rsid w:val="00FC1074"/>
    <w:rsid w:val="00FC11AB"/>
    <w:rsid w:val="00FC1884"/>
    <w:rsid w:val="00FC18BB"/>
    <w:rsid w:val="00FC28FE"/>
    <w:rsid w:val="00FC2D52"/>
    <w:rsid w:val="00FC371D"/>
    <w:rsid w:val="00FC3799"/>
    <w:rsid w:val="00FC39B3"/>
    <w:rsid w:val="00FC416C"/>
    <w:rsid w:val="00FC4BAB"/>
    <w:rsid w:val="00FC5F0B"/>
    <w:rsid w:val="00FC6BD6"/>
    <w:rsid w:val="00FC6F51"/>
    <w:rsid w:val="00FC7586"/>
    <w:rsid w:val="00FC796E"/>
    <w:rsid w:val="00FC7BBB"/>
    <w:rsid w:val="00FC7D23"/>
    <w:rsid w:val="00FD028D"/>
    <w:rsid w:val="00FD078A"/>
    <w:rsid w:val="00FD18FB"/>
    <w:rsid w:val="00FD1DCF"/>
    <w:rsid w:val="00FD2100"/>
    <w:rsid w:val="00FD3617"/>
    <w:rsid w:val="00FD3768"/>
    <w:rsid w:val="00FD38F1"/>
    <w:rsid w:val="00FD3913"/>
    <w:rsid w:val="00FD436C"/>
    <w:rsid w:val="00FD446D"/>
    <w:rsid w:val="00FD48D9"/>
    <w:rsid w:val="00FD4F2C"/>
    <w:rsid w:val="00FD5FBD"/>
    <w:rsid w:val="00FD6394"/>
    <w:rsid w:val="00FD6593"/>
    <w:rsid w:val="00FE0E6C"/>
    <w:rsid w:val="00FE172F"/>
    <w:rsid w:val="00FE1BAA"/>
    <w:rsid w:val="00FE1CDC"/>
    <w:rsid w:val="00FE3489"/>
    <w:rsid w:val="00FE3654"/>
    <w:rsid w:val="00FE3A5A"/>
    <w:rsid w:val="00FE3CF5"/>
    <w:rsid w:val="00FE46DE"/>
    <w:rsid w:val="00FE58C7"/>
    <w:rsid w:val="00FE6209"/>
    <w:rsid w:val="00FE6BF3"/>
    <w:rsid w:val="00FE70C3"/>
    <w:rsid w:val="00FF0EEA"/>
    <w:rsid w:val="00FF1905"/>
    <w:rsid w:val="00FF2AD9"/>
    <w:rsid w:val="00FF359F"/>
    <w:rsid w:val="00FF3DCF"/>
    <w:rsid w:val="00FF3F57"/>
    <w:rsid w:val="00FF3FF5"/>
    <w:rsid w:val="00FF41AC"/>
    <w:rsid w:val="00FF492C"/>
    <w:rsid w:val="00FF4A21"/>
    <w:rsid w:val="00FF4B48"/>
    <w:rsid w:val="00FF5AA3"/>
    <w:rsid w:val="00FF5AD8"/>
    <w:rsid w:val="00FF5D0B"/>
    <w:rsid w:val="00FF629C"/>
    <w:rsid w:val="00FF6632"/>
    <w:rsid w:val="00FF71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9E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E47"/>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Default">
    <w:name w:val="Default"/>
    <w:rsid w:val="00781AEB"/>
    <w:pPr>
      <w:autoSpaceDE w:val="0"/>
      <w:autoSpaceDN w:val="0"/>
      <w:adjustRightInd w:val="0"/>
    </w:pPr>
    <w:rPr>
      <w:color w:val="000000"/>
      <w:sz w:val="24"/>
      <w:szCs w:val="24"/>
      <w:lang w:val="en-US" w:eastAsia="en-US"/>
    </w:rPr>
  </w:style>
  <w:style w:type="paragraph" w:customStyle="1" w:styleId="TableTextleftalign">
    <w:name w:val="Table Text left align"/>
    <w:basedOn w:val="TableTitlecentred"/>
    <w:link w:val="TableTextleftalignChar"/>
    <w:qFormat/>
    <w:rsid w:val="005862D7"/>
    <w:pPr>
      <w:jc w:val="left"/>
    </w:pPr>
    <w:rPr>
      <w:b w:val="0"/>
      <w:szCs w:val="18"/>
    </w:rPr>
  </w:style>
  <w:style w:type="paragraph" w:customStyle="1" w:styleId="TableTextcentred">
    <w:name w:val="Table Text centred"/>
    <w:basedOn w:val="Normal"/>
    <w:link w:val="TableTextcentredChar"/>
    <w:qFormat/>
    <w:rsid w:val="005862D7"/>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5862D7"/>
    <w:rPr>
      <w:rFonts w:ascii="Calibri" w:hAnsi="Calibri"/>
      <w:sz w:val="18"/>
      <w:szCs w:val="18"/>
      <w:lang w:eastAsia="en-US"/>
    </w:rPr>
  </w:style>
  <w:style w:type="character" w:customStyle="1" w:styleId="TableTextleftalignChar">
    <w:name w:val="Table Text left align Char"/>
    <w:basedOn w:val="DefaultParagraphFont"/>
    <w:link w:val="TableTextleftalign"/>
    <w:rsid w:val="005862D7"/>
    <w:rPr>
      <w:rFonts w:ascii="Calibri" w:hAnsi="Calibri"/>
      <w:sz w:val="18"/>
      <w:szCs w:val="18"/>
      <w:lang w:eastAsia="en-US"/>
    </w:rPr>
  </w:style>
  <w:style w:type="paragraph" w:customStyle="1" w:styleId="TableTitlecentred">
    <w:name w:val="Table Title centred"/>
    <w:basedOn w:val="Normal"/>
    <w:rsid w:val="005862D7"/>
    <w:pPr>
      <w:jc w:val="center"/>
    </w:pPr>
    <w:rPr>
      <w:rFonts w:cs="Times New Roman"/>
      <w:b/>
      <w:sz w:val="18"/>
      <w:szCs w:val="20"/>
      <w:lang w:eastAsia="en-US"/>
    </w:rPr>
  </w:style>
  <w:style w:type="paragraph" w:customStyle="1" w:styleId="TableTextbullet">
    <w:name w:val="Table Text bullet"/>
    <w:basedOn w:val="Normal"/>
    <w:link w:val="TableTextbulletChar"/>
    <w:autoRedefine/>
    <w:qFormat/>
    <w:rsid w:val="00891D23"/>
    <w:pPr>
      <w:numPr>
        <w:ilvl w:val="1"/>
        <w:numId w:val="8"/>
      </w:numPr>
      <w:jc w:val="left"/>
    </w:pPr>
    <w:rPr>
      <w:rFonts w:cs="Times New Roman"/>
      <w:sz w:val="18"/>
      <w:szCs w:val="20"/>
      <w:lang w:val="en-US" w:eastAsia="en-US"/>
    </w:rPr>
  </w:style>
  <w:style w:type="character" w:customStyle="1" w:styleId="TableTextbulletChar">
    <w:name w:val="Table Text bullet Char"/>
    <w:basedOn w:val="DefaultParagraphFont"/>
    <w:link w:val="TableTextbullet"/>
    <w:rsid w:val="00891D23"/>
    <w:rPr>
      <w:rFonts w:ascii="Calibri" w:hAnsi="Calibri"/>
      <w:sz w:val="18"/>
      <w:lang w:val="en-US" w:eastAsia="en-US"/>
    </w:rPr>
  </w:style>
  <w:style w:type="paragraph" w:customStyle="1" w:styleId="bulletlevel2">
    <w:name w:val="bullet level 2"/>
    <w:basedOn w:val="Normal"/>
    <w:link w:val="bulletlevel2Char"/>
    <w:rsid w:val="00CC7CE9"/>
    <w:pPr>
      <w:numPr>
        <w:numId w:val="7"/>
      </w:numPr>
      <w:tabs>
        <w:tab w:val="clear" w:pos="1134"/>
        <w:tab w:val="num" w:pos="851"/>
      </w:tabs>
      <w:ind w:left="851" w:hanging="425"/>
      <w:jc w:val="left"/>
    </w:pPr>
    <w:rPr>
      <w:rFonts w:cs="Times New Roman"/>
      <w:color w:val="000000"/>
      <w:sz w:val="22"/>
      <w:szCs w:val="22"/>
      <w:lang w:val="en-US" w:eastAsia="en-US"/>
    </w:rPr>
  </w:style>
  <w:style w:type="character" w:customStyle="1" w:styleId="bulletlevel2Char">
    <w:name w:val="bullet level 2 Char"/>
    <w:basedOn w:val="DefaultParagraphFont"/>
    <w:link w:val="bulletlevel2"/>
    <w:rsid w:val="00CC7CE9"/>
    <w:rPr>
      <w:rFonts w:ascii="Calibri" w:hAnsi="Calibri"/>
      <w:color w:val="000000"/>
      <w:sz w:val="22"/>
      <w:szCs w:val="22"/>
      <w:lang w:val="en-US" w:eastAsia="en-US"/>
    </w:rPr>
  </w:style>
  <w:style w:type="character" w:customStyle="1" w:styleId="form-strength">
    <w:name w:val="form-strength"/>
    <w:basedOn w:val="DefaultParagraphFont"/>
    <w:rsid w:val="005652E4"/>
  </w:style>
  <w:style w:type="paragraph" w:customStyle="1" w:styleId="msonormal0">
    <w:name w:val="msonormal"/>
    <w:basedOn w:val="Normal"/>
    <w:rsid w:val="00981F03"/>
    <w:pPr>
      <w:spacing w:before="100" w:beforeAutospacing="1" w:after="100" w:afterAutospacing="1"/>
      <w:jc w:val="left"/>
    </w:pPr>
    <w:rPr>
      <w:rFonts w:ascii="Times New Roman" w:hAnsi="Times New Roman" w:cs="Times New Roman"/>
    </w:rPr>
  </w:style>
  <w:style w:type="paragraph" w:customStyle="1" w:styleId="font5">
    <w:name w:val="font5"/>
    <w:basedOn w:val="Normal"/>
    <w:rsid w:val="00981F03"/>
    <w:pPr>
      <w:spacing w:before="100" w:beforeAutospacing="1" w:after="100" w:afterAutospacing="1"/>
      <w:jc w:val="left"/>
    </w:pPr>
    <w:rPr>
      <w:rFonts w:cs="Calibri"/>
      <w:color w:val="000000"/>
      <w:sz w:val="18"/>
      <w:szCs w:val="18"/>
    </w:rPr>
  </w:style>
  <w:style w:type="paragraph" w:customStyle="1" w:styleId="xl65">
    <w:name w:val="xl65"/>
    <w:basedOn w:val="Normal"/>
    <w:rsid w:val="00981F0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66">
    <w:name w:val="xl66"/>
    <w:basedOn w:val="Normal"/>
    <w:rsid w:val="00981F03"/>
    <w:pPr>
      <w:pBdr>
        <w:bottom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67">
    <w:name w:val="xl67"/>
    <w:basedOn w:val="Normal"/>
    <w:rsid w:val="00981F03"/>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cs="Times New Roman"/>
      <w:sz w:val="20"/>
      <w:szCs w:val="20"/>
    </w:rPr>
  </w:style>
  <w:style w:type="paragraph" w:customStyle="1" w:styleId="xl68">
    <w:name w:val="xl68"/>
    <w:basedOn w:val="Normal"/>
    <w:rsid w:val="00981F03"/>
    <w:pPr>
      <w:pBdr>
        <w:bottom w:val="single" w:sz="8" w:space="0" w:color="auto"/>
        <w:right w:val="single" w:sz="8" w:space="0" w:color="auto"/>
      </w:pBdr>
      <w:spacing w:before="100" w:beforeAutospacing="1" w:after="100" w:afterAutospacing="1"/>
      <w:jc w:val="center"/>
      <w:textAlignment w:val="center"/>
    </w:pPr>
    <w:rPr>
      <w:rFonts w:ascii="Arial Narrow" w:hAnsi="Arial Narrow" w:cs="Times New Roman"/>
      <w:sz w:val="20"/>
      <w:szCs w:val="20"/>
    </w:rPr>
  </w:style>
  <w:style w:type="paragraph" w:customStyle="1" w:styleId="xl69">
    <w:name w:val="xl69"/>
    <w:basedOn w:val="Normal"/>
    <w:rsid w:val="00981F03"/>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0">
    <w:name w:val="xl70"/>
    <w:basedOn w:val="Normal"/>
    <w:rsid w:val="00981F03"/>
    <w:pPr>
      <w:pBdr>
        <w:bottom w:val="single" w:sz="8" w:space="0" w:color="auto"/>
        <w:right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1">
    <w:name w:val="xl71"/>
    <w:basedOn w:val="Normal"/>
    <w:rsid w:val="00981F0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72">
    <w:name w:val="xl72"/>
    <w:basedOn w:val="Normal"/>
    <w:rsid w:val="00981F03"/>
    <w:pPr>
      <w:pBdr>
        <w:top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3">
    <w:name w:val="xl73"/>
    <w:basedOn w:val="Normal"/>
    <w:rsid w:val="00981F03"/>
    <w:pPr>
      <w:pBdr>
        <w:top w:val="single" w:sz="8" w:space="0" w:color="auto"/>
        <w:left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4">
    <w:name w:val="xl74"/>
    <w:basedOn w:val="Normal"/>
    <w:rsid w:val="00981F03"/>
    <w:pPr>
      <w:pBdr>
        <w:top w:val="single" w:sz="8" w:space="0" w:color="auto"/>
        <w:right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5">
    <w:name w:val="xl75"/>
    <w:basedOn w:val="Normal"/>
    <w:rsid w:val="00981F03"/>
    <w:pPr>
      <w:pBdr>
        <w:left w:val="single" w:sz="8" w:space="0" w:color="auto"/>
        <w:bottom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6">
    <w:name w:val="xl76"/>
    <w:basedOn w:val="Normal"/>
    <w:rsid w:val="00981F03"/>
    <w:pPr>
      <w:pBdr>
        <w:bottom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7">
    <w:name w:val="xl77"/>
    <w:basedOn w:val="Normal"/>
    <w:rsid w:val="00981F03"/>
    <w:pPr>
      <w:pBdr>
        <w:top w:val="single" w:sz="8" w:space="0" w:color="auto"/>
        <w:left w:val="single" w:sz="8" w:space="0" w:color="auto"/>
        <w:right w:val="single" w:sz="8"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78">
    <w:name w:val="xl78"/>
    <w:basedOn w:val="Normal"/>
    <w:rsid w:val="00981F03"/>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cs="Times New Roman"/>
      <w:sz w:val="18"/>
      <w:szCs w:val="18"/>
    </w:rPr>
  </w:style>
  <w:style w:type="paragraph" w:customStyle="1" w:styleId="xl79">
    <w:name w:val="xl79"/>
    <w:basedOn w:val="Normal"/>
    <w:rsid w:val="00981F03"/>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80">
    <w:name w:val="xl80"/>
    <w:basedOn w:val="Normal"/>
    <w:rsid w:val="00981F03"/>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i/>
      <w:iCs/>
      <w:sz w:val="18"/>
      <w:szCs w:val="18"/>
    </w:rPr>
  </w:style>
  <w:style w:type="paragraph" w:customStyle="1" w:styleId="TableFootnoteindent">
    <w:name w:val="Table Footnote indent"/>
    <w:basedOn w:val="Normal"/>
    <w:next w:val="Normal"/>
    <w:link w:val="TableFootnoteindentChar"/>
    <w:qFormat/>
    <w:rsid w:val="007353C5"/>
    <w:pPr>
      <w:tabs>
        <w:tab w:val="left" w:pos="284"/>
      </w:tabs>
      <w:ind w:left="284" w:hanging="284"/>
      <w:jc w:val="left"/>
    </w:pPr>
    <w:rPr>
      <w:rFonts w:cs="Times New Roman"/>
      <w:sz w:val="16"/>
      <w:szCs w:val="22"/>
      <w:lang w:eastAsia="en-US"/>
    </w:rPr>
  </w:style>
  <w:style w:type="character" w:customStyle="1" w:styleId="TableFootnoteindentChar">
    <w:name w:val="Table Footnote indent Char"/>
    <w:basedOn w:val="DefaultParagraphFont"/>
    <w:link w:val="TableFootnoteindent"/>
    <w:rsid w:val="007353C5"/>
    <w:rPr>
      <w:rFonts w:ascii="Calibri" w:hAnsi="Calibri"/>
      <w:sz w:val="16"/>
      <w:szCs w:val="22"/>
      <w:lang w:eastAsia="en-US"/>
    </w:rPr>
  </w:style>
  <w:style w:type="paragraph" w:customStyle="1" w:styleId="bulletlevel1">
    <w:name w:val="bullet level 1"/>
    <w:basedOn w:val="Normal"/>
    <w:link w:val="bulletlevel1Char"/>
    <w:rsid w:val="004E46F8"/>
    <w:pPr>
      <w:numPr>
        <w:numId w:val="9"/>
      </w:numPr>
      <w:tabs>
        <w:tab w:val="clear" w:pos="567"/>
        <w:tab w:val="num" w:pos="426"/>
      </w:tabs>
      <w:ind w:left="426" w:hanging="426"/>
      <w:jc w:val="left"/>
    </w:pPr>
    <w:rPr>
      <w:rFonts w:cs="Times New Roman"/>
      <w:sz w:val="22"/>
      <w:szCs w:val="22"/>
      <w:lang w:eastAsia="en-US"/>
    </w:rPr>
  </w:style>
  <w:style w:type="character" w:customStyle="1" w:styleId="bulletlevel1Char">
    <w:name w:val="bullet level 1 Char"/>
    <w:basedOn w:val="DefaultParagraphFont"/>
    <w:link w:val="bulletlevel1"/>
    <w:rsid w:val="004E46F8"/>
    <w:rPr>
      <w:rFonts w:ascii="Calibri" w:hAnsi="Calibri"/>
      <w:sz w:val="22"/>
      <w:szCs w:val="22"/>
      <w:lang w:eastAsia="en-US"/>
    </w:rPr>
  </w:style>
  <w:style w:type="paragraph" w:customStyle="1" w:styleId="CaptionFigure">
    <w:name w:val="Caption Figure"/>
    <w:basedOn w:val="Caption"/>
    <w:next w:val="Normal"/>
    <w:autoRedefine/>
    <w:rsid w:val="009F2076"/>
    <w:pPr>
      <w:keepNext/>
      <w:spacing w:after="60"/>
    </w:pPr>
    <w:rPr>
      <w:rFonts w:ascii="Arial Narrow" w:hAnsi="Arial Narrow" w:cs="Times New Roman"/>
      <w:color w:val="auto"/>
      <w:sz w:val="20"/>
      <w:szCs w:val="22"/>
      <w:lang w:eastAsia="en-US"/>
    </w:rPr>
  </w:style>
  <w:style w:type="paragraph" w:customStyle="1" w:styleId="TableSource">
    <w:name w:val="Table Source"/>
    <w:basedOn w:val="Normal"/>
    <w:next w:val="Normal"/>
    <w:link w:val="TableSourceChar"/>
    <w:qFormat/>
    <w:rsid w:val="004711AD"/>
    <w:pPr>
      <w:tabs>
        <w:tab w:val="left" w:pos="567"/>
      </w:tabs>
      <w:ind w:left="567" w:hanging="567"/>
      <w:jc w:val="left"/>
    </w:pPr>
    <w:rPr>
      <w:rFonts w:cs="Times New Roman"/>
      <w:i/>
      <w:iCs/>
      <w:sz w:val="16"/>
      <w:szCs w:val="22"/>
      <w:lang w:eastAsia="en-US"/>
    </w:rPr>
  </w:style>
  <w:style w:type="character" w:customStyle="1" w:styleId="TableSourceChar">
    <w:name w:val="Table Source Char"/>
    <w:basedOn w:val="DefaultParagraphFont"/>
    <w:link w:val="TableSource"/>
    <w:rsid w:val="004711AD"/>
    <w:rPr>
      <w:rFonts w:ascii="Calibri" w:hAnsi="Calibri"/>
      <w:i/>
      <w:iCs/>
      <w:sz w:val="16"/>
      <w:szCs w:val="22"/>
      <w:lang w:eastAsia="en-US"/>
    </w:rPr>
  </w:style>
  <w:style w:type="paragraph" w:styleId="FootnoteText">
    <w:name w:val="footnote text"/>
    <w:basedOn w:val="Normal"/>
    <w:link w:val="FootnoteTextChar"/>
    <w:rsid w:val="00C96D7F"/>
    <w:pPr>
      <w:jc w:val="left"/>
    </w:pPr>
    <w:rPr>
      <w:rFonts w:eastAsia="Times" w:cs="Times New Roman"/>
      <w:sz w:val="16"/>
      <w:szCs w:val="20"/>
      <w:lang w:eastAsia="en-US"/>
    </w:rPr>
  </w:style>
  <w:style w:type="character" w:customStyle="1" w:styleId="FootnoteTextChar">
    <w:name w:val="Footnote Text Char"/>
    <w:basedOn w:val="DefaultParagraphFont"/>
    <w:link w:val="FootnoteText"/>
    <w:rsid w:val="00C96D7F"/>
    <w:rPr>
      <w:rFonts w:ascii="Calibri" w:eastAsia="Times" w:hAnsi="Calibri"/>
      <w:sz w:val="16"/>
      <w:lang w:eastAsia="en-US"/>
    </w:rPr>
  </w:style>
  <w:style w:type="character" w:styleId="FootnoteReference">
    <w:name w:val="footnote reference"/>
    <w:basedOn w:val="DefaultParagraphFont"/>
    <w:rsid w:val="00C96D7F"/>
    <w:rPr>
      <w:vertAlign w:val="superscript"/>
    </w:rPr>
  </w:style>
  <w:style w:type="character" w:styleId="Emphasis">
    <w:name w:val="Emphasis"/>
    <w:uiPriority w:val="20"/>
    <w:qFormat/>
    <w:rsid w:val="00C96D7F"/>
    <w:rPr>
      <w:b/>
      <w:bCs/>
      <w:i/>
      <w:iCs/>
      <w:spacing w:val="10"/>
    </w:rPr>
  </w:style>
  <w:style w:type="paragraph" w:customStyle="1" w:styleId="TableFootnotetext">
    <w:name w:val="Table Footnote text"/>
    <w:basedOn w:val="TableFootnoteindent"/>
    <w:qFormat/>
    <w:rsid w:val="001A1CD0"/>
    <w:pPr>
      <w:tabs>
        <w:tab w:val="clear" w:pos="284"/>
      </w:tabs>
      <w:ind w:left="0" w:firstLine="0"/>
    </w:pPr>
    <w:rPr>
      <w:szCs w:val="20"/>
    </w:rPr>
  </w:style>
  <w:style w:type="paragraph" w:customStyle="1" w:styleId="CaptionTable">
    <w:name w:val="Caption Table"/>
    <w:basedOn w:val="Normal"/>
    <w:next w:val="Normal"/>
    <w:link w:val="CaptionTableChar"/>
    <w:autoRedefine/>
    <w:rsid w:val="00414D57"/>
    <w:pPr>
      <w:keepNext/>
      <w:keepLines/>
      <w:contextualSpacing/>
    </w:pPr>
    <w:rPr>
      <w:rFonts w:ascii="Arial Narrow" w:hAnsi="Arial Narrow"/>
      <w:b/>
      <w:bCs/>
      <w:sz w:val="20"/>
      <w:szCs w:val="20"/>
      <w:lang w:eastAsia="en-US"/>
    </w:rPr>
  </w:style>
  <w:style w:type="character" w:customStyle="1" w:styleId="CaptionTableChar">
    <w:name w:val="Caption Table Char"/>
    <w:basedOn w:val="DefaultParagraphFont"/>
    <w:link w:val="CaptionTable"/>
    <w:rsid w:val="00414D57"/>
    <w:rPr>
      <w:rFonts w:ascii="Arial Narrow" w:hAnsi="Arial Narrow" w:cs="Arial"/>
      <w:b/>
      <w:bCs/>
      <w:lang w:eastAsia="en-US"/>
    </w:rPr>
  </w:style>
  <w:style w:type="character" w:customStyle="1" w:styleId="normaltextrun">
    <w:name w:val="normaltextrun"/>
    <w:basedOn w:val="DefaultParagraphFont"/>
    <w:rsid w:val="0003331F"/>
  </w:style>
  <w:style w:type="character" w:customStyle="1" w:styleId="spellingerror">
    <w:name w:val="spellingerror"/>
    <w:basedOn w:val="DefaultParagraphFont"/>
    <w:rsid w:val="0003331F"/>
  </w:style>
  <w:style w:type="character" w:styleId="PlaceholderText">
    <w:name w:val="Placeholder Text"/>
    <w:basedOn w:val="DefaultParagraphFont"/>
    <w:uiPriority w:val="99"/>
    <w:semiHidden/>
    <w:rsid w:val="0003331F"/>
    <w:rPr>
      <w:color w:val="808080"/>
    </w:rPr>
  </w:style>
  <w:style w:type="character" w:customStyle="1" w:styleId="TablenotesChar">
    <w:name w:val="Table notes Char"/>
    <w:basedOn w:val="DefaultParagraphFont"/>
    <w:link w:val="Tablenotes"/>
    <w:locked/>
    <w:rsid w:val="0031239C"/>
    <w:rPr>
      <w:rFonts w:ascii="Trebuchet MS" w:hAnsi="Trebuchet MS"/>
      <w:sz w:val="16"/>
    </w:rPr>
  </w:style>
  <w:style w:type="paragraph" w:customStyle="1" w:styleId="Tablenotes">
    <w:name w:val="Table notes"/>
    <w:basedOn w:val="Normal"/>
    <w:link w:val="TablenotesChar"/>
    <w:qFormat/>
    <w:rsid w:val="0031239C"/>
    <w:pPr>
      <w:spacing w:after="240"/>
      <w:contextualSpacing/>
      <w:jc w:val="left"/>
    </w:pPr>
    <w:rPr>
      <w:rFonts w:ascii="Trebuchet MS" w:hAnsi="Trebuchet MS"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811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46611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47636598">
      <w:bodyDiv w:val="1"/>
      <w:marLeft w:val="0"/>
      <w:marRight w:val="0"/>
      <w:marTop w:val="0"/>
      <w:marBottom w:val="0"/>
      <w:divBdr>
        <w:top w:val="none" w:sz="0" w:space="0" w:color="auto"/>
        <w:left w:val="none" w:sz="0" w:space="0" w:color="auto"/>
        <w:bottom w:val="none" w:sz="0" w:space="0" w:color="auto"/>
        <w:right w:val="none" w:sz="0" w:space="0" w:color="auto"/>
      </w:divBdr>
    </w:div>
    <w:div w:id="724185878">
      <w:bodyDiv w:val="1"/>
      <w:marLeft w:val="0"/>
      <w:marRight w:val="0"/>
      <w:marTop w:val="0"/>
      <w:marBottom w:val="0"/>
      <w:divBdr>
        <w:top w:val="none" w:sz="0" w:space="0" w:color="auto"/>
        <w:left w:val="none" w:sz="0" w:space="0" w:color="auto"/>
        <w:bottom w:val="none" w:sz="0" w:space="0" w:color="auto"/>
        <w:right w:val="none" w:sz="0" w:space="0" w:color="auto"/>
      </w:divBdr>
    </w:div>
    <w:div w:id="116493064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45765">
      <w:bodyDiv w:val="1"/>
      <w:marLeft w:val="0"/>
      <w:marRight w:val="0"/>
      <w:marTop w:val="0"/>
      <w:marBottom w:val="0"/>
      <w:divBdr>
        <w:top w:val="none" w:sz="0" w:space="0" w:color="auto"/>
        <w:left w:val="none" w:sz="0" w:space="0" w:color="auto"/>
        <w:bottom w:val="none" w:sz="0" w:space="0" w:color="auto"/>
        <w:right w:val="none" w:sz="0" w:space="0" w:color="auto"/>
      </w:divBdr>
    </w:div>
    <w:div w:id="1765222496">
      <w:bodyDiv w:val="1"/>
      <w:marLeft w:val="0"/>
      <w:marRight w:val="0"/>
      <w:marTop w:val="0"/>
      <w:marBottom w:val="0"/>
      <w:divBdr>
        <w:top w:val="none" w:sz="0" w:space="0" w:color="auto"/>
        <w:left w:val="none" w:sz="0" w:space="0" w:color="auto"/>
        <w:bottom w:val="none" w:sz="0" w:space="0" w:color="auto"/>
        <w:right w:val="none" w:sz="0" w:space="0" w:color="auto"/>
      </w:divBdr>
    </w:div>
    <w:div w:id="1817457217">
      <w:bodyDiv w:val="1"/>
      <w:marLeft w:val="0"/>
      <w:marRight w:val="0"/>
      <w:marTop w:val="0"/>
      <w:marBottom w:val="0"/>
      <w:divBdr>
        <w:top w:val="none" w:sz="0" w:space="0" w:color="auto"/>
        <w:left w:val="none" w:sz="0" w:space="0" w:color="auto"/>
        <w:bottom w:val="none" w:sz="0" w:space="0" w:color="auto"/>
        <w:right w:val="none" w:sz="0" w:space="0" w:color="auto"/>
      </w:divBdr>
    </w:div>
    <w:div w:id="1882480079">
      <w:bodyDiv w:val="1"/>
      <w:marLeft w:val="0"/>
      <w:marRight w:val="0"/>
      <w:marTop w:val="0"/>
      <w:marBottom w:val="0"/>
      <w:divBdr>
        <w:top w:val="none" w:sz="0" w:space="0" w:color="auto"/>
        <w:left w:val="none" w:sz="0" w:space="0" w:color="auto"/>
        <w:bottom w:val="none" w:sz="0" w:space="0" w:color="auto"/>
        <w:right w:val="none" w:sz="0" w:space="0" w:color="auto"/>
      </w:divBdr>
    </w:div>
    <w:div w:id="18962385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7D38-16A9-4EB6-8F91-88F6E7E3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16074</Words>
  <Characters>92810</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2021-03-02T04:24:00Z</dcterms:created>
  <dcterms:modified xsi:type="dcterms:W3CDTF">2021-03-02T04:29:00Z</dcterms:modified>
</cp:coreProperties>
</file>