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762" w:rsidRPr="00A70DBB" w:rsidRDefault="009E0762" w:rsidP="009E0762">
      <w:bookmarkStart w:id="0" w:name="_Toc40880073"/>
      <w:r w:rsidRPr="00A70DBB">
        <w:rPr>
          <w:color w:val="FF0000"/>
        </w:rPr>
        <w:t>An addendum to this minute has been included at the end of the document.</w:t>
      </w:r>
    </w:p>
    <w:p w:rsidR="00B60939" w:rsidRPr="00BF148D" w:rsidRDefault="00230FA7" w:rsidP="00224858">
      <w:pPr>
        <w:pStyle w:val="1-MainHeading"/>
      </w:pPr>
      <w:r w:rsidRPr="00BF148D">
        <w:t>5.03</w:t>
      </w:r>
      <w:r w:rsidR="00163F66" w:rsidRPr="00BF148D">
        <w:tab/>
      </w:r>
      <w:r w:rsidR="00C928EB" w:rsidRPr="00BF148D">
        <w:t>CANNABIDIOL</w:t>
      </w:r>
      <w:r w:rsidR="00163F66" w:rsidRPr="00BF148D">
        <w:t>,</w:t>
      </w:r>
      <w:r w:rsidR="00163F66" w:rsidRPr="00BF148D">
        <w:br/>
      </w:r>
      <w:r w:rsidR="00C928EB" w:rsidRPr="00BF148D">
        <w:t>Oral solution</w:t>
      </w:r>
      <w:r w:rsidR="0002344D">
        <w:t>,</w:t>
      </w:r>
      <w:r w:rsidR="00451CEC" w:rsidRPr="00BF148D">
        <w:t xml:space="preserve"> </w:t>
      </w:r>
      <w:r w:rsidR="00161E61" w:rsidRPr="00BF148D">
        <w:t xml:space="preserve">100 mg per </w:t>
      </w:r>
      <w:r w:rsidR="00C928EB" w:rsidRPr="00BF148D">
        <w:t>mL</w:t>
      </w:r>
      <w:r w:rsidR="00163F66" w:rsidRPr="00BF148D">
        <w:t>,</w:t>
      </w:r>
      <w:r w:rsidR="00C928EB" w:rsidRPr="00BF148D">
        <w:t xml:space="preserve"> 100mL</w:t>
      </w:r>
      <w:r w:rsidR="00163F66" w:rsidRPr="00BF148D">
        <w:br/>
      </w:r>
      <w:r w:rsidR="00C928EB" w:rsidRPr="00BF148D">
        <w:t>Epidyolex</w:t>
      </w:r>
      <w:r w:rsidR="00B60939" w:rsidRPr="00BF148D">
        <w:rPr>
          <w:vertAlign w:val="superscript"/>
        </w:rPr>
        <w:t>®</w:t>
      </w:r>
      <w:r w:rsidR="004A6040" w:rsidRPr="00BF148D">
        <w:t>,</w:t>
      </w:r>
      <w:r w:rsidR="004A6040" w:rsidRPr="00BF148D">
        <w:br/>
      </w:r>
      <w:r w:rsidR="00C928EB" w:rsidRPr="00BF148D">
        <w:t>Emerge Health Pty Ltd</w:t>
      </w:r>
      <w:r w:rsidR="00B60939" w:rsidRPr="00BF148D">
        <w:t>.</w:t>
      </w:r>
      <w:bookmarkEnd w:id="0"/>
    </w:p>
    <w:p w:rsidR="007827EC" w:rsidRPr="00BF148D" w:rsidRDefault="007827EC" w:rsidP="00224858">
      <w:pPr>
        <w:pStyle w:val="2-SectionHeading"/>
      </w:pPr>
      <w:bookmarkStart w:id="1" w:name="_Toc38639599"/>
      <w:bookmarkStart w:id="2" w:name="_Toc40880075"/>
      <w:r w:rsidRPr="00BF148D">
        <w:t>Purpose of submission</w:t>
      </w:r>
      <w:bookmarkEnd w:id="1"/>
      <w:bookmarkEnd w:id="2"/>
    </w:p>
    <w:p w:rsidR="007827EC" w:rsidRPr="00BF148D" w:rsidRDefault="007827EC" w:rsidP="00224858">
      <w:pPr>
        <w:pStyle w:val="3-BodyText"/>
      </w:pPr>
      <w:r w:rsidRPr="00BF148D">
        <w:t>The submission requested a Section 100, Highly Specialised Drugs Program</w:t>
      </w:r>
      <w:r w:rsidR="00451CEC" w:rsidRPr="00BF148D">
        <w:t xml:space="preserve"> (</w:t>
      </w:r>
      <w:r w:rsidRPr="00BF148D">
        <w:t>Community Access</w:t>
      </w:r>
      <w:r w:rsidR="00451CEC" w:rsidRPr="00BF148D">
        <w:t>)</w:t>
      </w:r>
      <w:r w:rsidRPr="00BF148D">
        <w:t xml:space="preserve"> Authority Required</w:t>
      </w:r>
      <w:r w:rsidR="00451CEC" w:rsidRPr="00BF148D">
        <w:t xml:space="preserve"> (STREAMLINED)</w:t>
      </w:r>
      <w:r w:rsidRPr="00BF148D">
        <w:t xml:space="preserve"> listing for cannabidiol for use as adjunctive therapy to treat seizures associated with Lennox-Gastaut </w:t>
      </w:r>
      <w:r w:rsidR="00BC0E38" w:rsidRPr="00BF148D">
        <w:t>s</w:t>
      </w:r>
      <w:r w:rsidR="002F53DB" w:rsidRPr="00BF148D">
        <w:t>y</w:t>
      </w:r>
      <w:r w:rsidR="00680866" w:rsidRPr="00BF148D">
        <w:t>nd</w:t>
      </w:r>
      <w:r w:rsidR="002F53DB" w:rsidRPr="00BF148D">
        <w:t xml:space="preserve">rome </w:t>
      </w:r>
      <w:r w:rsidRPr="00BF148D">
        <w:t xml:space="preserve">(LGS) or Dravet </w:t>
      </w:r>
      <w:r w:rsidR="00BC0E38" w:rsidRPr="00BF148D">
        <w:t>s</w:t>
      </w:r>
      <w:r w:rsidRPr="00BF148D">
        <w:t>yndrome (DS), also known as severe myoclonic epilepsy in infancy</w:t>
      </w:r>
      <w:r w:rsidR="00E74CEB" w:rsidRPr="00BF148D">
        <w:t xml:space="preserve"> (SMEI)</w:t>
      </w:r>
      <w:r w:rsidRPr="00BF148D">
        <w:t xml:space="preserve">, for patients 2 years of age and older. </w:t>
      </w:r>
    </w:p>
    <w:p w:rsidR="007827EC" w:rsidRPr="00BF148D" w:rsidRDefault="007827EC" w:rsidP="00224858">
      <w:pPr>
        <w:pStyle w:val="3-BodyText"/>
      </w:pPr>
      <w:r w:rsidRPr="00BF148D">
        <w:t xml:space="preserve">Listing was requested on the basis of a cost-effectiveness analysis of cannabidiol plus standard care versus placebo plus standard care. </w:t>
      </w:r>
    </w:p>
    <w:p w:rsidR="007827EC" w:rsidRPr="00BF148D" w:rsidRDefault="007827EC" w:rsidP="00224858">
      <w:pPr>
        <w:pStyle w:val="TableFigureHeading"/>
        <w:rPr>
          <w:rStyle w:val="CommentReference"/>
          <w:b/>
          <w:szCs w:val="24"/>
        </w:rPr>
      </w:pPr>
      <w:r w:rsidRPr="00BF148D">
        <w:rPr>
          <w:rStyle w:val="CommentReference"/>
          <w:b/>
          <w:szCs w:val="24"/>
        </w:rPr>
        <w:t xml:space="preserve">Table </w:t>
      </w:r>
      <w:r w:rsidR="00580552" w:rsidRPr="00BF148D">
        <w:rPr>
          <w:rStyle w:val="CommentReference"/>
          <w:b/>
          <w:szCs w:val="24"/>
        </w:rPr>
        <w:t>1</w:t>
      </w:r>
      <w:r w:rsidRPr="00BF148D">
        <w:rPr>
          <w:rStyle w:val="CommentReference"/>
          <w:b/>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7827EC" w:rsidRPr="00BF148D" w:rsidTr="00224858">
        <w:tc>
          <w:tcPr>
            <w:tcW w:w="911" w:type="pct"/>
            <w:vAlign w:val="center"/>
          </w:tcPr>
          <w:p w:rsidR="007827EC" w:rsidRPr="00BF148D" w:rsidRDefault="007827EC" w:rsidP="00224858">
            <w:pPr>
              <w:pStyle w:val="In-tableHeading"/>
              <w:rPr>
                <w:lang w:val="en-AU"/>
              </w:rPr>
            </w:pPr>
            <w:r w:rsidRPr="00BF148D">
              <w:rPr>
                <w:lang w:val="en-AU"/>
              </w:rPr>
              <w:t>Component</w:t>
            </w:r>
          </w:p>
        </w:tc>
        <w:tc>
          <w:tcPr>
            <w:tcW w:w="4089" w:type="pct"/>
            <w:vAlign w:val="center"/>
          </w:tcPr>
          <w:p w:rsidR="007827EC" w:rsidRPr="00BF148D" w:rsidRDefault="007827EC" w:rsidP="00224858">
            <w:pPr>
              <w:pStyle w:val="In-tableHeading"/>
              <w:rPr>
                <w:lang w:val="en-AU"/>
              </w:rPr>
            </w:pPr>
            <w:r w:rsidRPr="00BF148D">
              <w:rPr>
                <w:lang w:val="en-AU"/>
              </w:rPr>
              <w:t>Description</w:t>
            </w:r>
          </w:p>
        </w:tc>
      </w:tr>
      <w:tr w:rsidR="007827EC" w:rsidRPr="00BF148D" w:rsidTr="00224858">
        <w:tc>
          <w:tcPr>
            <w:tcW w:w="911" w:type="pct"/>
            <w:vAlign w:val="center"/>
          </w:tcPr>
          <w:p w:rsidR="007827EC" w:rsidRPr="00BF148D" w:rsidRDefault="007827EC" w:rsidP="00224858">
            <w:pPr>
              <w:pStyle w:val="TableText0"/>
            </w:pPr>
            <w:r w:rsidRPr="00BF148D">
              <w:t>Population</w:t>
            </w:r>
          </w:p>
        </w:tc>
        <w:tc>
          <w:tcPr>
            <w:tcW w:w="4089" w:type="pct"/>
            <w:vAlign w:val="center"/>
          </w:tcPr>
          <w:p w:rsidR="007827EC" w:rsidRPr="00BF148D" w:rsidRDefault="007827EC" w:rsidP="00224858">
            <w:pPr>
              <w:pStyle w:val="TableText0"/>
            </w:pPr>
            <w:r w:rsidRPr="00BF148D">
              <w:t>Patients 2 years of age and older with seizures associated with Lennox-Gastaut syndrome (LGS) or Dravet syndrome (DS).</w:t>
            </w:r>
          </w:p>
        </w:tc>
      </w:tr>
      <w:tr w:rsidR="007827EC" w:rsidRPr="00BF148D" w:rsidTr="00224858">
        <w:tc>
          <w:tcPr>
            <w:tcW w:w="911" w:type="pct"/>
            <w:vAlign w:val="center"/>
          </w:tcPr>
          <w:p w:rsidR="007827EC" w:rsidRPr="00BF148D" w:rsidRDefault="007827EC" w:rsidP="00224858">
            <w:pPr>
              <w:pStyle w:val="TableText0"/>
            </w:pPr>
            <w:r w:rsidRPr="00BF148D">
              <w:t>Intervention</w:t>
            </w:r>
          </w:p>
        </w:tc>
        <w:tc>
          <w:tcPr>
            <w:tcW w:w="4089" w:type="pct"/>
            <w:vAlign w:val="center"/>
          </w:tcPr>
          <w:p w:rsidR="007827EC" w:rsidRPr="00BF148D" w:rsidRDefault="007827EC" w:rsidP="00224858">
            <w:pPr>
              <w:pStyle w:val="TableText0"/>
            </w:pPr>
            <w:r w:rsidRPr="00BF148D">
              <w:t>Cannabidiol oral solution 100 mg/mL as adjunctive therapy to standard care, which includes current anti-epileptic drugs alone.</w:t>
            </w:r>
          </w:p>
        </w:tc>
      </w:tr>
      <w:tr w:rsidR="007827EC" w:rsidRPr="00BF148D" w:rsidTr="00224858">
        <w:tc>
          <w:tcPr>
            <w:tcW w:w="911" w:type="pct"/>
            <w:vAlign w:val="center"/>
          </w:tcPr>
          <w:p w:rsidR="007827EC" w:rsidRPr="00BF148D" w:rsidRDefault="007827EC" w:rsidP="00224858">
            <w:pPr>
              <w:pStyle w:val="TableText0"/>
            </w:pPr>
            <w:r w:rsidRPr="00BF148D">
              <w:t>Comparator</w:t>
            </w:r>
          </w:p>
        </w:tc>
        <w:tc>
          <w:tcPr>
            <w:tcW w:w="4089" w:type="pct"/>
            <w:vAlign w:val="center"/>
          </w:tcPr>
          <w:p w:rsidR="007827EC" w:rsidRPr="00BF148D" w:rsidRDefault="007827EC" w:rsidP="00224858">
            <w:pPr>
              <w:pStyle w:val="TableText0"/>
            </w:pPr>
            <w:r w:rsidRPr="00BF148D">
              <w:rPr>
                <w:rFonts w:cs="Arial"/>
                <w:szCs w:val="20"/>
              </w:rPr>
              <w:t xml:space="preserve">Standard care, which includes oral anti-epileptic drugs, and non-pharmacotherapy interventions </w:t>
            </w:r>
            <w:r w:rsidR="00680866" w:rsidRPr="00BF148D">
              <w:rPr>
                <w:rFonts w:cs="Arial"/>
                <w:szCs w:val="20"/>
              </w:rPr>
              <w:t>(</w:t>
            </w:r>
            <w:r w:rsidRPr="00BF148D">
              <w:rPr>
                <w:rFonts w:cs="Arial"/>
                <w:szCs w:val="20"/>
              </w:rPr>
              <w:t xml:space="preserve">vagus nerve stimulation, ketogenic diet, and </w:t>
            </w:r>
            <w:r w:rsidR="009E0F52" w:rsidRPr="00BF148D">
              <w:rPr>
                <w:rFonts w:cs="Arial"/>
                <w:szCs w:val="20"/>
              </w:rPr>
              <w:t>colostomy</w:t>
            </w:r>
            <w:r w:rsidR="00680866" w:rsidRPr="00BF148D">
              <w:rPr>
                <w:rFonts w:cs="Arial"/>
                <w:szCs w:val="20"/>
              </w:rPr>
              <w:t>)</w:t>
            </w:r>
            <w:r w:rsidRPr="00BF148D">
              <w:t>.</w:t>
            </w:r>
          </w:p>
        </w:tc>
      </w:tr>
      <w:tr w:rsidR="007827EC" w:rsidRPr="00BF148D" w:rsidTr="00224858">
        <w:tc>
          <w:tcPr>
            <w:tcW w:w="911" w:type="pct"/>
            <w:vAlign w:val="center"/>
          </w:tcPr>
          <w:p w:rsidR="007827EC" w:rsidRPr="00BF148D" w:rsidRDefault="007827EC" w:rsidP="00224858">
            <w:pPr>
              <w:pStyle w:val="TableText0"/>
            </w:pPr>
            <w:r w:rsidRPr="00BF148D">
              <w:t>Outcomes</w:t>
            </w:r>
          </w:p>
        </w:tc>
        <w:tc>
          <w:tcPr>
            <w:tcW w:w="4089" w:type="pct"/>
            <w:vAlign w:val="center"/>
          </w:tcPr>
          <w:p w:rsidR="007827EC" w:rsidRPr="00BF148D" w:rsidRDefault="007827EC" w:rsidP="00224858">
            <w:pPr>
              <w:pStyle w:val="TableText0"/>
            </w:pPr>
            <w:r w:rsidRPr="00BF148D">
              <w:t>Primary: Reduction in seizure frequency during 14 weeks of treatment compared to 28-day baseline seizure frequency (drop seizures for LGS and convulsive seizures for DS)</w:t>
            </w:r>
            <w:r w:rsidR="00680866" w:rsidRPr="00BF148D">
              <w:t>.</w:t>
            </w:r>
          </w:p>
          <w:p w:rsidR="007827EC" w:rsidRPr="00BF148D" w:rsidRDefault="007827EC" w:rsidP="00224858">
            <w:pPr>
              <w:pStyle w:val="TableText0"/>
            </w:pPr>
            <w:r w:rsidRPr="00BF148D">
              <w:t>Secondary: Change from baseline in responder rates, seizure</w:t>
            </w:r>
            <w:r w:rsidR="00680866" w:rsidRPr="00BF148D">
              <w:t>-</w:t>
            </w:r>
            <w:r w:rsidRPr="00BF148D">
              <w:t>free days, seizure frequency, global impression of change, quality of life and Vineland II behavioural assessment.</w:t>
            </w:r>
          </w:p>
        </w:tc>
      </w:tr>
      <w:tr w:rsidR="007827EC" w:rsidRPr="00BF148D" w:rsidTr="00224858">
        <w:tc>
          <w:tcPr>
            <w:tcW w:w="911" w:type="pct"/>
            <w:vAlign w:val="center"/>
          </w:tcPr>
          <w:p w:rsidR="007827EC" w:rsidRPr="00BF148D" w:rsidRDefault="007827EC" w:rsidP="00224858">
            <w:pPr>
              <w:pStyle w:val="TableText0"/>
            </w:pPr>
            <w:r w:rsidRPr="00BF148D">
              <w:t>Clinical claim</w:t>
            </w:r>
          </w:p>
        </w:tc>
        <w:tc>
          <w:tcPr>
            <w:tcW w:w="4089" w:type="pct"/>
            <w:vAlign w:val="center"/>
          </w:tcPr>
          <w:p w:rsidR="007827EC" w:rsidRPr="00BF148D" w:rsidRDefault="007827EC" w:rsidP="00224858">
            <w:pPr>
              <w:pStyle w:val="TableText0"/>
            </w:pPr>
            <w:r w:rsidRPr="00BF148D">
              <w:rPr>
                <w:rFonts w:cs="Arial"/>
                <w:szCs w:val="20"/>
              </w:rPr>
              <w:t>Cannabidiol as adjunctive therapy is superior in terms of efficacy and inferior in terms of safety compared to standard care (current anti-epileptic drugs alone) in patients with seizures associated with LGS or DS who have trialled two other appropriate anti-epileptic drugs to a maximally tolerated dose and failed to achieve seizure freedom.</w:t>
            </w:r>
          </w:p>
        </w:tc>
      </w:tr>
    </w:tbl>
    <w:p w:rsidR="007827EC" w:rsidRPr="00BF148D" w:rsidRDefault="007827EC" w:rsidP="00224858">
      <w:pPr>
        <w:pStyle w:val="TableFigureFooter"/>
      </w:pPr>
      <w:r w:rsidRPr="00BF148D">
        <w:t>Source: Table 8, pp3-4 of the submission.</w:t>
      </w:r>
    </w:p>
    <w:p w:rsidR="007827EC" w:rsidRPr="00BF148D" w:rsidRDefault="007827EC" w:rsidP="00224858">
      <w:pPr>
        <w:pStyle w:val="2-SectionHeading"/>
      </w:pPr>
      <w:bookmarkStart w:id="3" w:name="_Toc38639600"/>
      <w:bookmarkStart w:id="4" w:name="_Toc40880076"/>
      <w:r w:rsidRPr="00BF148D">
        <w:t>Background</w:t>
      </w:r>
      <w:bookmarkEnd w:id="3"/>
      <w:bookmarkEnd w:id="4"/>
    </w:p>
    <w:p w:rsidR="007827EC" w:rsidRPr="00BF148D" w:rsidRDefault="007827EC" w:rsidP="00224858">
      <w:pPr>
        <w:pStyle w:val="4-SubsectionHeading"/>
      </w:pPr>
      <w:bookmarkStart w:id="5" w:name="_Toc22897638"/>
      <w:bookmarkStart w:id="6" w:name="_Toc38639601"/>
      <w:bookmarkStart w:id="7" w:name="_Toc40880077"/>
      <w:r w:rsidRPr="00BF148D">
        <w:t>Registration status</w:t>
      </w:r>
      <w:bookmarkEnd w:id="5"/>
      <w:bookmarkEnd w:id="6"/>
      <w:bookmarkEnd w:id="7"/>
    </w:p>
    <w:p w:rsidR="00E46642" w:rsidRPr="00BF148D" w:rsidRDefault="00FD41D2" w:rsidP="00E46642">
      <w:pPr>
        <w:pStyle w:val="3-BodyText"/>
      </w:pPr>
      <w:r w:rsidRPr="00BF148D">
        <w:rPr>
          <w:rFonts w:ascii="Calibri" w:eastAsia="Calibri" w:hAnsi="Calibri"/>
          <w:b/>
          <w:szCs w:val="22"/>
        </w:rPr>
        <w:t xml:space="preserve">TGA status at time of </w:t>
      </w:r>
      <w:r w:rsidR="003561A5" w:rsidRPr="00BF148D">
        <w:rPr>
          <w:rFonts w:ascii="Calibri" w:eastAsia="Calibri" w:hAnsi="Calibri"/>
          <w:b/>
          <w:szCs w:val="22"/>
        </w:rPr>
        <w:t>PBAC consideration</w:t>
      </w:r>
      <w:r w:rsidRPr="00BF148D">
        <w:rPr>
          <w:rFonts w:ascii="Calibri" w:eastAsia="Calibri" w:hAnsi="Calibri"/>
          <w:szCs w:val="22"/>
        </w:rPr>
        <w:t xml:space="preserve">: </w:t>
      </w:r>
      <w:r w:rsidR="00434DD1" w:rsidRPr="00BF148D">
        <w:t xml:space="preserve">not registered. </w:t>
      </w:r>
    </w:p>
    <w:p w:rsidR="00C10E62" w:rsidRPr="00BF148D" w:rsidRDefault="00434DD1" w:rsidP="00E46642">
      <w:pPr>
        <w:pStyle w:val="3-BodyText"/>
      </w:pPr>
      <w:r w:rsidRPr="00BF148D">
        <w:t>T</w:t>
      </w:r>
      <w:r w:rsidR="007827EC" w:rsidRPr="00BF148D">
        <w:t>he submission was made under the TGA/PBAC Parallel Process</w:t>
      </w:r>
      <w:r w:rsidRPr="00BF148D">
        <w:t xml:space="preserve">. </w:t>
      </w:r>
      <w:r w:rsidR="00824FEE" w:rsidRPr="00BF148D">
        <w:t xml:space="preserve">The requested indication </w:t>
      </w:r>
      <w:r w:rsidR="003A7324" w:rsidRPr="00BF148D">
        <w:t>wa</w:t>
      </w:r>
      <w:r w:rsidR="00824FEE" w:rsidRPr="00BF148D">
        <w:t xml:space="preserve">s for “adjunctive therapy of seizures associated with Lennox-Gastaut syndrome and Dravet syndrome for patients 2 years of age and older”. </w:t>
      </w:r>
      <w:r w:rsidR="00057DD5" w:rsidRPr="00BF148D">
        <w:t xml:space="preserve">At the time of PBAC consideration, the TGA </w:t>
      </w:r>
      <w:r w:rsidR="003A7324" w:rsidRPr="00BF148D">
        <w:t>C</w:t>
      </w:r>
      <w:r w:rsidR="00057DD5" w:rsidRPr="00BF148D">
        <w:t xml:space="preserve">linical </w:t>
      </w:r>
      <w:r w:rsidR="003A7324" w:rsidRPr="00BF148D">
        <w:t>E</w:t>
      </w:r>
      <w:r w:rsidR="00057DD5" w:rsidRPr="00BF148D">
        <w:t xml:space="preserve">valuation </w:t>
      </w:r>
      <w:r w:rsidR="003A7324" w:rsidRPr="00BF148D">
        <w:t>R</w:t>
      </w:r>
      <w:r w:rsidR="00057DD5" w:rsidRPr="00BF148D">
        <w:t>eport and Delegate’s Overview were available.</w:t>
      </w:r>
    </w:p>
    <w:p w:rsidR="003E052F" w:rsidRPr="00BF148D" w:rsidRDefault="00C10E62" w:rsidP="003E052F">
      <w:pPr>
        <w:pStyle w:val="3-BodyText"/>
      </w:pPr>
      <w:r w:rsidRPr="00BF148D">
        <w:lastRenderedPageBreak/>
        <w:t>The Delegate’s Overview indicated support for the</w:t>
      </w:r>
      <w:r w:rsidR="00464CC6" w:rsidRPr="00BF148D">
        <w:t xml:space="preserve"> registration</w:t>
      </w:r>
      <w:r w:rsidRPr="00BF148D">
        <w:t xml:space="preserve"> of cannabidiol </w:t>
      </w:r>
      <w:r w:rsidR="00464CC6" w:rsidRPr="00BF148D">
        <w:t xml:space="preserve">but noted the clinical evaluator had proposed amending the indication to be </w:t>
      </w:r>
      <w:r w:rsidRPr="00BF148D">
        <w:t>in combination with clobazam for treatment of DS and LGS</w:t>
      </w:r>
      <w:r w:rsidR="00464CC6" w:rsidRPr="00BF148D">
        <w:t xml:space="preserve">. The Delegate </w:t>
      </w:r>
      <w:r w:rsidRPr="00BF148D">
        <w:t>made a number of requests</w:t>
      </w:r>
      <w:r w:rsidR="00FE73C7" w:rsidRPr="00BF148D">
        <w:t xml:space="preserve"> for advice</w:t>
      </w:r>
      <w:r w:rsidRPr="00BF148D">
        <w:t xml:space="preserve"> f</w:t>
      </w:r>
      <w:r w:rsidR="00FE73C7" w:rsidRPr="00BF148D">
        <w:t>rom</w:t>
      </w:r>
      <w:r w:rsidRPr="00BF148D">
        <w:t xml:space="preserve"> the Advisory Committee on Medicines (ACM)</w:t>
      </w:r>
      <w:r w:rsidR="003E052F" w:rsidRPr="00BF148D">
        <w:t>.</w:t>
      </w:r>
      <w:r w:rsidR="00EB62D6" w:rsidRPr="00BF148D">
        <w:t xml:space="preserve"> </w:t>
      </w:r>
    </w:p>
    <w:p w:rsidR="00BC6DA0" w:rsidRPr="00BF148D" w:rsidRDefault="007827EC" w:rsidP="00224858">
      <w:pPr>
        <w:pStyle w:val="3-BodyText"/>
      </w:pPr>
      <w:r w:rsidRPr="00BF148D">
        <w:t xml:space="preserve">Cannabidiol was registered by members of the European Economic Area (31 countries) for the treatment of seizures associated with </w:t>
      </w:r>
      <w:r w:rsidR="00DE0F84" w:rsidRPr="00BF148D">
        <w:t xml:space="preserve">DS or </w:t>
      </w:r>
      <w:r w:rsidRPr="00BF148D">
        <w:t xml:space="preserve">LGS in conjunction with clobazam for patients 2 years of age or older (19 September 2019). In the USA, the FDA approved </w:t>
      </w:r>
      <w:r w:rsidR="006C285A" w:rsidRPr="00BF148D">
        <w:t>cannabidiol</w:t>
      </w:r>
      <w:r w:rsidRPr="00BF148D">
        <w:t xml:space="preserve"> for the treatment of seizures associated with </w:t>
      </w:r>
      <w:r w:rsidR="00DE0F84" w:rsidRPr="00BF148D">
        <w:t xml:space="preserve">DS or </w:t>
      </w:r>
      <w:r w:rsidRPr="00BF148D">
        <w:t>LGS in patients 2 years of age or older on 25 June 2018.</w:t>
      </w:r>
      <w:r w:rsidR="00F37DD4" w:rsidRPr="00BF148D">
        <w:t xml:space="preserve"> There is some evidence which points towards potential synergistic efficacy from concurrent use of cannabidiol and clobazam</w:t>
      </w:r>
      <w:r w:rsidR="00F37DD4" w:rsidRPr="00BF148D">
        <w:rPr>
          <w:rStyle w:val="FootnoteReference"/>
        </w:rPr>
        <w:footnoteReference w:id="1"/>
      </w:r>
      <w:r w:rsidR="00F37DD4" w:rsidRPr="00BF148D">
        <w:t>, and the NICE health technology assessment for cannabidiol in DS</w:t>
      </w:r>
      <w:r w:rsidR="00F37DD4" w:rsidRPr="00BF148D">
        <w:rPr>
          <w:rStyle w:val="FootnoteReference"/>
        </w:rPr>
        <w:footnoteReference w:id="2"/>
      </w:r>
      <w:r w:rsidR="00F37DD4" w:rsidRPr="00BF148D">
        <w:t xml:space="preserve"> and LGS</w:t>
      </w:r>
      <w:r w:rsidR="00F37DD4" w:rsidRPr="00BF148D">
        <w:rPr>
          <w:rStyle w:val="FootnoteReference"/>
        </w:rPr>
        <w:footnoteReference w:id="3"/>
      </w:r>
      <w:r w:rsidR="00F37DD4" w:rsidRPr="00BF148D">
        <w:t xml:space="preserve"> considered the combination of cannabidiol and clobazam specifically.</w:t>
      </w:r>
    </w:p>
    <w:p w:rsidR="003E052F" w:rsidRPr="00BF148D" w:rsidRDefault="003E052F" w:rsidP="00224858">
      <w:pPr>
        <w:pStyle w:val="3-BodyText"/>
      </w:pPr>
      <w:r w:rsidRPr="00BF148D">
        <w:t xml:space="preserve">The PBAC noted an outstanding issue for consideration by the ACM is whether cannabidiol should only be registered for use in combination with clobazam and considered this may have implications for the clinical positioning of cannabidiol. </w:t>
      </w:r>
    </w:p>
    <w:p w:rsidR="00AA235D" w:rsidRPr="00BF148D" w:rsidRDefault="00AA235D" w:rsidP="00224858">
      <w:pPr>
        <w:pStyle w:val="4-SubsectionHeading"/>
      </w:pPr>
      <w:bookmarkStart w:id="9" w:name="_Toc40880078"/>
      <w:r w:rsidRPr="00BF148D">
        <w:t>Previous PBAC consideration</w:t>
      </w:r>
      <w:bookmarkEnd w:id="9"/>
    </w:p>
    <w:p w:rsidR="00AA235D" w:rsidRPr="00BF148D" w:rsidRDefault="00AA235D" w:rsidP="00224858">
      <w:pPr>
        <w:pStyle w:val="3-BodyText"/>
      </w:pPr>
      <w:r w:rsidRPr="00BF148D">
        <w:t>The PBAC recommended stiripentol for the treatment of DS</w:t>
      </w:r>
      <w:r w:rsidR="00FE73C7" w:rsidRPr="00BF148D">
        <w:t xml:space="preserve"> </w:t>
      </w:r>
      <w:r w:rsidRPr="00BF148D">
        <w:t xml:space="preserve">at its March 2020 meeting. </w:t>
      </w:r>
    </w:p>
    <w:p w:rsidR="008108C7" w:rsidRPr="00BF148D" w:rsidRDefault="008108C7" w:rsidP="003E052F">
      <w:pPr>
        <w:ind w:firstLine="720"/>
        <w:rPr>
          <w:i/>
        </w:rPr>
      </w:pPr>
      <w:r w:rsidRPr="00BF148D">
        <w:rPr>
          <w:i/>
        </w:rPr>
        <w:t>For more detail on PBAC’s view, see section 7 PBAC outcome.</w:t>
      </w:r>
    </w:p>
    <w:p w:rsidR="007827EC" w:rsidRPr="00BF148D" w:rsidRDefault="007827EC" w:rsidP="00224858">
      <w:pPr>
        <w:pStyle w:val="2-SectionHeading"/>
      </w:pPr>
      <w:bookmarkStart w:id="10" w:name="_Toc38639602"/>
      <w:bookmarkStart w:id="11" w:name="_Toc40880079"/>
      <w:r w:rsidRPr="00BF148D">
        <w:t>Requested listing</w:t>
      </w:r>
      <w:bookmarkEnd w:id="10"/>
      <w:bookmarkEnd w:id="11"/>
    </w:p>
    <w:p w:rsidR="00512186" w:rsidRPr="00BF148D" w:rsidRDefault="00824FEE" w:rsidP="00512186">
      <w:pPr>
        <w:pStyle w:val="3-BodyText"/>
      </w:pPr>
      <w:r w:rsidRPr="00BF148D">
        <w:t>The sponsor requested PBS listing of a maximum quantity of 1 pack with 5 repeats for patients with DS, and 2 packs with 5 repeats for patients with LGS.</w:t>
      </w:r>
    </w:p>
    <w:p w:rsidR="00512186" w:rsidRPr="00BF148D" w:rsidRDefault="00512186" w:rsidP="00512186">
      <w:pPr>
        <w:pStyle w:val="3-BodyText"/>
      </w:pPr>
      <w:r w:rsidRPr="00BF148D">
        <w:t xml:space="preserve">Suggestions and additions proposed by the Secretariat are added in italics and suggested deletions are crossed out with strikethrough. </w:t>
      </w:r>
      <w:bookmarkStart w:id="12" w:name="_Ref40788458"/>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850"/>
        <w:gridCol w:w="851"/>
        <w:gridCol w:w="850"/>
        <w:gridCol w:w="1276"/>
        <w:gridCol w:w="1418"/>
      </w:tblGrid>
      <w:tr w:rsidR="002C589F" w:rsidRPr="00BF148D" w:rsidTr="00390E95">
        <w:trPr>
          <w:cantSplit/>
          <w:trHeight w:val="471"/>
        </w:trPr>
        <w:tc>
          <w:tcPr>
            <w:tcW w:w="3681" w:type="dxa"/>
          </w:tcPr>
          <w:p w:rsidR="002C589F" w:rsidRPr="00BF148D" w:rsidRDefault="00390E95" w:rsidP="00390E95">
            <w:pPr>
              <w:keepNext/>
              <w:keepLines/>
              <w:ind w:left="-108"/>
              <w:jc w:val="left"/>
              <w:rPr>
                <w:rFonts w:ascii="Arial Narrow" w:hAnsi="Arial Narrow"/>
                <w:b/>
                <w:sz w:val="18"/>
                <w:szCs w:val="18"/>
              </w:rPr>
            </w:pPr>
            <w:r w:rsidRPr="00BF148D">
              <w:rPr>
                <w:rFonts w:ascii="Arial Narrow" w:hAnsi="Arial Narrow"/>
                <w:b/>
                <w:sz w:val="18"/>
                <w:szCs w:val="18"/>
              </w:rPr>
              <w:lastRenderedPageBreak/>
              <w:t>MEDICINAL PRODUCT</w:t>
            </w:r>
          </w:p>
          <w:p w:rsidR="002C589F" w:rsidRPr="00BF148D" w:rsidRDefault="00390E95" w:rsidP="00390E95">
            <w:pPr>
              <w:keepNext/>
              <w:keepLines/>
              <w:ind w:left="-108"/>
              <w:jc w:val="left"/>
              <w:rPr>
                <w:rFonts w:ascii="Arial Narrow" w:hAnsi="Arial Narrow"/>
                <w:b/>
                <w:sz w:val="18"/>
                <w:szCs w:val="18"/>
              </w:rPr>
            </w:pPr>
            <w:r w:rsidRPr="00BF148D">
              <w:rPr>
                <w:rFonts w:ascii="Arial Narrow" w:hAnsi="Arial Narrow"/>
                <w:b/>
                <w:sz w:val="18"/>
                <w:szCs w:val="18"/>
              </w:rPr>
              <w:t>medicinal product pack</w:t>
            </w:r>
          </w:p>
        </w:tc>
        <w:tc>
          <w:tcPr>
            <w:tcW w:w="850" w:type="dxa"/>
          </w:tcPr>
          <w:p w:rsidR="002C589F" w:rsidRPr="00BF148D" w:rsidRDefault="002C589F" w:rsidP="002C589F">
            <w:pPr>
              <w:keepNext/>
              <w:keepLines/>
              <w:ind w:left="-108"/>
              <w:jc w:val="center"/>
              <w:rPr>
                <w:rFonts w:ascii="Arial Narrow" w:hAnsi="Arial Narrow"/>
                <w:b/>
                <w:sz w:val="18"/>
                <w:szCs w:val="18"/>
              </w:rPr>
            </w:pPr>
            <w:r w:rsidRPr="00BF148D">
              <w:rPr>
                <w:rFonts w:ascii="Arial Narrow" w:hAnsi="Arial Narrow"/>
                <w:b/>
                <w:sz w:val="18"/>
                <w:szCs w:val="18"/>
              </w:rPr>
              <w:t>Max. qty packs</w:t>
            </w:r>
          </w:p>
        </w:tc>
        <w:tc>
          <w:tcPr>
            <w:tcW w:w="851" w:type="dxa"/>
          </w:tcPr>
          <w:p w:rsidR="002C589F" w:rsidRPr="00BF148D" w:rsidRDefault="002C589F" w:rsidP="002C589F">
            <w:pPr>
              <w:keepNext/>
              <w:keepLines/>
              <w:ind w:left="-108"/>
              <w:jc w:val="center"/>
              <w:rPr>
                <w:rFonts w:ascii="Arial Narrow" w:hAnsi="Arial Narrow"/>
                <w:b/>
                <w:sz w:val="18"/>
                <w:szCs w:val="18"/>
              </w:rPr>
            </w:pPr>
            <w:r w:rsidRPr="00BF148D">
              <w:rPr>
                <w:rFonts w:ascii="Arial Narrow" w:hAnsi="Arial Narrow"/>
                <w:b/>
                <w:sz w:val="18"/>
                <w:szCs w:val="18"/>
              </w:rPr>
              <w:t>Max. qty units</w:t>
            </w:r>
          </w:p>
        </w:tc>
        <w:tc>
          <w:tcPr>
            <w:tcW w:w="850" w:type="dxa"/>
          </w:tcPr>
          <w:p w:rsidR="002C589F" w:rsidRPr="00BF148D" w:rsidRDefault="002C589F" w:rsidP="002C589F">
            <w:pPr>
              <w:keepNext/>
              <w:keepLines/>
              <w:ind w:left="-108"/>
              <w:jc w:val="center"/>
              <w:rPr>
                <w:rFonts w:ascii="Arial Narrow" w:hAnsi="Arial Narrow"/>
                <w:b/>
                <w:sz w:val="18"/>
                <w:szCs w:val="18"/>
              </w:rPr>
            </w:pPr>
            <w:r w:rsidRPr="00BF148D">
              <w:rPr>
                <w:rFonts w:ascii="Arial Narrow" w:hAnsi="Arial Narrow"/>
                <w:b/>
                <w:sz w:val="18"/>
                <w:szCs w:val="18"/>
              </w:rPr>
              <w:t>№.of</w:t>
            </w:r>
          </w:p>
          <w:p w:rsidR="002C589F" w:rsidRPr="00BF148D" w:rsidRDefault="002C589F" w:rsidP="002C589F">
            <w:pPr>
              <w:keepNext/>
              <w:keepLines/>
              <w:ind w:left="-108"/>
              <w:jc w:val="center"/>
              <w:rPr>
                <w:rFonts w:ascii="Arial Narrow" w:hAnsi="Arial Narrow"/>
                <w:b/>
                <w:sz w:val="18"/>
                <w:szCs w:val="18"/>
              </w:rPr>
            </w:pPr>
            <w:r w:rsidRPr="00BF148D">
              <w:rPr>
                <w:rFonts w:ascii="Arial Narrow" w:hAnsi="Arial Narrow"/>
                <w:b/>
                <w:sz w:val="18"/>
                <w:szCs w:val="18"/>
              </w:rPr>
              <w:t>Rpts</w:t>
            </w:r>
          </w:p>
        </w:tc>
        <w:tc>
          <w:tcPr>
            <w:tcW w:w="1276" w:type="dxa"/>
          </w:tcPr>
          <w:p w:rsidR="002C589F" w:rsidRPr="00BF148D" w:rsidRDefault="002C589F" w:rsidP="002C589F">
            <w:pPr>
              <w:keepNext/>
              <w:keepLines/>
              <w:ind w:left="-108"/>
              <w:jc w:val="center"/>
              <w:rPr>
                <w:rFonts w:ascii="Arial Narrow" w:hAnsi="Arial Narrow"/>
                <w:b/>
                <w:sz w:val="18"/>
                <w:szCs w:val="18"/>
              </w:rPr>
            </w:pPr>
            <w:r w:rsidRPr="00BF148D">
              <w:rPr>
                <w:rFonts w:ascii="Arial Narrow" w:hAnsi="Arial Narrow"/>
                <w:b/>
                <w:sz w:val="18"/>
                <w:szCs w:val="18"/>
              </w:rPr>
              <w:t>D</w:t>
            </w:r>
            <w:r w:rsidR="00390E95" w:rsidRPr="00BF148D">
              <w:rPr>
                <w:rFonts w:ascii="Arial Narrow" w:hAnsi="Arial Narrow"/>
                <w:b/>
                <w:sz w:val="18"/>
                <w:szCs w:val="18"/>
              </w:rPr>
              <w:t xml:space="preserve">ispensed </w:t>
            </w:r>
            <w:r w:rsidRPr="00BF148D">
              <w:rPr>
                <w:rFonts w:ascii="Arial Narrow" w:hAnsi="Arial Narrow"/>
                <w:b/>
                <w:sz w:val="18"/>
                <w:szCs w:val="18"/>
              </w:rPr>
              <w:t>P</w:t>
            </w:r>
            <w:r w:rsidR="00390E95" w:rsidRPr="00BF148D">
              <w:rPr>
                <w:rFonts w:ascii="Arial Narrow" w:hAnsi="Arial Narrow"/>
                <w:b/>
                <w:sz w:val="18"/>
                <w:szCs w:val="18"/>
              </w:rPr>
              <w:t xml:space="preserve">rice. </w:t>
            </w:r>
            <w:r w:rsidRPr="00BF148D">
              <w:rPr>
                <w:rFonts w:ascii="Arial Narrow" w:hAnsi="Arial Narrow"/>
                <w:b/>
                <w:sz w:val="18"/>
                <w:szCs w:val="18"/>
              </w:rPr>
              <w:t>M</w:t>
            </w:r>
            <w:r w:rsidR="00390E95" w:rsidRPr="00BF148D">
              <w:rPr>
                <w:rFonts w:ascii="Arial Narrow" w:hAnsi="Arial Narrow"/>
                <w:b/>
                <w:sz w:val="18"/>
                <w:szCs w:val="18"/>
              </w:rPr>
              <w:t xml:space="preserve">ax </w:t>
            </w:r>
            <w:r w:rsidRPr="00BF148D">
              <w:rPr>
                <w:rFonts w:ascii="Arial Narrow" w:hAnsi="Arial Narrow"/>
                <w:b/>
                <w:sz w:val="18"/>
                <w:szCs w:val="18"/>
              </w:rPr>
              <w:t>Q</w:t>
            </w:r>
            <w:r w:rsidR="00390E95" w:rsidRPr="00BF148D">
              <w:rPr>
                <w:rFonts w:ascii="Arial Narrow" w:hAnsi="Arial Narrow"/>
                <w:b/>
                <w:sz w:val="18"/>
                <w:szCs w:val="18"/>
              </w:rPr>
              <w:t>ty</w:t>
            </w:r>
          </w:p>
        </w:tc>
        <w:tc>
          <w:tcPr>
            <w:tcW w:w="1418" w:type="dxa"/>
          </w:tcPr>
          <w:p w:rsidR="002C589F" w:rsidRPr="00BF148D" w:rsidRDefault="00390E95" w:rsidP="002C589F">
            <w:pPr>
              <w:keepNext/>
              <w:keepLines/>
              <w:ind w:left="-108"/>
              <w:jc w:val="center"/>
              <w:rPr>
                <w:rFonts w:ascii="Arial Narrow" w:hAnsi="Arial Narrow"/>
                <w:b/>
                <w:sz w:val="18"/>
                <w:szCs w:val="18"/>
              </w:rPr>
            </w:pPr>
            <w:r w:rsidRPr="00BF148D">
              <w:rPr>
                <w:rFonts w:ascii="Arial Narrow" w:hAnsi="Arial Narrow"/>
                <w:b/>
                <w:sz w:val="18"/>
                <w:szCs w:val="18"/>
              </w:rPr>
              <w:t>Available brands</w:t>
            </w:r>
          </w:p>
        </w:tc>
      </w:tr>
      <w:tr w:rsidR="002C589F" w:rsidRPr="00BF148D" w:rsidTr="00390E95">
        <w:trPr>
          <w:cantSplit/>
          <w:trHeight w:val="463"/>
        </w:trPr>
        <w:tc>
          <w:tcPr>
            <w:tcW w:w="3681" w:type="dxa"/>
          </w:tcPr>
          <w:p w:rsidR="002C589F" w:rsidRPr="00BF148D" w:rsidRDefault="002C589F" w:rsidP="002C589F">
            <w:pPr>
              <w:keepNext/>
              <w:keepLines/>
              <w:ind w:left="-108"/>
              <w:rPr>
                <w:rFonts w:ascii="Arial Narrow" w:hAnsi="Arial Narrow"/>
                <w:sz w:val="18"/>
                <w:szCs w:val="18"/>
              </w:rPr>
            </w:pPr>
            <w:r w:rsidRPr="00BF148D">
              <w:rPr>
                <w:rFonts w:ascii="Arial Narrow" w:hAnsi="Arial Narrow"/>
                <w:sz w:val="18"/>
                <w:szCs w:val="18"/>
              </w:rPr>
              <w:t>CANNABIDIOL</w:t>
            </w:r>
          </w:p>
          <w:p w:rsidR="002C589F" w:rsidRPr="00BF148D" w:rsidRDefault="002C589F" w:rsidP="002C589F">
            <w:pPr>
              <w:keepNext/>
              <w:keepLines/>
              <w:ind w:left="-108"/>
              <w:rPr>
                <w:rFonts w:ascii="Arial Narrow" w:hAnsi="Arial Narrow"/>
                <w:sz w:val="18"/>
                <w:szCs w:val="18"/>
              </w:rPr>
            </w:pPr>
            <w:r w:rsidRPr="00BF148D">
              <w:rPr>
                <w:rFonts w:ascii="Arial Narrow" w:hAnsi="Arial Narrow"/>
                <w:sz w:val="18"/>
                <w:szCs w:val="18"/>
              </w:rPr>
              <w:t>cannabidiol 100 mg/mL oral liquid, 100 mL</w:t>
            </w:r>
          </w:p>
        </w:tc>
        <w:tc>
          <w:tcPr>
            <w:tcW w:w="850" w:type="dxa"/>
          </w:tcPr>
          <w:p w:rsidR="002C589F" w:rsidRPr="00BF148D" w:rsidRDefault="002C589F" w:rsidP="002C589F">
            <w:pPr>
              <w:keepNext/>
              <w:keepLines/>
              <w:jc w:val="center"/>
              <w:rPr>
                <w:rFonts w:ascii="Arial Narrow" w:hAnsi="Arial Narrow"/>
                <w:sz w:val="18"/>
                <w:szCs w:val="18"/>
              </w:rPr>
            </w:pPr>
          </w:p>
          <w:p w:rsidR="002C589F" w:rsidRPr="00BF148D" w:rsidRDefault="002C589F" w:rsidP="002C589F">
            <w:pPr>
              <w:keepNext/>
              <w:keepLines/>
              <w:ind w:left="-108"/>
              <w:jc w:val="center"/>
              <w:rPr>
                <w:rFonts w:ascii="Arial Narrow" w:hAnsi="Arial Narrow"/>
                <w:sz w:val="18"/>
                <w:szCs w:val="18"/>
              </w:rPr>
            </w:pPr>
            <w:r w:rsidRPr="00BF148D">
              <w:rPr>
                <w:rFonts w:ascii="Arial Narrow" w:hAnsi="Arial Narrow"/>
                <w:sz w:val="18"/>
                <w:szCs w:val="18"/>
              </w:rPr>
              <w:t>1</w:t>
            </w:r>
          </w:p>
        </w:tc>
        <w:tc>
          <w:tcPr>
            <w:tcW w:w="851" w:type="dxa"/>
          </w:tcPr>
          <w:p w:rsidR="002C589F" w:rsidRPr="00BF148D" w:rsidRDefault="002C589F" w:rsidP="002C589F">
            <w:pPr>
              <w:keepNext/>
              <w:keepLines/>
              <w:ind w:left="-108"/>
              <w:jc w:val="center"/>
              <w:rPr>
                <w:rFonts w:ascii="Arial Narrow" w:hAnsi="Arial Narrow"/>
                <w:sz w:val="18"/>
                <w:szCs w:val="18"/>
              </w:rPr>
            </w:pPr>
          </w:p>
          <w:p w:rsidR="002C589F" w:rsidRPr="00BF148D" w:rsidRDefault="002C589F" w:rsidP="002C589F">
            <w:pPr>
              <w:keepNext/>
              <w:keepLines/>
              <w:ind w:left="-108"/>
              <w:jc w:val="center"/>
              <w:rPr>
                <w:rFonts w:ascii="Arial Narrow" w:hAnsi="Arial Narrow"/>
                <w:sz w:val="18"/>
                <w:szCs w:val="18"/>
              </w:rPr>
            </w:pPr>
            <w:r w:rsidRPr="00BF148D">
              <w:rPr>
                <w:rFonts w:ascii="Arial Narrow" w:hAnsi="Arial Narrow"/>
                <w:sz w:val="18"/>
                <w:szCs w:val="18"/>
              </w:rPr>
              <w:t>1</w:t>
            </w:r>
          </w:p>
        </w:tc>
        <w:tc>
          <w:tcPr>
            <w:tcW w:w="850" w:type="dxa"/>
          </w:tcPr>
          <w:p w:rsidR="002C589F" w:rsidRPr="00BF148D" w:rsidRDefault="002C589F" w:rsidP="002C589F">
            <w:pPr>
              <w:keepNext/>
              <w:keepLines/>
              <w:ind w:left="-108"/>
              <w:jc w:val="center"/>
              <w:rPr>
                <w:rFonts w:ascii="Arial Narrow" w:hAnsi="Arial Narrow"/>
                <w:sz w:val="18"/>
                <w:szCs w:val="18"/>
              </w:rPr>
            </w:pPr>
          </w:p>
          <w:p w:rsidR="002C589F" w:rsidRPr="00BF148D" w:rsidRDefault="002C589F" w:rsidP="002C589F">
            <w:pPr>
              <w:keepNext/>
              <w:keepLines/>
              <w:ind w:left="-108"/>
              <w:jc w:val="center"/>
              <w:rPr>
                <w:rFonts w:ascii="Arial Narrow" w:hAnsi="Arial Narrow"/>
                <w:sz w:val="18"/>
                <w:szCs w:val="18"/>
              </w:rPr>
            </w:pPr>
            <w:r w:rsidRPr="00BF148D">
              <w:rPr>
                <w:rFonts w:ascii="Arial Narrow" w:hAnsi="Arial Narrow"/>
                <w:sz w:val="18"/>
                <w:szCs w:val="18"/>
              </w:rPr>
              <w:t>5</w:t>
            </w:r>
          </w:p>
          <w:p w:rsidR="002C589F" w:rsidRPr="00BF148D" w:rsidRDefault="002C589F" w:rsidP="002C589F">
            <w:pPr>
              <w:keepNext/>
              <w:keepLines/>
              <w:ind w:left="-108"/>
              <w:jc w:val="center"/>
              <w:rPr>
                <w:rFonts w:ascii="Arial Narrow" w:hAnsi="Arial Narrow"/>
                <w:sz w:val="18"/>
                <w:szCs w:val="18"/>
              </w:rPr>
            </w:pPr>
          </w:p>
        </w:tc>
        <w:tc>
          <w:tcPr>
            <w:tcW w:w="1276" w:type="dxa"/>
          </w:tcPr>
          <w:p w:rsidR="002C589F" w:rsidRPr="00BF148D" w:rsidRDefault="002C589F" w:rsidP="002C589F">
            <w:pPr>
              <w:keepNext/>
              <w:keepLines/>
              <w:ind w:left="-108"/>
              <w:jc w:val="center"/>
              <w:rPr>
                <w:rFonts w:ascii="Arial Narrow" w:hAnsi="Arial Narrow"/>
                <w:sz w:val="18"/>
                <w:szCs w:val="18"/>
              </w:rPr>
            </w:pPr>
          </w:p>
          <w:p w:rsidR="002C589F" w:rsidRPr="00BF148D" w:rsidRDefault="002C589F" w:rsidP="002C589F">
            <w:pPr>
              <w:keepNext/>
              <w:keepLines/>
              <w:ind w:left="-108"/>
              <w:jc w:val="center"/>
              <w:rPr>
                <w:rFonts w:ascii="Arial Narrow" w:hAnsi="Arial Narrow"/>
                <w:sz w:val="18"/>
                <w:szCs w:val="18"/>
              </w:rPr>
            </w:pPr>
            <w:r w:rsidRPr="00BF148D">
              <w:rPr>
                <w:rFonts w:ascii="Arial Narrow" w:hAnsi="Arial Narrow"/>
                <w:sz w:val="18"/>
                <w:szCs w:val="18"/>
              </w:rPr>
              <w:t>$</w:t>
            </w:r>
            <w:r w:rsidR="00B451A4">
              <w:rPr>
                <w:rFonts w:ascii="Arial Narrow" w:hAnsi="Arial Narrow"/>
                <w:noProof/>
                <w:color w:val="000000"/>
                <w:sz w:val="18"/>
                <w:szCs w:val="18"/>
                <w:highlight w:val="black"/>
              </w:rPr>
              <w:t>'''''''''''''''</w:t>
            </w:r>
          </w:p>
        </w:tc>
        <w:tc>
          <w:tcPr>
            <w:tcW w:w="1418" w:type="dxa"/>
          </w:tcPr>
          <w:p w:rsidR="002C589F" w:rsidRPr="00BF148D" w:rsidRDefault="002C589F" w:rsidP="002C589F">
            <w:pPr>
              <w:keepNext/>
              <w:keepLines/>
              <w:rPr>
                <w:rFonts w:ascii="Arial Narrow" w:hAnsi="Arial Narrow"/>
                <w:sz w:val="18"/>
                <w:szCs w:val="18"/>
              </w:rPr>
            </w:pPr>
          </w:p>
          <w:p w:rsidR="002C589F" w:rsidRPr="00BF148D" w:rsidRDefault="002C589F" w:rsidP="002C589F">
            <w:pPr>
              <w:keepNext/>
              <w:keepLines/>
              <w:rPr>
                <w:rFonts w:ascii="Arial Narrow" w:hAnsi="Arial Narrow"/>
                <w:sz w:val="18"/>
                <w:szCs w:val="18"/>
              </w:rPr>
            </w:pPr>
            <w:r w:rsidRPr="00BF148D">
              <w:rPr>
                <w:rFonts w:ascii="Arial Narrow" w:hAnsi="Arial Narrow"/>
                <w:sz w:val="18"/>
                <w:szCs w:val="18"/>
              </w:rPr>
              <w:t>Epidyolex</w:t>
            </w:r>
          </w:p>
        </w:tc>
      </w:tr>
    </w:tbl>
    <w:p w:rsidR="002C589F" w:rsidRPr="00BF148D" w:rsidRDefault="002C589F" w:rsidP="002C589F">
      <w:pPr>
        <w:pStyle w:val="TableFigure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2C589F" w:rsidRPr="00BF148D" w:rsidTr="00390E95">
        <w:tc>
          <w:tcPr>
            <w:tcW w:w="5000" w:type="pct"/>
            <w:tcBorders>
              <w:top w:val="single" w:sz="4" w:space="0" w:color="auto"/>
              <w:left w:val="single" w:sz="4" w:space="0" w:color="auto"/>
              <w:bottom w:val="single" w:sz="4" w:space="0" w:color="auto"/>
              <w:right w:val="single" w:sz="4" w:space="0" w:color="auto"/>
            </w:tcBorders>
          </w:tcPr>
          <w:p w:rsidR="002C589F" w:rsidRPr="00BF148D" w:rsidRDefault="002C589F" w:rsidP="0033712E">
            <w:pPr>
              <w:keepNext/>
              <w:rPr>
                <w:rFonts w:ascii="Arial Narrow" w:hAnsi="Arial Narrow"/>
                <w:i/>
                <w:strike/>
                <w:sz w:val="18"/>
                <w:szCs w:val="18"/>
              </w:rPr>
            </w:pPr>
            <w:r w:rsidRPr="00BF148D">
              <w:rPr>
                <w:rFonts w:ascii="Arial Narrow" w:hAnsi="Arial Narrow"/>
                <w:b/>
                <w:sz w:val="18"/>
                <w:szCs w:val="18"/>
              </w:rPr>
              <w:t>Category / Program:</w:t>
            </w:r>
            <w:r w:rsidR="00EB62D6" w:rsidRPr="00BF148D">
              <w:rPr>
                <w:rFonts w:ascii="Arial Narrow" w:hAnsi="Arial Narrow"/>
                <w:b/>
                <w:sz w:val="18"/>
                <w:szCs w:val="18"/>
              </w:rPr>
              <w:t xml:space="preserve"> </w:t>
            </w:r>
            <w:r w:rsidRPr="00BF148D">
              <w:rPr>
                <w:rFonts w:ascii="Arial Narrow" w:hAnsi="Arial Narrow"/>
                <w:b/>
                <w:sz w:val="18"/>
                <w:szCs w:val="18"/>
              </w:rPr>
              <w:t xml:space="preserve"> </w:t>
            </w:r>
            <w:r w:rsidRPr="00BF148D">
              <w:rPr>
                <w:rFonts w:ascii="Arial Narrow" w:hAnsi="Arial Narrow"/>
                <w:strike/>
                <w:sz w:val="18"/>
                <w:szCs w:val="18"/>
              </w:rPr>
              <w:t xml:space="preserve">Section 100 – Highly Specialised Drugs Program {Community Access} </w:t>
            </w:r>
            <w:r w:rsidR="00390E95" w:rsidRPr="00BF148D">
              <w:rPr>
                <w:rFonts w:ascii="Arial Narrow" w:hAnsi="Arial Narrow"/>
                <w:i/>
                <w:sz w:val="18"/>
                <w:szCs w:val="18"/>
              </w:rPr>
              <w:t>GENERAL – General Schedule (Code GE)</w:t>
            </w:r>
          </w:p>
        </w:tc>
      </w:tr>
      <w:tr w:rsidR="002C589F" w:rsidRPr="00BF148D" w:rsidTr="00390E95">
        <w:trPr>
          <w:trHeight w:val="50"/>
        </w:trPr>
        <w:tc>
          <w:tcPr>
            <w:tcW w:w="5000" w:type="pct"/>
            <w:tcBorders>
              <w:top w:val="single" w:sz="4" w:space="0" w:color="auto"/>
              <w:left w:val="single" w:sz="4" w:space="0" w:color="auto"/>
              <w:bottom w:val="single" w:sz="4" w:space="0" w:color="auto"/>
              <w:right w:val="single" w:sz="4" w:space="0" w:color="auto"/>
            </w:tcBorders>
          </w:tcPr>
          <w:p w:rsidR="002C589F" w:rsidRPr="00BF148D" w:rsidRDefault="002C589F" w:rsidP="0033712E">
            <w:pPr>
              <w:keepNext/>
              <w:rPr>
                <w:rFonts w:ascii="Arial Narrow" w:hAnsi="Arial Narrow"/>
                <w:sz w:val="18"/>
                <w:szCs w:val="18"/>
              </w:rPr>
            </w:pPr>
            <w:r w:rsidRPr="00BF148D">
              <w:rPr>
                <w:rFonts w:ascii="Arial Narrow" w:hAnsi="Arial Narrow"/>
                <w:b/>
                <w:sz w:val="18"/>
                <w:szCs w:val="18"/>
              </w:rPr>
              <w:t>Prescriber type:</w:t>
            </w:r>
            <w:r w:rsidR="00EB62D6" w:rsidRPr="00BF148D">
              <w:rPr>
                <w:rFonts w:ascii="Arial Narrow" w:hAnsi="Arial Narrow"/>
                <w:b/>
                <w:sz w:val="18"/>
                <w:szCs w:val="18"/>
              </w:rPr>
              <w:t xml:space="preserve"> </w:t>
            </w:r>
            <w:r w:rsidRPr="00BF148D">
              <w:rPr>
                <w:rFonts w:ascii="Arial Narrow" w:hAnsi="Arial Narrow"/>
                <w:sz w:val="18"/>
                <w:szCs w:val="18"/>
              </w:rPr>
              <w:fldChar w:fldCharType="begin">
                <w:ffData>
                  <w:name w:val=""/>
                  <w:enabled/>
                  <w:calcOnExit w:val="0"/>
                  <w:checkBox>
                    <w:sizeAuto/>
                    <w:default w:val="1"/>
                  </w:checkBox>
                </w:ffData>
              </w:fldChar>
            </w:r>
            <w:r w:rsidRPr="00BF148D">
              <w:rPr>
                <w:rFonts w:ascii="Arial Narrow" w:hAnsi="Arial Narrow"/>
                <w:sz w:val="18"/>
                <w:szCs w:val="18"/>
              </w:rPr>
              <w:instrText xml:space="preserve"> FORMCHECKBOX </w:instrText>
            </w:r>
            <w:r w:rsidR="00856CCA">
              <w:rPr>
                <w:rFonts w:ascii="Arial Narrow" w:hAnsi="Arial Narrow"/>
                <w:sz w:val="18"/>
                <w:szCs w:val="18"/>
              </w:rPr>
            </w:r>
            <w:r w:rsidR="00856CCA">
              <w:rPr>
                <w:rFonts w:ascii="Arial Narrow" w:hAnsi="Arial Narrow"/>
                <w:sz w:val="18"/>
                <w:szCs w:val="18"/>
              </w:rPr>
              <w:fldChar w:fldCharType="separate"/>
            </w:r>
            <w:r w:rsidRPr="00BF148D">
              <w:rPr>
                <w:rFonts w:ascii="Arial Narrow" w:hAnsi="Arial Narrow"/>
                <w:sz w:val="18"/>
                <w:szCs w:val="18"/>
              </w:rPr>
              <w:fldChar w:fldCharType="end"/>
            </w:r>
            <w:r w:rsidRPr="00BF148D">
              <w:rPr>
                <w:rFonts w:ascii="Arial Narrow" w:hAnsi="Arial Narrow"/>
                <w:sz w:val="18"/>
                <w:szCs w:val="18"/>
              </w:rPr>
              <w:t>Medical Practitioners</w:t>
            </w:r>
            <w:r w:rsidR="00EB62D6" w:rsidRPr="00BF148D">
              <w:rPr>
                <w:rFonts w:ascii="Arial Narrow" w:hAnsi="Arial Narrow"/>
                <w:sz w:val="18"/>
                <w:szCs w:val="18"/>
              </w:rPr>
              <w:t xml:space="preserve"> </w:t>
            </w:r>
          </w:p>
        </w:tc>
      </w:tr>
      <w:tr w:rsidR="002C589F" w:rsidRPr="00BF148D" w:rsidTr="00390E95">
        <w:tc>
          <w:tcPr>
            <w:tcW w:w="5000" w:type="pct"/>
            <w:tcBorders>
              <w:top w:val="single" w:sz="4" w:space="0" w:color="auto"/>
              <w:left w:val="single" w:sz="4" w:space="0" w:color="auto"/>
              <w:bottom w:val="single" w:sz="4" w:space="0" w:color="auto"/>
              <w:right w:val="single" w:sz="4" w:space="0" w:color="auto"/>
            </w:tcBorders>
          </w:tcPr>
          <w:p w:rsidR="002C589F" w:rsidRPr="00BF148D" w:rsidRDefault="002C589F" w:rsidP="0033712E">
            <w:pPr>
              <w:keepNext/>
              <w:rPr>
                <w:rFonts w:ascii="Arial Narrow" w:hAnsi="Arial Narrow"/>
                <w:b/>
                <w:sz w:val="18"/>
                <w:szCs w:val="18"/>
              </w:rPr>
            </w:pPr>
            <w:r w:rsidRPr="00BF148D">
              <w:rPr>
                <w:rFonts w:ascii="Arial Narrow" w:hAnsi="Arial Narrow"/>
                <w:b/>
                <w:sz w:val="18"/>
                <w:szCs w:val="18"/>
              </w:rPr>
              <w:t xml:space="preserve">Restriction </w:t>
            </w:r>
            <w:r w:rsidR="00390E95" w:rsidRPr="00BF148D">
              <w:rPr>
                <w:rFonts w:ascii="Arial Narrow" w:hAnsi="Arial Narrow"/>
                <w:b/>
                <w:sz w:val="18"/>
                <w:szCs w:val="18"/>
              </w:rPr>
              <w:t xml:space="preserve">type </w:t>
            </w:r>
            <w:r w:rsidRPr="00BF148D">
              <w:rPr>
                <w:rFonts w:ascii="Arial Narrow" w:hAnsi="Arial Narrow"/>
                <w:b/>
                <w:sz w:val="18"/>
                <w:szCs w:val="18"/>
              </w:rPr>
              <w:t>/ Method:</w:t>
            </w:r>
          </w:p>
          <w:p w:rsidR="002C589F" w:rsidRPr="00BF148D" w:rsidRDefault="002C589F" w:rsidP="0033712E">
            <w:pPr>
              <w:keepNext/>
              <w:rPr>
                <w:rFonts w:ascii="Arial Narrow" w:hAnsi="Arial Narrow"/>
                <w:sz w:val="18"/>
                <w:szCs w:val="18"/>
              </w:rPr>
            </w:pPr>
            <w:r w:rsidRPr="00BF148D">
              <w:rPr>
                <w:rFonts w:ascii="Arial Narrow" w:hAnsi="Arial Narrow"/>
                <w:sz w:val="18"/>
                <w:szCs w:val="18"/>
              </w:rPr>
              <w:fldChar w:fldCharType="begin">
                <w:ffData>
                  <w:name w:val="Check3"/>
                  <w:enabled/>
                  <w:calcOnExit w:val="0"/>
                  <w:checkBox>
                    <w:sizeAuto/>
                    <w:default w:val="1"/>
                  </w:checkBox>
                </w:ffData>
              </w:fldChar>
            </w:r>
            <w:r w:rsidRPr="00BF148D">
              <w:rPr>
                <w:rFonts w:ascii="Arial Narrow" w:hAnsi="Arial Narrow"/>
                <w:sz w:val="18"/>
                <w:szCs w:val="18"/>
              </w:rPr>
              <w:instrText xml:space="preserve"> FORMCHECKBOX </w:instrText>
            </w:r>
            <w:r w:rsidR="00856CCA">
              <w:rPr>
                <w:rFonts w:ascii="Arial Narrow" w:hAnsi="Arial Narrow"/>
                <w:sz w:val="18"/>
                <w:szCs w:val="18"/>
              </w:rPr>
            </w:r>
            <w:r w:rsidR="00856CCA">
              <w:rPr>
                <w:rFonts w:ascii="Arial Narrow" w:hAnsi="Arial Narrow"/>
                <w:sz w:val="18"/>
                <w:szCs w:val="18"/>
              </w:rPr>
              <w:fldChar w:fldCharType="separate"/>
            </w:r>
            <w:r w:rsidRPr="00BF148D">
              <w:rPr>
                <w:rFonts w:ascii="Arial Narrow" w:hAnsi="Arial Narrow"/>
                <w:sz w:val="18"/>
                <w:szCs w:val="18"/>
              </w:rPr>
              <w:fldChar w:fldCharType="end"/>
            </w:r>
            <w:r w:rsidRPr="00BF148D">
              <w:rPr>
                <w:rFonts w:ascii="Arial Narrow" w:hAnsi="Arial Narrow"/>
                <w:i/>
                <w:sz w:val="18"/>
                <w:szCs w:val="18"/>
              </w:rPr>
              <w:t xml:space="preserve">Authority Required – </w:t>
            </w:r>
            <w:r w:rsidR="00390E95" w:rsidRPr="00BF148D">
              <w:rPr>
                <w:rFonts w:ascii="Arial Narrow" w:hAnsi="Arial Narrow"/>
                <w:i/>
                <w:sz w:val="18"/>
                <w:szCs w:val="18"/>
              </w:rPr>
              <w:t>immediate/real time assessment (telephone/online)</w:t>
            </w:r>
          </w:p>
          <w:p w:rsidR="002C589F" w:rsidRPr="00BF148D" w:rsidRDefault="002C589F" w:rsidP="0033712E">
            <w:pPr>
              <w:keepNext/>
              <w:rPr>
                <w:rFonts w:ascii="Arial Narrow" w:hAnsi="Arial Narrow"/>
                <w:strike/>
                <w:sz w:val="18"/>
                <w:szCs w:val="18"/>
              </w:rPr>
            </w:pPr>
            <w:r w:rsidRPr="00BF148D">
              <w:rPr>
                <w:rFonts w:ascii="Arial Narrow" w:hAnsi="Arial Narrow"/>
                <w:strike/>
                <w:sz w:val="18"/>
                <w:szCs w:val="18"/>
              </w:rPr>
              <w:fldChar w:fldCharType="begin">
                <w:ffData>
                  <w:name w:val=""/>
                  <w:enabled/>
                  <w:calcOnExit w:val="0"/>
                  <w:checkBox>
                    <w:sizeAuto/>
                    <w:default w:val="1"/>
                  </w:checkBox>
                </w:ffData>
              </w:fldChar>
            </w:r>
            <w:r w:rsidRPr="00BF148D">
              <w:rPr>
                <w:rFonts w:ascii="Arial Narrow" w:hAnsi="Arial Narrow"/>
                <w:strike/>
                <w:sz w:val="18"/>
                <w:szCs w:val="18"/>
              </w:rPr>
              <w:instrText xml:space="preserve"> FORMCHECKBOX </w:instrText>
            </w:r>
            <w:r w:rsidR="00856CCA">
              <w:rPr>
                <w:rFonts w:ascii="Arial Narrow" w:hAnsi="Arial Narrow"/>
                <w:strike/>
                <w:sz w:val="18"/>
                <w:szCs w:val="18"/>
              </w:rPr>
            </w:r>
            <w:r w:rsidR="00856CCA">
              <w:rPr>
                <w:rFonts w:ascii="Arial Narrow" w:hAnsi="Arial Narrow"/>
                <w:strike/>
                <w:sz w:val="18"/>
                <w:szCs w:val="18"/>
              </w:rPr>
              <w:fldChar w:fldCharType="separate"/>
            </w:r>
            <w:r w:rsidRPr="00BF148D">
              <w:rPr>
                <w:rFonts w:ascii="Arial Narrow" w:hAnsi="Arial Narrow"/>
                <w:strike/>
                <w:sz w:val="18"/>
                <w:szCs w:val="18"/>
              </w:rPr>
              <w:fldChar w:fldCharType="end"/>
            </w:r>
            <w:r w:rsidRPr="00BF148D">
              <w:rPr>
                <w:rFonts w:ascii="Arial Narrow" w:hAnsi="Arial Narrow"/>
                <w:strike/>
                <w:sz w:val="18"/>
                <w:szCs w:val="18"/>
              </w:rPr>
              <w:t>Authority Required - Streamlined</w:t>
            </w:r>
          </w:p>
        </w:tc>
      </w:tr>
      <w:tr w:rsidR="002C589F" w:rsidRPr="00BF148D" w:rsidTr="00390E95">
        <w:tc>
          <w:tcPr>
            <w:tcW w:w="5000" w:type="pct"/>
            <w:vAlign w:val="center"/>
          </w:tcPr>
          <w:p w:rsidR="002C589F" w:rsidRPr="00BF148D" w:rsidRDefault="002C589F" w:rsidP="0033712E">
            <w:pPr>
              <w:keepNext/>
              <w:rPr>
                <w:rFonts w:ascii="Arial Narrow" w:hAnsi="Arial Narrow"/>
                <w:b/>
                <w:bCs/>
                <w:i/>
                <w:sz w:val="18"/>
                <w:szCs w:val="18"/>
              </w:rPr>
            </w:pPr>
            <w:r w:rsidRPr="00BF148D">
              <w:rPr>
                <w:rFonts w:ascii="Arial Narrow" w:hAnsi="Arial Narrow"/>
                <w:b/>
                <w:bCs/>
                <w:sz w:val="18"/>
                <w:szCs w:val="18"/>
              </w:rPr>
              <w:t xml:space="preserve">Condition: </w:t>
            </w:r>
            <w:r w:rsidRPr="00BF148D">
              <w:rPr>
                <w:rFonts w:ascii="Arial Narrow" w:hAnsi="Arial Narrow"/>
                <w:strike/>
                <w:sz w:val="18"/>
                <w:szCs w:val="18"/>
              </w:rPr>
              <w:t>Dravet syndrome</w:t>
            </w:r>
            <w:r w:rsidRPr="00BF148D">
              <w:rPr>
                <w:rFonts w:ascii="Arial Narrow" w:hAnsi="Arial Narrow"/>
                <w:i/>
                <w:sz w:val="18"/>
                <w:szCs w:val="18"/>
              </w:rPr>
              <w:t xml:space="preserve"> </w:t>
            </w:r>
            <w:r w:rsidRPr="00BF148D">
              <w:rPr>
                <w:rFonts w:ascii="Arial Narrow" w:hAnsi="Arial Narrow"/>
                <w:bCs/>
                <w:i/>
                <w:sz w:val="18"/>
                <w:szCs w:val="18"/>
              </w:rPr>
              <w:t>Severe myoclonic epilepsy of infancy (Dravet syndrome)</w:t>
            </w:r>
          </w:p>
        </w:tc>
      </w:tr>
      <w:tr w:rsidR="002C589F" w:rsidRPr="00BF148D" w:rsidTr="00390E95">
        <w:tc>
          <w:tcPr>
            <w:tcW w:w="5000" w:type="pct"/>
            <w:vAlign w:val="center"/>
            <w:hideMark/>
          </w:tcPr>
          <w:p w:rsidR="002C589F" w:rsidRPr="00BF148D" w:rsidRDefault="002C589F" w:rsidP="0033712E">
            <w:pPr>
              <w:keepNext/>
              <w:rPr>
                <w:rFonts w:ascii="Arial Narrow" w:hAnsi="Arial Narrow"/>
                <w:i/>
                <w:color w:val="333333"/>
                <w:sz w:val="18"/>
                <w:szCs w:val="18"/>
              </w:rPr>
            </w:pPr>
            <w:r w:rsidRPr="00BF148D">
              <w:rPr>
                <w:rFonts w:ascii="Arial Narrow" w:hAnsi="Arial Narrow"/>
                <w:b/>
                <w:bCs/>
                <w:color w:val="333333"/>
                <w:sz w:val="18"/>
                <w:szCs w:val="18"/>
              </w:rPr>
              <w:t>Indication:</w:t>
            </w:r>
            <w:r w:rsidRPr="00BF148D">
              <w:rPr>
                <w:rFonts w:ascii="Arial Narrow" w:hAnsi="Arial Narrow"/>
                <w:color w:val="333333"/>
                <w:sz w:val="18"/>
                <w:szCs w:val="18"/>
              </w:rPr>
              <w:t xml:space="preserve"> </w:t>
            </w:r>
            <w:r w:rsidRPr="00BF148D">
              <w:rPr>
                <w:rFonts w:ascii="Arial Narrow" w:hAnsi="Arial Narrow"/>
                <w:strike/>
                <w:color w:val="333333"/>
                <w:sz w:val="18"/>
                <w:szCs w:val="18"/>
              </w:rPr>
              <w:t>Adjunctive therapy of seizures associated with Dravet syndrome (DS) for patients 2 years of age and older.</w:t>
            </w:r>
          </w:p>
          <w:p w:rsidR="002C589F" w:rsidRPr="00BF148D" w:rsidRDefault="002C589F" w:rsidP="0033712E">
            <w:pPr>
              <w:keepNext/>
              <w:rPr>
                <w:rFonts w:ascii="Arial Narrow" w:hAnsi="Arial Narrow"/>
                <w:i/>
                <w:color w:val="333333"/>
                <w:sz w:val="18"/>
                <w:szCs w:val="18"/>
              </w:rPr>
            </w:pPr>
            <w:r w:rsidRPr="00BF148D">
              <w:rPr>
                <w:rFonts w:ascii="Arial Narrow" w:hAnsi="Arial Narrow"/>
                <w:i/>
                <w:color w:val="333333"/>
                <w:sz w:val="18"/>
                <w:szCs w:val="18"/>
              </w:rPr>
              <w:t xml:space="preserve"> </w:t>
            </w:r>
            <w:r w:rsidRPr="00BF148D">
              <w:rPr>
                <w:rFonts w:ascii="Arial Narrow" w:hAnsi="Arial Narrow"/>
                <w:bCs/>
                <w:i/>
                <w:sz w:val="18"/>
                <w:szCs w:val="18"/>
              </w:rPr>
              <w:t>Severe myoclonic epilepsy of infancy (Dravet syndrome)</w:t>
            </w:r>
          </w:p>
        </w:tc>
      </w:tr>
      <w:tr w:rsidR="002C589F" w:rsidRPr="00BF148D" w:rsidTr="00390E95">
        <w:tc>
          <w:tcPr>
            <w:tcW w:w="5000" w:type="pct"/>
            <w:vAlign w:val="center"/>
            <w:hideMark/>
          </w:tcPr>
          <w:p w:rsidR="002C589F" w:rsidRPr="00BF148D" w:rsidRDefault="002C589F" w:rsidP="0033712E">
            <w:pPr>
              <w:keepNext/>
              <w:rPr>
                <w:rFonts w:ascii="Arial Narrow" w:hAnsi="Arial Narrow"/>
                <w:color w:val="333333"/>
                <w:sz w:val="18"/>
                <w:szCs w:val="18"/>
              </w:rPr>
            </w:pPr>
            <w:r w:rsidRPr="00BF148D">
              <w:rPr>
                <w:rFonts w:ascii="Arial Narrow" w:hAnsi="Arial Narrow"/>
                <w:b/>
                <w:bCs/>
                <w:color w:val="333333"/>
                <w:sz w:val="18"/>
                <w:szCs w:val="18"/>
              </w:rPr>
              <w:t>Treatment Phase:</w:t>
            </w:r>
            <w:r w:rsidRPr="00BF148D">
              <w:rPr>
                <w:rFonts w:ascii="Arial Narrow" w:hAnsi="Arial Narrow"/>
                <w:color w:val="333333"/>
                <w:sz w:val="18"/>
                <w:szCs w:val="18"/>
              </w:rPr>
              <w:t xml:space="preserve"> Initial and continuing treatment </w:t>
            </w:r>
          </w:p>
        </w:tc>
      </w:tr>
      <w:tr w:rsidR="002C589F" w:rsidRPr="00BF148D" w:rsidTr="00390E95">
        <w:tc>
          <w:tcPr>
            <w:tcW w:w="5000" w:type="pct"/>
            <w:vAlign w:val="center"/>
            <w:hideMark/>
          </w:tcPr>
          <w:p w:rsidR="002C589F" w:rsidRPr="00BF148D" w:rsidRDefault="002C589F" w:rsidP="0033712E">
            <w:pPr>
              <w:keepNext/>
              <w:rPr>
                <w:rFonts w:ascii="Arial Narrow" w:hAnsi="Arial Narrow"/>
                <w:color w:val="333333"/>
                <w:sz w:val="18"/>
                <w:szCs w:val="18"/>
              </w:rPr>
            </w:pPr>
            <w:r w:rsidRPr="00BF148D">
              <w:rPr>
                <w:rFonts w:ascii="Arial Narrow" w:hAnsi="Arial Narrow"/>
                <w:b/>
                <w:bCs/>
                <w:color w:val="333333"/>
                <w:sz w:val="18"/>
                <w:szCs w:val="18"/>
              </w:rPr>
              <w:t>Clinical criteria:</w:t>
            </w:r>
          </w:p>
        </w:tc>
      </w:tr>
      <w:tr w:rsidR="002C589F" w:rsidRPr="00BF148D" w:rsidTr="00390E95">
        <w:tc>
          <w:tcPr>
            <w:tcW w:w="5000" w:type="pct"/>
            <w:vAlign w:val="center"/>
            <w:hideMark/>
          </w:tcPr>
          <w:p w:rsidR="002C589F" w:rsidRPr="00BF148D" w:rsidRDefault="002C589F" w:rsidP="0033712E">
            <w:pPr>
              <w:keepNext/>
              <w:rPr>
                <w:rFonts w:ascii="Arial Narrow" w:hAnsi="Arial Narrow"/>
                <w:i/>
                <w:color w:val="333333"/>
                <w:sz w:val="18"/>
                <w:szCs w:val="18"/>
              </w:rPr>
            </w:pPr>
            <w:r w:rsidRPr="00BF148D">
              <w:rPr>
                <w:rFonts w:ascii="Arial Narrow" w:hAnsi="Arial Narrow"/>
                <w:i/>
                <w:color w:val="333333"/>
                <w:sz w:val="18"/>
                <w:szCs w:val="18"/>
              </w:rPr>
              <w:t>The condition must have failed to be controlled satisfactorily by other anti-epileptic drugs.</w:t>
            </w:r>
          </w:p>
        </w:tc>
      </w:tr>
      <w:tr w:rsidR="002C589F" w:rsidRPr="00BF148D" w:rsidTr="00390E95">
        <w:tc>
          <w:tcPr>
            <w:tcW w:w="5000" w:type="pct"/>
            <w:vAlign w:val="center"/>
            <w:hideMark/>
          </w:tcPr>
          <w:p w:rsidR="002C589F" w:rsidRPr="00BF148D" w:rsidRDefault="002C589F" w:rsidP="0033712E">
            <w:pPr>
              <w:keepNext/>
              <w:rPr>
                <w:rFonts w:ascii="Arial Narrow" w:hAnsi="Arial Narrow"/>
                <w:color w:val="333333"/>
                <w:sz w:val="18"/>
                <w:szCs w:val="18"/>
              </w:rPr>
            </w:pPr>
            <w:r w:rsidRPr="00BF148D">
              <w:rPr>
                <w:rFonts w:ascii="Arial Narrow" w:hAnsi="Arial Narrow"/>
                <w:b/>
                <w:bCs/>
                <w:color w:val="333333"/>
                <w:sz w:val="18"/>
                <w:szCs w:val="18"/>
              </w:rPr>
              <w:t>AND</w:t>
            </w:r>
          </w:p>
        </w:tc>
      </w:tr>
      <w:tr w:rsidR="002C589F" w:rsidRPr="00BF148D" w:rsidTr="00390E95">
        <w:tc>
          <w:tcPr>
            <w:tcW w:w="5000" w:type="pct"/>
            <w:vAlign w:val="center"/>
          </w:tcPr>
          <w:p w:rsidR="002C589F" w:rsidRPr="00BF148D" w:rsidRDefault="002C589F" w:rsidP="0033712E">
            <w:pPr>
              <w:rPr>
                <w:rFonts w:ascii="Arial Narrow" w:hAnsi="Arial Narrow"/>
                <w:b/>
                <w:bCs/>
                <w:color w:val="333333"/>
                <w:sz w:val="18"/>
                <w:szCs w:val="18"/>
              </w:rPr>
            </w:pPr>
            <w:r w:rsidRPr="00BF148D">
              <w:rPr>
                <w:rFonts w:ascii="Arial Narrow" w:hAnsi="Arial Narrow"/>
                <w:b/>
                <w:bCs/>
                <w:color w:val="333333"/>
                <w:sz w:val="18"/>
                <w:szCs w:val="18"/>
              </w:rPr>
              <w:t>Clinical criteria:</w:t>
            </w:r>
          </w:p>
        </w:tc>
      </w:tr>
      <w:tr w:rsidR="002C589F" w:rsidRPr="00BF148D" w:rsidTr="00390E95">
        <w:tc>
          <w:tcPr>
            <w:tcW w:w="5000" w:type="pct"/>
            <w:vAlign w:val="center"/>
          </w:tcPr>
          <w:p w:rsidR="002C589F" w:rsidRPr="00BF148D" w:rsidRDefault="002C589F" w:rsidP="0033712E">
            <w:pPr>
              <w:rPr>
                <w:rFonts w:ascii="Arial Narrow" w:hAnsi="Arial Narrow"/>
                <w:strike/>
                <w:color w:val="333333"/>
                <w:sz w:val="18"/>
                <w:szCs w:val="18"/>
              </w:rPr>
            </w:pPr>
            <w:r w:rsidRPr="00BF148D">
              <w:rPr>
                <w:rFonts w:ascii="Arial Narrow" w:hAnsi="Arial Narrow"/>
                <w:strike/>
                <w:color w:val="333333"/>
                <w:sz w:val="18"/>
                <w:szCs w:val="18"/>
              </w:rPr>
              <w:t>The treatment must be adjunctive treatment.</w:t>
            </w:r>
          </w:p>
          <w:p w:rsidR="002C589F" w:rsidRPr="00BF148D" w:rsidRDefault="002C589F" w:rsidP="0033712E">
            <w:pPr>
              <w:rPr>
                <w:rFonts w:ascii="Arial Narrow" w:hAnsi="Arial Narrow"/>
                <w:i/>
                <w:color w:val="333333"/>
                <w:sz w:val="18"/>
                <w:szCs w:val="18"/>
              </w:rPr>
            </w:pPr>
            <w:r w:rsidRPr="00BF148D">
              <w:rPr>
                <w:rFonts w:ascii="Arial Narrow" w:hAnsi="Arial Narrow"/>
                <w:i/>
                <w:color w:val="333333"/>
                <w:sz w:val="18"/>
                <w:szCs w:val="18"/>
              </w:rPr>
              <w:t>The treatment must be in combination with at least one anti-epileptic drug.</w:t>
            </w:r>
          </w:p>
        </w:tc>
      </w:tr>
      <w:tr w:rsidR="002C589F" w:rsidRPr="00BF148D" w:rsidTr="00390E95">
        <w:tc>
          <w:tcPr>
            <w:tcW w:w="5000" w:type="pct"/>
            <w:vAlign w:val="center"/>
          </w:tcPr>
          <w:p w:rsidR="002C589F" w:rsidRPr="00BF148D" w:rsidRDefault="002C589F" w:rsidP="0033712E">
            <w:pPr>
              <w:rPr>
                <w:rFonts w:ascii="Arial Narrow" w:hAnsi="Arial Narrow"/>
                <w:b/>
                <w:bCs/>
                <w:color w:val="333333"/>
                <w:sz w:val="18"/>
                <w:szCs w:val="18"/>
              </w:rPr>
            </w:pPr>
            <w:r w:rsidRPr="00BF148D">
              <w:rPr>
                <w:rFonts w:ascii="Arial Narrow" w:hAnsi="Arial Narrow"/>
                <w:b/>
                <w:bCs/>
                <w:color w:val="333333"/>
                <w:sz w:val="18"/>
                <w:szCs w:val="18"/>
              </w:rPr>
              <w:t>AND</w:t>
            </w:r>
          </w:p>
        </w:tc>
      </w:tr>
      <w:tr w:rsidR="002C589F" w:rsidRPr="00BF148D" w:rsidTr="00390E95">
        <w:tc>
          <w:tcPr>
            <w:tcW w:w="5000" w:type="pct"/>
            <w:vAlign w:val="center"/>
            <w:hideMark/>
          </w:tcPr>
          <w:p w:rsidR="002C589F" w:rsidRPr="00BF148D" w:rsidRDefault="002C589F" w:rsidP="0033712E">
            <w:pPr>
              <w:rPr>
                <w:rFonts w:ascii="Arial Narrow" w:hAnsi="Arial Narrow"/>
                <w:color w:val="333333"/>
                <w:sz w:val="18"/>
                <w:szCs w:val="18"/>
              </w:rPr>
            </w:pPr>
            <w:r w:rsidRPr="00BF148D">
              <w:rPr>
                <w:rFonts w:ascii="Arial Narrow" w:hAnsi="Arial Narrow"/>
                <w:b/>
                <w:bCs/>
                <w:color w:val="333333"/>
                <w:sz w:val="18"/>
                <w:szCs w:val="18"/>
              </w:rPr>
              <w:t>Clinical criteria:</w:t>
            </w:r>
          </w:p>
        </w:tc>
      </w:tr>
      <w:tr w:rsidR="002C589F" w:rsidRPr="00BF148D" w:rsidTr="00390E95">
        <w:tc>
          <w:tcPr>
            <w:tcW w:w="5000" w:type="pct"/>
            <w:vAlign w:val="center"/>
            <w:hideMark/>
          </w:tcPr>
          <w:p w:rsidR="002C589F" w:rsidRPr="00BF148D" w:rsidRDefault="002C589F" w:rsidP="0033712E">
            <w:pPr>
              <w:rPr>
                <w:rFonts w:ascii="Arial Narrow" w:hAnsi="Arial Narrow"/>
                <w:sz w:val="20"/>
              </w:rPr>
            </w:pPr>
            <w:r w:rsidRPr="00BF148D">
              <w:rPr>
                <w:rFonts w:ascii="Arial Narrow" w:hAnsi="Arial Narrow"/>
                <w:color w:val="333333"/>
                <w:sz w:val="18"/>
                <w:szCs w:val="18"/>
              </w:rPr>
              <w:t>If patients have achieved a ≥30% reduction in convulsive seizures at 12 months versus baseline they are eligible for continuation.</w:t>
            </w:r>
          </w:p>
        </w:tc>
      </w:tr>
      <w:tr w:rsidR="002C589F" w:rsidRPr="00BF148D" w:rsidTr="00390E95">
        <w:tc>
          <w:tcPr>
            <w:tcW w:w="5000" w:type="pct"/>
            <w:vAlign w:val="center"/>
            <w:hideMark/>
          </w:tcPr>
          <w:p w:rsidR="002C589F" w:rsidRPr="00BF148D" w:rsidRDefault="002C589F" w:rsidP="0033712E">
            <w:pPr>
              <w:rPr>
                <w:rFonts w:ascii="Arial Narrow" w:hAnsi="Arial Narrow"/>
                <w:color w:val="333333"/>
                <w:sz w:val="18"/>
                <w:szCs w:val="18"/>
              </w:rPr>
            </w:pPr>
            <w:r w:rsidRPr="00BF148D">
              <w:rPr>
                <w:rFonts w:ascii="Arial Narrow" w:hAnsi="Arial Narrow"/>
                <w:b/>
                <w:bCs/>
                <w:color w:val="333333"/>
                <w:sz w:val="18"/>
                <w:szCs w:val="18"/>
              </w:rPr>
              <w:t>AND</w:t>
            </w:r>
          </w:p>
        </w:tc>
      </w:tr>
      <w:tr w:rsidR="002C589F" w:rsidRPr="00BF148D" w:rsidTr="00390E95">
        <w:tc>
          <w:tcPr>
            <w:tcW w:w="5000" w:type="pct"/>
            <w:vAlign w:val="center"/>
            <w:hideMark/>
          </w:tcPr>
          <w:p w:rsidR="002C589F" w:rsidRPr="00BF148D" w:rsidRDefault="002C589F" w:rsidP="0033712E">
            <w:pPr>
              <w:rPr>
                <w:rFonts w:ascii="Arial Narrow" w:hAnsi="Arial Narrow"/>
                <w:color w:val="333333"/>
                <w:sz w:val="18"/>
                <w:szCs w:val="18"/>
              </w:rPr>
            </w:pPr>
            <w:r w:rsidRPr="00BF148D">
              <w:rPr>
                <w:rFonts w:ascii="Arial Narrow" w:hAnsi="Arial Narrow"/>
                <w:b/>
                <w:bCs/>
                <w:color w:val="333333"/>
                <w:sz w:val="18"/>
                <w:szCs w:val="18"/>
              </w:rPr>
              <w:t>Treatment criteria:</w:t>
            </w:r>
          </w:p>
        </w:tc>
      </w:tr>
      <w:tr w:rsidR="002C589F" w:rsidRPr="00BF148D" w:rsidTr="00390E95">
        <w:tc>
          <w:tcPr>
            <w:tcW w:w="5000" w:type="pct"/>
            <w:vAlign w:val="center"/>
            <w:hideMark/>
          </w:tcPr>
          <w:p w:rsidR="002C589F" w:rsidRPr="00BF148D" w:rsidRDefault="002C589F" w:rsidP="0033712E">
            <w:pPr>
              <w:autoSpaceDE w:val="0"/>
              <w:autoSpaceDN w:val="0"/>
              <w:adjustRightInd w:val="0"/>
              <w:rPr>
                <w:rFonts w:ascii="Arial Narrow" w:hAnsi="Arial Narrow"/>
                <w:color w:val="333333"/>
                <w:sz w:val="18"/>
                <w:szCs w:val="18"/>
              </w:rPr>
            </w:pPr>
            <w:r w:rsidRPr="00BF148D">
              <w:rPr>
                <w:rFonts w:ascii="Arial Narrow" w:hAnsi="Arial Narrow"/>
                <w:color w:val="333333"/>
                <w:sz w:val="18"/>
                <w:szCs w:val="18"/>
              </w:rPr>
              <w:t>Must be treated by a physician or paediatrician with experience in the treatment of epilepsy.</w:t>
            </w:r>
          </w:p>
        </w:tc>
      </w:tr>
      <w:tr w:rsidR="002C589F" w:rsidRPr="00BF148D" w:rsidTr="00390E95">
        <w:tc>
          <w:tcPr>
            <w:tcW w:w="5000" w:type="pct"/>
            <w:vAlign w:val="center"/>
            <w:hideMark/>
          </w:tcPr>
          <w:p w:rsidR="002C589F" w:rsidRPr="00BF148D" w:rsidRDefault="002C589F" w:rsidP="0033712E">
            <w:pPr>
              <w:rPr>
                <w:rFonts w:ascii="Arial Narrow" w:hAnsi="Arial Narrow"/>
                <w:color w:val="333333"/>
                <w:sz w:val="18"/>
                <w:szCs w:val="18"/>
              </w:rPr>
            </w:pPr>
            <w:r w:rsidRPr="00BF148D">
              <w:rPr>
                <w:rFonts w:ascii="Arial Narrow" w:hAnsi="Arial Narrow"/>
                <w:b/>
                <w:bCs/>
                <w:color w:val="333333"/>
                <w:sz w:val="18"/>
                <w:szCs w:val="18"/>
              </w:rPr>
              <w:t>Population criteria:</w:t>
            </w:r>
          </w:p>
        </w:tc>
      </w:tr>
      <w:tr w:rsidR="002C589F" w:rsidRPr="00BF148D" w:rsidTr="00390E95">
        <w:tc>
          <w:tcPr>
            <w:tcW w:w="5000" w:type="pct"/>
            <w:vAlign w:val="center"/>
            <w:hideMark/>
          </w:tcPr>
          <w:p w:rsidR="002C589F" w:rsidRPr="00BF148D" w:rsidRDefault="002C589F" w:rsidP="0033712E">
            <w:pPr>
              <w:rPr>
                <w:rFonts w:ascii="Arial Narrow" w:hAnsi="Arial Narrow" w:cs="Arial Narrow"/>
                <w:iCs/>
                <w:sz w:val="18"/>
                <w:szCs w:val="18"/>
              </w:rPr>
            </w:pPr>
            <w:r w:rsidRPr="00BF148D">
              <w:rPr>
                <w:rFonts w:ascii="Arial Narrow" w:hAnsi="Arial Narrow"/>
                <w:color w:val="333333"/>
                <w:sz w:val="18"/>
                <w:szCs w:val="18"/>
              </w:rPr>
              <w:t xml:space="preserve">Patient must be </w:t>
            </w:r>
            <w:r w:rsidRPr="00BF148D">
              <w:rPr>
                <w:rFonts w:ascii="Arial Narrow" w:hAnsi="Arial Narrow"/>
                <w:strike/>
                <w:color w:val="333333"/>
                <w:sz w:val="18"/>
                <w:szCs w:val="18"/>
              </w:rPr>
              <w:t>under the</w:t>
            </w:r>
            <w:r w:rsidRPr="00BF148D">
              <w:rPr>
                <w:rFonts w:ascii="Arial Narrow" w:hAnsi="Arial Narrow"/>
                <w:color w:val="333333"/>
                <w:sz w:val="18"/>
                <w:szCs w:val="18"/>
              </w:rPr>
              <w:t xml:space="preserve"> 2 years of age or older.</w:t>
            </w:r>
          </w:p>
        </w:tc>
      </w:tr>
      <w:tr w:rsidR="002C589F" w:rsidRPr="00BF148D" w:rsidTr="00390E95">
        <w:tc>
          <w:tcPr>
            <w:tcW w:w="5000" w:type="pct"/>
            <w:vAlign w:val="center"/>
            <w:hideMark/>
          </w:tcPr>
          <w:p w:rsidR="002C589F" w:rsidRPr="00BF148D" w:rsidRDefault="002C589F" w:rsidP="0033712E">
            <w:pPr>
              <w:rPr>
                <w:rFonts w:ascii="Arial Narrow" w:hAnsi="Arial Narrow"/>
                <w:color w:val="333333"/>
                <w:sz w:val="18"/>
                <w:szCs w:val="18"/>
              </w:rPr>
            </w:pPr>
            <w:r w:rsidRPr="00BF148D">
              <w:rPr>
                <w:rFonts w:ascii="Arial Narrow" w:hAnsi="Arial Narrow"/>
                <w:b/>
                <w:bCs/>
                <w:color w:val="333333"/>
                <w:sz w:val="18"/>
                <w:szCs w:val="18"/>
              </w:rPr>
              <w:t>Prescribing Instructions:</w:t>
            </w:r>
          </w:p>
        </w:tc>
      </w:tr>
      <w:tr w:rsidR="002C589F" w:rsidRPr="00BF148D" w:rsidTr="00390E95">
        <w:tc>
          <w:tcPr>
            <w:tcW w:w="5000" w:type="pct"/>
            <w:vAlign w:val="center"/>
            <w:hideMark/>
          </w:tcPr>
          <w:p w:rsidR="002C589F" w:rsidRPr="00BF148D" w:rsidRDefault="002C589F" w:rsidP="0033712E">
            <w:pPr>
              <w:rPr>
                <w:rFonts w:ascii="Arial Narrow" w:hAnsi="Arial Narrow"/>
                <w:bCs/>
                <w:color w:val="333333"/>
                <w:sz w:val="18"/>
                <w:szCs w:val="18"/>
              </w:rPr>
            </w:pPr>
            <w:r w:rsidRPr="00BF148D">
              <w:rPr>
                <w:rFonts w:ascii="Arial Narrow" w:hAnsi="Arial Narrow"/>
                <w:bCs/>
                <w:strike/>
                <w:color w:val="333333"/>
                <w:sz w:val="18"/>
                <w:szCs w:val="18"/>
              </w:rPr>
              <w:t>Care must be taken to comply with the provisions of State and Territory law when prescribing cannabidiol.</w:t>
            </w:r>
          </w:p>
        </w:tc>
      </w:tr>
      <w:tr w:rsidR="002C589F" w:rsidRPr="00BF148D" w:rsidTr="00390E95">
        <w:trPr>
          <w:trHeight w:val="259"/>
        </w:trPr>
        <w:tc>
          <w:tcPr>
            <w:tcW w:w="5000" w:type="pct"/>
            <w:vAlign w:val="center"/>
          </w:tcPr>
          <w:p w:rsidR="002C589F" w:rsidRPr="00BF148D" w:rsidRDefault="002C589F" w:rsidP="0033712E">
            <w:pPr>
              <w:rPr>
                <w:rFonts w:ascii="Arial Narrow" w:hAnsi="Arial Narrow"/>
                <w:bCs/>
                <w:strike/>
                <w:color w:val="333333"/>
                <w:sz w:val="18"/>
                <w:szCs w:val="18"/>
              </w:rPr>
            </w:pPr>
            <w:r w:rsidRPr="00BF148D">
              <w:rPr>
                <w:rFonts w:ascii="Arial Narrow" w:hAnsi="Arial Narrow"/>
                <w:b/>
                <w:bCs/>
                <w:color w:val="333333"/>
                <w:sz w:val="18"/>
                <w:szCs w:val="18"/>
              </w:rPr>
              <w:t>Administrative Advice:</w:t>
            </w:r>
            <w:r w:rsidRPr="00BF148D">
              <w:rPr>
                <w:rFonts w:ascii="Arial Narrow" w:hAnsi="Arial Narrow"/>
                <w:bCs/>
                <w:color w:val="333333"/>
                <w:sz w:val="18"/>
                <w:szCs w:val="18"/>
              </w:rPr>
              <w:t xml:space="preserve"> </w:t>
            </w:r>
            <w:r w:rsidRPr="00BF148D">
              <w:rPr>
                <w:rFonts w:ascii="Arial Narrow" w:hAnsi="Arial Narrow"/>
                <w:bCs/>
                <w:strike/>
                <w:color w:val="333333"/>
                <w:sz w:val="18"/>
                <w:szCs w:val="18"/>
              </w:rPr>
              <w:t>Note: No applications for increased maximum quantity and/or repeats will be authorised</w:t>
            </w:r>
          </w:p>
        </w:tc>
      </w:tr>
      <w:tr w:rsidR="002C589F" w:rsidRPr="00BF148D" w:rsidTr="00390E95">
        <w:tc>
          <w:tcPr>
            <w:tcW w:w="5000" w:type="pct"/>
            <w:vAlign w:val="center"/>
          </w:tcPr>
          <w:p w:rsidR="002C589F" w:rsidRPr="00BF148D" w:rsidRDefault="002C589F" w:rsidP="0033712E">
            <w:pPr>
              <w:rPr>
                <w:rFonts w:ascii="Arial Narrow" w:hAnsi="Arial Narrow"/>
                <w:bCs/>
                <w:strike/>
                <w:color w:val="333333"/>
                <w:sz w:val="18"/>
                <w:szCs w:val="18"/>
              </w:rPr>
            </w:pPr>
            <w:r w:rsidRPr="00BF148D">
              <w:rPr>
                <w:rFonts w:ascii="Arial Narrow" w:hAnsi="Arial Narrow"/>
                <w:b/>
                <w:bCs/>
                <w:color w:val="333333"/>
                <w:sz w:val="18"/>
                <w:szCs w:val="18"/>
              </w:rPr>
              <w:t>Administrative Advice:</w:t>
            </w:r>
            <w:r w:rsidRPr="00BF148D">
              <w:rPr>
                <w:rFonts w:ascii="Arial Narrow" w:hAnsi="Arial Narrow"/>
                <w:bCs/>
                <w:color w:val="333333"/>
                <w:sz w:val="18"/>
                <w:szCs w:val="18"/>
              </w:rPr>
              <w:t xml:space="preserve"> </w:t>
            </w:r>
          </w:p>
          <w:p w:rsidR="002C589F" w:rsidRPr="00BF148D" w:rsidRDefault="002C589F" w:rsidP="0033712E">
            <w:pPr>
              <w:rPr>
                <w:rFonts w:ascii="Arial Narrow" w:hAnsi="Arial Narrow"/>
                <w:bCs/>
                <w:i/>
                <w:color w:val="333333"/>
                <w:sz w:val="18"/>
                <w:szCs w:val="18"/>
              </w:rPr>
            </w:pPr>
            <w:r w:rsidRPr="00BF148D">
              <w:rPr>
                <w:rFonts w:ascii="Arial Narrow" w:hAnsi="Arial Narrow"/>
                <w:bCs/>
                <w:i/>
                <w:color w:val="333333"/>
                <w:sz w:val="18"/>
                <w:szCs w:val="18"/>
              </w:rPr>
              <w:t>Applications for authorisation under this criterion may be made by telephone by contacting the Department of Human Services on 1800 700 270 (hours of operation 8 a.m. to 5 p.m. EST Monday to Friday).</w:t>
            </w:r>
          </w:p>
        </w:tc>
      </w:tr>
      <w:tr w:rsidR="002C589F" w:rsidRPr="00BF148D" w:rsidTr="00390E95">
        <w:trPr>
          <w:trHeight w:val="259"/>
        </w:trPr>
        <w:tc>
          <w:tcPr>
            <w:tcW w:w="5000" w:type="pct"/>
            <w:vAlign w:val="center"/>
          </w:tcPr>
          <w:p w:rsidR="002C589F" w:rsidRPr="00BF148D" w:rsidRDefault="002C589F" w:rsidP="0033712E">
            <w:pPr>
              <w:rPr>
                <w:rFonts w:ascii="Arial Narrow" w:hAnsi="Arial Narrow"/>
                <w:bCs/>
                <w:color w:val="333333"/>
                <w:sz w:val="18"/>
                <w:szCs w:val="18"/>
              </w:rPr>
            </w:pPr>
            <w:r w:rsidRPr="00BF148D">
              <w:rPr>
                <w:rFonts w:ascii="Arial Narrow" w:hAnsi="Arial Narrow"/>
                <w:b/>
                <w:bCs/>
                <w:color w:val="333333"/>
                <w:sz w:val="18"/>
                <w:szCs w:val="18"/>
              </w:rPr>
              <w:t xml:space="preserve">Caution: </w:t>
            </w:r>
            <w:r w:rsidRPr="00BF148D">
              <w:rPr>
                <w:rFonts w:ascii="Arial Narrow" w:hAnsi="Arial Narrow"/>
                <w:iCs/>
                <w:sz w:val="18"/>
              </w:rPr>
              <w:t>Maximum recommended dose of cannabidiol should not be exceeded.</w:t>
            </w:r>
            <w:r w:rsidR="00EB62D6" w:rsidRPr="00BF148D">
              <w:rPr>
                <w:rFonts w:ascii="Arial Narrow" w:hAnsi="Arial Narrow"/>
                <w:i/>
                <w:iCs/>
                <w:sz w:val="18"/>
              </w:rPr>
              <w:t xml:space="preserve"> </w:t>
            </w:r>
          </w:p>
        </w:tc>
      </w:tr>
    </w:tbl>
    <w:p w:rsidR="002C589F" w:rsidRPr="00BF148D" w:rsidRDefault="002C589F" w:rsidP="002C589F">
      <w:pPr>
        <w:pStyle w:val="3-BodyText"/>
        <w:numPr>
          <w:ilvl w:val="0"/>
          <w:numId w:val="0"/>
        </w:numPr>
        <w:ind w:left="72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992"/>
        <w:gridCol w:w="851"/>
        <w:gridCol w:w="992"/>
        <w:gridCol w:w="1276"/>
        <w:gridCol w:w="1417"/>
      </w:tblGrid>
      <w:tr w:rsidR="00144F47" w:rsidRPr="00BF148D" w:rsidTr="00390E95">
        <w:trPr>
          <w:cantSplit/>
          <w:trHeight w:val="471"/>
        </w:trPr>
        <w:tc>
          <w:tcPr>
            <w:tcW w:w="3539" w:type="dxa"/>
          </w:tcPr>
          <w:p w:rsidR="00144F47" w:rsidRPr="00BF148D" w:rsidRDefault="00390E95" w:rsidP="00144F47">
            <w:pPr>
              <w:keepNext/>
              <w:ind w:left="-108"/>
              <w:rPr>
                <w:rFonts w:ascii="Arial Narrow" w:hAnsi="Arial Narrow"/>
                <w:b/>
                <w:sz w:val="18"/>
                <w:szCs w:val="18"/>
              </w:rPr>
            </w:pPr>
            <w:r w:rsidRPr="00BF148D">
              <w:rPr>
                <w:rFonts w:ascii="Arial Narrow" w:hAnsi="Arial Narrow"/>
                <w:b/>
                <w:sz w:val="18"/>
                <w:szCs w:val="18"/>
              </w:rPr>
              <w:t>MEDICINAL PRODUCT</w:t>
            </w:r>
          </w:p>
          <w:p w:rsidR="00144F47" w:rsidRPr="00BF148D" w:rsidRDefault="00390E95" w:rsidP="00144F47">
            <w:pPr>
              <w:keepNext/>
              <w:ind w:left="-108"/>
              <w:rPr>
                <w:rFonts w:ascii="Arial Narrow" w:hAnsi="Arial Narrow"/>
                <w:b/>
                <w:sz w:val="18"/>
                <w:szCs w:val="18"/>
              </w:rPr>
            </w:pPr>
            <w:r w:rsidRPr="00BF148D">
              <w:rPr>
                <w:rFonts w:ascii="Arial Narrow" w:hAnsi="Arial Narrow"/>
                <w:b/>
                <w:sz w:val="18"/>
                <w:szCs w:val="18"/>
              </w:rPr>
              <w:t>medicinal product pack</w:t>
            </w:r>
          </w:p>
        </w:tc>
        <w:tc>
          <w:tcPr>
            <w:tcW w:w="992" w:type="dxa"/>
          </w:tcPr>
          <w:p w:rsidR="00144F47" w:rsidRPr="00BF148D" w:rsidRDefault="00144F47" w:rsidP="00144F47">
            <w:pPr>
              <w:keepNext/>
              <w:ind w:left="-108"/>
              <w:jc w:val="center"/>
              <w:rPr>
                <w:rFonts w:ascii="Arial Narrow" w:hAnsi="Arial Narrow"/>
                <w:b/>
                <w:sz w:val="18"/>
                <w:szCs w:val="18"/>
              </w:rPr>
            </w:pPr>
            <w:r w:rsidRPr="00BF148D">
              <w:rPr>
                <w:rFonts w:ascii="Arial Narrow" w:hAnsi="Arial Narrow"/>
                <w:b/>
                <w:sz w:val="18"/>
                <w:szCs w:val="18"/>
              </w:rPr>
              <w:t>Max. qty packs</w:t>
            </w:r>
          </w:p>
        </w:tc>
        <w:tc>
          <w:tcPr>
            <w:tcW w:w="851" w:type="dxa"/>
          </w:tcPr>
          <w:p w:rsidR="00144F47" w:rsidRPr="00BF148D" w:rsidRDefault="00144F47" w:rsidP="00144F47">
            <w:pPr>
              <w:keepNext/>
              <w:ind w:left="-108"/>
              <w:jc w:val="center"/>
              <w:rPr>
                <w:rFonts w:ascii="Arial Narrow" w:hAnsi="Arial Narrow"/>
                <w:b/>
                <w:sz w:val="18"/>
                <w:szCs w:val="18"/>
              </w:rPr>
            </w:pPr>
            <w:r w:rsidRPr="00BF148D">
              <w:rPr>
                <w:rFonts w:ascii="Arial Narrow" w:hAnsi="Arial Narrow"/>
                <w:b/>
                <w:sz w:val="18"/>
                <w:szCs w:val="18"/>
              </w:rPr>
              <w:t>Max. qty units</w:t>
            </w:r>
          </w:p>
        </w:tc>
        <w:tc>
          <w:tcPr>
            <w:tcW w:w="992" w:type="dxa"/>
          </w:tcPr>
          <w:p w:rsidR="00144F47" w:rsidRPr="00BF148D" w:rsidRDefault="00144F47" w:rsidP="00144F47">
            <w:pPr>
              <w:keepNext/>
              <w:ind w:left="-108"/>
              <w:jc w:val="center"/>
              <w:rPr>
                <w:rFonts w:ascii="Arial Narrow" w:hAnsi="Arial Narrow"/>
                <w:b/>
                <w:sz w:val="18"/>
                <w:szCs w:val="18"/>
              </w:rPr>
            </w:pPr>
            <w:r w:rsidRPr="00BF148D">
              <w:rPr>
                <w:rFonts w:ascii="Arial Narrow" w:hAnsi="Arial Narrow"/>
                <w:b/>
                <w:sz w:val="18"/>
                <w:szCs w:val="18"/>
              </w:rPr>
              <w:t>№.of</w:t>
            </w:r>
          </w:p>
          <w:p w:rsidR="00144F47" w:rsidRPr="00BF148D" w:rsidRDefault="00144F47" w:rsidP="00144F47">
            <w:pPr>
              <w:keepNext/>
              <w:ind w:left="-108"/>
              <w:jc w:val="center"/>
              <w:rPr>
                <w:rFonts w:ascii="Arial Narrow" w:hAnsi="Arial Narrow"/>
                <w:b/>
                <w:sz w:val="18"/>
                <w:szCs w:val="18"/>
              </w:rPr>
            </w:pPr>
            <w:r w:rsidRPr="00BF148D">
              <w:rPr>
                <w:rFonts w:ascii="Arial Narrow" w:hAnsi="Arial Narrow"/>
                <w:b/>
                <w:sz w:val="18"/>
                <w:szCs w:val="18"/>
              </w:rPr>
              <w:t>Rpts</w:t>
            </w:r>
          </w:p>
        </w:tc>
        <w:tc>
          <w:tcPr>
            <w:tcW w:w="1276" w:type="dxa"/>
          </w:tcPr>
          <w:p w:rsidR="00144F47" w:rsidRPr="00BF148D" w:rsidRDefault="00144F47" w:rsidP="00144F47">
            <w:pPr>
              <w:keepNext/>
              <w:ind w:left="-108"/>
              <w:jc w:val="center"/>
              <w:rPr>
                <w:rFonts w:ascii="Arial Narrow" w:hAnsi="Arial Narrow"/>
                <w:b/>
                <w:sz w:val="18"/>
                <w:szCs w:val="18"/>
              </w:rPr>
            </w:pPr>
            <w:r w:rsidRPr="00BF148D">
              <w:rPr>
                <w:rFonts w:ascii="Arial Narrow" w:hAnsi="Arial Narrow"/>
                <w:b/>
                <w:sz w:val="18"/>
                <w:szCs w:val="18"/>
              </w:rPr>
              <w:t>D</w:t>
            </w:r>
            <w:r w:rsidR="00390E95" w:rsidRPr="00BF148D">
              <w:rPr>
                <w:rFonts w:ascii="Arial Narrow" w:hAnsi="Arial Narrow"/>
                <w:b/>
                <w:sz w:val="18"/>
                <w:szCs w:val="18"/>
              </w:rPr>
              <w:t xml:space="preserve">ispensed </w:t>
            </w:r>
            <w:r w:rsidRPr="00BF148D">
              <w:rPr>
                <w:rFonts w:ascii="Arial Narrow" w:hAnsi="Arial Narrow"/>
                <w:b/>
                <w:sz w:val="18"/>
                <w:szCs w:val="18"/>
              </w:rPr>
              <w:t>P</w:t>
            </w:r>
            <w:r w:rsidR="00390E95" w:rsidRPr="00BF148D">
              <w:rPr>
                <w:rFonts w:ascii="Arial Narrow" w:hAnsi="Arial Narrow"/>
                <w:b/>
                <w:sz w:val="18"/>
                <w:szCs w:val="18"/>
              </w:rPr>
              <w:t xml:space="preserve">rice </w:t>
            </w:r>
            <w:r w:rsidRPr="00BF148D">
              <w:rPr>
                <w:rFonts w:ascii="Arial Narrow" w:hAnsi="Arial Narrow"/>
                <w:b/>
                <w:sz w:val="18"/>
                <w:szCs w:val="18"/>
              </w:rPr>
              <w:t>M</w:t>
            </w:r>
            <w:r w:rsidR="00390E95" w:rsidRPr="00BF148D">
              <w:rPr>
                <w:rFonts w:ascii="Arial Narrow" w:hAnsi="Arial Narrow"/>
                <w:b/>
                <w:sz w:val="18"/>
                <w:szCs w:val="18"/>
              </w:rPr>
              <w:t xml:space="preserve">ax. </w:t>
            </w:r>
            <w:r w:rsidRPr="00BF148D">
              <w:rPr>
                <w:rFonts w:ascii="Arial Narrow" w:hAnsi="Arial Narrow"/>
                <w:b/>
                <w:sz w:val="18"/>
                <w:szCs w:val="18"/>
              </w:rPr>
              <w:t>Q</w:t>
            </w:r>
            <w:r w:rsidR="00390E95" w:rsidRPr="00BF148D">
              <w:rPr>
                <w:rFonts w:ascii="Arial Narrow" w:hAnsi="Arial Narrow"/>
                <w:b/>
                <w:sz w:val="18"/>
                <w:szCs w:val="18"/>
              </w:rPr>
              <w:t>ty</w:t>
            </w:r>
          </w:p>
        </w:tc>
        <w:tc>
          <w:tcPr>
            <w:tcW w:w="1417" w:type="dxa"/>
          </w:tcPr>
          <w:p w:rsidR="00144F47" w:rsidRPr="00BF148D" w:rsidRDefault="00390E95" w:rsidP="00144F47">
            <w:pPr>
              <w:keepNext/>
              <w:rPr>
                <w:rFonts w:ascii="Arial Narrow" w:hAnsi="Arial Narrow"/>
                <w:b/>
                <w:sz w:val="18"/>
                <w:szCs w:val="18"/>
              </w:rPr>
            </w:pPr>
            <w:r w:rsidRPr="00BF148D">
              <w:rPr>
                <w:rFonts w:ascii="Arial Narrow" w:hAnsi="Arial Narrow"/>
                <w:b/>
                <w:sz w:val="18"/>
                <w:szCs w:val="18"/>
              </w:rPr>
              <w:t>Available brands</w:t>
            </w:r>
          </w:p>
        </w:tc>
      </w:tr>
      <w:tr w:rsidR="00144F47" w:rsidRPr="00BF148D" w:rsidTr="00390E95">
        <w:trPr>
          <w:cantSplit/>
          <w:trHeight w:val="506"/>
        </w:trPr>
        <w:tc>
          <w:tcPr>
            <w:tcW w:w="3539" w:type="dxa"/>
          </w:tcPr>
          <w:p w:rsidR="00144F47" w:rsidRPr="00BF148D" w:rsidRDefault="00144F47" w:rsidP="00144F47">
            <w:pPr>
              <w:keepNext/>
              <w:ind w:left="-108"/>
              <w:rPr>
                <w:rFonts w:ascii="Arial Narrow" w:hAnsi="Arial Narrow"/>
                <w:sz w:val="18"/>
                <w:szCs w:val="18"/>
              </w:rPr>
            </w:pPr>
            <w:r w:rsidRPr="00BF148D">
              <w:rPr>
                <w:rFonts w:ascii="Arial Narrow" w:hAnsi="Arial Narrow"/>
                <w:sz w:val="18"/>
                <w:szCs w:val="18"/>
              </w:rPr>
              <w:t>CANNABIDIOL</w:t>
            </w:r>
          </w:p>
          <w:p w:rsidR="00144F47" w:rsidRPr="00BF148D" w:rsidRDefault="00144F47" w:rsidP="00144F47">
            <w:pPr>
              <w:keepNext/>
              <w:ind w:left="-108"/>
              <w:rPr>
                <w:rFonts w:ascii="Arial Narrow" w:hAnsi="Arial Narrow"/>
                <w:sz w:val="18"/>
                <w:szCs w:val="18"/>
              </w:rPr>
            </w:pPr>
            <w:r w:rsidRPr="00BF148D">
              <w:rPr>
                <w:rFonts w:ascii="Arial Narrow" w:hAnsi="Arial Narrow"/>
                <w:sz w:val="18"/>
                <w:szCs w:val="18"/>
              </w:rPr>
              <w:t>cannabidiol 100 mg/mL oral liquid, 100 mL</w:t>
            </w:r>
          </w:p>
        </w:tc>
        <w:tc>
          <w:tcPr>
            <w:tcW w:w="992" w:type="dxa"/>
          </w:tcPr>
          <w:p w:rsidR="00144F47" w:rsidRPr="00BF148D" w:rsidRDefault="00144F47" w:rsidP="00144F47">
            <w:pPr>
              <w:keepNext/>
              <w:jc w:val="center"/>
              <w:rPr>
                <w:rFonts w:ascii="Arial Narrow" w:hAnsi="Arial Narrow"/>
                <w:sz w:val="18"/>
                <w:szCs w:val="18"/>
              </w:rPr>
            </w:pPr>
          </w:p>
          <w:p w:rsidR="00144F47" w:rsidRPr="00BF148D" w:rsidRDefault="00144F47" w:rsidP="00144F47">
            <w:pPr>
              <w:keepNext/>
              <w:ind w:left="-108"/>
              <w:jc w:val="center"/>
              <w:rPr>
                <w:rFonts w:ascii="Arial Narrow" w:hAnsi="Arial Narrow"/>
                <w:sz w:val="18"/>
                <w:szCs w:val="18"/>
              </w:rPr>
            </w:pPr>
            <w:r w:rsidRPr="00BF148D">
              <w:rPr>
                <w:rFonts w:ascii="Arial Narrow" w:hAnsi="Arial Narrow"/>
                <w:sz w:val="18"/>
                <w:szCs w:val="18"/>
              </w:rPr>
              <w:t>2</w:t>
            </w:r>
          </w:p>
        </w:tc>
        <w:tc>
          <w:tcPr>
            <w:tcW w:w="851" w:type="dxa"/>
          </w:tcPr>
          <w:p w:rsidR="00144F47" w:rsidRPr="00BF148D" w:rsidRDefault="00144F47" w:rsidP="00144F47">
            <w:pPr>
              <w:keepNext/>
              <w:ind w:left="-108"/>
              <w:jc w:val="center"/>
              <w:rPr>
                <w:rFonts w:ascii="Arial Narrow" w:hAnsi="Arial Narrow"/>
                <w:sz w:val="18"/>
                <w:szCs w:val="18"/>
              </w:rPr>
            </w:pPr>
          </w:p>
          <w:p w:rsidR="00144F47" w:rsidRPr="00BF148D" w:rsidRDefault="00144F47" w:rsidP="00144F47">
            <w:pPr>
              <w:keepNext/>
              <w:ind w:left="-108"/>
              <w:jc w:val="center"/>
              <w:rPr>
                <w:rFonts w:ascii="Arial Narrow" w:hAnsi="Arial Narrow"/>
                <w:sz w:val="18"/>
                <w:szCs w:val="18"/>
              </w:rPr>
            </w:pPr>
            <w:r w:rsidRPr="00BF148D">
              <w:rPr>
                <w:rFonts w:ascii="Arial Narrow" w:hAnsi="Arial Narrow"/>
                <w:sz w:val="18"/>
                <w:szCs w:val="18"/>
              </w:rPr>
              <w:t>2</w:t>
            </w:r>
          </w:p>
        </w:tc>
        <w:tc>
          <w:tcPr>
            <w:tcW w:w="992" w:type="dxa"/>
          </w:tcPr>
          <w:p w:rsidR="00144F47" w:rsidRPr="00BF148D" w:rsidRDefault="00144F47" w:rsidP="00144F47">
            <w:pPr>
              <w:keepNext/>
              <w:ind w:left="-108"/>
              <w:jc w:val="center"/>
              <w:rPr>
                <w:rFonts w:ascii="Arial Narrow" w:hAnsi="Arial Narrow"/>
                <w:sz w:val="18"/>
                <w:szCs w:val="18"/>
              </w:rPr>
            </w:pPr>
          </w:p>
          <w:p w:rsidR="00144F47" w:rsidRPr="00BF148D" w:rsidRDefault="00144F47" w:rsidP="00144F47">
            <w:pPr>
              <w:keepNext/>
              <w:ind w:left="-108"/>
              <w:jc w:val="center"/>
              <w:rPr>
                <w:rFonts w:ascii="Arial Narrow" w:hAnsi="Arial Narrow"/>
                <w:sz w:val="18"/>
                <w:szCs w:val="18"/>
              </w:rPr>
            </w:pPr>
            <w:r w:rsidRPr="00BF148D">
              <w:rPr>
                <w:rFonts w:ascii="Arial Narrow" w:hAnsi="Arial Narrow"/>
                <w:sz w:val="18"/>
                <w:szCs w:val="18"/>
              </w:rPr>
              <w:t>5</w:t>
            </w:r>
          </w:p>
          <w:p w:rsidR="00144F47" w:rsidRPr="00BF148D" w:rsidRDefault="00144F47" w:rsidP="00144F47">
            <w:pPr>
              <w:keepNext/>
              <w:ind w:left="-108"/>
              <w:jc w:val="center"/>
              <w:rPr>
                <w:rFonts w:ascii="Arial Narrow" w:hAnsi="Arial Narrow"/>
                <w:sz w:val="18"/>
                <w:szCs w:val="18"/>
              </w:rPr>
            </w:pPr>
          </w:p>
        </w:tc>
        <w:tc>
          <w:tcPr>
            <w:tcW w:w="1276" w:type="dxa"/>
          </w:tcPr>
          <w:p w:rsidR="00144F47" w:rsidRPr="00BF148D" w:rsidRDefault="00144F47" w:rsidP="00144F47">
            <w:pPr>
              <w:keepNext/>
              <w:ind w:left="-108"/>
              <w:jc w:val="center"/>
              <w:rPr>
                <w:rFonts w:ascii="Arial Narrow" w:hAnsi="Arial Narrow"/>
                <w:sz w:val="18"/>
                <w:szCs w:val="18"/>
              </w:rPr>
            </w:pPr>
          </w:p>
          <w:p w:rsidR="00144F47" w:rsidRPr="00BF148D" w:rsidRDefault="00144F47" w:rsidP="00144F47">
            <w:pPr>
              <w:keepNext/>
              <w:ind w:left="-108"/>
              <w:jc w:val="center"/>
              <w:rPr>
                <w:rFonts w:ascii="Arial Narrow" w:hAnsi="Arial Narrow"/>
                <w:sz w:val="18"/>
                <w:szCs w:val="18"/>
              </w:rPr>
            </w:pPr>
            <w:r w:rsidRPr="00BF148D">
              <w:rPr>
                <w:rFonts w:ascii="Arial Narrow" w:hAnsi="Arial Narrow"/>
                <w:sz w:val="18"/>
                <w:szCs w:val="18"/>
              </w:rPr>
              <w:t>$</w:t>
            </w:r>
            <w:r w:rsidR="00B451A4">
              <w:rPr>
                <w:rFonts w:ascii="Arial Narrow" w:hAnsi="Arial Narrow"/>
                <w:noProof/>
                <w:color w:val="000000"/>
                <w:sz w:val="18"/>
                <w:szCs w:val="18"/>
                <w:highlight w:val="black"/>
              </w:rPr>
              <w:t>'''''''''''''</w:t>
            </w:r>
          </w:p>
        </w:tc>
        <w:tc>
          <w:tcPr>
            <w:tcW w:w="1417" w:type="dxa"/>
          </w:tcPr>
          <w:p w:rsidR="00144F47" w:rsidRPr="00BF148D" w:rsidRDefault="00144F47" w:rsidP="00144F47">
            <w:pPr>
              <w:keepNext/>
              <w:rPr>
                <w:rFonts w:ascii="Arial Narrow" w:hAnsi="Arial Narrow"/>
                <w:sz w:val="18"/>
                <w:szCs w:val="18"/>
              </w:rPr>
            </w:pPr>
          </w:p>
          <w:p w:rsidR="00144F47" w:rsidRPr="00BF148D" w:rsidRDefault="00144F47" w:rsidP="00144F47">
            <w:pPr>
              <w:keepNext/>
              <w:rPr>
                <w:rFonts w:ascii="Arial Narrow" w:hAnsi="Arial Narrow"/>
                <w:sz w:val="18"/>
                <w:szCs w:val="18"/>
              </w:rPr>
            </w:pPr>
            <w:r w:rsidRPr="00BF148D">
              <w:rPr>
                <w:rFonts w:ascii="Arial Narrow" w:hAnsi="Arial Narrow"/>
                <w:sz w:val="18"/>
                <w:szCs w:val="18"/>
              </w:rPr>
              <w:t>Epidyolex</w:t>
            </w:r>
          </w:p>
        </w:tc>
      </w:tr>
    </w:tbl>
    <w:p w:rsidR="00512186" w:rsidRPr="00BF148D" w:rsidRDefault="00512186" w:rsidP="00512186">
      <w:pPr>
        <w:pStyle w:val="TableFigureHeading"/>
      </w:pPr>
    </w:p>
    <w:p w:rsidR="00512186" w:rsidRPr="00BF148D" w:rsidRDefault="00512186" w:rsidP="00512186">
      <w:pPr>
        <w:pStyle w:val="TableFigure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E11A91" w:rsidRPr="00BF148D" w:rsidTr="00390E95">
        <w:tc>
          <w:tcPr>
            <w:tcW w:w="5000" w:type="pct"/>
            <w:tcBorders>
              <w:top w:val="single" w:sz="4" w:space="0" w:color="auto"/>
              <w:left w:val="single" w:sz="4" w:space="0" w:color="auto"/>
              <w:bottom w:val="single" w:sz="4" w:space="0" w:color="auto"/>
              <w:right w:val="single" w:sz="4" w:space="0" w:color="auto"/>
            </w:tcBorders>
          </w:tcPr>
          <w:p w:rsidR="00E11A91" w:rsidRPr="00BF148D" w:rsidRDefault="00E11A91" w:rsidP="00670490">
            <w:pPr>
              <w:keepNext/>
              <w:rPr>
                <w:rFonts w:ascii="Arial Narrow" w:hAnsi="Arial Narrow"/>
                <w:sz w:val="18"/>
                <w:szCs w:val="18"/>
              </w:rPr>
            </w:pPr>
            <w:r w:rsidRPr="00BF148D">
              <w:rPr>
                <w:rFonts w:ascii="Arial Narrow" w:hAnsi="Arial Narrow"/>
                <w:b/>
                <w:sz w:val="18"/>
                <w:szCs w:val="18"/>
              </w:rPr>
              <w:t>Category / Program:</w:t>
            </w:r>
            <w:r w:rsidR="00EB62D6" w:rsidRPr="00BF148D">
              <w:rPr>
                <w:rFonts w:ascii="Arial Narrow" w:hAnsi="Arial Narrow"/>
                <w:b/>
                <w:sz w:val="18"/>
                <w:szCs w:val="18"/>
              </w:rPr>
              <w:t xml:space="preserve"> </w:t>
            </w:r>
            <w:r w:rsidRPr="00BF148D">
              <w:rPr>
                <w:rFonts w:ascii="Arial Narrow" w:hAnsi="Arial Narrow"/>
                <w:b/>
                <w:sz w:val="18"/>
                <w:szCs w:val="18"/>
              </w:rPr>
              <w:t xml:space="preserve"> </w:t>
            </w:r>
            <w:r w:rsidR="00390E95" w:rsidRPr="00BF148D">
              <w:rPr>
                <w:rFonts w:ascii="Arial Narrow" w:hAnsi="Arial Narrow"/>
                <w:strike/>
                <w:sz w:val="18"/>
                <w:szCs w:val="18"/>
              </w:rPr>
              <w:t xml:space="preserve">Section 100 – Highly Specialised Drugs Program {Community Access} </w:t>
            </w:r>
            <w:r w:rsidRPr="00BF148D">
              <w:rPr>
                <w:rFonts w:ascii="Arial Narrow" w:hAnsi="Arial Narrow"/>
                <w:i/>
                <w:sz w:val="18"/>
                <w:szCs w:val="18"/>
              </w:rPr>
              <w:t>GENERAL – General Schedule (Code GE)</w:t>
            </w:r>
          </w:p>
        </w:tc>
      </w:tr>
      <w:tr w:rsidR="00E11A91" w:rsidRPr="00BF148D" w:rsidTr="00390E95">
        <w:trPr>
          <w:trHeight w:val="50"/>
        </w:trPr>
        <w:tc>
          <w:tcPr>
            <w:tcW w:w="5000" w:type="pct"/>
            <w:tcBorders>
              <w:top w:val="single" w:sz="4" w:space="0" w:color="auto"/>
              <w:left w:val="single" w:sz="4" w:space="0" w:color="auto"/>
              <w:bottom w:val="single" w:sz="4" w:space="0" w:color="auto"/>
              <w:right w:val="single" w:sz="4" w:space="0" w:color="auto"/>
            </w:tcBorders>
          </w:tcPr>
          <w:p w:rsidR="00E11A91" w:rsidRPr="00BF148D" w:rsidRDefault="00E11A91" w:rsidP="00390E95">
            <w:pPr>
              <w:keepNext/>
              <w:rPr>
                <w:rFonts w:ascii="Arial Narrow" w:hAnsi="Arial Narrow"/>
                <w:sz w:val="18"/>
                <w:szCs w:val="18"/>
              </w:rPr>
            </w:pPr>
            <w:r w:rsidRPr="00BF148D">
              <w:rPr>
                <w:rFonts w:ascii="Arial Narrow" w:hAnsi="Arial Narrow"/>
                <w:b/>
                <w:sz w:val="18"/>
                <w:szCs w:val="18"/>
              </w:rPr>
              <w:t>Prescriber type:</w:t>
            </w:r>
            <w:r w:rsidR="00EB62D6" w:rsidRPr="00BF148D">
              <w:rPr>
                <w:rFonts w:ascii="Arial Narrow" w:hAnsi="Arial Narrow"/>
                <w:b/>
                <w:sz w:val="18"/>
                <w:szCs w:val="18"/>
              </w:rPr>
              <w:t xml:space="preserve"> </w:t>
            </w:r>
            <w:r w:rsidRPr="00BF148D">
              <w:rPr>
                <w:rFonts w:ascii="Arial Narrow" w:hAnsi="Arial Narrow"/>
                <w:sz w:val="18"/>
                <w:szCs w:val="18"/>
              </w:rPr>
              <w:fldChar w:fldCharType="begin">
                <w:ffData>
                  <w:name w:val=""/>
                  <w:enabled/>
                  <w:calcOnExit w:val="0"/>
                  <w:checkBox>
                    <w:sizeAuto/>
                    <w:default w:val="1"/>
                  </w:checkBox>
                </w:ffData>
              </w:fldChar>
            </w:r>
            <w:r w:rsidRPr="00BF148D">
              <w:rPr>
                <w:rFonts w:ascii="Arial Narrow" w:hAnsi="Arial Narrow"/>
                <w:sz w:val="18"/>
                <w:szCs w:val="18"/>
              </w:rPr>
              <w:instrText xml:space="preserve"> FORMCHECKBOX </w:instrText>
            </w:r>
            <w:r w:rsidR="00856CCA">
              <w:rPr>
                <w:rFonts w:ascii="Arial Narrow" w:hAnsi="Arial Narrow"/>
                <w:sz w:val="18"/>
                <w:szCs w:val="18"/>
              </w:rPr>
            </w:r>
            <w:r w:rsidR="00856CCA">
              <w:rPr>
                <w:rFonts w:ascii="Arial Narrow" w:hAnsi="Arial Narrow"/>
                <w:sz w:val="18"/>
                <w:szCs w:val="18"/>
              </w:rPr>
              <w:fldChar w:fldCharType="separate"/>
            </w:r>
            <w:r w:rsidRPr="00BF148D">
              <w:rPr>
                <w:rFonts w:ascii="Arial Narrow" w:hAnsi="Arial Narrow"/>
                <w:sz w:val="18"/>
                <w:szCs w:val="18"/>
              </w:rPr>
              <w:fldChar w:fldCharType="end"/>
            </w:r>
            <w:r w:rsidR="00390E95" w:rsidRPr="00BF148D">
              <w:rPr>
                <w:rFonts w:ascii="Arial Narrow" w:hAnsi="Arial Narrow"/>
                <w:sz w:val="18"/>
                <w:szCs w:val="18"/>
              </w:rPr>
              <w:t xml:space="preserve"> </w:t>
            </w:r>
            <w:r w:rsidRPr="00BF148D">
              <w:rPr>
                <w:rFonts w:ascii="Arial Narrow" w:hAnsi="Arial Narrow"/>
                <w:sz w:val="18"/>
                <w:szCs w:val="18"/>
              </w:rPr>
              <w:t>Medical Practitioners</w:t>
            </w:r>
            <w:r w:rsidR="00EB62D6" w:rsidRPr="00BF148D">
              <w:rPr>
                <w:rFonts w:ascii="Arial Narrow" w:hAnsi="Arial Narrow"/>
                <w:sz w:val="18"/>
                <w:szCs w:val="18"/>
              </w:rPr>
              <w:t xml:space="preserve"> </w:t>
            </w:r>
          </w:p>
        </w:tc>
      </w:tr>
      <w:tr w:rsidR="00E11A91" w:rsidRPr="00BF148D" w:rsidTr="00390E95">
        <w:tc>
          <w:tcPr>
            <w:tcW w:w="5000" w:type="pct"/>
            <w:tcBorders>
              <w:top w:val="single" w:sz="4" w:space="0" w:color="auto"/>
              <w:left w:val="single" w:sz="4" w:space="0" w:color="auto"/>
              <w:bottom w:val="single" w:sz="4" w:space="0" w:color="auto"/>
              <w:right w:val="single" w:sz="4" w:space="0" w:color="auto"/>
            </w:tcBorders>
          </w:tcPr>
          <w:p w:rsidR="00E11A91" w:rsidRPr="00BF148D" w:rsidRDefault="00E11A91" w:rsidP="00670490">
            <w:pPr>
              <w:keepNext/>
              <w:rPr>
                <w:rFonts w:ascii="Arial Narrow" w:hAnsi="Arial Narrow"/>
                <w:b/>
                <w:sz w:val="18"/>
                <w:szCs w:val="18"/>
              </w:rPr>
            </w:pPr>
            <w:r w:rsidRPr="00BF148D">
              <w:rPr>
                <w:rFonts w:ascii="Arial Narrow" w:hAnsi="Arial Narrow"/>
                <w:b/>
                <w:sz w:val="18"/>
                <w:szCs w:val="18"/>
              </w:rPr>
              <w:t xml:space="preserve">Restriction </w:t>
            </w:r>
            <w:r w:rsidR="00390E95" w:rsidRPr="00BF148D">
              <w:rPr>
                <w:rFonts w:ascii="Arial Narrow" w:hAnsi="Arial Narrow"/>
                <w:b/>
                <w:sz w:val="18"/>
                <w:szCs w:val="18"/>
              </w:rPr>
              <w:t>type</w:t>
            </w:r>
            <w:r w:rsidRPr="00BF148D">
              <w:rPr>
                <w:rFonts w:ascii="Arial Narrow" w:hAnsi="Arial Narrow"/>
                <w:b/>
                <w:sz w:val="18"/>
                <w:szCs w:val="18"/>
              </w:rPr>
              <w:t xml:space="preserve"> / Method:</w:t>
            </w:r>
          </w:p>
          <w:p w:rsidR="00E11A91" w:rsidRPr="00BF148D" w:rsidRDefault="00E11A91" w:rsidP="00670490">
            <w:pPr>
              <w:keepNext/>
              <w:rPr>
                <w:rFonts w:ascii="Arial Narrow" w:hAnsi="Arial Narrow"/>
                <w:sz w:val="18"/>
                <w:szCs w:val="18"/>
              </w:rPr>
            </w:pPr>
            <w:r w:rsidRPr="00BF148D">
              <w:rPr>
                <w:rFonts w:ascii="Arial Narrow" w:hAnsi="Arial Narrow"/>
                <w:sz w:val="18"/>
                <w:szCs w:val="18"/>
              </w:rPr>
              <w:fldChar w:fldCharType="begin">
                <w:ffData>
                  <w:name w:val="Check3"/>
                  <w:enabled/>
                  <w:calcOnExit w:val="0"/>
                  <w:checkBox>
                    <w:sizeAuto/>
                    <w:default w:val="1"/>
                  </w:checkBox>
                </w:ffData>
              </w:fldChar>
            </w:r>
            <w:r w:rsidRPr="00BF148D">
              <w:rPr>
                <w:rFonts w:ascii="Arial Narrow" w:hAnsi="Arial Narrow"/>
                <w:sz w:val="18"/>
                <w:szCs w:val="18"/>
              </w:rPr>
              <w:instrText xml:space="preserve"> FORMCHECKBOX </w:instrText>
            </w:r>
            <w:r w:rsidR="00856CCA">
              <w:rPr>
                <w:rFonts w:ascii="Arial Narrow" w:hAnsi="Arial Narrow"/>
                <w:sz w:val="18"/>
                <w:szCs w:val="18"/>
              </w:rPr>
            </w:r>
            <w:r w:rsidR="00856CCA">
              <w:rPr>
                <w:rFonts w:ascii="Arial Narrow" w:hAnsi="Arial Narrow"/>
                <w:sz w:val="18"/>
                <w:szCs w:val="18"/>
              </w:rPr>
              <w:fldChar w:fldCharType="separate"/>
            </w:r>
            <w:r w:rsidRPr="00BF148D">
              <w:rPr>
                <w:rFonts w:ascii="Arial Narrow" w:hAnsi="Arial Narrow"/>
                <w:sz w:val="18"/>
                <w:szCs w:val="18"/>
              </w:rPr>
              <w:fldChar w:fldCharType="end"/>
            </w:r>
            <w:r w:rsidRPr="00BF148D">
              <w:rPr>
                <w:rFonts w:ascii="Arial Narrow" w:hAnsi="Arial Narrow"/>
                <w:i/>
                <w:sz w:val="18"/>
                <w:szCs w:val="18"/>
              </w:rPr>
              <w:t xml:space="preserve">Authority Required – </w:t>
            </w:r>
            <w:r w:rsidR="00390E95" w:rsidRPr="00BF148D">
              <w:rPr>
                <w:rFonts w:ascii="Arial Narrow" w:hAnsi="Arial Narrow"/>
                <w:i/>
                <w:sz w:val="18"/>
                <w:szCs w:val="18"/>
              </w:rPr>
              <w:t>immediate/real time assessment (telephone/online)</w:t>
            </w:r>
          </w:p>
          <w:p w:rsidR="00E11A91" w:rsidRPr="00BF148D" w:rsidRDefault="00E11A91" w:rsidP="00670490">
            <w:pPr>
              <w:keepNext/>
              <w:rPr>
                <w:rFonts w:ascii="Arial Narrow" w:hAnsi="Arial Narrow"/>
                <w:sz w:val="18"/>
                <w:szCs w:val="18"/>
              </w:rPr>
            </w:pPr>
            <w:r w:rsidRPr="00BF148D">
              <w:rPr>
                <w:rFonts w:ascii="Arial Narrow" w:hAnsi="Arial Narrow"/>
                <w:sz w:val="18"/>
                <w:szCs w:val="18"/>
              </w:rPr>
              <w:fldChar w:fldCharType="begin">
                <w:ffData>
                  <w:name w:val=""/>
                  <w:enabled/>
                  <w:calcOnExit w:val="0"/>
                  <w:checkBox>
                    <w:sizeAuto/>
                    <w:default w:val="1"/>
                  </w:checkBox>
                </w:ffData>
              </w:fldChar>
            </w:r>
            <w:r w:rsidRPr="00BF148D">
              <w:rPr>
                <w:rFonts w:ascii="Arial Narrow" w:hAnsi="Arial Narrow"/>
                <w:sz w:val="18"/>
                <w:szCs w:val="18"/>
              </w:rPr>
              <w:instrText xml:space="preserve"> FORMCHECKBOX </w:instrText>
            </w:r>
            <w:r w:rsidR="00856CCA">
              <w:rPr>
                <w:rFonts w:ascii="Arial Narrow" w:hAnsi="Arial Narrow"/>
                <w:sz w:val="18"/>
                <w:szCs w:val="18"/>
              </w:rPr>
            </w:r>
            <w:r w:rsidR="00856CCA">
              <w:rPr>
                <w:rFonts w:ascii="Arial Narrow" w:hAnsi="Arial Narrow"/>
                <w:sz w:val="18"/>
                <w:szCs w:val="18"/>
              </w:rPr>
              <w:fldChar w:fldCharType="separate"/>
            </w:r>
            <w:r w:rsidRPr="00BF148D">
              <w:rPr>
                <w:rFonts w:ascii="Arial Narrow" w:hAnsi="Arial Narrow"/>
                <w:sz w:val="18"/>
                <w:szCs w:val="18"/>
              </w:rPr>
              <w:fldChar w:fldCharType="end"/>
            </w:r>
            <w:r w:rsidRPr="00BF148D">
              <w:rPr>
                <w:rFonts w:ascii="Arial Narrow" w:hAnsi="Arial Narrow"/>
                <w:strike/>
                <w:sz w:val="18"/>
                <w:szCs w:val="18"/>
              </w:rPr>
              <w:t>Authority Required - Streamlined</w:t>
            </w:r>
          </w:p>
        </w:tc>
      </w:tr>
      <w:tr w:rsidR="00E11A91" w:rsidRPr="00BF148D" w:rsidTr="00390E95">
        <w:tc>
          <w:tcPr>
            <w:tcW w:w="5000" w:type="pct"/>
            <w:vAlign w:val="center"/>
          </w:tcPr>
          <w:p w:rsidR="00E11A91" w:rsidRPr="00BF148D" w:rsidRDefault="00E11A91" w:rsidP="00670490">
            <w:pPr>
              <w:rPr>
                <w:rFonts w:ascii="Arial Narrow" w:hAnsi="Arial Narrow"/>
                <w:b/>
                <w:bCs/>
                <w:i/>
                <w:color w:val="333333"/>
                <w:sz w:val="18"/>
                <w:szCs w:val="18"/>
              </w:rPr>
            </w:pPr>
            <w:r w:rsidRPr="00BF148D">
              <w:rPr>
                <w:rFonts w:ascii="Arial Narrow" w:hAnsi="Arial Narrow"/>
                <w:b/>
                <w:bCs/>
                <w:color w:val="333333"/>
                <w:sz w:val="18"/>
                <w:szCs w:val="18"/>
              </w:rPr>
              <w:t xml:space="preserve">Condition: </w:t>
            </w:r>
            <w:r w:rsidRPr="00BF148D">
              <w:rPr>
                <w:rFonts w:ascii="Arial Narrow" w:hAnsi="Arial Narrow"/>
                <w:i/>
                <w:color w:val="333333"/>
                <w:sz w:val="18"/>
                <w:szCs w:val="18"/>
              </w:rPr>
              <w:t>Seizures of the</w:t>
            </w:r>
            <w:r w:rsidRPr="00BF148D">
              <w:rPr>
                <w:rFonts w:ascii="Arial Narrow" w:hAnsi="Arial Narrow"/>
                <w:color w:val="333333"/>
                <w:sz w:val="18"/>
                <w:szCs w:val="18"/>
              </w:rPr>
              <w:t xml:space="preserve"> Lennox-Gastaut syndrome</w:t>
            </w:r>
            <w:r w:rsidRPr="00BF148D">
              <w:rPr>
                <w:rFonts w:ascii="Arial Narrow" w:hAnsi="Arial Narrow"/>
                <w:i/>
                <w:color w:val="333333"/>
                <w:sz w:val="18"/>
                <w:szCs w:val="18"/>
              </w:rPr>
              <w:t xml:space="preserve"> </w:t>
            </w:r>
          </w:p>
        </w:tc>
      </w:tr>
      <w:tr w:rsidR="00E11A91" w:rsidRPr="00BF148D" w:rsidTr="00390E95">
        <w:tc>
          <w:tcPr>
            <w:tcW w:w="5000" w:type="pct"/>
            <w:vAlign w:val="center"/>
            <w:hideMark/>
          </w:tcPr>
          <w:p w:rsidR="00E11A91" w:rsidRPr="00BF148D" w:rsidRDefault="00E11A91" w:rsidP="00670490">
            <w:pPr>
              <w:rPr>
                <w:rFonts w:ascii="Arial Narrow" w:hAnsi="Arial Narrow"/>
                <w:i/>
                <w:color w:val="333333"/>
                <w:sz w:val="18"/>
                <w:szCs w:val="18"/>
              </w:rPr>
            </w:pPr>
            <w:r w:rsidRPr="00BF148D">
              <w:rPr>
                <w:rFonts w:ascii="Arial Narrow" w:hAnsi="Arial Narrow"/>
                <w:b/>
                <w:bCs/>
                <w:color w:val="333333"/>
                <w:sz w:val="18"/>
                <w:szCs w:val="18"/>
              </w:rPr>
              <w:t>Indication:</w:t>
            </w:r>
            <w:r w:rsidRPr="00BF148D">
              <w:rPr>
                <w:rFonts w:ascii="Arial Narrow" w:hAnsi="Arial Narrow"/>
                <w:color w:val="333333"/>
                <w:sz w:val="18"/>
                <w:szCs w:val="18"/>
              </w:rPr>
              <w:t xml:space="preserve"> </w:t>
            </w:r>
            <w:r w:rsidRPr="00BF148D">
              <w:rPr>
                <w:rFonts w:ascii="Arial Narrow" w:hAnsi="Arial Narrow"/>
                <w:strike/>
                <w:color w:val="333333"/>
                <w:sz w:val="18"/>
                <w:szCs w:val="18"/>
              </w:rPr>
              <w:t>Adjunctive therapy of seizures associated with Lennox-Gastaut syndrome for patients 2 years of age and older.</w:t>
            </w:r>
            <w:r w:rsidRPr="00BF148D">
              <w:rPr>
                <w:rFonts w:ascii="Arial Narrow" w:hAnsi="Arial Narrow"/>
                <w:i/>
                <w:color w:val="333333"/>
                <w:sz w:val="18"/>
                <w:szCs w:val="18"/>
              </w:rPr>
              <w:t xml:space="preserve"> Seizures of the</w:t>
            </w:r>
            <w:r w:rsidRPr="00BF148D">
              <w:rPr>
                <w:rFonts w:ascii="Arial Narrow" w:hAnsi="Arial Narrow"/>
                <w:color w:val="333333"/>
                <w:sz w:val="18"/>
                <w:szCs w:val="18"/>
              </w:rPr>
              <w:t xml:space="preserve"> </w:t>
            </w:r>
            <w:r w:rsidRPr="00BF148D">
              <w:rPr>
                <w:rFonts w:ascii="Arial Narrow" w:hAnsi="Arial Narrow"/>
                <w:i/>
                <w:color w:val="333333"/>
                <w:sz w:val="18"/>
                <w:szCs w:val="18"/>
              </w:rPr>
              <w:t>Lennox-Gastaut syndrome</w:t>
            </w:r>
          </w:p>
        </w:tc>
      </w:tr>
      <w:tr w:rsidR="00E11A91" w:rsidRPr="00BF148D" w:rsidTr="00390E95">
        <w:tc>
          <w:tcPr>
            <w:tcW w:w="5000" w:type="pct"/>
            <w:vAlign w:val="center"/>
            <w:hideMark/>
          </w:tcPr>
          <w:p w:rsidR="00E11A91" w:rsidRPr="00BF148D" w:rsidRDefault="00E11A91" w:rsidP="00670490">
            <w:pPr>
              <w:rPr>
                <w:rFonts w:ascii="Arial Narrow" w:hAnsi="Arial Narrow"/>
                <w:i/>
                <w:color w:val="333333"/>
                <w:sz w:val="18"/>
                <w:szCs w:val="18"/>
              </w:rPr>
            </w:pPr>
            <w:r w:rsidRPr="00BF148D">
              <w:rPr>
                <w:rFonts w:ascii="Arial Narrow" w:hAnsi="Arial Narrow"/>
                <w:b/>
                <w:bCs/>
                <w:color w:val="333333"/>
                <w:sz w:val="18"/>
                <w:szCs w:val="18"/>
              </w:rPr>
              <w:t>Treatment Phase:</w:t>
            </w:r>
            <w:r w:rsidRPr="00BF148D">
              <w:rPr>
                <w:rFonts w:ascii="Arial Narrow" w:hAnsi="Arial Narrow"/>
                <w:color w:val="333333"/>
                <w:sz w:val="18"/>
                <w:szCs w:val="18"/>
              </w:rPr>
              <w:t xml:space="preserve"> Initial</w:t>
            </w:r>
            <w:r w:rsidRPr="00BF148D">
              <w:rPr>
                <w:rFonts w:ascii="Arial Narrow" w:hAnsi="Arial Narrow"/>
                <w:strike/>
                <w:color w:val="333333"/>
                <w:sz w:val="18"/>
                <w:szCs w:val="18"/>
              </w:rPr>
              <w:t xml:space="preserve"> </w:t>
            </w:r>
            <w:r w:rsidRPr="00BF148D">
              <w:rPr>
                <w:rFonts w:ascii="Arial Narrow" w:hAnsi="Arial Narrow"/>
                <w:color w:val="333333"/>
                <w:sz w:val="18"/>
                <w:szCs w:val="18"/>
              </w:rPr>
              <w:t>and continuing</w:t>
            </w:r>
            <w:r w:rsidRPr="00BF148D">
              <w:rPr>
                <w:rFonts w:ascii="Arial Narrow" w:hAnsi="Arial Narrow"/>
                <w:strike/>
                <w:color w:val="333333"/>
                <w:sz w:val="18"/>
                <w:szCs w:val="18"/>
              </w:rPr>
              <w:t xml:space="preserve"> </w:t>
            </w:r>
            <w:r w:rsidRPr="00BF148D">
              <w:rPr>
                <w:rFonts w:ascii="Arial Narrow" w:hAnsi="Arial Narrow"/>
                <w:color w:val="333333"/>
                <w:sz w:val="18"/>
                <w:szCs w:val="18"/>
              </w:rPr>
              <w:t xml:space="preserve">treatment </w:t>
            </w:r>
          </w:p>
        </w:tc>
      </w:tr>
      <w:tr w:rsidR="00E11A91" w:rsidRPr="00BF148D" w:rsidTr="00390E95">
        <w:tc>
          <w:tcPr>
            <w:tcW w:w="5000" w:type="pct"/>
            <w:vAlign w:val="center"/>
            <w:hideMark/>
          </w:tcPr>
          <w:p w:rsidR="00E11A91" w:rsidRPr="00BF148D" w:rsidRDefault="00E11A91" w:rsidP="00670490">
            <w:pPr>
              <w:rPr>
                <w:rFonts w:ascii="Arial Narrow" w:hAnsi="Arial Narrow"/>
                <w:color w:val="333333"/>
                <w:sz w:val="18"/>
                <w:szCs w:val="18"/>
              </w:rPr>
            </w:pPr>
            <w:r w:rsidRPr="00BF148D">
              <w:rPr>
                <w:rFonts w:ascii="Arial Narrow" w:hAnsi="Arial Narrow"/>
                <w:b/>
                <w:bCs/>
                <w:color w:val="333333"/>
                <w:sz w:val="18"/>
                <w:szCs w:val="18"/>
              </w:rPr>
              <w:lastRenderedPageBreak/>
              <w:t>Clinical criteria:</w:t>
            </w:r>
          </w:p>
        </w:tc>
      </w:tr>
      <w:tr w:rsidR="00E11A91" w:rsidRPr="00BF148D" w:rsidTr="00390E95">
        <w:tc>
          <w:tcPr>
            <w:tcW w:w="5000" w:type="pct"/>
            <w:vAlign w:val="center"/>
            <w:hideMark/>
          </w:tcPr>
          <w:p w:rsidR="00E11A91" w:rsidRPr="00BF148D" w:rsidRDefault="00E11A91" w:rsidP="00670490">
            <w:pPr>
              <w:rPr>
                <w:rFonts w:ascii="Arial Narrow" w:hAnsi="Arial Narrow"/>
                <w:i/>
                <w:color w:val="333333"/>
                <w:sz w:val="18"/>
                <w:szCs w:val="18"/>
              </w:rPr>
            </w:pPr>
            <w:r w:rsidRPr="00BF148D">
              <w:rPr>
                <w:rFonts w:ascii="Arial Narrow" w:hAnsi="Arial Narrow"/>
                <w:i/>
                <w:color w:val="333333"/>
                <w:sz w:val="18"/>
                <w:szCs w:val="18"/>
              </w:rPr>
              <w:t>The condition must have failed to be controlled satisfactorily by other anti-epileptic drugs.</w:t>
            </w:r>
          </w:p>
        </w:tc>
      </w:tr>
      <w:tr w:rsidR="00E11A91" w:rsidRPr="00BF148D" w:rsidTr="00390E95">
        <w:tc>
          <w:tcPr>
            <w:tcW w:w="5000" w:type="pct"/>
            <w:vAlign w:val="center"/>
            <w:hideMark/>
          </w:tcPr>
          <w:p w:rsidR="00E11A91" w:rsidRPr="00BF148D" w:rsidRDefault="00E11A91" w:rsidP="00670490">
            <w:pPr>
              <w:rPr>
                <w:rFonts w:ascii="Arial Narrow" w:hAnsi="Arial Narrow"/>
                <w:color w:val="333333"/>
                <w:sz w:val="18"/>
                <w:szCs w:val="18"/>
              </w:rPr>
            </w:pPr>
            <w:r w:rsidRPr="00BF148D">
              <w:rPr>
                <w:rFonts w:ascii="Arial Narrow" w:hAnsi="Arial Narrow"/>
                <w:b/>
                <w:bCs/>
                <w:color w:val="333333"/>
                <w:sz w:val="18"/>
                <w:szCs w:val="18"/>
              </w:rPr>
              <w:t>AND</w:t>
            </w:r>
          </w:p>
        </w:tc>
      </w:tr>
      <w:tr w:rsidR="00E11A91" w:rsidRPr="00BF148D" w:rsidTr="00390E95">
        <w:tc>
          <w:tcPr>
            <w:tcW w:w="5000" w:type="pct"/>
            <w:vAlign w:val="center"/>
          </w:tcPr>
          <w:p w:rsidR="00E11A91" w:rsidRPr="00BF148D" w:rsidRDefault="00E11A91" w:rsidP="00670490">
            <w:pPr>
              <w:rPr>
                <w:rFonts w:ascii="Arial Narrow" w:hAnsi="Arial Narrow"/>
                <w:b/>
                <w:bCs/>
                <w:color w:val="333333"/>
                <w:sz w:val="18"/>
                <w:szCs w:val="18"/>
              </w:rPr>
            </w:pPr>
            <w:r w:rsidRPr="00BF148D">
              <w:rPr>
                <w:rFonts w:ascii="Arial Narrow" w:hAnsi="Arial Narrow"/>
                <w:b/>
                <w:bCs/>
                <w:color w:val="333333"/>
                <w:sz w:val="18"/>
                <w:szCs w:val="18"/>
              </w:rPr>
              <w:t>Clinical criteria:</w:t>
            </w:r>
          </w:p>
        </w:tc>
      </w:tr>
      <w:tr w:rsidR="00E11A91" w:rsidRPr="00BF148D" w:rsidTr="00390E95">
        <w:tc>
          <w:tcPr>
            <w:tcW w:w="5000" w:type="pct"/>
            <w:vAlign w:val="center"/>
          </w:tcPr>
          <w:p w:rsidR="00E11A91" w:rsidRPr="00BF148D" w:rsidRDefault="00E11A91" w:rsidP="00670490">
            <w:pPr>
              <w:rPr>
                <w:rFonts w:ascii="Arial Narrow" w:hAnsi="Arial Narrow"/>
                <w:strike/>
                <w:color w:val="333333"/>
                <w:sz w:val="18"/>
                <w:szCs w:val="18"/>
              </w:rPr>
            </w:pPr>
            <w:r w:rsidRPr="00BF148D">
              <w:rPr>
                <w:rFonts w:ascii="Arial Narrow" w:hAnsi="Arial Narrow"/>
                <w:strike/>
                <w:color w:val="333333"/>
                <w:sz w:val="18"/>
                <w:szCs w:val="18"/>
              </w:rPr>
              <w:t>The treatment must be adjunctive treatment.</w:t>
            </w:r>
          </w:p>
          <w:p w:rsidR="00E11A91" w:rsidRPr="00BF148D" w:rsidRDefault="00E11A91" w:rsidP="00670490">
            <w:pPr>
              <w:rPr>
                <w:rFonts w:ascii="Arial Narrow" w:hAnsi="Arial Narrow"/>
                <w:i/>
                <w:color w:val="333333"/>
                <w:sz w:val="18"/>
                <w:szCs w:val="18"/>
              </w:rPr>
            </w:pPr>
            <w:r w:rsidRPr="00BF148D">
              <w:rPr>
                <w:rFonts w:ascii="Arial Narrow" w:hAnsi="Arial Narrow"/>
                <w:i/>
                <w:color w:val="333333"/>
                <w:sz w:val="18"/>
                <w:szCs w:val="18"/>
              </w:rPr>
              <w:t>The treatment must be in combination with at least one anti-epileptic drug.</w:t>
            </w:r>
          </w:p>
        </w:tc>
      </w:tr>
      <w:tr w:rsidR="00E11A91" w:rsidRPr="00BF148D" w:rsidTr="00390E95">
        <w:tc>
          <w:tcPr>
            <w:tcW w:w="5000" w:type="pct"/>
            <w:vAlign w:val="center"/>
          </w:tcPr>
          <w:p w:rsidR="00E11A91" w:rsidRPr="00BF148D" w:rsidRDefault="00E11A91" w:rsidP="00670490">
            <w:pPr>
              <w:rPr>
                <w:rFonts w:ascii="Arial Narrow" w:hAnsi="Arial Narrow"/>
                <w:b/>
                <w:bCs/>
                <w:color w:val="333333"/>
                <w:sz w:val="18"/>
                <w:szCs w:val="18"/>
              </w:rPr>
            </w:pPr>
            <w:r w:rsidRPr="00BF148D">
              <w:rPr>
                <w:rFonts w:ascii="Arial Narrow" w:hAnsi="Arial Narrow"/>
                <w:b/>
                <w:bCs/>
                <w:color w:val="333333"/>
                <w:sz w:val="18"/>
                <w:szCs w:val="18"/>
              </w:rPr>
              <w:t>AND</w:t>
            </w:r>
          </w:p>
        </w:tc>
      </w:tr>
      <w:tr w:rsidR="00E11A91" w:rsidRPr="00BF148D" w:rsidTr="00390E95">
        <w:tc>
          <w:tcPr>
            <w:tcW w:w="5000" w:type="pct"/>
            <w:vAlign w:val="center"/>
            <w:hideMark/>
          </w:tcPr>
          <w:p w:rsidR="00E11A91" w:rsidRPr="00BF148D" w:rsidRDefault="00E11A91" w:rsidP="00670490">
            <w:pPr>
              <w:rPr>
                <w:rFonts w:ascii="Arial Narrow" w:hAnsi="Arial Narrow"/>
                <w:color w:val="333333"/>
                <w:sz w:val="18"/>
                <w:szCs w:val="18"/>
              </w:rPr>
            </w:pPr>
            <w:r w:rsidRPr="00BF148D">
              <w:rPr>
                <w:rFonts w:ascii="Arial Narrow" w:hAnsi="Arial Narrow"/>
                <w:b/>
                <w:bCs/>
                <w:color w:val="333333"/>
                <w:sz w:val="18"/>
                <w:szCs w:val="18"/>
              </w:rPr>
              <w:t>Clinical criteria:</w:t>
            </w:r>
          </w:p>
        </w:tc>
      </w:tr>
      <w:tr w:rsidR="00E11A91" w:rsidRPr="00BF148D" w:rsidTr="00390E95">
        <w:tc>
          <w:tcPr>
            <w:tcW w:w="5000" w:type="pct"/>
            <w:vAlign w:val="center"/>
            <w:hideMark/>
          </w:tcPr>
          <w:p w:rsidR="00E11A91" w:rsidRPr="00BF148D" w:rsidRDefault="00E11A91" w:rsidP="00670490">
            <w:pPr>
              <w:rPr>
                <w:rFonts w:ascii="Arial Narrow" w:hAnsi="Arial Narrow"/>
                <w:sz w:val="20"/>
              </w:rPr>
            </w:pPr>
            <w:r w:rsidRPr="00BF148D">
              <w:rPr>
                <w:rFonts w:ascii="Arial Narrow" w:hAnsi="Arial Narrow"/>
                <w:color w:val="333333"/>
                <w:sz w:val="18"/>
                <w:szCs w:val="18"/>
              </w:rPr>
              <w:t>If patients have achieved a ≥30% reduction in drop seizures at 12 months versus baseline they are eligible for continuation.</w:t>
            </w:r>
          </w:p>
        </w:tc>
      </w:tr>
      <w:tr w:rsidR="00A06923" w:rsidRPr="00BF148D" w:rsidTr="00390E95">
        <w:tc>
          <w:tcPr>
            <w:tcW w:w="5000" w:type="pct"/>
            <w:vAlign w:val="center"/>
            <w:hideMark/>
          </w:tcPr>
          <w:p w:rsidR="00A06923" w:rsidRPr="00BF148D" w:rsidRDefault="00A06923" w:rsidP="00A06923">
            <w:pPr>
              <w:rPr>
                <w:rFonts w:ascii="Arial Narrow" w:hAnsi="Arial Narrow"/>
                <w:color w:val="333333"/>
                <w:sz w:val="18"/>
                <w:szCs w:val="18"/>
              </w:rPr>
            </w:pPr>
            <w:r w:rsidRPr="00BF148D">
              <w:rPr>
                <w:rFonts w:ascii="Arial Narrow" w:hAnsi="Arial Narrow"/>
                <w:b/>
                <w:bCs/>
                <w:color w:val="333333"/>
                <w:sz w:val="18"/>
                <w:szCs w:val="18"/>
              </w:rPr>
              <w:t>AND</w:t>
            </w:r>
          </w:p>
        </w:tc>
      </w:tr>
      <w:tr w:rsidR="00A06923" w:rsidRPr="00BF148D" w:rsidTr="00390E95">
        <w:tc>
          <w:tcPr>
            <w:tcW w:w="5000" w:type="pct"/>
            <w:vAlign w:val="center"/>
            <w:hideMark/>
          </w:tcPr>
          <w:p w:rsidR="00A06923" w:rsidRPr="00BF148D" w:rsidRDefault="00A06923" w:rsidP="00A06923">
            <w:pPr>
              <w:rPr>
                <w:rFonts w:ascii="Arial Narrow" w:hAnsi="Arial Narrow"/>
                <w:color w:val="333333"/>
                <w:sz w:val="18"/>
                <w:szCs w:val="18"/>
              </w:rPr>
            </w:pPr>
            <w:r w:rsidRPr="00BF148D">
              <w:rPr>
                <w:rFonts w:ascii="Arial Narrow" w:hAnsi="Arial Narrow"/>
                <w:b/>
                <w:bCs/>
                <w:color w:val="333333"/>
                <w:sz w:val="18"/>
                <w:szCs w:val="18"/>
              </w:rPr>
              <w:t>Treatment criteria:</w:t>
            </w:r>
          </w:p>
        </w:tc>
      </w:tr>
      <w:tr w:rsidR="00A06923" w:rsidRPr="00BF148D" w:rsidTr="00390E95">
        <w:tc>
          <w:tcPr>
            <w:tcW w:w="5000" w:type="pct"/>
            <w:vAlign w:val="center"/>
            <w:hideMark/>
          </w:tcPr>
          <w:p w:rsidR="00A06923" w:rsidRPr="00BF148D" w:rsidRDefault="00A06923" w:rsidP="00A06923">
            <w:pPr>
              <w:autoSpaceDE w:val="0"/>
              <w:autoSpaceDN w:val="0"/>
              <w:adjustRightInd w:val="0"/>
              <w:rPr>
                <w:rFonts w:ascii="Arial Narrow" w:hAnsi="Arial Narrow"/>
                <w:color w:val="333333"/>
                <w:sz w:val="18"/>
                <w:szCs w:val="18"/>
              </w:rPr>
            </w:pPr>
            <w:r w:rsidRPr="00BF148D">
              <w:rPr>
                <w:rFonts w:ascii="Arial Narrow" w:hAnsi="Arial Narrow"/>
                <w:color w:val="333333"/>
                <w:sz w:val="18"/>
                <w:szCs w:val="18"/>
              </w:rPr>
              <w:t>Must be treated by a physician or paediatrician with experience in the treatment of epilepsy.</w:t>
            </w:r>
          </w:p>
        </w:tc>
      </w:tr>
      <w:tr w:rsidR="00A06923" w:rsidRPr="00BF148D" w:rsidTr="00390E95">
        <w:tc>
          <w:tcPr>
            <w:tcW w:w="5000" w:type="pct"/>
            <w:vAlign w:val="center"/>
            <w:hideMark/>
          </w:tcPr>
          <w:p w:rsidR="00A06923" w:rsidRPr="00BF148D" w:rsidRDefault="00A06923" w:rsidP="00A06923">
            <w:pPr>
              <w:rPr>
                <w:rFonts w:ascii="Arial Narrow" w:hAnsi="Arial Narrow"/>
                <w:color w:val="333333"/>
                <w:sz w:val="18"/>
                <w:szCs w:val="18"/>
              </w:rPr>
            </w:pPr>
            <w:r w:rsidRPr="00BF148D">
              <w:rPr>
                <w:rFonts w:ascii="Arial Narrow" w:hAnsi="Arial Narrow"/>
                <w:b/>
                <w:bCs/>
                <w:color w:val="333333"/>
                <w:sz w:val="18"/>
                <w:szCs w:val="18"/>
              </w:rPr>
              <w:t>AND</w:t>
            </w:r>
          </w:p>
        </w:tc>
      </w:tr>
      <w:tr w:rsidR="00A06923" w:rsidRPr="00BF148D" w:rsidTr="00390E95">
        <w:tc>
          <w:tcPr>
            <w:tcW w:w="5000" w:type="pct"/>
            <w:vAlign w:val="center"/>
            <w:hideMark/>
          </w:tcPr>
          <w:p w:rsidR="00A06923" w:rsidRPr="00BF148D" w:rsidRDefault="00A06923" w:rsidP="00A06923">
            <w:pPr>
              <w:rPr>
                <w:rFonts w:ascii="Arial Narrow" w:hAnsi="Arial Narrow"/>
                <w:color w:val="333333"/>
                <w:sz w:val="18"/>
                <w:szCs w:val="18"/>
              </w:rPr>
            </w:pPr>
            <w:r w:rsidRPr="00BF148D">
              <w:rPr>
                <w:rFonts w:ascii="Arial Narrow" w:hAnsi="Arial Narrow"/>
                <w:b/>
                <w:bCs/>
                <w:color w:val="333333"/>
                <w:sz w:val="18"/>
                <w:szCs w:val="18"/>
              </w:rPr>
              <w:t>Population criteria:</w:t>
            </w:r>
          </w:p>
        </w:tc>
      </w:tr>
      <w:tr w:rsidR="00A06923" w:rsidRPr="00BF148D" w:rsidTr="00390E95">
        <w:tc>
          <w:tcPr>
            <w:tcW w:w="5000" w:type="pct"/>
            <w:vAlign w:val="center"/>
            <w:hideMark/>
          </w:tcPr>
          <w:p w:rsidR="00A06923" w:rsidRPr="00BF148D" w:rsidRDefault="00A06923" w:rsidP="00A06923">
            <w:pPr>
              <w:rPr>
                <w:rFonts w:ascii="Arial Narrow" w:hAnsi="Arial Narrow" w:cs="Arial Narrow"/>
                <w:iCs/>
                <w:sz w:val="18"/>
                <w:szCs w:val="18"/>
              </w:rPr>
            </w:pPr>
            <w:r w:rsidRPr="00BF148D">
              <w:rPr>
                <w:rFonts w:ascii="Arial Narrow" w:hAnsi="Arial Narrow"/>
                <w:color w:val="333333"/>
                <w:sz w:val="18"/>
                <w:szCs w:val="18"/>
              </w:rPr>
              <w:t xml:space="preserve">Patient must be </w:t>
            </w:r>
            <w:r w:rsidRPr="00BF148D">
              <w:rPr>
                <w:rFonts w:ascii="Arial Narrow" w:hAnsi="Arial Narrow"/>
                <w:strike/>
                <w:color w:val="333333"/>
                <w:sz w:val="18"/>
                <w:szCs w:val="18"/>
              </w:rPr>
              <w:t>under the</w:t>
            </w:r>
            <w:r w:rsidRPr="00BF148D">
              <w:rPr>
                <w:rFonts w:ascii="Arial Narrow" w:hAnsi="Arial Narrow"/>
                <w:color w:val="333333"/>
                <w:sz w:val="18"/>
                <w:szCs w:val="18"/>
              </w:rPr>
              <w:t xml:space="preserve"> 2 years of age or older.</w:t>
            </w:r>
          </w:p>
        </w:tc>
      </w:tr>
      <w:tr w:rsidR="00A06923" w:rsidRPr="00BF148D" w:rsidTr="00390E95">
        <w:tc>
          <w:tcPr>
            <w:tcW w:w="5000" w:type="pct"/>
            <w:vAlign w:val="center"/>
            <w:hideMark/>
          </w:tcPr>
          <w:p w:rsidR="00A06923" w:rsidRPr="00BF148D" w:rsidRDefault="00A06923" w:rsidP="00A06923">
            <w:pPr>
              <w:rPr>
                <w:rFonts w:ascii="Arial Narrow" w:hAnsi="Arial Narrow"/>
                <w:bCs/>
                <w:color w:val="333333"/>
                <w:sz w:val="18"/>
                <w:szCs w:val="18"/>
              </w:rPr>
            </w:pPr>
            <w:r w:rsidRPr="00BF148D">
              <w:rPr>
                <w:rFonts w:ascii="Arial Narrow" w:hAnsi="Arial Narrow"/>
                <w:b/>
                <w:bCs/>
                <w:color w:val="333333"/>
                <w:sz w:val="18"/>
                <w:szCs w:val="18"/>
              </w:rPr>
              <w:t>Prescribing Instructions:</w:t>
            </w:r>
          </w:p>
        </w:tc>
      </w:tr>
      <w:tr w:rsidR="00A06923" w:rsidRPr="00BF148D" w:rsidTr="00390E95">
        <w:tc>
          <w:tcPr>
            <w:tcW w:w="5000" w:type="pct"/>
            <w:vAlign w:val="center"/>
          </w:tcPr>
          <w:p w:rsidR="00A06923" w:rsidRPr="00BF148D" w:rsidRDefault="00A06923" w:rsidP="00A06923">
            <w:pPr>
              <w:rPr>
                <w:rFonts w:ascii="Arial Narrow" w:hAnsi="Arial Narrow"/>
                <w:b/>
                <w:bCs/>
                <w:strike/>
                <w:color w:val="333333"/>
                <w:sz w:val="18"/>
                <w:szCs w:val="18"/>
              </w:rPr>
            </w:pPr>
            <w:r w:rsidRPr="00BF148D">
              <w:rPr>
                <w:rFonts w:ascii="Arial Narrow" w:hAnsi="Arial Narrow"/>
                <w:bCs/>
                <w:strike/>
                <w:color w:val="333333"/>
                <w:sz w:val="18"/>
                <w:szCs w:val="18"/>
              </w:rPr>
              <w:t>Care must be taken to comply with the provisions of State and Territory law when prescribing cannabidiol.</w:t>
            </w:r>
          </w:p>
        </w:tc>
      </w:tr>
      <w:tr w:rsidR="00A06923" w:rsidRPr="00BF148D" w:rsidTr="00390E95">
        <w:tc>
          <w:tcPr>
            <w:tcW w:w="5000" w:type="pct"/>
            <w:vAlign w:val="center"/>
            <w:hideMark/>
          </w:tcPr>
          <w:p w:rsidR="00A06923" w:rsidRPr="00BF148D" w:rsidRDefault="00A06923" w:rsidP="00A06923">
            <w:pPr>
              <w:rPr>
                <w:rFonts w:ascii="Arial Narrow" w:hAnsi="Arial Narrow"/>
                <w:bCs/>
                <w:strike/>
                <w:color w:val="333333"/>
                <w:sz w:val="18"/>
                <w:szCs w:val="18"/>
              </w:rPr>
            </w:pPr>
            <w:r w:rsidRPr="00BF148D">
              <w:rPr>
                <w:rFonts w:ascii="Arial Narrow" w:hAnsi="Arial Narrow"/>
                <w:b/>
                <w:bCs/>
                <w:color w:val="333333"/>
                <w:sz w:val="18"/>
                <w:szCs w:val="18"/>
              </w:rPr>
              <w:t>Administrative Advice:</w:t>
            </w:r>
            <w:r w:rsidRPr="00BF148D">
              <w:rPr>
                <w:rFonts w:ascii="Arial Narrow" w:hAnsi="Arial Narrow"/>
                <w:bCs/>
                <w:color w:val="333333"/>
                <w:sz w:val="18"/>
                <w:szCs w:val="18"/>
              </w:rPr>
              <w:t xml:space="preserve"> </w:t>
            </w:r>
            <w:r w:rsidRPr="00BF148D">
              <w:rPr>
                <w:rFonts w:ascii="Arial Narrow" w:hAnsi="Arial Narrow"/>
                <w:bCs/>
                <w:strike/>
                <w:color w:val="333333"/>
                <w:sz w:val="18"/>
                <w:szCs w:val="18"/>
              </w:rPr>
              <w:t xml:space="preserve"> Note: No applications for increased maximum quantity and/or repeats will be authorised</w:t>
            </w:r>
          </w:p>
        </w:tc>
      </w:tr>
      <w:tr w:rsidR="00A06923" w:rsidRPr="00BF148D" w:rsidTr="00390E95">
        <w:tc>
          <w:tcPr>
            <w:tcW w:w="5000" w:type="pct"/>
            <w:vAlign w:val="center"/>
          </w:tcPr>
          <w:p w:rsidR="00A06923" w:rsidRPr="00BF148D" w:rsidRDefault="00A06923" w:rsidP="00A06923">
            <w:pPr>
              <w:rPr>
                <w:rFonts w:ascii="Arial Narrow" w:hAnsi="Arial Narrow"/>
                <w:bCs/>
                <w:strike/>
                <w:color w:val="333333"/>
                <w:sz w:val="18"/>
                <w:szCs w:val="18"/>
              </w:rPr>
            </w:pPr>
            <w:r w:rsidRPr="00BF148D">
              <w:rPr>
                <w:rFonts w:ascii="Arial Narrow" w:hAnsi="Arial Narrow"/>
                <w:b/>
                <w:bCs/>
                <w:color w:val="333333"/>
                <w:sz w:val="18"/>
                <w:szCs w:val="18"/>
              </w:rPr>
              <w:t>Administrative Advice:</w:t>
            </w:r>
            <w:r w:rsidRPr="00BF148D">
              <w:rPr>
                <w:rFonts w:ascii="Arial Narrow" w:hAnsi="Arial Narrow"/>
                <w:bCs/>
                <w:color w:val="333333"/>
                <w:sz w:val="18"/>
                <w:szCs w:val="18"/>
              </w:rPr>
              <w:t xml:space="preserve"> </w:t>
            </w:r>
          </w:p>
          <w:p w:rsidR="00A06923" w:rsidRPr="00BF148D" w:rsidRDefault="00A06923" w:rsidP="00A06923">
            <w:pPr>
              <w:rPr>
                <w:rFonts w:ascii="Arial Narrow" w:hAnsi="Arial Narrow"/>
                <w:bCs/>
                <w:i/>
                <w:color w:val="333333"/>
                <w:sz w:val="18"/>
                <w:szCs w:val="18"/>
              </w:rPr>
            </w:pPr>
            <w:r w:rsidRPr="00BF148D">
              <w:rPr>
                <w:rFonts w:ascii="Arial Narrow" w:hAnsi="Arial Narrow"/>
                <w:bCs/>
                <w:i/>
                <w:color w:val="333333"/>
                <w:sz w:val="18"/>
                <w:szCs w:val="18"/>
              </w:rPr>
              <w:t>Applications for authorisation under this criterion may be made by telephone by contacting the Department of Human Services on 1800 700 270 (hours of operation 8 a.m. to 5 p.m. EST Monday to Friday).</w:t>
            </w:r>
          </w:p>
        </w:tc>
      </w:tr>
      <w:tr w:rsidR="00A06923" w:rsidRPr="00BF148D" w:rsidTr="00390E95">
        <w:trPr>
          <w:trHeight w:val="259"/>
        </w:trPr>
        <w:tc>
          <w:tcPr>
            <w:tcW w:w="5000" w:type="pct"/>
            <w:vAlign w:val="center"/>
          </w:tcPr>
          <w:p w:rsidR="00A06923" w:rsidRPr="00BF148D" w:rsidRDefault="00A06923" w:rsidP="00A06923">
            <w:pPr>
              <w:rPr>
                <w:rFonts w:ascii="Arial Narrow" w:hAnsi="Arial Narrow"/>
                <w:bCs/>
                <w:color w:val="333333"/>
                <w:sz w:val="18"/>
                <w:szCs w:val="18"/>
              </w:rPr>
            </w:pPr>
            <w:r w:rsidRPr="00BF148D">
              <w:rPr>
                <w:rFonts w:ascii="Arial Narrow" w:hAnsi="Arial Narrow"/>
                <w:b/>
                <w:bCs/>
                <w:color w:val="333333"/>
                <w:sz w:val="18"/>
                <w:szCs w:val="18"/>
              </w:rPr>
              <w:t xml:space="preserve">Caution: </w:t>
            </w:r>
            <w:r w:rsidRPr="00BF148D">
              <w:rPr>
                <w:rFonts w:ascii="Arial Narrow" w:hAnsi="Arial Narrow"/>
                <w:iCs/>
                <w:sz w:val="18"/>
              </w:rPr>
              <w:t>Maximum recommended dose of cannabidiol should not be exceeded.</w:t>
            </w:r>
            <w:r w:rsidRPr="00BF148D">
              <w:rPr>
                <w:rFonts w:ascii="Arial Narrow" w:hAnsi="Arial Narrow"/>
                <w:i/>
                <w:iCs/>
                <w:sz w:val="18"/>
              </w:rPr>
              <w:t xml:space="preserve"> </w:t>
            </w:r>
          </w:p>
        </w:tc>
      </w:tr>
    </w:tbl>
    <w:p w:rsidR="00512186" w:rsidRPr="00BF148D" w:rsidRDefault="00512186" w:rsidP="00512186">
      <w:pPr>
        <w:pStyle w:val="NoSpacing"/>
      </w:pPr>
    </w:p>
    <w:bookmarkEnd w:id="12"/>
    <w:p w:rsidR="007827EC" w:rsidRPr="00BF148D" w:rsidRDefault="007827EC" w:rsidP="00512186">
      <w:pPr>
        <w:pStyle w:val="3-BodyText"/>
        <w:spacing w:before="120"/>
      </w:pPr>
      <w:r w:rsidRPr="00BF148D">
        <w:t xml:space="preserve">No special pricing arrangement was proposed. </w:t>
      </w:r>
    </w:p>
    <w:p w:rsidR="007827EC" w:rsidRPr="00BF148D" w:rsidRDefault="007827EC" w:rsidP="00224858">
      <w:pPr>
        <w:pStyle w:val="3-BodyText"/>
      </w:pPr>
      <w:r w:rsidRPr="00BF148D">
        <w:t xml:space="preserve">The requested PBS restriction was consistent with the </w:t>
      </w:r>
      <w:r w:rsidR="00FE73C7" w:rsidRPr="00BF148D">
        <w:t xml:space="preserve">sponsor </w:t>
      </w:r>
      <w:r w:rsidRPr="00BF148D">
        <w:t>proposed TGA indication</w:t>
      </w:r>
      <w:r w:rsidR="00763FA3" w:rsidRPr="00BF148D">
        <w:t xml:space="preserve"> at the time of submission</w:t>
      </w:r>
      <w:r w:rsidRPr="00BF148D">
        <w:t>.</w:t>
      </w:r>
      <w:r w:rsidR="00EF2C46" w:rsidRPr="00BF148D">
        <w:t xml:space="preserve"> However it was not in line with the clinical trial evidence. The trials for DS required patients to have convulsive seizures that were not completely controlled by current</w:t>
      </w:r>
      <w:r w:rsidR="00F5590B" w:rsidRPr="00BF148D">
        <w:t xml:space="preserve"> anti-epileptic drugs</w:t>
      </w:r>
      <w:r w:rsidR="00EF2C46" w:rsidRPr="00BF148D">
        <w:t xml:space="preserve"> </w:t>
      </w:r>
      <w:r w:rsidR="00F5590B" w:rsidRPr="00BF148D">
        <w:t>(</w:t>
      </w:r>
      <w:r w:rsidR="00EF2C46" w:rsidRPr="00BF148D">
        <w:t>AEDs</w:t>
      </w:r>
      <w:r w:rsidR="00F5590B" w:rsidRPr="00BF148D">
        <w:t>)</w:t>
      </w:r>
      <w:r w:rsidR="00EF2C46" w:rsidRPr="00BF148D">
        <w:t xml:space="preserve"> and to have been taking one or more AEDs at a stable dose for 4 weeks prior to randomisation. Similarly, in the LGS trials, patients must have had seizures which were refractory to treatment, with documented failures on more than one AED, and patients needed to be taking one or more AEDs at a stable dose for 4 weeks prior to randomisation.</w:t>
      </w:r>
    </w:p>
    <w:p w:rsidR="00581BAF" w:rsidRPr="00BF148D" w:rsidRDefault="00B9405A" w:rsidP="008108C7">
      <w:pPr>
        <w:pStyle w:val="3-BodyText"/>
      </w:pPr>
      <w:r w:rsidRPr="00BF148D">
        <w:t xml:space="preserve">The </w:t>
      </w:r>
      <w:r w:rsidR="00344387" w:rsidRPr="00BF148D">
        <w:t>Pre-Sub</w:t>
      </w:r>
      <w:r w:rsidR="000E332F">
        <w:t>-</w:t>
      </w:r>
      <w:r w:rsidR="00A423CB">
        <w:t>C</w:t>
      </w:r>
      <w:r w:rsidR="00344387" w:rsidRPr="00BF148D">
        <w:t>ommittee Response (</w:t>
      </w:r>
      <w:r w:rsidRPr="00BF148D">
        <w:t>PSCR</w:t>
      </w:r>
      <w:r w:rsidR="00344387" w:rsidRPr="00BF148D">
        <w:t>)</w:t>
      </w:r>
      <w:r w:rsidRPr="00BF148D">
        <w:t xml:space="preserve"> agreed with the </w:t>
      </w:r>
      <w:r w:rsidR="00820894" w:rsidRPr="00BF148D">
        <w:t xml:space="preserve">evaluation </w:t>
      </w:r>
      <w:r w:rsidRPr="00BF148D">
        <w:t>proposal to include the clinical criterion “patients must have trialled two</w:t>
      </w:r>
      <w:r w:rsidR="00820894" w:rsidRPr="00BF148D">
        <w:t xml:space="preserve"> </w:t>
      </w:r>
      <w:r w:rsidRPr="00BF148D">
        <w:t xml:space="preserve">other appropriate AEDs to a maximally tolerated dose and failed to achieve seizure freedom”, to align the restriction more closely with the clinical </w:t>
      </w:r>
      <w:r w:rsidR="006E5EC6" w:rsidRPr="00BF148D">
        <w:t>claim in the submission.</w:t>
      </w:r>
      <w:r w:rsidRPr="00BF148D">
        <w:t xml:space="preserve"> </w:t>
      </w:r>
      <w:r w:rsidR="00763FA3" w:rsidRPr="00BF148D">
        <w:rPr>
          <w:snapToGrid/>
        </w:rPr>
        <w:t>The ESC considered that prevalent patients would likely have trialled a number of prior therapies and so the inclusion of this clinical criteria would not create a barrier to treatment.</w:t>
      </w:r>
    </w:p>
    <w:p w:rsidR="00B9405A" w:rsidRPr="00BF148D" w:rsidRDefault="00951FF1" w:rsidP="008108C7">
      <w:pPr>
        <w:pStyle w:val="3-BodyText"/>
      </w:pPr>
      <w:r w:rsidRPr="00BF148D">
        <w:t xml:space="preserve">The ESC considered that the criterion of a 30% reduction in seizures would be difficult </w:t>
      </w:r>
      <w:r w:rsidR="00870DFE" w:rsidRPr="00BF148D">
        <w:t xml:space="preserve">for caregivers </w:t>
      </w:r>
      <w:r w:rsidRPr="00BF148D">
        <w:t xml:space="preserve">to monitor </w:t>
      </w:r>
      <w:r w:rsidR="00870DFE" w:rsidRPr="00BF148D">
        <w:t>for</w:t>
      </w:r>
      <w:r w:rsidRPr="00BF148D">
        <w:t xml:space="preserve"> patients experiencing multiple seizures per day</w:t>
      </w:r>
      <w:r w:rsidR="005A293C" w:rsidRPr="00BF148D">
        <w:t>.</w:t>
      </w:r>
    </w:p>
    <w:p w:rsidR="00DE0F84" w:rsidRPr="00BF148D" w:rsidRDefault="00DE0F84" w:rsidP="008108C7">
      <w:pPr>
        <w:pStyle w:val="3-BodyText"/>
      </w:pPr>
      <w:r w:rsidRPr="00BF148D">
        <w:t>The PBAC considered a</w:t>
      </w:r>
      <w:r w:rsidR="007C68F7" w:rsidRPr="00BF148D">
        <w:t>n Authority Required</w:t>
      </w:r>
      <w:r w:rsidR="00390E95" w:rsidRPr="00BF148D">
        <w:t xml:space="preserve"> (telephone/</w:t>
      </w:r>
      <w:r w:rsidR="007C68F7" w:rsidRPr="00BF148D">
        <w:t>online)</w:t>
      </w:r>
      <w:r w:rsidR="00AE46AE" w:rsidRPr="00BF148D">
        <w:t>,</w:t>
      </w:r>
      <w:r w:rsidR="007C68F7" w:rsidRPr="00BF148D">
        <w:t xml:space="preserve"> </w:t>
      </w:r>
      <w:r w:rsidRPr="00BF148D">
        <w:t>Section 85 (General Schedule) listing for cannabidiol would be more appropriate than a</w:t>
      </w:r>
      <w:r w:rsidR="007C68F7" w:rsidRPr="00BF148D">
        <w:t>n Authority Required (streamlined)</w:t>
      </w:r>
      <w:r w:rsidR="00AE46AE" w:rsidRPr="00BF148D">
        <w:t xml:space="preserve">, </w:t>
      </w:r>
      <w:r w:rsidRPr="00BF148D">
        <w:t>Section 100 Highly Specialised Drugs Program (Community Access) listing.</w:t>
      </w:r>
    </w:p>
    <w:p w:rsidR="00AE46AE" w:rsidRPr="00BF148D" w:rsidRDefault="003F46F7" w:rsidP="008108C7">
      <w:pPr>
        <w:pStyle w:val="3-BodyText"/>
      </w:pPr>
      <w:r w:rsidRPr="00BF148D">
        <w:lastRenderedPageBreak/>
        <w:t>The PBAC noted the proposed maximum quantity for DS and LGS was based on patients receiving a</w:t>
      </w:r>
      <w:r w:rsidR="009E5EA5" w:rsidRPr="00BF148D">
        <w:t>n average</w:t>
      </w:r>
      <w:r w:rsidRPr="00BF148D">
        <w:t xml:space="preserve"> dose of 15mg/kg/day which was not consistent with the 10mg/kg/day dose assumed in the economic and financial models.</w:t>
      </w:r>
      <w:r w:rsidR="00EB62D6" w:rsidRPr="00BF148D">
        <w:t xml:space="preserve"> </w:t>
      </w:r>
    </w:p>
    <w:p w:rsidR="008108C7" w:rsidRPr="00BF148D" w:rsidRDefault="002F099B" w:rsidP="008108C7">
      <w:pPr>
        <w:rPr>
          <w:i/>
        </w:rPr>
      </w:pPr>
      <w:r w:rsidRPr="00BF148D">
        <w:rPr>
          <w:i/>
        </w:rPr>
        <w:tab/>
      </w:r>
      <w:r w:rsidR="008108C7" w:rsidRPr="00BF148D">
        <w:rPr>
          <w:i/>
        </w:rPr>
        <w:t>For more detail on PBAC’s view, see section 7 PBAC outcome.</w:t>
      </w:r>
    </w:p>
    <w:p w:rsidR="007827EC" w:rsidRPr="00BF148D" w:rsidRDefault="007827EC" w:rsidP="00224858">
      <w:pPr>
        <w:pStyle w:val="2-SectionHeading"/>
      </w:pPr>
      <w:bookmarkStart w:id="13" w:name="_Toc38639603"/>
      <w:bookmarkStart w:id="14" w:name="_Toc40880080"/>
      <w:r w:rsidRPr="00BF148D">
        <w:t>Population and disease</w:t>
      </w:r>
      <w:bookmarkEnd w:id="13"/>
      <w:bookmarkEnd w:id="14"/>
    </w:p>
    <w:p w:rsidR="007827EC" w:rsidRPr="00BF148D" w:rsidRDefault="007827EC" w:rsidP="00224858">
      <w:pPr>
        <w:pStyle w:val="3-BodyText"/>
      </w:pPr>
      <w:r w:rsidRPr="00BF148D">
        <w:t xml:space="preserve">DS is a rare, refractory and genetic form of epilepsy that is characterised by febrile or afebrile prolonged generalised clonic or tonic-clonic seizures (grand mal seizures) starting in the first year of life. Patients typically display cognitive and psychomotor retardation with attention deficit and hyperactivity and absent language skills by the age of 2 years, and they may also have arrhythmias and cardiac structural abnormalities. Up to 85% of patients with DS have a genetic defect in their SCN1A gene. The submission estimated the incidence rate to be 3.0 births per 100,000 with a prevalence rate of 4.0 per 100,000 of the population. Seizures in patients with DS can lead to status epilepticus and Sudden Unexplained Death in Epilepsy (SUDEP). In patients under 18 years of age, mortality rates can range from 7% to 18%, with the most common cause of death being SUDEP. Australian studies have reported a death rate of up to 17% in the first 17 years of life. Few patients with DS live beyond 30 years of age. </w:t>
      </w:r>
    </w:p>
    <w:p w:rsidR="007827EC" w:rsidRPr="00BF148D" w:rsidRDefault="007827EC" w:rsidP="00224858">
      <w:pPr>
        <w:pStyle w:val="3-BodyText"/>
      </w:pPr>
      <w:r w:rsidRPr="00BF148D">
        <w:t>LGS is a rare severe form of epileptic encephalopathy that has its onset in early childhood. The submission estimated an incidence rate of 1.9 per 100,000 and a prevalence rate of 16.1 per 100,000 of the population. The syndrome typically manifests in patients by 8 years of age with a peak incidence occurring between the ages of 3 and 5 years. Seizures persist into adulthood in more than 90% of patients. The disease</w:t>
      </w:r>
      <w:r w:rsidR="00A02F49" w:rsidRPr="00BF148D">
        <w:t xml:space="preserve"> is</w:t>
      </w:r>
      <w:r w:rsidRPr="00BF148D">
        <w:t xml:space="preserve"> characterised by slow spike-and-wave activity, and moderate to severe cognitive impairment. Seizures in patients with LGS include atonic and tonic seizures, which can lead to drop seizures, and atypical absence seizures, as well as a variety of other seizures. Seizures are often disabling, despite treatment. As patients with LGS can have different types of seizures they often require therapy with multiple types of AEDs. Children with LGS have a 14 times higher risk of death compared to the risk of death in the general population, with a mortality rate of approximately 5%. High seizure frequency is a significant predictor of early death. </w:t>
      </w:r>
    </w:p>
    <w:p w:rsidR="005A293C" w:rsidRPr="00BF148D" w:rsidRDefault="007827EC" w:rsidP="005A293C">
      <w:pPr>
        <w:pStyle w:val="3-BodyText"/>
      </w:pPr>
      <w:r w:rsidRPr="00BF148D">
        <w:t>The proposed clinical management algorithms suggested tha</w:t>
      </w:r>
      <w:r w:rsidR="00680866" w:rsidRPr="00BF148D">
        <w:t>t sodium valproate is the first-</w:t>
      </w:r>
      <w:r w:rsidRPr="00BF148D">
        <w:t xml:space="preserve">line treatment of choice for patients with seizures due to either DS or LGS, and that cannabidiol could be used in addition to either sodium valproate </w:t>
      </w:r>
      <w:r w:rsidR="00680866" w:rsidRPr="00BF148D">
        <w:rPr>
          <w:rFonts w:cstheme="minorHAnsi"/>
        </w:rPr>
        <w:t>±</w:t>
      </w:r>
      <w:r w:rsidR="00680866" w:rsidRPr="00BF148D">
        <w:t xml:space="preserve"> other AEDs </w:t>
      </w:r>
      <w:r w:rsidRPr="00BF148D">
        <w:t xml:space="preserve">(if seizures are inadequately controlled) or in addition to any of the listed therapies if sodium valproate is not tolerated. </w:t>
      </w:r>
      <w:r w:rsidR="005A293C" w:rsidRPr="00BF148D">
        <w:t xml:space="preserve">The ESC noted that LGS and DS do not have linear treatment protocols and that there are no traditional lines of treatment. </w:t>
      </w:r>
      <w:r w:rsidR="000F39B9" w:rsidRPr="00BF148D">
        <w:t xml:space="preserve">The ESC considered that the proposed clinical management algorithm, although simplistic, reflected current practice and the dynamic management of DS and LGS. </w:t>
      </w:r>
    </w:p>
    <w:p w:rsidR="007827EC" w:rsidRPr="00BF148D" w:rsidRDefault="007827EC" w:rsidP="00224858">
      <w:pPr>
        <w:pStyle w:val="3-BodyText"/>
      </w:pPr>
      <w:r w:rsidRPr="00BF148D">
        <w:lastRenderedPageBreak/>
        <w:t xml:space="preserve">The intervention is a highly purified oral solution containing cannabidiol (ATC N03AW24) extracted from </w:t>
      </w:r>
      <w:r w:rsidRPr="00BF148D">
        <w:rPr>
          <w:i/>
        </w:rPr>
        <w:t>Cannabis sativa</w:t>
      </w:r>
      <w:r w:rsidRPr="00BF148D">
        <w:t xml:space="preserve"> L., folium cum flore (cannabis leaf and flower). The cannabi</w:t>
      </w:r>
      <w:r w:rsidR="000E3C55" w:rsidRPr="00BF148D">
        <w:t>d</w:t>
      </w:r>
      <w:r w:rsidRPr="00BF148D">
        <w:t xml:space="preserve">iol is solubilised in oil and alcohol with each mL containing 100 mg of cannabidiol. </w:t>
      </w:r>
    </w:p>
    <w:p w:rsidR="00670E41" w:rsidRPr="00BF148D" w:rsidRDefault="00670E41" w:rsidP="00C7208B">
      <w:pPr>
        <w:ind w:firstLine="720"/>
        <w:rPr>
          <w:i/>
        </w:rPr>
      </w:pPr>
      <w:r w:rsidRPr="00BF148D">
        <w:rPr>
          <w:i/>
        </w:rPr>
        <w:t>For more detail on PBAC’s view, see section 7 PBAC outcome.</w:t>
      </w:r>
    </w:p>
    <w:p w:rsidR="007827EC" w:rsidRPr="00BF148D" w:rsidRDefault="007827EC" w:rsidP="00224858">
      <w:pPr>
        <w:pStyle w:val="2-SectionHeading"/>
      </w:pPr>
      <w:bookmarkStart w:id="15" w:name="_Toc38639604"/>
      <w:bookmarkStart w:id="16" w:name="_Toc40880081"/>
      <w:r w:rsidRPr="00BF148D">
        <w:t>Comparator</w:t>
      </w:r>
      <w:bookmarkEnd w:id="15"/>
      <w:bookmarkEnd w:id="16"/>
    </w:p>
    <w:p w:rsidR="007827EC" w:rsidRPr="00BF148D" w:rsidRDefault="007827EC" w:rsidP="00224858">
      <w:pPr>
        <w:pStyle w:val="3-BodyText"/>
        <w:rPr>
          <w:snapToGrid/>
        </w:rPr>
      </w:pPr>
      <w:r w:rsidRPr="00BF148D">
        <w:t>The submission nominated the comparator to be “standard care, which includes ALL current oral anti-epileptic drugs</w:t>
      </w:r>
      <w:r w:rsidR="00290891" w:rsidRPr="00BF148D">
        <w:t xml:space="preserve"> (AEDs)</w:t>
      </w:r>
      <w:r w:rsidRPr="00BF148D">
        <w:t xml:space="preserve">”. The main arguments provided in support of this nomination were that cannabidiol is intended to be used as an adjunct to existing therapies rather than to replace them, and that pharmacological treatment of refractory epilepsy is often dynamic with the need to alter anti-epileptic therapies as efficacy wanes or as drug/drug interactions reduce tolerability. </w:t>
      </w:r>
    </w:p>
    <w:p w:rsidR="007827EC" w:rsidRPr="00BF148D" w:rsidRDefault="00421276" w:rsidP="00224858">
      <w:pPr>
        <w:pStyle w:val="3-BodyText"/>
        <w:rPr>
          <w:snapToGrid/>
        </w:rPr>
      </w:pPr>
      <w:r w:rsidRPr="00BF148D">
        <w:t>C</w:t>
      </w:r>
      <w:r w:rsidR="007827EC" w:rsidRPr="00BF148D">
        <w:t>annabidiol may both replace and displace the use of other adjunctive therapies in patients with DS</w:t>
      </w:r>
      <w:r w:rsidR="00F12C5A" w:rsidRPr="00BF148D">
        <w:t xml:space="preserve"> or LGS</w:t>
      </w:r>
      <w:r w:rsidR="00A53E80" w:rsidRPr="00BF148D">
        <w:t>.</w:t>
      </w:r>
      <w:r w:rsidR="007827EC" w:rsidRPr="00BF148D">
        <w:t xml:space="preserve"> </w:t>
      </w:r>
      <w:r w:rsidR="00BE44C6" w:rsidRPr="00BF148D">
        <w:rPr>
          <w:snapToGrid/>
        </w:rPr>
        <w:t xml:space="preserve">Adjunctive therapies include PBS-listed lamotrigine, levetiracetam, topiramate and sodium valproate and non-PBS listed clobazam, rufinamide </w:t>
      </w:r>
      <w:r w:rsidR="00A53E80" w:rsidRPr="00BF148D">
        <w:rPr>
          <w:snapToGrid/>
        </w:rPr>
        <w:t xml:space="preserve">(LGS only) </w:t>
      </w:r>
      <w:r w:rsidR="00BE44C6" w:rsidRPr="00BF148D">
        <w:rPr>
          <w:snapToGrid/>
        </w:rPr>
        <w:t xml:space="preserve">and stiripentol (DS only). </w:t>
      </w:r>
      <w:r w:rsidR="002D16D7" w:rsidRPr="00BF148D">
        <w:rPr>
          <w:snapToGrid/>
        </w:rPr>
        <w:t>Some of these therapies are less costly than cannabidiol. Such use was not considered in the economic analysis and financial estimates, and there was no clinical comparison made to any of these therapies.</w:t>
      </w:r>
    </w:p>
    <w:p w:rsidR="00870DFE" w:rsidRPr="00BF148D" w:rsidRDefault="00870DFE" w:rsidP="00870DFE">
      <w:pPr>
        <w:pStyle w:val="3-BodyText"/>
        <w:rPr>
          <w:snapToGrid/>
        </w:rPr>
      </w:pPr>
      <w:r w:rsidRPr="00BF148D">
        <w:t xml:space="preserve">The ESC noted </w:t>
      </w:r>
      <w:r w:rsidR="00250BCC" w:rsidRPr="00BF148D">
        <w:t xml:space="preserve">cannabidiol may also substitute for </w:t>
      </w:r>
      <w:r w:rsidRPr="00BF148D">
        <w:t xml:space="preserve">other medicinal cannabis products, available via the TGA Special Access Scheme (Category B) or Authorised Prescriber programs, in practice. </w:t>
      </w:r>
    </w:p>
    <w:p w:rsidR="00421276" w:rsidRPr="00BF148D" w:rsidRDefault="00421276" w:rsidP="00224858">
      <w:pPr>
        <w:pStyle w:val="3-BodyText"/>
        <w:rPr>
          <w:snapToGrid/>
        </w:rPr>
      </w:pPr>
      <w:r w:rsidRPr="00BF148D">
        <w:t>In its recent consideration of stiripentol</w:t>
      </w:r>
      <w:r w:rsidR="004A6695" w:rsidRPr="00BF148D">
        <w:t xml:space="preserve">, </w:t>
      </w:r>
      <w:r w:rsidRPr="00BF148D">
        <w:t xml:space="preserve">the PBAC </w:t>
      </w:r>
      <w:r w:rsidR="000B34A5" w:rsidRPr="00BF148D">
        <w:t>considered that</w:t>
      </w:r>
      <w:r w:rsidRPr="00BF148D">
        <w:t xml:space="preserve"> standard care, consisting of a range of AEDs and treatments including topiramate and levetiracetam, was the appropriate main comparator, but that due to the limited evidence evaluating the efficacy of these treatments in DS patients, placebo (plus sodium valproate and clobazam) was used as the comparator in the clinical comparison and economic model. Noting the variable and individualised nature of standard care in </w:t>
      </w:r>
      <w:r w:rsidR="008A49AD" w:rsidRPr="00BF148D">
        <w:t>DS</w:t>
      </w:r>
      <w:r w:rsidRPr="00BF148D">
        <w:t xml:space="preserve">, the PBAC </w:t>
      </w:r>
      <w:r w:rsidR="008A49AD" w:rsidRPr="00BF148D">
        <w:t>considered</w:t>
      </w:r>
      <w:r w:rsidRPr="00BF148D">
        <w:t xml:space="preserve"> that the evidence presented compared to placebo was still informative in demonstrating the incremental benefit of stiripentol against a standardised trial comparator</w:t>
      </w:r>
      <w:r w:rsidR="003A283D" w:rsidRPr="00BF148D">
        <w:t xml:space="preserve"> (paragraph 7.4, stiripentol </w:t>
      </w:r>
      <w:r w:rsidR="009E1739" w:rsidRPr="00BF148D">
        <w:t>Public Summary Document (PSD)</w:t>
      </w:r>
      <w:r w:rsidR="00205D7F" w:rsidRPr="00BF148D">
        <w:t>,</w:t>
      </w:r>
      <w:r w:rsidR="003A283D" w:rsidRPr="00BF148D">
        <w:t xml:space="preserve"> March 2020</w:t>
      </w:r>
      <w:r w:rsidR="00205D7F" w:rsidRPr="00BF148D">
        <w:t xml:space="preserve"> PBAC meeting</w:t>
      </w:r>
      <w:r w:rsidR="003A283D" w:rsidRPr="00BF148D">
        <w:t>)</w:t>
      </w:r>
      <w:r w:rsidR="00E54293" w:rsidRPr="00BF148D">
        <w:t>.</w:t>
      </w:r>
    </w:p>
    <w:p w:rsidR="00BA62F8" w:rsidRPr="00BF148D" w:rsidRDefault="005A293C" w:rsidP="00224858">
      <w:pPr>
        <w:pStyle w:val="3-BodyText"/>
        <w:rPr>
          <w:snapToGrid/>
        </w:rPr>
      </w:pPr>
      <w:r w:rsidRPr="00BF148D">
        <w:t>The ESC noted that, similar to stiripentol</w:t>
      </w:r>
      <w:r w:rsidR="00205D7F" w:rsidRPr="00BF148D">
        <w:t xml:space="preserve">, </w:t>
      </w:r>
      <w:r w:rsidRPr="00BF148D">
        <w:t>the limited evidence available</w:t>
      </w:r>
      <w:r w:rsidR="00032165" w:rsidRPr="00BF148D">
        <w:t xml:space="preserve"> meant that</w:t>
      </w:r>
      <w:r w:rsidR="00581BAF" w:rsidRPr="00BF148D">
        <w:t xml:space="preserve"> </w:t>
      </w:r>
      <w:r w:rsidR="00032165" w:rsidRPr="00BF148D">
        <w:t>placebo</w:t>
      </w:r>
      <w:r w:rsidR="00205D7F" w:rsidRPr="00BF148D">
        <w:t xml:space="preserve"> (plus standard care) </w:t>
      </w:r>
      <w:r w:rsidR="00032165" w:rsidRPr="00BF148D">
        <w:t>was the appropriate comparator for the clinical and economic model</w:t>
      </w:r>
      <w:r w:rsidR="00205D7F" w:rsidRPr="00BF148D">
        <w:t xml:space="preserve"> (paragraph 7.4, stiripentol </w:t>
      </w:r>
      <w:r w:rsidR="009E1739" w:rsidRPr="00BF148D">
        <w:t>PSD</w:t>
      </w:r>
      <w:r w:rsidR="00205D7F" w:rsidRPr="00BF148D">
        <w:t>, March 2020 PBAC meeting)</w:t>
      </w:r>
      <w:r w:rsidR="00032165" w:rsidRPr="00BF148D">
        <w:t xml:space="preserve">. </w:t>
      </w:r>
    </w:p>
    <w:p w:rsidR="00C834C5" w:rsidRPr="00BF148D" w:rsidRDefault="00C834C5" w:rsidP="001A1FA3">
      <w:pPr>
        <w:ind w:firstLine="720"/>
        <w:rPr>
          <w:i/>
        </w:rPr>
      </w:pPr>
      <w:r w:rsidRPr="00BF148D">
        <w:rPr>
          <w:i/>
        </w:rPr>
        <w:t>For more detail on PBAC’s view, see section 7 PBAC outcome.</w:t>
      </w:r>
    </w:p>
    <w:p w:rsidR="007827EC" w:rsidRPr="00BF148D" w:rsidRDefault="007827EC" w:rsidP="00224858">
      <w:pPr>
        <w:pStyle w:val="2-SectionHeading"/>
      </w:pPr>
      <w:bookmarkStart w:id="17" w:name="_Toc38639605"/>
      <w:bookmarkStart w:id="18" w:name="_Toc40880082"/>
      <w:bookmarkStart w:id="19" w:name="_Toc22897640"/>
      <w:r w:rsidRPr="00BF148D">
        <w:lastRenderedPageBreak/>
        <w:t>Consideration of the evidence</w:t>
      </w:r>
      <w:bookmarkEnd w:id="17"/>
      <w:bookmarkEnd w:id="18"/>
    </w:p>
    <w:p w:rsidR="00C834C5" w:rsidRPr="00BF148D" w:rsidRDefault="00C834C5" w:rsidP="00C834C5">
      <w:pPr>
        <w:pStyle w:val="4-SubsectionHeading"/>
      </w:pPr>
      <w:bookmarkStart w:id="20" w:name="_Toc38639606"/>
      <w:bookmarkStart w:id="21" w:name="_Toc40880083"/>
      <w:r w:rsidRPr="00BF148D">
        <w:t>Sponsor hearing</w:t>
      </w:r>
    </w:p>
    <w:p w:rsidR="004A6695" w:rsidRPr="00BF148D" w:rsidRDefault="00C7208B" w:rsidP="00C7208B">
      <w:pPr>
        <w:pStyle w:val="3-BodyText"/>
      </w:pPr>
      <w:r w:rsidRPr="00BF148D">
        <w:t>The sponsor requested a hearing for this item. The clinician presented clinical case studies and discussed the natural history of DS and LGS, the impact of these conditions on patients, carers and the broader community, how cannabidiol would be used in practice and its place in the treatment algorithm, and addressed other matters in response to the Committee’s questions. The PBAC considered that the hearing was informative as it provided a clinical perspective on treating these uncommon diseases.</w:t>
      </w:r>
    </w:p>
    <w:p w:rsidR="00C834C5" w:rsidRPr="00BF148D" w:rsidRDefault="00C834C5" w:rsidP="00C834C5">
      <w:pPr>
        <w:pStyle w:val="4-SubsectionHeading"/>
      </w:pPr>
      <w:r w:rsidRPr="00BF148D">
        <w:t>Consumer comments</w:t>
      </w:r>
    </w:p>
    <w:p w:rsidR="00C834C5" w:rsidRPr="00BF148D" w:rsidRDefault="00C834C5" w:rsidP="00C834C5">
      <w:pPr>
        <w:widowControl w:val="0"/>
        <w:numPr>
          <w:ilvl w:val="1"/>
          <w:numId w:val="1"/>
        </w:numPr>
        <w:spacing w:after="120"/>
        <w:rPr>
          <w:rFonts w:asciiTheme="minorHAnsi" w:hAnsiTheme="minorHAnsi"/>
          <w:bCs/>
          <w:snapToGrid w:val="0"/>
        </w:rPr>
      </w:pPr>
      <w:r w:rsidRPr="00BF148D">
        <w:rPr>
          <w:rFonts w:asciiTheme="minorHAnsi" w:hAnsiTheme="minorHAnsi"/>
          <w:bCs/>
          <w:snapToGrid w:val="0"/>
        </w:rPr>
        <w:t xml:space="preserve">The PBAC noted and welcomed the input from </w:t>
      </w:r>
      <w:r w:rsidR="00AC7D1A" w:rsidRPr="00BF148D">
        <w:rPr>
          <w:rFonts w:asciiTheme="minorHAnsi" w:hAnsiTheme="minorHAnsi"/>
          <w:bCs/>
          <w:snapToGrid w:val="0"/>
        </w:rPr>
        <w:t>health care professionals (1) and organisations (3</w:t>
      </w:r>
      <w:r w:rsidRPr="00BF148D">
        <w:rPr>
          <w:rFonts w:asciiTheme="minorHAnsi" w:hAnsiTheme="minorHAnsi"/>
          <w:bCs/>
          <w:snapToGrid w:val="0"/>
        </w:rPr>
        <w:t>) via the Consumer Comment</w:t>
      </w:r>
      <w:r w:rsidR="00AC7D1A" w:rsidRPr="00BF148D">
        <w:rPr>
          <w:rFonts w:asciiTheme="minorHAnsi" w:hAnsiTheme="minorHAnsi"/>
          <w:bCs/>
          <w:snapToGrid w:val="0"/>
        </w:rPr>
        <w:t xml:space="preserve">s facility on the PBS website. </w:t>
      </w:r>
      <w:r w:rsidRPr="00BF148D">
        <w:rPr>
          <w:rFonts w:asciiTheme="minorHAnsi" w:hAnsiTheme="minorHAnsi"/>
          <w:bCs/>
          <w:snapToGrid w:val="0"/>
        </w:rPr>
        <w:t>The comments described a rang</w:t>
      </w:r>
      <w:r w:rsidR="00AC7D1A" w:rsidRPr="00BF148D">
        <w:rPr>
          <w:rFonts w:asciiTheme="minorHAnsi" w:hAnsiTheme="minorHAnsi"/>
          <w:bCs/>
          <w:snapToGrid w:val="0"/>
        </w:rPr>
        <w:t>e of benefits of treatment with cannabidiol</w:t>
      </w:r>
      <w:r w:rsidRPr="00BF148D">
        <w:rPr>
          <w:rFonts w:asciiTheme="minorHAnsi" w:hAnsiTheme="minorHAnsi"/>
          <w:bCs/>
          <w:snapToGrid w:val="0"/>
        </w:rPr>
        <w:t xml:space="preserve"> including</w:t>
      </w:r>
      <w:r w:rsidR="00AC7D1A" w:rsidRPr="00BF148D">
        <w:rPr>
          <w:rFonts w:asciiTheme="minorHAnsi" w:hAnsiTheme="minorHAnsi"/>
          <w:bCs/>
          <w:snapToGrid w:val="0"/>
        </w:rPr>
        <w:t xml:space="preserve"> </w:t>
      </w:r>
      <w:r w:rsidR="00CB3E0F" w:rsidRPr="00BF148D">
        <w:rPr>
          <w:rFonts w:asciiTheme="minorHAnsi" w:hAnsiTheme="minorHAnsi"/>
          <w:bCs/>
          <w:snapToGrid w:val="0"/>
        </w:rPr>
        <w:t>an improvement in seizure control for patients who generally do not have seizure control, leading to a substantial increase in quality of life</w:t>
      </w:r>
      <w:r w:rsidR="000A2784" w:rsidRPr="00BF148D">
        <w:rPr>
          <w:rFonts w:asciiTheme="minorHAnsi" w:hAnsiTheme="minorHAnsi"/>
          <w:bCs/>
          <w:snapToGrid w:val="0"/>
        </w:rPr>
        <w:t xml:space="preserve"> </w:t>
      </w:r>
      <w:r w:rsidR="008972A5" w:rsidRPr="00BF148D">
        <w:rPr>
          <w:rFonts w:asciiTheme="minorHAnsi" w:hAnsiTheme="minorHAnsi"/>
          <w:bCs/>
          <w:snapToGrid w:val="0"/>
        </w:rPr>
        <w:t>for both patients and carers</w:t>
      </w:r>
      <w:r w:rsidR="00CB3E0F" w:rsidRPr="00BF148D">
        <w:rPr>
          <w:rFonts w:asciiTheme="minorHAnsi" w:hAnsiTheme="minorHAnsi"/>
          <w:bCs/>
          <w:snapToGrid w:val="0"/>
        </w:rPr>
        <w:t xml:space="preserve">. </w:t>
      </w:r>
    </w:p>
    <w:p w:rsidR="00AC7D1A" w:rsidRPr="00BF148D" w:rsidRDefault="00AC7D1A" w:rsidP="001856BA">
      <w:pPr>
        <w:widowControl w:val="0"/>
        <w:numPr>
          <w:ilvl w:val="1"/>
          <w:numId w:val="1"/>
        </w:numPr>
        <w:spacing w:after="120"/>
        <w:rPr>
          <w:rFonts w:asciiTheme="minorHAnsi" w:hAnsiTheme="minorHAnsi"/>
          <w:bCs/>
          <w:snapToGrid w:val="0"/>
        </w:rPr>
      </w:pPr>
      <w:r w:rsidRPr="00BF148D">
        <w:rPr>
          <w:rFonts w:asciiTheme="minorHAnsi" w:hAnsiTheme="minorHAnsi"/>
          <w:bCs/>
          <w:snapToGrid w:val="0"/>
        </w:rPr>
        <w:t xml:space="preserve">The PBAC noted the advice of the Epilepsy Society of Australia that prescribing should be restricted to neurologists and paediatric neurologists experienced in the treatment of epilepsy, to ensure appropriate use as part of patients’ comprehensive management strategy. </w:t>
      </w:r>
      <w:r w:rsidR="008A0971" w:rsidRPr="00BF148D">
        <w:rPr>
          <w:rFonts w:asciiTheme="minorHAnsi" w:hAnsiTheme="minorHAnsi"/>
          <w:bCs/>
          <w:snapToGrid w:val="0"/>
        </w:rPr>
        <w:t xml:space="preserve">The Epilepsy Society considered that definitions for DS and LGS should be included in a PBS listing so that use is limited to patient populations with clinical data supporting the risk and benefit of cannabidiol. </w:t>
      </w:r>
    </w:p>
    <w:p w:rsidR="008972A5" w:rsidRPr="00BF148D" w:rsidRDefault="008972A5" w:rsidP="001856BA">
      <w:pPr>
        <w:widowControl w:val="0"/>
        <w:numPr>
          <w:ilvl w:val="1"/>
          <w:numId w:val="1"/>
        </w:numPr>
        <w:spacing w:after="120"/>
        <w:rPr>
          <w:rFonts w:asciiTheme="minorHAnsi" w:hAnsiTheme="minorHAnsi"/>
          <w:bCs/>
          <w:snapToGrid w:val="0"/>
        </w:rPr>
      </w:pPr>
      <w:r w:rsidRPr="00BF148D">
        <w:rPr>
          <w:rFonts w:asciiTheme="minorHAnsi" w:hAnsiTheme="minorHAnsi"/>
          <w:bCs/>
          <w:snapToGrid w:val="0"/>
        </w:rPr>
        <w:t>The PBAC noted the advice of the Epilepsy Foundation that cost of treatment is a barrier for most patients.</w:t>
      </w:r>
    </w:p>
    <w:p w:rsidR="008972A5" w:rsidRPr="00BF148D" w:rsidRDefault="008972A5" w:rsidP="001856BA">
      <w:pPr>
        <w:widowControl w:val="0"/>
        <w:numPr>
          <w:ilvl w:val="1"/>
          <w:numId w:val="1"/>
        </w:numPr>
        <w:spacing w:after="120"/>
        <w:rPr>
          <w:rFonts w:asciiTheme="minorHAnsi" w:hAnsiTheme="minorHAnsi"/>
          <w:bCs/>
          <w:snapToGrid w:val="0"/>
        </w:rPr>
      </w:pPr>
      <w:r w:rsidRPr="00BF148D">
        <w:rPr>
          <w:rFonts w:asciiTheme="minorHAnsi" w:hAnsiTheme="minorHAnsi"/>
          <w:bCs/>
          <w:snapToGrid w:val="0"/>
        </w:rPr>
        <w:t>The PBAC noted th</w:t>
      </w:r>
      <w:r w:rsidR="00A064AA" w:rsidRPr="00BF148D">
        <w:rPr>
          <w:rFonts w:asciiTheme="minorHAnsi" w:hAnsiTheme="minorHAnsi"/>
          <w:bCs/>
          <w:snapToGrid w:val="0"/>
        </w:rPr>
        <w:t>e</w:t>
      </w:r>
      <w:r w:rsidRPr="00BF148D">
        <w:rPr>
          <w:rFonts w:asciiTheme="minorHAnsi" w:hAnsiTheme="minorHAnsi"/>
          <w:bCs/>
          <w:snapToGrid w:val="0"/>
        </w:rPr>
        <w:t xml:space="preserve"> advice of the National Paediatric Medicines Forum that a significant number of paediatric patients across Australia are </w:t>
      </w:r>
      <w:r w:rsidR="001A1FA3" w:rsidRPr="00BF148D">
        <w:rPr>
          <w:rFonts w:asciiTheme="minorHAnsi" w:hAnsiTheme="minorHAnsi"/>
          <w:bCs/>
          <w:snapToGrid w:val="0"/>
        </w:rPr>
        <w:t xml:space="preserve">currently </w:t>
      </w:r>
      <w:r w:rsidRPr="00BF148D">
        <w:rPr>
          <w:rFonts w:asciiTheme="minorHAnsi" w:hAnsiTheme="minorHAnsi"/>
          <w:bCs/>
          <w:snapToGrid w:val="0"/>
        </w:rPr>
        <w:t>prescribed cannabidiol for DS and LGS.</w:t>
      </w:r>
    </w:p>
    <w:p w:rsidR="007827EC" w:rsidRPr="00BF148D" w:rsidRDefault="007827EC" w:rsidP="00224858">
      <w:pPr>
        <w:pStyle w:val="4-SubsectionHeading"/>
      </w:pPr>
      <w:r w:rsidRPr="00BF148D">
        <w:t>Clinical trials</w:t>
      </w:r>
      <w:bookmarkEnd w:id="19"/>
      <w:bookmarkEnd w:id="20"/>
      <w:bookmarkEnd w:id="21"/>
    </w:p>
    <w:p w:rsidR="007827EC" w:rsidRPr="00BF148D" w:rsidRDefault="007827EC" w:rsidP="00032165">
      <w:pPr>
        <w:pStyle w:val="3-BodyText"/>
      </w:pPr>
      <w:r w:rsidRPr="00BF148D">
        <w:rPr>
          <w:snapToGrid/>
        </w:rPr>
        <w:t>The submission was based on four direct randomised trials</w:t>
      </w:r>
      <w:r w:rsidR="002D16D7" w:rsidRPr="00BF148D">
        <w:rPr>
          <w:snapToGrid/>
        </w:rPr>
        <w:t xml:space="preserve"> (</w:t>
      </w:r>
      <w:r w:rsidR="00580552" w:rsidRPr="00BF148D">
        <w:rPr>
          <w:snapToGrid/>
        </w:rPr>
        <w:t xml:space="preserve">Table </w:t>
      </w:r>
      <w:r w:rsidR="009521B8" w:rsidRPr="00BF148D">
        <w:rPr>
          <w:snapToGrid/>
        </w:rPr>
        <w:t>3</w:t>
      </w:r>
      <w:r w:rsidR="002D16D7" w:rsidRPr="00BF148D">
        <w:rPr>
          <w:snapToGrid/>
        </w:rPr>
        <w:t>)</w:t>
      </w:r>
      <w:r w:rsidRPr="00BF148D">
        <w:rPr>
          <w:snapToGrid/>
        </w:rPr>
        <w:t xml:space="preserve">. Two direct </w:t>
      </w:r>
      <w:r w:rsidR="00FD2776" w:rsidRPr="00BF148D">
        <w:rPr>
          <w:snapToGrid/>
        </w:rPr>
        <w:t xml:space="preserve">randomised </w:t>
      </w:r>
      <w:r w:rsidRPr="00BF148D">
        <w:rPr>
          <w:snapToGrid/>
        </w:rPr>
        <w:t>trials (GWPCARE2 (n=198) and GWPCARE1 Part B (n=120)) compared cannabidiol (</w:t>
      </w:r>
      <w:r w:rsidR="008A49AD" w:rsidRPr="00BF148D">
        <w:rPr>
          <w:snapToGrid/>
        </w:rPr>
        <w:t>plus</w:t>
      </w:r>
      <w:r w:rsidR="00421276" w:rsidRPr="00BF148D">
        <w:rPr>
          <w:snapToGrid/>
        </w:rPr>
        <w:t xml:space="preserve"> standard care</w:t>
      </w:r>
      <w:r w:rsidRPr="00BF148D">
        <w:rPr>
          <w:snapToGrid/>
        </w:rPr>
        <w:t xml:space="preserve">) to placebo </w:t>
      </w:r>
      <w:r w:rsidR="00F579CD" w:rsidRPr="00BF148D">
        <w:rPr>
          <w:snapToGrid/>
        </w:rPr>
        <w:t>(</w:t>
      </w:r>
      <w:r w:rsidR="008A49AD" w:rsidRPr="00BF148D">
        <w:rPr>
          <w:snapToGrid/>
        </w:rPr>
        <w:t>plus</w:t>
      </w:r>
      <w:r w:rsidR="00F579CD" w:rsidRPr="00BF148D">
        <w:rPr>
          <w:snapToGrid/>
        </w:rPr>
        <w:t xml:space="preserve"> standard care) </w:t>
      </w:r>
      <w:r w:rsidRPr="00BF148D">
        <w:rPr>
          <w:snapToGrid/>
        </w:rPr>
        <w:t xml:space="preserve">in patients with DS and two direct </w:t>
      </w:r>
      <w:r w:rsidR="00ED5478" w:rsidRPr="00BF148D">
        <w:rPr>
          <w:snapToGrid/>
        </w:rPr>
        <w:t xml:space="preserve">randomised </w:t>
      </w:r>
      <w:r w:rsidRPr="00BF148D">
        <w:rPr>
          <w:snapToGrid/>
        </w:rPr>
        <w:t>trials (GWPCARE3 (n=225) and GWPCARE4 (n=171)) compared cannabidiol (</w:t>
      </w:r>
      <w:r w:rsidR="008A49AD" w:rsidRPr="00BF148D">
        <w:rPr>
          <w:snapToGrid/>
        </w:rPr>
        <w:t>plus</w:t>
      </w:r>
      <w:r w:rsidR="00F579CD" w:rsidRPr="00BF148D">
        <w:rPr>
          <w:snapToGrid/>
        </w:rPr>
        <w:t xml:space="preserve"> standard care</w:t>
      </w:r>
      <w:r w:rsidRPr="00BF148D">
        <w:rPr>
          <w:snapToGrid/>
        </w:rPr>
        <w:t xml:space="preserve">) to placebo </w:t>
      </w:r>
      <w:r w:rsidR="00F579CD" w:rsidRPr="00BF148D">
        <w:rPr>
          <w:snapToGrid/>
        </w:rPr>
        <w:t>(</w:t>
      </w:r>
      <w:r w:rsidR="008A49AD" w:rsidRPr="00BF148D">
        <w:rPr>
          <w:snapToGrid/>
        </w:rPr>
        <w:t>plus</w:t>
      </w:r>
      <w:r w:rsidR="00F579CD" w:rsidRPr="00BF148D">
        <w:rPr>
          <w:snapToGrid/>
        </w:rPr>
        <w:t xml:space="preserve"> standard care) </w:t>
      </w:r>
      <w:r w:rsidRPr="00BF148D">
        <w:rPr>
          <w:snapToGrid/>
        </w:rPr>
        <w:t xml:space="preserve">in patients with LGS. </w:t>
      </w:r>
      <w:r w:rsidR="00F579CD" w:rsidRPr="00BF148D">
        <w:rPr>
          <w:snapToGrid/>
        </w:rPr>
        <w:t xml:space="preserve">Standard care in all trials was continuation of existing </w:t>
      </w:r>
      <w:r w:rsidR="002D16D7" w:rsidRPr="00BF148D">
        <w:rPr>
          <w:snapToGrid/>
        </w:rPr>
        <w:t xml:space="preserve">stable </w:t>
      </w:r>
      <w:r w:rsidR="00F579CD" w:rsidRPr="00BF148D">
        <w:rPr>
          <w:snapToGrid/>
        </w:rPr>
        <w:t>AED regimens, with no dose adjustments.</w:t>
      </w:r>
      <w:r w:rsidR="00032165" w:rsidRPr="00BF148D">
        <w:rPr>
          <w:snapToGrid/>
        </w:rPr>
        <w:t xml:space="preserve"> The ESC noted that adjustments to existing AEDs were permitted </w:t>
      </w:r>
      <w:r w:rsidR="00205D7F" w:rsidRPr="00BF148D">
        <w:rPr>
          <w:snapToGrid/>
        </w:rPr>
        <w:t xml:space="preserve">if </w:t>
      </w:r>
      <w:r w:rsidR="00EB122C" w:rsidRPr="00BF148D">
        <w:rPr>
          <w:snapToGrid/>
        </w:rPr>
        <w:t>cannabidiol</w:t>
      </w:r>
      <w:r w:rsidR="00205D7F" w:rsidRPr="00BF148D">
        <w:rPr>
          <w:snapToGrid/>
        </w:rPr>
        <w:t xml:space="preserve"> was found to impact on the </w:t>
      </w:r>
      <w:r w:rsidR="00032165" w:rsidRPr="00BF148D">
        <w:rPr>
          <w:snapToGrid/>
        </w:rPr>
        <w:t xml:space="preserve">plasma levels of </w:t>
      </w:r>
      <w:r w:rsidR="00205D7F" w:rsidRPr="00BF148D">
        <w:rPr>
          <w:snapToGrid/>
        </w:rPr>
        <w:t xml:space="preserve">existing </w:t>
      </w:r>
      <w:r w:rsidR="00032165" w:rsidRPr="00BF148D">
        <w:rPr>
          <w:snapToGrid/>
        </w:rPr>
        <w:t>AEDs.</w:t>
      </w:r>
      <w:r w:rsidR="00EB62D6" w:rsidRPr="00BF148D">
        <w:rPr>
          <w:snapToGrid/>
        </w:rPr>
        <w:t xml:space="preserve"> </w:t>
      </w:r>
    </w:p>
    <w:p w:rsidR="007827EC" w:rsidRPr="00BF148D" w:rsidRDefault="007827EC" w:rsidP="00224858">
      <w:pPr>
        <w:pStyle w:val="3-BodyText"/>
      </w:pPr>
      <w:r w:rsidRPr="00BF148D">
        <w:rPr>
          <w:snapToGrid/>
        </w:rPr>
        <w:t>The submission designated GWPCARE2 and GWPCARE3 as key trials, and GWPCARE1 Part B and GWPCARE4 to be supplementary trials, given that only th</w:t>
      </w:r>
      <w:r w:rsidR="00995A0B" w:rsidRPr="00BF148D">
        <w:rPr>
          <w:snapToGrid/>
        </w:rPr>
        <w:t>e key trials randomis</w:t>
      </w:r>
      <w:r w:rsidRPr="00BF148D">
        <w:rPr>
          <w:snapToGrid/>
        </w:rPr>
        <w:t>ed patients to the proposed maintenance dose of cannabidiol of 10 mg/kg/day</w:t>
      </w:r>
      <w:r w:rsidR="00F579CD" w:rsidRPr="00BF148D">
        <w:rPr>
          <w:snapToGrid/>
        </w:rPr>
        <w:t>, with others randomising to 20 mg/kg/day</w:t>
      </w:r>
      <w:r w:rsidRPr="00BF148D">
        <w:rPr>
          <w:snapToGrid/>
        </w:rPr>
        <w:t xml:space="preserve">. </w:t>
      </w:r>
      <w:r w:rsidR="00F579CD" w:rsidRPr="00BF148D">
        <w:rPr>
          <w:snapToGrid/>
        </w:rPr>
        <w:t xml:space="preserve">As the maximum </w:t>
      </w:r>
      <w:r w:rsidR="00F579CD" w:rsidRPr="00BF148D">
        <w:rPr>
          <w:snapToGrid/>
        </w:rPr>
        <w:lastRenderedPageBreak/>
        <w:t xml:space="preserve">recommended dose of cannabidiol in the draft PI is 10 mg/kg twice daily (20 mg/kg/day), all trials were considered relevant in the </w:t>
      </w:r>
      <w:r w:rsidR="00BA62F8" w:rsidRPr="00BF148D">
        <w:rPr>
          <w:snapToGrid/>
        </w:rPr>
        <w:t>evaluation</w:t>
      </w:r>
      <w:r w:rsidR="00F579CD" w:rsidRPr="00BF148D">
        <w:rPr>
          <w:snapToGrid/>
        </w:rPr>
        <w:t>.</w:t>
      </w:r>
    </w:p>
    <w:p w:rsidR="00E459DE" w:rsidRPr="00BF148D" w:rsidRDefault="007827EC" w:rsidP="00224858">
      <w:pPr>
        <w:pStyle w:val="3-BodyText"/>
      </w:pPr>
      <w:r w:rsidRPr="00BF148D">
        <w:rPr>
          <w:snapToGrid/>
        </w:rPr>
        <w:t>The submission also presented safety data from an open-label extension study (for patients enrolled in these four direct randomised trials), GWPCARE5.</w:t>
      </w:r>
    </w:p>
    <w:p w:rsidR="007827EC" w:rsidRPr="00BF148D" w:rsidRDefault="000E3C55" w:rsidP="00224858">
      <w:pPr>
        <w:pStyle w:val="TableFigureHeading"/>
        <w:rPr>
          <w:rStyle w:val="CommentReference"/>
          <w:b/>
          <w:szCs w:val="24"/>
        </w:rPr>
      </w:pPr>
      <w:bookmarkStart w:id="22" w:name="_Ref39464041"/>
      <w:r w:rsidRPr="00BF148D">
        <w:rPr>
          <w:rStyle w:val="CommentReference"/>
          <w:b/>
          <w:szCs w:val="24"/>
        </w:rPr>
        <w:t xml:space="preserve">Table </w:t>
      </w:r>
      <w:bookmarkEnd w:id="22"/>
      <w:r w:rsidR="00580552" w:rsidRPr="00BF148D">
        <w:rPr>
          <w:rStyle w:val="CommentReference"/>
          <w:b/>
          <w:szCs w:val="24"/>
        </w:rPr>
        <w:t>2</w:t>
      </w:r>
      <w:r w:rsidR="007827EC" w:rsidRPr="00BF148D">
        <w:rPr>
          <w:rStyle w:val="CommentReference"/>
          <w:b/>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827EC" w:rsidRPr="00BF148D" w:rsidTr="006B25BF">
        <w:trPr>
          <w:tblHeader/>
        </w:trPr>
        <w:tc>
          <w:tcPr>
            <w:tcW w:w="796" w:type="pct"/>
            <w:vAlign w:val="center"/>
          </w:tcPr>
          <w:p w:rsidR="007827EC" w:rsidRPr="00BF148D" w:rsidRDefault="007827EC" w:rsidP="00224858">
            <w:pPr>
              <w:pStyle w:val="In-tableHeading"/>
              <w:rPr>
                <w:lang w:val="en-AU"/>
              </w:rPr>
            </w:pPr>
            <w:r w:rsidRPr="00BF148D">
              <w:rPr>
                <w:lang w:val="en-AU"/>
              </w:rPr>
              <w:t>Trial ID</w:t>
            </w:r>
          </w:p>
        </w:tc>
        <w:tc>
          <w:tcPr>
            <w:tcW w:w="3027" w:type="pct"/>
            <w:vAlign w:val="center"/>
          </w:tcPr>
          <w:p w:rsidR="007827EC" w:rsidRPr="00BF148D" w:rsidRDefault="007827EC" w:rsidP="00224858">
            <w:pPr>
              <w:pStyle w:val="In-tableHeading"/>
              <w:rPr>
                <w:lang w:val="en-AU"/>
              </w:rPr>
            </w:pPr>
            <w:r w:rsidRPr="00BF148D">
              <w:rPr>
                <w:lang w:val="en-AU"/>
              </w:rPr>
              <w:t>Protocol title/ Publication title</w:t>
            </w:r>
          </w:p>
        </w:tc>
        <w:tc>
          <w:tcPr>
            <w:tcW w:w="1177" w:type="pct"/>
            <w:vAlign w:val="center"/>
          </w:tcPr>
          <w:p w:rsidR="007827EC" w:rsidRPr="00BF148D" w:rsidRDefault="007827EC" w:rsidP="00224858">
            <w:pPr>
              <w:pStyle w:val="In-tableHeading"/>
              <w:rPr>
                <w:lang w:val="en-AU"/>
              </w:rPr>
            </w:pPr>
            <w:r w:rsidRPr="00BF148D">
              <w:rPr>
                <w:lang w:val="en-AU"/>
              </w:rPr>
              <w:t>Publication citation</w:t>
            </w:r>
          </w:p>
        </w:tc>
      </w:tr>
      <w:tr w:rsidR="00F579CD" w:rsidRPr="00BF148D" w:rsidTr="006804EA">
        <w:tc>
          <w:tcPr>
            <w:tcW w:w="796" w:type="pct"/>
            <w:vMerge w:val="restart"/>
            <w:vAlign w:val="center"/>
          </w:tcPr>
          <w:p w:rsidR="00F579CD" w:rsidRPr="00BF148D" w:rsidRDefault="00F579CD" w:rsidP="00224858">
            <w:pPr>
              <w:pStyle w:val="TableText0"/>
            </w:pPr>
            <w:r w:rsidRPr="00BF148D">
              <w:t>GWPCARE2</w:t>
            </w:r>
          </w:p>
        </w:tc>
        <w:tc>
          <w:tcPr>
            <w:tcW w:w="3027" w:type="pct"/>
            <w:tcBorders>
              <w:bottom w:val="nil"/>
            </w:tcBorders>
            <w:vAlign w:val="center"/>
          </w:tcPr>
          <w:p w:rsidR="00F579CD" w:rsidRPr="00BF148D" w:rsidRDefault="00F579CD" w:rsidP="00224858">
            <w:pPr>
              <w:pStyle w:val="TableText0"/>
              <w:rPr>
                <w:szCs w:val="18"/>
              </w:rPr>
            </w:pPr>
            <w:r w:rsidRPr="00BF148D">
              <w:rPr>
                <w:szCs w:val="18"/>
              </w:rPr>
              <w:t>A randomised, double-blind, placebo-controlled study to investigate the efficacy and safety of cannabidiol (GWP42003-P) in children and young adults with Dravet syndrome. NCT02224703</w:t>
            </w:r>
          </w:p>
        </w:tc>
        <w:tc>
          <w:tcPr>
            <w:tcW w:w="1177" w:type="pct"/>
            <w:tcBorders>
              <w:bottom w:val="nil"/>
            </w:tcBorders>
            <w:vAlign w:val="center"/>
          </w:tcPr>
          <w:p w:rsidR="00F579CD" w:rsidRPr="00BF148D" w:rsidRDefault="00F579CD" w:rsidP="00224858">
            <w:pPr>
              <w:pStyle w:val="TableText0"/>
            </w:pPr>
            <w:r w:rsidRPr="00BF148D">
              <w:t>12 December 2018; Amendment 1 15 March 2019</w:t>
            </w:r>
          </w:p>
        </w:tc>
      </w:tr>
      <w:tr w:rsidR="00F579CD" w:rsidRPr="00BF148D" w:rsidTr="0041421F">
        <w:tc>
          <w:tcPr>
            <w:tcW w:w="796" w:type="pct"/>
            <w:vMerge/>
            <w:tcBorders>
              <w:bottom w:val="nil"/>
            </w:tcBorders>
            <w:vAlign w:val="center"/>
          </w:tcPr>
          <w:p w:rsidR="00F579CD" w:rsidRPr="00BF148D" w:rsidRDefault="00F579CD" w:rsidP="00224858">
            <w:pPr>
              <w:pStyle w:val="TableText0"/>
            </w:pPr>
          </w:p>
        </w:tc>
        <w:tc>
          <w:tcPr>
            <w:tcW w:w="3027" w:type="pct"/>
            <w:tcBorders>
              <w:top w:val="nil"/>
              <w:bottom w:val="nil"/>
            </w:tcBorders>
            <w:vAlign w:val="center"/>
          </w:tcPr>
          <w:p w:rsidR="00F579CD" w:rsidRPr="00BF148D" w:rsidRDefault="00F579CD" w:rsidP="00224858">
            <w:pPr>
              <w:pStyle w:val="TableText0"/>
              <w:rPr>
                <w:szCs w:val="18"/>
              </w:rPr>
            </w:pPr>
            <w:r w:rsidRPr="00BF148D">
              <w:rPr>
                <w:szCs w:val="18"/>
              </w:rPr>
              <w:t>Miller I, Scheffer IE, Gunning B, et al. Dose-Ranging Effect of Adjunctive Oral Cannabidiol vs Placebo on Convulsive Seizure Frequency in Dravet Syndrome: A Randomized Clinical Trial</w:t>
            </w:r>
          </w:p>
        </w:tc>
        <w:tc>
          <w:tcPr>
            <w:tcW w:w="1177" w:type="pct"/>
            <w:tcBorders>
              <w:top w:val="nil"/>
              <w:bottom w:val="nil"/>
            </w:tcBorders>
          </w:tcPr>
          <w:p w:rsidR="00F579CD" w:rsidRPr="00BF148D" w:rsidRDefault="00F579CD" w:rsidP="00224858">
            <w:pPr>
              <w:pStyle w:val="TableText0"/>
            </w:pPr>
            <w:r w:rsidRPr="00BF148D">
              <w:rPr>
                <w:i/>
              </w:rPr>
              <w:t>JAMA Neurol</w:t>
            </w:r>
            <w:r w:rsidR="00A23C74" w:rsidRPr="00BF148D">
              <w:t>. 2020 Mar 2</w:t>
            </w:r>
            <w:r w:rsidRPr="00BF148D">
              <w:t>: e200073.</w:t>
            </w:r>
          </w:p>
        </w:tc>
      </w:tr>
      <w:tr w:rsidR="00F579CD" w:rsidRPr="00BF148D" w:rsidTr="005947E5">
        <w:trPr>
          <w:trHeight w:val="912"/>
        </w:trPr>
        <w:tc>
          <w:tcPr>
            <w:tcW w:w="796" w:type="pct"/>
            <w:vMerge w:val="restart"/>
            <w:vAlign w:val="center"/>
          </w:tcPr>
          <w:p w:rsidR="00F579CD" w:rsidRPr="00BF148D" w:rsidRDefault="00F579CD" w:rsidP="00224858">
            <w:pPr>
              <w:pStyle w:val="TableText0"/>
            </w:pPr>
            <w:r w:rsidRPr="00BF148D">
              <w:t>GWPCARE1 Part B</w:t>
            </w:r>
          </w:p>
        </w:tc>
        <w:tc>
          <w:tcPr>
            <w:tcW w:w="3027" w:type="pct"/>
            <w:tcBorders>
              <w:bottom w:val="nil"/>
            </w:tcBorders>
            <w:vAlign w:val="center"/>
          </w:tcPr>
          <w:p w:rsidR="00F579CD" w:rsidRPr="00BF148D" w:rsidRDefault="00F579CD" w:rsidP="00224858">
            <w:pPr>
              <w:pStyle w:val="TableText0"/>
            </w:pPr>
            <w:r w:rsidRPr="00BF148D">
              <w:t>A double-blind, placebo-controlled, two-part study to investigate the dose-ranging safety and pharmacokinetics, followed by the efficacy and safety of cannabidiol (GWP42003-P) in children and young adults with Dravet syndrome. NCT02091375</w:t>
            </w:r>
          </w:p>
        </w:tc>
        <w:tc>
          <w:tcPr>
            <w:tcW w:w="1177" w:type="pct"/>
            <w:tcBorders>
              <w:bottom w:val="nil"/>
            </w:tcBorders>
            <w:vAlign w:val="center"/>
          </w:tcPr>
          <w:p w:rsidR="00F579CD" w:rsidRPr="00BF148D" w:rsidRDefault="00F579CD" w:rsidP="00224858">
            <w:pPr>
              <w:pStyle w:val="TableText0"/>
            </w:pPr>
            <w:r w:rsidRPr="00BF148D">
              <w:t>11 November 2016</w:t>
            </w:r>
          </w:p>
        </w:tc>
      </w:tr>
      <w:tr w:rsidR="00F579CD" w:rsidRPr="00BF148D" w:rsidTr="006B25BF">
        <w:tc>
          <w:tcPr>
            <w:tcW w:w="796" w:type="pct"/>
            <w:vMerge/>
            <w:tcBorders>
              <w:bottom w:val="nil"/>
            </w:tcBorders>
            <w:vAlign w:val="center"/>
          </w:tcPr>
          <w:p w:rsidR="00F579CD" w:rsidRPr="00BF148D" w:rsidRDefault="00F579CD" w:rsidP="00224858">
            <w:pPr>
              <w:pStyle w:val="TableText0"/>
            </w:pPr>
          </w:p>
        </w:tc>
        <w:tc>
          <w:tcPr>
            <w:tcW w:w="3027" w:type="pct"/>
            <w:tcBorders>
              <w:top w:val="nil"/>
              <w:bottom w:val="single" w:sz="4" w:space="0" w:color="auto"/>
            </w:tcBorders>
            <w:vAlign w:val="center"/>
          </w:tcPr>
          <w:p w:rsidR="00F579CD" w:rsidRPr="00BF148D" w:rsidRDefault="00F579CD" w:rsidP="00224858">
            <w:pPr>
              <w:pStyle w:val="TableText0"/>
              <w:rPr>
                <w:szCs w:val="18"/>
              </w:rPr>
            </w:pPr>
            <w:r w:rsidRPr="00BF148D">
              <w:rPr>
                <w:rFonts w:cs="Segoe UI"/>
              </w:rPr>
              <w:t xml:space="preserve">Devinsky, O., et al. </w:t>
            </w:r>
            <w:r w:rsidRPr="00BF148D">
              <w:rPr>
                <w:rFonts w:cs="Arial"/>
              </w:rPr>
              <w:t>Trial of cannabidiol for drug-resistant seizures in the Dravet Syndrome.</w:t>
            </w:r>
          </w:p>
        </w:tc>
        <w:tc>
          <w:tcPr>
            <w:tcW w:w="1177" w:type="pct"/>
            <w:tcBorders>
              <w:top w:val="nil"/>
              <w:bottom w:val="single" w:sz="4" w:space="0" w:color="auto"/>
            </w:tcBorders>
            <w:vAlign w:val="center"/>
          </w:tcPr>
          <w:p w:rsidR="00F579CD" w:rsidRPr="00BF148D" w:rsidRDefault="00F579CD" w:rsidP="00224858">
            <w:pPr>
              <w:pStyle w:val="TableText0"/>
              <w:rPr>
                <w:i/>
              </w:rPr>
            </w:pPr>
            <w:r w:rsidRPr="00BF148D">
              <w:rPr>
                <w:i/>
              </w:rPr>
              <w:t xml:space="preserve">NEJM </w:t>
            </w:r>
            <w:r w:rsidRPr="00BF148D">
              <w:t>2017: 376(21): 2011-2020</w:t>
            </w:r>
          </w:p>
        </w:tc>
      </w:tr>
      <w:tr w:rsidR="00F579CD" w:rsidRPr="00BF148D" w:rsidTr="006B25BF">
        <w:tc>
          <w:tcPr>
            <w:tcW w:w="796" w:type="pct"/>
            <w:vMerge w:val="restart"/>
            <w:tcBorders>
              <w:top w:val="single" w:sz="4" w:space="0" w:color="auto"/>
            </w:tcBorders>
            <w:vAlign w:val="center"/>
          </w:tcPr>
          <w:p w:rsidR="00F579CD" w:rsidRPr="00BF148D" w:rsidRDefault="00F579CD" w:rsidP="00224858">
            <w:pPr>
              <w:pStyle w:val="TableText0"/>
            </w:pPr>
            <w:r w:rsidRPr="00BF148D">
              <w:t>GWPCARE3</w:t>
            </w:r>
          </w:p>
        </w:tc>
        <w:tc>
          <w:tcPr>
            <w:tcW w:w="3027" w:type="pct"/>
            <w:tcBorders>
              <w:top w:val="single" w:sz="4" w:space="0" w:color="auto"/>
              <w:bottom w:val="nil"/>
            </w:tcBorders>
          </w:tcPr>
          <w:p w:rsidR="00F579CD" w:rsidRPr="00BF148D" w:rsidRDefault="00F579CD" w:rsidP="00224858">
            <w:pPr>
              <w:pStyle w:val="TableText0"/>
            </w:pPr>
            <w:r w:rsidRPr="00BF148D">
              <w:t>A randomised, double-blind, placebo-controlled study to investigate the efficacy and safety of cannabidiol (GWP42003-P) as adjunctive treatment for seizures associated with Lennox-Gastaut syndrome in children and adults. NCT02224560</w:t>
            </w:r>
          </w:p>
        </w:tc>
        <w:tc>
          <w:tcPr>
            <w:tcW w:w="1177" w:type="pct"/>
            <w:tcBorders>
              <w:top w:val="single" w:sz="4" w:space="0" w:color="auto"/>
              <w:bottom w:val="nil"/>
            </w:tcBorders>
          </w:tcPr>
          <w:p w:rsidR="00F579CD" w:rsidRPr="00BF148D" w:rsidRDefault="00F579CD" w:rsidP="00224858">
            <w:pPr>
              <w:pStyle w:val="TableText0"/>
            </w:pPr>
            <w:r w:rsidRPr="00BF148D">
              <w:t>19 July 2017</w:t>
            </w:r>
          </w:p>
        </w:tc>
      </w:tr>
      <w:tr w:rsidR="00F579CD" w:rsidRPr="00BF148D" w:rsidTr="006B25BF">
        <w:tc>
          <w:tcPr>
            <w:tcW w:w="796" w:type="pct"/>
            <w:vMerge/>
            <w:tcBorders>
              <w:bottom w:val="single" w:sz="4" w:space="0" w:color="auto"/>
            </w:tcBorders>
            <w:vAlign w:val="center"/>
          </w:tcPr>
          <w:p w:rsidR="00F579CD" w:rsidRPr="00BF148D" w:rsidRDefault="00F579CD" w:rsidP="00224858">
            <w:pPr>
              <w:pStyle w:val="TableText0"/>
            </w:pPr>
          </w:p>
        </w:tc>
        <w:tc>
          <w:tcPr>
            <w:tcW w:w="3027" w:type="pct"/>
            <w:tcBorders>
              <w:top w:val="nil"/>
              <w:bottom w:val="single" w:sz="4" w:space="0" w:color="auto"/>
            </w:tcBorders>
            <w:vAlign w:val="center"/>
          </w:tcPr>
          <w:p w:rsidR="00F579CD" w:rsidRPr="00BF148D" w:rsidRDefault="00F579CD" w:rsidP="00224858">
            <w:pPr>
              <w:pStyle w:val="TableText0"/>
              <w:rPr>
                <w:szCs w:val="18"/>
              </w:rPr>
            </w:pPr>
            <w:r w:rsidRPr="00BF148D">
              <w:rPr>
                <w:rFonts w:cs="Segoe UI"/>
              </w:rPr>
              <w:t xml:space="preserve">Devinsky O et al. </w:t>
            </w:r>
            <w:r w:rsidRPr="00BF148D">
              <w:rPr>
                <w:rFonts w:cs="Arial"/>
              </w:rPr>
              <w:t>Effect of cannabidiol on drop seizures in the Lennox-Gastaut syndrome.</w:t>
            </w:r>
          </w:p>
        </w:tc>
        <w:tc>
          <w:tcPr>
            <w:tcW w:w="1177" w:type="pct"/>
            <w:tcBorders>
              <w:top w:val="nil"/>
              <w:bottom w:val="single" w:sz="4" w:space="0" w:color="auto"/>
            </w:tcBorders>
            <w:vAlign w:val="center"/>
          </w:tcPr>
          <w:p w:rsidR="00F579CD" w:rsidRPr="00BF148D" w:rsidRDefault="00F579CD" w:rsidP="00224858">
            <w:pPr>
              <w:pStyle w:val="TableText0"/>
            </w:pPr>
            <w:r w:rsidRPr="00BF148D">
              <w:rPr>
                <w:i/>
              </w:rPr>
              <w:t>NEJM</w:t>
            </w:r>
            <w:r w:rsidRPr="00BF148D">
              <w:t xml:space="preserve"> 2018: 378(20):1888-1897</w:t>
            </w:r>
          </w:p>
        </w:tc>
      </w:tr>
      <w:tr w:rsidR="00F579CD" w:rsidRPr="00BF148D" w:rsidTr="006B25BF">
        <w:tc>
          <w:tcPr>
            <w:tcW w:w="796" w:type="pct"/>
            <w:vMerge w:val="restart"/>
            <w:tcBorders>
              <w:top w:val="single" w:sz="4" w:space="0" w:color="auto"/>
            </w:tcBorders>
            <w:vAlign w:val="center"/>
          </w:tcPr>
          <w:p w:rsidR="00F579CD" w:rsidRPr="00BF148D" w:rsidRDefault="00F579CD" w:rsidP="00224858">
            <w:pPr>
              <w:pStyle w:val="TableText0"/>
            </w:pPr>
            <w:r w:rsidRPr="00BF148D">
              <w:t>GWPCARE4</w:t>
            </w:r>
          </w:p>
        </w:tc>
        <w:tc>
          <w:tcPr>
            <w:tcW w:w="3027" w:type="pct"/>
            <w:tcBorders>
              <w:top w:val="single" w:sz="4" w:space="0" w:color="auto"/>
              <w:bottom w:val="nil"/>
            </w:tcBorders>
            <w:vAlign w:val="center"/>
          </w:tcPr>
          <w:p w:rsidR="00F579CD" w:rsidRPr="00BF148D" w:rsidRDefault="00F579CD" w:rsidP="00224858">
            <w:pPr>
              <w:pStyle w:val="TableText0"/>
              <w:rPr>
                <w:rFonts w:cs="Segoe UI"/>
              </w:rPr>
            </w:pPr>
            <w:r w:rsidRPr="00BF148D">
              <w:rPr>
                <w:rFonts w:cs="Arial"/>
              </w:rPr>
              <w:t>A randomised, double-blind, placebo-controlled study to investigate the efficacy and safety of cannabidiol (GWP42003-P; CBD) as adjunctive treatment for seizures associated with Lennox-Gastaut syndrome in children and adults. NCT02224690</w:t>
            </w:r>
          </w:p>
        </w:tc>
        <w:tc>
          <w:tcPr>
            <w:tcW w:w="1177" w:type="pct"/>
            <w:tcBorders>
              <w:top w:val="single" w:sz="4" w:space="0" w:color="auto"/>
              <w:bottom w:val="nil"/>
            </w:tcBorders>
            <w:vAlign w:val="center"/>
          </w:tcPr>
          <w:p w:rsidR="00F579CD" w:rsidRPr="00BF148D" w:rsidRDefault="00F579CD" w:rsidP="00224858">
            <w:pPr>
              <w:pStyle w:val="TableText0"/>
              <w:rPr>
                <w:rFonts w:cs="Arial"/>
              </w:rPr>
            </w:pPr>
            <w:r w:rsidRPr="00BF148D">
              <w:rPr>
                <w:rFonts w:cs="Arial"/>
              </w:rPr>
              <w:t>24 February 2017; Addendum 3 13 December 2018</w:t>
            </w:r>
          </w:p>
        </w:tc>
      </w:tr>
      <w:tr w:rsidR="00F579CD" w:rsidRPr="00BF148D" w:rsidTr="006B25BF">
        <w:tc>
          <w:tcPr>
            <w:tcW w:w="796" w:type="pct"/>
            <w:vMerge/>
            <w:tcBorders>
              <w:bottom w:val="single" w:sz="4" w:space="0" w:color="auto"/>
            </w:tcBorders>
            <w:vAlign w:val="center"/>
          </w:tcPr>
          <w:p w:rsidR="00F579CD" w:rsidRPr="00BF148D" w:rsidRDefault="00F579CD" w:rsidP="00224858">
            <w:pPr>
              <w:pStyle w:val="TableText0"/>
            </w:pPr>
          </w:p>
        </w:tc>
        <w:tc>
          <w:tcPr>
            <w:tcW w:w="3027" w:type="pct"/>
            <w:tcBorders>
              <w:top w:val="nil"/>
              <w:bottom w:val="single" w:sz="4" w:space="0" w:color="auto"/>
            </w:tcBorders>
            <w:vAlign w:val="center"/>
          </w:tcPr>
          <w:p w:rsidR="00F579CD" w:rsidRPr="00BF148D" w:rsidRDefault="00F579CD" w:rsidP="00224858">
            <w:pPr>
              <w:pStyle w:val="TableText0"/>
              <w:rPr>
                <w:szCs w:val="18"/>
              </w:rPr>
            </w:pPr>
            <w:r w:rsidRPr="00BF148D">
              <w:rPr>
                <w:rFonts w:cs="Segoe UI"/>
              </w:rPr>
              <w:t xml:space="preserve">Theile EA et al. </w:t>
            </w:r>
            <w:r w:rsidRPr="00BF148D">
              <w:rPr>
                <w:rFonts w:cs="Arial"/>
              </w:rPr>
              <w:t>Cannabidiol in patients with seizures associated with Lennox-Gastaut syndrome (GWPCARE4): a randomised, double-blind, placebo-controlled phase 3 trial.</w:t>
            </w:r>
          </w:p>
        </w:tc>
        <w:tc>
          <w:tcPr>
            <w:tcW w:w="1177" w:type="pct"/>
            <w:tcBorders>
              <w:top w:val="nil"/>
              <w:bottom w:val="single" w:sz="4" w:space="0" w:color="auto"/>
            </w:tcBorders>
            <w:vAlign w:val="center"/>
          </w:tcPr>
          <w:p w:rsidR="00F579CD" w:rsidRPr="00BF148D" w:rsidRDefault="00F579CD" w:rsidP="00224858">
            <w:pPr>
              <w:pStyle w:val="TableText0"/>
              <w:rPr>
                <w:i/>
                <w:szCs w:val="18"/>
              </w:rPr>
            </w:pPr>
            <w:r w:rsidRPr="00BF148D">
              <w:rPr>
                <w:rFonts w:cs="Arial"/>
                <w:i/>
              </w:rPr>
              <w:t>The Lancet</w:t>
            </w:r>
            <w:r w:rsidR="00EB62D6" w:rsidRPr="00BF148D">
              <w:rPr>
                <w:rFonts w:cs="Arial"/>
              </w:rPr>
              <w:t xml:space="preserve"> </w:t>
            </w:r>
            <w:r w:rsidRPr="00BF148D">
              <w:rPr>
                <w:rFonts w:cs="Arial"/>
              </w:rPr>
              <w:t>2018: 391(10125): 1085-1096</w:t>
            </w:r>
          </w:p>
        </w:tc>
      </w:tr>
      <w:tr w:rsidR="00F579CD" w:rsidRPr="00BF148D" w:rsidTr="005947E5">
        <w:tc>
          <w:tcPr>
            <w:tcW w:w="796" w:type="pct"/>
            <w:vMerge w:val="restart"/>
            <w:vAlign w:val="center"/>
          </w:tcPr>
          <w:p w:rsidR="00F579CD" w:rsidRPr="00BF148D" w:rsidRDefault="00F579CD" w:rsidP="00224858">
            <w:pPr>
              <w:pStyle w:val="TableText0"/>
            </w:pPr>
            <w:r w:rsidRPr="00BF148D">
              <w:t>GWPCARE5</w:t>
            </w:r>
          </w:p>
        </w:tc>
        <w:tc>
          <w:tcPr>
            <w:tcW w:w="3027" w:type="pct"/>
            <w:tcBorders>
              <w:top w:val="single" w:sz="4" w:space="0" w:color="auto"/>
              <w:left w:val="single" w:sz="4" w:space="0" w:color="auto"/>
              <w:bottom w:val="nil"/>
              <w:right w:val="single" w:sz="4" w:space="0" w:color="auto"/>
            </w:tcBorders>
            <w:vAlign w:val="center"/>
          </w:tcPr>
          <w:p w:rsidR="00F579CD" w:rsidRPr="00BF148D" w:rsidRDefault="00F579CD" w:rsidP="00224858">
            <w:pPr>
              <w:pStyle w:val="TableText0"/>
            </w:pPr>
            <w:r w:rsidRPr="00BF148D">
              <w:rPr>
                <w:rFonts w:cs="Arial"/>
              </w:rPr>
              <w:t>An open label extension study to investigate the safety of cannabidiol (GWP42003-P; CBD) in children and young adults with inadequately controlled Dravet or Lennox-Gastaut Syndromes</w:t>
            </w:r>
            <w:r w:rsidRPr="00BF148D">
              <w:rPr>
                <w:rFonts w:ascii="Helvetica" w:hAnsi="Helvetica" w:cs="Helvetica"/>
                <w:color w:val="000000"/>
                <w:sz w:val="23"/>
                <w:szCs w:val="23"/>
                <w:shd w:val="clear" w:color="auto" w:fill="FFFFFF"/>
              </w:rPr>
              <w:t>.</w:t>
            </w:r>
            <w:r w:rsidRPr="00BF148D">
              <w:t>NCT02224573</w:t>
            </w:r>
          </w:p>
        </w:tc>
        <w:tc>
          <w:tcPr>
            <w:tcW w:w="1177" w:type="pct"/>
            <w:tcBorders>
              <w:top w:val="single" w:sz="4" w:space="0" w:color="auto"/>
              <w:left w:val="single" w:sz="4" w:space="0" w:color="auto"/>
              <w:bottom w:val="nil"/>
              <w:right w:val="single" w:sz="4" w:space="0" w:color="auto"/>
            </w:tcBorders>
          </w:tcPr>
          <w:p w:rsidR="00F579CD" w:rsidRPr="00BF148D" w:rsidRDefault="00F579CD" w:rsidP="00224858">
            <w:pPr>
              <w:pStyle w:val="TableText0"/>
              <w:rPr>
                <w:rFonts w:cs="Arial"/>
              </w:rPr>
            </w:pPr>
            <w:r w:rsidRPr="00BF148D">
              <w:rPr>
                <w:rFonts w:cs="Arial"/>
              </w:rPr>
              <w:t>May 2017</w:t>
            </w:r>
          </w:p>
        </w:tc>
      </w:tr>
      <w:tr w:rsidR="00F579CD" w:rsidRPr="00BF148D" w:rsidTr="006B25BF">
        <w:tc>
          <w:tcPr>
            <w:tcW w:w="796" w:type="pct"/>
            <w:vMerge/>
            <w:vAlign w:val="center"/>
          </w:tcPr>
          <w:p w:rsidR="00F579CD" w:rsidRPr="00BF148D" w:rsidRDefault="00F579CD" w:rsidP="00224858">
            <w:pPr>
              <w:pStyle w:val="TableText0"/>
            </w:pPr>
          </w:p>
        </w:tc>
        <w:tc>
          <w:tcPr>
            <w:tcW w:w="3027" w:type="pct"/>
            <w:tcBorders>
              <w:top w:val="nil"/>
              <w:left w:val="single" w:sz="4" w:space="0" w:color="auto"/>
              <w:bottom w:val="nil"/>
              <w:right w:val="single" w:sz="4" w:space="0" w:color="auto"/>
            </w:tcBorders>
            <w:vAlign w:val="center"/>
          </w:tcPr>
          <w:p w:rsidR="00F579CD" w:rsidRPr="00BF148D" w:rsidRDefault="00F579CD" w:rsidP="00224858">
            <w:pPr>
              <w:pStyle w:val="TableText0"/>
            </w:pPr>
            <w:r w:rsidRPr="00BF148D">
              <w:t xml:space="preserve">Devinsky O et al. Long-term cannabidiol treatment in patients with Dravet syndrome: An open-label treatment label. </w:t>
            </w:r>
          </w:p>
        </w:tc>
        <w:tc>
          <w:tcPr>
            <w:tcW w:w="1177" w:type="pct"/>
            <w:tcBorders>
              <w:top w:val="nil"/>
              <w:left w:val="single" w:sz="4" w:space="0" w:color="auto"/>
              <w:bottom w:val="nil"/>
              <w:right w:val="single" w:sz="4" w:space="0" w:color="auto"/>
            </w:tcBorders>
            <w:vAlign w:val="center"/>
          </w:tcPr>
          <w:p w:rsidR="00F579CD" w:rsidRPr="00BF148D" w:rsidRDefault="00F579CD" w:rsidP="00224858">
            <w:pPr>
              <w:pStyle w:val="TableText0"/>
              <w:rPr>
                <w:rFonts w:cs="Arial"/>
              </w:rPr>
            </w:pPr>
            <w:r w:rsidRPr="00BF148D">
              <w:rPr>
                <w:rFonts w:cs="Arial"/>
                <w:i/>
              </w:rPr>
              <w:t>Epilepsia</w:t>
            </w:r>
            <w:r w:rsidRPr="00BF148D">
              <w:rPr>
                <w:rFonts w:cs="Arial"/>
              </w:rPr>
              <w:t xml:space="preserve"> 2019: 60(2): 294-302</w:t>
            </w:r>
          </w:p>
        </w:tc>
      </w:tr>
      <w:tr w:rsidR="00F579CD" w:rsidRPr="00BF148D" w:rsidTr="006B25BF">
        <w:tc>
          <w:tcPr>
            <w:tcW w:w="796" w:type="pct"/>
            <w:vMerge/>
            <w:tcBorders>
              <w:bottom w:val="single" w:sz="4" w:space="0" w:color="auto"/>
            </w:tcBorders>
            <w:vAlign w:val="center"/>
          </w:tcPr>
          <w:p w:rsidR="00F579CD" w:rsidRPr="00BF148D" w:rsidRDefault="00F579CD" w:rsidP="00224858">
            <w:pPr>
              <w:pStyle w:val="TableText0"/>
            </w:pPr>
          </w:p>
        </w:tc>
        <w:tc>
          <w:tcPr>
            <w:tcW w:w="3027" w:type="pct"/>
            <w:tcBorders>
              <w:top w:val="nil"/>
              <w:left w:val="single" w:sz="4" w:space="0" w:color="auto"/>
              <w:bottom w:val="single" w:sz="4" w:space="0" w:color="auto"/>
              <w:right w:val="single" w:sz="4" w:space="0" w:color="auto"/>
            </w:tcBorders>
            <w:vAlign w:val="center"/>
          </w:tcPr>
          <w:p w:rsidR="00F579CD" w:rsidRPr="00BF148D" w:rsidRDefault="00F579CD" w:rsidP="00224858">
            <w:pPr>
              <w:pStyle w:val="TableText0"/>
            </w:pPr>
            <w:r w:rsidRPr="00BF148D">
              <w:t>Thiele EA et al. Cannabidiol in patients with Lennox-Gastaut syndrome: interim analysis of an open-label extension study.</w:t>
            </w:r>
          </w:p>
        </w:tc>
        <w:tc>
          <w:tcPr>
            <w:tcW w:w="1177" w:type="pct"/>
            <w:tcBorders>
              <w:top w:val="nil"/>
              <w:left w:val="single" w:sz="4" w:space="0" w:color="auto"/>
              <w:bottom w:val="single" w:sz="4" w:space="0" w:color="auto"/>
              <w:right w:val="single" w:sz="4" w:space="0" w:color="auto"/>
            </w:tcBorders>
            <w:vAlign w:val="center"/>
          </w:tcPr>
          <w:p w:rsidR="00F579CD" w:rsidRPr="00BF148D" w:rsidRDefault="00F579CD" w:rsidP="00224858">
            <w:pPr>
              <w:pStyle w:val="TableText0"/>
              <w:rPr>
                <w:rFonts w:cs="Arial"/>
              </w:rPr>
            </w:pPr>
            <w:r w:rsidRPr="00BF148D">
              <w:rPr>
                <w:rFonts w:cs="Arial"/>
                <w:i/>
              </w:rPr>
              <w:t>Epilepsia</w:t>
            </w:r>
            <w:r w:rsidRPr="00BF148D">
              <w:rPr>
                <w:rFonts w:cs="Arial"/>
              </w:rPr>
              <w:t xml:space="preserve"> 2019: 60(3): 419-428</w:t>
            </w:r>
          </w:p>
        </w:tc>
      </w:tr>
    </w:tbl>
    <w:p w:rsidR="007827EC" w:rsidRPr="00BF148D" w:rsidRDefault="007827EC" w:rsidP="00224858">
      <w:pPr>
        <w:pStyle w:val="TableFigureFooter"/>
        <w:rPr>
          <w:sz w:val="20"/>
        </w:rPr>
      </w:pPr>
      <w:r w:rsidRPr="00BF148D">
        <w:t>Source: Tables 22 and 23, pp37-38 of the submission.</w:t>
      </w:r>
    </w:p>
    <w:p w:rsidR="007827EC" w:rsidRPr="00BF148D" w:rsidRDefault="007827EC" w:rsidP="00224858">
      <w:pPr>
        <w:pStyle w:val="3-BodyText"/>
      </w:pPr>
      <w:r w:rsidRPr="00BF148D">
        <w:t>The key features of the direct randomised trials are summarise</w:t>
      </w:r>
      <w:r w:rsidR="000E3C55" w:rsidRPr="00BF148D">
        <w:t xml:space="preserve">d in </w:t>
      </w:r>
      <w:r w:rsidR="00580552" w:rsidRPr="00BF148D">
        <w:t xml:space="preserve">Table </w:t>
      </w:r>
      <w:r w:rsidR="0002344D">
        <w:t>3</w:t>
      </w:r>
      <w:r w:rsidRPr="00BF148D">
        <w:t>. The two DS trials had the same design, although the GWPCARE2 trial had a different primary endpoint to the GWPCARE1 Part B trial. The two LGS trials had the same design.</w:t>
      </w:r>
    </w:p>
    <w:p w:rsidR="007827EC" w:rsidRPr="00BF148D" w:rsidRDefault="000E3C55" w:rsidP="00224858">
      <w:pPr>
        <w:pStyle w:val="TableFigureHeading"/>
        <w:rPr>
          <w:rStyle w:val="CommentReference"/>
          <w:b/>
          <w:szCs w:val="24"/>
        </w:rPr>
      </w:pPr>
      <w:bookmarkStart w:id="23" w:name="_Ref39464345"/>
      <w:r w:rsidRPr="00BF148D">
        <w:rPr>
          <w:rStyle w:val="CommentReference"/>
          <w:b/>
          <w:szCs w:val="24"/>
        </w:rPr>
        <w:lastRenderedPageBreak/>
        <w:t xml:space="preserve">Table </w:t>
      </w:r>
      <w:bookmarkEnd w:id="23"/>
      <w:r w:rsidR="00580552" w:rsidRPr="00BF148D">
        <w:rPr>
          <w:rStyle w:val="CommentReference"/>
          <w:b/>
          <w:szCs w:val="24"/>
        </w:rPr>
        <w:t>3</w:t>
      </w:r>
      <w:r w:rsidR="007827EC" w:rsidRPr="00BF148D">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2"/>
        <w:gridCol w:w="573"/>
        <w:gridCol w:w="1719"/>
        <w:gridCol w:w="431"/>
        <w:gridCol w:w="3578"/>
        <w:gridCol w:w="1434"/>
      </w:tblGrid>
      <w:tr w:rsidR="007827EC" w:rsidRPr="00BF148D" w:rsidTr="004C318B">
        <w:trPr>
          <w:tblHeader/>
        </w:trPr>
        <w:tc>
          <w:tcPr>
            <w:tcW w:w="711" w:type="pct"/>
            <w:shd w:val="clear" w:color="auto" w:fill="auto"/>
            <w:vAlign w:val="center"/>
          </w:tcPr>
          <w:p w:rsidR="007827EC" w:rsidRPr="00BF148D" w:rsidRDefault="007827EC" w:rsidP="00224858">
            <w:pPr>
              <w:keepNext/>
              <w:rPr>
                <w:rFonts w:ascii="Arial Narrow" w:eastAsiaTheme="minorHAnsi" w:hAnsi="Arial Narrow" w:cstheme="minorBidi"/>
                <w:b/>
                <w:sz w:val="20"/>
                <w:szCs w:val="22"/>
                <w:lang w:eastAsia="en-US"/>
              </w:rPr>
            </w:pPr>
            <w:r w:rsidRPr="00BF148D">
              <w:rPr>
                <w:rFonts w:ascii="Arial Narrow" w:eastAsiaTheme="minorHAnsi" w:hAnsi="Arial Narrow" w:cstheme="minorBidi"/>
                <w:b/>
                <w:sz w:val="20"/>
                <w:szCs w:val="22"/>
                <w:lang w:eastAsia="en-US"/>
              </w:rPr>
              <w:t>Trial</w:t>
            </w:r>
          </w:p>
        </w:tc>
        <w:tc>
          <w:tcPr>
            <w:tcW w:w="318" w:type="pct"/>
            <w:shd w:val="clear" w:color="auto" w:fill="auto"/>
            <w:vAlign w:val="center"/>
          </w:tcPr>
          <w:p w:rsidR="007827EC" w:rsidRPr="00BF148D" w:rsidRDefault="007827EC" w:rsidP="00224858">
            <w:pPr>
              <w:keepNext/>
              <w:jc w:val="center"/>
              <w:rPr>
                <w:rFonts w:ascii="Arial Narrow" w:eastAsiaTheme="minorHAnsi" w:hAnsi="Arial Narrow" w:cstheme="minorBidi"/>
                <w:b/>
                <w:sz w:val="20"/>
                <w:szCs w:val="22"/>
                <w:lang w:eastAsia="en-US"/>
              </w:rPr>
            </w:pPr>
            <w:r w:rsidRPr="00BF148D">
              <w:rPr>
                <w:rFonts w:ascii="Arial Narrow" w:eastAsiaTheme="minorHAnsi" w:hAnsi="Arial Narrow" w:cstheme="minorBidi"/>
                <w:b/>
                <w:sz w:val="20"/>
                <w:szCs w:val="22"/>
                <w:lang w:eastAsia="en-US"/>
              </w:rPr>
              <w:t>N</w:t>
            </w:r>
          </w:p>
        </w:tc>
        <w:tc>
          <w:tcPr>
            <w:tcW w:w="953" w:type="pct"/>
            <w:shd w:val="clear" w:color="auto" w:fill="auto"/>
            <w:vAlign w:val="center"/>
          </w:tcPr>
          <w:p w:rsidR="007827EC" w:rsidRPr="00BF148D" w:rsidRDefault="007827EC" w:rsidP="00224858">
            <w:pPr>
              <w:keepNext/>
              <w:jc w:val="center"/>
              <w:rPr>
                <w:rFonts w:ascii="Arial Narrow" w:eastAsiaTheme="minorHAnsi" w:hAnsi="Arial Narrow" w:cstheme="minorBidi"/>
                <w:b/>
                <w:sz w:val="20"/>
                <w:szCs w:val="22"/>
                <w:lang w:eastAsia="en-US"/>
              </w:rPr>
            </w:pPr>
            <w:r w:rsidRPr="00BF148D">
              <w:rPr>
                <w:rFonts w:ascii="Arial Narrow" w:eastAsiaTheme="minorHAnsi" w:hAnsi="Arial Narrow" w:cstheme="minorBidi"/>
                <w:b/>
                <w:sz w:val="20"/>
                <w:szCs w:val="22"/>
                <w:lang w:eastAsia="en-US"/>
              </w:rPr>
              <w:t>Design / duration</w:t>
            </w:r>
          </w:p>
        </w:tc>
        <w:tc>
          <w:tcPr>
            <w:tcW w:w="239" w:type="pct"/>
            <w:shd w:val="clear" w:color="auto" w:fill="auto"/>
            <w:vAlign w:val="center"/>
          </w:tcPr>
          <w:p w:rsidR="007827EC" w:rsidRPr="00BF148D" w:rsidRDefault="007827EC" w:rsidP="00224858">
            <w:pPr>
              <w:keepNext/>
              <w:jc w:val="center"/>
              <w:rPr>
                <w:rFonts w:ascii="Arial Narrow" w:eastAsiaTheme="minorHAnsi" w:hAnsi="Arial Narrow" w:cstheme="minorBidi"/>
                <w:b/>
                <w:sz w:val="20"/>
                <w:szCs w:val="22"/>
                <w:lang w:eastAsia="en-US"/>
              </w:rPr>
            </w:pPr>
            <w:r w:rsidRPr="00BF148D">
              <w:rPr>
                <w:rFonts w:ascii="Arial Narrow" w:eastAsiaTheme="minorHAnsi" w:hAnsi="Arial Narrow" w:cstheme="minorBidi"/>
                <w:b/>
                <w:sz w:val="20"/>
                <w:szCs w:val="22"/>
                <w:lang w:eastAsia="en-US"/>
              </w:rPr>
              <w:t>Bias</w:t>
            </w:r>
          </w:p>
        </w:tc>
        <w:tc>
          <w:tcPr>
            <w:tcW w:w="1984" w:type="pct"/>
            <w:shd w:val="clear" w:color="auto" w:fill="auto"/>
            <w:vAlign w:val="center"/>
          </w:tcPr>
          <w:p w:rsidR="007827EC" w:rsidRPr="00BF148D" w:rsidRDefault="007827EC" w:rsidP="00224858">
            <w:pPr>
              <w:keepNext/>
              <w:jc w:val="center"/>
              <w:rPr>
                <w:rFonts w:ascii="Arial Narrow" w:eastAsiaTheme="minorHAnsi" w:hAnsi="Arial Narrow" w:cstheme="minorBidi"/>
                <w:b/>
                <w:sz w:val="20"/>
                <w:szCs w:val="22"/>
                <w:lang w:eastAsia="en-US"/>
              </w:rPr>
            </w:pPr>
            <w:r w:rsidRPr="00BF148D">
              <w:rPr>
                <w:rFonts w:ascii="Arial Narrow" w:eastAsiaTheme="minorHAnsi" w:hAnsi="Arial Narrow" w:cstheme="minorBidi"/>
                <w:b/>
                <w:sz w:val="20"/>
                <w:szCs w:val="22"/>
                <w:lang w:eastAsia="en-US"/>
              </w:rPr>
              <w:t>Population</w:t>
            </w:r>
          </w:p>
        </w:tc>
        <w:tc>
          <w:tcPr>
            <w:tcW w:w="795" w:type="pct"/>
            <w:shd w:val="clear" w:color="auto" w:fill="auto"/>
            <w:vAlign w:val="center"/>
          </w:tcPr>
          <w:p w:rsidR="007827EC" w:rsidRPr="00BF148D" w:rsidRDefault="007827EC" w:rsidP="00224858">
            <w:pPr>
              <w:keepNext/>
              <w:jc w:val="center"/>
              <w:rPr>
                <w:rFonts w:ascii="Arial Narrow" w:eastAsiaTheme="minorHAnsi" w:hAnsi="Arial Narrow" w:cstheme="minorBidi"/>
                <w:b/>
                <w:sz w:val="20"/>
                <w:szCs w:val="22"/>
                <w:lang w:eastAsia="en-US"/>
              </w:rPr>
            </w:pPr>
            <w:r w:rsidRPr="00BF148D">
              <w:rPr>
                <w:rFonts w:ascii="Arial Narrow" w:eastAsiaTheme="minorHAnsi" w:hAnsi="Arial Narrow" w:cstheme="minorBidi"/>
                <w:b/>
                <w:sz w:val="20"/>
                <w:szCs w:val="22"/>
                <w:lang w:eastAsia="en-US"/>
              </w:rPr>
              <w:t>Outcomes</w:t>
            </w:r>
          </w:p>
        </w:tc>
      </w:tr>
      <w:tr w:rsidR="007827EC" w:rsidRPr="00BF148D" w:rsidTr="004C318B">
        <w:trPr>
          <w:tblHeader/>
        </w:trPr>
        <w:tc>
          <w:tcPr>
            <w:tcW w:w="5000" w:type="pct"/>
            <w:gridSpan w:val="6"/>
            <w:shd w:val="clear" w:color="auto" w:fill="auto"/>
            <w:vAlign w:val="center"/>
          </w:tcPr>
          <w:p w:rsidR="007827EC" w:rsidRPr="00BF148D" w:rsidRDefault="007827EC" w:rsidP="00224858">
            <w:pPr>
              <w:keepNext/>
              <w:jc w:val="left"/>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Dravet syndrome</w:t>
            </w:r>
          </w:p>
        </w:tc>
      </w:tr>
      <w:tr w:rsidR="007827EC" w:rsidRPr="00BF148D" w:rsidTr="004C318B">
        <w:trPr>
          <w:tblHeader/>
        </w:trPr>
        <w:tc>
          <w:tcPr>
            <w:tcW w:w="711" w:type="pct"/>
            <w:shd w:val="clear" w:color="auto" w:fill="auto"/>
            <w:vAlign w:val="center"/>
          </w:tcPr>
          <w:p w:rsidR="007827EC" w:rsidRPr="00BF148D" w:rsidRDefault="007827EC" w:rsidP="00224858">
            <w:pPr>
              <w:keepNext/>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GWPCARE2</w:t>
            </w:r>
          </w:p>
        </w:tc>
        <w:tc>
          <w:tcPr>
            <w:tcW w:w="318"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198</w:t>
            </w:r>
          </w:p>
        </w:tc>
        <w:tc>
          <w:tcPr>
            <w:tcW w:w="953"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R, DB, PC, MC, 14 weeks</w:t>
            </w:r>
          </w:p>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Titration to either 10 mg/kg/day or 20 mg/kg/day cannabidiol</w:t>
            </w:r>
          </w:p>
        </w:tc>
        <w:tc>
          <w:tcPr>
            <w:tcW w:w="239"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Low</w:t>
            </w:r>
          </w:p>
        </w:tc>
        <w:tc>
          <w:tcPr>
            <w:tcW w:w="1984" w:type="pct"/>
            <w:shd w:val="clear" w:color="auto" w:fill="auto"/>
            <w:vAlign w:val="center"/>
          </w:tcPr>
          <w:p w:rsidR="00A23C74"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DS; age 2.1-18.9 years</w:t>
            </w:r>
          </w:p>
          <w:p w:rsidR="00A23C74" w:rsidRPr="00BF148D" w:rsidRDefault="00A23C74"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Median (interquartile range)</w:t>
            </w:r>
            <w:r w:rsidR="007827EC" w:rsidRPr="00BF148D">
              <w:rPr>
                <w:rFonts w:ascii="Arial Narrow" w:eastAsiaTheme="minorHAnsi" w:hAnsi="Arial Narrow" w:cstheme="minorBidi"/>
                <w:sz w:val="20"/>
                <w:szCs w:val="22"/>
                <w:lang w:eastAsia="en-US"/>
              </w:rPr>
              <w:t xml:space="preserve"> baseline convulsive seizures per 28 days</w:t>
            </w:r>
            <w:r w:rsidRPr="00BF148D">
              <w:rPr>
                <w:rFonts w:ascii="Arial Narrow" w:eastAsiaTheme="minorHAnsi" w:hAnsi="Arial Narrow" w:cstheme="minorBidi"/>
                <w:sz w:val="20"/>
                <w:szCs w:val="22"/>
                <w:lang w:eastAsia="en-US"/>
              </w:rPr>
              <w:t>:</w:t>
            </w:r>
            <w:r w:rsidR="007827EC" w:rsidRPr="00BF148D">
              <w:rPr>
                <w:rFonts w:ascii="Arial Narrow" w:eastAsiaTheme="minorHAnsi" w:hAnsi="Arial Narrow" w:cstheme="minorBidi"/>
                <w:sz w:val="20"/>
                <w:szCs w:val="22"/>
                <w:lang w:eastAsia="en-US"/>
              </w:rPr>
              <w:t xml:space="preserve"> </w:t>
            </w:r>
            <w:r w:rsidRPr="00BF148D">
              <w:rPr>
                <w:rFonts w:ascii="Arial Narrow" w:eastAsiaTheme="minorHAnsi" w:hAnsi="Arial Narrow" w:cstheme="minorBidi"/>
                <w:sz w:val="20"/>
                <w:szCs w:val="22"/>
                <w:lang w:eastAsia="en-US"/>
              </w:rPr>
              <w:t>12 (6-33)</w:t>
            </w:r>
          </w:p>
          <w:p w:rsidR="007827EC" w:rsidRPr="00BF148D" w:rsidRDefault="00A23C74"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M</w:t>
            </w:r>
            <w:r w:rsidR="007827EC" w:rsidRPr="00BF148D">
              <w:rPr>
                <w:rFonts w:ascii="Arial Narrow" w:eastAsiaTheme="minorHAnsi" w:hAnsi="Arial Narrow" w:cstheme="minorBidi"/>
                <w:sz w:val="20"/>
                <w:szCs w:val="22"/>
                <w:lang w:eastAsia="en-US"/>
              </w:rPr>
              <w:t xml:space="preserve">edian </w:t>
            </w:r>
            <w:r w:rsidRPr="00BF148D">
              <w:rPr>
                <w:rFonts w:ascii="Arial Narrow" w:eastAsiaTheme="minorHAnsi" w:hAnsi="Arial Narrow" w:cstheme="minorBidi"/>
                <w:sz w:val="20"/>
                <w:szCs w:val="22"/>
                <w:lang w:eastAsia="en-US"/>
              </w:rPr>
              <w:t xml:space="preserve">(range) </w:t>
            </w:r>
            <w:r w:rsidR="007827EC" w:rsidRPr="00BF148D">
              <w:rPr>
                <w:rFonts w:ascii="Arial Narrow" w:eastAsiaTheme="minorHAnsi" w:hAnsi="Arial Narrow" w:cstheme="minorBidi"/>
                <w:sz w:val="20"/>
                <w:szCs w:val="22"/>
                <w:lang w:eastAsia="en-US"/>
              </w:rPr>
              <w:t xml:space="preserve">AEDs </w:t>
            </w:r>
            <w:r w:rsidR="006502B7" w:rsidRPr="00BF148D">
              <w:rPr>
                <w:rFonts w:ascii="Arial Narrow" w:eastAsiaTheme="minorHAnsi" w:hAnsi="Arial Narrow" w:cstheme="minorBidi"/>
                <w:sz w:val="20"/>
                <w:szCs w:val="22"/>
                <w:lang w:eastAsia="en-US"/>
              </w:rPr>
              <w:t>3 (1-5)</w:t>
            </w:r>
          </w:p>
        </w:tc>
        <w:tc>
          <w:tcPr>
            <w:tcW w:w="795"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1°: change in total convulsive seizures from baseline</w:t>
            </w:r>
          </w:p>
        </w:tc>
      </w:tr>
      <w:tr w:rsidR="007827EC" w:rsidRPr="00BF148D" w:rsidTr="004C318B">
        <w:trPr>
          <w:tblHeader/>
        </w:trPr>
        <w:tc>
          <w:tcPr>
            <w:tcW w:w="711" w:type="pct"/>
            <w:shd w:val="clear" w:color="auto" w:fill="auto"/>
            <w:vAlign w:val="center"/>
          </w:tcPr>
          <w:p w:rsidR="007827EC" w:rsidRPr="00BF148D" w:rsidRDefault="007827EC" w:rsidP="00224858">
            <w:pPr>
              <w:keepNext/>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GWPCARE1 Part B</w:t>
            </w:r>
          </w:p>
        </w:tc>
        <w:tc>
          <w:tcPr>
            <w:tcW w:w="318"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120</w:t>
            </w:r>
          </w:p>
        </w:tc>
        <w:tc>
          <w:tcPr>
            <w:tcW w:w="953"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R, DB, PC, MC, 14 weeks</w:t>
            </w:r>
          </w:p>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Titration to 20 mg/kg/day cannabidiol</w:t>
            </w:r>
          </w:p>
        </w:tc>
        <w:tc>
          <w:tcPr>
            <w:tcW w:w="239" w:type="pct"/>
            <w:shd w:val="clear" w:color="auto" w:fill="auto"/>
            <w:vAlign w:val="center"/>
          </w:tcPr>
          <w:p w:rsidR="004716D1" w:rsidRPr="00BF148D" w:rsidRDefault="004716D1" w:rsidP="00224858">
            <w:pPr>
              <w:keepNext/>
              <w:jc w:val="center"/>
              <w:rPr>
                <w:rFonts w:ascii="Arial Narrow" w:eastAsiaTheme="minorHAnsi" w:hAnsi="Arial Narrow" w:cstheme="minorBidi"/>
                <w:sz w:val="20"/>
                <w:szCs w:val="22"/>
                <w:lang w:eastAsia="en-US"/>
              </w:rPr>
            </w:pPr>
          </w:p>
          <w:p w:rsidR="007827EC" w:rsidRPr="00BF148D" w:rsidRDefault="004716D1"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Low</w:t>
            </w:r>
          </w:p>
        </w:tc>
        <w:tc>
          <w:tcPr>
            <w:tcW w:w="1984" w:type="pct"/>
            <w:shd w:val="clear" w:color="auto" w:fill="auto"/>
            <w:vAlign w:val="center"/>
          </w:tcPr>
          <w:p w:rsidR="00A23C74"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 xml:space="preserve">DS; age 2.3-18.4 years </w:t>
            </w:r>
          </w:p>
          <w:p w:rsidR="00A23C74" w:rsidRPr="00BF148D" w:rsidRDefault="00A23C74"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 xml:space="preserve">Median (range) </w:t>
            </w:r>
            <w:r w:rsidR="007827EC" w:rsidRPr="00BF148D">
              <w:rPr>
                <w:rFonts w:ascii="Arial Narrow" w:eastAsiaTheme="minorHAnsi" w:hAnsi="Arial Narrow" w:cstheme="minorBidi"/>
                <w:sz w:val="20"/>
                <w:szCs w:val="22"/>
                <w:lang w:eastAsia="en-US"/>
              </w:rPr>
              <w:t xml:space="preserve">baseline convulsive seizures per </w:t>
            </w:r>
            <w:r w:rsidR="006502B7" w:rsidRPr="00BF148D">
              <w:rPr>
                <w:rFonts w:ascii="Arial Narrow" w:eastAsiaTheme="minorHAnsi" w:hAnsi="Arial Narrow" w:cstheme="minorBidi"/>
                <w:sz w:val="20"/>
                <w:szCs w:val="22"/>
                <w:lang w:eastAsia="en-US"/>
              </w:rPr>
              <w:t>month</w:t>
            </w:r>
            <w:r w:rsidRPr="00BF148D">
              <w:rPr>
                <w:rFonts w:ascii="Arial Narrow" w:eastAsiaTheme="minorHAnsi" w:hAnsi="Arial Narrow" w:cstheme="minorBidi"/>
                <w:sz w:val="20"/>
                <w:szCs w:val="22"/>
                <w:lang w:eastAsia="en-US"/>
              </w:rPr>
              <w:t>: 13.0 (3.7-1717)</w:t>
            </w:r>
          </w:p>
          <w:p w:rsidR="007827EC" w:rsidRPr="00BF148D" w:rsidRDefault="00A23C74"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M</w:t>
            </w:r>
            <w:r w:rsidR="007827EC" w:rsidRPr="00BF148D">
              <w:rPr>
                <w:rFonts w:ascii="Arial Narrow" w:eastAsiaTheme="minorHAnsi" w:hAnsi="Arial Narrow" w:cstheme="minorBidi"/>
                <w:sz w:val="20"/>
                <w:szCs w:val="22"/>
                <w:lang w:eastAsia="en-US"/>
              </w:rPr>
              <w:t>edian</w:t>
            </w:r>
            <w:r w:rsidRPr="00BF148D">
              <w:rPr>
                <w:rFonts w:ascii="Arial Narrow" w:eastAsiaTheme="minorHAnsi" w:hAnsi="Arial Narrow" w:cstheme="minorBidi"/>
                <w:sz w:val="20"/>
                <w:szCs w:val="22"/>
                <w:lang w:eastAsia="en-US"/>
              </w:rPr>
              <w:t xml:space="preserve"> (range) </w:t>
            </w:r>
            <w:r w:rsidR="007827EC" w:rsidRPr="00BF148D">
              <w:rPr>
                <w:rFonts w:ascii="Arial Narrow" w:eastAsiaTheme="minorHAnsi" w:hAnsi="Arial Narrow" w:cstheme="minorBidi"/>
                <w:sz w:val="20"/>
                <w:szCs w:val="22"/>
                <w:lang w:eastAsia="en-US"/>
              </w:rPr>
              <w:t>AEDs</w:t>
            </w:r>
            <w:r w:rsidRPr="00BF148D">
              <w:rPr>
                <w:rFonts w:ascii="Arial Narrow" w:eastAsiaTheme="minorHAnsi" w:hAnsi="Arial Narrow" w:cstheme="minorBidi"/>
                <w:sz w:val="20"/>
                <w:szCs w:val="22"/>
                <w:lang w:eastAsia="en-US"/>
              </w:rPr>
              <w:t xml:space="preserve">: </w:t>
            </w:r>
            <w:r w:rsidR="006502B7" w:rsidRPr="00BF148D">
              <w:rPr>
                <w:rFonts w:ascii="Arial Narrow" w:eastAsiaTheme="minorHAnsi" w:hAnsi="Arial Narrow" w:cstheme="minorBidi"/>
                <w:sz w:val="20"/>
                <w:szCs w:val="22"/>
                <w:lang w:eastAsia="en-US"/>
              </w:rPr>
              <w:t>3</w:t>
            </w:r>
            <w:r w:rsidRPr="00BF148D">
              <w:rPr>
                <w:rFonts w:ascii="Arial Narrow" w:eastAsiaTheme="minorHAnsi" w:hAnsi="Arial Narrow" w:cstheme="minorBidi"/>
                <w:sz w:val="20"/>
                <w:szCs w:val="22"/>
                <w:lang w:eastAsia="en-US"/>
              </w:rPr>
              <w:t xml:space="preserve"> (1-5) </w:t>
            </w:r>
          </w:p>
        </w:tc>
        <w:tc>
          <w:tcPr>
            <w:tcW w:w="795"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 xml:space="preserve">1°: </w:t>
            </w:r>
            <w:r w:rsidRPr="00BF148D">
              <w:rPr>
                <w:rFonts w:ascii="Arial Narrow" w:hAnsi="Arial Narrow"/>
                <w:sz w:val="20"/>
                <w:szCs w:val="20"/>
              </w:rPr>
              <w:t>percentage change from baseline in convulsive seizure frequency</w:t>
            </w:r>
          </w:p>
        </w:tc>
      </w:tr>
      <w:tr w:rsidR="007827EC" w:rsidRPr="00BF148D" w:rsidTr="004C318B">
        <w:trPr>
          <w:tblHeader/>
        </w:trPr>
        <w:tc>
          <w:tcPr>
            <w:tcW w:w="5000" w:type="pct"/>
            <w:gridSpan w:val="6"/>
            <w:shd w:val="clear" w:color="auto" w:fill="auto"/>
            <w:vAlign w:val="center"/>
          </w:tcPr>
          <w:p w:rsidR="007827EC" w:rsidRPr="00BF148D" w:rsidRDefault="007827EC" w:rsidP="00224858">
            <w:pPr>
              <w:keepNext/>
              <w:jc w:val="left"/>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Lennox-Gastaut syndrome</w:t>
            </w:r>
          </w:p>
        </w:tc>
      </w:tr>
      <w:tr w:rsidR="007827EC" w:rsidRPr="00BF148D" w:rsidTr="004C318B">
        <w:trPr>
          <w:tblHeader/>
        </w:trPr>
        <w:tc>
          <w:tcPr>
            <w:tcW w:w="711" w:type="pct"/>
            <w:shd w:val="clear" w:color="auto" w:fill="auto"/>
            <w:vAlign w:val="center"/>
          </w:tcPr>
          <w:p w:rsidR="007827EC" w:rsidRPr="00BF148D" w:rsidRDefault="007827EC" w:rsidP="00224858">
            <w:pPr>
              <w:keepNext/>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GWPCARE3</w:t>
            </w:r>
          </w:p>
        </w:tc>
        <w:tc>
          <w:tcPr>
            <w:tcW w:w="318"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225</w:t>
            </w:r>
          </w:p>
        </w:tc>
        <w:tc>
          <w:tcPr>
            <w:tcW w:w="953"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R, DB, PC, MC, 14 weeks</w:t>
            </w:r>
          </w:p>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Titration to either 10 mg/kg/day or 20 mg/kg/day cannabidiol</w:t>
            </w:r>
          </w:p>
        </w:tc>
        <w:tc>
          <w:tcPr>
            <w:tcW w:w="239"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Low</w:t>
            </w:r>
          </w:p>
        </w:tc>
        <w:tc>
          <w:tcPr>
            <w:tcW w:w="1984" w:type="pct"/>
            <w:shd w:val="clear" w:color="auto" w:fill="auto"/>
            <w:vAlign w:val="center"/>
          </w:tcPr>
          <w:p w:rsidR="006502B7"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LGS; age 2.6-48 years</w:t>
            </w:r>
          </w:p>
          <w:p w:rsidR="006502B7" w:rsidRPr="00BF148D" w:rsidRDefault="006502B7"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Median (range)</w:t>
            </w:r>
            <w:r w:rsidR="007827EC" w:rsidRPr="00BF148D">
              <w:rPr>
                <w:rFonts w:ascii="Arial Narrow" w:eastAsiaTheme="minorHAnsi" w:hAnsi="Arial Narrow" w:cstheme="minorBidi"/>
                <w:sz w:val="20"/>
                <w:szCs w:val="22"/>
                <w:lang w:eastAsia="en-US"/>
              </w:rPr>
              <w:t xml:space="preserve"> baseline drop seizures per 28 days </w:t>
            </w:r>
            <w:r w:rsidRPr="00BF148D">
              <w:rPr>
                <w:rFonts w:ascii="Arial Narrow" w:eastAsiaTheme="minorHAnsi" w:hAnsi="Arial Narrow" w:cstheme="minorBidi"/>
                <w:sz w:val="20"/>
                <w:szCs w:val="22"/>
                <w:lang w:eastAsia="en-US"/>
              </w:rPr>
              <w:t>85 (38.3-190.0)</w:t>
            </w:r>
          </w:p>
          <w:p w:rsidR="007827EC" w:rsidRPr="00BF148D" w:rsidRDefault="006502B7"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M</w:t>
            </w:r>
            <w:r w:rsidR="007827EC" w:rsidRPr="00BF148D">
              <w:rPr>
                <w:rFonts w:ascii="Arial Narrow" w:eastAsiaTheme="minorHAnsi" w:hAnsi="Arial Narrow" w:cstheme="minorBidi"/>
                <w:sz w:val="20"/>
                <w:szCs w:val="22"/>
                <w:lang w:eastAsia="en-US"/>
              </w:rPr>
              <w:t xml:space="preserve">edian </w:t>
            </w:r>
            <w:r w:rsidRPr="00BF148D">
              <w:rPr>
                <w:rFonts w:ascii="Arial Narrow" w:eastAsiaTheme="minorHAnsi" w:hAnsi="Arial Narrow" w:cstheme="minorBidi"/>
                <w:sz w:val="20"/>
                <w:szCs w:val="22"/>
                <w:lang w:eastAsia="en-US"/>
              </w:rPr>
              <w:t xml:space="preserve">(range) </w:t>
            </w:r>
            <w:r w:rsidR="007827EC" w:rsidRPr="00BF148D">
              <w:rPr>
                <w:rFonts w:ascii="Arial Narrow" w:eastAsiaTheme="minorHAnsi" w:hAnsi="Arial Narrow" w:cstheme="minorBidi"/>
                <w:sz w:val="20"/>
                <w:szCs w:val="22"/>
                <w:lang w:eastAsia="en-US"/>
              </w:rPr>
              <w:t>AEDs</w:t>
            </w:r>
            <w:r w:rsidRPr="00BF148D">
              <w:rPr>
                <w:rFonts w:ascii="Arial Narrow" w:eastAsiaTheme="minorHAnsi" w:hAnsi="Arial Narrow" w:cstheme="minorBidi"/>
                <w:sz w:val="20"/>
                <w:szCs w:val="22"/>
                <w:lang w:eastAsia="en-US"/>
              </w:rPr>
              <w:t xml:space="preserve">: </w:t>
            </w:r>
            <w:r w:rsidR="007827EC" w:rsidRPr="00BF148D">
              <w:rPr>
                <w:rFonts w:ascii="Arial Narrow" w:eastAsiaTheme="minorHAnsi" w:hAnsi="Arial Narrow" w:cstheme="minorBidi"/>
                <w:sz w:val="20"/>
                <w:szCs w:val="22"/>
                <w:lang w:eastAsia="en-US"/>
              </w:rPr>
              <w:t xml:space="preserve">3 </w:t>
            </w:r>
            <w:r w:rsidRPr="00BF148D">
              <w:rPr>
                <w:rFonts w:ascii="Arial Narrow" w:eastAsiaTheme="minorHAnsi" w:hAnsi="Arial Narrow" w:cstheme="minorBidi"/>
                <w:sz w:val="20"/>
                <w:szCs w:val="22"/>
                <w:lang w:eastAsia="en-US"/>
              </w:rPr>
              <w:t>(0-5)</w:t>
            </w:r>
          </w:p>
        </w:tc>
        <w:tc>
          <w:tcPr>
            <w:tcW w:w="795" w:type="pct"/>
            <w:vMerge w:val="restar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1°: percentage change from baseline in drop seizure frequency</w:t>
            </w:r>
          </w:p>
        </w:tc>
      </w:tr>
      <w:tr w:rsidR="007827EC" w:rsidRPr="00BF148D" w:rsidTr="004C318B">
        <w:trPr>
          <w:tblHeader/>
        </w:trPr>
        <w:tc>
          <w:tcPr>
            <w:tcW w:w="711" w:type="pct"/>
            <w:shd w:val="clear" w:color="auto" w:fill="auto"/>
            <w:vAlign w:val="center"/>
          </w:tcPr>
          <w:p w:rsidR="007827EC" w:rsidRPr="00BF148D" w:rsidRDefault="007827EC" w:rsidP="00224858">
            <w:pPr>
              <w:keepNext/>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GWPCARE4</w:t>
            </w:r>
          </w:p>
        </w:tc>
        <w:tc>
          <w:tcPr>
            <w:tcW w:w="318"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171</w:t>
            </w:r>
          </w:p>
        </w:tc>
        <w:tc>
          <w:tcPr>
            <w:tcW w:w="953"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R, DB, PC, MC, 14 weeks</w:t>
            </w:r>
          </w:p>
          <w:p w:rsidR="007827EC"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Titration to 20 mg/kg/day cannabidiol</w:t>
            </w:r>
          </w:p>
        </w:tc>
        <w:tc>
          <w:tcPr>
            <w:tcW w:w="239" w:type="pct"/>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p>
          <w:p w:rsidR="004716D1" w:rsidRPr="00BF148D" w:rsidRDefault="004716D1" w:rsidP="00224858">
            <w:pPr>
              <w:keepNext/>
              <w:jc w:val="center"/>
              <w:rPr>
                <w:rFonts w:ascii="Arial Narrow" w:eastAsiaTheme="minorHAnsi" w:hAnsi="Arial Narrow" w:cstheme="minorBidi"/>
                <w:i/>
                <w:sz w:val="20"/>
                <w:szCs w:val="22"/>
                <w:lang w:eastAsia="en-US"/>
              </w:rPr>
            </w:pPr>
            <w:r w:rsidRPr="00BF148D">
              <w:rPr>
                <w:rFonts w:ascii="Arial Narrow" w:eastAsiaTheme="minorHAnsi" w:hAnsi="Arial Narrow" w:cstheme="minorBidi"/>
                <w:sz w:val="20"/>
                <w:szCs w:val="22"/>
                <w:lang w:eastAsia="en-US"/>
              </w:rPr>
              <w:t>Low</w:t>
            </w:r>
          </w:p>
        </w:tc>
        <w:tc>
          <w:tcPr>
            <w:tcW w:w="1984" w:type="pct"/>
            <w:shd w:val="clear" w:color="auto" w:fill="auto"/>
            <w:vAlign w:val="center"/>
          </w:tcPr>
          <w:p w:rsidR="006502B7" w:rsidRPr="00BF148D" w:rsidRDefault="007827EC"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 xml:space="preserve">LGS; age 2.7-45 years; </w:t>
            </w:r>
          </w:p>
          <w:p w:rsidR="007827EC" w:rsidRPr="00BF148D" w:rsidRDefault="006502B7"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 xml:space="preserve">Median (range) </w:t>
            </w:r>
            <w:r w:rsidR="007827EC" w:rsidRPr="00BF148D">
              <w:rPr>
                <w:rFonts w:ascii="Arial Narrow" w:eastAsiaTheme="minorHAnsi" w:hAnsi="Arial Narrow" w:cstheme="minorBidi"/>
                <w:sz w:val="20"/>
                <w:szCs w:val="22"/>
                <w:lang w:eastAsia="en-US"/>
              </w:rPr>
              <w:t xml:space="preserve">baseline drop seizures per </w:t>
            </w:r>
            <w:r w:rsidRPr="00BF148D">
              <w:rPr>
                <w:rFonts w:ascii="Arial Narrow" w:eastAsiaTheme="minorHAnsi" w:hAnsi="Arial Narrow" w:cstheme="minorBidi"/>
                <w:sz w:val="20"/>
                <w:szCs w:val="22"/>
                <w:lang w:eastAsia="en-US"/>
              </w:rPr>
              <w:t>month:</w:t>
            </w:r>
            <w:r w:rsidR="007827EC" w:rsidRPr="00BF148D">
              <w:rPr>
                <w:rFonts w:ascii="Arial Narrow" w:eastAsiaTheme="minorHAnsi" w:hAnsi="Arial Narrow" w:cstheme="minorBidi"/>
                <w:sz w:val="20"/>
                <w:szCs w:val="22"/>
                <w:lang w:eastAsia="en-US"/>
              </w:rPr>
              <w:t xml:space="preserve"> 71 – 75</w:t>
            </w:r>
            <w:r w:rsidRPr="00BF148D">
              <w:rPr>
                <w:rFonts w:ascii="Arial Narrow" w:eastAsiaTheme="minorHAnsi" w:hAnsi="Arial Narrow" w:cstheme="minorBidi"/>
                <w:sz w:val="20"/>
                <w:szCs w:val="22"/>
                <w:lang w:eastAsia="en-US"/>
              </w:rPr>
              <w:t xml:space="preserve"> (27.0-156.0)</w:t>
            </w:r>
            <w:r w:rsidR="007827EC" w:rsidRPr="00BF148D">
              <w:rPr>
                <w:rFonts w:ascii="Arial Narrow" w:eastAsiaTheme="minorHAnsi" w:hAnsi="Arial Narrow" w:cstheme="minorBidi"/>
                <w:sz w:val="20"/>
                <w:szCs w:val="22"/>
                <w:lang w:eastAsia="en-US"/>
              </w:rPr>
              <w:t xml:space="preserve">; </w:t>
            </w:r>
          </w:p>
          <w:p w:rsidR="006502B7" w:rsidRPr="00BF148D" w:rsidRDefault="006502B7" w:rsidP="00224858">
            <w:pPr>
              <w:keepNext/>
              <w:jc w:val="center"/>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Median (range) AEDs: 3 (1-5)</w:t>
            </w:r>
          </w:p>
        </w:tc>
        <w:tc>
          <w:tcPr>
            <w:tcW w:w="795" w:type="pct"/>
            <w:vMerge/>
            <w:shd w:val="clear" w:color="auto" w:fill="auto"/>
            <w:vAlign w:val="center"/>
          </w:tcPr>
          <w:p w:rsidR="007827EC" w:rsidRPr="00BF148D" w:rsidRDefault="007827EC" w:rsidP="00224858">
            <w:pPr>
              <w:keepNext/>
              <w:jc w:val="center"/>
              <w:rPr>
                <w:rFonts w:ascii="Arial Narrow" w:eastAsiaTheme="minorHAnsi" w:hAnsi="Arial Narrow" w:cstheme="minorBidi"/>
                <w:sz w:val="20"/>
                <w:szCs w:val="22"/>
                <w:lang w:eastAsia="en-US"/>
              </w:rPr>
            </w:pPr>
          </w:p>
        </w:tc>
      </w:tr>
    </w:tbl>
    <w:p w:rsidR="007827EC" w:rsidRPr="00BF148D" w:rsidRDefault="000036D6" w:rsidP="00224858">
      <w:pPr>
        <w:rPr>
          <w:rFonts w:ascii="Arial Narrow" w:hAnsi="Arial Narrow"/>
          <w:snapToGrid w:val="0"/>
          <w:sz w:val="18"/>
          <w:szCs w:val="20"/>
          <w:lang w:eastAsia="en-US"/>
        </w:rPr>
      </w:pPr>
      <w:r w:rsidRPr="00BF148D">
        <w:rPr>
          <w:rFonts w:ascii="Arial Narrow" w:hAnsi="Arial Narrow"/>
          <w:snapToGrid w:val="0"/>
          <w:sz w:val="18"/>
          <w:szCs w:val="20"/>
          <w:lang w:eastAsia="en-US"/>
        </w:rPr>
        <w:t xml:space="preserve">AED = antiepileptic drug; DB = double-blind; DS = Dravet syndrome; LGS = Lennox-Gastaut syndrome; MC = multi-centre; PC = placebo-controlled; </w:t>
      </w:r>
      <w:r w:rsidR="007827EC" w:rsidRPr="00BF148D">
        <w:rPr>
          <w:rFonts w:ascii="Arial Narrow" w:hAnsi="Arial Narrow"/>
          <w:snapToGrid w:val="0"/>
          <w:sz w:val="18"/>
          <w:szCs w:val="20"/>
          <w:lang w:eastAsia="en-US"/>
        </w:rPr>
        <w:t xml:space="preserve">R = randomised; </w:t>
      </w:r>
    </w:p>
    <w:p w:rsidR="007827EC" w:rsidRPr="00BF148D" w:rsidRDefault="007827EC" w:rsidP="00224858">
      <w:pPr>
        <w:rPr>
          <w:rFonts w:ascii="Arial Narrow" w:hAnsi="Arial Narrow"/>
          <w:snapToGrid w:val="0"/>
          <w:sz w:val="18"/>
          <w:szCs w:val="20"/>
          <w:lang w:eastAsia="en-US"/>
        </w:rPr>
      </w:pPr>
      <w:r w:rsidRPr="00BF148D">
        <w:rPr>
          <w:rFonts w:ascii="Arial Narrow" w:hAnsi="Arial Narrow"/>
          <w:snapToGrid w:val="0"/>
          <w:sz w:val="18"/>
          <w:szCs w:val="20"/>
          <w:lang w:eastAsia="en-US"/>
        </w:rPr>
        <w:t>Note: The 14 week duration included the titration phase</w:t>
      </w:r>
      <w:r w:rsidR="006804EA" w:rsidRPr="00BF148D">
        <w:rPr>
          <w:rFonts w:ascii="Arial Narrow" w:hAnsi="Arial Narrow"/>
          <w:snapToGrid w:val="0"/>
          <w:sz w:val="18"/>
          <w:szCs w:val="20"/>
          <w:lang w:eastAsia="en-US"/>
        </w:rPr>
        <w:t xml:space="preserve"> for all trials</w:t>
      </w:r>
    </w:p>
    <w:p w:rsidR="007827EC" w:rsidRPr="00BF148D" w:rsidRDefault="007827EC" w:rsidP="00224858">
      <w:pPr>
        <w:spacing w:after="120"/>
      </w:pPr>
      <w:r w:rsidRPr="00BF148D">
        <w:rPr>
          <w:rFonts w:ascii="Arial Narrow" w:hAnsi="Arial Narrow"/>
          <w:snapToGrid w:val="0"/>
          <w:sz w:val="18"/>
          <w:szCs w:val="20"/>
          <w:lang w:eastAsia="en-US"/>
        </w:rPr>
        <w:t xml:space="preserve">Source: Tables 27 and 28, p49 of the submission, </w:t>
      </w:r>
      <w:r w:rsidR="00A23C74" w:rsidRPr="00BF148D">
        <w:rPr>
          <w:rFonts w:ascii="Arial Narrow" w:hAnsi="Arial Narrow"/>
          <w:snapToGrid w:val="0"/>
          <w:sz w:val="18"/>
          <w:szCs w:val="20"/>
          <w:lang w:eastAsia="en-US"/>
        </w:rPr>
        <w:t>Miller 2020, Devinsky 2017,</w:t>
      </w:r>
      <w:r w:rsidR="006502B7" w:rsidRPr="00BF148D">
        <w:rPr>
          <w:rFonts w:ascii="Arial Narrow" w:hAnsi="Arial Narrow"/>
          <w:snapToGrid w:val="0"/>
          <w:sz w:val="18"/>
          <w:szCs w:val="20"/>
          <w:lang w:eastAsia="en-US"/>
        </w:rPr>
        <w:t xml:space="preserve"> Devinsky 2018, </w:t>
      </w:r>
      <w:r w:rsidR="006804EA" w:rsidRPr="00BF148D">
        <w:rPr>
          <w:rFonts w:ascii="Arial Narrow" w:hAnsi="Arial Narrow"/>
          <w:snapToGrid w:val="0"/>
          <w:sz w:val="18"/>
          <w:szCs w:val="20"/>
          <w:lang w:eastAsia="en-US"/>
        </w:rPr>
        <w:t>Thiele 2018</w:t>
      </w:r>
      <w:r w:rsidR="00A23C74" w:rsidRPr="00BF148D">
        <w:rPr>
          <w:rFonts w:ascii="Arial Narrow" w:hAnsi="Arial Narrow"/>
          <w:snapToGrid w:val="0"/>
          <w:sz w:val="18"/>
          <w:szCs w:val="20"/>
          <w:lang w:eastAsia="en-US"/>
        </w:rPr>
        <w:t xml:space="preserve"> </w:t>
      </w:r>
      <w:r w:rsidRPr="00BF148D">
        <w:rPr>
          <w:rFonts w:ascii="Arial Narrow" w:hAnsi="Arial Narrow"/>
          <w:snapToGrid w:val="0"/>
          <w:sz w:val="18"/>
          <w:szCs w:val="20"/>
          <w:lang w:eastAsia="en-US"/>
        </w:rPr>
        <w:t>and compiled from Section 2 of the submission.</w:t>
      </w:r>
    </w:p>
    <w:p w:rsidR="007827EC" w:rsidRPr="00BF148D" w:rsidRDefault="007827EC" w:rsidP="00224858">
      <w:pPr>
        <w:pStyle w:val="3-BodyText"/>
      </w:pPr>
      <w:r w:rsidRPr="00BF148D">
        <w:rPr>
          <w:snapToGrid/>
        </w:rPr>
        <w:t xml:space="preserve">GWPCARE1 was a two-part trial, with Part A evaluating dose-ranging safety and pharmacokinetics of cannabidiol compared with placebo, and Part B evaluating the efficacy and safety of cannabidiol compared to placebo. </w:t>
      </w:r>
    </w:p>
    <w:p w:rsidR="007827EC" w:rsidRPr="00BF148D" w:rsidRDefault="007827EC" w:rsidP="00224858">
      <w:pPr>
        <w:pStyle w:val="4-SubsectionHeading"/>
      </w:pPr>
      <w:bookmarkStart w:id="24" w:name="_Toc22897641"/>
      <w:bookmarkStart w:id="25" w:name="_Toc38639607"/>
      <w:bookmarkStart w:id="26" w:name="_Toc40880084"/>
      <w:r w:rsidRPr="00BF148D">
        <w:t>Comparative effectiveness</w:t>
      </w:r>
      <w:bookmarkEnd w:id="24"/>
      <w:bookmarkEnd w:id="25"/>
      <w:bookmarkEnd w:id="26"/>
    </w:p>
    <w:p w:rsidR="0041421F" w:rsidRPr="00BF148D" w:rsidRDefault="0041421F" w:rsidP="00224858">
      <w:pPr>
        <w:pStyle w:val="5-SubsectionSubheading"/>
      </w:pPr>
      <w:bookmarkStart w:id="27" w:name="_Toc40880085"/>
      <w:r w:rsidRPr="00BF148D">
        <w:t>Dravet Syndrome (DS)</w:t>
      </w:r>
      <w:bookmarkEnd w:id="27"/>
    </w:p>
    <w:p w:rsidR="007827EC" w:rsidRPr="00BF148D" w:rsidRDefault="00580552" w:rsidP="00A5219C">
      <w:pPr>
        <w:pStyle w:val="3-BodyText"/>
      </w:pPr>
      <w:r w:rsidRPr="00BF148D">
        <w:rPr>
          <w:snapToGrid/>
        </w:rPr>
        <w:t>Table 4</w:t>
      </w:r>
      <w:r w:rsidR="007827EC" w:rsidRPr="00BF148D">
        <w:rPr>
          <w:snapToGrid/>
        </w:rPr>
        <w:t xml:space="preserve"> summarises the trial results for the primary endpoints for patients enrolled in the DS trials of</w:t>
      </w:r>
      <w:r w:rsidR="00145111" w:rsidRPr="00BF148D">
        <w:rPr>
          <w:snapToGrid/>
        </w:rPr>
        <w:t xml:space="preserve"> </w:t>
      </w:r>
      <w:r w:rsidR="007827EC" w:rsidRPr="00BF148D">
        <w:rPr>
          <w:snapToGrid/>
        </w:rPr>
        <w:t>percentage reduction in convulsive seizure frequency from baseline for GWPCARE2 and the estimated median difference in convulsive seizure frequency from baseline for GWPCARE1 Part B</w:t>
      </w:r>
      <w:r w:rsidR="00145111" w:rsidRPr="00BF148D">
        <w:rPr>
          <w:snapToGrid/>
        </w:rPr>
        <w:t xml:space="preserve">. Also presented is </w:t>
      </w:r>
      <w:r w:rsidR="007827EC" w:rsidRPr="00BF148D">
        <w:rPr>
          <w:snapToGrid/>
        </w:rPr>
        <w:t xml:space="preserve">the proportion of patients with a </w:t>
      </w:r>
      <w:r w:rsidR="007827EC" w:rsidRPr="00BF148D">
        <w:rPr>
          <w:rFonts w:cstheme="minorHAnsi"/>
        </w:rPr>
        <w:t>≥</w:t>
      </w:r>
      <w:r w:rsidR="007827EC" w:rsidRPr="00BF148D">
        <w:t xml:space="preserve">50% reduction in convulsive seizures per 28 days from baseline </w:t>
      </w:r>
      <w:r w:rsidR="007827EC" w:rsidRPr="00BF148D">
        <w:rPr>
          <w:snapToGrid/>
        </w:rPr>
        <w:t xml:space="preserve">at the end of the 14-week period of </w:t>
      </w:r>
      <w:r w:rsidR="00915333" w:rsidRPr="00BF148D">
        <w:rPr>
          <w:snapToGrid/>
        </w:rPr>
        <w:t>the trials</w:t>
      </w:r>
      <w:r w:rsidR="007827EC" w:rsidRPr="00BF148D">
        <w:rPr>
          <w:snapToGrid/>
        </w:rPr>
        <w:t>,</w:t>
      </w:r>
      <w:r w:rsidR="00915333" w:rsidRPr="00BF148D">
        <w:rPr>
          <w:snapToGrid/>
        </w:rPr>
        <w:t xml:space="preserve"> which </w:t>
      </w:r>
      <w:r w:rsidR="00344D44" w:rsidRPr="00BF148D">
        <w:rPr>
          <w:snapToGrid/>
        </w:rPr>
        <w:t xml:space="preserve">the submission proposed as </w:t>
      </w:r>
      <w:r w:rsidR="001E7667" w:rsidRPr="00BF148D">
        <w:rPr>
          <w:snapToGrid/>
        </w:rPr>
        <w:t>a clinically relevant outcome</w:t>
      </w:r>
      <w:r w:rsidR="007827EC" w:rsidRPr="00BF148D">
        <w:rPr>
          <w:snapToGrid/>
        </w:rPr>
        <w:t>. Convulsive seizures were defined as tonic, clonic, tonic-clonic, and atonic seizures.</w:t>
      </w:r>
    </w:p>
    <w:p w:rsidR="007827EC" w:rsidRPr="00BF148D" w:rsidRDefault="000E3C55" w:rsidP="00224858">
      <w:pPr>
        <w:pStyle w:val="TableFigureHeading"/>
        <w:rPr>
          <w:rStyle w:val="CommentReference"/>
          <w:b/>
          <w:szCs w:val="24"/>
        </w:rPr>
      </w:pPr>
      <w:bookmarkStart w:id="28" w:name="_Ref39464509"/>
      <w:r w:rsidRPr="00BF148D">
        <w:rPr>
          <w:rStyle w:val="CommentReference"/>
          <w:b/>
          <w:szCs w:val="24"/>
        </w:rPr>
        <w:lastRenderedPageBreak/>
        <w:t xml:space="preserve">Table </w:t>
      </w:r>
      <w:r w:rsidR="00542E57" w:rsidRPr="00BF148D">
        <w:rPr>
          <w:rStyle w:val="CommentReference"/>
          <w:b/>
          <w:szCs w:val="24"/>
        </w:rPr>
        <w:t>4</w:t>
      </w:r>
      <w:bookmarkEnd w:id="28"/>
      <w:r w:rsidR="007827EC" w:rsidRPr="00BF148D">
        <w:rPr>
          <w:rStyle w:val="CommentReference"/>
          <w:b/>
          <w:szCs w:val="24"/>
        </w:rPr>
        <w:t>: Key results across the DS trials (ITT analyses)</w:t>
      </w:r>
    </w:p>
    <w:tbl>
      <w:tblPr>
        <w:tblStyle w:val="TableGrid"/>
        <w:tblW w:w="5000" w:type="pct"/>
        <w:tblLayout w:type="fixed"/>
        <w:tblCellMar>
          <w:left w:w="28" w:type="dxa"/>
          <w:right w:w="28" w:type="dxa"/>
        </w:tblCellMar>
        <w:tblLook w:val="04A0" w:firstRow="1" w:lastRow="0" w:firstColumn="1" w:lastColumn="0" w:noHBand="0" w:noVBand="1"/>
        <w:tblCaption w:val="Table 4: Key results across the DS trials (ITT analyses)"/>
      </w:tblPr>
      <w:tblGrid>
        <w:gridCol w:w="3959"/>
        <w:gridCol w:w="1686"/>
        <w:gridCol w:w="1686"/>
        <w:gridCol w:w="1686"/>
      </w:tblGrid>
      <w:tr w:rsidR="002D418F" w:rsidRPr="00BF148D" w:rsidTr="0093480D">
        <w:trPr>
          <w:tblHeader/>
        </w:trPr>
        <w:tc>
          <w:tcPr>
            <w:tcW w:w="3959" w:type="dxa"/>
          </w:tcPr>
          <w:p w:rsidR="002D418F" w:rsidRPr="00BF148D" w:rsidRDefault="002D418F" w:rsidP="00224858">
            <w:pPr>
              <w:pStyle w:val="In-tableHeading"/>
              <w:rPr>
                <w:b w:val="0"/>
                <w:lang w:val="en-AU"/>
              </w:rPr>
            </w:pPr>
          </w:p>
        </w:tc>
        <w:tc>
          <w:tcPr>
            <w:tcW w:w="1686" w:type="dxa"/>
            <w:vAlign w:val="center"/>
          </w:tcPr>
          <w:p w:rsidR="002D418F" w:rsidRPr="00BF148D" w:rsidRDefault="002D418F" w:rsidP="00224858">
            <w:pPr>
              <w:pStyle w:val="In-tableHeading"/>
              <w:jc w:val="center"/>
              <w:rPr>
                <w:iCs/>
                <w:szCs w:val="18"/>
                <w:lang w:val="en-AU"/>
              </w:rPr>
            </w:pPr>
            <w:r w:rsidRPr="00BF148D">
              <w:rPr>
                <w:iCs/>
                <w:szCs w:val="18"/>
                <w:lang w:val="en-AU"/>
              </w:rPr>
              <w:t xml:space="preserve">Cannabidiol </w:t>
            </w:r>
          </w:p>
          <w:p w:rsidR="002D418F" w:rsidRPr="00BF148D" w:rsidRDefault="002D418F" w:rsidP="00224858">
            <w:pPr>
              <w:pStyle w:val="In-tableHeading"/>
              <w:jc w:val="center"/>
              <w:rPr>
                <w:b w:val="0"/>
                <w:lang w:val="en-AU"/>
              </w:rPr>
            </w:pPr>
            <w:r w:rsidRPr="00BF148D">
              <w:rPr>
                <w:iCs/>
                <w:szCs w:val="18"/>
                <w:lang w:val="en-AU"/>
              </w:rPr>
              <w:t>10 mg/kg/day</w:t>
            </w:r>
          </w:p>
        </w:tc>
        <w:tc>
          <w:tcPr>
            <w:tcW w:w="1686" w:type="dxa"/>
            <w:vAlign w:val="center"/>
          </w:tcPr>
          <w:p w:rsidR="002D418F" w:rsidRPr="00BF148D" w:rsidRDefault="002D418F" w:rsidP="00224858">
            <w:pPr>
              <w:pStyle w:val="In-tableHeading"/>
              <w:jc w:val="center"/>
              <w:rPr>
                <w:szCs w:val="18"/>
                <w:lang w:val="en-AU"/>
              </w:rPr>
            </w:pPr>
            <w:r w:rsidRPr="00BF148D">
              <w:rPr>
                <w:szCs w:val="18"/>
                <w:lang w:val="en-AU"/>
              </w:rPr>
              <w:t xml:space="preserve">Cannabidiol </w:t>
            </w:r>
          </w:p>
          <w:p w:rsidR="002D418F" w:rsidRPr="00BF148D" w:rsidRDefault="002D418F" w:rsidP="00224858">
            <w:pPr>
              <w:pStyle w:val="In-tableHeading"/>
              <w:jc w:val="center"/>
              <w:rPr>
                <w:b w:val="0"/>
                <w:lang w:val="en-AU"/>
              </w:rPr>
            </w:pPr>
            <w:r w:rsidRPr="00BF148D">
              <w:rPr>
                <w:szCs w:val="18"/>
                <w:lang w:val="en-AU"/>
              </w:rPr>
              <w:t>20 mg/kg/day</w:t>
            </w:r>
          </w:p>
        </w:tc>
        <w:tc>
          <w:tcPr>
            <w:tcW w:w="1686" w:type="dxa"/>
            <w:vAlign w:val="center"/>
          </w:tcPr>
          <w:p w:rsidR="002D418F" w:rsidRPr="00BF148D" w:rsidRDefault="002D418F" w:rsidP="00224858">
            <w:pPr>
              <w:pStyle w:val="In-tableHeading"/>
              <w:jc w:val="center"/>
              <w:rPr>
                <w:lang w:val="en-AU"/>
              </w:rPr>
            </w:pPr>
            <w:r w:rsidRPr="00BF148D">
              <w:rPr>
                <w:lang w:val="en-AU"/>
              </w:rPr>
              <w:t xml:space="preserve">Placebo </w:t>
            </w:r>
          </w:p>
        </w:tc>
      </w:tr>
      <w:tr w:rsidR="002D418F" w:rsidRPr="00BF148D" w:rsidTr="0093480D">
        <w:tc>
          <w:tcPr>
            <w:tcW w:w="9017" w:type="dxa"/>
            <w:gridSpan w:val="4"/>
            <w:vAlign w:val="center"/>
          </w:tcPr>
          <w:p w:rsidR="002D418F" w:rsidRPr="00BF148D" w:rsidRDefault="002D418F" w:rsidP="00224858">
            <w:pPr>
              <w:pStyle w:val="In-tableHeading"/>
              <w:rPr>
                <w:lang w:val="en-AU"/>
              </w:rPr>
            </w:pPr>
            <w:r w:rsidRPr="00BF148D">
              <w:rPr>
                <w:lang w:val="en-AU"/>
              </w:rPr>
              <w:t>GWPCARE2*</w:t>
            </w:r>
          </w:p>
        </w:tc>
      </w:tr>
      <w:tr w:rsidR="002D418F" w:rsidRPr="00BF148D" w:rsidTr="0093480D">
        <w:tc>
          <w:tcPr>
            <w:tcW w:w="3959" w:type="dxa"/>
          </w:tcPr>
          <w:p w:rsidR="002D418F" w:rsidRPr="00BF148D" w:rsidRDefault="002D418F" w:rsidP="00224858">
            <w:pPr>
              <w:pStyle w:val="In-tableHeading"/>
              <w:rPr>
                <w:b w:val="0"/>
                <w:lang w:val="en-AU"/>
              </w:rPr>
            </w:pPr>
            <w:r w:rsidRPr="00BF148D">
              <w:rPr>
                <w:b w:val="0"/>
                <w:lang w:val="en-AU"/>
              </w:rPr>
              <w:t xml:space="preserve">Median convulsive seizure frequency </w:t>
            </w:r>
            <w:r w:rsidR="006E1230" w:rsidRPr="00BF148D">
              <w:rPr>
                <w:b w:val="0"/>
                <w:lang w:val="en-AU"/>
              </w:rPr>
              <w:t xml:space="preserve">(average per 28 days) </w:t>
            </w:r>
            <w:r w:rsidRPr="00BF148D">
              <w:rPr>
                <w:b w:val="0"/>
                <w:lang w:val="en-AU"/>
              </w:rPr>
              <w:t>at baseline (Q1, Q3)</w:t>
            </w:r>
          </w:p>
        </w:tc>
        <w:tc>
          <w:tcPr>
            <w:tcW w:w="1686" w:type="dxa"/>
            <w:vAlign w:val="center"/>
          </w:tcPr>
          <w:p w:rsidR="002D418F" w:rsidRPr="00BF148D" w:rsidRDefault="002D418F" w:rsidP="00224858">
            <w:pPr>
              <w:pStyle w:val="In-tableHeading"/>
              <w:jc w:val="center"/>
              <w:rPr>
                <w:b w:val="0"/>
                <w:lang w:val="en-AU"/>
              </w:rPr>
            </w:pPr>
            <w:r w:rsidRPr="00BF148D">
              <w:rPr>
                <w:b w:val="0"/>
                <w:lang w:val="en-AU"/>
              </w:rPr>
              <w:t>13.53 (6.0, 31.2)</w:t>
            </w:r>
          </w:p>
        </w:tc>
        <w:tc>
          <w:tcPr>
            <w:tcW w:w="1686" w:type="dxa"/>
            <w:vAlign w:val="center"/>
          </w:tcPr>
          <w:p w:rsidR="002D418F" w:rsidRPr="00BF148D" w:rsidRDefault="002D418F" w:rsidP="00224858">
            <w:pPr>
              <w:pStyle w:val="In-tableHeading"/>
              <w:jc w:val="center"/>
              <w:rPr>
                <w:b w:val="0"/>
                <w:lang w:val="en-AU"/>
              </w:rPr>
            </w:pPr>
            <w:r w:rsidRPr="00BF148D">
              <w:rPr>
                <w:b w:val="0"/>
                <w:lang w:val="en-AU"/>
              </w:rPr>
              <w:t>9.03 (6.03, 21.2)</w:t>
            </w:r>
          </w:p>
        </w:tc>
        <w:tc>
          <w:tcPr>
            <w:tcW w:w="1686" w:type="dxa"/>
            <w:vAlign w:val="center"/>
          </w:tcPr>
          <w:p w:rsidR="002D418F" w:rsidRPr="00BF148D" w:rsidRDefault="002D418F" w:rsidP="00224858">
            <w:pPr>
              <w:pStyle w:val="In-tableHeading"/>
              <w:jc w:val="center"/>
              <w:rPr>
                <w:b w:val="0"/>
                <w:lang w:val="en-AU"/>
              </w:rPr>
            </w:pPr>
            <w:r w:rsidRPr="00BF148D">
              <w:rPr>
                <w:b w:val="0"/>
                <w:lang w:val="en-AU"/>
              </w:rPr>
              <w:t>16.63 (7.0, 51.1)</w:t>
            </w:r>
          </w:p>
        </w:tc>
      </w:tr>
      <w:tr w:rsidR="006804EA" w:rsidRPr="00BF148D" w:rsidTr="0093480D">
        <w:tc>
          <w:tcPr>
            <w:tcW w:w="3959" w:type="dxa"/>
          </w:tcPr>
          <w:p w:rsidR="006804EA" w:rsidRPr="00BF148D" w:rsidRDefault="006804EA" w:rsidP="00224858">
            <w:pPr>
              <w:pStyle w:val="In-tableHeading"/>
              <w:rPr>
                <w:b w:val="0"/>
                <w:lang w:val="en-AU"/>
              </w:rPr>
            </w:pPr>
            <w:r w:rsidRPr="00BF148D">
              <w:rPr>
                <w:b w:val="0"/>
                <w:lang w:val="en-AU"/>
              </w:rPr>
              <w:t>Median convulsive seizure frequency (average per 28 days) at end of treatment period (Q1, Q3)</w:t>
            </w:r>
          </w:p>
        </w:tc>
        <w:tc>
          <w:tcPr>
            <w:tcW w:w="1686" w:type="dxa"/>
            <w:vAlign w:val="center"/>
          </w:tcPr>
          <w:p w:rsidR="006804EA" w:rsidRPr="00BF148D" w:rsidRDefault="006804EA" w:rsidP="00224858">
            <w:pPr>
              <w:pStyle w:val="In-tableHeading"/>
              <w:jc w:val="center"/>
              <w:rPr>
                <w:b w:val="0"/>
                <w:lang w:val="en-AU"/>
              </w:rPr>
            </w:pPr>
            <w:r w:rsidRPr="00BF148D">
              <w:rPr>
                <w:b w:val="0"/>
                <w:lang w:val="en-AU"/>
              </w:rPr>
              <w:t>6.30 (2.7, 18.6)</w:t>
            </w:r>
          </w:p>
        </w:tc>
        <w:tc>
          <w:tcPr>
            <w:tcW w:w="1686" w:type="dxa"/>
            <w:vAlign w:val="center"/>
          </w:tcPr>
          <w:p w:rsidR="006804EA" w:rsidRPr="00BF148D" w:rsidRDefault="006804EA" w:rsidP="00224858">
            <w:pPr>
              <w:pStyle w:val="In-tableHeading"/>
              <w:jc w:val="center"/>
              <w:rPr>
                <w:b w:val="0"/>
                <w:lang w:val="en-AU"/>
              </w:rPr>
            </w:pPr>
            <w:r w:rsidRPr="00BF148D">
              <w:rPr>
                <w:b w:val="0"/>
                <w:lang w:val="en-AU"/>
              </w:rPr>
              <w:t>4.86 (2.3, 21.8)</w:t>
            </w:r>
          </w:p>
        </w:tc>
        <w:tc>
          <w:tcPr>
            <w:tcW w:w="1686" w:type="dxa"/>
            <w:vAlign w:val="center"/>
          </w:tcPr>
          <w:p w:rsidR="006804EA" w:rsidRPr="00BF148D" w:rsidRDefault="006804EA" w:rsidP="00224858">
            <w:pPr>
              <w:pStyle w:val="In-tableHeading"/>
              <w:jc w:val="center"/>
              <w:rPr>
                <w:b w:val="0"/>
                <w:lang w:val="en-AU"/>
              </w:rPr>
            </w:pPr>
            <w:r w:rsidRPr="00BF148D">
              <w:rPr>
                <w:b w:val="0"/>
                <w:lang w:val="en-AU"/>
              </w:rPr>
              <w:t>14.00 (5.7, 49.3)</w:t>
            </w:r>
          </w:p>
        </w:tc>
      </w:tr>
      <w:tr w:rsidR="006804EA" w:rsidRPr="00BF148D" w:rsidTr="0093480D">
        <w:tc>
          <w:tcPr>
            <w:tcW w:w="9017" w:type="dxa"/>
            <w:gridSpan w:val="4"/>
            <w:vAlign w:val="center"/>
          </w:tcPr>
          <w:p w:rsidR="006804EA" w:rsidRPr="00BF148D" w:rsidRDefault="006804EA" w:rsidP="00224858">
            <w:pPr>
              <w:pStyle w:val="In-tableHeading"/>
              <w:rPr>
                <w:b w:val="0"/>
                <w:lang w:val="en-AU"/>
              </w:rPr>
            </w:pPr>
            <w:r w:rsidRPr="00BF148D">
              <w:rPr>
                <w:b w:val="0"/>
                <w:lang w:val="en-AU"/>
              </w:rPr>
              <w:t>Percentage change from baseline in convulsive seizure frequency (28 day average)</w:t>
            </w:r>
          </w:p>
        </w:tc>
      </w:tr>
      <w:tr w:rsidR="006804EA" w:rsidRPr="00BF148D" w:rsidTr="0093480D">
        <w:tc>
          <w:tcPr>
            <w:tcW w:w="3959" w:type="dxa"/>
          </w:tcPr>
          <w:p w:rsidR="006804EA" w:rsidRPr="00BF148D" w:rsidRDefault="006804EA" w:rsidP="00224858">
            <w:pPr>
              <w:pStyle w:val="In-tableHeading"/>
              <w:ind w:left="109"/>
              <w:rPr>
                <w:b w:val="0"/>
                <w:lang w:val="en-AU"/>
              </w:rPr>
            </w:pPr>
            <w:r w:rsidRPr="00BF148D">
              <w:rPr>
                <w:b w:val="0"/>
                <w:lang w:val="en-AU"/>
              </w:rPr>
              <w:t>% reduction</w:t>
            </w:r>
            <w:r w:rsidR="00A655F1" w:rsidRPr="00BF148D">
              <w:rPr>
                <w:b w:val="0"/>
                <w:vertAlign w:val="superscript"/>
                <w:lang w:val="en-AU"/>
              </w:rPr>
              <w:t>a</w:t>
            </w:r>
            <w:r w:rsidRPr="00BF148D">
              <w:rPr>
                <w:b w:val="0"/>
                <w:lang w:val="en-AU"/>
              </w:rPr>
              <w:t>, (95% CI)</w:t>
            </w:r>
          </w:p>
        </w:tc>
        <w:tc>
          <w:tcPr>
            <w:tcW w:w="1686" w:type="dxa"/>
            <w:vAlign w:val="center"/>
          </w:tcPr>
          <w:p w:rsidR="006804EA" w:rsidRPr="00BF148D" w:rsidRDefault="006804EA" w:rsidP="00224858">
            <w:pPr>
              <w:pStyle w:val="In-tableHeading"/>
              <w:jc w:val="center"/>
              <w:rPr>
                <w:b w:val="0"/>
                <w:lang w:val="en-AU"/>
              </w:rPr>
            </w:pPr>
            <w:r w:rsidRPr="00BF148D">
              <w:rPr>
                <w:b w:val="0"/>
                <w:lang w:val="en-AU"/>
              </w:rPr>
              <w:t>48.7 (37.9, 57.6)</w:t>
            </w:r>
          </w:p>
        </w:tc>
        <w:tc>
          <w:tcPr>
            <w:tcW w:w="1686" w:type="dxa"/>
            <w:vAlign w:val="center"/>
          </w:tcPr>
          <w:p w:rsidR="006804EA" w:rsidRPr="00BF148D" w:rsidRDefault="006804EA" w:rsidP="00224858">
            <w:pPr>
              <w:pStyle w:val="In-tableHeading"/>
              <w:jc w:val="center"/>
              <w:rPr>
                <w:b w:val="0"/>
                <w:lang w:val="en-AU"/>
              </w:rPr>
            </w:pPr>
            <w:r w:rsidRPr="00BF148D">
              <w:rPr>
                <w:b w:val="0"/>
                <w:lang w:val="en-AU"/>
              </w:rPr>
              <w:t>45.7 (34.2, 55.2)</w:t>
            </w:r>
          </w:p>
        </w:tc>
        <w:tc>
          <w:tcPr>
            <w:tcW w:w="1686" w:type="dxa"/>
            <w:vAlign w:val="center"/>
          </w:tcPr>
          <w:p w:rsidR="006804EA" w:rsidRPr="00BF148D" w:rsidRDefault="006804EA" w:rsidP="00224858">
            <w:pPr>
              <w:pStyle w:val="In-tableHeading"/>
              <w:jc w:val="center"/>
              <w:rPr>
                <w:b w:val="0"/>
                <w:lang w:val="en-AU"/>
              </w:rPr>
            </w:pPr>
            <w:r w:rsidRPr="00BF148D">
              <w:rPr>
                <w:b w:val="0"/>
                <w:lang w:val="en-AU"/>
              </w:rPr>
              <w:t>26.9 (11.9, 39.4)</w:t>
            </w:r>
          </w:p>
        </w:tc>
      </w:tr>
      <w:tr w:rsidR="00145111" w:rsidRPr="00BF148D" w:rsidTr="0093480D">
        <w:tc>
          <w:tcPr>
            <w:tcW w:w="9017" w:type="dxa"/>
            <w:gridSpan w:val="4"/>
          </w:tcPr>
          <w:p w:rsidR="00145111" w:rsidRPr="00BF148D" w:rsidRDefault="00145111" w:rsidP="00224858">
            <w:pPr>
              <w:pStyle w:val="In-tableHeading"/>
              <w:rPr>
                <w:b w:val="0"/>
                <w:lang w:val="en-AU"/>
              </w:rPr>
            </w:pPr>
            <w:r w:rsidRPr="00BF148D">
              <w:rPr>
                <w:b w:val="0"/>
                <w:lang w:val="en-AU"/>
              </w:rPr>
              <w:t>Difference from placebo in percentage change from baseline in convulsive seizure frequency (28 day average)</w:t>
            </w:r>
          </w:p>
        </w:tc>
      </w:tr>
      <w:tr w:rsidR="00145111" w:rsidRPr="00BF148D" w:rsidTr="0093480D">
        <w:tc>
          <w:tcPr>
            <w:tcW w:w="3959" w:type="dxa"/>
          </w:tcPr>
          <w:p w:rsidR="00145111" w:rsidRPr="00BF148D" w:rsidRDefault="00145111" w:rsidP="00224858">
            <w:pPr>
              <w:pStyle w:val="In-tableHeading"/>
              <w:ind w:left="109"/>
              <w:rPr>
                <w:b w:val="0"/>
                <w:lang w:val="en-AU"/>
              </w:rPr>
            </w:pPr>
            <w:r w:rsidRPr="00BF148D">
              <w:rPr>
                <w:b w:val="0"/>
                <w:lang w:val="en-AU"/>
              </w:rPr>
              <w:t>% reduction</w:t>
            </w:r>
            <w:r w:rsidR="00A655F1" w:rsidRPr="00BF148D">
              <w:rPr>
                <w:b w:val="0"/>
                <w:vertAlign w:val="superscript"/>
                <w:lang w:val="en-AU"/>
              </w:rPr>
              <w:t>a</w:t>
            </w:r>
            <w:r w:rsidRPr="00BF148D">
              <w:rPr>
                <w:b w:val="0"/>
                <w:lang w:val="en-AU"/>
              </w:rPr>
              <w:t>, (95% CI)</w:t>
            </w:r>
          </w:p>
        </w:tc>
        <w:tc>
          <w:tcPr>
            <w:tcW w:w="1686" w:type="dxa"/>
            <w:vAlign w:val="center"/>
          </w:tcPr>
          <w:p w:rsidR="00145111" w:rsidRPr="00BF148D" w:rsidRDefault="00145111" w:rsidP="00224858">
            <w:pPr>
              <w:pStyle w:val="In-tableHeading"/>
              <w:jc w:val="center"/>
              <w:rPr>
                <w:lang w:val="en-AU"/>
              </w:rPr>
            </w:pPr>
            <w:r w:rsidRPr="00BF148D">
              <w:rPr>
                <w:lang w:val="en-AU"/>
              </w:rPr>
              <w:t>29.8 (8.4, 46.2)</w:t>
            </w:r>
          </w:p>
        </w:tc>
        <w:tc>
          <w:tcPr>
            <w:tcW w:w="1686" w:type="dxa"/>
            <w:vAlign w:val="center"/>
          </w:tcPr>
          <w:p w:rsidR="00145111" w:rsidRPr="00BF148D" w:rsidRDefault="00145111" w:rsidP="00224858">
            <w:pPr>
              <w:pStyle w:val="In-tableHeading"/>
              <w:jc w:val="center"/>
              <w:rPr>
                <w:lang w:val="en-AU"/>
              </w:rPr>
            </w:pPr>
            <w:r w:rsidRPr="00BF148D">
              <w:rPr>
                <w:lang w:val="en-AU"/>
              </w:rPr>
              <w:t>25.7 (2.9, 43.2)</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NA</w:t>
            </w:r>
          </w:p>
        </w:tc>
      </w:tr>
      <w:tr w:rsidR="00145111" w:rsidRPr="00BF148D" w:rsidTr="0093480D">
        <w:tc>
          <w:tcPr>
            <w:tcW w:w="9017" w:type="dxa"/>
            <w:gridSpan w:val="4"/>
            <w:tcBorders>
              <w:bottom w:val="single" w:sz="4" w:space="0" w:color="auto"/>
            </w:tcBorders>
          </w:tcPr>
          <w:p w:rsidR="00145111" w:rsidRPr="00BF148D" w:rsidRDefault="00145111" w:rsidP="00224858">
            <w:pPr>
              <w:pStyle w:val="In-tableHeading"/>
              <w:rPr>
                <w:b w:val="0"/>
                <w:lang w:val="en-AU"/>
              </w:rPr>
            </w:pPr>
            <w:r w:rsidRPr="00BF148D">
              <w:rPr>
                <w:b w:val="0"/>
                <w:lang w:val="en-AU"/>
              </w:rPr>
              <w:t>Treatment ratio versus placebo</w:t>
            </w:r>
          </w:p>
        </w:tc>
      </w:tr>
      <w:tr w:rsidR="00145111" w:rsidRPr="00BF148D" w:rsidTr="0093480D">
        <w:tc>
          <w:tcPr>
            <w:tcW w:w="3959" w:type="dxa"/>
            <w:tcBorders>
              <w:bottom w:val="double" w:sz="4" w:space="0" w:color="auto"/>
            </w:tcBorders>
          </w:tcPr>
          <w:p w:rsidR="00145111" w:rsidRPr="00BF148D" w:rsidRDefault="00145111" w:rsidP="00224858">
            <w:pPr>
              <w:pStyle w:val="In-tableHeading"/>
              <w:ind w:left="109"/>
              <w:rPr>
                <w:b w:val="0"/>
                <w:lang w:val="en-AU"/>
              </w:rPr>
            </w:pPr>
            <w:r w:rsidRPr="00BF148D">
              <w:rPr>
                <w:b w:val="0"/>
                <w:lang w:val="en-AU"/>
              </w:rPr>
              <w:t>% reduction</w:t>
            </w:r>
            <w:r w:rsidR="00A655F1" w:rsidRPr="00BF148D">
              <w:rPr>
                <w:b w:val="0"/>
                <w:vertAlign w:val="superscript"/>
                <w:lang w:val="en-AU"/>
              </w:rPr>
              <w:t>a</w:t>
            </w:r>
            <w:r w:rsidRPr="00BF148D">
              <w:rPr>
                <w:b w:val="0"/>
                <w:lang w:val="en-AU"/>
              </w:rPr>
              <w:t>, (95% CI)</w:t>
            </w:r>
          </w:p>
        </w:tc>
        <w:tc>
          <w:tcPr>
            <w:tcW w:w="1686" w:type="dxa"/>
            <w:tcBorders>
              <w:bottom w:val="double" w:sz="4" w:space="0" w:color="auto"/>
            </w:tcBorders>
            <w:vAlign w:val="center"/>
          </w:tcPr>
          <w:p w:rsidR="00145111" w:rsidRPr="00BF148D" w:rsidRDefault="00145111" w:rsidP="00344D44">
            <w:pPr>
              <w:pStyle w:val="In-tableHeading"/>
              <w:jc w:val="center"/>
              <w:rPr>
                <w:lang w:val="en-AU"/>
              </w:rPr>
            </w:pPr>
            <w:r w:rsidRPr="00BF148D">
              <w:rPr>
                <w:lang w:val="en-AU"/>
              </w:rPr>
              <w:t>0.702 (0.538, 0.916)</w:t>
            </w:r>
          </w:p>
        </w:tc>
        <w:tc>
          <w:tcPr>
            <w:tcW w:w="1686" w:type="dxa"/>
            <w:tcBorders>
              <w:bottom w:val="double" w:sz="4" w:space="0" w:color="auto"/>
            </w:tcBorders>
          </w:tcPr>
          <w:p w:rsidR="00145111" w:rsidRPr="00BF148D" w:rsidRDefault="00145111" w:rsidP="00344D44">
            <w:pPr>
              <w:pStyle w:val="In-tableHeading"/>
              <w:jc w:val="center"/>
              <w:rPr>
                <w:lang w:val="en-AU"/>
              </w:rPr>
            </w:pPr>
            <w:r w:rsidRPr="00BF148D">
              <w:rPr>
                <w:lang w:val="en-AU"/>
              </w:rPr>
              <w:t>0.743 (0.568, 0.971)</w:t>
            </w:r>
          </w:p>
        </w:tc>
        <w:tc>
          <w:tcPr>
            <w:tcW w:w="1686" w:type="dxa"/>
            <w:tcBorders>
              <w:bottom w:val="double" w:sz="4" w:space="0" w:color="auto"/>
            </w:tcBorders>
            <w:vAlign w:val="center"/>
          </w:tcPr>
          <w:p w:rsidR="00145111" w:rsidRPr="00BF148D" w:rsidRDefault="00145111" w:rsidP="00224858">
            <w:pPr>
              <w:pStyle w:val="In-tableHeading"/>
              <w:jc w:val="center"/>
              <w:rPr>
                <w:b w:val="0"/>
                <w:lang w:val="en-AU"/>
              </w:rPr>
            </w:pPr>
            <w:r w:rsidRPr="00BF148D">
              <w:rPr>
                <w:b w:val="0"/>
                <w:lang w:val="en-AU"/>
              </w:rPr>
              <w:t>NA</w:t>
            </w:r>
          </w:p>
        </w:tc>
      </w:tr>
      <w:tr w:rsidR="00145111" w:rsidRPr="00BF148D" w:rsidTr="0093480D">
        <w:tc>
          <w:tcPr>
            <w:tcW w:w="3959" w:type="dxa"/>
            <w:tcBorders>
              <w:top w:val="double" w:sz="4" w:space="0" w:color="auto"/>
            </w:tcBorders>
            <w:vAlign w:val="center"/>
          </w:tcPr>
          <w:p w:rsidR="00145111" w:rsidRPr="00BF148D" w:rsidRDefault="001C575E" w:rsidP="00224858">
            <w:pPr>
              <w:pStyle w:val="In-tableHeading"/>
              <w:rPr>
                <w:b w:val="0"/>
                <w:lang w:val="en-AU"/>
              </w:rPr>
            </w:pPr>
            <w:r w:rsidRPr="00BF148D">
              <w:rPr>
                <w:b w:val="0"/>
                <w:lang w:val="en-AU"/>
              </w:rPr>
              <w:t xml:space="preserve">Proportion of patients experiencing </w:t>
            </w:r>
            <w:r w:rsidR="00145111" w:rsidRPr="00BF148D">
              <w:rPr>
                <w:b w:val="0"/>
                <w:lang w:val="en-AU"/>
              </w:rPr>
              <w:t>≥50% reduction in convulsive seizure frequency from baseline</w:t>
            </w:r>
            <w:r w:rsidRPr="00BF148D">
              <w:rPr>
                <w:b w:val="0"/>
                <w:lang w:val="en-AU"/>
              </w:rPr>
              <w:t>, n/N (%)</w:t>
            </w:r>
          </w:p>
        </w:tc>
        <w:tc>
          <w:tcPr>
            <w:tcW w:w="1686" w:type="dxa"/>
            <w:tcBorders>
              <w:top w:val="double" w:sz="4" w:space="0" w:color="auto"/>
            </w:tcBorders>
            <w:vAlign w:val="center"/>
          </w:tcPr>
          <w:p w:rsidR="00145111" w:rsidRPr="00BF148D" w:rsidRDefault="00145111" w:rsidP="00224858">
            <w:pPr>
              <w:pStyle w:val="In-tableHeading"/>
              <w:jc w:val="center"/>
              <w:rPr>
                <w:lang w:val="en-AU"/>
              </w:rPr>
            </w:pPr>
            <w:r w:rsidRPr="00BF148D">
              <w:rPr>
                <w:b w:val="0"/>
                <w:lang w:val="en-AU"/>
              </w:rPr>
              <w:t>29/66 (43.9)</w:t>
            </w:r>
          </w:p>
        </w:tc>
        <w:tc>
          <w:tcPr>
            <w:tcW w:w="1686" w:type="dxa"/>
            <w:tcBorders>
              <w:top w:val="double" w:sz="4" w:space="0" w:color="auto"/>
            </w:tcBorders>
            <w:vAlign w:val="center"/>
          </w:tcPr>
          <w:p w:rsidR="00145111" w:rsidRPr="00BF148D" w:rsidRDefault="00145111" w:rsidP="00224858">
            <w:pPr>
              <w:pStyle w:val="In-tableHeading"/>
              <w:jc w:val="center"/>
              <w:rPr>
                <w:lang w:val="en-AU"/>
              </w:rPr>
            </w:pPr>
            <w:r w:rsidRPr="00BF148D">
              <w:rPr>
                <w:b w:val="0"/>
                <w:lang w:val="en-AU"/>
              </w:rPr>
              <w:t>33/67 (49.3)</w:t>
            </w:r>
          </w:p>
        </w:tc>
        <w:tc>
          <w:tcPr>
            <w:tcW w:w="1686" w:type="dxa"/>
            <w:tcBorders>
              <w:top w:val="double" w:sz="4" w:space="0" w:color="auto"/>
            </w:tcBorders>
            <w:vAlign w:val="center"/>
          </w:tcPr>
          <w:p w:rsidR="00145111" w:rsidRPr="00BF148D" w:rsidRDefault="001E7667" w:rsidP="00224858">
            <w:pPr>
              <w:pStyle w:val="In-tableHeading"/>
              <w:jc w:val="center"/>
              <w:rPr>
                <w:b w:val="0"/>
                <w:lang w:val="en-AU"/>
              </w:rPr>
            </w:pPr>
            <w:r w:rsidRPr="00BF148D">
              <w:rPr>
                <w:b w:val="0"/>
                <w:lang w:val="en-AU"/>
              </w:rPr>
              <w:t>17/65 (</w:t>
            </w:r>
            <w:r w:rsidR="00145111" w:rsidRPr="00BF148D">
              <w:rPr>
                <w:b w:val="0"/>
                <w:lang w:val="en-AU"/>
              </w:rPr>
              <w:t>26.2</w:t>
            </w:r>
            <w:r w:rsidRPr="00BF148D">
              <w:rPr>
                <w:b w:val="0"/>
                <w:lang w:val="en-AU"/>
              </w:rPr>
              <w:t>)</w:t>
            </w:r>
          </w:p>
        </w:tc>
      </w:tr>
      <w:tr w:rsidR="00145111" w:rsidRPr="00BF148D" w:rsidTr="0093480D">
        <w:tc>
          <w:tcPr>
            <w:tcW w:w="3959" w:type="dxa"/>
            <w:vAlign w:val="center"/>
          </w:tcPr>
          <w:p w:rsidR="00145111" w:rsidRPr="00BF148D" w:rsidRDefault="00145111" w:rsidP="00224858">
            <w:pPr>
              <w:pStyle w:val="In-tableHeading"/>
              <w:ind w:left="109"/>
              <w:rPr>
                <w:b w:val="0"/>
                <w:lang w:val="en-AU"/>
              </w:rPr>
            </w:pPr>
            <w:r w:rsidRPr="00BF148D">
              <w:rPr>
                <w:b w:val="0"/>
                <w:lang w:val="en-AU"/>
              </w:rPr>
              <w:t xml:space="preserve">OR </w:t>
            </w:r>
            <w:r w:rsidR="001C575E" w:rsidRPr="00BF148D">
              <w:rPr>
                <w:b w:val="0"/>
                <w:lang w:val="en-AU"/>
              </w:rPr>
              <w:t xml:space="preserve">vs placebo </w:t>
            </w:r>
            <w:r w:rsidRPr="00BF148D">
              <w:rPr>
                <w:b w:val="0"/>
                <w:lang w:val="en-AU"/>
              </w:rPr>
              <w:t>(95% CI)</w:t>
            </w:r>
          </w:p>
        </w:tc>
        <w:tc>
          <w:tcPr>
            <w:tcW w:w="1686" w:type="dxa"/>
            <w:vAlign w:val="center"/>
          </w:tcPr>
          <w:p w:rsidR="00145111" w:rsidRPr="00BF148D" w:rsidRDefault="00145111" w:rsidP="001E7667">
            <w:pPr>
              <w:pStyle w:val="In-tableHeading"/>
              <w:jc w:val="center"/>
              <w:rPr>
                <w:lang w:val="en-AU"/>
              </w:rPr>
            </w:pPr>
            <w:r w:rsidRPr="00BF148D">
              <w:rPr>
                <w:lang w:val="en-AU"/>
              </w:rPr>
              <w:t>2.21 (1.06, 4.62)</w:t>
            </w:r>
          </w:p>
        </w:tc>
        <w:tc>
          <w:tcPr>
            <w:tcW w:w="1686" w:type="dxa"/>
          </w:tcPr>
          <w:p w:rsidR="00145111" w:rsidRPr="00BF148D" w:rsidRDefault="00145111" w:rsidP="001E7667">
            <w:pPr>
              <w:pStyle w:val="In-tableHeading"/>
              <w:jc w:val="center"/>
              <w:rPr>
                <w:lang w:val="en-AU"/>
              </w:rPr>
            </w:pPr>
            <w:r w:rsidRPr="00BF148D">
              <w:rPr>
                <w:lang w:val="en-AU"/>
              </w:rPr>
              <w:t>2.74 (1.32, 5.70)</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NA</w:t>
            </w:r>
          </w:p>
        </w:tc>
      </w:tr>
      <w:tr w:rsidR="00145111" w:rsidRPr="00BF148D" w:rsidTr="0093480D">
        <w:tc>
          <w:tcPr>
            <w:tcW w:w="3959" w:type="dxa"/>
            <w:vAlign w:val="center"/>
          </w:tcPr>
          <w:p w:rsidR="00145111" w:rsidRPr="00BF148D" w:rsidRDefault="00145111" w:rsidP="00224858">
            <w:pPr>
              <w:pStyle w:val="In-tableHeading"/>
              <w:ind w:left="109"/>
              <w:rPr>
                <w:b w:val="0"/>
                <w:lang w:val="en-AU"/>
              </w:rPr>
            </w:pPr>
            <w:r w:rsidRPr="00BF148D">
              <w:rPr>
                <w:b w:val="0"/>
                <w:lang w:val="en-AU"/>
              </w:rPr>
              <w:t>RR</w:t>
            </w:r>
            <w:r w:rsidR="001C575E" w:rsidRPr="00BF148D">
              <w:rPr>
                <w:b w:val="0"/>
                <w:lang w:val="en-AU"/>
              </w:rPr>
              <w:t xml:space="preserve"> vs placebo</w:t>
            </w:r>
            <w:r w:rsidRPr="00BF148D">
              <w:rPr>
                <w:b w:val="0"/>
                <w:lang w:val="en-AU"/>
              </w:rPr>
              <w:t xml:space="preserve"> (95% CI)</w:t>
            </w:r>
          </w:p>
        </w:tc>
        <w:tc>
          <w:tcPr>
            <w:tcW w:w="1686" w:type="dxa"/>
            <w:vAlign w:val="center"/>
          </w:tcPr>
          <w:p w:rsidR="00145111" w:rsidRPr="00BF148D" w:rsidRDefault="00145111" w:rsidP="001E7667">
            <w:pPr>
              <w:pStyle w:val="In-tableHeading"/>
              <w:jc w:val="center"/>
              <w:rPr>
                <w:lang w:val="en-AU"/>
              </w:rPr>
            </w:pPr>
            <w:r w:rsidRPr="00BF148D">
              <w:rPr>
                <w:lang w:val="en-AU"/>
              </w:rPr>
              <w:t>1.68 (1.03, 2.75)</w:t>
            </w:r>
          </w:p>
        </w:tc>
        <w:tc>
          <w:tcPr>
            <w:tcW w:w="1686" w:type="dxa"/>
            <w:vAlign w:val="center"/>
          </w:tcPr>
          <w:p w:rsidR="00145111" w:rsidRPr="00BF148D" w:rsidRDefault="00145111" w:rsidP="001E7667">
            <w:pPr>
              <w:pStyle w:val="In-tableHeading"/>
              <w:jc w:val="center"/>
              <w:rPr>
                <w:lang w:val="en-AU"/>
              </w:rPr>
            </w:pPr>
            <w:r w:rsidRPr="00BF148D">
              <w:rPr>
                <w:lang w:val="en-AU"/>
              </w:rPr>
              <w:t>1.88 (1.17, 3.03)</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NA</w:t>
            </w:r>
          </w:p>
        </w:tc>
      </w:tr>
      <w:tr w:rsidR="00145111" w:rsidRPr="00BF148D" w:rsidTr="0093480D">
        <w:tc>
          <w:tcPr>
            <w:tcW w:w="3959" w:type="dxa"/>
            <w:vAlign w:val="center"/>
          </w:tcPr>
          <w:p w:rsidR="00145111" w:rsidRPr="00BF148D" w:rsidRDefault="00145111" w:rsidP="001E7667">
            <w:pPr>
              <w:pStyle w:val="In-tableHeading"/>
              <w:ind w:left="109"/>
              <w:rPr>
                <w:b w:val="0"/>
                <w:lang w:val="en-AU"/>
              </w:rPr>
            </w:pPr>
            <w:r w:rsidRPr="00BF148D">
              <w:rPr>
                <w:b w:val="0"/>
                <w:lang w:val="en-AU"/>
              </w:rPr>
              <w:t xml:space="preserve">RD </w:t>
            </w:r>
            <w:r w:rsidR="001C575E" w:rsidRPr="00BF148D">
              <w:rPr>
                <w:b w:val="0"/>
                <w:lang w:val="en-AU"/>
              </w:rPr>
              <w:t xml:space="preserve">vs placebo </w:t>
            </w:r>
            <w:r w:rsidRPr="00BF148D">
              <w:rPr>
                <w:b w:val="0"/>
                <w:lang w:val="en-AU"/>
              </w:rPr>
              <w:t>(95% CI)</w:t>
            </w:r>
          </w:p>
        </w:tc>
        <w:tc>
          <w:tcPr>
            <w:tcW w:w="1686" w:type="dxa"/>
            <w:vAlign w:val="center"/>
          </w:tcPr>
          <w:p w:rsidR="00145111" w:rsidRPr="00BF148D" w:rsidRDefault="00145111" w:rsidP="001E7667">
            <w:pPr>
              <w:pStyle w:val="In-tableHeading"/>
              <w:jc w:val="center"/>
              <w:rPr>
                <w:lang w:val="en-AU"/>
              </w:rPr>
            </w:pPr>
            <w:r w:rsidRPr="00BF148D">
              <w:rPr>
                <w:lang w:val="en-AU"/>
              </w:rPr>
              <w:t>0.18 (0.02, 0.34)</w:t>
            </w:r>
          </w:p>
        </w:tc>
        <w:tc>
          <w:tcPr>
            <w:tcW w:w="1686" w:type="dxa"/>
            <w:vAlign w:val="center"/>
          </w:tcPr>
          <w:p w:rsidR="00145111" w:rsidRPr="00BF148D" w:rsidRDefault="00145111" w:rsidP="001E7667">
            <w:pPr>
              <w:pStyle w:val="In-tableHeading"/>
              <w:jc w:val="center"/>
              <w:rPr>
                <w:lang w:val="en-AU"/>
              </w:rPr>
            </w:pPr>
            <w:r w:rsidRPr="00BF148D">
              <w:rPr>
                <w:lang w:val="en-AU"/>
              </w:rPr>
              <w:t>0.23 (0.07, 0.39)</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NA</w:t>
            </w:r>
          </w:p>
        </w:tc>
      </w:tr>
      <w:tr w:rsidR="00145111" w:rsidRPr="00BF148D" w:rsidTr="0093480D">
        <w:tc>
          <w:tcPr>
            <w:tcW w:w="9017" w:type="dxa"/>
            <w:gridSpan w:val="4"/>
          </w:tcPr>
          <w:p w:rsidR="00145111" w:rsidRPr="00BF148D" w:rsidRDefault="00145111" w:rsidP="00224858">
            <w:pPr>
              <w:pStyle w:val="In-tableHeading"/>
              <w:rPr>
                <w:lang w:val="en-AU"/>
              </w:rPr>
            </w:pPr>
            <w:r w:rsidRPr="00BF148D">
              <w:rPr>
                <w:lang w:val="en-AU"/>
              </w:rPr>
              <w:t>GWPCARE1 Part B*</w:t>
            </w:r>
          </w:p>
        </w:tc>
      </w:tr>
      <w:tr w:rsidR="00145111" w:rsidRPr="00BF148D" w:rsidTr="0093480D">
        <w:tc>
          <w:tcPr>
            <w:tcW w:w="3959" w:type="dxa"/>
          </w:tcPr>
          <w:p w:rsidR="00145111" w:rsidRPr="00BF148D" w:rsidRDefault="00145111" w:rsidP="00224858">
            <w:pPr>
              <w:pStyle w:val="In-tableHeading"/>
              <w:rPr>
                <w:b w:val="0"/>
                <w:lang w:val="en-AU"/>
              </w:rPr>
            </w:pPr>
            <w:r w:rsidRPr="00BF148D">
              <w:rPr>
                <w:b w:val="0"/>
                <w:lang w:val="en-AU"/>
              </w:rPr>
              <w:t xml:space="preserve">Median convulsive seizure frequency </w:t>
            </w:r>
            <w:r w:rsidR="001C575E" w:rsidRPr="00BF148D">
              <w:rPr>
                <w:b w:val="0"/>
                <w:lang w:val="en-AU"/>
              </w:rPr>
              <w:t xml:space="preserve">(average per 28 days) </w:t>
            </w:r>
            <w:r w:rsidRPr="00BF148D">
              <w:rPr>
                <w:b w:val="0"/>
                <w:lang w:val="en-AU"/>
              </w:rPr>
              <w:t>at baseline (Q1, Q3)</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NA</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12.44 (6.2, 28.0)</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14.88 (7.0, 36.0)</w:t>
            </w:r>
          </w:p>
        </w:tc>
      </w:tr>
      <w:tr w:rsidR="00145111" w:rsidRPr="00BF148D" w:rsidTr="0093480D">
        <w:tc>
          <w:tcPr>
            <w:tcW w:w="3959" w:type="dxa"/>
          </w:tcPr>
          <w:p w:rsidR="00145111" w:rsidRPr="00BF148D" w:rsidRDefault="001C575E" w:rsidP="00224858">
            <w:pPr>
              <w:pStyle w:val="In-tableHeading"/>
              <w:rPr>
                <w:b w:val="0"/>
                <w:lang w:val="en-AU"/>
              </w:rPr>
            </w:pPr>
            <w:r w:rsidRPr="00BF148D">
              <w:rPr>
                <w:b w:val="0"/>
                <w:lang w:val="en-AU"/>
              </w:rPr>
              <w:t>Median convulsive seizure frequency (average per 28 days) at end of treatment period (Q1, Q3)</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NA</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5.92 (3.2, 17.3)</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14.14 (4.2, 31.1)</w:t>
            </w:r>
          </w:p>
        </w:tc>
      </w:tr>
      <w:tr w:rsidR="00145111" w:rsidRPr="00BF148D" w:rsidTr="0093480D">
        <w:tc>
          <w:tcPr>
            <w:tcW w:w="3959" w:type="dxa"/>
          </w:tcPr>
          <w:p w:rsidR="00145111" w:rsidRPr="00BF148D" w:rsidRDefault="00145111" w:rsidP="00224858">
            <w:pPr>
              <w:pStyle w:val="In-tableHeading"/>
              <w:rPr>
                <w:b w:val="0"/>
                <w:lang w:val="en-AU"/>
              </w:rPr>
            </w:pPr>
            <w:r w:rsidRPr="00BF148D">
              <w:rPr>
                <w:b w:val="0"/>
                <w:lang w:val="en-AU"/>
              </w:rPr>
              <w:t>Median percentage change during treatment (Q1, Q3)</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NA</w:t>
            </w:r>
          </w:p>
        </w:tc>
        <w:tc>
          <w:tcPr>
            <w:tcW w:w="1686" w:type="dxa"/>
            <w:vAlign w:val="center"/>
          </w:tcPr>
          <w:p w:rsidR="00145111" w:rsidRPr="00BF148D" w:rsidRDefault="00145111" w:rsidP="00224858">
            <w:pPr>
              <w:pStyle w:val="In-tableHeading"/>
              <w:jc w:val="center"/>
              <w:rPr>
                <w:lang w:val="en-AU"/>
              </w:rPr>
            </w:pPr>
            <w:r w:rsidRPr="00BF148D">
              <w:rPr>
                <w:lang w:val="en-AU"/>
              </w:rPr>
              <w:t>-38.94 (-69.5, -4.8)</w:t>
            </w:r>
          </w:p>
        </w:tc>
        <w:tc>
          <w:tcPr>
            <w:tcW w:w="1686" w:type="dxa"/>
            <w:vAlign w:val="center"/>
          </w:tcPr>
          <w:p w:rsidR="00145111" w:rsidRPr="00BF148D" w:rsidRDefault="00145111" w:rsidP="00224858">
            <w:pPr>
              <w:pStyle w:val="In-tableHeading"/>
              <w:jc w:val="center"/>
              <w:rPr>
                <w:b w:val="0"/>
                <w:lang w:val="en-AU"/>
              </w:rPr>
            </w:pPr>
            <w:r w:rsidRPr="00BF148D">
              <w:rPr>
                <w:b w:val="0"/>
                <w:lang w:val="en-AU"/>
              </w:rPr>
              <w:t>-13.29 (-52.5, 20.2)</w:t>
            </w:r>
          </w:p>
        </w:tc>
      </w:tr>
      <w:tr w:rsidR="006E1230" w:rsidRPr="00BF148D" w:rsidTr="0093480D">
        <w:tc>
          <w:tcPr>
            <w:tcW w:w="3959" w:type="dxa"/>
            <w:tcBorders>
              <w:bottom w:val="double" w:sz="4" w:space="0" w:color="auto"/>
            </w:tcBorders>
            <w:vAlign w:val="center"/>
          </w:tcPr>
          <w:p w:rsidR="006E1230" w:rsidRPr="00BF148D" w:rsidRDefault="006E1230" w:rsidP="00344D44">
            <w:pPr>
              <w:pStyle w:val="In-tableHeading"/>
              <w:rPr>
                <w:b w:val="0"/>
                <w:lang w:val="en-AU"/>
              </w:rPr>
            </w:pPr>
            <w:r w:rsidRPr="00BF148D">
              <w:rPr>
                <w:b w:val="0"/>
                <w:lang w:val="en-AU"/>
              </w:rPr>
              <w:t>Estimated median percentage difference from placebo</w:t>
            </w:r>
            <w:r w:rsidR="00344D44" w:rsidRPr="00BF148D">
              <w:rPr>
                <w:b w:val="0"/>
                <w:vertAlign w:val="superscript"/>
                <w:lang w:val="en-AU"/>
              </w:rPr>
              <w:t>b</w:t>
            </w:r>
            <w:r w:rsidRPr="00BF148D">
              <w:rPr>
                <w:b w:val="0"/>
                <w:lang w:val="en-AU"/>
              </w:rPr>
              <w:t xml:space="preserve"> (95% CI)</w:t>
            </w:r>
          </w:p>
        </w:tc>
        <w:tc>
          <w:tcPr>
            <w:tcW w:w="1686" w:type="dxa"/>
            <w:tcBorders>
              <w:bottom w:val="double" w:sz="4" w:space="0" w:color="auto"/>
            </w:tcBorders>
            <w:vAlign w:val="center"/>
          </w:tcPr>
          <w:p w:rsidR="006E1230" w:rsidRPr="00BF148D" w:rsidRDefault="006E1230" w:rsidP="00224858">
            <w:pPr>
              <w:pStyle w:val="In-tableHeading"/>
              <w:jc w:val="center"/>
              <w:rPr>
                <w:b w:val="0"/>
                <w:lang w:val="en-AU"/>
              </w:rPr>
            </w:pPr>
            <w:r w:rsidRPr="00BF148D">
              <w:rPr>
                <w:b w:val="0"/>
                <w:lang w:val="en-AU"/>
              </w:rPr>
              <w:t>NA</w:t>
            </w:r>
          </w:p>
        </w:tc>
        <w:tc>
          <w:tcPr>
            <w:tcW w:w="1686" w:type="dxa"/>
            <w:tcBorders>
              <w:bottom w:val="double" w:sz="4" w:space="0" w:color="auto"/>
            </w:tcBorders>
            <w:vAlign w:val="center"/>
          </w:tcPr>
          <w:p w:rsidR="006E1230" w:rsidRPr="00BF148D" w:rsidRDefault="006E1230" w:rsidP="001E7667">
            <w:pPr>
              <w:pStyle w:val="In-tableHeading"/>
              <w:jc w:val="center"/>
              <w:rPr>
                <w:lang w:val="en-AU"/>
              </w:rPr>
            </w:pPr>
            <w:r w:rsidRPr="00BF148D">
              <w:rPr>
                <w:lang w:val="en-AU"/>
              </w:rPr>
              <w:t xml:space="preserve">-22.79 (-41.06, -5.43) </w:t>
            </w:r>
          </w:p>
        </w:tc>
        <w:tc>
          <w:tcPr>
            <w:tcW w:w="1686" w:type="dxa"/>
            <w:tcBorders>
              <w:bottom w:val="double" w:sz="4" w:space="0" w:color="auto"/>
            </w:tcBorders>
            <w:vAlign w:val="center"/>
          </w:tcPr>
          <w:p w:rsidR="006E1230" w:rsidRPr="00BF148D" w:rsidRDefault="006E1230" w:rsidP="00224858">
            <w:pPr>
              <w:pStyle w:val="In-tableHeading"/>
              <w:jc w:val="center"/>
              <w:rPr>
                <w:b w:val="0"/>
                <w:lang w:val="en-AU"/>
              </w:rPr>
            </w:pPr>
            <w:r w:rsidRPr="00BF148D">
              <w:rPr>
                <w:b w:val="0"/>
                <w:lang w:val="en-AU"/>
              </w:rPr>
              <w:t>NA</w:t>
            </w:r>
          </w:p>
        </w:tc>
      </w:tr>
      <w:tr w:rsidR="006E1230" w:rsidRPr="00BF148D" w:rsidTr="0093480D">
        <w:tc>
          <w:tcPr>
            <w:tcW w:w="3959" w:type="dxa"/>
            <w:tcBorders>
              <w:top w:val="double" w:sz="4" w:space="0" w:color="auto"/>
            </w:tcBorders>
            <w:vAlign w:val="center"/>
          </w:tcPr>
          <w:p w:rsidR="006E1230" w:rsidRPr="00BF148D" w:rsidRDefault="006E1230" w:rsidP="00224858">
            <w:pPr>
              <w:pStyle w:val="In-tableHeading"/>
              <w:rPr>
                <w:b w:val="0"/>
                <w:lang w:val="en-AU"/>
              </w:rPr>
            </w:pPr>
            <w:r w:rsidRPr="00BF148D">
              <w:rPr>
                <w:b w:val="0"/>
                <w:lang w:val="en-AU"/>
              </w:rPr>
              <w:t xml:space="preserve">Proportion of patients experiencing </w:t>
            </w:r>
            <w:r w:rsidRPr="00BF148D">
              <w:rPr>
                <w:b w:val="0"/>
                <w:i/>
                <w:lang w:val="en-AU"/>
              </w:rPr>
              <w:t>≥</w:t>
            </w:r>
            <w:r w:rsidRPr="00BF148D">
              <w:rPr>
                <w:b w:val="0"/>
                <w:lang w:val="en-AU"/>
              </w:rPr>
              <w:t>50% reduction in convulsive seizure frequency from baseline, n/N (%)</w:t>
            </w:r>
            <w:r w:rsidR="00EB62D6" w:rsidRPr="00BF148D">
              <w:rPr>
                <w:b w:val="0"/>
                <w:lang w:val="en-AU"/>
              </w:rPr>
              <w:t xml:space="preserve"> </w:t>
            </w:r>
          </w:p>
        </w:tc>
        <w:tc>
          <w:tcPr>
            <w:tcW w:w="1686" w:type="dxa"/>
            <w:tcBorders>
              <w:top w:val="double" w:sz="4" w:space="0" w:color="auto"/>
            </w:tcBorders>
            <w:vAlign w:val="center"/>
          </w:tcPr>
          <w:p w:rsidR="006E1230" w:rsidRPr="00BF148D" w:rsidRDefault="006E1230" w:rsidP="00224858">
            <w:pPr>
              <w:pStyle w:val="In-tableHeading"/>
              <w:jc w:val="center"/>
              <w:rPr>
                <w:b w:val="0"/>
                <w:lang w:val="en-AU"/>
              </w:rPr>
            </w:pPr>
            <w:r w:rsidRPr="00BF148D">
              <w:rPr>
                <w:b w:val="0"/>
                <w:lang w:val="en-AU"/>
              </w:rPr>
              <w:t>NA</w:t>
            </w:r>
          </w:p>
        </w:tc>
        <w:tc>
          <w:tcPr>
            <w:tcW w:w="1686" w:type="dxa"/>
            <w:tcBorders>
              <w:top w:val="double" w:sz="4" w:space="0" w:color="auto"/>
            </w:tcBorders>
            <w:vAlign w:val="center"/>
          </w:tcPr>
          <w:p w:rsidR="006E1230" w:rsidRPr="00BF148D" w:rsidRDefault="00344D44" w:rsidP="00224858">
            <w:pPr>
              <w:pStyle w:val="In-tableHeading"/>
              <w:jc w:val="center"/>
              <w:rPr>
                <w:b w:val="0"/>
                <w:lang w:val="en-AU"/>
              </w:rPr>
            </w:pPr>
            <w:r w:rsidRPr="00BF148D">
              <w:rPr>
                <w:b w:val="0"/>
                <w:lang w:val="en-AU"/>
              </w:rPr>
              <w:t>26/61 (</w:t>
            </w:r>
            <w:r w:rsidR="006E1230" w:rsidRPr="00BF148D">
              <w:rPr>
                <w:b w:val="0"/>
                <w:lang w:val="en-AU"/>
              </w:rPr>
              <w:t>42.6</w:t>
            </w:r>
            <w:r w:rsidRPr="00BF148D">
              <w:rPr>
                <w:b w:val="0"/>
                <w:lang w:val="en-AU"/>
              </w:rPr>
              <w:t>)</w:t>
            </w:r>
          </w:p>
        </w:tc>
        <w:tc>
          <w:tcPr>
            <w:tcW w:w="1686" w:type="dxa"/>
            <w:tcBorders>
              <w:top w:val="double" w:sz="4" w:space="0" w:color="auto"/>
            </w:tcBorders>
            <w:vAlign w:val="center"/>
          </w:tcPr>
          <w:p w:rsidR="006E1230" w:rsidRPr="00BF148D" w:rsidRDefault="00344D44" w:rsidP="00224858">
            <w:pPr>
              <w:pStyle w:val="In-tableHeading"/>
              <w:jc w:val="center"/>
              <w:rPr>
                <w:b w:val="0"/>
                <w:lang w:val="en-AU"/>
              </w:rPr>
            </w:pPr>
            <w:r w:rsidRPr="00BF148D">
              <w:rPr>
                <w:b w:val="0"/>
                <w:lang w:val="en-AU"/>
              </w:rPr>
              <w:t>16/59 (</w:t>
            </w:r>
            <w:r w:rsidR="006E1230" w:rsidRPr="00BF148D">
              <w:rPr>
                <w:b w:val="0"/>
                <w:lang w:val="en-AU"/>
              </w:rPr>
              <w:t>27.1</w:t>
            </w:r>
            <w:r w:rsidRPr="00BF148D">
              <w:rPr>
                <w:b w:val="0"/>
                <w:lang w:val="en-AU"/>
              </w:rPr>
              <w:t>)</w:t>
            </w:r>
          </w:p>
        </w:tc>
      </w:tr>
      <w:tr w:rsidR="006E1230" w:rsidRPr="00BF148D" w:rsidTr="0093480D">
        <w:tc>
          <w:tcPr>
            <w:tcW w:w="3959" w:type="dxa"/>
            <w:vAlign w:val="center"/>
          </w:tcPr>
          <w:p w:rsidR="006E1230" w:rsidRPr="00BF148D" w:rsidRDefault="006E1230" w:rsidP="00224858">
            <w:pPr>
              <w:pStyle w:val="In-tableHeading"/>
              <w:rPr>
                <w:b w:val="0"/>
                <w:lang w:val="en-AU"/>
              </w:rPr>
            </w:pPr>
            <w:r w:rsidRPr="00BF148D">
              <w:rPr>
                <w:b w:val="0"/>
                <w:lang w:val="en-AU"/>
              </w:rPr>
              <w:t xml:space="preserve">OR of patients experiencing </w:t>
            </w:r>
            <w:r w:rsidRPr="00BF148D">
              <w:rPr>
                <w:b w:val="0"/>
                <w:i/>
                <w:lang w:val="en-AU"/>
              </w:rPr>
              <w:t>≥</w:t>
            </w:r>
            <w:r w:rsidRPr="00BF148D">
              <w:rPr>
                <w:b w:val="0"/>
                <w:lang w:val="en-AU"/>
              </w:rPr>
              <w:t>50% reduction in convulsive seizure frequency from baseline compared to placebo (95% CI)</w:t>
            </w:r>
          </w:p>
        </w:tc>
        <w:tc>
          <w:tcPr>
            <w:tcW w:w="1686" w:type="dxa"/>
            <w:vAlign w:val="center"/>
          </w:tcPr>
          <w:p w:rsidR="006E1230" w:rsidRPr="00BF148D" w:rsidRDefault="006E1230" w:rsidP="00224858">
            <w:pPr>
              <w:pStyle w:val="In-tableHeading"/>
              <w:jc w:val="center"/>
              <w:rPr>
                <w:b w:val="0"/>
                <w:lang w:val="en-AU"/>
              </w:rPr>
            </w:pPr>
            <w:r w:rsidRPr="00BF148D">
              <w:rPr>
                <w:b w:val="0"/>
                <w:lang w:val="en-AU"/>
              </w:rPr>
              <w:t>NA</w:t>
            </w:r>
          </w:p>
        </w:tc>
        <w:tc>
          <w:tcPr>
            <w:tcW w:w="1686" w:type="dxa"/>
            <w:vAlign w:val="center"/>
          </w:tcPr>
          <w:p w:rsidR="006E1230" w:rsidRPr="00BF148D" w:rsidRDefault="006E1230" w:rsidP="00224858">
            <w:pPr>
              <w:pStyle w:val="In-tableHeading"/>
              <w:jc w:val="center"/>
              <w:rPr>
                <w:b w:val="0"/>
                <w:lang w:val="en-AU"/>
              </w:rPr>
            </w:pPr>
            <w:r w:rsidRPr="00BF148D">
              <w:rPr>
                <w:b w:val="0"/>
                <w:lang w:val="en-AU"/>
              </w:rPr>
              <w:t>2.00 (0.93, 4.30)</w:t>
            </w:r>
          </w:p>
          <w:p w:rsidR="006E1230" w:rsidRPr="00BF148D" w:rsidRDefault="006E1230" w:rsidP="00224858">
            <w:pPr>
              <w:pStyle w:val="In-tableHeading"/>
              <w:jc w:val="center"/>
              <w:rPr>
                <w:lang w:val="en-AU"/>
              </w:rPr>
            </w:pPr>
          </w:p>
        </w:tc>
        <w:tc>
          <w:tcPr>
            <w:tcW w:w="1686" w:type="dxa"/>
            <w:vAlign w:val="center"/>
          </w:tcPr>
          <w:p w:rsidR="006E1230" w:rsidRPr="00BF148D" w:rsidRDefault="006E1230" w:rsidP="00224858">
            <w:pPr>
              <w:pStyle w:val="In-tableHeading"/>
              <w:jc w:val="center"/>
              <w:rPr>
                <w:b w:val="0"/>
                <w:lang w:val="en-AU"/>
              </w:rPr>
            </w:pPr>
            <w:r w:rsidRPr="00BF148D">
              <w:rPr>
                <w:b w:val="0"/>
                <w:lang w:val="en-AU"/>
              </w:rPr>
              <w:t>-</w:t>
            </w:r>
          </w:p>
        </w:tc>
      </w:tr>
    </w:tbl>
    <w:p w:rsidR="000E3C55" w:rsidRPr="00BF148D" w:rsidRDefault="007827EC" w:rsidP="00224858">
      <w:pPr>
        <w:pStyle w:val="TableFigureFooter"/>
      </w:pPr>
      <w:r w:rsidRPr="00BF148D">
        <w:t xml:space="preserve">CI = confidence interval; </w:t>
      </w:r>
      <w:r w:rsidR="000E3C55" w:rsidRPr="00BF148D">
        <w:t xml:space="preserve">NA = not applicable; </w:t>
      </w:r>
      <w:r w:rsidR="007B0995" w:rsidRPr="00BF148D">
        <w:t xml:space="preserve">OR = odds ratio; </w:t>
      </w:r>
      <w:r w:rsidRPr="00BF148D">
        <w:t xml:space="preserve">Q1 = lower quartile; Q3 = upper quartile; </w:t>
      </w:r>
      <w:r w:rsidR="007B0995" w:rsidRPr="00BF148D">
        <w:t>RD = risk difference; RR = relative risk</w:t>
      </w:r>
    </w:p>
    <w:p w:rsidR="00A655F1" w:rsidRPr="00BF148D" w:rsidRDefault="00A655F1" w:rsidP="00224858">
      <w:pPr>
        <w:pStyle w:val="TableFigureFooter"/>
      </w:pPr>
      <w:r w:rsidRPr="00BF148D">
        <w:rPr>
          <w:b/>
          <w:vertAlign w:val="superscript"/>
        </w:rPr>
        <w:t>a</w:t>
      </w:r>
      <w:r w:rsidRPr="00BF148D">
        <w:rPr>
          <w:b/>
        </w:rPr>
        <w:t xml:space="preserve"> </w:t>
      </w:r>
      <w:r w:rsidRPr="00BF148D">
        <w:t>using negative binomial regression</w:t>
      </w:r>
      <w:r w:rsidR="00344D44" w:rsidRPr="00BF148D">
        <w:t xml:space="preserve"> approach</w:t>
      </w:r>
    </w:p>
    <w:p w:rsidR="00344D44" w:rsidRPr="00BF148D" w:rsidRDefault="00344D44" w:rsidP="00224858">
      <w:pPr>
        <w:pStyle w:val="TableFigureFooter"/>
      </w:pPr>
      <w:r w:rsidRPr="00BF148D">
        <w:rPr>
          <w:b/>
          <w:vertAlign w:val="superscript"/>
        </w:rPr>
        <w:t>b</w:t>
      </w:r>
      <w:r w:rsidRPr="00BF148D">
        <w:rPr>
          <w:b/>
        </w:rPr>
        <w:t xml:space="preserve"> </w:t>
      </w:r>
      <w:r w:rsidRPr="00BF148D">
        <w:t>using Wilcoxon rank-sum test with Hodges-Lehmann approach</w:t>
      </w:r>
    </w:p>
    <w:p w:rsidR="000E3C55" w:rsidRPr="00BF148D" w:rsidRDefault="007827EC" w:rsidP="00224858">
      <w:pPr>
        <w:pStyle w:val="TableFigureFooter"/>
      </w:pPr>
      <w:r w:rsidRPr="00BF148D">
        <w:t xml:space="preserve">Bold indicates statistically significant differences. </w:t>
      </w:r>
    </w:p>
    <w:p w:rsidR="007827EC" w:rsidRPr="00BF148D" w:rsidRDefault="007827EC" w:rsidP="00224858">
      <w:pPr>
        <w:pStyle w:val="TableFigureFooter"/>
        <w:tabs>
          <w:tab w:val="left" w:pos="284"/>
        </w:tabs>
        <w:ind w:left="284" w:hanging="284"/>
      </w:pPr>
      <w:r w:rsidRPr="00BF148D">
        <w:t>*</w:t>
      </w:r>
      <w:r w:rsidR="00567534" w:rsidRPr="00BF148D">
        <w:tab/>
      </w:r>
      <w:r w:rsidRPr="00BF148D">
        <w:t>66 patients (10 mg/kg/day), 67 patients (20 mg/kg/day), 65 patients (placebo) in GWPCARE2 and 61 patients (20 mg/kg/day) and 59 patients (placebo) in GWPCARE1 Part B</w:t>
      </w:r>
    </w:p>
    <w:p w:rsidR="007827EC" w:rsidRPr="00BF148D" w:rsidRDefault="007827EC" w:rsidP="00224858">
      <w:pPr>
        <w:pStyle w:val="TableFigureFooter"/>
        <w:rPr>
          <w:sz w:val="20"/>
        </w:rPr>
      </w:pPr>
      <w:r w:rsidRPr="00BF148D">
        <w:t>Source: Table, 57, p101 and Table 61, p109 of the submission. Page 124-125, p145 of the GWPCARE2 CSR,</w:t>
      </w:r>
      <w:r w:rsidR="000E3C55" w:rsidRPr="00BF148D">
        <w:t xml:space="preserve"> </w:t>
      </w:r>
      <w:r w:rsidRPr="00BF148D">
        <w:t>p125 pf the GWPCARE1 Part B CSR, Table 58, pp102-103 of the submission.</w:t>
      </w:r>
    </w:p>
    <w:p w:rsidR="0057513C" w:rsidRPr="00BF148D" w:rsidRDefault="0057513C" w:rsidP="00224858">
      <w:pPr>
        <w:pStyle w:val="3-BodyText"/>
      </w:pPr>
      <w:bookmarkStart w:id="29" w:name="_Ref40275881"/>
      <w:r w:rsidRPr="00BF148D">
        <w:rPr>
          <w:snapToGrid/>
        </w:rPr>
        <w:t>GWPCARE2 demonstrated that patients treated with cannabidiol 10 mg/kg/day experienced, on average, an additional 29.8% reduction in the frequency of convulsive seizures per 28 days from baseline (primary endpoint) at 14 weeks compared to patients treated with placebo.</w:t>
      </w:r>
    </w:p>
    <w:p w:rsidR="00276693" w:rsidRPr="00BF148D" w:rsidRDefault="0057513C" w:rsidP="00F05DA8">
      <w:pPr>
        <w:pStyle w:val="3-BodyText"/>
      </w:pPr>
      <w:r w:rsidRPr="00BF148D">
        <w:rPr>
          <w:snapToGrid/>
        </w:rPr>
        <w:t>P</w:t>
      </w:r>
      <w:r w:rsidR="00276693" w:rsidRPr="00BF148D">
        <w:rPr>
          <w:snapToGrid/>
        </w:rPr>
        <w:t>atients treated with placebo repor</w:t>
      </w:r>
      <w:r w:rsidRPr="00BF148D">
        <w:rPr>
          <w:snapToGrid/>
        </w:rPr>
        <w:t>ted</w:t>
      </w:r>
      <w:r w:rsidR="00276693" w:rsidRPr="00BF148D">
        <w:rPr>
          <w:snapToGrid/>
        </w:rPr>
        <w:t xml:space="preserve"> overall positive improvement in the percentage change from baseline in convulsive seizure frequency (28 day average) (reduction of 26.9%, 95% CI 11.9%, 39.4%). Given that GWPCARE2 did not allow patients to use any new medications or interventions for epilepsy (including ketogenic </w:t>
      </w:r>
      <w:r w:rsidR="00276693" w:rsidRPr="00BF148D">
        <w:rPr>
          <w:snapToGrid/>
        </w:rPr>
        <w:lastRenderedPageBreak/>
        <w:t xml:space="preserve">diet and vagus nerve stimulation) </w:t>
      </w:r>
      <w:r w:rsidR="006D65C7" w:rsidRPr="00BF148D">
        <w:rPr>
          <w:snapToGrid/>
        </w:rPr>
        <w:t xml:space="preserve">and only allowed </w:t>
      </w:r>
      <w:r w:rsidR="00276693" w:rsidRPr="00BF148D">
        <w:rPr>
          <w:snapToGrid/>
        </w:rPr>
        <w:t>changes in dosages of concomitant AED</w:t>
      </w:r>
      <w:r w:rsidR="006D65C7" w:rsidRPr="00BF148D">
        <w:rPr>
          <w:snapToGrid/>
        </w:rPr>
        <w:t xml:space="preserve"> in certain circumstances</w:t>
      </w:r>
      <w:r w:rsidR="00276693" w:rsidRPr="00BF148D">
        <w:rPr>
          <w:snapToGrid/>
        </w:rPr>
        <w:t>, the improvement from baseline convulsive seizure frequency in patients using placebo could not be explained</w:t>
      </w:r>
      <w:r w:rsidRPr="00BF148D">
        <w:rPr>
          <w:snapToGrid/>
        </w:rPr>
        <w:t>.</w:t>
      </w:r>
      <w:r w:rsidR="00276693" w:rsidRPr="00BF148D">
        <w:rPr>
          <w:snapToGrid/>
        </w:rPr>
        <w:t xml:space="preserve"> Miller et al (2020) also noted that the placebo response rate in GWPCARE2 was higher than in GWPCARE1 (-26.9% vs -13%) without a clear explanation. </w:t>
      </w:r>
      <w:r w:rsidR="005207C4" w:rsidRPr="00BF148D">
        <w:rPr>
          <w:snapToGrid/>
        </w:rPr>
        <w:t xml:space="preserve">The ESC noted that there was a significant placebo effect which may or may not be present to the same degree outside the intense monitoring of the clinical trials. </w:t>
      </w:r>
      <w:bookmarkEnd w:id="29"/>
    </w:p>
    <w:p w:rsidR="007827EC" w:rsidRPr="00BF148D" w:rsidRDefault="007827EC" w:rsidP="00224858">
      <w:pPr>
        <w:pStyle w:val="3-BodyText"/>
      </w:pPr>
      <w:r w:rsidRPr="00BF148D">
        <w:rPr>
          <w:snapToGrid/>
        </w:rPr>
        <w:t>For secondary outcomes, compared to placebo, an additional 1</w:t>
      </w:r>
      <w:r w:rsidR="00E4235E" w:rsidRPr="00BF148D">
        <w:rPr>
          <w:snapToGrid/>
        </w:rPr>
        <w:t>8</w:t>
      </w:r>
      <w:r w:rsidRPr="00BF148D">
        <w:rPr>
          <w:snapToGrid/>
        </w:rPr>
        <w:t xml:space="preserve">% </w:t>
      </w:r>
      <w:r w:rsidR="00E4235E" w:rsidRPr="00BF148D">
        <w:rPr>
          <w:snapToGrid/>
        </w:rPr>
        <w:t xml:space="preserve">(95% CI: 2%, 34%) </w:t>
      </w:r>
      <w:r w:rsidRPr="00BF148D">
        <w:rPr>
          <w:snapToGrid/>
        </w:rPr>
        <w:t xml:space="preserve">of patients treated with cannabidiol 10 mg/kg/day had a 50% or more reduction in convulsive seizure frequency from baseline. </w:t>
      </w:r>
      <w:r w:rsidR="00BC6DA0" w:rsidRPr="00BF148D">
        <w:rPr>
          <w:snapToGrid/>
        </w:rPr>
        <w:t>The PBAC has previously indicated that a 50% reduction in seizures is likely to be clinically important in patients with intractable epilepsy (</w:t>
      </w:r>
      <w:r w:rsidR="008A49AD" w:rsidRPr="00BF148D">
        <w:rPr>
          <w:snapToGrid/>
        </w:rPr>
        <w:t>paragraph 12, l</w:t>
      </w:r>
      <w:r w:rsidR="00BC6DA0" w:rsidRPr="00BF148D">
        <w:rPr>
          <w:snapToGrid/>
        </w:rPr>
        <w:t xml:space="preserve">acosamide PSD November 2009). </w:t>
      </w:r>
      <w:r w:rsidR="001824AB" w:rsidRPr="00BF148D">
        <w:rPr>
          <w:snapToGrid/>
        </w:rPr>
        <w:t xml:space="preserve">The ESC considered that </w:t>
      </w:r>
      <w:r w:rsidR="00BC6DA0" w:rsidRPr="00BF148D">
        <w:rPr>
          <w:snapToGrid/>
        </w:rPr>
        <w:t xml:space="preserve">an additional </w:t>
      </w:r>
      <w:r w:rsidR="00E4235E" w:rsidRPr="00BF148D">
        <w:rPr>
          <w:snapToGrid/>
        </w:rPr>
        <w:t>18</w:t>
      </w:r>
      <w:r w:rsidR="00BC6DA0" w:rsidRPr="00BF148D">
        <w:rPr>
          <w:snapToGrid/>
        </w:rPr>
        <w:t xml:space="preserve">% of patients achieving </w:t>
      </w:r>
      <w:r w:rsidR="0057513C" w:rsidRPr="00BF148D">
        <w:rPr>
          <w:snapToGrid/>
        </w:rPr>
        <w:t>a ≥50% reduction in convulsive seizures</w:t>
      </w:r>
      <w:r w:rsidR="003753B8" w:rsidRPr="00BF148D">
        <w:rPr>
          <w:snapToGrid/>
        </w:rPr>
        <w:t xml:space="preserve"> </w:t>
      </w:r>
      <w:r w:rsidR="00BC6DA0" w:rsidRPr="00BF148D">
        <w:rPr>
          <w:snapToGrid/>
        </w:rPr>
        <w:t xml:space="preserve">was clinically meaningful. </w:t>
      </w:r>
      <w:r w:rsidRPr="00BF148D">
        <w:rPr>
          <w:snapToGrid/>
        </w:rPr>
        <w:t xml:space="preserve">Two patients (3.0%) treated with the 10 mg/kg/day dose of cannabidiol were free from convulsive seizures by the end of the trial, compared to one patient treated with placebo (1.5%). </w:t>
      </w:r>
    </w:p>
    <w:p w:rsidR="007827EC" w:rsidRPr="00BF148D" w:rsidRDefault="007827EC" w:rsidP="00224858">
      <w:pPr>
        <w:pStyle w:val="3-BodyText"/>
        <w:spacing w:after="0"/>
      </w:pPr>
      <w:r w:rsidRPr="00BF148D">
        <w:rPr>
          <w:snapToGrid/>
        </w:rPr>
        <w:t>Other trial results for cannabidiol 10 mg/kg/day for DS showed that:</w:t>
      </w:r>
    </w:p>
    <w:p w:rsidR="007827EC" w:rsidRPr="00BF148D" w:rsidRDefault="007827EC" w:rsidP="009C735A">
      <w:pPr>
        <w:pStyle w:val="3-BodyText"/>
        <w:numPr>
          <w:ilvl w:val="0"/>
          <w:numId w:val="10"/>
        </w:numPr>
        <w:spacing w:after="0"/>
        <w:ind w:left="993" w:hanging="284"/>
      </w:pPr>
      <w:r w:rsidRPr="00BF148D">
        <w:rPr>
          <w:snapToGrid/>
        </w:rPr>
        <w:t xml:space="preserve">there was a </w:t>
      </w:r>
      <w:r w:rsidR="00E4235E" w:rsidRPr="00BF148D">
        <w:rPr>
          <w:snapToGrid/>
        </w:rPr>
        <w:t xml:space="preserve">statistically </w:t>
      </w:r>
      <w:r w:rsidRPr="00BF148D">
        <w:rPr>
          <w:snapToGrid/>
        </w:rPr>
        <w:t>significant improvement in the Caregiver Global Impression of Change score, with 18.5% of caregivers reporting that patients treated with cannabidiol were very much improved compared to 3.1% for placebo treated patients at Day 57; and</w:t>
      </w:r>
    </w:p>
    <w:p w:rsidR="007827EC" w:rsidRPr="00BF148D" w:rsidRDefault="007827EC" w:rsidP="009C735A">
      <w:pPr>
        <w:pStyle w:val="3-BodyText"/>
        <w:numPr>
          <w:ilvl w:val="0"/>
          <w:numId w:val="10"/>
        </w:numPr>
        <w:ind w:left="993" w:hanging="284"/>
      </w:pPr>
      <w:r w:rsidRPr="00BF148D">
        <w:rPr>
          <w:snapToGrid/>
        </w:rPr>
        <w:t xml:space="preserve">total seizures </w:t>
      </w:r>
      <w:r w:rsidR="00E4235E" w:rsidRPr="00BF148D">
        <w:rPr>
          <w:snapToGrid/>
        </w:rPr>
        <w:t xml:space="preserve">(convulsive and non-convulsive) </w:t>
      </w:r>
      <w:r w:rsidRPr="00BF148D">
        <w:rPr>
          <w:snapToGrid/>
        </w:rPr>
        <w:t xml:space="preserve">were reduced by 56.4% compared to placebo patients where the total reduction in seizure frequency from baseline was 29.7%. </w:t>
      </w:r>
    </w:p>
    <w:p w:rsidR="007827EC" w:rsidRPr="00BF148D" w:rsidRDefault="007827EC" w:rsidP="00224858">
      <w:pPr>
        <w:pStyle w:val="3-BodyText"/>
      </w:pPr>
      <w:r w:rsidRPr="00BF148D">
        <w:t xml:space="preserve">For the 20 mg/kg/day dose, the results for trial GWPCARE2 showed that the percentage reduction in convulsive seizures from baseline (primary endpoint) </w:t>
      </w:r>
      <w:r w:rsidR="00E4235E" w:rsidRPr="00BF148D">
        <w:t xml:space="preserve">(45.7%) </w:t>
      </w:r>
      <w:r w:rsidRPr="00BF148D">
        <w:t>was less than for the 10 mg/kg/day dose</w:t>
      </w:r>
      <w:r w:rsidR="00E4235E" w:rsidRPr="00BF148D">
        <w:t xml:space="preserve"> (48.7%)</w:t>
      </w:r>
      <w:r w:rsidRPr="00BF148D">
        <w:t xml:space="preserve">. A higher proportion of patients treated </w:t>
      </w:r>
      <w:r w:rsidR="00273199" w:rsidRPr="00BF148D">
        <w:t xml:space="preserve">with 20 mg/kg/day (49.3%) </w:t>
      </w:r>
      <w:r w:rsidRPr="00BF148D">
        <w:t>had a 50% or more percentage reduction in convulsive seizures from baseline compared to patients treated with</w:t>
      </w:r>
      <w:r w:rsidR="00273199" w:rsidRPr="00BF148D">
        <w:t xml:space="preserve"> 10 mg/kg/day (43.9%)</w:t>
      </w:r>
      <w:r w:rsidRPr="00BF148D">
        <w:t>.</w:t>
      </w:r>
    </w:p>
    <w:p w:rsidR="001C575E" w:rsidRPr="00BF148D" w:rsidRDefault="001C575E" w:rsidP="00224858">
      <w:pPr>
        <w:pStyle w:val="5-SubsectionSubheading"/>
      </w:pPr>
      <w:bookmarkStart w:id="30" w:name="_Toc40880086"/>
      <w:r w:rsidRPr="00BF148D">
        <w:t>Lennox-Gastaut syndrome (LGS)</w:t>
      </w:r>
      <w:bookmarkEnd w:id="30"/>
    </w:p>
    <w:p w:rsidR="007827EC" w:rsidRPr="00BF148D" w:rsidRDefault="00580552" w:rsidP="00224858">
      <w:pPr>
        <w:pStyle w:val="3-BodyText"/>
      </w:pPr>
      <w:r w:rsidRPr="00BF148D">
        <w:rPr>
          <w:snapToGrid/>
        </w:rPr>
        <w:t>Table 5</w:t>
      </w:r>
      <w:r w:rsidR="007827EC" w:rsidRPr="00BF148D">
        <w:rPr>
          <w:snapToGrid/>
        </w:rPr>
        <w:t xml:space="preserve"> summarises the trial results for the primary endpoint for patients enrolled in the LGS trials</w:t>
      </w:r>
      <w:r w:rsidR="001C575E" w:rsidRPr="00BF148D">
        <w:rPr>
          <w:snapToGrid/>
        </w:rPr>
        <w:t>. Also presented is</w:t>
      </w:r>
      <w:r w:rsidR="007827EC" w:rsidRPr="00BF148D">
        <w:rPr>
          <w:snapToGrid/>
        </w:rPr>
        <w:t xml:space="preserve"> the proportion of patients with a </w:t>
      </w:r>
      <w:r w:rsidR="007827EC" w:rsidRPr="00BF148D">
        <w:rPr>
          <w:rFonts w:cstheme="minorHAnsi"/>
        </w:rPr>
        <w:t>≥</w:t>
      </w:r>
      <w:r w:rsidR="007827EC" w:rsidRPr="00BF148D">
        <w:t xml:space="preserve">50% reduction in drop seizures </w:t>
      </w:r>
      <w:r w:rsidR="001C575E" w:rsidRPr="00BF148D">
        <w:t xml:space="preserve">(an epileptic seizure including atonic, tonic or tonic-clonic that leads or could lead to a fall, injury or slumping in a chair) </w:t>
      </w:r>
      <w:r w:rsidR="007827EC" w:rsidRPr="00BF148D">
        <w:t xml:space="preserve">per 28 days from baseline at the end of the 14-week period of the trials, which </w:t>
      </w:r>
      <w:r w:rsidR="0006056D" w:rsidRPr="00BF148D">
        <w:t xml:space="preserve">the submission </w:t>
      </w:r>
      <w:r w:rsidR="007827EC" w:rsidRPr="00BF148D">
        <w:t xml:space="preserve">proposed </w:t>
      </w:r>
      <w:r w:rsidR="0006056D" w:rsidRPr="00BF148D">
        <w:t>as a clinically relevant outcome</w:t>
      </w:r>
      <w:r w:rsidR="007827EC" w:rsidRPr="00BF148D">
        <w:t>.</w:t>
      </w:r>
      <w:r w:rsidR="00EB62D6" w:rsidRPr="00BF148D">
        <w:t xml:space="preserve"> </w:t>
      </w:r>
    </w:p>
    <w:p w:rsidR="007827EC" w:rsidRPr="00BF148D" w:rsidRDefault="000E3C55" w:rsidP="00224858">
      <w:pPr>
        <w:pStyle w:val="TableFigureHeading"/>
        <w:rPr>
          <w:rStyle w:val="CommentReference"/>
          <w:b/>
          <w:szCs w:val="24"/>
        </w:rPr>
      </w:pPr>
      <w:bookmarkStart w:id="31" w:name="_Ref39464928"/>
      <w:r w:rsidRPr="00BF148D">
        <w:rPr>
          <w:rStyle w:val="CommentReference"/>
          <w:b/>
          <w:szCs w:val="24"/>
        </w:rPr>
        <w:lastRenderedPageBreak/>
        <w:t xml:space="preserve">Table </w:t>
      </w:r>
      <w:r w:rsidR="00580552" w:rsidRPr="00BF148D">
        <w:rPr>
          <w:rStyle w:val="CommentReference"/>
          <w:b/>
          <w:szCs w:val="24"/>
        </w:rPr>
        <w:t>5</w:t>
      </w:r>
      <w:bookmarkEnd w:id="31"/>
      <w:r w:rsidR="007827EC" w:rsidRPr="00BF148D">
        <w:rPr>
          <w:rStyle w:val="CommentReference"/>
          <w:b/>
          <w:szCs w:val="24"/>
        </w:rPr>
        <w:t>: Key results of the LGS trials (ITT analyses)</w:t>
      </w:r>
    </w:p>
    <w:tbl>
      <w:tblPr>
        <w:tblStyle w:val="TableGrid"/>
        <w:tblW w:w="5000" w:type="pct"/>
        <w:tblLayout w:type="fixed"/>
        <w:tblCellMar>
          <w:left w:w="28" w:type="dxa"/>
          <w:right w:w="28" w:type="dxa"/>
        </w:tblCellMar>
        <w:tblLook w:val="04A0" w:firstRow="1" w:lastRow="0" w:firstColumn="1" w:lastColumn="0" w:noHBand="0" w:noVBand="1"/>
        <w:tblCaption w:val="Table 5: Key results of the LGS trials (ITT analyses)"/>
      </w:tblPr>
      <w:tblGrid>
        <w:gridCol w:w="3958"/>
        <w:gridCol w:w="1769"/>
        <w:gridCol w:w="1769"/>
        <w:gridCol w:w="1521"/>
      </w:tblGrid>
      <w:tr w:rsidR="00567534" w:rsidRPr="00BF148D" w:rsidTr="0093480D">
        <w:trPr>
          <w:tblHeader/>
        </w:trPr>
        <w:tc>
          <w:tcPr>
            <w:tcW w:w="3964" w:type="dxa"/>
          </w:tcPr>
          <w:p w:rsidR="00567534" w:rsidRPr="00BF148D" w:rsidRDefault="00567534" w:rsidP="00224858">
            <w:pPr>
              <w:pStyle w:val="In-tableHeading"/>
              <w:rPr>
                <w:b w:val="0"/>
                <w:lang w:val="en-AU"/>
              </w:rPr>
            </w:pPr>
          </w:p>
        </w:tc>
        <w:tc>
          <w:tcPr>
            <w:tcW w:w="1772" w:type="dxa"/>
            <w:vAlign w:val="center"/>
          </w:tcPr>
          <w:p w:rsidR="00567534" w:rsidRPr="00BF148D" w:rsidRDefault="00567534" w:rsidP="00224858">
            <w:pPr>
              <w:pStyle w:val="In-tableHeading"/>
              <w:jc w:val="center"/>
              <w:rPr>
                <w:iCs/>
                <w:szCs w:val="18"/>
                <w:lang w:val="en-AU"/>
              </w:rPr>
            </w:pPr>
            <w:r w:rsidRPr="00BF148D">
              <w:rPr>
                <w:iCs/>
                <w:szCs w:val="18"/>
                <w:lang w:val="en-AU"/>
              </w:rPr>
              <w:t xml:space="preserve">Cannabidiol </w:t>
            </w:r>
          </w:p>
          <w:p w:rsidR="00567534" w:rsidRPr="00BF148D" w:rsidRDefault="00567534" w:rsidP="00224858">
            <w:pPr>
              <w:pStyle w:val="In-tableHeading"/>
              <w:jc w:val="center"/>
              <w:rPr>
                <w:b w:val="0"/>
                <w:lang w:val="en-AU"/>
              </w:rPr>
            </w:pPr>
            <w:r w:rsidRPr="00BF148D">
              <w:rPr>
                <w:iCs/>
                <w:szCs w:val="18"/>
                <w:lang w:val="en-AU"/>
              </w:rPr>
              <w:t>10 mg/kg/day</w:t>
            </w:r>
          </w:p>
        </w:tc>
        <w:tc>
          <w:tcPr>
            <w:tcW w:w="1772" w:type="dxa"/>
            <w:vAlign w:val="center"/>
          </w:tcPr>
          <w:p w:rsidR="00567534" w:rsidRPr="00BF148D" w:rsidRDefault="00567534" w:rsidP="00224858">
            <w:pPr>
              <w:pStyle w:val="In-tableHeading"/>
              <w:jc w:val="center"/>
              <w:rPr>
                <w:szCs w:val="18"/>
                <w:lang w:val="en-AU"/>
              </w:rPr>
            </w:pPr>
            <w:r w:rsidRPr="00BF148D">
              <w:rPr>
                <w:szCs w:val="18"/>
                <w:lang w:val="en-AU"/>
              </w:rPr>
              <w:t xml:space="preserve">Cannabidiol </w:t>
            </w:r>
          </w:p>
          <w:p w:rsidR="00567534" w:rsidRPr="00BF148D" w:rsidRDefault="00567534" w:rsidP="00224858">
            <w:pPr>
              <w:pStyle w:val="In-tableHeading"/>
              <w:jc w:val="center"/>
              <w:rPr>
                <w:b w:val="0"/>
                <w:lang w:val="en-AU"/>
              </w:rPr>
            </w:pPr>
            <w:r w:rsidRPr="00BF148D">
              <w:rPr>
                <w:szCs w:val="18"/>
                <w:lang w:val="en-AU"/>
              </w:rPr>
              <w:t>20 mg/kg/day</w:t>
            </w:r>
          </w:p>
        </w:tc>
        <w:tc>
          <w:tcPr>
            <w:tcW w:w="1523" w:type="dxa"/>
            <w:vAlign w:val="center"/>
          </w:tcPr>
          <w:p w:rsidR="00567534" w:rsidRPr="00BF148D" w:rsidRDefault="00567534" w:rsidP="00224858">
            <w:pPr>
              <w:pStyle w:val="In-tableHeading"/>
              <w:jc w:val="center"/>
              <w:rPr>
                <w:lang w:val="en-AU"/>
              </w:rPr>
            </w:pPr>
            <w:r w:rsidRPr="00BF148D">
              <w:rPr>
                <w:lang w:val="en-AU"/>
              </w:rPr>
              <w:t xml:space="preserve">Placebo </w:t>
            </w:r>
          </w:p>
        </w:tc>
      </w:tr>
      <w:tr w:rsidR="00567534" w:rsidRPr="00BF148D" w:rsidTr="00456AC8">
        <w:tc>
          <w:tcPr>
            <w:tcW w:w="9031" w:type="dxa"/>
            <w:gridSpan w:val="4"/>
            <w:vAlign w:val="center"/>
          </w:tcPr>
          <w:p w:rsidR="00567534" w:rsidRPr="00BF148D" w:rsidRDefault="00567534" w:rsidP="00224858">
            <w:pPr>
              <w:pStyle w:val="In-tableHeading"/>
              <w:rPr>
                <w:lang w:val="en-AU"/>
              </w:rPr>
            </w:pPr>
            <w:r w:rsidRPr="00BF148D">
              <w:rPr>
                <w:lang w:val="en-AU"/>
              </w:rPr>
              <w:t>GWPCARE3*</w:t>
            </w:r>
          </w:p>
        </w:tc>
      </w:tr>
      <w:tr w:rsidR="00567534" w:rsidRPr="00BF148D" w:rsidTr="00456AC8">
        <w:tc>
          <w:tcPr>
            <w:tcW w:w="3964" w:type="dxa"/>
          </w:tcPr>
          <w:p w:rsidR="00567534" w:rsidRPr="00BF148D" w:rsidRDefault="00567534" w:rsidP="00224858">
            <w:pPr>
              <w:pStyle w:val="In-tableHeading"/>
              <w:rPr>
                <w:b w:val="0"/>
                <w:lang w:val="en-AU"/>
              </w:rPr>
            </w:pPr>
            <w:r w:rsidRPr="00BF148D">
              <w:rPr>
                <w:b w:val="0"/>
                <w:lang w:val="en-AU"/>
              </w:rPr>
              <w:t xml:space="preserve">Median drop seizure frequency </w:t>
            </w:r>
            <w:r w:rsidR="006E1230" w:rsidRPr="00BF148D">
              <w:rPr>
                <w:b w:val="0"/>
                <w:lang w:val="en-AU"/>
              </w:rPr>
              <w:t xml:space="preserve">(average per 28 days) </w:t>
            </w:r>
            <w:r w:rsidRPr="00BF148D">
              <w:rPr>
                <w:b w:val="0"/>
                <w:lang w:val="en-AU"/>
              </w:rPr>
              <w:t>at baseline (Q1, Q3)</w:t>
            </w:r>
          </w:p>
        </w:tc>
        <w:tc>
          <w:tcPr>
            <w:tcW w:w="1772" w:type="dxa"/>
            <w:vAlign w:val="center"/>
          </w:tcPr>
          <w:p w:rsidR="00567534" w:rsidRPr="00BF148D" w:rsidRDefault="00567534" w:rsidP="00224858">
            <w:pPr>
              <w:pStyle w:val="In-tableHeading"/>
              <w:jc w:val="center"/>
              <w:rPr>
                <w:b w:val="0"/>
                <w:lang w:val="en-AU"/>
              </w:rPr>
            </w:pPr>
            <w:r w:rsidRPr="00BF148D">
              <w:rPr>
                <w:b w:val="0"/>
                <w:lang w:val="en-AU"/>
              </w:rPr>
              <w:t>86.90 (40.6, 190.0)</w:t>
            </w:r>
          </w:p>
        </w:tc>
        <w:tc>
          <w:tcPr>
            <w:tcW w:w="1772" w:type="dxa"/>
            <w:vAlign w:val="center"/>
          </w:tcPr>
          <w:p w:rsidR="00567534" w:rsidRPr="00BF148D" w:rsidRDefault="00567534" w:rsidP="00224858">
            <w:pPr>
              <w:pStyle w:val="In-tableHeading"/>
              <w:jc w:val="center"/>
              <w:rPr>
                <w:b w:val="0"/>
                <w:lang w:val="en-AU"/>
              </w:rPr>
            </w:pPr>
            <w:r w:rsidRPr="00BF148D">
              <w:rPr>
                <w:b w:val="0"/>
                <w:lang w:val="en-AU"/>
              </w:rPr>
              <w:t>85.53 (38.2, 161.5)</w:t>
            </w:r>
          </w:p>
        </w:tc>
        <w:tc>
          <w:tcPr>
            <w:tcW w:w="1523" w:type="dxa"/>
            <w:vAlign w:val="center"/>
          </w:tcPr>
          <w:p w:rsidR="00567534" w:rsidRPr="00BF148D" w:rsidRDefault="00567534" w:rsidP="00224858">
            <w:pPr>
              <w:pStyle w:val="In-tableHeading"/>
              <w:jc w:val="center"/>
              <w:rPr>
                <w:b w:val="0"/>
                <w:lang w:val="en-AU"/>
              </w:rPr>
            </w:pPr>
            <w:r w:rsidRPr="00BF148D">
              <w:rPr>
                <w:b w:val="0"/>
                <w:lang w:val="en-AU"/>
              </w:rPr>
              <w:t>80.25 (47.8, 148.0)</w:t>
            </w:r>
          </w:p>
        </w:tc>
      </w:tr>
      <w:tr w:rsidR="00567534" w:rsidRPr="00BF148D" w:rsidTr="00456AC8">
        <w:tc>
          <w:tcPr>
            <w:tcW w:w="3964" w:type="dxa"/>
          </w:tcPr>
          <w:p w:rsidR="00567534" w:rsidRPr="00BF148D" w:rsidRDefault="001C575E" w:rsidP="00224858">
            <w:pPr>
              <w:pStyle w:val="In-tableHeading"/>
              <w:rPr>
                <w:b w:val="0"/>
                <w:lang w:val="en-AU"/>
              </w:rPr>
            </w:pPr>
            <w:r w:rsidRPr="00BF148D">
              <w:rPr>
                <w:b w:val="0"/>
                <w:lang w:val="en-AU"/>
              </w:rPr>
              <w:t xml:space="preserve">Median drop seizure frequency </w:t>
            </w:r>
            <w:r w:rsidR="006E1230" w:rsidRPr="00BF148D">
              <w:rPr>
                <w:b w:val="0"/>
                <w:lang w:val="en-AU"/>
              </w:rPr>
              <w:t xml:space="preserve">(average per 28 days) </w:t>
            </w:r>
            <w:r w:rsidRPr="00BF148D">
              <w:rPr>
                <w:b w:val="0"/>
                <w:lang w:val="en-AU"/>
              </w:rPr>
              <w:t>at end of treatment period (Q1, Q3)</w:t>
            </w:r>
          </w:p>
        </w:tc>
        <w:tc>
          <w:tcPr>
            <w:tcW w:w="1772" w:type="dxa"/>
            <w:vAlign w:val="center"/>
          </w:tcPr>
          <w:p w:rsidR="00567534" w:rsidRPr="00BF148D" w:rsidRDefault="00567534" w:rsidP="00224858">
            <w:pPr>
              <w:pStyle w:val="In-tableHeading"/>
              <w:jc w:val="center"/>
              <w:rPr>
                <w:b w:val="0"/>
                <w:lang w:val="en-AU"/>
              </w:rPr>
            </w:pPr>
            <w:r w:rsidRPr="00BF148D">
              <w:rPr>
                <w:b w:val="0"/>
                <w:lang w:val="en-AU"/>
              </w:rPr>
              <w:t>50.00 (20.5, 113.2)</w:t>
            </w:r>
          </w:p>
        </w:tc>
        <w:tc>
          <w:tcPr>
            <w:tcW w:w="1772" w:type="dxa"/>
            <w:vAlign w:val="center"/>
          </w:tcPr>
          <w:p w:rsidR="00567534" w:rsidRPr="00BF148D" w:rsidRDefault="00567534" w:rsidP="00224858">
            <w:pPr>
              <w:pStyle w:val="In-tableHeading"/>
              <w:jc w:val="center"/>
              <w:rPr>
                <w:b w:val="0"/>
                <w:lang w:val="en-AU"/>
              </w:rPr>
            </w:pPr>
            <w:r w:rsidRPr="00BF148D">
              <w:rPr>
                <w:b w:val="0"/>
                <w:lang w:val="en-AU"/>
              </w:rPr>
              <w:t>44.86 (14.4, 117.4)</w:t>
            </w:r>
          </w:p>
        </w:tc>
        <w:tc>
          <w:tcPr>
            <w:tcW w:w="1523" w:type="dxa"/>
            <w:vAlign w:val="center"/>
          </w:tcPr>
          <w:p w:rsidR="00567534" w:rsidRPr="00BF148D" w:rsidRDefault="00567534" w:rsidP="00224858">
            <w:pPr>
              <w:pStyle w:val="In-tableHeading"/>
              <w:jc w:val="center"/>
              <w:rPr>
                <w:b w:val="0"/>
                <w:lang w:val="en-AU"/>
              </w:rPr>
            </w:pPr>
            <w:r w:rsidRPr="00BF148D">
              <w:rPr>
                <w:b w:val="0"/>
                <w:lang w:val="en-AU"/>
              </w:rPr>
              <w:t>72.66 (35.3, 125.0)</w:t>
            </w:r>
          </w:p>
        </w:tc>
      </w:tr>
      <w:tr w:rsidR="00567534" w:rsidRPr="00BF148D" w:rsidTr="00456AC8">
        <w:tc>
          <w:tcPr>
            <w:tcW w:w="3964" w:type="dxa"/>
          </w:tcPr>
          <w:p w:rsidR="00567534" w:rsidRPr="00BF148D" w:rsidRDefault="00567534" w:rsidP="00224858">
            <w:pPr>
              <w:pStyle w:val="In-tableHeading"/>
              <w:rPr>
                <w:b w:val="0"/>
                <w:lang w:val="en-AU"/>
              </w:rPr>
            </w:pPr>
            <w:r w:rsidRPr="00BF148D">
              <w:rPr>
                <w:b w:val="0"/>
                <w:lang w:val="en-AU"/>
              </w:rPr>
              <w:t>Median percentage change during treatment (Q1, Q3)</w:t>
            </w:r>
          </w:p>
        </w:tc>
        <w:tc>
          <w:tcPr>
            <w:tcW w:w="1772" w:type="dxa"/>
            <w:vAlign w:val="center"/>
          </w:tcPr>
          <w:p w:rsidR="00567534" w:rsidRPr="00BF148D" w:rsidRDefault="00567534" w:rsidP="00224858">
            <w:pPr>
              <w:pStyle w:val="In-tableHeading"/>
              <w:jc w:val="center"/>
              <w:rPr>
                <w:b w:val="0"/>
                <w:lang w:val="en-AU"/>
              </w:rPr>
            </w:pPr>
            <w:r w:rsidRPr="00BF148D">
              <w:rPr>
                <w:b w:val="0"/>
                <w:lang w:val="en-AU"/>
              </w:rPr>
              <w:t>-37.16 (-63.8, -5.6)</w:t>
            </w:r>
          </w:p>
        </w:tc>
        <w:tc>
          <w:tcPr>
            <w:tcW w:w="1772" w:type="dxa"/>
            <w:vAlign w:val="center"/>
          </w:tcPr>
          <w:p w:rsidR="00567534" w:rsidRPr="00BF148D" w:rsidRDefault="00567534" w:rsidP="00224858">
            <w:pPr>
              <w:pStyle w:val="In-tableHeading"/>
              <w:jc w:val="center"/>
              <w:rPr>
                <w:b w:val="0"/>
                <w:lang w:val="en-AU"/>
              </w:rPr>
            </w:pPr>
            <w:r w:rsidRPr="00BF148D">
              <w:rPr>
                <w:b w:val="0"/>
                <w:lang w:val="en-AU"/>
              </w:rPr>
              <w:t>-41.86 (-72.4, -1.3)</w:t>
            </w:r>
          </w:p>
        </w:tc>
        <w:tc>
          <w:tcPr>
            <w:tcW w:w="1523" w:type="dxa"/>
            <w:vAlign w:val="center"/>
          </w:tcPr>
          <w:p w:rsidR="00567534" w:rsidRPr="00BF148D" w:rsidRDefault="00567534" w:rsidP="00224858">
            <w:pPr>
              <w:pStyle w:val="In-tableHeading"/>
              <w:jc w:val="center"/>
              <w:rPr>
                <w:b w:val="0"/>
                <w:lang w:val="en-AU"/>
              </w:rPr>
            </w:pPr>
            <w:r w:rsidRPr="00BF148D">
              <w:rPr>
                <w:b w:val="0"/>
                <w:lang w:val="en-AU"/>
              </w:rPr>
              <w:t>-17.17 (-37.1, 0.9)</w:t>
            </w:r>
          </w:p>
        </w:tc>
      </w:tr>
      <w:tr w:rsidR="00567534" w:rsidRPr="00BF148D" w:rsidTr="00456AC8">
        <w:tc>
          <w:tcPr>
            <w:tcW w:w="3964" w:type="dxa"/>
            <w:tcBorders>
              <w:bottom w:val="double" w:sz="4" w:space="0" w:color="auto"/>
            </w:tcBorders>
            <w:vAlign w:val="center"/>
          </w:tcPr>
          <w:p w:rsidR="00567534" w:rsidRPr="00BF148D" w:rsidRDefault="00567534" w:rsidP="00224858">
            <w:pPr>
              <w:pStyle w:val="In-tableHeading"/>
              <w:rPr>
                <w:b w:val="0"/>
                <w:lang w:val="en-AU"/>
              </w:rPr>
            </w:pPr>
            <w:r w:rsidRPr="00BF148D">
              <w:rPr>
                <w:b w:val="0"/>
                <w:lang w:val="en-AU"/>
              </w:rPr>
              <w:t>Estimated median difference</w:t>
            </w:r>
            <w:r w:rsidR="001C575E" w:rsidRPr="00BF148D">
              <w:rPr>
                <w:b w:val="0"/>
                <w:lang w:val="en-AU"/>
              </w:rPr>
              <w:t xml:space="preserve"> compared to placebo</w:t>
            </w:r>
            <w:r w:rsidRPr="00BF148D">
              <w:rPr>
                <w:b w:val="0"/>
                <w:lang w:val="en-AU"/>
              </w:rPr>
              <w:t xml:space="preserve"> (95% CI)</w:t>
            </w:r>
          </w:p>
        </w:tc>
        <w:tc>
          <w:tcPr>
            <w:tcW w:w="1772" w:type="dxa"/>
            <w:tcBorders>
              <w:bottom w:val="double" w:sz="4" w:space="0" w:color="auto"/>
            </w:tcBorders>
            <w:vAlign w:val="center"/>
          </w:tcPr>
          <w:p w:rsidR="00567534" w:rsidRPr="00BF148D" w:rsidRDefault="00567534" w:rsidP="00224858">
            <w:pPr>
              <w:pStyle w:val="In-tableHeading"/>
              <w:jc w:val="center"/>
              <w:rPr>
                <w:lang w:val="en-AU"/>
              </w:rPr>
            </w:pPr>
            <w:r w:rsidRPr="00BF148D">
              <w:rPr>
                <w:lang w:val="en-AU"/>
              </w:rPr>
              <w:t xml:space="preserve">-19.19 (-31.24, -7.69) </w:t>
            </w:r>
          </w:p>
          <w:p w:rsidR="00567534" w:rsidRPr="00BF148D" w:rsidRDefault="00567534" w:rsidP="00224858">
            <w:pPr>
              <w:pStyle w:val="In-tableHeading"/>
              <w:jc w:val="center"/>
              <w:rPr>
                <w:lang w:val="en-AU"/>
              </w:rPr>
            </w:pPr>
          </w:p>
        </w:tc>
        <w:tc>
          <w:tcPr>
            <w:tcW w:w="1772" w:type="dxa"/>
            <w:tcBorders>
              <w:bottom w:val="double" w:sz="4" w:space="0" w:color="auto"/>
            </w:tcBorders>
          </w:tcPr>
          <w:p w:rsidR="00567534" w:rsidRPr="00BF148D" w:rsidRDefault="00567534" w:rsidP="00224858">
            <w:pPr>
              <w:pStyle w:val="In-tableHeading"/>
              <w:jc w:val="center"/>
              <w:rPr>
                <w:lang w:val="en-AU"/>
              </w:rPr>
            </w:pPr>
            <w:r w:rsidRPr="00BF148D">
              <w:rPr>
                <w:lang w:val="en-AU"/>
              </w:rPr>
              <w:t xml:space="preserve">-21.57 (-34.79, -6.67) </w:t>
            </w:r>
          </w:p>
          <w:p w:rsidR="00567534" w:rsidRPr="00BF148D" w:rsidRDefault="00567534" w:rsidP="00224858">
            <w:pPr>
              <w:pStyle w:val="In-tableHeading"/>
              <w:jc w:val="center"/>
              <w:rPr>
                <w:b w:val="0"/>
                <w:lang w:val="en-AU"/>
              </w:rPr>
            </w:pPr>
          </w:p>
        </w:tc>
        <w:tc>
          <w:tcPr>
            <w:tcW w:w="1523" w:type="dxa"/>
            <w:tcBorders>
              <w:bottom w:val="double" w:sz="4" w:space="0" w:color="auto"/>
            </w:tcBorders>
            <w:vAlign w:val="center"/>
          </w:tcPr>
          <w:p w:rsidR="00567534" w:rsidRPr="00BF148D" w:rsidRDefault="006E1230" w:rsidP="00224858">
            <w:pPr>
              <w:pStyle w:val="In-tableHeading"/>
              <w:jc w:val="center"/>
              <w:rPr>
                <w:b w:val="0"/>
                <w:lang w:val="en-AU"/>
              </w:rPr>
            </w:pPr>
            <w:r w:rsidRPr="00BF148D">
              <w:rPr>
                <w:b w:val="0"/>
                <w:lang w:val="en-AU"/>
              </w:rPr>
              <w:t>NA</w:t>
            </w:r>
          </w:p>
        </w:tc>
      </w:tr>
      <w:tr w:rsidR="00915333" w:rsidRPr="00BF148D" w:rsidTr="00456AC8">
        <w:tc>
          <w:tcPr>
            <w:tcW w:w="3964" w:type="dxa"/>
            <w:tcBorders>
              <w:top w:val="double" w:sz="4" w:space="0" w:color="auto"/>
            </w:tcBorders>
            <w:vAlign w:val="center"/>
          </w:tcPr>
          <w:p w:rsidR="00915333" w:rsidRPr="00BF148D" w:rsidRDefault="001C575E" w:rsidP="00224858">
            <w:pPr>
              <w:pStyle w:val="In-tableHeading"/>
              <w:rPr>
                <w:b w:val="0"/>
                <w:lang w:val="en-AU"/>
              </w:rPr>
            </w:pPr>
            <w:r w:rsidRPr="00BF148D">
              <w:rPr>
                <w:b w:val="0"/>
                <w:lang w:val="en-AU"/>
              </w:rPr>
              <w:t xml:space="preserve">Proportion of patients experiencing </w:t>
            </w:r>
            <w:r w:rsidR="00915333" w:rsidRPr="00BF148D">
              <w:rPr>
                <w:b w:val="0"/>
                <w:i/>
                <w:lang w:val="en-AU"/>
              </w:rPr>
              <w:t>≥</w:t>
            </w:r>
            <w:r w:rsidR="00915333" w:rsidRPr="00BF148D">
              <w:rPr>
                <w:b w:val="0"/>
                <w:lang w:val="en-AU"/>
              </w:rPr>
              <w:t>50% reduction in drop seizure frequency from baseline</w:t>
            </w:r>
            <w:r w:rsidRPr="00BF148D">
              <w:rPr>
                <w:b w:val="0"/>
                <w:lang w:val="en-AU"/>
              </w:rPr>
              <w:t>, n/N</w:t>
            </w:r>
            <w:r w:rsidR="005A772C" w:rsidRPr="00BF148D">
              <w:rPr>
                <w:b w:val="0"/>
                <w:lang w:val="en-AU"/>
              </w:rPr>
              <w:t xml:space="preserve"> </w:t>
            </w:r>
            <w:r w:rsidRPr="00BF148D">
              <w:rPr>
                <w:b w:val="0"/>
                <w:lang w:val="en-AU"/>
              </w:rPr>
              <w:t>(%)</w:t>
            </w:r>
          </w:p>
        </w:tc>
        <w:tc>
          <w:tcPr>
            <w:tcW w:w="1772" w:type="dxa"/>
            <w:tcBorders>
              <w:top w:val="double" w:sz="4" w:space="0" w:color="auto"/>
            </w:tcBorders>
            <w:vAlign w:val="center"/>
          </w:tcPr>
          <w:p w:rsidR="00915333" w:rsidRPr="00BF148D" w:rsidRDefault="001C575E" w:rsidP="00224858">
            <w:pPr>
              <w:pStyle w:val="In-tableHeading"/>
              <w:jc w:val="center"/>
              <w:rPr>
                <w:b w:val="0"/>
                <w:lang w:val="en-AU"/>
              </w:rPr>
            </w:pPr>
            <w:r w:rsidRPr="00BF148D">
              <w:rPr>
                <w:b w:val="0"/>
                <w:lang w:val="en-AU"/>
              </w:rPr>
              <w:t>26/73 (</w:t>
            </w:r>
            <w:r w:rsidR="00915333" w:rsidRPr="00BF148D">
              <w:rPr>
                <w:b w:val="0"/>
                <w:lang w:val="en-AU"/>
              </w:rPr>
              <w:t>35.6%</w:t>
            </w:r>
            <w:r w:rsidRPr="00BF148D">
              <w:rPr>
                <w:b w:val="0"/>
                <w:lang w:val="en-AU"/>
              </w:rPr>
              <w:t>)</w:t>
            </w:r>
          </w:p>
        </w:tc>
        <w:tc>
          <w:tcPr>
            <w:tcW w:w="1772" w:type="dxa"/>
            <w:tcBorders>
              <w:top w:val="double" w:sz="4" w:space="0" w:color="auto"/>
            </w:tcBorders>
            <w:vAlign w:val="center"/>
          </w:tcPr>
          <w:p w:rsidR="00915333" w:rsidRPr="00BF148D" w:rsidRDefault="001C575E" w:rsidP="00224858">
            <w:pPr>
              <w:pStyle w:val="In-tableHeading"/>
              <w:jc w:val="center"/>
              <w:rPr>
                <w:b w:val="0"/>
                <w:lang w:val="en-AU"/>
              </w:rPr>
            </w:pPr>
            <w:r w:rsidRPr="00BF148D">
              <w:rPr>
                <w:b w:val="0"/>
                <w:lang w:val="en-AU"/>
              </w:rPr>
              <w:t>30/76 (</w:t>
            </w:r>
            <w:r w:rsidR="00915333" w:rsidRPr="00BF148D">
              <w:rPr>
                <w:b w:val="0"/>
                <w:lang w:val="en-AU"/>
              </w:rPr>
              <w:t>39.5%</w:t>
            </w:r>
            <w:r w:rsidRPr="00BF148D">
              <w:rPr>
                <w:b w:val="0"/>
                <w:lang w:val="en-AU"/>
              </w:rPr>
              <w:t>)</w:t>
            </w:r>
          </w:p>
        </w:tc>
        <w:tc>
          <w:tcPr>
            <w:tcW w:w="1523" w:type="dxa"/>
            <w:tcBorders>
              <w:top w:val="double" w:sz="4" w:space="0" w:color="auto"/>
            </w:tcBorders>
            <w:vAlign w:val="center"/>
          </w:tcPr>
          <w:p w:rsidR="00915333" w:rsidRPr="00BF148D" w:rsidRDefault="001C575E" w:rsidP="00224858">
            <w:pPr>
              <w:pStyle w:val="In-tableHeading"/>
              <w:jc w:val="center"/>
              <w:rPr>
                <w:b w:val="0"/>
                <w:lang w:val="en-AU"/>
              </w:rPr>
            </w:pPr>
            <w:r w:rsidRPr="00BF148D">
              <w:rPr>
                <w:b w:val="0"/>
                <w:lang w:val="en-AU"/>
              </w:rPr>
              <w:t>11/76 (</w:t>
            </w:r>
            <w:r w:rsidR="00915333" w:rsidRPr="00BF148D">
              <w:rPr>
                <w:b w:val="0"/>
                <w:lang w:val="en-AU"/>
              </w:rPr>
              <w:t>14.5%</w:t>
            </w:r>
            <w:r w:rsidRPr="00BF148D">
              <w:rPr>
                <w:b w:val="0"/>
                <w:lang w:val="en-AU"/>
              </w:rPr>
              <w:t>)</w:t>
            </w:r>
          </w:p>
        </w:tc>
      </w:tr>
      <w:tr w:rsidR="00915333" w:rsidRPr="00BF148D" w:rsidTr="00456AC8">
        <w:tc>
          <w:tcPr>
            <w:tcW w:w="3964" w:type="dxa"/>
            <w:vAlign w:val="center"/>
          </w:tcPr>
          <w:p w:rsidR="00915333" w:rsidRPr="00BF148D" w:rsidRDefault="00915333" w:rsidP="00224858">
            <w:pPr>
              <w:pStyle w:val="In-tableHeading"/>
              <w:ind w:left="109"/>
              <w:rPr>
                <w:b w:val="0"/>
                <w:lang w:val="en-AU"/>
              </w:rPr>
            </w:pPr>
            <w:r w:rsidRPr="00BF148D">
              <w:rPr>
                <w:b w:val="0"/>
                <w:lang w:val="en-AU"/>
              </w:rPr>
              <w:t xml:space="preserve">OR </w:t>
            </w:r>
            <w:r w:rsidR="006E1230" w:rsidRPr="00BF148D">
              <w:rPr>
                <w:b w:val="0"/>
                <w:lang w:val="en-AU"/>
              </w:rPr>
              <w:t xml:space="preserve">vs placebo </w:t>
            </w:r>
            <w:r w:rsidRPr="00BF148D">
              <w:rPr>
                <w:b w:val="0"/>
                <w:lang w:val="en-AU"/>
              </w:rPr>
              <w:t>(95% CI)</w:t>
            </w:r>
          </w:p>
        </w:tc>
        <w:tc>
          <w:tcPr>
            <w:tcW w:w="1772" w:type="dxa"/>
            <w:vAlign w:val="center"/>
          </w:tcPr>
          <w:p w:rsidR="00915333" w:rsidRPr="00BF148D" w:rsidRDefault="00915333" w:rsidP="005A772C">
            <w:pPr>
              <w:pStyle w:val="In-tableHeading"/>
              <w:jc w:val="center"/>
              <w:rPr>
                <w:lang w:val="en-AU"/>
              </w:rPr>
            </w:pPr>
            <w:r w:rsidRPr="00BF148D">
              <w:rPr>
                <w:lang w:val="en-AU"/>
              </w:rPr>
              <w:t>3.27 (1.47, 7.26)</w:t>
            </w:r>
          </w:p>
        </w:tc>
        <w:tc>
          <w:tcPr>
            <w:tcW w:w="1772" w:type="dxa"/>
            <w:vAlign w:val="center"/>
          </w:tcPr>
          <w:p w:rsidR="00915333" w:rsidRPr="00BF148D" w:rsidRDefault="00915333" w:rsidP="005A772C">
            <w:pPr>
              <w:pStyle w:val="In-tableHeading"/>
              <w:jc w:val="center"/>
              <w:rPr>
                <w:lang w:val="en-AU"/>
              </w:rPr>
            </w:pPr>
            <w:r w:rsidRPr="00BF148D">
              <w:rPr>
                <w:lang w:val="en-AU"/>
              </w:rPr>
              <w:t>3.85 (1.75, 8.47)</w:t>
            </w:r>
          </w:p>
        </w:tc>
        <w:tc>
          <w:tcPr>
            <w:tcW w:w="1523" w:type="dxa"/>
            <w:vAlign w:val="center"/>
          </w:tcPr>
          <w:p w:rsidR="00915333" w:rsidRPr="00BF148D" w:rsidRDefault="006E1230" w:rsidP="00224858">
            <w:pPr>
              <w:pStyle w:val="In-tableHeading"/>
              <w:jc w:val="center"/>
              <w:rPr>
                <w:b w:val="0"/>
                <w:lang w:val="en-AU"/>
              </w:rPr>
            </w:pPr>
            <w:r w:rsidRPr="00BF148D">
              <w:rPr>
                <w:b w:val="0"/>
                <w:lang w:val="en-AU"/>
              </w:rPr>
              <w:t>NA</w:t>
            </w:r>
          </w:p>
        </w:tc>
      </w:tr>
      <w:tr w:rsidR="006E1230" w:rsidRPr="00BF148D" w:rsidTr="00456AC8">
        <w:tc>
          <w:tcPr>
            <w:tcW w:w="3964" w:type="dxa"/>
            <w:vAlign w:val="center"/>
          </w:tcPr>
          <w:p w:rsidR="006E1230" w:rsidRPr="00BF148D" w:rsidRDefault="006E1230" w:rsidP="00224858">
            <w:pPr>
              <w:pStyle w:val="In-tableHeading"/>
              <w:ind w:left="109"/>
              <w:rPr>
                <w:b w:val="0"/>
                <w:lang w:val="en-AU"/>
              </w:rPr>
            </w:pPr>
            <w:r w:rsidRPr="00BF148D">
              <w:rPr>
                <w:b w:val="0"/>
                <w:lang w:val="en-AU"/>
              </w:rPr>
              <w:t>RR vs placebo (95% CI)</w:t>
            </w:r>
          </w:p>
        </w:tc>
        <w:tc>
          <w:tcPr>
            <w:tcW w:w="1772" w:type="dxa"/>
            <w:vAlign w:val="center"/>
          </w:tcPr>
          <w:p w:rsidR="006E1230" w:rsidRPr="00BF148D" w:rsidRDefault="006E1230" w:rsidP="005A772C">
            <w:pPr>
              <w:pStyle w:val="In-tableHeading"/>
              <w:jc w:val="center"/>
              <w:rPr>
                <w:lang w:val="en-AU"/>
              </w:rPr>
            </w:pPr>
            <w:r w:rsidRPr="00BF148D">
              <w:rPr>
                <w:lang w:val="en-AU"/>
              </w:rPr>
              <w:t>2.46 (1.31, 4.61)</w:t>
            </w:r>
          </w:p>
        </w:tc>
        <w:tc>
          <w:tcPr>
            <w:tcW w:w="1772" w:type="dxa"/>
            <w:vAlign w:val="center"/>
          </w:tcPr>
          <w:p w:rsidR="006E1230" w:rsidRPr="00BF148D" w:rsidRDefault="006E1230" w:rsidP="005A772C">
            <w:pPr>
              <w:pStyle w:val="In-tableHeading"/>
              <w:jc w:val="center"/>
              <w:rPr>
                <w:lang w:val="en-AU"/>
              </w:rPr>
            </w:pPr>
            <w:r w:rsidRPr="00BF148D">
              <w:rPr>
                <w:lang w:val="en-AU"/>
              </w:rPr>
              <w:t>2.73 (1.48, 5.04)</w:t>
            </w:r>
          </w:p>
        </w:tc>
        <w:tc>
          <w:tcPr>
            <w:tcW w:w="1523" w:type="dxa"/>
          </w:tcPr>
          <w:p w:rsidR="006E1230" w:rsidRPr="00BF148D" w:rsidRDefault="006E1230" w:rsidP="00224858">
            <w:pPr>
              <w:pStyle w:val="In-tableHeading"/>
              <w:jc w:val="center"/>
              <w:rPr>
                <w:b w:val="0"/>
                <w:lang w:val="en-AU"/>
              </w:rPr>
            </w:pPr>
            <w:r w:rsidRPr="00BF148D">
              <w:rPr>
                <w:b w:val="0"/>
                <w:lang w:val="en-AU"/>
              </w:rPr>
              <w:t>NA</w:t>
            </w:r>
          </w:p>
        </w:tc>
      </w:tr>
      <w:tr w:rsidR="006E1230" w:rsidRPr="00BF148D" w:rsidTr="00456AC8">
        <w:tc>
          <w:tcPr>
            <w:tcW w:w="3964" w:type="dxa"/>
            <w:vAlign w:val="center"/>
          </w:tcPr>
          <w:p w:rsidR="006E1230" w:rsidRPr="00BF148D" w:rsidRDefault="006E1230" w:rsidP="00224858">
            <w:pPr>
              <w:pStyle w:val="In-tableHeading"/>
              <w:ind w:left="109"/>
              <w:rPr>
                <w:b w:val="0"/>
                <w:lang w:val="en-AU"/>
              </w:rPr>
            </w:pPr>
            <w:r w:rsidRPr="00BF148D">
              <w:rPr>
                <w:b w:val="0"/>
                <w:lang w:val="en-AU"/>
              </w:rPr>
              <w:t>RD vs placebo (95% CI)</w:t>
            </w:r>
          </w:p>
        </w:tc>
        <w:tc>
          <w:tcPr>
            <w:tcW w:w="1772" w:type="dxa"/>
            <w:vAlign w:val="center"/>
          </w:tcPr>
          <w:p w:rsidR="006E1230" w:rsidRPr="00BF148D" w:rsidRDefault="006E1230" w:rsidP="005A772C">
            <w:pPr>
              <w:pStyle w:val="In-tableHeading"/>
              <w:jc w:val="center"/>
              <w:rPr>
                <w:lang w:val="en-AU"/>
              </w:rPr>
            </w:pPr>
            <w:r w:rsidRPr="00BF148D">
              <w:rPr>
                <w:lang w:val="en-AU"/>
              </w:rPr>
              <w:t>0.21 (0.08, 0.35)</w:t>
            </w:r>
          </w:p>
        </w:tc>
        <w:tc>
          <w:tcPr>
            <w:tcW w:w="1772" w:type="dxa"/>
            <w:vAlign w:val="center"/>
          </w:tcPr>
          <w:p w:rsidR="006E1230" w:rsidRPr="00BF148D" w:rsidRDefault="006E1230" w:rsidP="005A772C">
            <w:pPr>
              <w:pStyle w:val="In-tableHeading"/>
              <w:jc w:val="center"/>
              <w:rPr>
                <w:lang w:val="en-AU"/>
              </w:rPr>
            </w:pPr>
            <w:r w:rsidRPr="00BF148D">
              <w:rPr>
                <w:lang w:val="en-AU"/>
              </w:rPr>
              <w:t>0.25 (0.11, 0.39)</w:t>
            </w:r>
          </w:p>
        </w:tc>
        <w:tc>
          <w:tcPr>
            <w:tcW w:w="1523" w:type="dxa"/>
            <w:vAlign w:val="center"/>
          </w:tcPr>
          <w:p w:rsidR="006E1230" w:rsidRPr="00BF148D" w:rsidRDefault="006E1230" w:rsidP="00224858">
            <w:pPr>
              <w:pStyle w:val="In-tableHeading"/>
              <w:jc w:val="center"/>
              <w:rPr>
                <w:b w:val="0"/>
                <w:lang w:val="en-AU"/>
              </w:rPr>
            </w:pPr>
            <w:r w:rsidRPr="00BF148D">
              <w:rPr>
                <w:b w:val="0"/>
                <w:lang w:val="en-AU"/>
              </w:rPr>
              <w:t>NA</w:t>
            </w:r>
          </w:p>
        </w:tc>
      </w:tr>
      <w:tr w:rsidR="006E1230" w:rsidRPr="00BF148D" w:rsidTr="00456AC8">
        <w:tc>
          <w:tcPr>
            <w:tcW w:w="9031" w:type="dxa"/>
            <w:gridSpan w:val="4"/>
          </w:tcPr>
          <w:p w:rsidR="006E1230" w:rsidRPr="00BF148D" w:rsidRDefault="006E1230" w:rsidP="00224858">
            <w:pPr>
              <w:pStyle w:val="In-tableHeading"/>
              <w:rPr>
                <w:lang w:val="en-AU"/>
              </w:rPr>
            </w:pPr>
            <w:r w:rsidRPr="00BF148D">
              <w:rPr>
                <w:lang w:val="en-AU"/>
              </w:rPr>
              <w:t>GWPCARE4*</w:t>
            </w:r>
          </w:p>
        </w:tc>
      </w:tr>
      <w:tr w:rsidR="006E1230" w:rsidRPr="00BF148D" w:rsidTr="00456AC8">
        <w:tc>
          <w:tcPr>
            <w:tcW w:w="3964" w:type="dxa"/>
          </w:tcPr>
          <w:p w:rsidR="006E1230" w:rsidRPr="00BF148D" w:rsidRDefault="006E1230" w:rsidP="00224858">
            <w:pPr>
              <w:pStyle w:val="In-tableHeading"/>
              <w:rPr>
                <w:b w:val="0"/>
                <w:lang w:val="en-AU"/>
              </w:rPr>
            </w:pPr>
            <w:r w:rsidRPr="00BF148D">
              <w:rPr>
                <w:b w:val="0"/>
                <w:lang w:val="en-AU"/>
              </w:rPr>
              <w:t>Median drop seizure frequency (average per 28 days) at baseline (Q1, Q3)</w:t>
            </w:r>
          </w:p>
        </w:tc>
        <w:tc>
          <w:tcPr>
            <w:tcW w:w="1772" w:type="dxa"/>
            <w:vAlign w:val="center"/>
          </w:tcPr>
          <w:p w:rsidR="006E1230" w:rsidRPr="00BF148D" w:rsidRDefault="006E1230" w:rsidP="00224858">
            <w:pPr>
              <w:pStyle w:val="In-tableHeading"/>
              <w:jc w:val="center"/>
              <w:rPr>
                <w:b w:val="0"/>
                <w:lang w:val="en-AU"/>
              </w:rPr>
            </w:pPr>
            <w:r w:rsidRPr="00BF148D">
              <w:rPr>
                <w:b w:val="0"/>
                <w:lang w:val="en-AU"/>
              </w:rPr>
              <w:t>NA</w:t>
            </w:r>
          </w:p>
        </w:tc>
        <w:tc>
          <w:tcPr>
            <w:tcW w:w="1772" w:type="dxa"/>
            <w:vAlign w:val="center"/>
          </w:tcPr>
          <w:p w:rsidR="006E1230" w:rsidRPr="00BF148D" w:rsidRDefault="006E1230" w:rsidP="00224858">
            <w:pPr>
              <w:pStyle w:val="In-tableHeading"/>
              <w:jc w:val="center"/>
              <w:rPr>
                <w:b w:val="0"/>
                <w:lang w:val="en-AU"/>
              </w:rPr>
            </w:pPr>
            <w:r w:rsidRPr="00BF148D">
              <w:rPr>
                <w:b w:val="0"/>
                <w:lang w:val="en-AU"/>
              </w:rPr>
              <w:t>71.43 (27.0, 156.0)</w:t>
            </w:r>
          </w:p>
        </w:tc>
        <w:tc>
          <w:tcPr>
            <w:tcW w:w="1523" w:type="dxa"/>
            <w:vAlign w:val="center"/>
          </w:tcPr>
          <w:p w:rsidR="006E1230" w:rsidRPr="00BF148D" w:rsidRDefault="006E1230" w:rsidP="00224858">
            <w:pPr>
              <w:pStyle w:val="In-tableHeading"/>
              <w:jc w:val="center"/>
              <w:rPr>
                <w:b w:val="0"/>
                <w:lang w:val="en-AU"/>
              </w:rPr>
            </w:pPr>
            <w:r w:rsidRPr="00BF148D">
              <w:rPr>
                <w:b w:val="0"/>
                <w:lang w:val="en-AU"/>
              </w:rPr>
              <w:t>74.67 (47.3, 144.0)</w:t>
            </w:r>
          </w:p>
        </w:tc>
      </w:tr>
      <w:tr w:rsidR="006E1230" w:rsidRPr="00BF148D" w:rsidTr="00456AC8">
        <w:tc>
          <w:tcPr>
            <w:tcW w:w="3964" w:type="dxa"/>
          </w:tcPr>
          <w:p w:rsidR="006E1230" w:rsidRPr="00BF148D" w:rsidRDefault="006E1230" w:rsidP="00224858">
            <w:pPr>
              <w:pStyle w:val="In-tableHeading"/>
              <w:rPr>
                <w:b w:val="0"/>
                <w:lang w:val="en-AU"/>
              </w:rPr>
            </w:pPr>
            <w:r w:rsidRPr="00BF148D">
              <w:rPr>
                <w:b w:val="0"/>
                <w:lang w:val="en-AU"/>
              </w:rPr>
              <w:t>Median drop seizure frequency (average per 28 days) at end of treatment period (Q1, Q3)</w:t>
            </w:r>
          </w:p>
        </w:tc>
        <w:tc>
          <w:tcPr>
            <w:tcW w:w="1772" w:type="dxa"/>
            <w:vAlign w:val="center"/>
          </w:tcPr>
          <w:p w:rsidR="006E1230" w:rsidRPr="00BF148D" w:rsidRDefault="006E1230" w:rsidP="00224858">
            <w:pPr>
              <w:pStyle w:val="In-tableHeading"/>
              <w:jc w:val="center"/>
              <w:rPr>
                <w:b w:val="0"/>
                <w:lang w:val="en-AU"/>
              </w:rPr>
            </w:pPr>
            <w:r w:rsidRPr="00BF148D">
              <w:rPr>
                <w:b w:val="0"/>
                <w:lang w:val="en-AU"/>
              </w:rPr>
              <w:t>NA</w:t>
            </w:r>
          </w:p>
        </w:tc>
        <w:tc>
          <w:tcPr>
            <w:tcW w:w="1772" w:type="dxa"/>
            <w:vAlign w:val="center"/>
          </w:tcPr>
          <w:p w:rsidR="006E1230" w:rsidRPr="00BF148D" w:rsidRDefault="006E1230" w:rsidP="00224858">
            <w:pPr>
              <w:pStyle w:val="In-tableHeading"/>
              <w:jc w:val="center"/>
              <w:rPr>
                <w:b w:val="0"/>
                <w:lang w:val="en-AU"/>
              </w:rPr>
            </w:pPr>
            <w:r w:rsidRPr="00BF148D">
              <w:rPr>
                <w:b w:val="0"/>
                <w:lang w:val="en-AU"/>
              </w:rPr>
              <w:t>31.38 (14.4, 92.0)</w:t>
            </w:r>
          </w:p>
        </w:tc>
        <w:tc>
          <w:tcPr>
            <w:tcW w:w="1523" w:type="dxa"/>
            <w:vAlign w:val="center"/>
          </w:tcPr>
          <w:p w:rsidR="006E1230" w:rsidRPr="00BF148D" w:rsidRDefault="006E1230" w:rsidP="00224858">
            <w:pPr>
              <w:pStyle w:val="In-tableHeading"/>
              <w:jc w:val="center"/>
              <w:rPr>
                <w:b w:val="0"/>
                <w:lang w:val="en-AU"/>
              </w:rPr>
            </w:pPr>
            <w:r w:rsidRPr="00BF148D">
              <w:rPr>
                <w:b w:val="0"/>
                <w:lang w:val="en-AU"/>
              </w:rPr>
              <w:t>56.29 (29.7, 129.3)</w:t>
            </w:r>
          </w:p>
        </w:tc>
      </w:tr>
      <w:tr w:rsidR="006E1230" w:rsidRPr="00BF148D" w:rsidTr="00456AC8">
        <w:tc>
          <w:tcPr>
            <w:tcW w:w="3964" w:type="dxa"/>
          </w:tcPr>
          <w:p w:rsidR="006E1230" w:rsidRPr="00BF148D" w:rsidRDefault="006E1230" w:rsidP="00224858">
            <w:pPr>
              <w:pStyle w:val="In-tableHeading"/>
              <w:rPr>
                <w:b w:val="0"/>
                <w:lang w:val="en-AU"/>
              </w:rPr>
            </w:pPr>
            <w:r w:rsidRPr="00BF148D">
              <w:rPr>
                <w:b w:val="0"/>
                <w:lang w:val="en-AU"/>
              </w:rPr>
              <w:t>Median percentage change during treatment (Q1, Q3)</w:t>
            </w:r>
          </w:p>
        </w:tc>
        <w:tc>
          <w:tcPr>
            <w:tcW w:w="1772" w:type="dxa"/>
            <w:vAlign w:val="center"/>
          </w:tcPr>
          <w:p w:rsidR="006E1230" w:rsidRPr="00BF148D" w:rsidRDefault="006E1230" w:rsidP="00224858">
            <w:pPr>
              <w:pStyle w:val="In-tableHeading"/>
              <w:jc w:val="center"/>
              <w:rPr>
                <w:b w:val="0"/>
                <w:lang w:val="en-AU"/>
              </w:rPr>
            </w:pPr>
            <w:r w:rsidRPr="00BF148D">
              <w:rPr>
                <w:b w:val="0"/>
                <w:lang w:val="en-AU"/>
              </w:rPr>
              <w:t>NA</w:t>
            </w:r>
          </w:p>
        </w:tc>
        <w:tc>
          <w:tcPr>
            <w:tcW w:w="1772" w:type="dxa"/>
            <w:vAlign w:val="center"/>
          </w:tcPr>
          <w:p w:rsidR="006E1230" w:rsidRPr="00BF148D" w:rsidRDefault="006E1230" w:rsidP="00224858">
            <w:pPr>
              <w:pStyle w:val="In-tableHeading"/>
              <w:jc w:val="center"/>
              <w:rPr>
                <w:lang w:val="en-AU"/>
              </w:rPr>
            </w:pPr>
            <w:r w:rsidRPr="00BF148D">
              <w:rPr>
                <w:lang w:val="en-AU"/>
              </w:rPr>
              <w:t>-43.90 (-69.6, -1.9)</w:t>
            </w:r>
          </w:p>
        </w:tc>
        <w:tc>
          <w:tcPr>
            <w:tcW w:w="1523" w:type="dxa"/>
            <w:vAlign w:val="center"/>
          </w:tcPr>
          <w:p w:rsidR="006E1230" w:rsidRPr="00BF148D" w:rsidRDefault="006E1230" w:rsidP="00224858">
            <w:pPr>
              <w:pStyle w:val="In-tableHeading"/>
              <w:jc w:val="center"/>
              <w:rPr>
                <w:b w:val="0"/>
                <w:lang w:val="en-AU"/>
              </w:rPr>
            </w:pPr>
            <w:r w:rsidRPr="00BF148D">
              <w:rPr>
                <w:b w:val="0"/>
                <w:lang w:val="en-AU"/>
              </w:rPr>
              <w:t>-21.80 (-45.7, 1.7)</w:t>
            </w:r>
          </w:p>
        </w:tc>
      </w:tr>
      <w:tr w:rsidR="006E1230" w:rsidRPr="00BF148D" w:rsidTr="00456AC8">
        <w:tc>
          <w:tcPr>
            <w:tcW w:w="3964" w:type="dxa"/>
            <w:tcBorders>
              <w:bottom w:val="double" w:sz="4" w:space="0" w:color="auto"/>
            </w:tcBorders>
            <w:vAlign w:val="center"/>
          </w:tcPr>
          <w:p w:rsidR="006E1230" w:rsidRPr="00BF148D" w:rsidRDefault="006E1230" w:rsidP="005A772C">
            <w:pPr>
              <w:pStyle w:val="In-tableHeading"/>
              <w:rPr>
                <w:b w:val="0"/>
                <w:lang w:val="en-AU"/>
              </w:rPr>
            </w:pPr>
            <w:r w:rsidRPr="00BF148D">
              <w:rPr>
                <w:b w:val="0"/>
                <w:lang w:val="en-AU"/>
              </w:rPr>
              <w:t>Estimated median percentage difference compared to placebo (95% CI),</w:t>
            </w:r>
          </w:p>
        </w:tc>
        <w:tc>
          <w:tcPr>
            <w:tcW w:w="1772" w:type="dxa"/>
            <w:tcBorders>
              <w:bottom w:val="double" w:sz="4" w:space="0" w:color="auto"/>
            </w:tcBorders>
            <w:vAlign w:val="center"/>
          </w:tcPr>
          <w:p w:rsidR="006E1230" w:rsidRPr="00BF148D" w:rsidRDefault="006E1230" w:rsidP="00224858">
            <w:pPr>
              <w:pStyle w:val="In-tableHeading"/>
              <w:jc w:val="center"/>
              <w:rPr>
                <w:b w:val="0"/>
                <w:lang w:val="en-AU"/>
              </w:rPr>
            </w:pPr>
            <w:r w:rsidRPr="00BF148D">
              <w:rPr>
                <w:b w:val="0"/>
                <w:lang w:val="en-AU"/>
              </w:rPr>
              <w:t>NA</w:t>
            </w:r>
          </w:p>
        </w:tc>
        <w:tc>
          <w:tcPr>
            <w:tcW w:w="1772" w:type="dxa"/>
            <w:tcBorders>
              <w:bottom w:val="double" w:sz="4" w:space="0" w:color="auto"/>
            </w:tcBorders>
            <w:vAlign w:val="center"/>
          </w:tcPr>
          <w:p w:rsidR="006E1230" w:rsidRPr="00BF148D" w:rsidRDefault="006E1230" w:rsidP="00224858">
            <w:pPr>
              <w:pStyle w:val="In-tableHeading"/>
              <w:jc w:val="center"/>
              <w:rPr>
                <w:lang w:val="en-AU"/>
              </w:rPr>
            </w:pPr>
            <w:r w:rsidRPr="00BF148D">
              <w:rPr>
                <w:lang w:val="en-AU"/>
              </w:rPr>
              <w:t>-17.21 (-30.32, -4.09)</w:t>
            </w:r>
          </w:p>
          <w:p w:rsidR="006E1230" w:rsidRPr="00BF148D" w:rsidRDefault="006E1230" w:rsidP="00224858">
            <w:pPr>
              <w:pStyle w:val="In-tableHeading"/>
              <w:jc w:val="center"/>
              <w:rPr>
                <w:lang w:val="en-AU"/>
              </w:rPr>
            </w:pPr>
          </w:p>
        </w:tc>
        <w:tc>
          <w:tcPr>
            <w:tcW w:w="1523" w:type="dxa"/>
            <w:tcBorders>
              <w:bottom w:val="double" w:sz="4" w:space="0" w:color="auto"/>
            </w:tcBorders>
            <w:vAlign w:val="center"/>
          </w:tcPr>
          <w:p w:rsidR="006E1230" w:rsidRPr="00BF148D" w:rsidRDefault="006E1230" w:rsidP="00224858">
            <w:pPr>
              <w:pStyle w:val="In-tableHeading"/>
              <w:jc w:val="center"/>
              <w:rPr>
                <w:b w:val="0"/>
                <w:lang w:val="en-AU"/>
              </w:rPr>
            </w:pPr>
            <w:r w:rsidRPr="00BF148D">
              <w:rPr>
                <w:b w:val="0"/>
                <w:lang w:val="en-AU"/>
              </w:rPr>
              <w:t>-</w:t>
            </w:r>
          </w:p>
        </w:tc>
      </w:tr>
      <w:tr w:rsidR="006E1230" w:rsidRPr="00BF148D" w:rsidTr="00456AC8">
        <w:tc>
          <w:tcPr>
            <w:tcW w:w="3964" w:type="dxa"/>
            <w:tcBorders>
              <w:top w:val="double" w:sz="4" w:space="0" w:color="auto"/>
            </w:tcBorders>
            <w:vAlign w:val="center"/>
          </w:tcPr>
          <w:p w:rsidR="006E1230" w:rsidRPr="00BF148D" w:rsidRDefault="006E1230" w:rsidP="00224858">
            <w:pPr>
              <w:pStyle w:val="In-tableHeading"/>
              <w:rPr>
                <w:b w:val="0"/>
                <w:lang w:val="en-AU"/>
              </w:rPr>
            </w:pPr>
            <w:r w:rsidRPr="00BF148D">
              <w:rPr>
                <w:b w:val="0"/>
                <w:lang w:val="en-AU"/>
              </w:rPr>
              <w:t>Proportion of patients experiencing</w:t>
            </w:r>
            <w:r w:rsidRPr="00BF148D">
              <w:rPr>
                <w:b w:val="0"/>
                <w:i/>
                <w:lang w:val="en-AU"/>
              </w:rPr>
              <w:t xml:space="preserve"> ≥</w:t>
            </w:r>
            <w:r w:rsidRPr="00BF148D">
              <w:rPr>
                <w:b w:val="0"/>
                <w:lang w:val="en-AU"/>
              </w:rPr>
              <w:t>50% reduction in drop seizure frequency from baseline</w:t>
            </w:r>
            <w:r w:rsidR="007B0995" w:rsidRPr="00BF148D">
              <w:rPr>
                <w:b w:val="0"/>
                <w:lang w:val="en-AU"/>
              </w:rPr>
              <w:t>, n/N (%)</w:t>
            </w:r>
          </w:p>
        </w:tc>
        <w:tc>
          <w:tcPr>
            <w:tcW w:w="1772" w:type="dxa"/>
            <w:tcBorders>
              <w:top w:val="double" w:sz="4" w:space="0" w:color="auto"/>
            </w:tcBorders>
            <w:vAlign w:val="center"/>
          </w:tcPr>
          <w:p w:rsidR="006E1230" w:rsidRPr="00BF148D" w:rsidRDefault="006E1230" w:rsidP="00224858">
            <w:pPr>
              <w:pStyle w:val="In-tableHeading"/>
              <w:jc w:val="center"/>
              <w:rPr>
                <w:b w:val="0"/>
                <w:lang w:val="en-AU"/>
              </w:rPr>
            </w:pPr>
            <w:r w:rsidRPr="00BF148D">
              <w:rPr>
                <w:b w:val="0"/>
                <w:lang w:val="en-AU"/>
              </w:rPr>
              <w:t>NA</w:t>
            </w:r>
          </w:p>
        </w:tc>
        <w:tc>
          <w:tcPr>
            <w:tcW w:w="1772" w:type="dxa"/>
            <w:tcBorders>
              <w:top w:val="double" w:sz="4" w:space="0" w:color="auto"/>
            </w:tcBorders>
            <w:vAlign w:val="center"/>
          </w:tcPr>
          <w:p w:rsidR="006E1230" w:rsidRPr="00BF148D" w:rsidRDefault="005A772C" w:rsidP="00224858">
            <w:pPr>
              <w:pStyle w:val="In-tableHeading"/>
              <w:jc w:val="center"/>
              <w:rPr>
                <w:b w:val="0"/>
                <w:lang w:val="en-AU"/>
              </w:rPr>
            </w:pPr>
            <w:r w:rsidRPr="00BF148D">
              <w:rPr>
                <w:b w:val="0"/>
                <w:lang w:val="en-AU"/>
              </w:rPr>
              <w:t>38/86 (</w:t>
            </w:r>
            <w:r w:rsidR="006E1230" w:rsidRPr="00BF148D">
              <w:rPr>
                <w:b w:val="0"/>
                <w:lang w:val="en-AU"/>
              </w:rPr>
              <w:t>44.2</w:t>
            </w:r>
            <w:r w:rsidRPr="00BF148D">
              <w:rPr>
                <w:b w:val="0"/>
                <w:lang w:val="en-AU"/>
              </w:rPr>
              <w:t>)</w:t>
            </w:r>
          </w:p>
        </w:tc>
        <w:tc>
          <w:tcPr>
            <w:tcW w:w="1523" w:type="dxa"/>
            <w:tcBorders>
              <w:top w:val="double" w:sz="4" w:space="0" w:color="auto"/>
            </w:tcBorders>
            <w:vAlign w:val="center"/>
          </w:tcPr>
          <w:p w:rsidR="006E1230" w:rsidRPr="00BF148D" w:rsidRDefault="0037324A" w:rsidP="00224858">
            <w:pPr>
              <w:pStyle w:val="In-tableHeading"/>
              <w:jc w:val="center"/>
              <w:rPr>
                <w:b w:val="0"/>
                <w:lang w:val="en-AU"/>
              </w:rPr>
            </w:pPr>
            <w:r w:rsidRPr="00BF148D">
              <w:rPr>
                <w:b w:val="0"/>
                <w:lang w:val="en-AU"/>
              </w:rPr>
              <w:t>20/ 85 (</w:t>
            </w:r>
            <w:r w:rsidR="006E1230" w:rsidRPr="00BF148D">
              <w:rPr>
                <w:b w:val="0"/>
                <w:lang w:val="en-AU"/>
              </w:rPr>
              <w:t>23.5</w:t>
            </w:r>
            <w:r w:rsidRPr="00BF148D">
              <w:rPr>
                <w:b w:val="0"/>
                <w:lang w:val="en-AU"/>
              </w:rPr>
              <w:t>)</w:t>
            </w:r>
          </w:p>
        </w:tc>
      </w:tr>
      <w:tr w:rsidR="006E1230" w:rsidRPr="00BF148D" w:rsidTr="00456AC8">
        <w:tc>
          <w:tcPr>
            <w:tcW w:w="3964" w:type="dxa"/>
            <w:vAlign w:val="center"/>
          </w:tcPr>
          <w:p w:rsidR="006E1230" w:rsidRPr="00BF148D" w:rsidRDefault="006E1230" w:rsidP="00107F92">
            <w:pPr>
              <w:pStyle w:val="In-tableHeading"/>
              <w:ind w:left="257"/>
              <w:rPr>
                <w:b w:val="0"/>
                <w:lang w:val="en-AU"/>
              </w:rPr>
            </w:pPr>
            <w:r w:rsidRPr="00BF148D">
              <w:rPr>
                <w:b w:val="0"/>
                <w:lang w:val="en-AU"/>
              </w:rPr>
              <w:t xml:space="preserve">OR </w:t>
            </w:r>
            <w:r w:rsidR="00107F92" w:rsidRPr="00BF148D">
              <w:rPr>
                <w:b w:val="0"/>
                <w:lang w:val="en-AU"/>
              </w:rPr>
              <w:t>vs</w:t>
            </w:r>
            <w:r w:rsidR="007B0995" w:rsidRPr="00BF148D">
              <w:rPr>
                <w:b w:val="0"/>
                <w:lang w:val="en-AU"/>
              </w:rPr>
              <w:t xml:space="preserve"> placebo </w:t>
            </w:r>
            <w:r w:rsidRPr="00BF148D">
              <w:rPr>
                <w:b w:val="0"/>
                <w:lang w:val="en-AU"/>
              </w:rPr>
              <w:t>(95% CI)</w:t>
            </w:r>
          </w:p>
        </w:tc>
        <w:tc>
          <w:tcPr>
            <w:tcW w:w="1772" w:type="dxa"/>
            <w:vAlign w:val="center"/>
          </w:tcPr>
          <w:p w:rsidR="006E1230" w:rsidRPr="00BF148D" w:rsidRDefault="006E1230" w:rsidP="00224858">
            <w:pPr>
              <w:pStyle w:val="In-tableHeading"/>
              <w:jc w:val="center"/>
              <w:rPr>
                <w:b w:val="0"/>
                <w:lang w:val="en-AU"/>
              </w:rPr>
            </w:pPr>
            <w:r w:rsidRPr="00BF148D">
              <w:rPr>
                <w:b w:val="0"/>
                <w:lang w:val="en-AU"/>
              </w:rPr>
              <w:t>NA</w:t>
            </w:r>
          </w:p>
        </w:tc>
        <w:tc>
          <w:tcPr>
            <w:tcW w:w="1772" w:type="dxa"/>
            <w:vAlign w:val="center"/>
          </w:tcPr>
          <w:p w:rsidR="006E1230" w:rsidRPr="00BF148D" w:rsidRDefault="006E1230" w:rsidP="00107F92">
            <w:pPr>
              <w:pStyle w:val="In-tableHeading"/>
              <w:jc w:val="center"/>
              <w:rPr>
                <w:lang w:val="en-AU"/>
              </w:rPr>
            </w:pPr>
            <w:r w:rsidRPr="00BF148D">
              <w:rPr>
                <w:lang w:val="en-AU"/>
              </w:rPr>
              <w:t>2.57 (1.33, 4.97)</w:t>
            </w:r>
          </w:p>
        </w:tc>
        <w:tc>
          <w:tcPr>
            <w:tcW w:w="1523" w:type="dxa"/>
            <w:vAlign w:val="center"/>
          </w:tcPr>
          <w:p w:rsidR="006E1230" w:rsidRPr="00BF148D" w:rsidRDefault="006E1230" w:rsidP="00224858">
            <w:pPr>
              <w:pStyle w:val="In-tableHeading"/>
              <w:jc w:val="center"/>
              <w:rPr>
                <w:b w:val="0"/>
                <w:lang w:val="en-AU"/>
              </w:rPr>
            </w:pPr>
            <w:r w:rsidRPr="00BF148D">
              <w:rPr>
                <w:b w:val="0"/>
                <w:lang w:val="en-AU"/>
              </w:rPr>
              <w:t>-</w:t>
            </w:r>
          </w:p>
        </w:tc>
      </w:tr>
      <w:tr w:rsidR="00107F92" w:rsidRPr="00BF148D" w:rsidTr="00456AC8">
        <w:tc>
          <w:tcPr>
            <w:tcW w:w="3964" w:type="dxa"/>
            <w:vAlign w:val="center"/>
          </w:tcPr>
          <w:p w:rsidR="00107F92" w:rsidRPr="00BF148D" w:rsidRDefault="00107F92" w:rsidP="00107F92">
            <w:pPr>
              <w:pStyle w:val="In-tableHeading"/>
              <w:ind w:left="257"/>
              <w:rPr>
                <w:b w:val="0"/>
                <w:lang w:val="en-AU"/>
              </w:rPr>
            </w:pPr>
            <w:r w:rsidRPr="00BF148D">
              <w:rPr>
                <w:b w:val="0"/>
                <w:lang w:val="en-AU"/>
              </w:rPr>
              <w:t>RD vs placebo (95% CI)</w:t>
            </w:r>
          </w:p>
        </w:tc>
        <w:tc>
          <w:tcPr>
            <w:tcW w:w="1772" w:type="dxa"/>
            <w:vAlign w:val="center"/>
          </w:tcPr>
          <w:p w:rsidR="00107F92" w:rsidRPr="00BF148D" w:rsidRDefault="00107F92" w:rsidP="00224858">
            <w:pPr>
              <w:pStyle w:val="In-tableHeading"/>
              <w:jc w:val="center"/>
              <w:rPr>
                <w:b w:val="0"/>
                <w:lang w:val="en-AU"/>
              </w:rPr>
            </w:pPr>
            <w:r w:rsidRPr="00BF148D">
              <w:rPr>
                <w:b w:val="0"/>
                <w:lang w:val="en-AU"/>
              </w:rPr>
              <w:t>NA</w:t>
            </w:r>
          </w:p>
        </w:tc>
        <w:tc>
          <w:tcPr>
            <w:tcW w:w="1772" w:type="dxa"/>
            <w:vAlign w:val="center"/>
          </w:tcPr>
          <w:p w:rsidR="00107F92" w:rsidRPr="00BF148D" w:rsidRDefault="00107F92" w:rsidP="00107F92">
            <w:pPr>
              <w:pStyle w:val="In-tableHeading"/>
              <w:jc w:val="center"/>
              <w:rPr>
                <w:lang w:val="en-AU"/>
              </w:rPr>
            </w:pPr>
            <w:r w:rsidRPr="00BF148D">
              <w:rPr>
                <w:lang w:val="en-AU"/>
              </w:rPr>
              <w:t>0.21 (0.07, 0.35)</w:t>
            </w:r>
          </w:p>
        </w:tc>
        <w:tc>
          <w:tcPr>
            <w:tcW w:w="1523" w:type="dxa"/>
            <w:vAlign w:val="center"/>
          </w:tcPr>
          <w:p w:rsidR="00107F92" w:rsidRPr="00BF148D" w:rsidRDefault="00107F92" w:rsidP="00224858">
            <w:pPr>
              <w:pStyle w:val="In-tableHeading"/>
              <w:jc w:val="center"/>
              <w:rPr>
                <w:b w:val="0"/>
                <w:lang w:val="en-AU"/>
              </w:rPr>
            </w:pPr>
          </w:p>
        </w:tc>
      </w:tr>
    </w:tbl>
    <w:p w:rsidR="000E3C55" w:rsidRPr="00BF148D" w:rsidRDefault="00567534" w:rsidP="00224858">
      <w:pPr>
        <w:pStyle w:val="TableFigureFooter"/>
      </w:pPr>
      <w:r w:rsidRPr="00BF148D">
        <w:t xml:space="preserve">CI = confidence interval; </w:t>
      </w:r>
      <w:r w:rsidR="000E3C55" w:rsidRPr="00BF148D">
        <w:t xml:space="preserve">NA = not applicable; </w:t>
      </w:r>
      <w:r w:rsidR="007B0995" w:rsidRPr="00BF148D">
        <w:t xml:space="preserve">OR = odds ratio; </w:t>
      </w:r>
      <w:r w:rsidRPr="00BF148D">
        <w:t>Q1 = lower quartile; Q3 = upper quartile</w:t>
      </w:r>
      <w:r w:rsidR="007B0995" w:rsidRPr="00BF148D">
        <w:t>; RD = risk difference; RR = relative risk</w:t>
      </w:r>
      <w:r w:rsidRPr="00BF148D">
        <w:t xml:space="preserve"> </w:t>
      </w:r>
    </w:p>
    <w:p w:rsidR="000E3C55" w:rsidRPr="00BF148D" w:rsidRDefault="00567534" w:rsidP="00224858">
      <w:pPr>
        <w:pStyle w:val="TableFigureFooter"/>
      </w:pPr>
      <w:r w:rsidRPr="00BF148D">
        <w:t xml:space="preserve">Bold indicates statistically significant differences. </w:t>
      </w:r>
    </w:p>
    <w:p w:rsidR="00567534" w:rsidRPr="00BF148D" w:rsidRDefault="00567534" w:rsidP="00224858">
      <w:pPr>
        <w:pStyle w:val="TableFigureFooter"/>
      </w:pPr>
      <w:r w:rsidRPr="00BF148D">
        <w:t>Median values were reported in the submissions rather than means</w:t>
      </w:r>
    </w:p>
    <w:p w:rsidR="00567534" w:rsidRPr="00BF148D" w:rsidRDefault="00DF4A07" w:rsidP="00224858">
      <w:pPr>
        <w:pStyle w:val="TableFigureFooter"/>
        <w:tabs>
          <w:tab w:val="left" w:pos="284"/>
        </w:tabs>
        <w:spacing w:after="0"/>
        <w:ind w:left="284" w:hanging="284"/>
      </w:pPr>
      <w:r w:rsidRPr="00BF148D">
        <w:t>*</w:t>
      </w:r>
      <w:r w:rsidRPr="00BF148D">
        <w:rPr>
          <w:vertAlign w:val="superscript"/>
        </w:rPr>
        <w:tab/>
      </w:r>
      <w:r w:rsidR="00567534" w:rsidRPr="00BF148D">
        <w:t>73 patients (10 mg/kg/day), 76 patients (20 mg/kg/day), 76 patients (placebo) in GWPCARE3 and 86 patients (20 mg/kg/day) and 85 patients (placebo) in GWPCARE4</w:t>
      </w:r>
      <w:r w:rsidR="00A001D2" w:rsidRPr="00BF148D">
        <w:t xml:space="preserve">. </w:t>
      </w:r>
      <w:r w:rsidR="00A001D2" w:rsidRPr="00BF148D">
        <w:rPr>
          <w:snapToGrid/>
        </w:rPr>
        <w:t xml:space="preserve">Wilcoxon rank-sum test with Hodges-Lehmann approach used for primary outcome. </w:t>
      </w:r>
    </w:p>
    <w:p w:rsidR="007827EC" w:rsidRPr="00BF148D" w:rsidRDefault="007827EC" w:rsidP="00224858">
      <w:pPr>
        <w:pStyle w:val="TableFigureFooter"/>
      </w:pPr>
      <w:r w:rsidRPr="00BF148D">
        <w:t xml:space="preserve">Source: Table 59, pp104-105, Table 60, pp105-107 and Table 63, p112 of the submission. </w:t>
      </w:r>
    </w:p>
    <w:p w:rsidR="007827EC" w:rsidRPr="00BF148D" w:rsidRDefault="007827EC" w:rsidP="00224858">
      <w:pPr>
        <w:pStyle w:val="3-BodyText"/>
      </w:pPr>
      <w:r w:rsidRPr="00BF148D">
        <w:rPr>
          <w:snapToGrid/>
        </w:rPr>
        <w:t xml:space="preserve">GWPCARE3 demonstrated that </w:t>
      </w:r>
      <w:r w:rsidR="007B0995" w:rsidRPr="00BF148D">
        <w:rPr>
          <w:snapToGrid/>
        </w:rPr>
        <w:t xml:space="preserve">patients treated with </w:t>
      </w:r>
      <w:r w:rsidRPr="00BF148D">
        <w:rPr>
          <w:snapToGrid/>
        </w:rPr>
        <w:t xml:space="preserve">cannabidiol 10 mg/kg/day </w:t>
      </w:r>
      <w:r w:rsidR="007B0995" w:rsidRPr="00BF148D">
        <w:rPr>
          <w:snapToGrid/>
        </w:rPr>
        <w:t>experienced</w:t>
      </w:r>
      <w:r w:rsidRPr="00BF148D">
        <w:rPr>
          <w:snapToGrid/>
        </w:rPr>
        <w:t xml:space="preserve"> a </w:t>
      </w:r>
      <w:r w:rsidR="00A001D2" w:rsidRPr="00BF148D">
        <w:rPr>
          <w:snapToGrid/>
        </w:rPr>
        <w:t xml:space="preserve">difference in </w:t>
      </w:r>
      <w:r w:rsidRPr="00BF148D">
        <w:rPr>
          <w:snapToGrid/>
        </w:rPr>
        <w:t xml:space="preserve">median percentage </w:t>
      </w:r>
      <w:r w:rsidR="007B0995" w:rsidRPr="00BF148D">
        <w:rPr>
          <w:snapToGrid/>
        </w:rPr>
        <w:t xml:space="preserve">reduction </w:t>
      </w:r>
      <w:r w:rsidRPr="00BF148D">
        <w:rPr>
          <w:snapToGrid/>
        </w:rPr>
        <w:t xml:space="preserve">in drop seizure frequency (the primary endpoint) </w:t>
      </w:r>
      <w:r w:rsidR="007B0995" w:rsidRPr="00BF148D">
        <w:rPr>
          <w:snapToGrid/>
        </w:rPr>
        <w:t xml:space="preserve">of 19.19% compared with patients treated with placebo at 14 weeks. </w:t>
      </w:r>
    </w:p>
    <w:p w:rsidR="007827EC" w:rsidRPr="00BF148D" w:rsidRDefault="00BA19A6" w:rsidP="000365D8">
      <w:pPr>
        <w:pStyle w:val="3-BodyText"/>
      </w:pPr>
      <w:r w:rsidRPr="00BF148D">
        <w:rPr>
          <w:snapToGrid/>
        </w:rPr>
        <w:t xml:space="preserve">An </w:t>
      </w:r>
      <w:r w:rsidR="000365D8" w:rsidRPr="00BF148D">
        <w:rPr>
          <w:snapToGrid/>
        </w:rPr>
        <w:t xml:space="preserve">additional 21% of patients treated with cannabidiol 10 mg/kg/day </w:t>
      </w:r>
      <w:r w:rsidRPr="00BF148D">
        <w:rPr>
          <w:snapToGrid/>
        </w:rPr>
        <w:t xml:space="preserve">in GWPCARE3 </w:t>
      </w:r>
      <w:r w:rsidR="000365D8" w:rsidRPr="00BF148D">
        <w:rPr>
          <w:snapToGrid/>
        </w:rPr>
        <w:t xml:space="preserve">had a 50% or more reduction in drop seizure frequency from baseline compared to placebo. </w:t>
      </w:r>
    </w:p>
    <w:p w:rsidR="007827EC" w:rsidRPr="00BF148D" w:rsidRDefault="00A409C2" w:rsidP="00224858">
      <w:pPr>
        <w:pStyle w:val="3-BodyText"/>
      </w:pPr>
      <w:r w:rsidRPr="00BF148D">
        <w:rPr>
          <w:snapToGrid/>
        </w:rPr>
        <w:t>N</w:t>
      </w:r>
      <w:r w:rsidR="007827EC" w:rsidRPr="00BF148D">
        <w:rPr>
          <w:snapToGrid/>
        </w:rPr>
        <w:t xml:space="preserve">o patients being </w:t>
      </w:r>
      <w:r w:rsidRPr="00BF148D">
        <w:rPr>
          <w:snapToGrid/>
        </w:rPr>
        <w:t>treated with</w:t>
      </w:r>
      <w:r w:rsidR="007827EC" w:rsidRPr="00BF148D">
        <w:rPr>
          <w:snapToGrid/>
        </w:rPr>
        <w:t xml:space="preserve"> either cannabidiol 10 mg/kg/day or placebo </w:t>
      </w:r>
      <w:r w:rsidRPr="00BF148D">
        <w:rPr>
          <w:snapToGrid/>
        </w:rPr>
        <w:t xml:space="preserve">were seizure-free </w:t>
      </w:r>
      <w:r w:rsidR="007827EC" w:rsidRPr="00BF148D">
        <w:rPr>
          <w:snapToGrid/>
        </w:rPr>
        <w:t xml:space="preserve">at the end of </w:t>
      </w:r>
      <w:r w:rsidRPr="00BF148D">
        <w:rPr>
          <w:snapToGrid/>
        </w:rPr>
        <w:t>GWPCARE3. A</w:t>
      </w:r>
      <w:r w:rsidR="007827EC" w:rsidRPr="00BF148D">
        <w:rPr>
          <w:snapToGrid/>
        </w:rPr>
        <w:t xml:space="preserve"> statistically significant reduction in total </w:t>
      </w:r>
      <w:r w:rsidR="00BA19A6" w:rsidRPr="00BF148D">
        <w:rPr>
          <w:snapToGrid/>
        </w:rPr>
        <w:t xml:space="preserve">(drop and non-drop) </w:t>
      </w:r>
      <w:r w:rsidR="007827EC" w:rsidRPr="00BF148D">
        <w:rPr>
          <w:snapToGrid/>
        </w:rPr>
        <w:t>seizure frequency from baseline of 36.44% for cannabidiol treated patients versus 18.47% for placebo treated patients, and an overall improvement in the combined Caregiver/subject Global Impression of Change score at the last visit</w:t>
      </w:r>
      <w:r w:rsidR="00BA19A6" w:rsidRPr="00BF148D">
        <w:rPr>
          <w:snapToGrid/>
        </w:rPr>
        <w:t xml:space="preserve"> </w:t>
      </w:r>
      <w:r w:rsidRPr="00BF148D">
        <w:rPr>
          <w:snapToGrid/>
        </w:rPr>
        <w:t>were also reported</w:t>
      </w:r>
      <w:r w:rsidR="007827EC" w:rsidRPr="00BF148D">
        <w:rPr>
          <w:snapToGrid/>
        </w:rPr>
        <w:t>.</w:t>
      </w:r>
    </w:p>
    <w:p w:rsidR="007827EC" w:rsidRPr="00BF148D" w:rsidRDefault="007827EC" w:rsidP="00A7324B">
      <w:pPr>
        <w:pStyle w:val="3-BodyText"/>
      </w:pPr>
      <w:r w:rsidRPr="00BF148D">
        <w:lastRenderedPageBreak/>
        <w:t xml:space="preserve">For patients treated with the higher dose of 20 mg/kg/day cannabidiol </w:t>
      </w:r>
      <w:r w:rsidR="00A409C2" w:rsidRPr="00BF148D">
        <w:t xml:space="preserve">in GWPCARE3, </w:t>
      </w:r>
      <w:r w:rsidRPr="00BF148D">
        <w:t>there was a</w:t>
      </w:r>
      <w:r w:rsidR="00A409C2" w:rsidRPr="00BF148D">
        <w:t xml:space="preserve"> statistically significant</w:t>
      </w:r>
      <w:r w:rsidRPr="00BF148D">
        <w:t xml:space="preserve"> median </w:t>
      </w:r>
      <w:r w:rsidR="00A409C2" w:rsidRPr="00BF148D">
        <w:t xml:space="preserve">reduction </w:t>
      </w:r>
      <w:r w:rsidRPr="00BF148D">
        <w:t>in drop seizure frequency (primary endpoint) of 21.57</w:t>
      </w:r>
      <w:r w:rsidR="00A409C2" w:rsidRPr="00BF148D">
        <w:t xml:space="preserve">% </w:t>
      </w:r>
      <w:r w:rsidRPr="00BF148D">
        <w:t xml:space="preserve">compared to placebo treated patients during the 14 week period of the trial. A similar estimated median </w:t>
      </w:r>
      <w:r w:rsidR="00A409C2" w:rsidRPr="00BF148D">
        <w:t xml:space="preserve">reduction of 17.21% </w:t>
      </w:r>
      <w:r w:rsidRPr="00BF148D">
        <w:t xml:space="preserve">was seen in GWPCARE4. </w:t>
      </w:r>
      <w:r w:rsidR="00A7324B" w:rsidRPr="00BF148D">
        <w:t xml:space="preserve">A higher proportion of patients treated with 20 mg/kg/day (39.5%) had a 50% or more percentage reduction in convulsive seizures from baseline compared to patients treated with 10 mg/kg/day (35.6%). </w:t>
      </w:r>
    </w:p>
    <w:p w:rsidR="007827EC" w:rsidRPr="00BF148D" w:rsidRDefault="007827EC" w:rsidP="00224858">
      <w:pPr>
        <w:pStyle w:val="3-BodyText"/>
      </w:pPr>
      <w:r w:rsidRPr="00BF148D">
        <w:rPr>
          <w:snapToGrid/>
        </w:rPr>
        <w:t xml:space="preserve">Quality of life data was collected in the trials. </w:t>
      </w:r>
      <w:r w:rsidR="00A409C2" w:rsidRPr="00BF148D">
        <w:rPr>
          <w:snapToGrid/>
        </w:rPr>
        <w:t>F</w:t>
      </w:r>
      <w:r w:rsidRPr="00BF148D">
        <w:rPr>
          <w:snapToGrid/>
        </w:rPr>
        <w:t>or the key trial</w:t>
      </w:r>
      <w:r w:rsidR="00632B21" w:rsidRPr="00BF148D">
        <w:rPr>
          <w:snapToGrid/>
        </w:rPr>
        <w:t>s</w:t>
      </w:r>
      <w:r w:rsidRPr="00BF148D">
        <w:rPr>
          <w:snapToGrid/>
        </w:rPr>
        <w:t xml:space="preserve"> </w:t>
      </w:r>
      <w:r w:rsidR="00632B21" w:rsidRPr="00BF148D">
        <w:rPr>
          <w:snapToGrid/>
        </w:rPr>
        <w:t>(</w:t>
      </w:r>
      <w:r w:rsidRPr="00BF148D">
        <w:rPr>
          <w:snapToGrid/>
        </w:rPr>
        <w:t>GWPCARE2 for DS and GWPCARE3 for LGS</w:t>
      </w:r>
      <w:r w:rsidR="00632B21" w:rsidRPr="00BF148D">
        <w:rPr>
          <w:snapToGrid/>
        </w:rPr>
        <w:t>)</w:t>
      </w:r>
      <w:r w:rsidRPr="00BF148D">
        <w:rPr>
          <w:snapToGrid/>
        </w:rPr>
        <w:t xml:space="preserve">, while the adjusted mean difference between treatments was in favour of cannabidiol over placebo, none of the differences in the subscales or the overall quality of life in childhood epilepsy scores were statistically significant. </w:t>
      </w:r>
    </w:p>
    <w:p w:rsidR="007827EC" w:rsidRPr="00BF148D" w:rsidRDefault="007827EC" w:rsidP="00224858">
      <w:pPr>
        <w:pStyle w:val="3-BodyText"/>
      </w:pPr>
      <w:r w:rsidRPr="00BF148D">
        <w:rPr>
          <w:snapToGrid/>
        </w:rPr>
        <w:t>There was no statistically significant difference in the rate of hospitalisations due to epilepsy in the key trials.</w:t>
      </w:r>
      <w:r w:rsidRPr="00BF148D">
        <w:t xml:space="preserve"> This </w:t>
      </w:r>
      <w:r w:rsidR="00632B21" w:rsidRPr="00BF148D">
        <w:t>was inconsistent with</w:t>
      </w:r>
      <w:r w:rsidRPr="00BF148D">
        <w:t xml:space="preserve"> the submission’s </w:t>
      </w:r>
      <w:r w:rsidR="00632B21" w:rsidRPr="00BF148D">
        <w:t xml:space="preserve">assumption </w:t>
      </w:r>
      <w:r w:rsidRPr="00BF148D">
        <w:t>th</w:t>
      </w:r>
      <w:r w:rsidR="00915333" w:rsidRPr="00BF148D">
        <w:t>at treatment with cannabidiol would reduce epilepsy-</w:t>
      </w:r>
      <w:r w:rsidRPr="00BF148D">
        <w:t>related hospitalisations in the modelled economic evaluations.</w:t>
      </w:r>
    </w:p>
    <w:p w:rsidR="007827EC" w:rsidRPr="00BF148D" w:rsidRDefault="007827EC" w:rsidP="00224858">
      <w:pPr>
        <w:pStyle w:val="4-SubsectionHeading"/>
      </w:pPr>
      <w:bookmarkStart w:id="32" w:name="_Toc22897642"/>
      <w:bookmarkStart w:id="33" w:name="_Toc38639608"/>
      <w:bookmarkStart w:id="34" w:name="_Toc40880087"/>
      <w:r w:rsidRPr="00BF148D">
        <w:t>Comparative harms</w:t>
      </w:r>
      <w:bookmarkEnd w:id="32"/>
      <w:bookmarkEnd w:id="33"/>
      <w:bookmarkEnd w:id="34"/>
    </w:p>
    <w:p w:rsidR="007827EC" w:rsidRPr="00BF148D" w:rsidRDefault="007827EC" w:rsidP="00224858">
      <w:pPr>
        <w:pStyle w:val="3-BodyText"/>
      </w:pPr>
      <w:bookmarkStart w:id="35" w:name="_Ref42849472"/>
      <w:r w:rsidRPr="00BF148D">
        <w:t>Significantly more patients treated with cannabidiol experienced at least one adverse event</w:t>
      </w:r>
      <w:r w:rsidR="00AA5BC9" w:rsidRPr="00BF148D">
        <w:t xml:space="preserve"> (AE)</w:t>
      </w:r>
      <w:r w:rsidRPr="00BF148D">
        <w:t xml:space="preserve"> compared with placebo in the randomised trials (see </w:t>
      </w:r>
      <w:r w:rsidR="00580552" w:rsidRPr="00BF148D">
        <w:t>Table 6</w:t>
      </w:r>
      <w:r w:rsidRPr="00BF148D">
        <w:t xml:space="preserve">). The most common AEs included somnolence, decreased appetite, diarrhoea, </w:t>
      </w:r>
      <w:r w:rsidR="00D97C86">
        <w:t xml:space="preserve">need for </w:t>
      </w:r>
      <w:r w:rsidRPr="00BF148D">
        <w:t>investigations, and fatigue.</w:t>
      </w:r>
      <w:bookmarkEnd w:id="35"/>
      <w:r w:rsidRPr="00BF148D">
        <w:t xml:space="preserve"> </w:t>
      </w:r>
    </w:p>
    <w:p w:rsidR="001275FB" w:rsidRPr="00BF148D" w:rsidRDefault="00632B21" w:rsidP="002E2E34">
      <w:pPr>
        <w:pStyle w:val="3-BodyText"/>
      </w:pPr>
      <w:r w:rsidRPr="00BF148D">
        <w:t>The safety profile for cannabidiol 10</w:t>
      </w:r>
      <w:r w:rsidR="001B798E" w:rsidRPr="00BF148D">
        <w:t xml:space="preserve"> </w:t>
      </w:r>
      <w:r w:rsidRPr="00BF148D">
        <w:t>mg/kg/day relative to placebo appears to be more favourable than the safety profile for cannabidiol 20</w:t>
      </w:r>
      <w:r w:rsidR="001B798E" w:rsidRPr="00BF148D">
        <w:t xml:space="preserve"> </w:t>
      </w:r>
      <w:r w:rsidRPr="00BF148D">
        <w:t xml:space="preserve">mg/kg/day relative to placebo. </w:t>
      </w:r>
      <w:r w:rsidR="002E2E34" w:rsidRPr="00BF148D">
        <w:t>The ESC noted the significant rates of adverse events for cannabidiol 20mg/kg/day, particularly fatigue</w:t>
      </w:r>
      <w:r w:rsidR="00DC64FE" w:rsidRPr="00BF148D">
        <w:t xml:space="preserve">, </w:t>
      </w:r>
      <w:r w:rsidR="002E2E34" w:rsidRPr="00BF148D">
        <w:t>diarrhoea</w:t>
      </w:r>
      <w:r w:rsidR="00DC64FE" w:rsidRPr="00BF148D">
        <w:t xml:space="preserve"> and psychiatric disorders</w:t>
      </w:r>
      <w:r w:rsidR="002E2E34" w:rsidRPr="00BF148D">
        <w:t xml:space="preserve">, which may have significant </w:t>
      </w:r>
      <w:r w:rsidR="00DC64FE" w:rsidRPr="00BF148D">
        <w:t xml:space="preserve">negative </w:t>
      </w:r>
      <w:r w:rsidR="002E2E34" w:rsidRPr="00BF148D">
        <w:t xml:space="preserve">impacts on patient’s </w:t>
      </w:r>
      <w:r w:rsidR="00DC64FE" w:rsidRPr="00BF148D">
        <w:t xml:space="preserve">and carer’s </w:t>
      </w:r>
      <w:r w:rsidR="002E2E34" w:rsidRPr="00BF148D">
        <w:t>quality of life.</w:t>
      </w:r>
    </w:p>
    <w:p w:rsidR="002E2E34" w:rsidRPr="00BF148D" w:rsidRDefault="007849DE" w:rsidP="002E2E34">
      <w:pPr>
        <w:pStyle w:val="3-BodyText"/>
      </w:pPr>
      <w:bookmarkStart w:id="36" w:name="_Ref42849487"/>
      <w:r w:rsidRPr="00BF148D">
        <w:t xml:space="preserve">The ESC considered </w:t>
      </w:r>
      <w:r w:rsidR="00DC64FE" w:rsidRPr="00BF148D">
        <w:t xml:space="preserve">long-term safety data </w:t>
      </w:r>
      <w:r w:rsidRPr="00BF148D">
        <w:t>would be useful in light of the</w:t>
      </w:r>
      <w:r w:rsidR="002E2E34" w:rsidRPr="00BF148D">
        <w:t xml:space="preserve"> rates of adverse events</w:t>
      </w:r>
      <w:r w:rsidR="00DC64FE" w:rsidRPr="00BF148D">
        <w:t xml:space="preserve">; </w:t>
      </w:r>
      <w:r w:rsidR="002E2E34" w:rsidRPr="00BF148D">
        <w:t>however</w:t>
      </w:r>
      <w:r w:rsidR="00DC64FE" w:rsidRPr="00BF148D">
        <w:t xml:space="preserve">, acknowledged </w:t>
      </w:r>
      <w:r w:rsidR="00EA2985" w:rsidRPr="00BF148D">
        <w:t xml:space="preserve">it would be challenging to conduct longer-term trials given </w:t>
      </w:r>
      <w:r w:rsidR="00DC64FE" w:rsidRPr="00BF148D">
        <w:t xml:space="preserve">participation in </w:t>
      </w:r>
      <w:r w:rsidR="002E2E34" w:rsidRPr="00BF148D">
        <w:t>the</w:t>
      </w:r>
      <w:r w:rsidR="00EA2985" w:rsidRPr="00BF148D">
        <w:t xml:space="preserve"> </w:t>
      </w:r>
      <w:r w:rsidR="002E2E34" w:rsidRPr="00BF148D">
        <w:t>trials were burdensome to</w:t>
      </w:r>
      <w:r w:rsidR="00EA2985" w:rsidRPr="00BF148D">
        <w:t xml:space="preserve"> patients</w:t>
      </w:r>
      <w:r w:rsidR="002E2E34" w:rsidRPr="00BF148D">
        <w:t xml:space="preserve"> and carers. The ESC considered that open label extension and post marketing surveillance would be important to inform long</w:t>
      </w:r>
      <w:r w:rsidR="00EA2985" w:rsidRPr="00BF148D">
        <w:t>-</w:t>
      </w:r>
      <w:r w:rsidR="002E2E34" w:rsidRPr="00BF148D">
        <w:t>term safety</w:t>
      </w:r>
      <w:r w:rsidR="00EA2985" w:rsidRPr="00BF148D">
        <w:t xml:space="preserve"> of </w:t>
      </w:r>
      <w:r w:rsidR="00EB122C" w:rsidRPr="00BF148D">
        <w:t>cannabidiol</w:t>
      </w:r>
      <w:r w:rsidR="002E2E34" w:rsidRPr="00BF148D">
        <w:t>.</w:t>
      </w:r>
      <w:bookmarkEnd w:id="36"/>
      <w:r w:rsidR="002E2E34" w:rsidRPr="00BF148D">
        <w:t xml:space="preserve"> </w:t>
      </w:r>
    </w:p>
    <w:p w:rsidR="007827EC" w:rsidRPr="00BF148D" w:rsidRDefault="007827EC" w:rsidP="00224858">
      <w:pPr>
        <w:pStyle w:val="4-SubsectionHeading"/>
      </w:pPr>
      <w:bookmarkStart w:id="37" w:name="_Toc22897643"/>
      <w:bookmarkStart w:id="38" w:name="_Toc38639609"/>
      <w:bookmarkStart w:id="39" w:name="_Toc40880088"/>
      <w:r w:rsidRPr="00BF148D">
        <w:t>Benefits/harms</w:t>
      </w:r>
      <w:bookmarkEnd w:id="37"/>
      <w:bookmarkEnd w:id="38"/>
      <w:bookmarkEnd w:id="39"/>
    </w:p>
    <w:p w:rsidR="007827EC" w:rsidRPr="00BF148D" w:rsidRDefault="007827EC" w:rsidP="00224858">
      <w:pPr>
        <w:pStyle w:val="3-BodyText"/>
        <w:rPr>
          <w:rStyle w:val="CommentReference"/>
        </w:rPr>
      </w:pPr>
      <w:r w:rsidRPr="00BF148D">
        <w:t xml:space="preserve">A summary of the comparative harms for cannabidiol and standard care </w:t>
      </w:r>
      <w:r w:rsidR="00632B21" w:rsidRPr="00BF148D">
        <w:t xml:space="preserve">(continuation of patient’s existing AED therapies) </w:t>
      </w:r>
      <w:r w:rsidRPr="00BF148D">
        <w:t xml:space="preserve">versus placebo and standard care is presented in </w:t>
      </w:r>
      <w:r w:rsidR="00580552" w:rsidRPr="00BF148D">
        <w:t>Table 6</w:t>
      </w:r>
      <w:r w:rsidRPr="00BF148D">
        <w:t xml:space="preserve"> for statistically significant differences in trials GWPCARE2 and GWPCARE1 Part B (for DS) and GWPCARE3 and GWPCARE4 (for LGS).</w:t>
      </w:r>
    </w:p>
    <w:p w:rsidR="007827EC" w:rsidRPr="00BF148D" w:rsidRDefault="00915333" w:rsidP="00224858">
      <w:pPr>
        <w:pStyle w:val="TableFigureHeading"/>
        <w:rPr>
          <w:rStyle w:val="CommentReference"/>
          <w:b/>
          <w:szCs w:val="24"/>
        </w:rPr>
      </w:pPr>
      <w:bookmarkStart w:id="40" w:name="_Ref39466182"/>
      <w:r w:rsidRPr="00BF148D">
        <w:rPr>
          <w:rStyle w:val="CommentReference"/>
          <w:b/>
          <w:szCs w:val="24"/>
        </w:rPr>
        <w:lastRenderedPageBreak/>
        <w:t xml:space="preserve">Table </w:t>
      </w:r>
      <w:r w:rsidR="00580552" w:rsidRPr="00BF148D">
        <w:rPr>
          <w:rStyle w:val="CommentReference"/>
          <w:b/>
          <w:szCs w:val="24"/>
        </w:rPr>
        <w:t>6</w:t>
      </w:r>
      <w:bookmarkEnd w:id="40"/>
      <w:r w:rsidR="007827EC" w:rsidRPr="00BF148D">
        <w:rPr>
          <w:rStyle w:val="CommentReference"/>
          <w:b/>
          <w:szCs w:val="24"/>
        </w:rPr>
        <w:t>: Summary of comparative harms for cannabidiol and standard care versus placebo and standard care</w:t>
      </w:r>
    </w:p>
    <w:tbl>
      <w:tblPr>
        <w:tblW w:w="5000" w:type="pct"/>
        <w:tblLayout w:type="fixed"/>
        <w:tblCellMar>
          <w:left w:w="28" w:type="dxa"/>
          <w:right w:w="28" w:type="dxa"/>
        </w:tblCellMar>
        <w:tblLook w:val="04A0" w:firstRow="1" w:lastRow="0" w:firstColumn="1" w:lastColumn="0" w:noHBand="0" w:noVBand="1"/>
      </w:tblPr>
      <w:tblGrid>
        <w:gridCol w:w="1150"/>
        <w:gridCol w:w="1143"/>
        <w:gridCol w:w="1284"/>
        <w:gridCol w:w="1555"/>
        <w:gridCol w:w="1133"/>
        <w:gridCol w:w="1362"/>
        <w:gridCol w:w="1390"/>
      </w:tblGrid>
      <w:tr w:rsidR="007827EC" w:rsidRPr="00BF148D" w:rsidTr="006B25BF">
        <w:trPr>
          <w:trHeight w:val="70"/>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In-tableHeading"/>
              <w:rPr>
                <w:lang w:val="en-AU"/>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Cannabidiol 10 mg/kg/day</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RR</w:t>
            </w:r>
            <w:r w:rsidR="00F06966" w:rsidRPr="00BF148D">
              <w:rPr>
                <w:lang w:val="en-AU"/>
              </w:rPr>
              <w:t xml:space="preserve"> </w:t>
            </w:r>
            <w:r w:rsidRPr="00BF148D">
              <w:rPr>
                <w:lang w:val="en-AU"/>
              </w:rPr>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Event rate/100 patients*</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RD</w:t>
            </w:r>
            <w:r w:rsidR="00F06966" w:rsidRPr="00BF148D">
              <w:rPr>
                <w:lang w:val="en-AU"/>
              </w:rPr>
              <w:t xml:space="preserve"> </w:t>
            </w:r>
            <w:r w:rsidR="001B798E" w:rsidRPr="00BF148D">
              <w:rPr>
                <w:lang w:val="en-AU"/>
              </w:rPr>
              <w:t>(95% CI)</w:t>
            </w:r>
          </w:p>
        </w:tc>
      </w:tr>
      <w:tr w:rsidR="007827EC" w:rsidRPr="00BF148D" w:rsidTr="006B25BF">
        <w:trPr>
          <w:trHeight w:val="335"/>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In-tableHeading"/>
              <w:rPr>
                <w:lang w:val="en-AU"/>
              </w:rPr>
            </w:pPr>
          </w:p>
        </w:tc>
        <w:tc>
          <w:tcPr>
            <w:tcW w:w="634" w:type="pct"/>
            <w:vMerge/>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rPr>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Cannabidiol 10 mg/kg/day</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Placebo</w:t>
            </w:r>
          </w:p>
        </w:tc>
        <w:tc>
          <w:tcPr>
            <w:tcW w:w="771" w:type="pct"/>
            <w:vMerge/>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rPr>
                <w:lang w:val="en-AU"/>
              </w:rPr>
            </w:pPr>
          </w:p>
        </w:tc>
      </w:tr>
      <w:tr w:rsidR="007827EC" w:rsidRPr="00BF148D" w:rsidTr="006B25BF">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In-tableHeading"/>
              <w:rPr>
                <w:lang w:val="en-AU"/>
              </w:rPr>
            </w:pPr>
            <w:r w:rsidRPr="00BF148D">
              <w:rPr>
                <w:lang w:val="en-AU"/>
              </w:rPr>
              <w:t>Psychiatric disorders (irritability, insomnia, aggression)</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highlight w:val="yellow"/>
              </w:rPr>
            </w:pPr>
            <w:r w:rsidRPr="00BF148D">
              <w:t>GWPCARE3</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B35CAD" w:rsidP="00224858">
            <w:pPr>
              <w:pStyle w:val="TableText0"/>
              <w:jc w:val="center"/>
              <w:rPr>
                <w:highlight w:val="yellow"/>
              </w:rPr>
            </w:pPr>
            <w:r w:rsidRPr="00BF148D">
              <w:t>9</w:t>
            </w:r>
            <w:r w:rsidR="007827EC" w:rsidRPr="00BF148D">
              <w:t>/67</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highlight w:val="yellow"/>
              </w:rPr>
            </w:pPr>
            <w:r w:rsidRPr="00BF148D">
              <w:t>2/76</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highlight w:val="yellow"/>
              </w:rPr>
            </w:pPr>
            <w:r w:rsidRPr="00BF148D">
              <w:rPr>
                <w:b/>
              </w:rPr>
              <w:t>5.10 (1.14, 22.8)</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13.4</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2.6</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B35CAD" w:rsidP="00224858">
            <w:pPr>
              <w:pStyle w:val="TableText0"/>
              <w:jc w:val="center"/>
              <w:rPr>
                <w:b/>
              </w:rPr>
            </w:pPr>
            <w:r w:rsidRPr="00BF148D">
              <w:rPr>
                <w:b/>
              </w:rPr>
              <w:t>0.11 (0.02, 0.21)</w:t>
            </w:r>
          </w:p>
        </w:tc>
      </w:tr>
      <w:tr w:rsidR="007827EC" w:rsidRPr="00BF148D" w:rsidTr="006B25BF">
        <w:trPr>
          <w:trHeight w:val="70"/>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In-tableHeading"/>
              <w:rPr>
                <w:lang w:val="en-AU"/>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Cannabidiol 20 mg/kg/day</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RR</w:t>
            </w:r>
          </w:p>
          <w:p w:rsidR="007827EC" w:rsidRPr="00BF148D" w:rsidRDefault="007827EC" w:rsidP="00224858">
            <w:pPr>
              <w:pStyle w:val="In-tableHeading"/>
              <w:jc w:val="center"/>
              <w:rPr>
                <w:lang w:val="en-AU"/>
              </w:rPr>
            </w:pPr>
            <w:r w:rsidRPr="00BF148D">
              <w:rPr>
                <w:lang w:val="en-AU"/>
              </w:rPr>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Event rate/100 patients*</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RD</w:t>
            </w:r>
            <w:r w:rsidR="001B798E" w:rsidRPr="00BF148D">
              <w:rPr>
                <w:lang w:val="en-AU"/>
              </w:rPr>
              <w:t xml:space="preserve"> (95% CI)</w:t>
            </w:r>
          </w:p>
        </w:tc>
      </w:tr>
      <w:tr w:rsidR="007827EC" w:rsidRPr="00BF148D" w:rsidTr="006B25BF">
        <w:trPr>
          <w:trHeight w:val="39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In-tableHeading"/>
              <w:rPr>
                <w:lang w:val="en-AU"/>
              </w:rPr>
            </w:pPr>
          </w:p>
        </w:tc>
        <w:tc>
          <w:tcPr>
            <w:tcW w:w="634" w:type="pct"/>
            <w:vMerge/>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rPr>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Cannabidiol 20 mg/kg/day</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jc w:val="center"/>
              <w:rPr>
                <w:lang w:val="en-AU"/>
              </w:rPr>
            </w:pPr>
            <w:r w:rsidRPr="00BF148D">
              <w:rPr>
                <w:lang w:val="en-AU"/>
              </w:rPr>
              <w:t>Placebo</w:t>
            </w:r>
          </w:p>
        </w:tc>
        <w:tc>
          <w:tcPr>
            <w:tcW w:w="771" w:type="pct"/>
            <w:vMerge/>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In-tableHeading"/>
              <w:rPr>
                <w:lang w:val="en-AU"/>
              </w:rPr>
            </w:pPr>
          </w:p>
        </w:tc>
      </w:tr>
      <w:tr w:rsidR="007827EC" w:rsidRPr="00BF148D" w:rsidTr="006B25BF">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In-tableHeading"/>
              <w:rPr>
                <w:lang w:val="en-AU"/>
              </w:rPr>
            </w:pPr>
            <w:r w:rsidRPr="00BF148D">
              <w:rPr>
                <w:lang w:val="en-AU"/>
              </w:rPr>
              <w:t>Fatigue</w:t>
            </w:r>
          </w:p>
        </w:tc>
      </w:tr>
      <w:tr w:rsidR="007827EC" w:rsidRPr="00BF148D" w:rsidTr="006B25BF">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highlight w:val="yellow"/>
              </w:rPr>
            </w:pPr>
            <w:r w:rsidRPr="00BF148D">
              <w:t>GWPCARE2</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14/69</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4/65</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3.30 (1.14, 9.50)</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20.3</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6.2</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B35CAD" w:rsidP="00224858">
            <w:pPr>
              <w:pStyle w:val="TableText0"/>
              <w:jc w:val="center"/>
              <w:rPr>
                <w:b/>
              </w:rPr>
            </w:pPr>
            <w:r w:rsidRPr="00BF148D">
              <w:rPr>
                <w:b/>
              </w:rPr>
              <w:t>0.14 (0.03, 0.26)</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highlight w:val="yellow"/>
              </w:rPr>
            </w:pPr>
            <w:r w:rsidRPr="00BF148D">
              <w:t>GWPCARE1 Part B</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10/61</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1/59</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9.67 (1.28, 73.2)</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16.4</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1.7</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B35CAD" w:rsidP="00224858">
            <w:pPr>
              <w:pStyle w:val="TableText0"/>
              <w:jc w:val="center"/>
              <w:rPr>
                <w:b/>
              </w:rPr>
            </w:pPr>
            <w:r w:rsidRPr="00BF148D">
              <w:rPr>
                <w:b/>
              </w:rPr>
              <w:t>0.15 (0.05, 0.26)</w:t>
            </w:r>
          </w:p>
        </w:tc>
      </w:tr>
      <w:tr w:rsidR="007827EC" w:rsidRPr="00BF148D" w:rsidTr="006B25BF">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In-tableHeading"/>
              <w:rPr>
                <w:lang w:val="en-AU"/>
              </w:rPr>
            </w:pPr>
            <w:r w:rsidRPr="00BF148D">
              <w:rPr>
                <w:lang w:val="en-AU"/>
              </w:rPr>
              <w:t>Diarrhoea</w:t>
            </w:r>
          </w:p>
        </w:tc>
      </w:tr>
      <w:tr w:rsidR="007827EC" w:rsidRPr="00BF148D" w:rsidTr="006B25BF">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highlight w:val="yellow"/>
              </w:rPr>
            </w:pPr>
            <w:r w:rsidRPr="00BF148D">
              <w:t>GWPCARE2</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15/69</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4/65</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3.53 (1.24, 10.09)</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21.7</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6.2</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0.16 (0.04, 0.28)</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highlight w:val="yellow"/>
              </w:rPr>
            </w:pPr>
            <w:r w:rsidRPr="00BF148D">
              <w:t>GWPCARE1 Part B</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13/61</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2/59</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6.29 (1.48, 26.7)</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21.3</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5.1</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0.18 (0.07, 0.30)</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GWPCARE4</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11/86</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3/85</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3.62 (1.05, 12.5)</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12.8</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3.5</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0.</w:t>
            </w:r>
            <w:r w:rsidR="00322CBF" w:rsidRPr="00BF148D">
              <w:rPr>
                <w:b/>
              </w:rPr>
              <w:t>09 (0.01, 0.18)</w:t>
            </w:r>
          </w:p>
        </w:tc>
      </w:tr>
      <w:tr w:rsidR="007827EC" w:rsidRPr="00BF148D" w:rsidTr="006B25BF">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In-tableHeading"/>
              <w:rPr>
                <w:lang w:val="en-AU"/>
              </w:rPr>
            </w:pPr>
            <w:r w:rsidRPr="00BF148D">
              <w:rPr>
                <w:lang w:val="en-AU"/>
              </w:rPr>
              <w:t>Investigations</w:t>
            </w:r>
          </w:p>
        </w:tc>
      </w:tr>
      <w:tr w:rsidR="007827EC" w:rsidRPr="00BF148D" w:rsidTr="006B25BF">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highlight w:val="yellow"/>
              </w:rPr>
            </w:pPr>
            <w:r w:rsidRPr="00BF148D">
              <w:t>GWPCARE2</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17/69</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6/65</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2.67 (1.12, 6.35)</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24.6</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9.2</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0.15 (0.03, 0.28)</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GWPCARE1 Part B</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14/61</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1/59</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13.5 (1.84, 99.7)</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23.0</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1.7</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0.21 (0.11, 0.34)</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highlight w:val="yellow"/>
              </w:rPr>
            </w:pPr>
            <w:r w:rsidRPr="00BF148D">
              <w:t>GWPCARE3</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14/82</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B35CAD" w:rsidP="00224858">
            <w:pPr>
              <w:pStyle w:val="TableText0"/>
              <w:jc w:val="center"/>
            </w:pPr>
            <w:r w:rsidRPr="00BF148D">
              <w:t>2/76</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6.49 (1.52, 27.6)</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17.1</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2.6</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0.14 (0.06, 0.24)</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GWPCARE4</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18/86</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4/85</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4.45 (1.57, 12.6)</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20.9</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4.7</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0.16 (0.07, 0.27)</w:t>
            </w:r>
          </w:p>
        </w:tc>
      </w:tr>
      <w:tr w:rsidR="007827EC" w:rsidRPr="00BF148D" w:rsidTr="006B25BF">
        <w:trPr>
          <w:trHeight w:val="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b/>
              </w:rPr>
            </w:pPr>
            <w:r w:rsidRPr="00BF148D">
              <w:rPr>
                <w:b/>
              </w:rPr>
              <w:t>Somnolence</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GWPCARE2</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16/69</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6/65</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2.51 (1.05, 6.03)</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23.2</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9.2</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0.14 (0.01, 0.27)</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GWPCARE1 Part B</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19/61</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4/59</w:t>
            </w:r>
          </w:p>
        </w:tc>
        <w:tc>
          <w:tcPr>
            <w:tcW w:w="862" w:type="pct"/>
            <w:vAlign w:val="center"/>
          </w:tcPr>
          <w:p w:rsidR="007827EC" w:rsidRPr="00BF148D" w:rsidRDefault="007827EC" w:rsidP="00224858">
            <w:pPr>
              <w:pStyle w:val="TableText0"/>
              <w:jc w:val="center"/>
              <w:rPr>
                <w:b/>
              </w:rPr>
            </w:pPr>
            <w:r w:rsidRPr="00BF148D">
              <w:rPr>
                <w:b/>
              </w:rPr>
              <w:t>4.59 (1.66, 12.7)</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31.1</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6.8</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0.24 (0.11, 0.38)</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GWPCARE3</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21/82</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2/76</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9.73 (2.36, 40.1)</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25.6</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2.6</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0.23 (0.13, 0.34)</w:t>
            </w:r>
          </w:p>
        </w:tc>
      </w:tr>
      <w:tr w:rsidR="007827EC" w:rsidRPr="00BF148D" w:rsidTr="006B25BF">
        <w:trPr>
          <w:trHeight w:val="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b/>
              </w:rPr>
            </w:pPr>
            <w:r w:rsidRPr="00BF148D">
              <w:rPr>
                <w:b/>
              </w:rPr>
              <w:t>Decreased appetite</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GWPCARE3</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13/82</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2/76</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6.02 (1.41, 25.8))</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15.9</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2.6</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0.13 (0.05, 0.23)</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GWPCARE4</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8/86</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1/85</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7.91 (1.01, 61.9)</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9.3</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1.2</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0.08 (0.02, 0.16)</w:t>
            </w:r>
          </w:p>
        </w:tc>
      </w:tr>
      <w:tr w:rsidR="007827EC" w:rsidRPr="00BF148D" w:rsidTr="006B25BF">
        <w:trPr>
          <w:trHeight w:val="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rPr>
                <w:b/>
              </w:rPr>
            </w:pPr>
            <w:r w:rsidRPr="00BF148D">
              <w:rPr>
                <w:b/>
              </w:rPr>
              <w:t>Psychiatric disorders (irritability, insomnia, aggression)</w:t>
            </w:r>
          </w:p>
        </w:tc>
      </w:tr>
      <w:tr w:rsidR="007827EC" w:rsidRPr="00BF148D" w:rsidTr="006B25BF">
        <w:trPr>
          <w:trHeight w:val="70"/>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7827EC" w:rsidRPr="00BF148D" w:rsidRDefault="007827EC" w:rsidP="00224858">
            <w:pPr>
              <w:pStyle w:val="TableText0"/>
            </w:pPr>
            <w:r w:rsidRPr="00BF148D">
              <w:t>GWPCARE1 Part B</w:t>
            </w:r>
          </w:p>
        </w:tc>
        <w:tc>
          <w:tcPr>
            <w:tcW w:w="634"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9/61</w:t>
            </w:r>
          </w:p>
        </w:tc>
        <w:tc>
          <w:tcPr>
            <w:tcW w:w="71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1/59</w:t>
            </w:r>
          </w:p>
        </w:tc>
        <w:tc>
          <w:tcPr>
            <w:tcW w:w="862"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rPr>
                <w:b/>
              </w:rPr>
            </w:pPr>
            <w:r w:rsidRPr="00BF148D">
              <w:rPr>
                <w:b/>
              </w:rPr>
              <w:t>8.70 (1.14, 66.6)</w:t>
            </w:r>
          </w:p>
        </w:tc>
        <w:tc>
          <w:tcPr>
            <w:tcW w:w="628"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14.8</w:t>
            </w:r>
          </w:p>
        </w:tc>
        <w:tc>
          <w:tcPr>
            <w:tcW w:w="755" w:type="pct"/>
            <w:tcBorders>
              <w:top w:val="single" w:sz="4" w:space="0" w:color="auto"/>
              <w:left w:val="single" w:sz="4" w:space="0" w:color="auto"/>
              <w:bottom w:val="single" w:sz="4" w:space="0" w:color="auto"/>
              <w:right w:val="single" w:sz="4" w:space="0" w:color="auto"/>
            </w:tcBorders>
            <w:vAlign w:val="center"/>
          </w:tcPr>
          <w:p w:rsidR="007827EC" w:rsidRPr="00BF148D" w:rsidRDefault="007827EC" w:rsidP="00224858">
            <w:pPr>
              <w:pStyle w:val="TableText0"/>
              <w:jc w:val="center"/>
            </w:pPr>
            <w:r w:rsidRPr="00BF148D">
              <w:t>1.7</w:t>
            </w:r>
          </w:p>
        </w:tc>
        <w:tc>
          <w:tcPr>
            <w:tcW w:w="771" w:type="pct"/>
            <w:tcBorders>
              <w:top w:val="single" w:sz="4" w:space="0" w:color="auto"/>
              <w:left w:val="single" w:sz="4" w:space="0" w:color="auto"/>
              <w:bottom w:val="single" w:sz="4" w:space="0" w:color="auto"/>
              <w:right w:val="single" w:sz="4" w:space="0" w:color="auto"/>
            </w:tcBorders>
            <w:vAlign w:val="center"/>
          </w:tcPr>
          <w:p w:rsidR="007827EC" w:rsidRPr="00BF148D" w:rsidRDefault="00322CBF" w:rsidP="00224858">
            <w:pPr>
              <w:pStyle w:val="TableText0"/>
              <w:jc w:val="center"/>
              <w:rPr>
                <w:b/>
              </w:rPr>
            </w:pPr>
            <w:r w:rsidRPr="00BF148D">
              <w:rPr>
                <w:b/>
              </w:rPr>
              <w:t>0.13 (0.04, 0.24)</w:t>
            </w:r>
          </w:p>
        </w:tc>
      </w:tr>
    </w:tbl>
    <w:p w:rsidR="007827EC" w:rsidRPr="00BF148D" w:rsidRDefault="007827EC" w:rsidP="00224858">
      <w:pPr>
        <w:pStyle w:val="TableFigureFooter"/>
      </w:pPr>
      <w:r w:rsidRPr="00BF148D">
        <w:t>RD = risk difference; RR = risk ratio. Bold signifies a statistically significant difference.</w:t>
      </w:r>
    </w:p>
    <w:p w:rsidR="007827EC" w:rsidRPr="00BF148D" w:rsidRDefault="007827EC" w:rsidP="00224858">
      <w:pPr>
        <w:pStyle w:val="TableFigureFooter"/>
      </w:pPr>
      <w:r w:rsidRPr="00BF148D">
        <w:t>* Median duration of follow-up: 14 weeks</w:t>
      </w:r>
    </w:p>
    <w:p w:rsidR="00DD6DBC" w:rsidRPr="00BF148D" w:rsidRDefault="00DD6DBC" w:rsidP="00224858">
      <w:pPr>
        <w:pStyle w:val="TableFigureFooter"/>
        <w:rPr>
          <w:sz w:val="20"/>
        </w:rPr>
      </w:pPr>
      <w:r w:rsidRPr="00BF148D">
        <w:t>Source: Tables 65-68, pp116-125 of the submission. CSRs for each trial</w:t>
      </w:r>
    </w:p>
    <w:p w:rsidR="007827EC" w:rsidRPr="00BF148D" w:rsidRDefault="007827EC" w:rsidP="00224858">
      <w:pPr>
        <w:pStyle w:val="3-BodyText"/>
        <w:spacing w:after="0"/>
      </w:pPr>
      <w:r w:rsidRPr="00BF148D">
        <w:t xml:space="preserve">On the basis of direct evidence presented by the submission as detailed in </w:t>
      </w:r>
      <w:r w:rsidR="00580552" w:rsidRPr="00BF148D">
        <w:t>Table 4</w:t>
      </w:r>
      <w:r w:rsidR="00322CBF" w:rsidRPr="00BF148D">
        <w:t xml:space="preserve">, </w:t>
      </w:r>
      <w:r w:rsidR="00580552" w:rsidRPr="00BF148D">
        <w:t>Table 5</w:t>
      </w:r>
      <w:r w:rsidR="00322CBF" w:rsidRPr="00BF148D">
        <w:t xml:space="preserve"> and </w:t>
      </w:r>
      <w:r w:rsidR="00580552" w:rsidRPr="00BF148D">
        <w:t>Table 6</w:t>
      </w:r>
      <w:r w:rsidRPr="00BF148D">
        <w:t xml:space="preserve">, for every 100 patients treated with cannabidiol 10 mg/kg/day as an adjunct to standard care compared to every </w:t>
      </w:r>
      <w:r w:rsidR="00632B21" w:rsidRPr="00BF148D">
        <w:t xml:space="preserve">100 </w:t>
      </w:r>
      <w:r w:rsidRPr="00BF148D">
        <w:t>patients treated with placebo and standard care, over a median duration of exposure of 14 weeks:</w:t>
      </w:r>
    </w:p>
    <w:p w:rsidR="007827EC" w:rsidRPr="00BF148D" w:rsidRDefault="007827EC" w:rsidP="009C735A">
      <w:pPr>
        <w:pStyle w:val="3-BodyText"/>
        <w:numPr>
          <w:ilvl w:val="0"/>
          <w:numId w:val="9"/>
        </w:numPr>
        <w:spacing w:after="0"/>
        <w:ind w:left="993" w:hanging="284"/>
      </w:pPr>
      <w:r w:rsidRPr="00BF148D">
        <w:t>Approximately 18 additional DS patients would have a 50% or greater reduction in convulsive seizures per 28 days from baseline.</w:t>
      </w:r>
    </w:p>
    <w:p w:rsidR="007827EC" w:rsidRPr="00BF148D" w:rsidRDefault="007827EC" w:rsidP="009C735A">
      <w:pPr>
        <w:pStyle w:val="3-BodyText"/>
        <w:numPr>
          <w:ilvl w:val="0"/>
          <w:numId w:val="9"/>
        </w:numPr>
        <w:spacing w:after="0"/>
        <w:ind w:left="993" w:hanging="284"/>
      </w:pPr>
      <w:r w:rsidRPr="00BF148D">
        <w:t xml:space="preserve">Approximately 21 additional LGS patients would </w:t>
      </w:r>
      <w:r w:rsidR="00B265BA" w:rsidRPr="00BF148D">
        <w:t xml:space="preserve">have </w:t>
      </w:r>
      <w:r w:rsidRPr="00BF148D">
        <w:t>a 50% or greater reduction in drop seizures per 28 days from baseline.</w:t>
      </w:r>
    </w:p>
    <w:p w:rsidR="007827EC" w:rsidRPr="00BF148D" w:rsidRDefault="007827EC" w:rsidP="009C735A">
      <w:pPr>
        <w:pStyle w:val="3-BodyText"/>
        <w:numPr>
          <w:ilvl w:val="0"/>
          <w:numId w:val="9"/>
        </w:numPr>
        <w:ind w:left="993" w:hanging="284"/>
      </w:pPr>
      <w:r w:rsidRPr="00BF148D">
        <w:t>Approximately 11 additional LGS patients would experience psychiatric disorders such as irritability or aggression or difficulty sleeping (insomnia).</w:t>
      </w:r>
    </w:p>
    <w:p w:rsidR="007827EC" w:rsidRPr="00BF148D" w:rsidRDefault="007827EC" w:rsidP="00224858">
      <w:pPr>
        <w:pStyle w:val="3-BodyText"/>
        <w:spacing w:after="0"/>
      </w:pPr>
      <w:r w:rsidRPr="00BF148D">
        <w:t xml:space="preserve">On the basis of direct evidence presented by the submission, for every 100 patients treated with cannabidiol 20 mg/kg/day as an adjunct to standard care compared to </w:t>
      </w:r>
      <w:r w:rsidRPr="00BF148D">
        <w:lastRenderedPageBreak/>
        <w:t xml:space="preserve">every </w:t>
      </w:r>
      <w:r w:rsidR="00632B21" w:rsidRPr="00BF148D">
        <w:t xml:space="preserve">100 </w:t>
      </w:r>
      <w:r w:rsidRPr="00BF148D">
        <w:t>patients treated with placebo and standard care, over a median duration of exposure of 14 weeks</w:t>
      </w:r>
      <w:r w:rsidR="00A001D2" w:rsidRPr="00BF148D">
        <w:t>:</w:t>
      </w:r>
    </w:p>
    <w:p w:rsidR="007827EC" w:rsidRPr="00BF148D" w:rsidRDefault="007827EC" w:rsidP="00224858">
      <w:pPr>
        <w:pStyle w:val="ListParagraph"/>
        <w:spacing w:after="0"/>
        <w:ind w:left="993" w:hanging="284"/>
      </w:pPr>
      <w:r w:rsidRPr="00BF148D">
        <w:t xml:space="preserve">Approximately 16 to 23 additional patients with DS would have a 50% or greater reduction in </w:t>
      </w:r>
      <w:r w:rsidR="00632B21" w:rsidRPr="00BF148D">
        <w:t xml:space="preserve">convulsive </w:t>
      </w:r>
      <w:r w:rsidRPr="00BF148D">
        <w:t>seizure frequency per 28 days from baseline</w:t>
      </w:r>
      <w:r w:rsidRPr="00BF148D">
        <w:rPr>
          <w:rStyle w:val="FootnoteReference"/>
        </w:rPr>
        <w:footnoteReference w:id="4"/>
      </w:r>
      <w:r w:rsidRPr="00BF148D">
        <w:t>.</w:t>
      </w:r>
    </w:p>
    <w:p w:rsidR="007827EC" w:rsidRPr="00BF148D" w:rsidRDefault="007827EC" w:rsidP="00224858">
      <w:pPr>
        <w:pStyle w:val="ListParagraph"/>
        <w:spacing w:after="0"/>
        <w:ind w:left="993" w:hanging="284"/>
      </w:pPr>
      <w:r w:rsidRPr="00BF148D">
        <w:t>Approximately 21 to 25 additional patients with LGS would have a 50% or greater reduction in drop seizure frequency per 28 days from baseline</w:t>
      </w:r>
      <w:r w:rsidRPr="00BF148D">
        <w:rPr>
          <w:rStyle w:val="FootnoteReference"/>
        </w:rPr>
        <w:footnoteReference w:id="5"/>
      </w:r>
      <w:r w:rsidRPr="00BF148D">
        <w:t xml:space="preserve">. </w:t>
      </w:r>
    </w:p>
    <w:p w:rsidR="00322CBF" w:rsidRPr="00BF148D" w:rsidRDefault="00322CBF" w:rsidP="00224858">
      <w:pPr>
        <w:pStyle w:val="ListParagraph"/>
        <w:spacing w:after="0"/>
        <w:ind w:left="993" w:hanging="284"/>
      </w:pPr>
      <w:r w:rsidRPr="00BF148D">
        <w:t>For DS, 15 to 21 additional patients would require investigations, 14 to 15 additional patients would experience fatigue, 13 additional patients would experience psychiatric disorders (such as irritability, or aggression or difficulty sleeping (insomnia)), 15 to 16 additional patients would experience diarrhoea, and 14 to 24 would experience somnolence</w:t>
      </w:r>
      <w:r w:rsidR="00B152B6" w:rsidRPr="00BF148D">
        <w:t xml:space="preserve"> (sleepiness</w:t>
      </w:r>
      <w:r w:rsidR="00A7324B" w:rsidRPr="00BF148D">
        <w:t>)</w:t>
      </w:r>
      <w:r w:rsidRPr="00BF148D">
        <w:t>.</w:t>
      </w:r>
    </w:p>
    <w:p w:rsidR="007827EC" w:rsidRPr="00BF148D" w:rsidRDefault="007827EC" w:rsidP="00224858">
      <w:pPr>
        <w:pStyle w:val="ListParagraph"/>
        <w:ind w:left="993" w:hanging="284"/>
      </w:pPr>
      <w:r w:rsidRPr="00BF148D">
        <w:t xml:space="preserve">For LGS, approximately 8 to 13 additional patients would experience decreased appetite, 23 additional patients would experience sleepiness (somnolence), 15 to 16 additional patients would require investigations, and 9 additional patients would experience diarrhoea. </w:t>
      </w:r>
    </w:p>
    <w:p w:rsidR="007827EC" w:rsidRPr="00BF148D" w:rsidRDefault="007827EC" w:rsidP="00224858">
      <w:pPr>
        <w:pStyle w:val="4-SubsectionHeading"/>
      </w:pPr>
      <w:bookmarkStart w:id="41" w:name="_Toc22897644"/>
      <w:bookmarkStart w:id="42" w:name="_Toc38639610"/>
      <w:bookmarkStart w:id="43" w:name="_Toc40880089"/>
      <w:r w:rsidRPr="00BF148D">
        <w:t>Clinical claim</w:t>
      </w:r>
      <w:bookmarkEnd w:id="41"/>
      <w:bookmarkEnd w:id="42"/>
      <w:bookmarkEnd w:id="43"/>
    </w:p>
    <w:p w:rsidR="007827EC" w:rsidRPr="00BF148D" w:rsidRDefault="007827EC" w:rsidP="00224858">
      <w:pPr>
        <w:pStyle w:val="3-BodyText"/>
      </w:pPr>
      <w:r w:rsidRPr="00BF148D">
        <w:t xml:space="preserve">The submission described cannabidiol as adjunctive therapy to standard oral AEDs as superior in terms of effectiveness compared with standard oral AEDs alone and inferior in terms of safety in patients with seizures associated with </w:t>
      </w:r>
      <w:r w:rsidR="00BB4C93" w:rsidRPr="00BF148D">
        <w:t xml:space="preserve">DS or </w:t>
      </w:r>
      <w:r w:rsidRPr="00BF148D">
        <w:t>LGS</w:t>
      </w:r>
      <w:r w:rsidR="00EB62D6" w:rsidRPr="00BF148D">
        <w:t xml:space="preserve"> </w:t>
      </w:r>
      <w:r w:rsidRPr="00BF148D">
        <w:t>who have trialled two other appropriate AEDs to a maximally tolerated dose and failed to achieve seizure freedom. The claim was based on evidence provided</w:t>
      </w:r>
      <w:r w:rsidR="001B798E" w:rsidRPr="00BF148D">
        <w:t xml:space="preserve"> in the</w:t>
      </w:r>
      <w:r w:rsidRPr="00BF148D">
        <w:t xml:space="preserve"> </w:t>
      </w:r>
      <w:r w:rsidR="001B798E" w:rsidRPr="00BF148D">
        <w:t>randomised placebo-controlled trials,</w:t>
      </w:r>
      <w:r w:rsidR="001B798E" w:rsidRPr="00BF148D" w:rsidDel="001B798E">
        <w:t xml:space="preserve"> </w:t>
      </w:r>
      <w:r w:rsidRPr="00BF148D">
        <w:t xml:space="preserve">GWPCARE2 </w:t>
      </w:r>
      <w:r w:rsidR="001B798E" w:rsidRPr="00BF148D">
        <w:t xml:space="preserve">and GWPCARE1 Part B for DS </w:t>
      </w:r>
      <w:r w:rsidRPr="00BF148D">
        <w:t xml:space="preserve">and GWPCARE3 </w:t>
      </w:r>
      <w:r w:rsidR="001B798E" w:rsidRPr="00BF148D">
        <w:t>and GWPCARE4 for LGS</w:t>
      </w:r>
      <w:r w:rsidRPr="00BF148D">
        <w:t>.</w:t>
      </w:r>
    </w:p>
    <w:p w:rsidR="007827EC" w:rsidRPr="00BF148D" w:rsidRDefault="007827EC" w:rsidP="00224858">
      <w:pPr>
        <w:pStyle w:val="3-BodyText"/>
      </w:pPr>
      <w:r w:rsidRPr="00BF148D">
        <w:t xml:space="preserve">The </w:t>
      </w:r>
      <w:r w:rsidR="00B152B6" w:rsidRPr="00BF148D">
        <w:t xml:space="preserve">evaluation considered the </w:t>
      </w:r>
      <w:r w:rsidRPr="00BF148D">
        <w:t xml:space="preserve">therapeutic conclusion in relation to inferior safety was adequately supported by the evidence presented. </w:t>
      </w:r>
    </w:p>
    <w:p w:rsidR="007827EC" w:rsidRPr="00BF148D" w:rsidRDefault="007827EC" w:rsidP="00224858">
      <w:pPr>
        <w:pStyle w:val="3-BodyText"/>
        <w:spacing w:after="0"/>
      </w:pPr>
      <w:bookmarkStart w:id="44" w:name="_Ref43368198"/>
      <w:r w:rsidRPr="00BF148D">
        <w:t xml:space="preserve">The </w:t>
      </w:r>
      <w:r w:rsidR="004B3D57" w:rsidRPr="00BF148D">
        <w:t xml:space="preserve">evaluation considered the </w:t>
      </w:r>
      <w:r w:rsidRPr="00BF148D">
        <w:t>claim regarding superior efficacy, was not supported</w:t>
      </w:r>
      <w:r w:rsidR="00322CBF" w:rsidRPr="00BF148D">
        <w:t xml:space="preserve"> for the following </w:t>
      </w:r>
      <w:r w:rsidRPr="00BF148D">
        <w:t>reasons:</w:t>
      </w:r>
      <w:bookmarkEnd w:id="44"/>
    </w:p>
    <w:p w:rsidR="007827EC" w:rsidRPr="00BF148D" w:rsidRDefault="001C2A0F" w:rsidP="009C735A">
      <w:pPr>
        <w:pStyle w:val="3-BodyText"/>
        <w:numPr>
          <w:ilvl w:val="0"/>
          <w:numId w:val="8"/>
        </w:numPr>
        <w:spacing w:after="0"/>
        <w:ind w:left="993" w:hanging="284"/>
      </w:pPr>
      <w:r w:rsidRPr="00BF148D">
        <w:t>There was no requirement for patients with DS in GWPCARE2 and GWPCARE1 Part B to have trialled two other AEDs</w:t>
      </w:r>
      <w:r w:rsidR="00422EFE" w:rsidRPr="00BF148D">
        <w:t>, although the ESC noted that all patients had trialled at least one other AED and the median previously trialled AEDs was 3</w:t>
      </w:r>
      <w:r w:rsidR="0003359D" w:rsidRPr="00BF148D">
        <w:t>;</w:t>
      </w:r>
    </w:p>
    <w:p w:rsidR="007827EC" w:rsidRPr="00BF148D" w:rsidRDefault="007827EC" w:rsidP="009C735A">
      <w:pPr>
        <w:pStyle w:val="3-BodyText"/>
        <w:numPr>
          <w:ilvl w:val="0"/>
          <w:numId w:val="8"/>
        </w:numPr>
        <w:spacing w:after="0"/>
        <w:ind w:left="993" w:hanging="284"/>
      </w:pPr>
      <w:r w:rsidRPr="00BF148D">
        <w:t>Patients enrolled in the trials did not need to have failed to respond to a maximally tolerated dose of AE</w:t>
      </w:r>
      <w:r w:rsidR="0003359D" w:rsidRPr="00BF148D">
        <w:t>Ds prior to entry in the trials;</w:t>
      </w:r>
    </w:p>
    <w:p w:rsidR="00716210" w:rsidRPr="00BF148D" w:rsidRDefault="007827EC" w:rsidP="00716210">
      <w:pPr>
        <w:pStyle w:val="3-BodyText"/>
        <w:numPr>
          <w:ilvl w:val="0"/>
          <w:numId w:val="8"/>
        </w:numPr>
        <w:ind w:left="993" w:hanging="284"/>
      </w:pPr>
      <w:r w:rsidRPr="00BF148D">
        <w:t xml:space="preserve">The randomised trials presented were of short duration (14 weeks). While the trial evidence supported an assertion that cannabidiol as adjunctive therapy to standard oral AEDs is superior in terms of comparative effectiveness to standard oral AEDs </w:t>
      </w:r>
      <w:r w:rsidRPr="00BF148D">
        <w:lastRenderedPageBreak/>
        <w:t>alone, no randomised trial evidence was provided to support the view that superior efficacy would be maint</w:t>
      </w:r>
      <w:r w:rsidR="0003359D" w:rsidRPr="00BF148D">
        <w:t>ained over a longer time frame</w:t>
      </w:r>
      <w:r w:rsidR="00422EFE" w:rsidRPr="00BF148D">
        <w:t>.</w:t>
      </w:r>
      <w:r w:rsidR="00716210" w:rsidRPr="00BF148D">
        <w:t xml:space="preserve"> </w:t>
      </w:r>
      <w:r w:rsidR="00422EFE" w:rsidRPr="00BF148D">
        <w:t xml:space="preserve">The ESC considered that while the trials where of short duration, it is unlikely that longer randomised trials will be </w:t>
      </w:r>
      <w:r w:rsidR="00220551" w:rsidRPr="00BF148D">
        <w:t>forthcoming</w:t>
      </w:r>
      <w:r w:rsidR="00422EFE" w:rsidRPr="00BF148D">
        <w:t>.</w:t>
      </w:r>
      <w:r w:rsidR="00AC6896" w:rsidRPr="00BF148D">
        <w:t xml:space="preserve"> The ESC agreed with the PSCR that extending the trials beyond 14 weeks with placebo would not be ethical.</w:t>
      </w:r>
      <w:r w:rsidR="004268AE" w:rsidRPr="00BF148D">
        <w:t xml:space="preserve"> In the Pre-PBAC response, the sponsor noted that stiripentol had been recommended by the PBAC in March 2020 based on two clinical trials which ran for only two months and with a smaller trial population (pre-PBAC response)</w:t>
      </w:r>
      <w:r w:rsidR="00BD1CEF" w:rsidRPr="00BF148D">
        <w:t>;</w:t>
      </w:r>
    </w:p>
    <w:p w:rsidR="00CA7283" w:rsidRPr="00BF148D" w:rsidRDefault="00716210" w:rsidP="00716210">
      <w:pPr>
        <w:pStyle w:val="3-BodyText"/>
        <w:numPr>
          <w:ilvl w:val="0"/>
          <w:numId w:val="8"/>
        </w:numPr>
        <w:ind w:left="993" w:hanging="284"/>
      </w:pPr>
      <w:r w:rsidRPr="00BF148D">
        <w:t>Standard</w:t>
      </w:r>
      <w:r w:rsidR="00CA7283" w:rsidRPr="00BF148D">
        <w:t xml:space="preserve"> care in the trials may not reflect standard care in clinical practice due to limitations in changing concomitant medications. </w:t>
      </w:r>
    </w:p>
    <w:p w:rsidR="004B3D57" w:rsidRPr="00BF148D" w:rsidRDefault="004B3D57" w:rsidP="00CA7283">
      <w:pPr>
        <w:pStyle w:val="3-BodyText"/>
      </w:pPr>
      <w:r w:rsidRPr="00BF148D">
        <w:t xml:space="preserve">The ESC considered that, overall, the claim </w:t>
      </w:r>
      <w:r w:rsidR="00CA7283" w:rsidRPr="00BF148D">
        <w:t>that cannabidiol as adjunctive therapy to standard oral AEDs was superior in terms of effectiveness compared with standard oral AEDs was reasonable in th</w:t>
      </w:r>
      <w:r w:rsidR="00716210" w:rsidRPr="00BF148D">
        <w:t>ese</w:t>
      </w:r>
      <w:r w:rsidR="00CA7283" w:rsidRPr="00BF148D">
        <w:t xml:space="preserve"> difficult to treat patient populations.</w:t>
      </w:r>
      <w:r w:rsidR="00EB62D6" w:rsidRPr="00BF148D">
        <w:t xml:space="preserve"> </w:t>
      </w:r>
      <w:r w:rsidR="00CA7283" w:rsidRPr="00BF148D">
        <w:t xml:space="preserve">However, the ESC considered the magnitude of benefit may be uncertain in clinical practice given the issues raised in </w:t>
      </w:r>
      <w:r w:rsidR="00CA7283" w:rsidRPr="00574741">
        <w:t>paragraph</w:t>
      </w:r>
      <w:r w:rsidR="00716210" w:rsidRPr="00574741">
        <w:t xml:space="preserve"> </w:t>
      </w:r>
      <w:r w:rsidR="00A7324B" w:rsidRPr="00574741">
        <w:t>6.</w:t>
      </w:r>
      <w:r w:rsidR="001E1769" w:rsidRPr="00574741">
        <w:t>32</w:t>
      </w:r>
      <w:r w:rsidR="00CA7283" w:rsidRPr="00574741">
        <w:t>.</w:t>
      </w:r>
      <w:r w:rsidR="00EB62D6" w:rsidRPr="00BF148D">
        <w:t xml:space="preserve"> </w:t>
      </w:r>
    </w:p>
    <w:p w:rsidR="00026845" w:rsidRPr="00BF148D" w:rsidRDefault="00C834C5" w:rsidP="00C834C5">
      <w:pPr>
        <w:pStyle w:val="3-BodyText"/>
        <w:rPr>
          <w:lang w:eastAsia="en-US"/>
        </w:rPr>
      </w:pPr>
      <w:r w:rsidRPr="00BF148D">
        <w:rPr>
          <w:lang w:eastAsia="en-US"/>
        </w:rPr>
        <w:t xml:space="preserve">The PBAC </w:t>
      </w:r>
      <w:r w:rsidR="00BB4C93" w:rsidRPr="00BF148D">
        <w:rPr>
          <w:lang w:eastAsia="en-US"/>
        </w:rPr>
        <w:t xml:space="preserve">agreed with the ESC </w:t>
      </w:r>
      <w:r w:rsidRPr="00BF148D">
        <w:rPr>
          <w:lang w:eastAsia="en-US"/>
        </w:rPr>
        <w:t xml:space="preserve">that the claim </w:t>
      </w:r>
      <w:r w:rsidR="00F3003A" w:rsidRPr="00BF148D">
        <w:rPr>
          <w:lang w:eastAsia="en-US"/>
        </w:rPr>
        <w:t xml:space="preserve">that cannabidiol as adjunctive therapy was superior in terms of effectiveness was </w:t>
      </w:r>
      <w:r w:rsidR="00BB4C93" w:rsidRPr="00BF148D">
        <w:rPr>
          <w:lang w:eastAsia="en-US"/>
        </w:rPr>
        <w:t>reasonable</w:t>
      </w:r>
      <w:r w:rsidR="008A0971" w:rsidRPr="00BF148D">
        <w:rPr>
          <w:lang w:eastAsia="en-US"/>
        </w:rPr>
        <w:t xml:space="preserve"> but the magnitud</w:t>
      </w:r>
      <w:r w:rsidR="00BB4C93" w:rsidRPr="00BF148D">
        <w:rPr>
          <w:lang w:eastAsia="en-US"/>
        </w:rPr>
        <w:t xml:space="preserve">e of the benefit was uncertain. </w:t>
      </w:r>
    </w:p>
    <w:p w:rsidR="00C834C5" w:rsidRPr="00BF148D" w:rsidRDefault="00C834C5" w:rsidP="00C834C5">
      <w:pPr>
        <w:pStyle w:val="3-BodyText"/>
        <w:rPr>
          <w:lang w:eastAsia="en-US"/>
        </w:rPr>
      </w:pPr>
      <w:r w:rsidRPr="00BF148D">
        <w:rPr>
          <w:lang w:eastAsia="en-US"/>
        </w:rPr>
        <w:t>The PBAC considered that the claim of inferior compa</w:t>
      </w:r>
      <w:r w:rsidR="00F3003A" w:rsidRPr="00BF148D">
        <w:rPr>
          <w:lang w:eastAsia="en-US"/>
        </w:rPr>
        <w:t>rative safety was reasonable</w:t>
      </w:r>
      <w:r w:rsidRPr="00BF148D">
        <w:rPr>
          <w:lang w:eastAsia="en-US"/>
        </w:rPr>
        <w:t>.</w:t>
      </w:r>
    </w:p>
    <w:p w:rsidR="007827EC" w:rsidRPr="00BF148D" w:rsidRDefault="007827EC" w:rsidP="00224858">
      <w:pPr>
        <w:pStyle w:val="4-SubsectionHeading"/>
      </w:pPr>
      <w:bookmarkStart w:id="45" w:name="_Toc22897645"/>
      <w:bookmarkStart w:id="46" w:name="_Toc38639611"/>
      <w:bookmarkStart w:id="47" w:name="_Toc40880090"/>
      <w:r w:rsidRPr="00BF148D">
        <w:t>Economic analysis</w:t>
      </w:r>
      <w:bookmarkEnd w:id="45"/>
      <w:bookmarkEnd w:id="46"/>
      <w:bookmarkEnd w:id="47"/>
      <w:r w:rsidRPr="00BF148D">
        <w:t xml:space="preserve"> </w:t>
      </w:r>
    </w:p>
    <w:p w:rsidR="007827EC" w:rsidRPr="00BF148D" w:rsidRDefault="007827EC" w:rsidP="00224858">
      <w:pPr>
        <w:pStyle w:val="3-BodyText"/>
        <w:rPr>
          <w:b/>
          <w:bCs/>
        </w:rPr>
      </w:pPr>
      <w:r w:rsidRPr="00BF148D">
        <w:t>The submission presented stepped economic evaluations of cannabidiol 10 mg/kg/day that were stated to have been based on the direct randomised trials (GWPCARE2 for DS and GWPCARE3 for LGS). Very little of the trial based data used to inform the analyses could be verified</w:t>
      </w:r>
      <w:r w:rsidR="00C5045D" w:rsidRPr="00BF148D">
        <w:t xml:space="preserve">. </w:t>
      </w:r>
      <w:r w:rsidR="007550D7" w:rsidRPr="00BF148D">
        <w:t xml:space="preserve">The workings of the model were also difficult to elucidate given the use of VBA code and subsequent lack of transparency. </w:t>
      </w:r>
      <w:r w:rsidR="00C5045D" w:rsidRPr="00BF148D">
        <w:t>However, n</w:t>
      </w:r>
      <w:r w:rsidRPr="00BF148D">
        <w:t xml:space="preserve">umerous issues were identified during the evaluation with the data used to populate the models, both for data that was said to have been extracted from these trials, and for assumptions that were used to extrapolate the outcomes out to 30 years. </w:t>
      </w:r>
      <w:r w:rsidR="00E459DE" w:rsidRPr="00BF148D">
        <w:t>Patients treated with cannabidiol 20</w:t>
      </w:r>
      <w:r w:rsidR="00BD1CEF" w:rsidRPr="00BF148D">
        <w:t xml:space="preserve"> </w:t>
      </w:r>
      <w:r w:rsidR="00E459DE" w:rsidRPr="00BF148D">
        <w:t>mg/kg/day were not included in the economic analysis.</w:t>
      </w:r>
    </w:p>
    <w:p w:rsidR="007827EC" w:rsidRPr="00BF148D" w:rsidRDefault="007827EC" w:rsidP="00224858">
      <w:pPr>
        <w:pStyle w:val="3-BodyText"/>
        <w:rPr>
          <w:b/>
          <w:bCs/>
        </w:rPr>
      </w:pPr>
      <w:r w:rsidRPr="00BF148D">
        <w:t xml:space="preserve">The type of economic evaluations presented were cost-utility analyses designed to estimate the incremental cost and benefits of cannabidiol 10 mg/kg/day as an adjunct to standard care, versus placebo and standard care. </w:t>
      </w:r>
    </w:p>
    <w:p w:rsidR="007827EC" w:rsidRPr="00BF148D" w:rsidRDefault="007827EC" w:rsidP="00224858">
      <w:pPr>
        <w:pStyle w:val="3-BodyText"/>
        <w:rPr>
          <w:b/>
          <w:bCs/>
        </w:rPr>
      </w:pPr>
      <w:r w:rsidRPr="00BF148D">
        <w:t xml:space="preserve">A summary of the model structures and key inputs is presented in </w:t>
      </w:r>
      <w:r w:rsidR="00580552" w:rsidRPr="00BF148D">
        <w:t>Table 7</w:t>
      </w:r>
      <w:r w:rsidRPr="00BF148D">
        <w:t xml:space="preserve">. </w:t>
      </w:r>
    </w:p>
    <w:p w:rsidR="007827EC" w:rsidRPr="00BF148D" w:rsidRDefault="00816C0E" w:rsidP="0002344D">
      <w:pPr>
        <w:pStyle w:val="TableFigureHeading"/>
        <w:rPr>
          <w:rStyle w:val="CommentReference"/>
          <w:b/>
          <w:szCs w:val="24"/>
        </w:rPr>
      </w:pPr>
      <w:bookmarkStart w:id="48" w:name="_Ref39812633"/>
      <w:r w:rsidRPr="00BF148D">
        <w:rPr>
          <w:rStyle w:val="CommentReference"/>
          <w:b/>
          <w:szCs w:val="24"/>
        </w:rPr>
        <w:lastRenderedPageBreak/>
        <w:t xml:space="preserve">Table </w:t>
      </w:r>
      <w:r w:rsidR="00580552" w:rsidRPr="00BF148D">
        <w:rPr>
          <w:rStyle w:val="CommentReference"/>
          <w:b/>
          <w:szCs w:val="24"/>
        </w:rPr>
        <w:t>7</w:t>
      </w:r>
      <w:bookmarkEnd w:id="48"/>
      <w:r w:rsidR="007827EC" w:rsidRPr="00BF148D">
        <w:rPr>
          <w:rStyle w:val="CommentReference"/>
          <w:b/>
          <w:szCs w:val="24"/>
        </w:rPr>
        <w:t>: Summary of model structures and key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816C0E" w:rsidRPr="00BF148D" w:rsidTr="00A24832">
        <w:trPr>
          <w:tblHeader/>
        </w:trPr>
        <w:tc>
          <w:tcPr>
            <w:tcW w:w="784" w:type="pct"/>
            <w:shd w:val="clear" w:color="auto" w:fill="auto"/>
            <w:vAlign w:val="center"/>
          </w:tcPr>
          <w:p w:rsidR="007827EC" w:rsidRPr="00BF148D" w:rsidRDefault="007827EC" w:rsidP="0002344D">
            <w:pPr>
              <w:pStyle w:val="In-tableHeading"/>
              <w:rPr>
                <w:lang w:val="en-AU"/>
              </w:rPr>
            </w:pPr>
            <w:r w:rsidRPr="00BF148D">
              <w:rPr>
                <w:lang w:val="en-AU"/>
              </w:rPr>
              <w:t>Component</w:t>
            </w:r>
          </w:p>
        </w:tc>
        <w:tc>
          <w:tcPr>
            <w:tcW w:w="4216" w:type="pct"/>
            <w:shd w:val="clear" w:color="auto" w:fill="auto"/>
            <w:vAlign w:val="center"/>
          </w:tcPr>
          <w:p w:rsidR="007827EC" w:rsidRPr="00BF148D" w:rsidRDefault="007827EC" w:rsidP="0002344D">
            <w:pPr>
              <w:pStyle w:val="In-tableHeading"/>
              <w:jc w:val="center"/>
              <w:rPr>
                <w:lang w:val="en-AU"/>
              </w:rPr>
            </w:pPr>
            <w:r w:rsidRPr="00BF148D">
              <w:rPr>
                <w:lang w:val="en-AU"/>
              </w:rPr>
              <w:t>Summary</w:t>
            </w:r>
          </w:p>
        </w:tc>
      </w:tr>
      <w:tr w:rsidR="00816C0E" w:rsidRPr="00BF148D" w:rsidTr="00816C0E">
        <w:tc>
          <w:tcPr>
            <w:tcW w:w="784" w:type="pct"/>
            <w:shd w:val="clear" w:color="auto" w:fill="auto"/>
            <w:vAlign w:val="center"/>
          </w:tcPr>
          <w:p w:rsidR="007827EC" w:rsidRPr="00BF148D" w:rsidRDefault="007827EC" w:rsidP="0002344D">
            <w:pPr>
              <w:pStyle w:val="TableText0"/>
            </w:pPr>
            <w:r w:rsidRPr="00BF148D">
              <w:t>Treatments</w:t>
            </w:r>
          </w:p>
        </w:tc>
        <w:tc>
          <w:tcPr>
            <w:tcW w:w="4216" w:type="pct"/>
            <w:shd w:val="clear" w:color="auto" w:fill="auto"/>
            <w:vAlign w:val="center"/>
          </w:tcPr>
          <w:p w:rsidR="007827EC" w:rsidRPr="00BF148D" w:rsidRDefault="007827EC" w:rsidP="0002344D">
            <w:pPr>
              <w:pStyle w:val="TableText0"/>
            </w:pPr>
            <w:r w:rsidRPr="00BF148D">
              <w:t>Cannabidiol 10 mg/kg/day as an adjunct to standard care, versus placebo and standard care</w:t>
            </w:r>
          </w:p>
        </w:tc>
      </w:tr>
      <w:tr w:rsidR="00816C0E" w:rsidRPr="00BF148D" w:rsidTr="00816C0E">
        <w:tc>
          <w:tcPr>
            <w:tcW w:w="784" w:type="pct"/>
            <w:shd w:val="clear" w:color="auto" w:fill="auto"/>
            <w:vAlign w:val="center"/>
          </w:tcPr>
          <w:p w:rsidR="007827EC" w:rsidRPr="00BF148D" w:rsidRDefault="007827EC" w:rsidP="0002344D">
            <w:pPr>
              <w:pStyle w:val="TableText0"/>
            </w:pPr>
            <w:r w:rsidRPr="00BF148D">
              <w:t>Time horizon</w:t>
            </w:r>
          </w:p>
        </w:tc>
        <w:tc>
          <w:tcPr>
            <w:tcW w:w="4216" w:type="pct"/>
            <w:shd w:val="clear" w:color="auto" w:fill="auto"/>
            <w:vAlign w:val="center"/>
          </w:tcPr>
          <w:p w:rsidR="007827EC" w:rsidRPr="00BF148D" w:rsidRDefault="007827EC" w:rsidP="0002344D">
            <w:pPr>
              <w:pStyle w:val="TableText0"/>
            </w:pPr>
            <w:r w:rsidRPr="00BF148D">
              <w:t>30 years in the base case of each model versus 14 weeks in the trials</w:t>
            </w:r>
          </w:p>
        </w:tc>
      </w:tr>
      <w:tr w:rsidR="00816C0E" w:rsidRPr="00BF148D" w:rsidTr="00816C0E">
        <w:tc>
          <w:tcPr>
            <w:tcW w:w="784" w:type="pct"/>
            <w:shd w:val="clear" w:color="auto" w:fill="auto"/>
            <w:vAlign w:val="center"/>
          </w:tcPr>
          <w:p w:rsidR="007827EC" w:rsidRPr="00BF148D" w:rsidRDefault="007827EC" w:rsidP="0002344D">
            <w:pPr>
              <w:pStyle w:val="TableText0"/>
            </w:pPr>
            <w:r w:rsidRPr="00BF148D">
              <w:t>Outcomes</w:t>
            </w:r>
          </w:p>
        </w:tc>
        <w:tc>
          <w:tcPr>
            <w:tcW w:w="4216" w:type="pct"/>
            <w:shd w:val="clear" w:color="auto" w:fill="auto"/>
            <w:vAlign w:val="center"/>
          </w:tcPr>
          <w:p w:rsidR="007827EC" w:rsidRPr="00BF148D" w:rsidRDefault="007827EC" w:rsidP="0002344D">
            <w:pPr>
              <w:pStyle w:val="TableText0"/>
            </w:pPr>
            <w:r w:rsidRPr="00BF148D">
              <w:t>QALYS</w:t>
            </w:r>
          </w:p>
        </w:tc>
      </w:tr>
      <w:tr w:rsidR="00816C0E" w:rsidRPr="00BF148D" w:rsidTr="00816C0E">
        <w:tc>
          <w:tcPr>
            <w:tcW w:w="784" w:type="pct"/>
            <w:shd w:val="clear" w:color="auto" w:fill="auto"/>
            <w:vAlign w:val="center"/>
          </w:tcPr>
          <w:p w:rsidR="007827EC" w:rsidRPr="00BF148D" w:rsidRDefault="007827EC" w:rsidP="0002344D">
            <w:pPr>
              <w:pStyle w:val="TableText0"/>
            </w:pPr>
            <w:r w:rsidRPr="00BF148D">
              <w:t>Methods used to generate results</w:t>
            </w:r>
          </w:p>
        </w:tc>
        <w:tc>
          <w:tcPr>
            <w:tcW w:w="4216" w:type="pct"/>
            <w:shd w:val="clear" w:color="auto" w:fill="auto"/>
            <w:vAlign w:val="center"/>
          </w:tcPr>
          <w:p w:rsidR="007827EC" w:rsidRPr="00BF148D" w:rsidRDefault="007827EC" w:rsidP="0002344D">
            <w:pPr>
              <w:pStyle w:val="TableText0"/>
            </w:pPr>
            <w:r w:rsidRPr="00BF148D">
              <w:t>Markov state-transition cohort models</w:t>
            </w:r>
          </w:p>
        </w:tc>
      </w:tr>
      <w:tr w:rsidR="00816C0E" w:rsidRPr="00BF148D" w:rsidTr="00816C0E">
        <w:tc>
          <w:tcPr>
            <w:tcW w:w="784" w:type="pct"/>
            <w:shd w:val="clear" w:color="auto" w:fill="auto"/>
            <w:vAlign w:val="center"/>
          </w:tcPr>
          <w:p w:rsidR="007827EC" w:rsidRPr="00BF148D" w:rsidRDefault="007827EC" w:rsidP="00224858">
            <w:pPr>
              <w:pStyle w:val="TableText0"/>
              <w:keepNext w:val="0"/>
            </w:pPr>
            <w:r w:rsidRPr="00BF148D">
              <w:t>Health states</w:t>
            </w:r>
          </w:p>
        </w:tc>
        <w:tc>
          <w:tcPr>
            <w:tcW w:w="4216" w:type="pct"/>
            <w:shd w:val="clear" w:color="auto" w:fill="auto"/>
            <w:vAlign w:val="center"/>
          </w:tcPr>
          <w:p w:rsidR="00816C0E" w:rsidRPr="00BF148D" w:rsidRDefault="00816C0E" w:rsidP="00224858">
            <w:pPr>
              <w:pStyle w:val="TableText0"/>
              <w:keepNext w:val="0"/>
            </w:pPr>
            <w:r w:rsidRPr="00BF148D">
              <w:t xml:space="preserve">For DS, patients entered the model in two age cohorts, &lt;12 years (split further into 2-5 and 6-11 years) or </w:t>
            </w:r>
            <w:r w:rsidRPr="00BF148D">
              <w:rPr>
                <w:u w:val="single"/>
              </w:rPr>
              <w:t>&gt;</w:t>
            </w:r>
            <w:r w:rsidRPr="00BF148D">
              <w:t>12 years (split further into 12-17 and 18-55 years) of age into 1 of 9 health states based on convulsive seizures per month (≤18; &gt;18 - ≤25 and &gt;25), each sub-categorised by the number of days without convulsive seizures (&lt;18 days; &gt;18 - &lt;24 days; &gt;24 days).</w:t>
            </w:r>
          </w:p>
          <w:p w:rsidR="00816C0E" w:rsidRPr="00BF148D" w:rsidRDefault="00816C0E" w:rsidP="00224858">
            <w:pPr>
              <w:pStyle w:val="TableText0"/>
              <w:keepNext w:val="0"/>
            </w:pPr>
            <w:r w:rsidRPr="00BF148D">
              <w:t xml:space="preserve">From Cycle 1, there were </w:t>
            </w:r>
            <w:r w:rsidR="00E459DE" w:rsidRPr="00BF148D">
              <w:t xml:space="preserve">25 </w:t>
            </w:r>
            <w:r w:rsidRPr="00BF148D">
              <w:t>health states:</w:t>
            </w:r>
          </w:p>
          <w:p w:rsidR="00816C0E" w:rsidRPr="00BF148D" w:rsidRDefault="00816C0E" w:rsidP="009C735A">
            <w:pPr>
              <w:pStyle w:val="TableText0"/>
              <w:keepNext w:val="0"/>
              <w:numPr>
                <w:ilvl w:val="0"/>
                <w:numId w:val="6"/>
              </w:numPr>
              <w:ind w:left="256" w:hanging="256"/>
            </w:pPr>
            <w:r w:rsidRPr="00BF148D">
              <w:t>12 based on the number of convulsive seizures per month (seizure-free, ≤18; &gt;18 - ≤25 and &gt;25), each sub-categorised by the number of days without convulsive seizures (&lt;18 days; &gt;18 - &lt;24 days; &gt;24 days);</w:t>
            </w:r>
          </w:p>
          <w:p w:rsidR="00816C0E" w:rsidRPr="00BF148D" w:rsidRDefault="00816C0E" w:rsidP="009C735A">
            <w:pPr>
              <w:pStyle w:val="TableText0"/>
              <w:keepNext w:val="0"/>
              <w:numPr>
                <w:ilvl w:val="0"/>
                <w:numId w:val="6"/>
              </w:numPr>
              <w:ind w:left="256" w:hanging="256"/>
            </w:pPr>
            <w:r w:rsidRPr="00BF148D">
              <w:t>12 discontinued health states (seizure-free, ≤18; &gt;18 - ≤25 and &gt;25), each sub-categorised by the number of days without convulsive seizures (&lt;18 days; &gt;18 - &lt;24 days; &gt;24 days); and</w:t>
            </w:r>
          </w:p>
          <w:p w:rsidR="00816C0E" w:rsidRPr="00BF148D" w:rsidRDefault="00E459DE" w:rsidP="009C735A">
            <w:pPr>
              <w:pStyle w:val="TableText0"/>
              <w:keepNext w:val="0"/>
              <w:numPr>
                <w:ilvl w:val="0"/>
                <w:numId w:val="6"/>
              </w:numPr>
              <w:spacing w:after="40"/>
              <w:ind w:left="256" w:hanging="256"/>
            </w:pPr>
            <w:r w:rsidRPr="00BF148D">
              <w:t>Death</w:t>
            </w:r>
            <w:r w:rsidR="00816C0E" w:rsidRPr="00BF148D">
              <w:t xml:space="preserve"> (</w:t>
            </w:r>
            <w:r w:rsidRPr="00BF148D">
              <w:t xml:space="preserve">from three possible causes: </w:t>
            </w:r>
            <w:r w:rsidR="00816C0E" w:rsidRPr="00BF148D">
              <w:t>SUDEP, non-SUDEP and background)</w:t>
            </w:r>
            <w:r w:rsidRPr="00BF148D">
              <w:t>. D</w:t>
            </w:r>
            <w:r w:rsidR="00816C0E" w:rsidRPr="00BF148D">
              <w:t xml:space="preserve">eath </w:t>
            </w:r>
            <w:r w:rsidRPr="00BF148D">
              <w:t xml:space="preserve">was an </w:t>
            </w:r>
            <w:r w:rsidR="00816C0E" w:rsidRPr="00BF148D">
              <w:t xml:space="preserve">absorbing state. </w:t>
            </w:r>
          </w:p>
          <w:p w:rsidR="00816C0E" w:rsidRPr="00BF148D" w:rsidRDefault="00816C0E" w:rsidP="00224858">
            <w:pPr>
              <w:pStyle w:val="TableText0"/>
              <w:keepNext w:val="0"/>
            </w:pPr>
            <w:r w:rsidRPr="00BF148D">
              <w:t xml:space="preserve">For LGS, patients entered the model in two age cohorts, &lt;12 years (split further into 2-5 and 6-11 years) or </w:t>
            </w:r>
            <w:r w:rsidRPr="00BF148D">
              <w:rPr>
                <w:u w:val="single"/>
              </w:rPr>
              <w:t>&gt;</w:t>
            </w:r>
            <w:r w:rsidRPr="00BF148D">
              <w:t xml:space="preserve">12 years (split further into 12-17 and 18-55 years) of age into 1 of 9 health states based on the number of drop seizures per month (≤45; &gt;45 - ≤110 and &gt;110) and the number of days without drop seizures (&lt;3 days; &gt;3 - </w:t>
            </w:r>
            <w:r w:rsidRPr="00BF148D">
              <w:rPr>
                <w:u w:val="single"/>
              </w:rPr>
              <w:t>&lt;</w:t>
            </w:r>
            <w:r w:rsidRPr="00BF148D">
              <w:t xml:space="preserve">15 days; &gt;15 days). </w:t>
            </w:r>
          </w:p>
          <w:p w:rsidR="00816C0E" w:rsidRPr="00BF148D" w:rsidRDefault="00816C0E" w:rsidP="00224858">
            <w:pPr>
              <w:pStyle w:val="TableText0"/>
              <w:keepNext w:val="0"/>
            </w:pPr>
            <w:r w:rsidRPr="00BF148D">
              <w:t xml:space="preserve">From Cycle 1, there were </w:t>
            </w:r>
            <w:r w:rsidR="00E459DE" w:rsidRPr="00BF148D">
              <w:t xml:space="preserve">25 </w:t>
            </w:r>
            <w:r w:rsidRPr="00BF148D">
              <w:t>health states:</w:t>
            </w:r>
          </w:p>
          <w:p w:rsidR="00816C0E" w:rsidRPr="00BF148D" w:rsidRDefault="00816C0E" w:rsidP="009C735A">
            <w:pPr>
              <w:pStyle w:val="TableText0"/>
              <w:keepNext w:val="0"/>
              <w:numPr>
                <w:ilvl w:val="0"/>
                <w:numId w:val="11"/>
              </w:numPr>
              <w:ind w:left="256" w:hanging="256"/>
            </w:pPr>
            <w:r w:rsidRPr="00BF148D">
              <w:t xml:space="preserve">12 based on the number of drop seizures per month (seizure-free, ≤45; &gt;45 - ≤110 and &gt;110) each sub-categorised by the number of days without drop seizures (&lt;3 days; &gt;3 - </w:t>
            </w:r>
            <w:r w:rsidRPr="00BF148D">
              <w:rPr>
                <w:u w:val="single"/>
              </w:rPr>
              <w:t>&lt;</w:t>
            </w:r>
            <w:r w:rsidRPr="00BF148D">
              <w:t xml:space="preserve">15 days; &gt;15 days); </w:t>
            </w:r>
          </w:p>
          <w:p w:rsidR="00816C0E" w:rsidRPr="00BF148D" w:rsidRDefault="00816C0E" w:rsidP="009C735A">
            <w:pPr>
              <w:pStyle w:val="TableText0"/>
              <w:keepNext w:val="0"/>
              <w:numPr>
                <w:ilvl w:val="0"/>
                <w:numId w:val="11"/>
              </w:numPr>
              <w:ind w:left="256" w:hanging="256"/>
            </w:pPr>
            <w:r w:rsidRPr="00BF148D">
              <w:t xml:space="preserve">12 discontinued health states (seizure-free, ≤45; &gt;45 - ≤110 and &gt;110) each sub-categorised by the number of days without drop seizures (&lt;3 days; &gt;3 - </w:t>
            </w:r>
            <w:r w:rsidRPr="00BF148D">
              <w:rPr>
                <w:u w:val="single"/>
              </w:rPr>
              <w:t>&lt;</w:t>
            </w:r>
            <w:r w:rsidRPr="00BF148D">
              <w:t>15 days; &gt;15 days); and</w:t>
            </w:r>
          </w:p>
          <w:p w:rsidR="00816C0E" w:rsidRPr="00BF148D" w:rsidRDefault="00E459DE" w:rsidP="009C735A">
            <w:pPr>
              <w:pStyle w:val="TableText0"/>
              <w:keepNext w:val="0"/>
              <w:numPr>
                <w:ilvl w:val="0"/>
                <w:numId w:val="11"/>
              </w:numPr>
              <w:spacing w:after="40"/>
              <w:ind w:left="255" w:hanging="255"/>
            </w:pPr>
            <w:r w:rsidRPr="00BF148D">
              <w:t>Death</w:t>
            </w:r>
            <w:r w:rsidR="00816C0E" w:rsidRPr="00BF148D">
              <w:t xml:space="preserve"> (</w:t>
            </w:r>
            <w:r w:rsidRPr="00BF148D">
              <w:t xml:space="preserve">from three possible causes: </w:t>
            </w:r>
            <w:r w:rsidR="00816C0E" w:rsidRPr="00BF148D">
              <w:t>SUDEP, non-SUDEP and background)</w:t>
            </w:r>
            <w:r w:rsidRPr="00BF148D">
              <w:t>. D</w:t>
            </w:r>
            <w:r w:rsidR="00816C0E" w:rsidRPr="00BF148D">
              <w:t xml:space="preserve">eath </w:t>
            </w:r>
            <w:r w:rsidRPr="00BF148D">
              <w:t>was an</w:t>
            </w:r>
            <w:r w:rsidR="00816C0E" w:rsidRPr="00BF148D">
              <w:t xml:space="preserve"> absorbing state.</w:t>
            </w:r>
          </w:p>
          <w:p w:rsidR="007827EC" w:rsidRPr="00BF148D" w:rsidRDefault="00816C0E" w:rsidP="00224858">
            <w:pPr>
              <w:pStyle w:val="TableText0"/>
              <w:keepNext w:val="0"/>
              <w:spacing w:after="40"/>
            </w:pPr>
            <w:r w:rsidRPr="00BF148D">
              <w:t>The models additionally separated all states based on whether the patient was spending their ‘first’ or a ‘subsequent’ cycle in any given health state, except for ‘background’ death.</w:t>
            </w:r>
          </w:p>
          <w:p w:rsidR="007827EC" w:rsidRPr="00BF148D" w:rsidRDefault="00816C0E" w:rsidP="00224858">
            <w:pPr>
              <w:pStyle w:val="TableText0"/>
              <w:keepNext w:val="0"/>
              <w:rPr>
                <w:i/>
              </w:rPr>
            </w:pPr>
            <w:r w:rsidRPr="00BF148D">
              <w:t>The health states were considered to be too wide in terms of number of seizures per month to adequately capture changes in seizure frequency between cycles. The ranges were selected to ensure the patients in the trials were split into three equal groups, and therefore, for the analyses to have sufficient statistical power. There is no indication that these ranges represent clinically important groups that subsequently attract different costs and utilities.</w:t>
            </w:r>
          </w:p>
        </w:tc>
      </w:tr>
      <w:tr w:rsidR="00816C0E" w:rsidRPr="00BF148D" w:rsidTr="00816C0E">
        <w:tc>
          <w:tcPr>
            <w:tcW w:w="784" w:type="pct"/>
            <w:shd w:val="clear" w:color="auto" w:fill="auto"/>
            <w:vAlign w:val="center"/>
          </w:tcPr>
          <w:p w:rsidR="007827EC" w:rsidRPr="00BF148D" w:rsidRDefault="007827EC" w:rsidP="00224858">
            <w:pPr>
              <w:pStyle w:val="TableText0"/>
              <w:keepNext w:val="0"/>
            </w:pPr>
            <w:r w:rsidRPr="00BF148D">
              <w:t>Cycle length</w:t>
            </w:r>
          </w:p>
        </w:tc>
        <w:tc>
          <w:tcPr>
            <w:tcW w:w="4216" w:type="pct"/>
            <w:shd w:val="clear" w:color="auto" w:fill="auto"/>
            <w:vAlign w:val="center"/>
          </w:tcPr>
          <w:p w:rsidR="007827EC" w:rsidRPr="00BF148D" w:rsidRDefault="007827EC" w:rsidP="00224858">
            <w:pPr>
              <w:pStyle w:val="TableText0"/>
              <w:keepNext w:val="0"/>
              <w:rPr>
                <w:i/>
              </w:rPr>
            </w:pPr>
            <w:r w:rsidRPr="00BF148D">
              <w:t>3 months</w:t>
            </w:r>
            <w:r w:rsidR="00E459DE" w:rsidRPr="00BF148D">
              <w:t xml:space="preserve">. </w:t>
            </w:r>
            <w:r w:rsidR="007550D7" w:rsidRPr="00BF148D">
              <w:t>Inappropriately, no half cycle</w:t>
            </w:r>
            <w:r w:rsidR="00E459DE" w:rsidRPr="00BF148D">
              <w:t xml:space="preserve"> correction was applied.</w:t>
            </w:r>
          </w:p>
        </w:tc>
      </w:tr>
      <w:tr w:rsidR="00816C0E" w:rsidRPr="00BF148D" w:rsidTr="00816C0E">
        <w:tc>
          <w:tcPr>
            <w:tcW w:w="784" w:type="pct"/>
            <w:shd w:val="clear" w:color="auto" w:fill="auto"/>
            <w:vAlign w:val="center"/>
          </w:tcPr>
          <w:p w:rsidR="007827EC" w:rsidRPr="00BF148D" w:rsidRDefault="007827EC" w:rsidP="00224858">
            <w:pPr>
              <w:pStyle w:val="TableText0"/>
              <w:keepNext w:val="0"/>
            </w:pPr>
            <w:r w:rsidRPr="00BF148D">
              <w:t xml:space="preserve">Transition probabilities </w:t>
            </w:r>
          </w:p>
        </w:tc>
        <w:tc>
          <w:tcPr>
            <w:tcW w:w="4216" w:type="pct"/>
            <w:shd w:val="clear" w:color="auto" w:fill="auto"/>
            <w:vAlign w:val="center"/>
          </w:tcPr>
          <w:p w:rsidR="007827EC" w:rsidRPr="00BF148D" w:rsidRDefault="00816C0E" w:rsidP="00224858">
            <w:pPr>
              <w:pStyle w:val="TableText0"/>
              <w:keepNext w:val="0"/>
              <w:spacing w:after="40"/>
            </w:pPr>
            <w:r w:rsidRPr="00BF148D">
              <w:t>For C</w:t>
            </w:r>
            <w:r w:rsidR="007827EC" w:rsidRPr="00BF148D">
              <w:t xml:space="preserve">ycle 1, the transition probabilities were based on a re-cut analysis of data for the 10 mg/kg/day cannabidiol and placebo treatment groups from GWPCARE2 and GWPCARE3. </w:t>
            </w:r>
            <w:r w:rsidR="00E459DE" w:rsidRPr="00BF148D">
              <w:t xml:space="preserve">Transition probabilities were also dependent on the cycle number and the age of the patient at the particular cycle. </w:t>
            </w:r>
            <w:r w:rsidR="007827EC" w:rsidRPr="00BF148D">
              <w:t xml:space="preserve">The transition probabilities could not be verified, and from cross-checks undertaken during the evaluation, the data did not appear to reconcile. </w:t>
            </w:r>
          </w:p>
          <w:p w:rsidR="007827EC" w:rsidRPr="00BF148D" w:rsidRDefault="00A01673" w:rsidP="00224858">
            <w:pPr>
              <w:pStyle w:val="TableText0"/>
              <w:keepNext w:val="0"/>
              <w:spacing w:after="40"/>
            </w:pPr>
            <w:r w:rsidRPr="00BF148D">
              <w:t>It was claimed that d</w:t>
            </w:r>
            <w:r w:rsidR="007827EC" w:rsidRPr="00BF148D">
              <w:t xml:space="preserve">ata from GWPCARE5 was used </w:t>
            </w:r>
            <w:r w:rsidRPr="00BF148D">
              <w:t xml:space="preserve">from Cycle 2 to Cycle 9 </w:t>
            </w:r>
            <w:r w:rsidR="007827EC" w:rsidRPr="00BF148D">
              <w:t xml:space="preserve">for cannabidiol. </w:t>
            </w:r>
            <w:r w:rsidR="00816C0E" w:rsidRPr="00BF148D">
              <w:t>GWPCARE5</w:t>
            </w:r>
            <w:r w:rsidRPr="00BF148D">
              <w:t xml:space="preserve"> </w:t>
            </w:r>
            <w:r w:rsidR="007827EC" w:rsidRPr="00BF148D">
              <w:t xml:space="preserve">used a higher dose of cannabidiol (mean modal dose was 23 mg/kg/day). </w:t>
            </w:r>
            <w:r w:rsidR="00816C0E" w:rsidRPr="00BF148D">
              <w:t>Transition probabilities after C</w:t>
            </w:r>
            <w:r w:rsidR="007827EC" w:rsidRPr="00BF148D">
              <w:t>ycle 9 for cannabidiol assumed no waning of treatment effect. This was</w:t>
            </w:r>
            <w:r w:rsidR="00BD35C5" w:rsidRPr="00BF148D">
              <w:t xml:space="preserve"> no</w:t>
            </w:r>
            <w:r w:rsidR="007827EC" w:rsidRPr="00BF148D">
              <w:t xml:space="preserve">t reasonable given that efficacy </w:t>
            </w:r>
            <w:r w:rsidR="00BD35C5" w:rsidRPr="00BF148D">
              <w:t>of</w:t>
            </w:r>
            <w:r w:rsidR="007827EC" w:rsidRPr="00BF148D">
              <w:t xml:space="preserve"> AEDs is thought to decline </w:t>
            </w:r>
            <w:r w:rsidR="00BD35C5" w:rsidRPr="00BF148D">
              <w:t xml:space="preserve">over </w:t>
            </w:r>
            <w:r w:rsidR="007827EC" w:rsidRPr="00BF148D">
              <w:t xml:space="preserve">time. </w:t>
            </w:r>
          </w:p>
          <w:p w:rsidR="008F5410" w:rsidRPr="00BF148D" w:rsidRDefault="007827EC" w:rsidP="00224858">
            <w:pPr>
              <w:pStyle w:val="TableText0"/>
              <w:keepNext w:val="0"/>
              <w:spacing w:after="40"/>
            </w:pPr>
            <w:r w:rsidRPr="00BF148D">
              <w:t xml:space="preserve">For placebo treated patients, response to placebo </w:t>
            </w:r>
            <w:r w:rsidR="00816C0E" w:rsidRPr="00BF148D">
              <w:t xml:space="preserve">was assumed to </w:t>
            </w:r>
            <w:r w:rsidR="00A01673" w:rsidRPr="00BF148D">
              <w:t>only apply in</w:t>
            </w:r>
            <w:r w:rsidR="00816C0E" w:rsidRPr="00BF148D">
              <w:t xml:space="preserve"> Cycle 1</w:t>
            </w:r>
            <w:r w:rsidR="00A01673" w:rsidRPr="00BF148D">
              <w:t>, and patients remained in that health state to Cycle 8, unless they died</w:t>
            </w:r>
            <w:r w:rsidR="00816C0E" w:rsidRPr="00BF148D">
              <w:t xml:space="preserve">. </w:t>
            </w:r>
          </w:p>
          <w:p w:rsidR="007827EC" w:rsidRPr="00BF148D" w:rsidRDefault="00816C0E" w:rsidP="00224858">
            <w:pPr>
              <w:pStyle w:val="TableText0"/>
              <w:keepNext w:val="0"/>
            </w:pPr>
            <w:r w:rsidRPr="00BF148D">
              <w:t xml:space="preserve">Patients </w:t>
            </w:r>
            <w:r w:rsidR="00A01673" w:rsidRPr="00BF148D">
              <w:t xml:space="preserve">who were alive and </w:t>
            </w:r>
            <w:r w:rsidRPr="00BF148D">
              <w:t>discontinu</w:t>
            </w:r>
            <w:r w:rsidR="00A01673" w:rsidRPr="00BF148D">
              <w:t>ed</w:t>
            </w:r>
            <w:r w:rsidRPr="00BF148D">
              <w:t xml:space="preserve"> from cannabidiol and patients treated with placebo reverted to baseline seizure/seizure-free days </w:t>
            </w:r>
            <w:r w:rsidR="00A01673" w:rsidRPr="00BF148D">
              <w:t xml:space="preserve">health states </w:t>
            </w:r>
            <w:r w:rsidRPr="00BF148D">
              <w:t>in Cycle 9</w:t>
            </w:r>
            <w:r w:rsidR="007827EC" w:rsidRPr="00BF148D">
              <w:t>.</w:t>
            </w:r>
          </w:p>
        </w:tc>
      </w:tr>
      <w:tr w:rsidR="00816C0E" w:rsidRPr="00BF148D" w:rsidTr="00816C0E">
        <w:tc>
          <w:tcPr>
            <w:tcW w:w="784" w:type="pct"/>
            <w:shd w:val="clear" w:color="auto" w:fill="auto"/>
            <w:vAlign w:val="center"/>
          </w:tcPr>
          <w:p w:rsidR="007827EC" w:rsidRPr="00BF148D" w:rsidRDefault="007827EC" w:rsidP="00224858">
            <w:pPr>
              <w:pStyle w:val="TableText0"/>
              <w:keepNext w:val="0"/>
            </w:pPr>
            <w:r w:rsidRPr="00BF148D">
              <w:t>Health related quality of life</w:t>
            </w:r>
          </w:p>
        </w:tc>
        <w:tc>
          <w:tcPr>
            <w:tcW w:w="4216" w:type="pct"/>
            <w:shd w:val="clear" w:color="auto" w:fill="auto"/>
            <w:vAlign w:val="center"/>
          </w:tcPr>
          <w:p w:rsidR="007827EC" w:rsidRPr="00BF148D" w:rsidRDefault="007827EC" w:rsidP="00224858">
            <w:pPr>
              <w:pStyle w:val="TableText0"/>
              <w:keepNext w:val="0"/>
              <w:spacing w:after="40"/>
            </w:pPr>
            <w:r w:rsidRPr="00BF148D">
              <w:t xml:space="preserve">Health state utilities were derived based on a questionnaire with a visual analogue scale (VAS) of patients and/or caregivers of patients with DS, LGS or other epilepsies. Vignettes were provided </w:t>
            </w:r>
            <w:r w:rsidR="00A01673" w:rsidRPr="00BF148D">
              <w:t xml:space="preserve">to the </w:t>
            </w:r>
            <w:r w:rsidR="00A01673" w:rsidRPr="00BF148D">
              <w:lastRenderedPageBreak/>
              <w:t xml:space="preserve">patients and/or caregivers </w:t>
            </w:r>
            <w:r w:rsidRPr="00BF148D">
              <w:t>describing 23 health states for DS and 39 health states for LGS, and these were scored by 28 to 30 respondents for each disease state.</w:t>
            </w:r>
          </w:p>
          <w:p w:rsidR="007827EC" w:rsidRPr="00BF148D" w:rsidRDefault="007827EC" w:rsidP="00224858">
            <w:pPr>
              <w:pStyle w:val="TableText0"/>
              <w:keepNext w:val="0"/>
              <w:spacing w:after="40"/>
            </w:pPr>
            <w:r w:rsidRPr="00BF148D">
              <w:t>The utility values were key drivers of the modelled economic evaluations. As the vignettes were not provided in the submission, it was not possible to determine whether they would have appropriately represented patients in the health states scored. In some cases the values appeared to lack face validity with small differences in utility values despite a large di</w:t>
            </w:r>
            <w:r w:rsidR="008F5410" w:rsidRPr="00BF148D">
              <w:t>fference in seizures per month.</w:t>
            </w:r>
          </w:p>
          <w:p w:rsidR="007827EC" w:rsidRPr="00BF148D" w:rsidRDefault="007827EC" w:rsidP="00224858">
            <w:pPr>
              <w:pStyle w:val="TableText0"/>
              <w:keepNext w:val="0"/>
              <w:rPr>
                <w:i/>
              </w:rPr>
            </w:pPr>
            <w:r w:rsidRPr="00BF148D">
              <w:t xml:space="preserve">The submission also used carer </w:t>
            </w:r>
            <w:r w:rsidR="008F5410" w:rsidRPr="00BF148D">
              <w:t>dis</w:t>
            </w:r>
            <w:r w:rsidRPr="00BF148D">
              <w:t xml:space="preserve">utilities collected using the same approach for </w:t>
            </w:r>
            <w:r w:rsidR="00B51CF8" w:rsidRPr="00BF148D">
              <w:t xml:space="preserve">three </w:t>
            </w:r>
            <w:r w:rsidRPr="00BF148D">
              <w:t xml:space="preserve">health states, however these were not considered appropriate for inclusion in the base case ICERs. </w:t>
            </w:r>
          </w:p>
        </w:tc>
      </w:tr>
      <w:tr w:rsidR="00816C0E" w:rsidRPr="00BF148D" w:rsidTr="00816C0E">
        <w:tc>
          <w:tcPr>
            <w:tcW w:w="784" w:type="pct"/>
            <w:shd w:val="clear" w:color="auto" w:fill="auto"/>
            <w:vAlign w:val="center"/>
          </w:tcPr>
          <w:p w:rsidR="007827EC" w:rsidRPr="00BF148D" w:rsidRDefault="007827EC" w:rsidP="00224858">
            <w:pPr>
              <w:pStyle w:val="TableText0"/>
              <w:keepNext w:val="0"/>
            </w:pPr>
            <w:r w:rsidRPr="00BF148D">
              <w:lastRenderedPageBreak/>
              <w:t>Costs</w:t>
            </w:r>
          </w:p>
        </w:tc>
        <w:tc>
          <w:tcPr>
            <w:tcW w:w="4216" w:type="pct"/>
            <w:shd w:val="clear" w:color="auto" w:fill="auto"/>
            <w:vAlign w:val="center"/>
          </w:tcPr>
          <w:p w:rsidR="007827EC" w:rsidRPr="00BF148D" w:rsidRDefault="007827EC" w:rsidP="00224858">
            <w:pPr>
              <w:pStyle w:val="TableText0"/>
              <w:keepNext w:val="0"/>
              <w:spacing w:after="40"/>
            </w:pPr>
            <w:r w:rsidRPr="00BF148D">
              <w:t>The cost of cannabidiol was calculated using the requested price per mg multiplied by the median weights of patients in the age groups of 2-5, 6-11, 12-17, and 18 or more years from the key trials, and an assumed dose of cannabidiol of 10 mg/kg/day. It was unreasonable for the submission to assume that all patients would take this dose in practice, since</w:t>
            </w:r>
            <w:r w:rsidR="00BD35C5" w:rsidRPr="00BF148D">
              <w:t xml:space="preserve"> the</w:t>
            </w:r>
            <w:r w:rsidRPr="00BF148D">
              <w:t xml:space="preserve"> dose may be increased up to 20 mg/kg/day. The models were sensitive to the dose of cannabidiol used and to the average weights of patients in the models given that the cost of cannabidiol accounts for most of the incremental difference between treatment arms. </w:t>
            </w:r>
          </w:p>
          <w:p w:rsidR="007827EC" w:rsidRPr="00BF148D" w:rsidRDefault="007827EC" w:rsidP="00224858">
            <w:pPr>
              <w:pStyle w:val="TableText0"/>
              <w:keepNext w:val="0"/>
              <w:spacing w:after="40"/>
            </w:pPr>
            <w:r w:rsidRPr="00BF148D">
              <w:t>Drug costs for standard care were assumed to be the same between treatment groups. This may not</w:t>
            </w:r>
            <w:r w:rsidR="00BD35C5" w:rsidRPr="00BF148D">
              <w:t xml:space="preserve"> </w:t>
            </w:r>
            <w:r w:rsidR="00A01673" w:rsidRPr="00BF148D">
              <w:t xml:space="preserve">accurately reflect clinical </w:t>
            </w:r>
            <w:r w:rsidRPr="00BF148D">
              <w:t xml:space="preserve">practice, </w:t>
            </w:r>
            <w:r w:rsidR="00A01673" w:rsidRPr="00BF148D">
              <w:t xml:space="preserve">as </w:t>
            </w:r>
            <w:r w:rsidRPr="00BF148D">
              <w:t xml:space="preserve">cannabidiol </w:t>
            </w:r>
            <w:r w:rsidR="00A01673" w:rsidRPr="00BF148D">
              <w:t xml:space="preserve">may </w:t>
            </w:r>
            <w:r w:rsidRPr="00BF148D">
              <w:t xml:space="preserve">be used instead of other AEDs. </w:t>
            </w:r>
          </w:p>
          <w:p w:rsidR="007827EC" w:rsidRPr="00BF148D" w:rsidRDefault="007827EC" w:rsidP="00224858">
            <w:pPr>
              <w:pStyle w:val="TableText0"/>
              <w:keepNext w:val="0"/>
            </w:pPr>
            <w:r w:rsidRPr="00BF148D">
              <w:t xml:space="preserve">The other key component of costs in the models was the cost of hospitalisation due to epilepsy, with the models assuming that treatment with cannabidiol </w:t>
            </w:r>
            <w:r w:rsidR="008F5410" w:rsidRPr="00BF148D">
              <w:t>would</w:t>
            </w:r>
            <w:r w:rsidRPr="00BF148D">
              <w:t xml:space="preserve"> </w:t>
            </w:r>
            <w:r w:rsidR="00A01673" w:rsidRPr="00BF148D">
              <w:t xml:space="preserve">reduce </w:t>
            </w:r>
            <w:r w:rsidR="008F5410" w:rsidRPr="00BF148D">
              <w:t>hospitalisations</w:t>
            </w:r>
            <w:r w:rsidRPr="00BF148D">
              <w:t xml:space="preserve">, which favoured cannabidiol. The trial </w:t>
            </w:r>
            <w:r w:rsidR="00A01673" w:rsidRPr="00BF148D">
              <w:t xml:space="preserve">evidence </w:t>
            </w:r>
            <w:r w:rsidRPr="00BF148D">
              <w:t xml:space="preserve">did not support </w:t>
            </w:r>
            <w:r w:rsidR="008F5410" w:rsidRPr="00BF148D">
              <w:t>an assertion that cannabidiol would</w:t>
            </w:r>
            <w:r w:rsidRPr="00BF148D">
              <w:t xml:space="preserve"> reduce hospital admissions</w:t>
            </w:r>
            <w:r w:rsidR="00334D84" w:rsidRPr="00BF148D">
              <w:t>.</w:t>
            </w:r>
          </w:p>
        </w:tc>
      </w:tr>
    </w:tbl>
    <w:p w:rsidR="00814C2E" w:rsidRPr="00BF148D" w:rsidRDefault="00814C2E" w:rsidP="00224858">
      <w:pPr>
        <w:pStyle w:val="TableFigureFooter"/>
      </w:pPr>
      <w:r w:rsidRPr="00BF148D">
        <w:t xml:space="preserve">AED = anti-epileptic drugs; DS = Dravet Syndrome; ICER = incremental cost effectiveness ration; LGS = Lennox Gasault Syndrome; QALY = quality adjusted life year; SUDEP = sudden unexplained </w:t>
      </w:r>
      <w:r w:rsidR="00582A3D" w:rsidRPr="00BF148D">
        <w:t>death in epilepsy</w:t>
      </w:r>
    </w:p>
    <w:p w:rsidR="007827EC" w:rsidRPr="00BF148D" w:rsidRDefault="007827EC" w:rsidP="00224858">
      <w:pPr>
        <w:pStyle w:val="TableFigureFooter"/>
      </w:pPr>
      <w:r w:rsidRPr="00BF148D">
        <w:t>Source: constructed during the evaluation from Section 3 of the submission and the cost-utility workbooks provided with the submission.</w:t>
      </w:r>
    </w:p>
    <w:p w:rsidR="001326C3" w:rsidRPr="00BF148D" w:rsidRDefault="001326C3" w:rsidP="001326C3">
      <w:pPr>
        <w:pStyle w:val="3-BodyText"/>
      </w:pPr>
      <w:r w:rsidRPr="00BF148D">
        <w:t xml:space="preserve">The ESC noted that the </w:t>
      </w:r>
      <w:r w:rsidR="00FB67BF" w:rsidRPr="00BF148D">
        <w:t>costs accounted for</w:t>
      </w:r>
      <w:r w:rsidR="00422EFE" w:rsidRPr="00BF148D">
        <w:t xml:space="preserve"> in</w:t>
      </w:r>
      <w:r w:rsidR="00FB67BF" w:rsidRPr="00BF148D">
        <w:t xml:space="preserve"> the </w:t>
      </w:r>
      <w:r w:rsidRPr="00BF148D">
        <w:t xml:space="preserve">economic model </w:t>
      </w:r>
      <w:r w:rsidR="00FB67BF" w:rsidRPr="00BF148D">
        <w:t xml:space="preserve">were likely underestimated </w:t>
      </w:r>
      <w:r w:rsidR="00422EFE" w:rsidRPr="00BF148D">
        <w:t>as</w:t>
      </w:r>
      <w:r w:rsidR="00FB67BF" w:rsidRPr="00BF148D">
        <w:t>:</w:t>
      </w:r>
    </w:p>
    <w:p w:rsidR="001326C3" w:rsidRPr="00BF148D" w:rsidRDefault="00840C34" w:rsidP="009C735A">
      <w:pPr>
        <w:pStyle w:val="3-BodyText"/>
        <w:numPr>
          <w:ilvl w:val="0"/>
          <w:numId w:val="16"/>
        </w:numPr>
        <w:ind w:left="1077" w:hanging="357"/>
        <w:contextualSpacing/>
      </w:pPr>
      <w:r w:rsidRPr="00BF148D">
        <w:t>t</w:t>
      </w:r>
      <w:r w:rsidR="00BD799B" w:rsidRPr="00BF148D">
        <w:t xml:space="preserve">here was no allowance for the cost of treating </w:t>
      </w:r>
      <w:r w:rsidR="001326C3" w:rsidRPr="00BF148D">
        <w:t xml:space="preserve">adverse events, </w:t>
      </w:r>
      <w:r w:rsidR="00BD799B" w:rsidRPr="00BF148D">
        <w:t xml:space="preserve">which was unreasonable considering </w:t>
      </w:r>
      <w:r w:rsidR="001326C3" w:rsidRPr="00BF148D">
        <w:t xml:space="preserve">the </w:t>
      </w:r>
      <w:r w:rsidR="00BD799B" w:rsidRPr="00BF148D">
        <w:t xml:space="preserve">adverse event </w:t>
      </w:r>
      <w:r w:rsidR="001326C3" w:rsidRPr="00BF148D">
        <w:t>outcomes of the clinical trials;</w:t>
      </w:r>
    </w:p>
    <w:p w:rsidR="001326C3" w:rsidRPr="00BF148D" w:rsidRDefault="00BD799B" w:rsidP="009C735A">
      <w:pPr>
        <w:pStyle w:val="3-BodyText"/>
        <w:numPr>
          <w:ilvl w:val="0"/>
          <w:numId w:val="16"/>
        </w:numPr>
        <w:ind w:left="1077" w:hanging="357"/>
        <w:contextualSpacing/>
      </w:pPr>
      <w:r w:rsidRPr="00BF148D">
        <w:t>monitoring of plasma levels of other AEDs following the initiation of cannabidiol (as recommended in the draft PI) was not accounted for;</w:t>
      </w:r>
    </w:p>
    <w:p w:rsidR="00CB7ED4" w:rsidRPr="00BF148D" w:rsidRDefault="00BD799B" w:rsidP="009C735A">
      <w:pPr>
        <w:pStyle w:val="3-BodyText"/>
        <w:numPr>
          <w:ilvl w:val="0"/>
          <w:numId w:val="16"/>
        </w:numPr>
        <w:ind w:left="1077" w:hanging="357"/>
        <w:contextualSpacing/>
      </w:pPr>
      <w:r w:rsidRPr="00BF148D">
        <w:t>the included costs were variously based on MBS prices, AR-DRGS, UK prices and provider websites with no justification for the source selection</w:t>
      </w:r>
      <w:r w:rsidR="00CB7ED4" w:rsidRPr="00BF148D">
        <w:t>; and</w:t>
      </w:r>
    </w:p>
    <w:p w:rsidR="00CB7ED4" w:rsidRPr="00BF148D" w:rsidRDefault="00CB7ED4" w:rsidP="00151B21">
      <w:pPr>
        <w:pStyle w:val="3-BodyText"/>
        <w:numPr>
          <w:ilvl w:val="0"/>
          <w:numId w:val="16"/>
        </w:numPr>
        <w:ind w:left="1077" w:hanging="357"/>
      </w:pPr>
      <w:r w:rsidRPr="00BF148D">
        <w:t>the model assumed all patients received 10mg/kg/day.</w:t>
      </w:r>
    </w:p>
    <w:p w:rsidR="009C735A" w:rsidRPr="00BF148D" w:rsidRDefault="009C735A" w:rsidP="00E63B25">
      <w:pPr>
        <w:pStyle w:val="3-BodyText"/>
      </w:pPr>
      <w:r w:rsidRPr="00BF148D">
        <w:t>The ESC noted the response in the PSCR that only patients who respond to</w:t>
      </w:r>
      <w:r w:rsidR="004F23BC" w:rsidRPr="00BF148D">
        <w:t xml:space="preserve"> </w:t>
      </w:r>
      <w:r w:rsidRPr="00BF148D">
        <w:t>a 1</w:t>
      </w:r>
      <w:r w:rsidR="00E63B25" w:rsidRPr="00BF148D">
        <w:t>0 </w:t>
      </w:r>
      <w:r w:rsidRPr="00BF148D">
        <w:t xml:space="preserve">mg/kg/day dose </w:t>
      </w:r>
      <w:r w:rsidR="00CB7ED4" w:rsidRPr="00BF148D">
        <w:t xml:space="preserve">and wish to further reduce seizure burden </w:t>
      </w:r>
      <w:r w:rsidRPr="00BF148D">
        <w:t>would be titrated to 20</w:t>
      </w:r>
      <w:r w:rsidR="00E63B25" w:rsidRPr="00BF148D">
        <w:t> </w:t>
      </w:r>
      <w:r w:rsidRPr="00BF148D">
        <w:t xml:space="preserve">mg/kg/day. However, the ESC considered that the clinical trials, including the long term effectiveness trial GWPCARE5, </w:t>
      </w:r>
      <w:r w:rsidR="004F23BC" w:rsidRPr="00BF148D">
        <w:t xml:space="preserve">the draft PI </w:t>
      </w:r>
      <w:r w:rsidRPr="00BF148D">
        <w:t>and the requested listing allowed doses of cannabidiol up to 20 mg/kg/day, therefore considered that the model assumption that all patients would receive 10 mg/kg/day was an underestimate</w:t>
      </w:r>
      <w:r w:rsidR="00BF148D">
        <w:t xml:space="preserve">. </w:t>
      </w:r>
    </w:p>
    <w:p w:rsidR="001862A9" w:rsidRPr="00BF148D" w:rsidRDefault="001862A9" w:rsidP="009C735A">
      <w:pPr>
        <w:pStyle w:val="3-BodyText"/>
      </w:pPr>
      <w:r w:rsidRPr="00BF148D">
        <w:t xml:space="preserve">The ESC considered that the </w:t>
      </w:r>
      <w:r w:rsidR="00676143" w:rsidRPr="00BF148D">
        <w:t xml:space="preserve">modelled </w:t>
      </w:r>
      <w:r w:rsidRPr="00BF148D">
        <w:t xml:space="preserve">health states did not align with the outcomes from the key trials and additionally did not align with established meaningful health states. </w:t>
      </w:r>
    </w:p>
    <w:p w:rsidR="001862A9" w:rsidRPr="00BF148D" w:rsidRDefault="00422EFE" w:rsidP="00422EFE">
      <w:pPr>
        <w:pStyle w:val="3-BodyText"/>
      </w:pPr>
      <w:r w:rsidRPr="00BF148D">
        <w:t>The ESC noted that the health stat</w:t>
      </w:r>
      <w:r w:rsidR="00BC4F10" w:rsidRPr="00BF148D">
        <w:t>e</w:t>
      </w:r>
      <w:r w:rsidRPr="00BF148D">
        <w:t xml:space="preserve"> utilities were derived from a</w:t>
      </w:r>
      <w:r w:rsidR="006D65C7" w:rsidRPr="00BF148D">
        <w:t>n unpublished</w:t>
      </w:r>
      <w:r w:rsidRPr="00BF148D">
        <w:t xml:space="preserve"> study, w</w:t>
      </w:r>
      <w:r w:rsidR="00BC4F10" w:rsidRPr="00BF148D">
        <w:t>i</w:t>
      </w:r>
      <w:r w:rsidRPr="00BF148D">
        <w:t>th a small sample size (n=38</w:t>
      </w:r>
      <w:r w:rsidR="004F23BC" w:rsidRPr="00BF148D">
        <w:t xml:space="preserve">) and </w:t>
      </w:r>
      <w:r w:rsidRPr="00BF148D">
        <w:t xml:space="preserve">the </w:t>
      </w:r>
      <w:r w:rsidR="00676143" w:rsidRPr="00BF148D">
        <w:t>actual</w:t>
      </w:r>
      <w:r w:rsidRPr="00BF148D">
        <w:t xml:space="preserve"> vignettes </w:t>
      </w:r>
      <w:r w:rsidR="004F23BC" w:rsidRPr="00BF148D">
        <w:t xml:space="preserve">(23 for DS and 39 for LGS) </w:t>
      </w:r>
      <w:r w:rsidRPr="00BF148D">
        <w:t>used were not provided in the submission.</w:t>
      </w:r>
      <w:r w:rsidR="00BC4F10" w:rsidRPr="00BF148D">
        <w:t xml:space="preserve"> The ESC </w:t>
      </w:r>
      <w:r w:rsidR="004F23BC" w:rsidRPr="00BF148D">
        <w:t xml:space="preserve">noted the single vignette provided </w:t>
      </w:r>
      <w:r w:rsidR="004F23BC" w:rsidRPr="00BF148D">
        <w:lastRenderedPageBreak/>
        <w:t xml:space="preserve">with the PSCR but </w:t>
      </w:r>
      <w:r w:rsidR="00BC4F10" w:rsidRPr="00BF148D">
        <w:t xml:space="preserve">considered </w:t>
      </w:r>
      <w:r w:rsidR="004F23BC" w:rsidRPr="00BF148D">
        <w:t xml:space="preserve">this was uninformative and </w:t>
      </w:r>
      <w:r w:rsidR="00BC4F10" w:rsidRPr="00BF148D">
        <w:t>the use of this data</w:t>
      </w:r>
      <w:r w:rsidR="004F23BC" w:rsidRPr="00BF148D">
        <w:t xml:space="preserve"> </w:t>
      </w:r>
      <w:r w:rsidR="00676143" w:rsidRPr="00BF148D">
        <w:t xml:space="preserve">was considered </w:t>
      </w:r>
      <w:r w:rsidR="003E425A" w:rsidRPr="00BF148D">
        <w:t>an area of significant uncertainty.</w:t>
      </w:r>
    </w:p>
    <w:p w:rsidR="007827EC" w:rsidRPr="00BF148D" w:rsidRDefault="007827EC" w:rsidP="00224858">
      <w:pPr>
        <w:pStyle w:val="3-BodyText"/>
        <w:spacing w:after="0"/>
      </w:pPr>
      <w:bookmarkStart w:id="49" w:name="_Ref40827462"/>
      <w:r w:rsidRPr="00BF148D">
        <w:t>Overall,</w:t>
      </w:r>
      <w:r w:rsidR="006B714E" w:rsidRPr="00BF148D">
        <w:t xml:space="preserve"> the ESC considered</w:t>
      </w:r>
      <w:r w:rsidRPr="00BF148D">
        <w:t xml:space="preserve"> the models were </w:t>
      </w:r>
      <w:r w:rsidR="007550D7" w:rsidRPr="00BF148D">
        <w:t>unin</w:t>
      </w:r>
      <w:r w:rsidRPr="00BF148D">
        <w:t>formative for decision making given:</w:t>
      </w:r>
      <w:bookmarkEnd w:id="49"/>
    </w:p>
    <w:p w:rsidR="007550D7" w:rsidRPr="00BF148D" w:rsidRDefault="007550D7" w:rsidP="00224858">
      <w:pPr>
        <w:pStyle w:val="ListParagraph"/>
        <w:spacing w:after="0"/>
        <w:ind w:left="993" w:hanging="284"/>
      </w:pPr>
      <w:r w:rsidRPr="00BF148D">
        <w:t>The extrapolation of 14 week trial data to a 30-year time horizon</w:t>
      </w:r>
      <w:r w:rsidR="005207C4" w:rsidRPr="00BF148D">
        <w:t xml:space="preserve">, which magnified the </w:t>
      </w:r>
      <w:r w:rsidR="003A20C8" w:rsidRPr="00BF148D">
        <w:t>uncertainties</w:t>
      </w:r>
      <w:r w:rsidRPr="00BF148D">
        <w:t>;</w:t>
      </w:r>
    </w:p>
    <w:p w:rsidR="007827EC" w:rsidRPr="00BF148D" w:rsidRDefault="007827EC" w:rsidP="00224858">
      <w:pPr>
        <w:pStyle w:val="ListParagraph"/>
        <w:spacing w:after="0"/>
        <w:ind w:left="993" w:hanging="284"/>
      </w:pPr>
      <w:r w:rsidRPr="00BF148D">
        <w:t>The wide range of assumption</w:t>
      </w:r>
      <w:r w:rsidR="00BD35C5" w:rsidRPr="00BF148D">
        <w:t>s</w:t>
      </w:r>
      <w:r w:rsidRPr="00BF148D">
        <w:t xml:space="preserve"> used in the models that could not be verified</w:t>
      </w:r>
      <w:r w:rsidR="007550D7" w:rsidRPr="00BF148D">
        <w:t xml:space="preserve"> or</w:t>
      </w:r>
      <w:r w:rsidRPr="00BF148D">
        <w:t xml:space="preserve"> lacked face validity, or did not reconcile with </w:t>
      </w:r>
      <w:r w:rsidR="00BD35C5" w:rsidRPr="00BF148D">
        <w:t>data reported in the key trials;</w:t>
      </w:r>
    </w:p>
    <w:p w:rsidR="007827EC" w:rsidRPr="00BF148D" w:rsidRDefault="007827EC" w:rsidP="00224858">
      <w:pPr>
        <w:pStyle w:val="ListParagraph"/>
        <w:spacing w:after="0"/>
        <w:ind w:left="993" w:hanging="284"/>
      </w:pPr>
      <w:r w:rsidRPr="00BF148D">
        <w:t xml:space="preserve">The potential for changes in seizure response over time were not adequately captured in the models, given the assumption that a waning of treatment effect for cannabidiol </w:t>
      </w:r>
      <w:r w:rsidR="008F5410" w:rsidRPr="00BF148D">
        <w:t>did</w:t>
      </w:r>
      <w:r w:rsidR="00BD35C5" w:rsidRPr="00BF148D">
        <w:t xml:space="preserve"> not occur;</w:t>
      </w:r>
    </w:p>
    <w:p w:rsidR="007827EC" w:rsidRPr="00BF148D" w:rsidRDefault="007827EC" w:rsidP="00224858">
      <w:pPr>
        <w:pStyle w:val="ListParagraph"/>
        <w:spacing w:after="0"/>
        <w:ind w:left="993" w:hanging="284"/>
      </w:pPr>
      <w:r w:rsidRPr="00BF148D">
        <w:t>The rationale for the health states selected was not considered to have been adequately justified, and the ranges for seizure frequency</w:t>
      </w:r>
      <w:r w:rsidR="00BD35C5" w:rsidRPr="00BF148D">
        <w:t xml:space="preserve"> were considered to be too wide;</w:t>
      </w:r>
    </w:p>
    <w:p w:rsidR="007827EC" w:rsidRPr="00BF148D" w:rsidRDefault="007827EC" w:rsidP="00224858">
      <w:pPr>
        <w:pStyle w:val="ListParagraph"/>
        <w:spacing w:after="0"/>
        <w:ind w:left="993" w:hanging="284"/>
      </w:pPr>
      <w:r w:rsidRPr="00BF148D">
        <w:t>The assumption that patients w</w:t>
      </w:r>
      <w:r w:rsidR="008F5410" w:rsidRPr="00BF148D">
        <w:t xml:space="preserve">ould </w:t>
      </w:r>
      <w:r w:rsidRPr="00BF148D">
        <w:t xml:space="preserve">cease treatment with cannabidiol at 12 months if seizure frequency </w:t>
      </w:r>
      <w:r w:rsidR="001B5FB5" w:rsidRPr="00BF148D">
        <w:t>wa</w:t>
      </w:r>
      <w:r w:rsidRPr="00BF148D">
        <w:t>s not at least 30% was not adequately supported given that</w:t>
      </w:r>
      <w:r w:rsidR="006D65C7" w:rsidRPr="00BF148D">
        <w:t>: (i)</w:t>
      </w:r>
      <w:r w:rsidRPr="00BF148D">
        <w:t xml:space="preserve"> additional therapies could be added onto existing therapies</w:t>
      </w:r>
      <w:r w:rsidR="00D3601A" w:rsidRPr="00BF148D">
        <w:t xml:space="preserve"> to contribute to reduction in seizure frequency</w:t>
      </w:r>
      <w:r w:rsidR="006D65C7" w:rsidRPr="00BF148D">
        <w:t>; (ii)</w:t>
      </w:r>
      <w:r w:rsidRPr="00BF148D">
        <w:t xml:space="preserve"> given</w:t>
      </w:r>
      <w:r w:rsidR="008F5410" w:rsidRPr="00BF148D">
        <w:t xml:space="preserve"> the S</w:t>
      </w:r>
      <w:r w:rsidRPr="00BF148D">
        <w:t>treamlined listing requested that does not require specific documentation to be submitted related to treatment response</w:t>
      </w:r>
      <w:r w:rsidR="00BD35C5" w:rsidRPr="00BF148D">
        <w:t>;</w:t>
      </w:r>
      <w:r w:rsidR="006D65C7" w:rsidRPr="00BF148D">
        <w:t xml:space="preserve"> (iii) clinicians are likely to cease treatment earlier than 12 months if no response achieved; </w:t>
      </w:r>
    </w:p>
    <w:p w:rsidR="007827EC" w:rsidRPr="00BF148D" w:rsidRDefault="007827EC" w:rsidP="00224858">
      <w:pPr>
        <w:pStyle w:val="ListParagraph"/>
        <w:spacing w:after="0"/>
        <w:ind w:left="993" w:hanging="284"/>
      </w:pPr>
      <w:r w:rsidRPr="00BF148D">
        <w:t>The vignettes used to derive the nominated utility values were not provided, and therefore it was not possible to determine if they included information on other seizures that patients may continue to experience (e.g. non-convulsive seizures for patients with DS, and non-drop seizures for patients with LGS) and on ability for self-care. It is likely that the utility values were overestimated, and this potentiall</w:t>
      </w:r>
      <w:r w:rsidR="00BD35C5" w:rsidRPr="00BF148D">
        <w:t>y favoured cannabidiol;</w:t>
      </w:r>
    </w:p>
    <w:p w:rsidR="007550D7" w:rsidRPr="00BF148D" w:rsidRDefault="007827EC" w:rsidP="002647E7">
      <w:pPr>
        <w:pStyle w:val="ListParagraph"/>
        <w:spacing w:after="0"/>
        <w:ind w:left="993" w:hanging="284"/>
      </w:pPr>
      <w:r w:rsidRPr="00BF148D">
        <w:t>The cost of cannabidiol was likely underestimated given the models did not account for use of doses of cannabidiol of more than 10 mg/kg/day,</w:t>
      </w:r>
      <w:r w:rsidR="00BD35C5" w:rsidRPr="00BF148D">
        <w:t xml:space="preserve"> and</w:t>
      </w:r>
      <w:r w:rsidRPr="00BF148D">
        <w:t xml:space="preserve"> </w:t>
      </w:r>
      <w:r w:rsidR="008F5410" w:rsidRPr="00BF148D">
        <w:t>this</w:t>
      </w:r>
      <w:r w:rsidRPr="00BF148D">
        <w:t xml:space="preserve"> favoured cannabidiol</w:t>
      </w:r>
      <w:r w:rsidR="002647E7" w:rsidRPr="00BF148D">
        <w:t>.</w:t>
      </w:r>
    </w:p>
    <w:p w:rsidR="007827EC" w:rsidRPr="00BF148D" w:rsidRDefault="007827EC" w:rsidP="00224858">
      <w:pPr>
        <w:pStyle w:val="3-BodyText"/>
        <w:spacing w:after="0"/>
      </w:pPr>
      <w:bookmarkStart w:id="50" w:name="_Ref40827557"/>
      <w:r w:rsidRPr="00BF148D">
        <w:t>There were a large number of inconsistencies between inputs into the models and the clinical trial data informing the models. For example:</w:t>
      </w:r>
      <w:bookmarkEnd w:id="50"/>
    </w:p>
    <w:p w:rsidR="007827EC" w:rsidRPr="00BF148D" w:rsidRDefault="007827EC" w:rsidP="00224858">
      <w:pPr>
        <w:pStyle w:val="ListParagraph"/>
        <w:spacing w:after="0"/>
        <w:ind w:left="993" w:hanging="284"/>
      </w:pPr>
      <w:r w:rsidRPr="00BF148D">
        <w:t xml:space="preserve">The transition probabilities used in the models could not be verified, and from the cross-checking that was possible (limited due to non-availability of the individual patient data, and re-cut data used in the models), the number of patients in some of the health states in the models could not be reconciled with the trial data. </w:t>
      </w:r>
    </w:p>
    <w:p w:rsidR="007827EC" w:rsidRPr="00BF148D" w:rsidRDefault="007827EC" w:rsidP="00224858">
      <w:pPr>
        <w:pStyle w:val="ListParagraph"/>
        <w:spacing w:after="0"/>
        <w:ind w:left="993" w:hanging="284"/>
      </w:pPr>
      <w:r w:rsidRPr="00BF148D">
        <w:t xml:space="preserve">The adverse event rates used in the models to inform disutilities and associated management costs </w:t>
      </w:r>
      <w:r w:rsidR="007550D7" w:rsidRPr="00BF148D">
        <w:t>were not consistent with</w:t>
      </w:r>
      <w:r w:rsidRPr="00BF148D">
        <w:t xml:space="preserve"> the rates reported in the key trials. </w:t>
      </w:r>
    </w:p>
    <w:p w:rsidR="007827EC" w:rsidRPr="00BF148D" w:rsidRDefault="007827EC" w:rsidP="00224858">
      <w:pPr>
        <w:pStyle w:val="ListParagraph"/>
        <w:ind w:left="993" w:hanging="284"/>
      </w:pPr>
      <w:r w:rsidRPr="00BF148D">
        <w:t xml:space="preserve">The models assumed that patients would have improved utility values and reduced hospitalisations due to epilepsy, however these assumptions were not supported by the data from the key trials </w:t>
      </w:r>
      <w:r w:rsidR="007550D7" w:rsidRPr="00BF148D">
        <w:t xml:space="preserve">which did not report any </w:t>
      </w:r>
      <w:r w:rsidRPr="00BF148D">
        <w:t xml:space="preserve">statistically significant differences </w:t>
      </w:r>
      <w:r w:rsidR="007550D7" w:rsidRPr="00BF148D">
        <w:t xml:space="preserve">between arms </w:t>
      </w:r>
      <w:r w:rsidRPr="00BF148D">
        <w:t xml:space="preserve">in overall quality of life, </w:t>
      </w:r>
      <w:r w:rsidR="007550D7" w:rsidRPr="00BF148D">
        <w:t xml:space="preserve">or </w:t>
      </w:r>
      <w:r w:rsidRPr="00BF148D">
        <w:t>in rates of hospitalisation due to epilepsy.</w:t>
      </w:r>
    </w:p>
    <w:p w:rsidR="007827EC" w:rsidRPr="00BF148D" w:rsidRDefault="007827EC" w:rsidP="00224858">
      <w:pPr>
        <w:pStyle w:val="3-BodyText"/>
      </w:pPr>
      <w:bookmarkStart w:id="51" w:name="_Ref40827478"/>
      <w:r w:rsidRPr="00BF148D">
        <w:lastRenderedPageBreak/>
        <w:t xml:space="preserve">Key drivers of the models are summarised in </w:t>
      </w:r>
      <w:r w:rsidR="00580552" w:rsidRPr="00BF148D">
        <w:t>Table 8</w:t>
      </w:r>
      <w:r w:rsidRPr="00BF148D">
        <w:t>.</w:t>
      </w:r>
      <w:bookmarkEnd w:id="51"/>
    </w:p>
    <w:p w:rsidR="007827EC" w:rsidRPr="00BF148D" w:rsidRDefault="008F5410" w:rsidP="00224858">
      <w:pPr>
        <w:pStyle w:val="TableFigureHeading"/>
        <w:rPr>
          <w:rStyle w:val="CommentReference"/>
          <w:b/>
          <w:szCs w:val="24"/>
        </w:rPr>
      </w:pPr>
      <w:bookmarkStart w:id="52" w:name="_Ref39812690"/>
      <w:r w:rsidRPr="00BF148D">
        <w:rPr>
          <w:rStyle w:val="CommentReference"/>
          <w:b/>
          <w:szCs w:val="24"/>
        </w:rPr>
        <w:t xml:space="preserve">Table </w:t>
      </w:r>
      <w:r w:rsidR="00580552" w:rsidRPr="00BF148D">
        <w:rPr>
          <w:rStyle w:val="CommentReference"/>
          <w:b/>
          <w:szCs w:val="24"/>
        </w:rPr>
        <w:t>8</w:t>
      </w:r>
      <w:bookmarkEnd w:id="52"/>
      <w:r w:rsidR="007827EC" w:rsidRPr="00BF148D">
        <w:rPr>
          <w:rStyle w:val="CommentReference"/>
          <w:b/>
          <w:szCs w:val="24"/>
        </w:rPr>
        <w:t>: Key drivers of the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3686"/>
        <w:gridCol w:w="4059"/>
      </w:tblGrid>
      <w:tr w:rsidR="00CB0119" w:rsidRPr="00BF148D" w:rsidTr="008F5410">
        <w:trPr>
          <w:tblHeader/>
        </w:trPr>
        <w:tc>
          <w:tcPr>
            <w:tcW w:w="705" w:type="pct"/>
            <w:shd w:val="clear" w:color="auto" w:fill="auto"/>
            <w:vAlign w:val="center"/>
          </w:tcPr>
          <w:p w:rsidR="007827EC" w:rsidRPr="00BF148D" w:rsidRDefault="007827EC" w:rsidP="00224858">
            <w:pPr>
              <w:pStyle w:val="In-tableHeading"/>
              <w:rPr>
                <w:lang w:val="en-AU"/>
              </w:rPr>
            </w:pPr>
            <w:r w:rsidRPr="00BF148D">
              <w:rPr>
                <w:lang w:val="en-AU"/>
              </w:rPr>
              <w:t>Description</w:t>
            </w:r>
          </w:p>
        </w:tc>
        <w:tc>
          <w:tcPr>
            <w:tcW w:w="2044" w:type="pct"/>
            <w:shd w:val="clear" w:color="auto" w:fill="auto"/>
            <w:vAlign w:val="center"/>
          </w:tcPr>
          <w:p w:rsidR="007827EC" w:rsidRPr="00BF148D" w:rsidRDefault="007827EC" w:rsidP="00224858">
            <w:pPr>
              <w:pStyle w:val="In-tableHeading"/>
              <w:jc w:val="center"/>
              <w:rPr>
                <w:lang w:val="en-AU"/>
              </w:rPr>
            </w:pPr>
            <w:r w:rsidRPr="00BF148D">
              <w:rPr>
                <w:lang w:val="en-AU"/>
              </w:rPr>
              <w:t>Method/Value</w:t>
            </w:r>
          </w:p>
        </w:tc>
        <w:tc>
          <w:tcPr>
            <w:tcW w:w="2251" w:type="pct"/>
            <w:shd w:val="clear" w:color="auto" w:fill="auto"/>
            <w:vAlign w:val="center"/>
          </w:tcPr>
          <w:p w:rsidR="007827EC" w:rsidRPr="00BF148D" w:rsidRDefault="007827EC" w:rsidP="00224858">
            <w:pPr>
              <w:pStyle w:val="In-tableHeading"/>
              <w:jc w:val="center"/>
              <w:rPr>
                <w:lang w:val="en-AU"/>
              </w:rPr>
            </w:pPr>
            <w:r w:rsidRPr="00BF148D">
              <w:rPr>
                <w:lang w:val="en-AU"/>
              </w:rPr>
              <w:t>Impact</w:t>
            </w:r>
          </w:p>
        </w:tc>
      </w:tr>
      <w:tr w:rsidR="008F5410" w:rsidRPr="00BF148D" w:rsidTr="008F5410">
        <w:trPr>
          <w:tblHeader/>
        </w:trPr>
        <w:tc>
          <w:tcPr>
            <w:tcW w:w="5000" w:type="pct"/>
            <w:gridSpan w:val="3"/>
            <w:shd w:val="clear" w:color="auto" w:fill="auto"/>
            <w:vAlign w:val="center"/>
          </w:tcPr>
          <w:p w:rsidR="008F5410" w:rsidRPr="00BF148D" w:rsidRDefault="008F5410" w:rsidP="00224858">
            <w:pPr>
              <w:pStyle w:val="In-tableHeading"/>
              <w:rPr>
                <w:lang w:val="en-AU"/>
              </w:rPr>
            </w:pPr>
            <w:r w:rsidRPr="00BF148D">
              <w:rPr>
                <w:lang w:val="en-AU"/>
              </w:rPr>
              <w:t>Base case (no carer utilities): $</w:t>
            </w:r>
            <w:r w:rsidR="00BC24E9">
              <w:rPr>
                <w:lang w:val="en-AU"/>
              </w:rPr>
              <w:t>75,000 to &lt; $95,000</w:t>
            </w:r>
            <w:r w:rsidRPr="00AB1F4F">
              <w:rPr>
                <w:lang w:val="en-AU"/>
              </w:rPr>
              <w:t>/QALY</w:t>
            </w:r>
            <w:r w:rsidRPr="00BF148D">
              <w:rPr>
                <w:lang w:val="en-AU"/>
              </w:rPr>
              <w:t xml:space="preserve"> gained for DS and $</w:t>
            </w:r>
            <w:r w:rsidR="00BC24E9">
              <w:rPr>
                <w:lang w:val="en-AU"/>
              </w:rPr>
              <w:t>155,000 to &lt; $255,000</w:t>
            </w:r>
            <w:r w:rsidRPr="00AB1F4F">
              <w:rPr>
                <w:lang w:val="en-AU"/>
              </w:rPr>
              <w:t>/QALY</w:t>
            </w:r>
            <w:r w:rsidR="00B625C9" w:rsidRPr="00BF148D">
              <w:rPr>
                <w:lang w:val="en-AU"/>
              </w:rPr>
              <w:t xml:space="preserve"> gained</w:t>
            </w:r>
            <w:r w:rsidRPr="00BF148D">
              <w:rPr>
                <w:lang w:val="en-AU"/>
              </w:rPr>
              <w:t xml:space="preserve"> for LGS over 30 years</w:t>
            </w:r>
          </w:p>
        </w:tc>
      </w:tr>
      <w:tr w:rsidR="008F5410" w:rsidRPr="00BF148D" w:rsidTr="008F5410">
        <w:tc>
          <w:tcPr>
            <w:tcW w:w="705" w:type="pct"/>
            <w:shd w:val="clear" w:color="auto" w:fill="auto"/>
            <w:vAlign w:val="center"/>
          </w:tcPr>
          <w:p w:rsidR="007827EC" w:rsidRPr="00BF148D" w:rsidRDefault="007827EC" w:rsidP="00224858">
            <w:pPr>
              <w:pStyle w:val="TableText0"/>
            </w:pPr>
            <w:r w:rsidRPr="00BF148D">
              <w:t>Extrapolation</w:t>
            </w:r>
          </w:p>
        </w:tc>
        <w:tc>
          <w:tcPr>
            <w:tcW w:w="2044" w:type="pct"/>
            <w:shd w:val="clear" w:color="auto" w:fill="auto"/>
            <w:vAlign w:val="center"/>
          </w:tcPr>
          <w:p w:rsidR="007827EC" w:rsidRPr="00BF148D" w:rsidRDefault="007827EC" w:rsidP="00224858">
            <w:pPr>
              <w:pStyle w:val="TableText0"/>
            </w:pPr>
            <w:r w:rsidRPr="00BF148D">
              <w:t xml:space="preserve">Treatment effect of cannabidiol 10 mg/kg/day assumed to continue beyond 14 weeks in the randomised controlled trials. Transition probabilities could not be verified for any cycle. No waning of treatment effect after </w:t>
            </w:r>
            <w:r w:rsidR="008F5410" w:rsidRPr="00BF148D">
              <w:t>C</w:t>
            </w:r>
            <w:r w:rsidRPr="00BF148D">
              <w:t xml:space="preserve">ycle 9. </w:t>
            </w:r>
            <w:r w:rsidR="008F5410" w:rsidRPr="00BF148D">
              <w:t>P</w:t>
            </w:r>
            <w:r w:rsidRPr="00BF148D">
              <w:t xml:space="preserve">lacebo </w:t>
            </w:r>
            <w:r w:rsidR="008F5410" w:rsidRPr="00BF148D">
              <w:t>response ceased after Cycle 1.</w:t>
            </w:r>
            <w:r w:rsidRPr="00BF148D">
              <w:t xml:space="preserve"> </w:t>
            </w:r>
          </w:p>
        </w:tc>
        <w:tc>
          <w:tcPr>
            <w:tcW w:w="2251" w:type="pct"/>
            <w:shd w:val="clear" w:color="auto" w:fill="auto"/>
            <w:vAlign w:val="center"/>
          </w:tcPr>
          <w:p w:rsidR="007827EC" w:rsidRPr="00BF148D" w:rsidRDefault="007827EC" w:rsidP="00224858">
            <w:pPr>
              <w:pStyle w:val="TableText0"/>
              <w:rPr>
                <w:b/>
              </w:rPr>
            </w:pPr>
            <w:r w:rsidRPr="00BF148D">
              <w:rPr>
                <w:b/>
              </w:rPr>
              <w:t>High, favours cannabidiol</w:t>
            </w:r>
          </w:p>
          <w:p w:rsidR="007827EC" w:rsidRPr="00BF148D" w:rsidRDefault="00F30AC5" w:rsidP="00CE350C">
            <w:pPr>
              <w:pStyle w:val="TableText0"/>
              <w:rPr>
                <w:i/>
              </w:rPr>
            </w:pPr>
            <w:r w:rsidRPr="00BF148D">
              <w:t xml:space="preserve">Using a 1 year time horizon instead of 30 years in the base case </w:t>
            </w:r>
            <w:r w:rsidR="007827EC" w:rsidRPr="00BF148D">
              <w:t>increased the ICER to $</w:t>
            </w:r>
            <w:r w:rsidR="00C067E1">
              <w:t>455,000 to &lt; $5</w:t>
            </w:r>
            <w:r w:rsidR="00BC24E9">
              <w:t>55,000</w:t>
            </w:r>
            <w:r w:rsidR="007827EC" w:rsidRPr="00AB1F4F">
              <w:t>/QALY</w:t>
            </w:r>
            <w:r w:rsidR="007827EC" w:rsidRPr="00BF148D">
              <w:t xml:space="preserve"> gained for DS </w:t>
            </w:r>
            <w:r w:rsidRPr="00BF148D">
              <w:t xml:space="preserve">(+514%) </w:t>
            </w:r>
            <w:r w:rsidR="007827EC" w:rsidRPr="00BF148D">
              <w:t>and to $</w:t>
            </w:r>
            <w:r w:rsidR="00BC24E9">
              <w:t>555,000 to &lt; $655,000</w:t>
            </w:r>
            <w:r w:rsidR="007827EC" w:rsidRPr="00AB1F4F">
              <w:t>//QALY</w:t>
            </w:r>
            <w:r w:rsidR="007827EC" w:rsidRPr="00BF148D">
              <w:t xml:space="preserve"> gained for LGS</w:t>
            </w:r>
            <w:r w:rsidRPr="00BF148D">
              <w:t xml:space="preserve"> (+260%).</w:t>
            </w:r>
            <w:r w:rsidR="003E6D44" w:rsidRPr="00BF148D">
              <w:t xml:space="preserve"> The ESC noted that </w:t>
            </w:r>
            <w:r w:rsidR="003A20C8" w:rsidRPr="00BF148D">
              <w:t xml:space="preserve">the </w:t>
            </w:r>
            <w:r w:rsidR="00CE350C" w:rsidRPr="00BF148D">
              <w:t xml:space="preserve">March 2020 </w:t>
            </w:r>
            <w:r w:rsidR="003E6D44" w:rsidRPr="00BF148D">
              <w:t xml:space="preserve">stiripentol </w:t>
            </w:r>
            <w:r w:rsidR="00CE350C" w:rsidRPr="00BF148D">
              <w:t xml:space="preserve">submission </w:t>
            </w:r>
            <w:r w:rsidR="003E6D44" w:rsidRPr="00BF148D">
              <w:t>used a 5 year time horizon</w:t>
            </w:r>
            <w:r w:rsidR="00CE350C" w:rsidRPr="00BF148D">
              <w:t>.</w:t>
            </w:r>
          </w:p>
        </w:tc>
      </w:tr>
      <w:tr w:rsidR="008F5410" w:rsidRPr="00BF148D" w:rsidTr="008F5410">
        <w:tc>
          <w:tcPr>
            <w:tcW w:w="705" w:type="pct"/>
            <w:shd w:val="clear" w:color="auto" w:fill="auto"/>
            <w:vAlign w:val="center"/>
          </w:tcPr>
          <w:p w:rsidR="007827EC" w:rsidRPr="00BF148D" w:rsidRDefault="007827EC" w:rsidP="00224858">
            <w:pPr>
              <w:pStyle w:val="TableText0"/>
            </w:pPr>
            <w:r w:rsidRPr="00BF148D">
              <w:t>Utilities</w:t>
            </w:r>
          </w:p>
        </w:tc>
        <w:tc>
          <w:tcPr>
            <w:tcW w:w="2044" w:type="pct"/>
            <w:shd w:val="clear" w:color="auto" w:fill="auto"/>
            <w:vAlign w:val="center"/>
          </w:tcPr>
          <w:p w:rsidR="007827EC" w:rsidRPr="00BF148D" w:rsidRDefault="007827EC" w:rsidP="000A2784">
            <w:pPr>
              <w:pStyle w:val="TableText0"/>
            </w:pPr>
            <w:r w:rsidRPr="00BF148D">
              <w:t>Use of the utility values as detailed in the submission through scoring of vignettes using a visual analogue scale</w:t>
            </w:r>
            <w:r w:rsidR="003E6D44" w:rsidRPr="00BF148D">
              <w:t>. The ESC noted that this data was from a</w:t>
            </w:r>
            <w:r w:rsidR="00C66D30" w:rsidRPr="00BF148D">
              <w:t>n</w:t>
            </w:r>
            <w:r w:rsidR="00CE350C" w:rsidRPr="00BF148D">
              <w:t xml:space="preserve"> </w:t>
            </w:r>
            <w:r w:rsidR="003E6D44" w:rsidRPr="00BF148D">
              <w:t xml:space="preserve">unpublished study with a small sample size. The </w:t>
            </w:r>
            <w:r w:rsidR="00C66D30" w:rsidRPr="00BF148D">
              <w:t xml:space="preserve">clinical trial </w:t>
            </w:r>
            <w:r w:rsidR="003E6D44" w:rsidRPr="00BF148D">
              <w:t xml:space="preserve">data showed no significant difference in </w:t>
            </w:r>
            <w:r w:rsidR="000A2784" w:rsidRPr="00BF148D">
              <w:t>quality of life</w:t>
            </w:r>
            <w:r w:rsidR="003E6D44" w:rsidRPr="00BF148D">
              <w:t>.</w:t>
            </w:r>
          </w:p>
        </w:tc>
        <w:tc>
          <w:tcPr>
            <w:tcW w:w="2251" w:type="pct"/>
            <w:shd w:val="clear" w:color="auto" w:fill="auto"/>
            <w:vAlign w:val="center"/>
          </w:tcPr>
          <w:p w:rsidR="007827EC" w:rsidRPr="00BF148D" w:rsidRDefault="007827EC" w:rsidP="00224858">
            <w:pPr>
              <w:pStyle w:val="TableText0"/>
              <w:rPr>
                <w:b/>
              </w:rPr>
            </w:pPr>
            <w:r w:rsidRPr="00BF148D">
              <w:rPr>
                <w:b/>
              </w:rPr>
              <w:t>High, favours cannabidiol</w:t>
            </w:r>
          </w:p>
          <w:p w:rsidR="007827EC" w:rsidRPr="00BF148D" w:rsidRDefault="007827EC" w:rsidP="00224858">
            <w:pPr>
              <w:pStyle w:val="TableText0"/>
            </w:pPr>
            <w:r w:rsidRPr="00BF148D">
              <w:t xml:space="preserve">Use of the submission’s assignment of Verdian et al 2008 utility values </w:t>
            </w:r>
            <w:r w:rsidR="00F30AC5" w:rsidRPr="00BF148D">
              <w:t xml:space="preserve">instead of the vignettes in the base case </w:t>
            </w:r>
            <w:r w:rsidRPr="00BF148D">
              <w:t xml:space="preserve">increased the ICERs to </w:t>
            </w:r>
            <w:r w:rsidR="00F30AC5" w:rsidRPr="00BF148D">
              <w:t>$</w:t>
            </w:r>
            <w:r w:rsidR="00BC24E9">
              <w:t>135,000 to &lt; $155,000</w:t>
            </w:r>
            <w:r w:rsidR="00F30AC5" w:rsidRPr="00AB1F4F">
              <w:t>/QALY</w:t>
            </w:r>
            <w:r w:rsidR="00F30AC5" w:rsidRPr="00BF148D">
              <w:t xml:space="preserve"> gained for DS (+65%) and to $</w:t>
            </w:r>
            <w:r w:rsidR="00BC24E9">
              <w:t>255,000 to &lt; $355,000</w:t>
            </w:r>
            <w:r w:rsidR="00F30AC5" w:rsidRPr="00AB1F4F">
              <w:t>/QALY</w:t>
            </w:r>
            <w:r w:rsidR="00F30AC5" w:rsidRPr="00BF148D">
              <w:t xml:space="preserve"> gained for LGS (+78%) </w:t>
            </w:r>
          </w:p>
        </w:tc>
      </w:tr>
      <w:tr w:rsidR="008F5410" w:rsidRPr="00BF148D" w:rsidTr="008F5410">
        <w:tc>
          <w:tcPr>
            <w:tcW w:w="705" w:type="pct"/>
            <w:shd w:val="clear" w:color="auto" w:fill="auto"/>
            <w:vAlign w:val="center"/>
          </w:tcPr>
          <w:p w:rsidR="007827EC" w:rsidRPr="00BF148D" w:rsidRDefault="007827EC" w:rsidP="00224858">
            <w:pPr>
              <w:pStyle w:val="TableText0"/>
            </w:pPr>
            <w:r w:rsidRPr="00BF148D">
              <w:t>Cost of cannabidiol</w:t>
            </w:r>
          </w:p>
        </w:tc>
        <w:tc>
          <w:tcPr>
            <w:tcW w:w="2044" w:type="pct"/>
            <w:shd w:val="clear" w:color="auto" w:fill="auto"/>
            <w:vAlign w:val="center"/>
          </w:tcPr>
          <w:p w:rsidR="007827EC" w:rsidRPr="00BF148D" w:rsidRDefault="007827EC" w:rsidP="003E6D44">
            <w:pPr>
              <w:pStyle w:val="TableText0"/>
            </w:pPr>
            <w:r w:rsidRPr="00BF148D">
              <w:t>Assumed dose of 10 mg/kg/day and patient weights based on medians in the key trials for each disease state</w:t>
            </w:r>
            <w:r w:rsidR="00904EA8" w:rsidRPr="00BF148D">
              <w:t>.</w:t>
            </w:r>
            <w:r w:rsidR="00F30AC5" w:rsidRPr="00BF148D">
              <w:t xml:space="preserve"> Draft PI and clinical trial data </w:t>
            </w:r>
            <w:r w:rsidR="003E6D44" w:rsidRPr="00BF148D">
              <w:t xml:space="preserve">allows </w:t>
            </w:r>
            <w:r w:rsidR="00F30AC5" w:rsidRPr="00BF148D">
              <w:t>a maximum maintenance dose of 20</w:t>
            </w:r>
            <w:r w:rsidR="00904EA8" w:rsidRPr="00BF148D">
              <w:t> </w:t>
            </w:r>
            <w:r w:rsidR="00F30AC5" w:rsidRPr="00BF148D">
              <w:t>mg/kg/day</w:t>
            </w:r>
            <w:r w:rsidR="003E6D44" w:rsidRPr="00BF148D">
              <w:t>.</w:t>
            </w:r>
          </w:p>
        </w:tc>
        <w:tc>
          <w:tcPr>
            <w:tcW w:w="2251" w:type="pct"/>
            <w:shd w:val="clear" w:color="auto" w:fill="auto"/>
            <w:vAlign w:val="center"/>
          </w:tcPr>
          <w:p w:rsidR="007827EC" w:rsidRPr="00BF148D" w:rsidRDefault="007827EC" w:rsidP="00224858">
            <w:pPr>
              <w:pStyle w:val="TableText0"/>
              <w:rPr>
                <w:b/>
              </w:rPr>
            </w:pPr>
            <w:r w:rsidRPr="00BF148D">
              <w:rPr>
                <w:b/>
              </w:rPr>
              <w:t>High, favours cannabidiol</w:t>
            </w:r>
          </w:p>
          <w:p w:rsidR="007827EC" w:rsidRPr="00BF148D" w:rsidRDefault="00F30AC5" w:rsidP="00224858">
            <w:pPr>
              <w:pStyle w:val="TableText0"/>
            </w:pPr>
            <w:r w:rsidRPr="00BF148D">
              <w:t xml:space="preserve">Assuming a dose of </w:t>
            </w:r>
            <w:r w:rsidR="007827EC" w:rsidRPr="00BF148D">
              <w:t xml:space="preserve">15 mg/kg/day increased the ICERs </w:t>
            </w:r>
            <w:r w:rsidRPr="00BF148D">
              <w:t>to $</w:t>
            </w:r>
            <w:r w:rsidR="00BC24E9">
              <w:t>155,000 to &lt; $255,000</w:t>
            </w:r>
            <w:r w:rsidRPr="00AB1F4F">
              <w:t>/QALY</w:t>
            </w:r>
            <w:r w:rsidRPr="00BF148D">
              <w:t xml:space="preserve"> gained for DS (+103%) and to $</w:t>
            </w:r>
            <w:r w:rsidR="00BC24E9">
              <w:t>255,000 to &lt; $355,000</w:t>
            </w:r>
            <w:r w:rsidRPr="00AB1F4F">
              <w:t>/QALY</w:t>
            </w:r>
            <w:r w:rsidRPr="00BF148D">
              <w:t xml:space="preserve"> gained for LGS (+57%)</w:t>
            </w:r>
          </w:p>
        </w:tc>
      </w:tr>
      <w:tr w:rsidR="008F5410" w:rsidRPr="00BF148D" w:rsidTr="008F5410">
        <w:tc>
          <w:tcPr>
            <w:tcW w:w="705" w:type="pct"/>
            <w:shd w:val="clear" w:color="auto" w:fill="auto"/>
            <w:vAlign w:val="center"/>
          </w:tcPr>
          <w:p w:rsidR="007827EC" w:rsidRPr="00BF148D" w:rsidRDefault="007827EC" w:rsidP="00224858">
            <w:pPr>
              <w:pStyle w:val="TableText0"/>
            </w:pPr>
            <w:r w:rsidRPr="00BF148D">
              <w:t>Cost of hospitalisations due to epilepsy</w:t>
            </w:r>
          </w:p>
        </w:tc>
        <w:tc>
          <w:tcPr>
            <w:tcW w:w="2044" w:type="pct"/>
            <w:shd w:val="clear" w:color="auto" w:fill="auto"/>
            <w:vAlign w:val="center"/>
          </w:tcPr>
          <w:p w:rsidR="007827EC" w:rsidRPr="00BF148D" w:rsidRDefault="00F34DCF" w:rsidP="00C66D30">
            <w:pPr>
              <w:pStyle w:val="TableText0"/>
            </w:pPr>
            <w:r w:rsidRPr="00BF148D">
              <w:t xml:space="preserve">The ESC noted that the model assumed cannabidiol reduced the frequency of hospitalisations, however no reduction in hospitalisations was observed in the key trials. Furthermore, </w:t>
            </w:r>
            <w:r w:rsidR="00C66D30" w:rsidRPr="00BF148D">
              <w:t>i</w:t>
            </w:r>
            <w:r w:rsidR="007827EC" w:rsidRPr="00BF148D">
              <w:t xml:space="preserve">t was not apparent where the estimates of resource use for the submission for hospitalisation in Australia were derived. </w:t>
            </w:r>
          </w:p>
        </w:tc>
        <w:tc>
          <w:tcPr>
            <w:tcW w:w="2251" w:type="pct"/>
            <w:shd w:val="clear" w:color="auto" w:fill="auto"/>
            <w:vAlign w:val="center"/>
          </w:tcPr>
          <w:p w:rsidR="007827EC" w:rsidRPr="00BF148D" w:rsidRDefault="007827EC" w:rsidP="00224858">
            <w:pPr>
              <w:pStyle w:val="TableText0"/>
              <w:rPr>
                <w:b/>
              </w:rPr>
            </w:pPr>
            <w:r w:rsidRPr="00BF148D">
              <w:rPr>
                <w:b/>
              </w:rPr>
              <w:t>High, favours cannabidiol</w:t>
            </w:r>
          </w:p>
          <w:p w:rsidR="007827EC" w:rsidRPr="00BF148D" w:rsidRDefault="007827EC" w:rsidP="00224858">
            <w:pPr>
              <w:pStyle w:val="TableText0"/>
              <w:spacing w:after="40"/>
            </w:pPr>
            <w:r w:rsidRPr="00BF148D">
              <w:t>The ICER for DS was particularly sensitive to the cost of hospitalisation.</w:t>
            </w:r>
          </w:p>
          <w:p w:rsidR="00F30AC5" w:rsidRPr="00BF148D" w:rsidRDefault="00F30AC5" w:rsidP="00224858">
            <w:pPr>
              <w:pStyle w:val="TableText0"/>
              <w:rPr>
                <w:b/>
              </w:rPr>
            </w:pPr>
            <w:r w:rsidRPr="00BF148D">
              <w:t>Assuming no hospitalisation costs (a proxy for no difference in hospitalisation between treatment arms) increased the ICER to $</w:t>
            </w:r>
            <w:r w:rsidR="00BC24E9">
              <w:t>155,000 to &lt; $255,000</w:t>
            </w:r>
            <w:r w:rsidRPr="00AB1F4F">
              <w:t>/QALY</w:t>
            </w:r>
            <w:r w:rsidRPr="00BF148D">
              <w:t xml:space="preserve"> gained for DS (+73%) and to $</w:t>
            </w:r>
            <w:r w:rsidR="00BC24E9">
              <w:t>155,000 to &lt; $255,000</w:t>
            </w:r>
            <w:r w:rsidRPr="00AB1F4F">
              <w:t>/QALY</w:t>
            </w:r>
            <w:r w:rsidRPr="00BF148D">
              <w:t xml:space="preserve"> gained for LGS (+6%)</w:t>
            </w:r>
          </w:p>
        </w:tc>
      </w:tr>
      <w:tr w:rsidR="00F30AC5" w:rsidRPr="00BF148D" w:rsidTr="008F5410">
        <w:tc>
          <w:tcPr>
            <w:tcW w:w="705" w:type="pct"/>
            <w:shd w:val="clear" w:color="auto" w:fill="auto"/>
            <w:vAlign w:val="center"/>
          </w:tcPr>
          <w:p w:rsidR="00F30AC5" w:rsidRPr="00BF148D" w:rsidRDefault="00F30AC5" w:rsidP="00224858">
            <w:pPr>
              <w:pStyle w:val="TableText0"/>
            </w:pPr>
            <w:r w:rsidRPr="00BF148D">
              <w:t>Assumption of discontinuation in cannabidiol beyond Cycle 10</w:t>
            </w:r>
          </w:p>
        </w:tc>
        <w:tc>
          <w:tcPr>
            <w:tcW w:w="2044" w:type="pct"/>
            <w:shd w:val="clear" w:color="auto" w:fill="auto"/>
            <w:vAlign w:val="center"/>
          </w:tcPr>
          <w:p w:rsidR="00F30AC5" w:rsidRPr="00BF148D" w:rsidRDefault="00F30AC5" w:rsidP="00224858">
            <w:pPr>
              <w:pStyle w:val="TableText0"/>
              <w:rPr>
                <w:i/>
              </w:rPr>
            </w:pPr>
            <w:r w:rsidRPr="00BF148D">
              <w:t>The submission assumed that 0.5% of all seizure-free patients and 10% of patients in all other health states discontinued from cannabidiol beyond Cycle 9, with no corresponding reduction in efficacy.</w:t>
            </w:r>
          </w:p>
        </w:tc>
        <w:tc>
          <w:tcPr>
            <w:tcW w:w="2251" w:type="pct"/>
            <w:shd w:val="clear" w:color="auto" w:fill="auto"/>
            <w:vAlign w:val="center"/>
          </w:tcPr>
          <w:p w:rsidR="00F30AC5" w:rsidRPr="00BF148D" w:rsidRDefault="00F30AC5" w:rsidP="00224858">
            <w:pPr>
              <w:pStyle w:val="TableText0"/>
              <w:rPr>
                <w:b/>
              </w:rPr>
            </w:pPr>
            <w:r w:rsidRPr="00BF148D">
              <w:rPr>
                <w:b/>
              </w:rPr>
              <w:t>High, favours cannabidiol</w:t>
            </w:r>
          </w:p>
          <w:p w:rsidR="00F30AC5" w:rsidRPr="00BF148D" w:rsidRDefault="00F30AC5" w:rsidP="00224858">
            <w:pPr>
              <w:pStyle w:val="TableText0"/>
              <w:rPr>
                <w:b/>
              </w:rPr>
            </w:pPr>
            <w:r w:rsidRPr="00BF148D">
              <w:t>Assuming no discontinuation from treatment in Cycles 10-120, the ICER increased to $</w:t>
            </w:r>
            <w:r w:rsidR="00BC24E9">
              <w:t>135,000 to &lt; $155,000</w:t>
            </w:r>
            <w:r w:rsidRPr="00AB1F4F">
              <w:t>/QALY</w:t>
            </w:r>
            <w:r w:rsidRPr="00BF148D">
              <w:t xml:space="preserve"> gained (+59%) in DS and $</w:t>
            </w:r>
            <w:r w:rsidR="00BC24E9">
              <w:t>155,000 to &lt; $255,000</w:t>
            </w:r>
            <w:r w:rsidRPr="00AB1F4F">
              <w:t>/QALY</w:t>
            </w:r>
            <w:r w:rsidRPr="00BF148D">
              <w:t xml:space="preserve"> gained in LGS (+41%)</w:t>
            </w:r>
          </w:p>
        </w:tc>
      </w:tr>
    </w:tbl>
    <w:p w:rsidR="00582A3D" w:rsidRPr="00BF148D" w:rsidRDefault="00582A3D" w:rsidP="00582A3D">
      <w:pPr>
        <w:pStyle w:val="TableFigureFooter"/>
      </w:pPr>
      <w:r w:rsidRPr="00BF148D">
        <w:t xml:space="preserve">AED = anti-epileptic drugs; DS = Dravet Syndrome; </w:t>
      </w:r>
      <w:r w:rsidR="00580552" w:rsidRPr="00BF148D">
        <w:t xml:space="preserve">ESC = economic sub-committee </w:t>
      </w:r>
      <w:r w:rsidRPr="00BF148D">
        <w:t>ICER = incremental cost effectiveness ration; LGS = Lennox Gas</w:t>
      </w:r>
      <w:r w:rsidR="00580552" w:rsidRPr="00BF148D">
        <w:t>tau</w:t>
      </w:r>
      <w:r w:rsidRPr="00BF148D">
        <w:t>t Syndrome; PI = product information; QA</w:t>
      </w:r>
      <w:r w:rsidR="0002344D">
        <w:t>LY = quality adjusted life year</w:t>
      </w:r>
      <w:r w:rsidRPr="00BF148D">
        <w:t xml:space="preserve"> </w:t>
      </w:r>
    </w:p>
    <w:p w:rsidR="007827EC" w:rsidRDefault="007827EC" w:rsidP="00224858">
      <w:pPr>
        <w:pStyle w:val="TableFigureFooter"/>
      </w:pPr>
      <w:r w:rsidRPr="00BF148D">
        <w:t>Source: constructed during the evaluation from Section 3 of the submission, and the cost-utility workbooks provided with the submission.</w:t>
      </w:r>
    </w:p>
    <w:p w:rsidR="003B091C" w:rsidRDefault="003B091C" w:rsidP="00224858">
      <w:pPr>
        <w:pStyle w:val="TableFigureFooter"/>
      </w:pPr>
    </w:p>
    <w:p w:rsidR="00BD799B" w:rsidRPr="00BF148D" w:rsidRDefault="00BD799B" w:rsidP="00BD799B">
      <w:pPr>
        <w:pStyle w:val="3-BodyText"/>
      </w:pPr>
      <w:r w:rsidRPr="00BF148D">
        <w:t xml:space="preserve">The ESC noted that the cost of cannabidiol was </w:t>
      </w:r>
      <w:r w:rsidR="00C94470" w:rsidRPr="00BF148D">
        <w:t xml:space="preserve">a key driver of the model, and considered that the use of median patient weights did not reflect the large weight range represented by the patient population, and likely led to an underestimate of the cost. </w:t>
      </w:r>
    </w:p>
    <w:p w:rsidR="00C94470" w:rsidRPr="00BF148D" w:rsidRDefault="00C94470" w:rsidP="00BD799B">
      <w:pPr>
        <w:pStyle w:val="3-BodyText"/>
      </w:pPr>
      <w:r w:rsidRPr="00BF148D">
        <w:t xml:space="preserve">The ESC noted that the time horizon was </w:t>
      </w:r>
      <w:r w:rsidR="00676143" w:rsidRPr="00BF148D">
        <w:t xml:space="preserve">also </w:t>
      </w:r>
      <w:r w:rsidRPr="00BF148D">
        <w:t xml:space="preserve">a significant driver of the model, and considered that a 30 year time horizon was not supported by the </w:t>
      </w:r>
      <w:r w:rsidR="00CE350C" w:rsidRPr="00BF148D">
        <w:t xml:space="preserve">available </w:t>
      </w:r>
      <w:r w:rsidRPr="00BF148D">
        <w:t xml:space="preserve">clinical evidence. </w:t>
      </w:r>
      <w:r w:rsidR="00676143" w:rsidRPr="00BF148D">
        <w:t>While t</w:t>
      </w:r>
      <w:r w:rsidRPr="00BF148D">
        <w:t xml:space="preserve">he ESC considered that it is </w:t>
      </w:r>
      <w:r w:rsidR="00676143" w:rsidRPr="00BF148D">
        <w:t xml:space="preserve">was </w:t>
      </w:r>
      <w:r w:rsidRPr="00BF148D">
        <w:t xml:space="preserve">unlikely that longer term trial data </w:t>
      </w:r>
      <w:r w:rsidR="005729F5" w:rsidRPr="00BF148D">
        <w:t xml:space="preserve">would </w:t>
      </w:r>
      <w:r w:rsidRPr="00BF148D">
        <w:t>become available, due to the difficulties of conducting clinical trials in the patient population</w:t>
      </w:r>
      <w:r w:rsidR="00676143" w:rsidRPr="00BF148D">
        <w:t xml:space="preserve">, </w:t>
      </w:r>
      <w:r w:rsidR="005729F5" w:rsidRPr="00BF148D">
        <w:t xml:space="preserve">it </w:t>
      </w:r>
      <w:r w:rsidRPr="00BF148D">
        <w:t xml:space="preserve">considered that a 5 year time horizon, as was submitted for stiripentol, would be more appropriate given the length of the trial data. </w:t>
      </w:r>
    </w:p>
    <w:p w:rsidR="007827EC" w:rsidRPr="00BF148D" w:rsidRDefault="00580552" w:rsidP="00CE350C">
      <w:pPr>
        <w:pStyle w:val="3-BodyText"/>
      </w:pPr>
      <w:r w:rsidRPr="00BF148D">
        <w:lastRenderedPageBreak/>
        <w:t>Table 9</w:t>
      </w:r>
      <w:r w:rsidR="007827EC" w:rsidRPr="00BF148D">
        <w:t xml:space="preserve"> and </w:t>
      </w:r>
      <w:r w:rsidRPr="00BF148D">
        <w:t>Table 10</w:t>
      </w:r>
      <w:r w:rsidR="007827EC" w:rsidRPr="00BF148D">
        <w:t xml:space="preserve"> present the results of the stepped economic evaluations for DS and LGS respectively. Steps 3 and 4 were modified during the evaluation from that presented in the submission, to remove the carer utilities that were included in the submission’s estimates, given the PBAC’s preference for use of a healthcare perspective</w:t>
      </w:r>
      <w:r w:rsidR="00F30AC5" w:rsidRPr="00BF148D">
        <w:t xml:space="preserve">, and outcomes which </w:t>
      </w:r>
      <w:r w:rsidR="00E30370" w:rsidRPr="00BF148D">
        <w:t xml:space="preserve">are </w:t>
      </w:r>
      <w:r w:rsidR="00F30AC5" w:rsidRPr="00BF148D">
        <w:t>beyond the treated patient population should only be included as supplementary analyses</w:t>
      </w:r>
      <w:r w:rsidR="007827EC" w:rsidRPr="00BF148D">
        <w:t>.</w:t>
      </w:r>
      <w:r w:rsidR="00BD799B" w:rsidRPr="00BF148D">
        <w:t xml:space="preserve"> The ESC acknowledged the significant impact of DS and LGS on caregiver’s </w:t>
      </w:r>
      <w:r w:rsidR="000A2784" w:rsidRPr="00BF148D">
        <w:t>quality of life</w:t>
      </w:r>
      <w:r w:rsidR="00BD799B" w:rsidRPr="00BF148D">
        <w:t>, however considered it was not appropriate to include this utility in the base case.</w:t>
      </w:r>
      <w:r w:rsidR="00EB62D6" w:rsidRPr="00BF148D">
        <w:t xml:space="preserve"> </w:t>
      </w:r>
    </w:p>
    <w:p w:rsidR="007827EC" w:rsidRPr="00BF148D" w:rsidRDefault="008F5410" w:rsidP="00224858">
      <w:pPr>
        <w:pStyle w:val="TableFigureHeading"/>
      </w:pPr>
      <w:bookmarkStart w:id="53" w:name="_Ref39813006"/>
      <w:r w:rsidRPr="00BF148D">
        <w:rPr>
          <w:rStyle w:val="CommentReference"/>
          <w:b/>
          <w:szCs w:val="24"/>
        </w:rPr>
        <w:t xml:space="preserve">Table </w:t>
      </w:r>
      <w:r w:rsidR="00580552" w:rsidRPr="00BF148D">
        <w:rPr>
          <w:rStyle w:val="CommentReference"/>
          <w:b/>
          <w:szCs w:val="24"/>
        </w:rPr>
        <w:t>9</w:t>
      </w:r>
      <w:bookmarkEnd w:id="53"/>
      <w:r w:rsidR="007827EC" w:rsidRPr="00BF148D">
        <w:rPr>
          <w:rStyle w:val="CommentReference"/>
          <w:b/>
          <w:szCs w:val="24"/>
        </w:rPr>
        <w:t>: Results of the stepped economic evaluation: 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6"/>
        <w:gridCol w:w="2124"/>
        <w:gridCol w:w="1987"/>
        <w:gridCol w:w="1650"/>
      </w:tblGrid>
      <w:tr w:rsidR="008F5410" w:rsidRPr="00BF148D" w:rsidTr="0002344D">
        <w:trPr>
          <w:tblHeader/>
        </w:trPr>
        <w:tc>
          <w:tcPr>
            <w:tcW w:w="1805" w:type="pct"/>
            <w:vAlign w:val="center"/>
          </w:tcPr>
          <w:p w:rsidR="008F5410" w:rsidRPr="00BF148D" w:rsidRDefault="008F5410" w:rsidP="00224858">
            <w:pPr>
              <w:pStyle w:val="In-tableHeading"/>
              <w:rPr>
                <w:lang w:val="en-AU"/>
              </w:rPr>
            </w:pPr>
            <w:r w:rsidRPr="00BF148D">
              <w:rPr>
                <w:lang w:val="en-AU"/>
              </w:rPr>
              <w:t>Step and component</w:t>
            </w:r>
          </w:p>
        </w:tc>
        <w:tc>
          <w:tcPr>
            <w:tcW w:w="1178" w:type="pct"/>
            <w:vAlign w:val="center"/>
          </w:tcPr>
          <w:p w:rsidR="008F5410" w:rsidRPr="00BF148D" w:rsidRDefault="008F5410" w:rsidP="00224858">
            <w:pPr>
              <w:pStyle w:val="In-tableHeading"/>
              <w:jc w:val="center"/>
              <w:rPr>
                <w:lang w:val="en-AU"/>
              </w:rPr>
            </w:pPr>
            <w:r w:rsidRPr="00BF148D">
              <w:rPr>
                <w:lang w:val="en-AU"/>
              </w:rPr>
              <w:t>Cannabidiol 10</w:t>
            </w:r>
            <w:r w:rsidR="00114DD0" w:rsidRPr="00BF148D">
              <w:rPr>
                <w:lang w:val="en-AU"/>
              </w:rPr>
              <w:t> </w:t>
            </w:r>
            <w:r w:rsidRPr="00BF148D">
              <w:rPr>
                <w:lang w:val="en-AU"/>
              </w:rPr>
              <w:t>mg/kg/day</w:t>
            </w:r>
          </w:p>
        </w:tc>
        <w:tc>
          <w:tcPr>
            <w:tcW w:w="1102" w:type="pct"/>
            <w:vAlign w:val="center"/>
          </w:tcPr>
          <w:p w:rsidR="008F5410" w:rsidRPr="00BF148D" w:rsidRDefault="008F5410" w:rsidP="00224858">
            <w:pPr>
              <w:pStyle w:val="In-tableHeading"/>
              <w:jc w:val="center"/>
              <w:rPr>
                <w:lang w:val="en-AU"/>
              </w:rPr>
            </w:pPr>
            <w:r w:rsidRPr="00BF148D">
              <w:rPr>
                <w:lang w:val="en-AU"/>
              </w:rPr>
              <w:t>Placebo</w:t>
            </w:r>
          </w:p>
        </w:tc>
        <w:tc>
          <w:tcPr>
            <w:tcW w:w="915" w:type="pct"/>
            <w:vAlign w:val="center"/>
          </w:tcPr>
          <w:p w:rsidR="008F5410" w:rsidRPr="00BF148D" w:rsidRDefault="008F5410" w:rsidP="00224858">
            <w:pPr>
              <w:pStyle w:val="In-tableHeading"/>
              <w:jc w:val="center"/>
              <w:rPr>
                <w:lang w:val="en-AU"/>
              </w:rPr>
            </w:pPr>
            <w:r w:rsidRPr="00BF148D">
              <w:rPr>
                <w:lang w:val="en-AU"/>
              </w:rPr>
              <w:t>Increment</w:t>
            </w:r>
          </w:p>
        </w:tc>
      </w:tr>
      <w:tr w:rsidR="008F5410" w:rsidRPr="00BF148D" w:rsidTr="005C7A19">
        <w:trPr>
          <w:tblHeader/>
        </w:trPr>
        <w:tc>
          <w:tcPr>
            <w:tcW w:w="5000" w:type="pct"/>
            <w:gridSpan w:val="4"/>
            <w:vAlign w:val="center"/>
          </w:tcPr>
          <w:p w:rsidR="008F5410" w:rsidRPr="00BF148D" w:rsidRDefault="008F5410" w:rsidP="00224858">
            <w:pPr>
              <w:pStyle w:val="TableText0"/>
              <w:rPr>
                <w:b/>
              </w:rPr>
            </w:pPr>
            <w:r w:rsidRPr="00BF148D">
              <w:rPr>
                <w:b/>
              </w:rPr>
              <w:t>DS trial-based costs and outcomes</w:t>
            </w:r>
          </w:p>
        </w:tc>
      </w:tr>
      <w:tr w:rsidR="008F5410" w:rsidRPr="00BF148D" w:rsidTr="0002344D">
        <w:trPr>
          <w:tblHeader/>
        </w:trPr>
        <w:tc>
          <w:tcPr>
            <w:tcW w:w="1805" w:type="pct"/>
            <w:vAlign w:val="center"/>
          </w:tcPr>
          <w:p w:rsidR="008F5410" w:rsidRPr="00BF148D" w:rsidRDefault="00F30AC5" w:rsidP="00224858">
            <w:pPr>
              <w:pStyle w:val="TableText0"/>
              <w:rPr>
                <w:rFonts w:ascii="Times" w:hAnsi="Times"/>
              </w:rPr>
            </w:pPr>
            <w:r w:rsidRPr="00BF148D">
              <w:t>Cannabidiol</w:t>
            </w:r>
            <w:r w:rsidR="008F5410" w:rsidRPr="00BF148D">
              <w:t xml:space="preserve"> </w:t>
            </w:r>
            <w:r w:rsidRPr="00BF148D">
              <w:t>c</w:t>
            </w:r>
            <w:r w:rsidR="008F5410" w:rsidRPr="00BF148D">
              <w:t>osts</w:t>
            </w:r>
          </w:p>
        </w:tc>
        <w:tc>
          <w:tcPr>
            <w:tcW w:w="117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02" w:type="pct"/>
            <w:vAlign w:val="center"/>
          </w:tcPr>
          <w:p w:rsidR="008F5410" w:rsidRPr="00BF148D" w:rsidRDefault="008F5410" w:rsidP="00224858">
            <w:pPr>
              <w:pStyle w:val="TableText0"/>
              <w:jc w:val="center"/>
              <w:rPr>
                <w:rFonts w:ascii="Times" w:hAnsi="Times"/>
              </w:rPr>
            </w:pPr>
            <w:r w:rsidRPr="00BF148D">
              <w:t>$0</w:t>
            </w:r>
          </w:p>
        </w:tc>
        <w:tc>
          <w:tcPr>
            <w:tcW w:w="915"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rPr>
          <w:tblHeader/>
        </w:trPr>
        <w:tc>
          <w:tcPr>
            <w:tcW w:w="1805" w:type="pct"/>
            <w:vAlign w:val="center"/>
          </w:tcPr>
          <w:p w:rsidR="008F5410" w:rsidRPr="00BF148D" w:rsidRDefault="008F5410" w:rsidP="00224858">
            <w:pPr>
              <w:pStyle w:val="TableText0"/>
            </w:pPr>
            <w:r w:rsidRPr="00BF148D">
              <w:t>Proportion of patients with at least a 50% reduction in convulsive seizures</w:t>
            </w:r>
          </w:p>
        </w:tc>
        <w:tc>
          <w:tcPr>
            <w:tcW w:w="1178" w:type="pct"/>
            <w:vAlign w:val="center"/>
          </w:tcPr>
          <w:p w:rsidR="008F5410" w:rsidRPr="00BF148D" w:rsidRDefault="008F5410" w:rsidP="00224858">
            <w:pPr>
              <w:pStyle w:val="TableText0"/>
              <w:jc w:val="center"/>
            </w:pPr>
            <w:r w:rsidRPr="00BF148D">
              <w:t>43.9%</w:t>
            </w:r>
          </w:p>
        </w:tc>
        <w:tc>
          <w:tcPr>
            <w:tcW w:w="1102" w:type="pct"/>
            <w:vAlign w:val="center"/>
          </w:tcPr>
          <w:p w:rsidR="008F5410" w:rsidRPr="00BF148D" w:rsidRDefault="008F5410" w:rsidP="00224858">
            <w:pPr>
              <w:pStyle w:val="TableText0"/>
              <w:jc w:val="center"/>
            </w:pPr>
            <w:r w:rsidRPr="00BF148D">
              <w:t>26.2%</w:t>
            </w:r>
          </w:p>
        </w:tc>
        <w:tc>
          <w:tcPr>
            <w:tcW w:w="915" w:type="pct"/>
            <w:vAlign w:val="center"/>
          </w:tcPr>
          <w:p w:rsidR="008F5410" w:rsidRPr="00BF148D" w:rsidRDefault="008F5410" w:rsidP="00224858">
            <w:pPr>
              <w:pStyle w:val="TableText0"/>
              <w:jc w:val="center"/>
            </w:pPr>
            <w:r w:rsidRPr="00BF148D">
              <w:t>17.7%</w:t>
            </w:r>
          </w:p>
        </w:tc>
      </w:tr>
      <w:tr w:rsidR="008F5410" w:rsidRPr="00BF148D" w:rsidTr="0002344D">
        <w:trPr>
          <w:tblHeader/>
        </w:trPr>
        <w:tc>
          <w:tcPr>
            <w:tcW w:w="1805" w:type="pct"/>
            <w:vAlign w:val="center"/>
          </w:tcPr>
          <w:p w:rsidR="008F5410" w:rsidRPr="00BF148D" w:rsidRDefault="008F5410" w:rsidP="00224858">
            <w:pPr>
              <w:pStyle w:val="TableText0"/>
            </w:pPr>
            <w:r w:rsidRPr="00BF148D">
              <w:t>Proportion of patients seizure</w:t>
            </w:r>
            <w:r w:rsidR="00EA374F" w:rsidRPr="00BF148D">
              <w:t>-</w:t>
            </w:r>
            <w:r w:rsidRPr="00BF148D">
              <w:t xml:space="preserve">free </w:t>
            </w:r>
          </w:p>
        </w:tc>
        <w:tc>
          <w:tcPr>
            <w:tcW w:w="1178" w:type="pct"/>
            <w:vAlign w:val="center"/>
          </w:tcPr>
          <w:p w:rsidR="008F5410" w:rsidRPr="00BF148D" w:rsidRDefault="008F5410" w:rsidP="00224858">
            <w:pPr>
              <w:pStyle w:val="TableText0"/>
              <w:jc w:val="center"/>
            </w:pPr>
            <w:r w:rsidRPr="00BF148D">
              <w:t>3.0%</w:t>
            </w:r>
          </w:p>
        </w:tc>
        <w:tc>
          <w:tcPr>
            <w:tcW w:w="1102" w:type="pct"/>
            <w:vAlign w:val="center"/>
          </w:tcPr>
          <w:p w:rsidR="008F5410" w:rsidRPr="00BF148D" w:rsidRDefault="008F5410" w:rsidP="00224858">
            <w:pPr>
              <w:pStyle w:val="TableText0"/>
              <w:jc w:val="center"/>
            </w:pPr>
            <w:r w:rsidRPr="00BF148D">
              <w:t>1.5%</w:t>
            </w:r>
          </w:p>
        </w:tc>
        <w:tc>
          <w:tcPr>
            <w:tcW w:w="915" w:type="pct"/>
            <w:vAlign w:val="center"/>
          </w:tcPr>
          <w:p w:rsidR="008F5410" w:rsidRPr="00BF148D" w:rsidRDefault="008F5410" w:rsidP="00224858">
            <w:pPr>
              <w:pStyle w:val="TableText0"/>
              <w:jc w:val="center"/>
            </w:pPr>
            <w:r w:rsidRPr="00BF148D">
              <w:t>1.50%</w:t>
            </w:r>
          </w:p>
        </w:tc>
      </w:tr>
      <w:tr w:rsidR="008F5410" w:rsidRPr="00BF148D" w:rsidTr="0002344D">
        <w:trPr>
          <w:tblHeader/>
        </w:trPr>
        <w:tc>
          <w:tcPr>
            <w:tcW w:w="4085" w:type="pct"/>
            <w:gridSpan w:val="3"/>
            <w:vAlign w:val="center"/>
          </w:tcPr>
          <w:p w:rsidR="008F5410" w:rsidRPr="00BF148D" w:rsidRDefault="008F5410" w:rsidP="00224858">
            <w:pPr>
              <w:pStyle w:val="TableText0"/>
            </w:pPr>
            <w:r w:rsidRPr="00BF148D">
              <w:t>Incremental cost over the trial period of 98 days</w:t>
            </w:r>
          </w:p>
        </w:tc>
        <w:tc>
          <w:tcPr>
            <w:tcW w:w="915" w:type="pct"/>
            <w:vAlign w:val="center"/>
          </w:tcPr>
          <w:p w:rsidR="008F5410" w:rsidRPr="00BF148D" w:rsidRDefault="008F5410" w:rsidP="00224858">
            <w:pPr>
              <w:pStyle w:val="TableText0"/>
              <w:jc w:val="center"/>
            </w:pPr>
            <w:r w:rsidRPr="00BF148D">
              <w:t>$</w:t>
            </w:r>
            <w:r w:rsidR="00B451A4">
              <w:rPr>
                <w:noProof/>
                <w:color w:val="000000"/>
                <w:highlight w:val="black"/>
              </w:rPr>
              <w:t>'''''''''''''</w:t>
            </w:r>
          </w:p>
        </w:tc>
      </w:tr>
      <w:tr w:rsidR="008F5410" w:rsidRPr="00BF148D" w:rsidTr="0002344D">
        <w:trPr>
          <w:tblHeader/>
        </w:trPr>
        <w:tc>
          <w:tcPr>
            <w:tcW w:w="4085" w:type="pct"/>
            <w:gridSpan w:val="3"/>
            <w:vAlign w:val="center"/>
          </w:tcPr>
          <w:p w:rsidR="008F5410" w:rsidRPr="00BF148D" w:rsidRDefault="008F5410" w:rsidP="00224858">
            <w:pPr>
              <w:pStyle w:val="TableText0"/>
            </w:pPr>
            <w:r w:rsidRPr="00BF148D">
              <w:t>Incremental cost per patient with a 50% or greater reduction in convulsive seizures over 98 days (cost/17.7%)</w:t>
            </w:r>
          </w:p>
        </w:tc>
        <w:tc>
          <w:tcPr>
            <w:tcW w:w="915" w:type="pct"/>
            <w:vAlign w:val="center"/>
          </w:tcPr>
          <w:p w:rsidR="008F5410" w:rsidRPr="00BF148D" w:rsidRDefault="008F5410" w:rsidP="00224858">
            <w:pPr>
              <w:pStyle w:val="TableText0"/>
              <w:jc w:val="center"/>
            </w:pPr>
            <w:r w:rsidRPr="00BF148D">
              <w:t>$</w:t>
            </w:r>
            <w:r w:rsidR="00B451A4">
              <w:rPr>
                <w:noProof/>
                <w:color w:val="000000"/>
                <w:highlight w:val="black"/>
              </w:rPr>
              <w:t>''''''''''''''''</w:t>
            </w:r>
          </w:p>
        </w:tc>
      </w:tr>
      <w:tr w:rsidR="008F5410" w:rsidRPr="00BF148D" w:rsidTr="0002344D">
        <w:trPr>
          <w:tblHeader/>
        </w:trPr>
        <w:tc>
          <w:tcPr>
            <w:tcW w:w="4085" w:type="pct"/>
            <w:gridSpan w:val="3"/>
            <w:vAlign w:val="center"/>
          </w:tcPr>
          <w:p w:rsidR="008F5410" w:rsidRPr="00BF148D" w:rsidRDefault="008F5410" w:rsidP="00224858">
            <w:pPr>
              <w:pStyle w:val="TableText0"/>
            </w:pPr>
            <w:r w:rsidRPr="00BF148D">
              <w:t>Incremental cost per patient free from convulsive seizures over 98 days (cost/1.5%)</w:t>
            </w:r>
          </w:p>
        </w:tc>
        <w:tc>
          <w:tcPr>
            <w:tcW w:w="915" w:type="pct"/>
            <w:vAlign w:val="center"/>
          </w:tcPr>
          <w:p w:rsidR="008F5410" w:rsidRPr="00BF148D" w:rsidRDefault="008F5410" w:rsidP="00224858">
            <w:pPr>
              <w:pStyle w:val="TableText0"/>
              <w:jc w:val="center"/>
            </w:pPr>
            <w:r w:rsidRPr="00BF148D">
              <w:t>$</w:t>
            </w:r>
            <w:r w:rsidR="00B451A4">
              <w:rPr>
                <w:noProof/>
                <w:color w:val="000000"/>
                <w:highlight w:val="black"/>
              </w:rPr>
              <w:t>'''''''''''''''''''</w:t>
            </w:r>
          </w:p>
        </w:tc>
      </w:tr>
      <w:tr w:rsidR="008F5410" w:rsidRPr="00BF148D" w:rsidTr="0002344D">
        <w:trPr>
          <w:tblHeader/>
        </w:trPr>
        <w:tc>
          <w:tcPr>
            <w:tcW w:w="1805" w:type="pct"/>
            <w:vAlign w:val="center"/>
          </w:tcPr>
          <w:p w:rsidR="008F5410" w:rsidRPr="00BF148D" w:rsidRDefault="008F5410" w:rsidP="00224858">
            <w:pPr>
              <w:pStyle w:val="In-tableHeading"/>
              <w:rPr>
                <w:lang w:val="en-AU"/>
              </w:rPr>
            </w:pPr>
          </w:p>
        </w:tc>
        <w:tc>
          <w:tcPr>
            <w:tcW w:w="1178" w:type="pct"/>
            <w:vAlign w:val="center"/>
          </w:tcPr>
          <w:p w:rsidR="008F5410" w:rsidRPr="00BF148D" w:rsidRDefault="008F5410" w:rsidP="00224858">
            <w:pPr>
              <w:pStyle w:val="In-tableHeading"/>
              <w:jc w:val="center"/>
              <w:rPr>
                <w:lang w:val="en-AU"/>
              </w:rPr>
            </w:pPr>
            <w:r w:rsidRPr="00BF148D">
              <w:rPr>
                <w:lang w:val="en-AU"/>
              </w:rPr>
              <w:t>Cannabidiol 20</w:t>
            </w:r>
            <w:r w:rsidR="00114DD0" w:rsidRPr="00BF148D">
              <w:rPr>
                <w:lang w:val="en-AU"/>
              </w:rPr>
              <w:t> </w:t>
            </w:r>
            <w:r w:rsidRPr="00BF148D">
              <w:rPr>
                <w:lang w:val="en-AU"/>
              </w:rPr>
              <w:t>mg/kg/day</w:t>
            </w:r>
          </w:p>
        </w:tc>
        <w:tc>
          <w:tcPr>
            <w:tcW w:w="1102" w:type="pct"/>
            <w:vAlign w:val="center"/>
          </w:tcPr>
          <w:p w:rsidR="008F5410" w:rsidRPr="00BF148D" w:rsidRDefault="008F5410" w:rsidP="00224858">
            <w:pPr>
              <w:pStyle w:val="In-tableHeading"/>
              <w:jc w:val="center"/>
              <w:rPr>
                <w:lang w:val="en-AU"/>
              </w:rPr>
            </w:pPr>
            <w:r w:rsidRPr="00BF148D">
              <w:rPr>
                <w:lang w:val="en-AU"/>
              </w:rPr>
              <w:t>Placebo</w:t>
            </w:r>
          </w:p>
        </w:tc>
        <w:tc>
          <w:tcPr>
            <w:tcW w:w="915" w:type="pct"/>
            <w:vAlign w:val="center"/>
          </w:tcPr>
          <w:p w:rsidR="008F5410" w:rsidRPr="00BF148D" w:rsidRDefault="008F5410" w:rsidP="00224858">
            <w:pPr>
              <w:pStyle w:val="In-tableHeading"/>
              <w:jc w:val="center"/>
              <w:rPr>
                <w:lang w:val="en-AU"/>
              </w:rPr>
            </w:pPr>
            <w:r w:rsidRPr="00BF148D">
              <w:rPr>
                <w:lang w:val="en-AU"/>
              </w:rPr>
              <w:t>Increment</w:t>
            </w:r>
          </w:p>
        </w:tc>
      </w:tr>
      <w:tr w:rsidR="008F5410" w:rsidRPr="00BF148D" w:rsidTr="0002344D">
        <w:trPr>
          <w:tblHeader/>
        </w:trPr>
        <w:tc>
          <w:tcPr>
            <w:tcW w:w="1805" w:type="pct"/>
            <w:vAlign w:val="center"/>
          </w:tcPr>
          <w:p w:rsidR="008F5410" w:rsidRPr="00BF148D" w:rsidRDefault="00EA374F" w:rsidP="00224858">
            <w:pPr>
              <w:pStyle w:val="TableText0"/>
            </w:pPr>
            <w:r w:rsidRPr="00BF148D">
              <w:t>Cannabidiol c</w:t>
            </w:r>
            <w:r w:rsidR="008F5410" w:rsidRPr="00BF148D">
              <w:t>osts*</w:t>
            </w:r>
          </w:p>
        </w:tc>
        <w:tc>
          <w:tcPr>
            <w:tcW w:w="1178" w:type="pct"/>
            <w:vAlign w:val="center"/>
          </w:tcPr>
          <w:p w:rsidR="008F5410" w:rsidRPr="00BF148D" w:rsidRDefault="008F5410" w:rsidP="00224858">
            <w:pPr>
              <w:pStyle w:val="TableText0"/>
              <w:jc w:val="center"/>
              <w:rPr>
                <w:b/>
              </w:rPr>
            </w:pPr>
            <w:r w:rsidRPr="00BF148D">
              <w:t>$</w:t>
            </w:r>
            <w:r w:rsidR="00B451A4">
              <w:rPr>
                <w:noProof/>
                <w:color w:val="000000"/>
                <w:highlight w:val="black"/>
              </w:rPr>
              <w:t>'''''''''''''''</w:t>
            </w:r>
          </w:p>
        </w:tc>
        <w:tc>
          <w:tcPr>
            <w:tcW w:w="1102" w:type="pct"/>
            <w:vAlign w:val="center"/>
          </w:tcPr>
          <w:p w:rsidR="008F5410" w:rsidRPr="00BF148D" w:rsidRDefault="008F5410" w:rsidP="00224858">
            <w:pPr>
              <w:pStyle w:val="TableText0"/>
              <w:jc w:val="center"/>
              <w:rPr>
                <w:b/>
              </w:rPr>
            </w:pPr>
            <w:r w:rsidRPr="00BF148D">
              <w:t>$0</w:t>
            </w:r>
          </w:p>
        </w:tc>
        <w:tc>
          <w:tcPr>
            <w:tcW w:w="915" w:type="pct"/>
            <w:vAlign w:val="center"/>
          </w:tcPr>
          <w:p w:rsidR="008F5410" w:rsidRPr="00BF148D" w:rsidRDefault="008F5410" w:rsidP="00224858">
            <w:pPr>
              <w:pStyle w:val="TableText0"/>
              <w:jc w:val="center"/>
            </w:pPr>
            <w:r w:rsidRPr="00BF148D">
              <w:t>$</w:t>
            </w:r>
            <w:r w:rsidR="00B451A4">
              <w:rPr>
                <w:noProof/>
                <w:color w:val="000000"/>
                <w:highlight w:val="black"/>
              </w:rPr>
              <w:t>''''''''''''''''''</w:t>
            </w:r>
          </w:p>
        </w:tc>
      </w:tr>
      <w:tr w:rsidR="008F5410" w:rsidRPr="00BF148D" w:rsidTr="0002344D">
        <w:trPr>
          <w:tblHeader/>
        </w:trPr>
        <w:tc>
          <w:tcPr>
            <w:tcW w:w="1805" w:type="pct"/>
            <w:vAlign w:val="center"/>
          </w:tcPr>
          <w:p w:rsidR="008F5410" w:rsidRPr="00BF148D" w:rsidRDefault="008F5410" w:rsidP="00224858">
            <w:pPr>
              <w:pStyle w:val="TableText0"/>
            </w:pPr>
            <w:r w:rsidRPr="00BF148D">
              <w:t>Proportion of patients with at least a 50% reduction in convulsive seizures</w:t>
            </w:r>
          </w:p>
        </w:tc>
        <w:tc>
          <w:tcPr>
            <w:tcW w:w="1178" w:type="pct"/>
            <w:vAlign w:val="center"/>
          </w:tcPr>
          <w:p w:rsidR="008F5410" w:rsidRPr="00BF148D" w:rsidRDefault="008F5410" w:rsidP="00224858">
            <w:pPr>
              <w:pStyle w:val="TableText0"/>
              <w:jc w:val="center"/>
              <w:rPr>
                <w:b/>
              </w:rPr>
            </w:pPr>
            <w:r w:rsidRPr="00BF148D">
              <w:t>49.3%</w:t>
            </w:r>
          </w:p>
        </w:tc>
        <w:tc>
          <w:tcPr>
            <w:tcW w:w="1102" w:type="pct"/>
            <w:vAlign w:val="center"/>
          </w:tcPr>
          <w:p w:rsidR="008F5410" w:rsidRPr="00BF148D" w:rsidRDefault="008F5410" w:rsidP="00224858">
            <w:pPr>
              <w:pStyle w:val="TableText0"/>
              <w:jc w:val="center"/>
              <w:rPr>
                <w:b/>
              </w:rPr>
            </w:pPr>
            <w:r w:rsidRPr="00BF148D">
              <w:t>26.2%</w:t>
            </w:r>
          </w:p>
        </w:tc>
        <w:tc>
          <w:tcPr>
            <w:tcW w:w="915" w:type="pct"/>
            <w:vAlign w:val="center"/>
          </w:tcPr>
          <w:p w:rsidR="008F5410" w:rsidRPr="00BF148D" w:rsidRDefault="008F5410" w:rsidP="00224858">
            <w:pPr>
              <w:pStyle w:val="TableText0"/>
              <w:jc w:val="center"/>
            </w:pPr>
            <w:r w:rsidRPr="00BF148D">
              <w:t>23.1%</w:t>
            </w:r>
          </w:p>
        </w:tc>
      </w:tr>
      <w:tr w:rsidR="008F5410" w:rsidRPr="00BF148D" w:rsidTr="0002344D">
        <w:trPr>
          <w:tblHeader/>
        </w:trPr>
        <w:tc>
          <w:tcPr>
            <w:tcW w:w="1805" w:type="pct"/>
            <w:vAlign w:val="center"/>
          </w:tcPr>
          <w:p w:rsidR="008F5410" w:rsidRPr="00BF148D" w:rsidRDefault="008F5410" w:rsidP="00224858">
            <w:pPr>
              <w:pStyle w:val="TableText0"/>
            </w:pPr>
            <w:r w:rsidRPr="00BF148D">
              <w:t xml:space="preserve">Proportion of patients seizure free </w:t>
            </w:r>
          </w:p>
        </w:tc>
        <w:tc>
          <w:tcPr>
            <w:tcW w:w="1178" w:type="pct"/>
            <w:vAlign w:val="center"/>
          </w:tcPr>
          <w:p w:rsidR="008F5410" w:rsidRPr="00BF148D" w:rsidRDefault="008F5410" w:rsidP="00224858">
            <w:pPr>
              <w:pStyle w:val="TableText0"/>
              <w:jc w:val="center"/>
              <w:rPr>
                <w:b/>
              </w:rPr>
            </w:pPr>
            <w:r w:rsidRPr="00BF148D">
              <w:t>4.5%</w:t>
            </w:r>
          </w:p>
        </w:tc>
        <w:tc>
          <w:tcPr>
            <w:tcW w:w="1102" w:type="pct"/>
            <w:vAlign w:val="center"/>
          </w:tcPr>
          <w:p w:rsidR="008F5410" w:rsidRPr="00BF148D" w:rsidRDefault="008F5410" w:rsidP="00224858">
            <w:pPr>
              <w:pStyle w:val="TableText0"/>
              <w:jc w:val="center"/>
              <w:rPr>
                <w:b/>
              </w:rPr>
            </w:pPr>
            <w:r w:rsidRPr="00BF148D">
              <w:t>1.5%</w:t>
            </w:r>
          </w:p>
        </w:tc>
        <w:tc>
          <w:tcPr>
            <w:tcW w:w="915" w:type="pct"/>
            <w:vAlign w:val="center"/>
          </w:tcPr>
          <w:p w:rsidR="008F5410" w:rsidRPr="00BF148D" w:rsidRDefault="008F5410" w:rsidP="00224858">
            <w:pPr>
              <w:pStyle w:val="TableText0"/>
              <w:jc w:val="center"/>
            </w:pPr>
            <w:r w:rsidRPr="00BF148D">
              <w:t>3.0%</w:t>
            </w:r>
          </w:p>
        </w:tc>
      </w:tr>
      <w:tr w:rsidR="00FA7EEF" w:rsidRPr="00BF148D" w:rsidTr="0002344D">
        <w:trPr>
          <w:tblHeader/>
        </w:trPr>
        <w:tc>
          <w:tcPr>
            <w:tcW w:w="4085" w:type="pct"/>
            <w:gridSpan w:val="3"/>
            <w:vAlign w:val="center"/>
          </w:tcPr>
          <w:p w:rsidR="00FA7EEF" w:rsidRPr="00BF148D" w:rsidRDefault="00FA7EEF" w:rsidP="00224858">
            <w:pPr>
              <w:pStyle w:val="TableText0"/>
            </w:pPr>
            <w:r w:rsidRPr="00BF148D">
              <w:t>Incremental cost over 98 days</w:t>
            </w:r>
          </w:p>
        </w:tc>
        <w:tc>
          <w:tcPr>
            <w:tcW w:w="915" w:type="pct"/>
            <w:vAlign w:val="center"/>
          </w:tcPr>
          <w:p w:rsidR="00FA7EEF" w:rsidRPr="00BF148D" w:rsidRDefault="00FA7EEF" w:rsidP="00224858">
            <w:pPr>
              <w:pStyle w:val="TableText0"/>
              <w:jc w:val="center"/>
            </w:pPr>
            <w:r w:rsidRPr="00BF148D">
              <w:t>$</w:t>
            </w:r>
            <w:r w:rsidR="00B451A4">
              <w:rPr>
                <w:noProof/>
                <w:color w:val="000000"/>
                <w:highlight w:val="black"/>
              </w:rPr>
              <w:t>'''''''''''''''''</w:t>
            </w:r>
          </w:p>
        </w:tc>
      </w:tr>
      <w:tr w:rsidR="008F5410" w:rsidRPr="00BF148D" w:rsidTr="0002344D">
        <w:trPr>
          <w:tblHeader/>
        </w:trPr>
        <w:tc>
          <w:tcPr>
            <w:tcW w:w="4085" w:type="pct"/>
            <w:gridSpan w:val="3"/>
            <w:vAlign w:val="center"/>
          </w:tcPr>
          <w:p w:rsidR="008F5410" w:rsidRPr="00BF148D" w:rsidRDefault="008F5410" w:rsidP="00224858">
            <w:pPr>
              <w:pStyle w:val="TableText0"/>
            </w:pPr>
            <w:r w:rsidRPr="00BF148D">
              <w:t>Incremental cost per patient with a 50% or greater reduction in convulsive seizures over 98 days (cost/23.1%)</w:t>
            </w:r>
          </w:p>
        </w:tc>
        <w:tc>
          <w:tcPr>
            <w:tcW w:w="915" w:type="pct"/>
            <w:vAlign w:val="center"/>
          </w:tcPr>
          <w:p w:rsidR="008F5410" w:rsidRPr="00BF148D" w:rsidRDefault="008F5410" w:rsidP="00224858">
            <w:pPr>
              <w:pStyle w:val="TableText0"/>
              <w:jc w:val="center"/>
            </w:pPr>
            <w:r w:rsidRPr="00BF148D">
              <w:t>$</w:t>
            </w:r>
            <w:r w:rsidR="00B451A4">
              <w:rPr>
                <w:noProof/>
                <w:color w:val="000000"/>
                <w:highlight w:val="black"/>
              </w:rPr>
              <w:t>''''''''''''''''</w:t>
            </w:r>
          </w:p>
        </w:tc>
      </w:tr>
      <w:tr w:rsidR="008F5410" w:rsidRPr="00BF148D" w:rsidTr="0002344D">
        <w:trPr>
          <w:tblHeader/>
        </w:trPr>
        <w:tc>
          <w:tcPr>
            <w:tcW w:w="4085" w:type="pct"/>
            <w:gridSpan w:val="3"/>
            <w:vAlign w:val="center"/>
          </w:tcPr>
          <w:p w:rsidR="008F5410" w:rsidRPr="00BF148D" w:rsidRDefault="008F5410" w:rsidP="00224858">
            <w:pPr>
              <w:pStyle w:val="TableText0"/>
            </w:pPr>
            <w:r w:rsidRPr="00BF148D">
              <w:t>Incremental cost per patient free from convulsive seizures over 98 days (cost/3.0%)</w:t>
            </w:r>
          </w:p>
        </w:tc>
        <w:tc>
          <w:tcPr>
            <w:tcW w:w="915" w:type="pct"/>
            <w:vAlign w:val="center"/>
          </w:tcPr>
          <w:p w:rsidR="008F5410" w:rsidRPr="00BF148D" w:rsidRDefault="008F5410" w:rsidP="00224858">
            <w:pPr>
              <w:pStyle w:val="TableText0"/>
              <w:jc w:val="center"/>
            </w:pPr>
            <w:r w:rsidRPr="00BF148D">
              <w:t>$</w:t>
            </w:r>
            <w:r w:rsidR="00B451A4">
              <w:rPr>
                <w:noProof/>
                <w:color w:val="000000"/>
                <w:highlight w:val="black"/>
              </w:rPr>
              <w:t>''''''''''''''''''''''</w:t>
            </w:r>
          </w:p>
        </w:tc>
      </w:tr>
      <w:tr w:rsidR="008F5410" w:rsidRPr="00BF148D" w:rsidTr="005C7A19">
        <w:trPr>
          <w:tblHeader/>
        </w:trPr>
        <w:tc>
          <w:tcPr>
            <w:tcW w:w="5000" w:type="pct"/>
            <w:gridSpan w:val="4"/>
            <w:vAlign w:val="center"/>
          </w:tcPr>
          <w:p w:rsidR="008F5410" w:rsidRPr="00BF148D" w:rsidRDefault="008F5410" w:rsidP="00224858">
            <w:pPr>
              <w:pStyle w:val="In-tableHeading"/>
              <w:rPr>
                <w:lang w:val="en-AU"/>
              </w:rPr>
            </w:pPr>
            <w:r w:rsidRPr="00BF148D">
              <w:rPr>
                <w:lang w:val="en-AU"/>
              </w:rPr>
              <w:t xml:space="preserve">Time horizon extended to 1 year using modelled data (no carer disutilities) </w:t>
            </w:r>
          </w:p>
        </w:tc>
      </w:tr>
      <w:tr w:rsidR="008F5410" w:rsidRPr="00BF148D" w:rsidTr="0002344D">
        <w:trPr>
          <w:tblHeader/>
        </w:trPr>
        <w:tc>
          <w:tcPr>
            <w:tcW w:w="1805" w:type="pct"/>
            <w:vAlign w:val="center"/>
          </w:tcPr>
          <w:p w:rsidR="008F5410" w:rsidRPr="00BF148D" w:rsidRDefault="008F5410" w:rsidP="00224858">
            <w:pPr>
              <w:pStyle w:val="TableText0"/>
              <w:rPr>
                <w:rFonts w:ascii="Times" w:hAnsi="Times"/>
              </w:rPr>
            </w:pPr>
            <w:r w:rsidRPr="00BF148D">
              <w:t>Costs</w:t>
            </w:r>
          </w:p>
        </w:tc>
        <w:tc>
          <w:tcPr>
            <w:tcW w:w="117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02" w:type="pct"/>
            <w:vAlign w:val="center"/>
          </w:tcPr>
          <w:p w:rsidR="008F5410" w:rsidRPr="00BF148D" w:rsidRDefault="008F5410" w:rsidP="00224858">
            <w:pPr>
              <w:pStyle w:val="TableText0"/>
              <w:jc w:val="center"/>
              <w:rPr>
                <w:rFonts w:ascii="Times" w:hAnsi="Times"/>
              </w:rPr>
            </w:pPr>
            <w:r w:rsidRPr="00BF148D">
              <w:t>$56,299</w:t>
            </w:r>
          </w:p>
        </w:tc>
        <w:tc>
          <w:tcPr>
            <w:tcW w:w="915"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rPr>
          <w:tblHeader/>
        </w:trPr>
        <w:tc>
          <w:tcPr>
            <w:tcW w:w="1805" w:type="pct"/>
            <w:vAlign w:val="center"/>
          </w:tcPr>
          <w:p w:rsidR="008F5410" w:rsidRPr="00BF148D" w:rsidRDefault="008F5410" w:rsidP="00224858">
            <w:pPr>
              <w:pStyle w:val="TableText0"/>
              <w:rPr>
                <w:rFonts w:ascii="Times" w:hAnsi="Times"/>
              </w:rPr>
            </w:pPr>
            <w:r w:rsidRPr="00BF148D">
              <w:t>QALYs</w:t>
            </w:r>
          </w:p>
        </w:tc>
        <w:tc>
          <w:tcPr>
            <w:tcW w:w="1178" w:type="pct"/>
            <w:vAlign w:val="center"/>
          </w:tcPr>
          <w:p w:rsidR="008F5410" w:rsidRPr="00BF148D" w:rsidRDefault="008F5410" w:rsidP="00224858">
            <w:pPr>
              <w:pStyle w:val="TableText0"/>
              <w:jc w:val="center"/>
              <w:rPr>
                <w:rFonts w:ascii="Times" w:hAnsi="Times"/>
              </w:rPr>
            </w:pPr>
            <w:r w:rsidRPr="00BF148D">
              <w:t>0.47</w:t>
            </w:r>
          </w:p>
        </w:tc>
        <w:tc>
          <w:tcPr>
            <w:tcW w:w="1102" w:type="pct"/>
            <w:vAlign w:val="center"/>
          </w:tcPr>
          <w:p w:rsidR="008F5410" w:rsidRPr="00BF148D" w:rsidRDefault="008F5410" w:rsidP="00224858">
            <w:pPr>
              <w:pStyle w:val="TableText0"/>
              <w:jc w:val="center"/>
              <w:rPr>
                <w:rFonts w:ascii="Times" w:hAnsi="Times"/>
              </w:rPr>
            </w:pPr>
            <w:r w:rsidRPr="00BF148D">
              <w:t>0.43</w:t>
            </w:r>
          </w:p>
        </w:tc>
        <w:tc>
          <w:tcPr>
            <w:tcW w:w="915" w:type="pct"/>
            <w:vAlign w:val="center"/>
          </w:tcPr>
          <w:p w:rsidR="008F5410" w:rsidRPr="00BF148D" w:rsidRDefault="008F5410" w:rsidP="00224858">
            <w:pPr>
              <w:pStyle w:val="TableText0"/>
              <w:jc w:val="center"/>
            </w:pPr>
            <w:r w:rsidRPr="00BF148D">
              <w:t>0.03</w:t>
            </w:r>
          </w:p>
        </w:tc>
      </w:tr>
      <w:tr w:rsidR="008F5410" w:rsidRPr="00BF148D" w:rsidTr="0002344D">
        <w:trPr>
          <w:tblHeader/>
        </w:trPr>
        <w:tc>
          <w:tcPr>
            <w:tcW w:w="4085" w:type="pct"/>
            <w:gridSpan w:val="3"/>
            <w:vAlign w:val="center"/>
          </w:tcPr>
          <w:p w:rsidR="008F5410" w:rsidRPr="00BF148D" w:rsidRDefault="008F5410" w:rsidP="00224858">
            <w:pPr>
              <w:pStyle w:val="TableText0"/>
              <w:rPr>
                <w:rFonts w:ascii="Times" w:hAnsi="Times"/>
              </w:rPr>
            </w:pPr>
            <w:r w:rsidRPr="00BF148D">
              <w:t>Incremental cost/extra QALY gained</w:t>
            </w:r>
          </w:p>
        </w:tc>
        <w:tc>
          <w:tcPr>
            <w:tcW w:w="915"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5C7A19">
        <w:trPr>
          <w:tblHeader/>
        </w:trPr>
        <w:tc>
          <w:tcPr>
            <w:tcW w:w="5000" w:type="pct"/>
            <w:gridSpan w:val="4"/>
            <w:vAlign w:val="center"/>
          </w:tcPr>
          <w:p w:rsidR="008F5410" w:rsidRPr="00BF148D" w:rsidRDefault="008F5410" w:rsidP="00224858">
            <w:pPr>
              <w:pStyle w:val="In-tableHeading"/>
              <w:rPr>
                <w:lang w:val="en-AU"/>
              </w:rPr>
            </w:pPr>
            <w:r w:rsidRPr="00BF148D">
              <w:rPr>
                <w:lang w:val="en-AU"/>
              </w:rPr>
              <w:t>Time horizon extended to 30 years using modelled data (no carer disutilities)</w:t>
            </w:r>
          </w:p>
        </w:tc>
      </w:tr>
      <w:tr w:rsidR="008F5410" w:rsidRPr="00BF148D" w:rsidTr="0002344D">
        <w:trPr>
          <w:tblHeader/>
        </w:trPr>
        <w:tc>
          <w:tcPr>
            <w:tcW w:w="1805" w:type="pct"/>
            <w:vAlign w:val="center"/>
          </w:tcPr>
          <w:p w:rsidR="008F5410" w:rsidRPr="00BF148D" w:rsidRDefault="008F5410" w:rsidP="00224858">
            <w:pPr>
              <w:pStyle w:val="TableText0"/>
              <w:rPr>
                <w:rFonts w:ascii="Times" w:hAnsi="Times"/>
              </w:rPr>
            </w:pPr>
            <w:r w:rsidRPr="00BF148D">
              <w:t>Costs</w:t>
            </w:r>
          </w:p>
        </w:tc>
        <w:tc>
          <w:tcPr>
            <w:tcW w:w="117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02" w:type="pct"/>
            <w:vAlign w:val="center"/>
          </w:tcPr>
          <w:p w:rsidR="008F5410" w:rsidRPr="00BF148D" w:rsidRDefault="008F5410" w:rsidP="00224858">
            <w:pPr>
              <w:pStyle w:val="TableText0"/>
              <w:jc w:val="center"/>
              <w:rPr>
                <w:rFonts w:ascii="Times" w:hAnsi="Times"/>
              </w:rPr>
            </w:pPr>
            <w:r w:rsidRPr="00BF148D">
              <w:t>$446,757</w:t>
            </w:r>
          </w:p>
        </w:tc>
        <w:tc>
          <w:tcPr>
            <w:tcW w:w="915"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rPr>
          <w:tblHeader/>
        </w:trPr>
        <w:tc>
          <w:tcPr>
            <w:tcW w:w="1805" w:type="pct"/>
            <w:vAlign w:val="center"/>
          </w:tcPr>
          <w:p w:rsidR="008F5410" w:rsidRPr="00BF148D" w:rsidRDefault="008F5410" w:rsidP="00224858">
            <w:pPr>
              <w:pStyle w:val="TableText0"/>
              <w:rPr>
                <w:rFonts w:ascii="Times" w:hAnsi="Times"/>
              </w:rPr>
            </w:pPr>
            <w:r w:rsidRPr="00BF148D">
              <w:t>QALYs</w:t>
            </w:r>
          </w:p>
        </w:tc>
        <w:tc>
          <w:tcPr>
            <w:tcW w:w="1178" w:type="pct"/>
            <w:vAlign w:val="center"/>
          </w:tcPr>
          <w:p w:rsidR="008F5410" w:rsidRPr="00BF148D" w:rsidRDefault="008F5410" w:rsidP="00224858">
            <w:pPr>
              <w:pStyle w:val="TableText0"/>
              <w:jc w:val="center"/>
              <w:rPr>
                <w:rFonts w:ascii="Times" w:hAnsi="Times"/>
              </w:rPr>
            </w:pPr>
            <w:r w:rsidRPr="00BF148D">
              <w:t>6.24</w:t>
            </w:r>
          </w:p>
        </w:tc>
        <w:tc>
          <w:tcPr>
            <w:tcW w:w="1102" w:type="pct"/>
            <w:vAlign w:val="center"/>
          </w:tcPr>
          <w:p w:rsidR="008F5410" w:rsidRPr="00BF148D" w:rsidRDefault="008F5410" w:rsidP="00224858">
            <w:pPr>
              <w:pStyle w:val="TableText0"/>
              <w:jc w:val="center"/>
              <w:rPr>
                <w:rFonts w:ascii="Times" w:hAnsi="Times"/>
              </w:rPr>
            </w:pPr>
            <w:r w:rsidRPr="00BF148D">
              <w:t>5.77</w:t>
            </w:r>
          </w:p>
        </w:tc>
        <w:tc>
          <w:tcPr>
            <w:tcW w:w="915" w:type="pct"/>
            <w:vAlign w:val="center"/>
          </w:tcPr>
          <w:p w:rsidR="008F5410" w:rsidRPr="00BF148D" w:rsidRDefault="008F5410" w:rsidP="00224858">
            <w:pPr>
              <w:pStyle w:val="TableText0"/>
              <w:jc w:val="center"/>
            </w:pPr>
            <w:r w:rsidRPr="00BF148D">
              <w:t>0.47</w:t>
            </w:r>
          </w:p>
        </w:tc>
      </w:tr>
      <w:tr w:rsidR="008F5410" w:rsidRPr="00BF148D" w:rsidTr="0002344D">
        <w:trPr>
          <w:tblHeader/>
        </w:trPr>
        <w:tc>
          <w:tcPr>
            <w:tcW w:w="4085" w:type="pct"/>
            <w:gridSpan w:val="3"/>
            <w:vAlign w:val="center"/>
          </w:tcPr>
          <w:p w:rsidR="008F5410" w:rsidRPr="00BF148D" w:rsidRDefault="008F5410" w:rsidP="00224858">
            <w:pPr>
              <w:pStyle w:val="TableText0"/>
              <w:rPr>
                <w:rFonts w:ascii="Times" w:hAnsi="Times"/>
                <w:b/>
              </w:rPr>
            </w:pPr>
            <w:r w:rsidRPr="00BF148D">
              <w:rPr>
                <w:b/>
              </w:rPr>
              <w:t>Incremental cost/extra QALY gained (base case)</w:t>
            </w:r>
          </w:p>
        </w:tc>
        <w:tc>
          <w:tcPr>
            <w:tcW w:w="915" w:type="pct"/>
            <w:vAlign w:val="center"/>
          </w:tcPr>
          <w:p w:rsidR="008F5410" w:rsidRPr="00BF148D" w:rsidRDefault="008F5410" w:rsidP="00224858">
            <w:pPr>
              <w:pStyle w:val="TableText0"/>
              <w:jc w:val="center"/>
              <w:rPr>
                <w:rFonts w:ascii="Times" w:hAnsi="Times"/>
                <w:b/>
              </w:rPr>
            </w:pPr>
            <w:r w:rsidRPr="00BF148D">
              <w:rPr>
                <w:b/>
              </w:rPr>
              <w:t>$</w:t>
            </w:r>
            <w:r w:rsidR="00B451A4">
              <w:rPr>
                <w:b/>
                <w:noProof/>
                <w:color w:val="000000"/>
                <w:highlight w:val="black"/>
              </w:rPr>
              <w:t>'''''''''''''</w:t>
            </w:r>
          </w:p>
        </w:tc>
      </w:tr>
      <w:tr w:rsidR="008F5410" w:rsidRPr="00BF148D" w:rsidTr="005C7A19">
        <w:trPr>
          <w:tblHeader/>
        </w:trPr>
        <w:tc>
          <w:tcPr>
            <w:tcW w:w="5000" w:type="pct"/>
            <w:gridSpan w:val="4"/>
            <w:vAlign w:val="center"/>
          </w:tcPr>
          <w:p w:rsidR="008F5410" w:rsidRPr="00BF148D" w:rsidRDefault="008F5410" w:rsidP="00224858">
            <w:pPr>
              <w:pStyle w:val="In-tableHeading"/>
              <w:rPr>
                <w:lang w:val="en-AU"/>
              </w:rPr>
            </w:pPr>
            <w:r w:rsidRPr="00BF148D">
              <w:rPr>
                <w:lang w:val="en-AU"/>
              </w:rPr>
              <w:t>Time horizon extended to 30 years using modelled data (with carer disutilities) – base case in the submission</w:t>
            </w:r>
          </w:p>
        </w:tc>
      </w:tr>
      <w:tr w:rsidR="008F5410" w:rsidRPr="00BF148D" w:rsidTr="0002344D">
        <w:trPr>
          <w:tblHeader/>
        </w:trPr>
        <w:tc>
          <w:tcPr>
            <w:tcW w:w="1805" w:type="pct"/>
            <w:vAlign w:val="center"/>
          </w:tcPr>
          <w:p w:rsidR="008F5410" w:rsidRPr="00BF148D" w:rsidRDefault="008F5410" w:rsidP="00224858">
            <w:pPr>
              <w:pStyle w:val="TableText0"/>
              <w:rPr>
                <w:rFonts w:ascii="Times" w:hAnsi="Times"/>
              </w:rPr>
            </w:pPr>
            <w:r w:rsidRPr="00BF148D">
              <w:t>Costs</w:t>
            </w:r>
          </w:p>
        </w:tc>
        <w:tc>
          <w:tcPr>
            <w:tcW w:w="117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02" w:type="pct"/>
            <w:vAlign w:val="center"/>
          </w:tcPr>
          <w:p w:rsidR="008F5410" w:rsidRPr="00BF148D" w:rsidRDefault="008F5410" w:rsidP="00224858">
            <w:pPr>
              <w:pStyle w:val="TableText0"/>
              <w:jc w:val="center"/>
              <w:rPr>
                <w:rFonts w:ascii="Times" w:hAnsi="Times"/>
              </w:rPr>
            </w:pPr>
            <w:r w:rsidRPr="00BF148D">
              <w:t>$</w:t>
            </w:r>
            <w:r w:rsidRPr="003B091C">
              <w:t>446,757</w:t>
            </w:r>
          </w:p>
        </w:tc>
        <w:tc>
          <w:tcPr>
            <w:tcW w:w="915"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rPr>
          <w:tblHeader/>
        </w:trPr>
        <w:tc>
          <w:tcPr>
            <w:tcW w:w="1805" w:type="pct"/>
            <w:vAlign w:val="center"/>
          </w:tcPr>
          <w:p w:rsidR="008F5410" w:rsidRPr="00BF148D" w:rsidRDefault="008F5410" w:rsidP="00224858">
            <w:pPr>
              <w:pStyle w:val="TableText0"/>
              <w:rPr>
                <w:rFonts w:ascii="Times" w:hAnsi="Times"/>
              </w:rPr>
            </w:pPr>
            <w:r w:rsidRPr="00BF148D">
              <w:t>QALYs</w:t>
            </w:r>
          </w:p>
        </w:tc>
        <w:tc>
          <w:tcPr>
            <w:tcW w:w="1178" w:type="pct"/>
            <w:vAlign w:val="center"/>
          </w:tcPr>
          <w:p w:rsidR="008F5410" w:rsidRPr="00BF148D" w:rsidRDefault="008F5410" w:rsidP="00224858">
            <w:pPr>
              <w:pStyle w:val="TableText0"/>
              <w:jc w:val="center"/>
            </w:pPr>
            <w:r w:rsidRPr="00BF148D">
              <w:t>0.43</w:t>
            </w:r>
          </w:p>
        </w:tc>
        <w:tc>
          <w:tcPr>
            <w:tcW w:w="1102" w:type="pct"/>
            <w:vAlign w:val="center"/>
          </w:tcPr>
          <w:p w:rsidR="008F5410" w:rsidRPr="00BF148D" w:rsidRDefault="008F5410" w:rsidP="00224858">
            <w:pPr>
              <w:pStyle w:val="TableText0"/>
              <w:jc w:val="center"/>
            </w:pPr>
            <w:r w:rsidRPr="00BF148D">
              <w:t>-0.50</w:t>
            </w:r>
          </w:p>
        </w:tc>
        <w:tc>
          <w:tcPr>
            <w:tcW w:w="915" w:type="pct"/>
            <w:vAlign w:val="center"/>
          </w:tcPr>
          <w:p w:rsidR="008F5410" w:rsidRPr="00BF148D" w:rsidRDefault="008F5410" w:rsidP="00224858">
            <w:pPr>
              <w:pStyle w:val="TableText0"/>
              <w:jc w:val="center"/>
            </w:pPr>
            <w:r w:rsidRPr="00BF148D">
              <w:t>0.93</w:t>
            </w:r>
          </w:p>
        </w:tc>
      </w:tr>
      <w:tr w:rsidR="008F5410" w:rsidRPr="00BF148D" w:rsidTr="0002344D">
        <w:trPr>
          <w:tblHeader/>
        </w:trPr>
        <w:tc>
          <w:tcPr>
            <w:tcW w:w="4085" w:type="pct"/>
            <w:gridSpan w:val="3"/>
            <w:vAlign w:val="center"/>
          </w:tcPr>
          <w:p w:rsidR="008F5410" w:rsidRPr="00BF148D" w:rsidRDefault="008F5410" w:rsidP="00224858">
            <w:pPr>
              <w:pStyle w:val="TableText0"/>
              <w:rPr>
                <w:rFonts w:ascii="Times" w:hAnsi="Times"/>
                <w:b/>
              </w:rPr>
            </w:pPr>
            <w:r w:rsidRPr="00BF148D">
              <w:rPr>
                <w:b/>
              </w:rPr>
              <w:t>Incremental cost/extra QALY gained</w:t>
            </w:r>
          </w:p>
        </w:tc>
        <w:tc>
          <w:tcPr>
            <w:tcW w:w="915" w:type="pct"/>
            <w:vAlign w:val="center"/>
          </w:tcPr>
          <w:p w:rsidR="008F5410" w:rsidRPr="00BF148D" w:rsidRDefault="008F5410" w:rsidP="00224858">
            <w:pPr>
              <w:pStyle w:val="TableText0"/>
              <w:jc w:val="center"/>
              <w:rPr>
                <w:rFonts w:ascii="Times" w:hAnsi="Times"/>
                <w:b/>
              </w:rPr>
            </w:pPr>
            <w:r w:rsidRPr="00BF148D">
              <w:rPr>
                <w:b/>
              </w:rPr>
              <w:t>$</w:t>
            </w:r>
            <w:r w:rsidR="00B451A4">
              <w:rPr>
                <w:b/>
                <w:noProof/>
                <w:color w:val="000000"/>
                <w:highlight w:val="black"/>
              </w:rPr>
              <w:t>'''''''''''''</w:t>
            </w:r>
          </w:p>
        </w:tc>
      </w:tr>
    </w:tbl>
    <w:p w:rsidR="00580552" w:rsidRPr="00BF148D" w:rsidRDefault="00814C2E" w:rsidP="00224858">
      <w:pPr>
        <w:pStyle w:val="TableFigureFooter"/>
      </w:pPr>
      <w:r w:rsidRPr="00BF148D">
        <w:t xml:space="preserve">DS Dravet Syndrome; </w:t>
      </w:r>
      <w:r w:rsidR="00580552" w:rsidRPr="00BF148D">
        <w:t>QALY = quality adjusted life year</w:t>
      </w:r>
    </w:p>
    <w:p w:rsidR="008F5410" w:rsidRPr="00BF148D" w:rsidRDefault="00A60C70" w:rsidP="00224858">
      <w:pPr>
        <w:pStyle w:val="TableFigureFooter"/>
      </w:pPr>
      <w:r w:rsidRPr="00BF148D">
        <w:t>*</w:t>
      </w:r>
      <w:r w:rsidR="008F5410" w:rsidRPr="00BF148D">
        <w:t>Cost for 20 mg/kg/day over 98 days plus 2 physician treatment visits at $195 per visit, in line with the submission’s assumptions for the 10 mg/kg/day dose</w:t>
      </w:r>
    </w:p>
    <w:p w:rsidR="008F5410" w:rsidRDefault="008F5410" w:rsidP="00224858">
      <w:pPr>
        <w:pStyle w:val="TableFigureFooter"/>
      </w:pPr>
      <w:r w:rsidRPr="00BF148D">
        <w:t>Source: Table 110, p191 of the submission and constructed during the evaluation.</w:t>
      </w:r>
    </w:p>
    <w:p w:rsidR="00F46F5E" w:rsidRDefault="00F46F5E" w:rsidP="00224858">
      <w:pPr>
        <w:pStyle w:val="TableFigureFooter"/>
      </w:pPr>
    </w:p>
    <w:p w:rsidR="00F46F5E" w:rsidRPr="00F46F5E" w:rsidRDefault="00F46F5E" w:rsidP="00224858">
      <w:pPr>
        <w:pStyle w:val="TableFigureFooter"/>
        <w:rPr>
          <w:rFonts w:ascii="Calibri" w:hAnsi="Calibri" w:cs="Calibri"/>
          <w:i/>
          <w:sz w:val="24"/>
        </w:rPr>
      </w:pPr>
      <w:r>
        <w:rPr>
          <w:rFonts w:ascii="Calibri" w:hAnsi="Calibri" w:cs="Calibri"/>
          <w:i/>
          <w:sz w:val="24"/>
        </w:rPr>
        <w:t>The redacted table show</w:t>
      </w:r>
      <w:r w:rsidR="00864873">
        <w:rPr>
          <w:rFonts w:ascii="Calibri" w:hAnsi="Calibri" w:cs="Calibri"/>
          <w:i/>
          <w:sz w:val="24"/>
        </w:rPr>
        <w:t xml:space="preserve">s the base case ICER (no carer disutilities) in the range of $75,000 to &lt; $95,000 per QALY, versus an ICER (with carer disutilities) in the range of $35,000 to &lt; $45,000 per QALY. </w:t>
      </w:r>
    </w:p>
    <w:p w:rsidR="001862A9" w:rsidRPr="00BF148D" w:rsidRDefault="001862A9" w:rsidP="001862A9">
      <w:pPr>
        <w:pStyle w:val="3-BodyText"/>
      </w:pPr>
      <w:r w:rsidRPr="00BF148D">
        <w:lastRenderedPageBreak/>
        <w:t>The ESC noted the ICER for the 30 year time horizon without allowing for carer disutilities was approximately twice that of stiripentol (</w:t>
      </w:r>
      <w:r w:rsidR="00053D8B">
        <w:t>$35,000 to &lt; $45,000</w:t>
      </w:r>
      <w:r w:rsidR="00CE350C" w:rsidRPr="00BF148D">
        <w:t xml:space="preserve"> per </w:t>
      </w:r>
      <w:r w:rsidRPr="00BF148D">
        <w:t>QALY</w:t>
      </w:r>
      <w:r w:rsidR="00CE350C" w:rsidRPr="00BF148D">
        <w:t xml:space="preserve"> gained</w:t>
      </w:r>
      <w:r w:rsidRPr="00BF148D">
        <w:t>) (</w:t>
      </w:r>
      <w:r w:rsidR="00CE350C" w:rsidRPr="00BF148D">
        <w:t xml:space="preserve">Table 11, stiripentol </w:t>
      </w:r>
      <w:r w:rsidR="000E332F">
        <w:t>PSD</w:t>
      </w:r>
      <w:r w:rsidR="00CE350C" w:rsidRPr="00BF148D">
        <w:t>, March 2020 PBAC</w:t>
      </w:r>
      <w:r w:rsidR="00580552" w:rsidRPr="00BF148D">
        <w:t xml:space="preserve"> m</w:t>
      </w:r>
      <w:r w:rsidR="00CE350C" w:rsidRPr="00BF148D">
        <w:t>eeting</w:t>
      </w:r>
      <w:r w:rsidRPr="00BF148D">
        <w:t>).</w:t>
      </w:r>
      <w:r w:rsidR="00A60C70" w:rsidRPr="00BF148D">
        <w:t xml:space="preserve"> </w:t>
      </w:r>
    </w:p>
    <w:p w:rsidR="007827EC" w:rsidRPr="00BF148D" w:rsidRDefault="008F5410" w:rsidP="00224858">
      <w:pPr>
        <w:pStyle w:val="3-BodyText"/>
        <w:keepNext/>
        <w:numPr>
          <w:ilvl w:val="0"/>
          <w:numId w:val="0"/>
        </w:numPr>
        <w:spacing w:after="0"/>
        <w:rPr>
          <w:rFonts w:ascii="Arial Narrow" w:hAnsi="Arial Narrow"/>
          <w:b/>
          <w:sz w:val="20"/>
          <w:szCs w:val="20"/>
        </w:rPr>
      </w:pPr>
      <w:bookmarkStart w:id="54" w:name="_Ref39813012"/>
      <w:r w:rsidRPr="00BF148D">
        <w:rPr>
          <w:rFonts w:ascii="Arial Narrow" w:hAnsi="Arial Narrow"/>
          <w:b/>
          <w:sz w:val="20"/>
          <w:szCs w:val="20"/>
        </w:rPr>
        <w:t xml:space="preserve">Table </w:t>
      </w:r>
      <w:r w:rsidR="00580552" w:rsidRPr="00BF148D">
        <w:rPr>
          <w:rFonts w:ascii="Arial Narrow" w:hAnsi="Arial Narrow"/>
          <w:b/>
          <w:sz w:val="20"/>
          <w:szCs w:val="20"/>
        </w:rPr>
        <w:t>10</w:t>
      </w:r>
      <w:bookmarkEnd w:id="54"/>
      <w:r w:rsidR="007827EC" w:rsidRPr="00BF148D">
        <w:rPr>
          <w:rFonts w:ascii="Arial Narrow" w:hAnsi="Arial Narrow"/>
          <w:b/>
          <w:sz w:val="20"/>
          <w:szCs w:val="20"/>
        </w:rPr>
        <w:t>: Results of the stepped economic evaluation: LGS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5"/>
        <w:gridCol w:w="2269"/>
        <w:gridCol w:w="2124"/>
        <w:gridCol w:w="1509"/>
      </w:tblGrid>
      <w:tr w:rsidR="008F5410" w:rsidRPr="00BF148D" w:rsidTr="0002344D">
        <w:trPr>
          <w:tblHeader/>
        </w:trPr>
        <w:tc>
          <w:tcPr>
            <w:tcW w:w="1727" w:type="pct"/>
            <w:vAlign w:val="center"/>
          </w:tcPr>
          <w:p w:rsidR="008F5410" w:rsidRPr="00BF148D" w:rsidRDefault="008F5410" w:rsidP="00224858">
            <w:pPr>
              <w:pStyle w:val="In-tableHeading"/>
              <w:rPr>
                <w:lang w:val="en-AU"/>
              </w:rPr>
            </w:pPr>
            <w:r w:rsidRPr="00BF148D">
              <w:rPr>
                <w:lang w:val="en-AU"/>
              </w:rPr>
              <w:t>Step and component</w:t>
            </w:r>
          </w:p>
        </w:tc>
        <w:tc>
          <w:tcPr>
            <w:tcW w:w="1258" w:type="pct"/>
            <w:vAlign w:val="center"/>
          </w:tcPr>
          <w:p w:rsidR="008F5410" w:rsidRPr="00BF148D" w:rsidRDefault="008F5410" w:rsidP="00224858">
            <w:pPr>
              <w:pStyle w:val="In-tableHeading"/>
              <w:jc w:val="center"/>
              <w:rPr>
                <w:lang w:val="en-AU"/>
              </w:rPr>
            </w:pPr>
            <w:r w:rsidRPr="00BF148D">
              <w:rPr>
                <w:lang w:val="en-AU"/>
              </w:rPr>
              <w:t>Cannabidiol 10 mg/kg/day</w:t>
            </w:r>
          </w:p>
        </w:tc>
        <w:tc>
          <w:tcPr>
            <w:tcW w:w="1178" w:type="pct"/>
            <w:vAlign w:val="center"/>
          </w:tcPr>
          <w:p w:rsidR="008F5410" w:rsidRPr="00BF148D" w:rsidRDefault="008F5410" w:rsidP="00224858">
            <w:pPr>
              <w:pStyle w:val="In-tableHeading"/>
              <w:jc w:val="center"/>
              <w:rPr>
                <w:lang w:val="en-AU"/>
              </w:rPr>
            </w:pPr>
            <w:r w:rsidRPr="00BF148D">
              <w:rPr>
                <w:lang w:val="en-AU"/>
              </w:rPr>
              <w:t>Placebo</w:t>
            </w:r>
          </w:p>
        </w:tc>
        <w:tc>
          <w:tcPr>
            <w:tcW w:w="838" w:type="pct"/>
            <w:vAlign w:val="center"/>
          </w:tcPr>
          <w:p w:rsidR="008F5410" w:rsidRPr="00BF148D" w:rsidRDefault="008F5410" w:rsidP="00224858">
            <w:pPr>
              <w:pStyle w:val="In-tableHeading"/>
              <w:jc w:val="center"/>
              <w:rPr>
                <w:lang w:val="en-AU"/>
              </w:rPr>
            </w:pPr>
            <w:r w:rsidRPr="00BF148D">
              <w:rPr>
                <w:lang w:val="en-AU"/>
              </w:rPr>
              <w:t>Increment</w:t>
            </w:r>
          </w:p>
        </w:tc>
      </w:tr>
      <w:tr w:rsidR="008F5410" w:rsidRPr="00BF148D" w:rsidTr="005C7A19">
        <w:tc>
          <w:tcPr>
            <w:tcW w:w="5000" w:type="pct"/>
            <w:gridSpan w:val="4"/>
            <w:vAlign w:val="center"/>
          </w:tcPr>
          <w:p w:rsidR="008F5410" w:rsidRPr="00BF148D" w:rsidRDefault="008F5410" w:rsidP="00224858">
            <w:pPr>
              <w:pStyle w:val="TableText0"/>
            </w:pPr>
            <w:r w:rsidRPr="00BF148D">
              <w:t>LGS trial-based costs and outcomes</w:t>
            </w:r>
          </w:p>
        </w:tc>
      </w:tr>
      <w:tr w:rsidR="008F5410" w:rsidRPr="00BF148D" w:rsidTr="0002344D">
        <w:tc>
          <w:tcPr>
            <w:tcW w:w="1727" w:type="pct"/>
            <w:vAlign w:val="center"/>
          </w:tcPr>
          <w:p w:rsidR="008F5410" w:rsidRPr="00BF148D" w:rsidRDefault="002E4E87" w:rsidP="00224858">
            <w:pPr>
              <w:pStyle w:val="TableText0"/>
              <w:rPr>
                <w:rFonts w:ascii="Times" w:hAnsi="Times"/>
              </w:rPr>
            </w:pPr>
            <w:r w:rsidRPr="00BF148D">
              <w:t>Cannabidiol c</w:t>
            </w:r>
            <w:r w:rsidR="008F5410" w:rsidRPr="00BF148D">
              <w:t>osts</w:t>
            </w:r>
          </w:p>
        </w:tc>
        <w:tc>
          <w:tcPr>
            <w:tcW w:w="125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78" w:type="pct"/>
            <w:vAlign w:val="center"/>
          </w:tcPr>
          <w:p w:rsidR="008F5410" w:rsidRPr="00BF148D" w:rsidRDefault="008F5410" w:rsidP="00224858">
            <w:pPr>
              <w:pStyle w:val="TableText0"/>
              <w:jc w:val="center"/>
              <w:rPr>
                <w:rFonts w:ascii="Times" w:hAnsi="Times"/>
              </w:rPr>
            </w:pPr>
            <w:r w:rsidRPr="00BF148D">
              <w:t>$0</w:t>
            </w:r>
          </w:p>
        </w:tc>
        <w:tc>
          <w:tcPr>
            <w:tcW w:w="83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c>
          <w:tcPr>
            <w:tcW w:w="1727" w:type="pct"/>
            <w:vAlign w:val="center"/>
          </w:tcPr>
          <w:p w:rsidR="008F5410" w:rsidRPr="00BF148D" w:rsidRDefault="008F5410" w:rsidP="00224858">
            <w:pPr>
              <w:pStyle w:val="TableText0"/>
            </w:pPr>
            <w:r w:rsidRPr="00BF148D">
              <w:t>Proportion of patients with at least a 50% reduction in drop seizures</w:t>
            </w:r>
          </w:p>
        </w:tc>
        <w:tc>
          <w:tcPr>
            <w:tcW w:w="1258" w:type="pct"/>
            <w:vAlign w:val="center"/>
          </w:tcPr>
          <w:p w:rsidR="008F5410" w:rsidRPr="00BF148D" w:rsidRDefault="008F5410" w:rsidP="00224858">
            <w:pPr>
              <w:pStyle w:val="TableText0"/>
              <w:jc w:val="center"/>
            </w:pPr>
            <w:r w:rsidRPr="00BF148D">
              <w:t>35.6%</w:t>
            </w:r>
          </w:p>
        </w:tc>
        <w:tc>
          <w:tcPr>
            <w:tcW w:w="1178" w:type="pct"/>
            <w:vAlign w:val="center"/>
          </w:tcPr>
          <w:p w:rsidR="008F5410" w:rsidRPr="00BF148D" w:rsidRDefault="008F5410" w:rsidP="00224858">
            <w:pPr>
              <w:pStyle w:val="TableText0"/>
              <w:jc w:val="center"/>
            </w:pPr>
            <w:r w:rsidRPr="00BF148D">
              <w:t>14.5%</w:t>
            </w:r>
          </w:p>
        </w:tc>
        <w:tc>
          <w:tcPr>
            <w:tcW w:w="838" w:type="pct"/>
            <w:vAlign w:val="center"/>
          </w:tcPr>
          <w:p w:rsidR="008F5410" w:rsidRPr="00BF148D" w:rsidRDefault="008F5410" w:rsidP="00224858">
            <w:pPr>
              <w:pStyle w:val="TableText0"/>
              <w:jc w:val="center"/>
            </w:pPr>
            <w:r w:rsidRPr="00BF148D">
              <w:t>21.1%</w:t>
            </w:r>
          </w:p>
        </w:tc>
      </w:tr>
      <w:tr w:rsidR="008F5410" w:rsidRPr="00BF148D" w:rsidTr="005C7A19">
        <w:tc>
          <w:tcPr>
            <w:tcW w:w="4162" w:type="pct"/>
            <w:gridSpan w:val="3"/>
            <w:vAlign w:val="center"/>
          </w:tcPr>
          <w:p w:rsidR="008F5410" w:rsidRPr="00BF148D" w:rsidRDefault="008F5410" w:rsidP="00224858">
            <w:pPr>
              <w:pStyle w:val="TableText0"/>
            </w:pPr>
            <w:r w:rsidRPr="00BF148D">
              <w:t>Incremental cost over 98 days</w:t>
            </w:r>
          </w:p>
        </w:tc>
        <w:tc>
          <w:tcPr>
            <w:tcW w:w="838" w:type="pct"/>
            <w:vAlign w:val="center"/>
          </w:tcPr>
          <w:p w:rsidR="008F5410" w:rsidRPr="00BF148D" w:rsidRDefault="008F5410" w:rsidP="00224858">
            <w:pPr>
              <w:pStyle w:val="TableText0"/>
              <w:jc w:val="center"/>
            </w:pPr>
            <w:r w:rsidRPr="00BF148D">
              <w:t>$</w:t>
            </w:r>
            <w:r w:rsidR="00B451A4">
              <w:rPr>
                <w:noProof/>
                <w:color w:val="000000"/>
                <w:highlight w:val="black"/>
              </w:rPr>
              <w:t>''''''''''''''</w:t>
            </w:r>
          </w:p>
        </w:tc>
      </w:tr>
      <w:tr w:rsidR="008F5410" w:rsidRPr="00BF148D" w:rsidTr="005C7A19">
        <w:tc>
          <w:tcPr>
            <w:tcW w:w="4162" w:type="pct"/>
            <w:gridSpan w:val="3"/>
            <w:vAlign w:val="center"/>
          </w:tcPr>
          <w:p w:rsidR="008F5410" w:rsidRPr="00BF148D" w:rsidRDefault="008F5410" w:rsidP="00224858">
            <w:pPr>
              <w:pStyle w:val="TableText0"/>
            </w:pPr>
            <w:r w:rsidRPr="00BF148D">
              <w:t>Incremental cost per patient with a 50% or greater reduction in convulsive seizures over 98 days (cost/21.1%)</w:t>
            </w:r>
          </w:p>
        </w:tc>
        <w:tc>
          <w:tcPr>
            <w:tcW w:w="838" w:type="pct"/>
            <w:vAlign w:val="center"/>
          </w:tcPr>
          <w:p w:rsidR="008F5410" w:rsidRPr="00BF148D" w:rsidRDefault="008F5410" w:rsidP="00224858">
            <w:pPr>
              <w:pStyle w:val="TableText0"/>
              <w:jc w:val="center"/>
            </w:pPr>
            <w:r w:rsidRPr="00BF148D">
              <w:t>$39,872</w:t>
            </w:r>
          </w:p>
        </w:tc>
      </w:tr>
      <w:tr w:rsidR="008F5410" w:rsidRPr="00BF148D" w:rsidTr="0002344D">
        <w:trPr>
          <w:tblHeader/>
        </w:trPr>
        <w:tc>
          <w:tcPr>
            <w:tcW w:w="1727" w:type="pct"/>
            <w:vAlign w:val="center"/>
          </w:tcPr>
          <w:p w:rsidR="008F5410" w:rsidRPr="00BF148D" w:rsidRDefault="008F5410" w:rsidP="00224858">
            <w:pPr>
              <w:pStyle w:val="In-tableHeading"/>
              <w:rPr>
                <w:lang w:val="en-AU"/>
              </w:rPr>
            </w:pPr>
          </w:p>
        </w:tc>
        <w:tc>
          <w:tcPr>
            <w:tcW w:w="1258" w:type="pct"/>
            <w:vAlign w:val="center"/>
          </w:tcPr>
          <w:p w:rsidR="008F5410" w:rsidRPr="00BF148D" w:rsidRDefault="008F5410" w:rsidP="00224858">
            <w:pPr>
              <w:pStyle w:val="In-tableHeading"/>
              <w:jc w:val="center"/>
              <w:rPr>
                <w:lang w:val="en-AU"/>
              </w:rPr>
            </w:pPr>
            <w:r w:rsidRPr="00BF148D">
              <w:rPr>
                <w:lang w:val="en-AU"/>
              </w:rPr>
              <w:t>Cannabidiol 20 mg/kg/day</w:t>
            </w:r>
          </w:p>
        </w:tc>
        <w:tc>
          <w:tcPr>
            <w:tcW w:w="1178" w:type="pct"/>
            <w:vAlign w:val="center"/>
          </w:tcPr>
          <w:p w:rsidR="008F5410" w:rsidRPr="00BF148D" w:rsidRDefault="008F5410" w:rsidP="00224858">
            <w:pPr>
              <w:pStyle w:val="In-tableHeading"/>
              <w:jc w:val="center"/>
              <w:rPr>
                <w:lang w:val="en-AU"/>
              </w:rPr>
            </w:pPr>
            <w:r w:rsidRPr="00BF148D">
              <w:rPr>
                <w:lang w:val="en-AU"/>
              </w:rPr>
              <w:t>Placebo</w:t>
            </w:r>
          </w:p>
        </w:tc>
        <w:tc>
          <w:tcPr>
            <w:tcW w:w="838" w:type="pct"/>
            <w:vAlign w:val="center"/>
          </w:tcPr>
          <w:p w:rsidR="008F5410" w:rsidRPr="00BF148D" w:rsidRDefault="008F5410" w:rsidP="00224858">
            <w:pPr>
              <w:pStyle w:val="In-tableHeading"/>
              <w:jc w:val="center"/>
              <w:rPr>
                <w:lang w:val="en-AU"/>
              </w:rPr>
            </w:pPr>
            <w:r w:rsidRPr="00BF148D">
              <w:rPr>
                <w:lang w:val="en-AU"/>
              </w:rPr>
              <w:t>Increment</w:t>
            </w:r>
          </w:p>
        </w:tc>
      </w:tr>
      <w:tr w:rsidR="008F5410" w:rsidRPr="00BF148D" w:rsidTr="0002344D">
        <w:tc>
          <w:tcPr>
            <w:tcW w:w="1727" w:type="pct"/>
            <w:vAlign w:val="center"/>
          </w:tcPr>
          <w:p w:rsidR="008F5410" w:rsidRPr="00BF148D" w:rsidRDefault="002E4E87" w:rsidP="00224858">
            <w:pPr>
              <w:pStyle w:val="TableText0"/>
              <w:rPr>
                <w:rFonts w:ascii="Times" w:hAnsi="Times"/>
              </w:rPr>
            </w:pPr>
            <w:r w:rsidRPr="00BF148D">
              <w:t>Cannabidiol c</w:t>
            </w:r>
            <w:r w:rsidR="008F5410" w:rsidRPr="00BF148D">
              <w:t>osts</w:t>
            </w:r>
          </w:p>
        </w:tc>
        <w:tc>
          <w:tcPr>
            <w:tcW w:w="125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78" w:type="pct"/>
            <w:vAlign w:val="center"/>
          </w:tcPr>
          <w:p w:rsidR="008F5410" w:rsidRPr="00BF148D" w:rsidRDefault="008F5410" w:rsidP="00224858">
            <w:pPr>
              <w:pStyle w:val="TableText0"/>
              <w:jc w:val="center"/>
              <w:rPr>
                <w:rFonts w:ascii="Times" w:hAnsi="Times"/>
              </w:rPr>
            </w:pPr>
            <w:r w:rsidRPr="00BF148D">
              <w:t>$0</w:t>
            </w:r>
          </w:p>
        </w:tc>
        <w:tc>
          <w:tcPr>
            <w:tcW w:w="83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c>
          <w:tcPr>
            <w:tcW w:w="1727" w:type="pct"/>
            <w:vAlign w:val="center"/>
          </w:tcPr>
          <w:p w:rsidR="008F5410" w:rsidRPr="00BF148D" w:rsidRDefault="008F5410" w:rsidP="00224858">
            <w:pPr>
              <w:pStyle w:val="TableText0"/>
            </w:pPr>
            <w:r w:rsidRPr="00BF148D">
              <w:t>Proportion of patients with at least a 50% reduction in drop seizures</w:t>
            </w:r>
          </w:p>
        </w:tc>
        <w:tc>
          <w:tcPr>
            <w:tcW w:w="1258" w:type="pct"/>
            <w:vAlign w:val="center"/>
          </w:tcPr>
          <w:p w:rsidR="008F5410" w:rsidRPr="00BF148D" w:rsidRDefault="008F5410" w:rsidP="00224858">
            <w:pPr>
              <w:pStyle w:val="TableText0"/>
              <w:jc w:val="center"/>
            </w:pPr>
            <w:r w:rsidRPr="00BF148D">
              <w:t>39.5%</w:t>
            </w:r>
          </w:p>
        </w:tc>
        <w:tc>
          <w:tcPr>
            <w:tcW w:w="1178" w:type="pct"/>
            <w:vAlign w:val="center"/>
          </w:tcPr>
          <w:p w:rsidR="008F5410" w:rsidRPr="00BF148D" w:rsidRDefault="008F5410" w:rsidP="00224858">
            <w:pPr>
              <w:pStyle w:val="TableText0"/>
              <w:jc w:val="center"/>
            </w:pPr>
            <w:r w:rsidRPr="00BF148D">
              <w:t>14.5%</w:t>
            </w:r>
          </w:p>
        </w:tc>
        <w:tc>
          <w:tcPr>
            <w:tcW w:w="838" w:type="pct"/>
            <w:vAlign w:val="center"/>
          </w:tcPr>
          <w:p w:rsidR="008F5410" w:rsidRPr="00BF148D" w:rsidRDefault="008F5410" w:rsidP="00224858">
            <w:pPr>
              <w:pStyle w:val="TableText0"/>
              <w:jc w:val="center"/>
            </w:pPr>
            <w:r w:rsidRPr="00BF148D">
              <w:t>25.0%</w:t>
            </w:r>
          </w:p>
        </w:tc>
      </w:tr>
      <w:tr w:rsidR="008F5410" w:rsidRPr="00BF148D" w:rsidTr="005C7A19">
        <w:tc>
          <w:tcPr>
            <w:tcW w:w="4162" w:type="pct"/>
            <w:gridSpan w:val="3"/>
            <w:vAlign w:val="center"/>
          </w:tcPr>
          <w:p w:rsidR="008F5410" w:rsidRPr="00BF148D" w:rsidRDefault="008F5410" w:rsidP="00224858">
            <w:pPr>
              <w:pStyle w:val="TableText0"/>
            </w:pPr>
            <w:r w:rsidRPr="00BF148D">
              <w:t xml:space="preserve">Incremental cost </w:t>
            </w:r>
            <w:r w:rsidR="00FA7EEF" w:rsidRPr="00BF148D">
              <w:t>over</w:t>
            </w:r>
            <w:r w:rsidRPr="00BF148D">
              <w:t xml:space="preserve"> 98 days</w:t>
            </w:r>
          </w:p>
        </w:tc>
        <w:tc>
          <w:tcPr>
            <w:tcW w:w="838" w:type="pct"/>
            <w:vAlign w:val="center"/>
          </w:tcPr>
          <w:p w:rsidR="008F5410" w:rsidRPr="00BF148D" w:rsidRDefault="008F5410" w:rsidP="00224858">
            <w:pPr>
              <w:pStyle w:val="TableText0"/>
              <w:jc w:val="center"/>
            </w:pPr>
            <w:r w:rsidRPr="00BF148D">
              <w:t>$</w:t>
            </w:r>
            <w:r w:rsidR="00B451A4">
              <w:rPr>
                <w:noProof/>
                <w:color w:val="000000"/>
                <w:highlight w:val="black"/>
              </w:rPr>
              <w:t>''''''''''''''''''</w:t>
            </w:r>
          </w:p>
        </w:tc>
      </w:tr>
      <w:tr w:rsidR="008F5410" w:rsidRPr="00BF148D" w:rsidTr="005C7A19">
        <w:tc>
          <w:tcPr>
            <w:tcW w:w="4162" w:type="pct"/>
            <w:gridSpan w:val="3"/>
            <w:vAlign w:val="center"/>
          </w:tcPr>
          <w:p w:rsidR="008F5410" w:rsidRPr="00BF148D" w:rsidRDefault="008F5410" w:rsidP="00224858">
            <w:pPr>
              <w:pStyle w:val="TableText0"/>
            </w:pPr>
            <w:r w:rsidRPr="00BF148D">
              <w:t>Incremental cost per patient with a 50% or greater reduction in convulsive seizures over 98 days (cost/25.0%)</w:t>
            </w:r>
          </w:p>
        </w:tc>
        <w:tc>
          <w:tcPr>
            <w:tcW w:w="838" w:type="pct"/>
            <w:vAlign w:val="center"/>
          </w:tcPr>
          <w:p w:rsidR="008F5410" w:rsidRPr="00BF148D" w:rsidRDefault="008F5410" w:rsidP="00224858">
            <w:pPr>
              <w:pStyle w:val="TableText0"/>
              <w:jc w:val="center"/>
            </w:pPr>
            <w:r w:rsidRPr="00BF148D">
              <w:t>$65,740</w:t>
            </w:r>
          </w:p>
        </w:tc>
      </w:tr>
      <w:tr w:rsidR="008F5410" w:rsidRPr="00BF148D" w:rsidTr="005C7A19">
        <w:tc>
          <w:tcPr>
            <w:tcW w:w="5000" w:type="pct"/>
            <w:gridSpan w:val="4"/>
            <w:vAlign w:val="center"/>
          </w:tcPr>
          <w:p w:rsidR="008F5410" w:rsidRPr="00BF148D" w:rsidRDefault="008F5410" w:rsidP="00224858">
            <w:pPr>
              <w:pStyle w:val="In-tableHeading"/>
              <w:rPr>
                <w:lang w:val="en-AU"/>
              </w:rPr>
            </w:pPr>
            <w:r w:rsidRPr="00BF148D">
              <w:rPr>
                <w:lang w:val="en-AU"/>
              </w:rPr>
              <w:t>Time horizon extended to 1 year (no carer disutilities) as reported by the submission</w:t>
            </w:r>
          </w:p>
        </w:tc>
      </w:tr>
      <w:tr w:rsidR="008F5410" w:rsidRPr="00BF148D" w:rsidTr="0002344D">
        <w:tc>
          <w:tcPr>
            <w:tcW w:w="1727" w:type="pct"/>
            <w:vAlign w:val="center"/>
          </w:tcPr>
          <w:p w:rsidR="008F5410" w:rsidRPr="00BF148D" w:rsidRDefault="008F5410" w:rsidP="00224858">
            <w:pPr>
              <w:pStyle w:val="TableText0"/>
              <w:rPr>
                <w:rFonts w:ascii="Times" w:hAnsi="Times"/>
              </w:rPr>
            </w:pPr>
            <w:r w:rsidRPr="00BF148D">
              <w:t>Costs</w:t>
            </w:r>
          </w:p>
        </w:tc>
        <w:tc>
          <w:tcPr>
            <w:tcW w:w="125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78" w:type="pct"/>
            <w:vAlign w:val="center"/>
          </w:tcPr>
          <w:p w:rsidR="008F5410" w:rsidRPr="00BF148D" w:rsidRDefault="008F5410" w:rsidP="00224858">
            <w:pPr>
              <w:pStyle w:val="TableText0"/>
              <w:jc w:val="center"/>
              <w:rPr>
                <w:rFonts w:ascii="Times" w:hAnsi="Times"/>
              </w:rPr>
            </w:pPr>
            <w:r w:rsidRPr="00BF148D">
              <w:t>$17,808</w:t>
            </w:r>
          </w:p>
        </w:tc>
        <w:tc>
          <w:tcPr>
            <w:tcW w:w="83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c>
          <w:tcPr>
            <w:tcW w:w="1727" w:type="pct"/>
            <w:vAlign w:val="center"/>
          </w:tcPr>
          <w:p w:rsidR="008F5410" w:rsidRPr="00BF148D" w:rsidRDefault="008F5410" w:rsidP="00224858">
            <w:pPr>
              <w:pStyle w:val="TableText0"/>
              <w:rPr>
                <w:rFonts w:ascii="Times" w:hAnsi="Times"/>
              </w:rPr>
            </w:pPr>
            <w:r w:rsidRPr="00BF148D">
              <w:t>QALYs</w:t>
            </w:r>
          </w:p>
        </w:tc>
        <w:tc>
          <w:tcPr>
            <w:tcW w:w="1258" w:type="pct"/>
            <w:vAlign w:val="center"/>
          </w:tcPr>
          <w:p w:rsidR="008F5410" w:rsidRPr="00BF148D" w:rsidRDefault="008F5410" w:rsidP="00224858">
            <w:pPr>
              <w:pStyle w:val="TableText0"/>
              <w:jc w:val="center"/>
              <w:rPr>
                <w:rFonts w:ascii="Times" w:hAnsi="Times"/>
              </w:rPr>
            </w:pPr>
            <w:r w:rsidRPr="00BF148D">
              <w:t>0.47</w:t>
            </w:r>
          </w:p>
        </w:tc>
        <w:tc>
          <w:tcPr>
            <w:tcW w:w="1178" w:type="pct"/>
            <w:vAlign w:val="center"/>
          </w:tcPr>
          <w:p w:rsidR="008F5410" w:rsidRPr="00BF148D" w:rsidRDefault="008F5410" w:rsidP="00224858">
            <w:pPr>
              <w:pStyle w:val="TableText0"/>
              <w:jc w:val="center"/>
              <w:rPr>
                <w:rFonts w:ascii="Times" w:hAnsi="Times"/>
              </w:rPr>
            </w:pPr>
            <w:r w:rsidRPr="00BF148D">
              <w:t>0.44</w:t>
            </w:r>
          </w:p>
        </w:tc>
        <w:tc>
          <w:tcPr>
            <w:tcW w:w="838" w:type="pct"/>
            <w:vAlign w:val="center"/>
          </w:tcPr>
          <w:p w:rsidR="008F5410" w:rsidRPr="00BF148D" w:rsidRDefault="008F5410" w:rsidP="00224858">
            <w:pPr>
              <w:pStyle w:val="TableText0"/>
              <w:jc w:val="center"/>
            </w:pPr>
            <w:r w:rsidRPr="00BF148D">
              <w:t>0.03</w:t>
            </w:r>
          </w:p>
        </w:tc>
      </w:tr>
      <w:tr w:rsidR="008F5410" w:rsidRPr="00BF148D" w:rsidTr="005C7A19">
        <w:tc>
          <w:tcPr>
            <w:tcW w:w="4162" w:type="pct"/>
            <w:gridSpan w:val="3"/>
            <w:vAlign w:val="center"/>
          </w:tcPr>
          <w:p w:rsidR="008F5410" w:rsidRPr="00BF148D" w:rsidRDefault="008F5410" w:rsidP="00224858">
            <w:pPr>
              <w:pStyle w:val="TableText0"/>
              <w:rPr>
                <w:rFonts w:ascii="Times" w:hAnsi="Times"/>
              </w:rPr>
            </w:pPr>
            <w:r w:rsidRPr="00BF148D">
              <w:t>Incremental cost/extra QALY gained</w:t>
            </w:r>
          </w:p>
        </w:tc>
        <w:tc>
          <w:tcPr>
            <w:tcW w:w="83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5C7A19">
        <w:tc>
          <w:tcPr>
            <w:tcW w:w="5000" w:type="pct"/>
            <w:gridSpan w:val="4"/>
            <w:vAlign w:val="center"/>
          </w:tcPr>
          <w:p w:rsidR="008F5410" w:rsidRPr="00BF148D" w:rsidRDefault="008F5410" w:rsidP="00224858">
            <w:pPr>
              <w:pStyle w:val="In-tableHeading"/>
              <w:rPr>
                <w:lang w:val="en-AU"/>
              </w:rPr>
            </w:pPr>
            <w:r w:rsidRPr="00BF148D">
              <w:rPr>
                <w:lang w:val="en-AU"/>
              </w:rPr>
              <w:t>Time horizon extended to 30 years using modelled data (no carer disutilities)</w:t>
            </w:r>
          </w:p>
        </w:tc>
      </w:tr>
      <w:tr w:rsidR="008F5410" w:rsidRPr="00BF148D" w:rsidTr="0002344D">
        <w:tc>
          <w:tcPr>
            <w:tcW w:w="1727" w:type="pct"/>
            <w:vAlign w:val="center"/>
          </w:tcPr>
          <w:p w:rsidR="008F5410" w:rsidRPr="00BF148D" w:rsidRDefault="008F5410" w:rsidP="00224858">
            <w:pPr>
              <w:pStyle w:val="TableText0"/>
              <w:rPr>
                <w:rFonts w:ascii="Times" w:hAnsi="Times"/>
              </w:rPr>
            </w:pPr>
            <w:r w:rsidRPr="00BF148D">
              <w:t>Costs</w:t>
            </w:r>
          </w:p>
        </w:tc>
        <w:tc>
          <w:tcPr>
            <w:tcW w:w="125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78" w:type="pct"/>
            <w:vAlign w:val="center"/>
          </w:tcPr>
          <w:p w:rsidR="008F5410" w:rsidRPr="00BF148D" w:rsidRDefault="008F5410" w:rsidP="00224858">
            <w:pPr>
              <w:pStyle w:val="TableText0"/>
              <w:jc w:val="center"/>
              <w:rPr>
                <w:rFonts w:ascii="Times" w:hAnsi="Times"/>
              </w:rPr>
            </w:pPr>
            <w:r w:rsidRPr="00BF148D">
              <w:t>$231,994</w:t>
            </w:r>
          </w:p>
        </w:tc>
        <w:tc>
          <w:tcPr>
            <w:tcW w:w="83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c>
          <w:tcPr>
            <w:tcW w:w="1727" w:type="pct"/>
            <w:vAlign w:val="center"/>
          </w:tcPr>
          <w:p w:rsidR="008F5410" w:rsidRPr="00BF148D" w:rsidRDefault="008F5410" w:rsidP="00224858">
            <w:pPr>
              <w:pStyle w:val="TableText0"/>
              <w:rPr>
                <w:rFonts w:ascii="Times" w:hAnsi="Times"/>
              </w:rPr>
            </w:pPr>
            <w:r w:rsidRPr="00BF148D">
              <w:t>QALYs</w:t>
            </w:r>
          </w:p>
        </w:tc>
        <w:tc>
          <w:tcPr>
            <w:tcW w:w="1258" w:type="pct"/>
            <w:vAlign w:val="center"/>
          </w:tcPr>
          <w:p w:rsidR="008F5410" w:rsidRPr="00BF148D" w:rsidRDefault="008F5410" w:rsidP="00224858">
            <w:pPr>
              <w:pStyle w:val="TableText0"/>
              <w:jc w:val="center"/>
              <w:rPr>
                <w:rFonts w:ascii="Times" w:hAnsi="Times"/>
              </w:rPr>
            </w:pPr>
            <w:r w:rsidRPr="00BF148D">
              <w:t>5.31</w:t>
            </w:r>
          </w:p>
        </w:tc>
        <w:tc>
          <w:tcPr>
            <w:tcW w:w="1178" w:type="pct"/>
            <w:vAlign w:val="center"/>
          </w:tcPr>
          <w:p w:rsidR="008F5410" w:rsidRPr="00BF148D" w:rsidRDefault="008F5410" w:rsidP="00224858">
            <w:pPr>
              <w:pStyle w:val="TableText0"/>
              <w:jc w:val="center"/>
              <w:rPr>
                <w:rFonts w:ascii="Times" w:hAnsi="Times"/>
              </w:rPr>
            </w:pPr>
            <w:r w:rsidRPr="00BF148D">
              <w:t>4.79</w:t>
            </w:r>
          </w:p>
        </w:tc>
        <w:tc>
          <w:tcPr>
            <w:tcW w:w="838" w:type="pct"/>
            <w:vAlign w:val="center"/>
          </w:tcPr>
          <w:p w:rsidR="008F5410" w:rsidRPr="00BF148D" w:rsidRDefault="008F5410" w:rsidP="00224858">
            <w:pPr>
              <w:pStyle w:val="TableText0"/>
              <w:jc w:val="center"/>
            </w:pPr>
            <w:r w:rsidRPr="00BF148D">
              <w:t>0.52</w:t>
            </w:r>
          </w:p>
        </w:tc>
      </w:tr>
      <w:tr w:rsidR="008F5410" w:rsidRPr="00BF148D" w:rsidTr="005C7A19">
        <w:tc>
          <w:tcPr>
            <w:tcW w:w="4162" w:type="pct"/>
            <w:gridSpan w:val="3"/>
            <w:vAlign w:val="center"/>
          </w:tcPr>
          <w:p w:rsidR="008F5410" w:rsidRPr="00BF148D" w:rsidRDefault="008F5410" w:rsidP="00224858">
            <w:pPr>
              <w:pStyle w:val="TableText0"/>
              <w:rPr>
                <w:rFonts w:ascii="Times" w:hAnsi="Times"/>
                <w:b/>
              </w:rPr>
            </w:pPr>
            <w:r w:rsidRPr="00BF148D">
              <w:rPr>
                <w:b/>
              </w:rPr>
              <w:t>Incremental cost/extra QALY gained (base case)</w:t>
            </w:r>
          </w:p>
        </w:tc>
        <w:tc>
          <w:tcPr>
            <w:tcW w:w="838" w:type="pct"/>
            <w:vAlign w:val="center"/>
          </w:tcPr>
          <w:p w:rsidR="008F5410" w:rsidRPr="00BF148D" w:rsidRDefault="008F5410" w:rsidP="00224858">
            <w:pPr>
              <w:pStyle w:val="TableText0"/>
              <w:jc w:val="center"/>
              <w:rPr>
                <w:rFonts w:ascii="Times" w:hAnsi="Times"/>
                <w:b/>
              </w:rPr>
            </w:pPr>
            <w:r w:rsidRPr="00BF148D">
              <w:rPr>
                <w:b/>
              </w:rPr>
              <w:t>$</w:t>
            </w:r>
            <w:r w:rsidR="00B451A4">
              <w:rPr>
                <w:b/>
                <w:noProof/>
                <w:color w:val="000000"/>
                <w:highlight w:val="black"/>
              </w:rPr>
              <w:t>'''''''''''''''''</w:t>
            </w:r>
          </w:p>
        </w:tc>
      </w:tr>
      <w:tr w:rsidR="008F5410" w:rsidRPr="00BF148D" w:rsidTr="005C7A19">
        <w:trPr>
          <w:tblHeader/>
        </w:trPr>
        <w:tc>
          <w:tcPr>
            <w:tcW w:w="5000" w:type="pct"/>
            <w:gridSpan w:val="4"/>
            <w:vAlign w:val="center"/>
          </w:tcPr>
          <w:p w:rsidR="008F5410" w:rsidRPr="00BF148D" w:rsidRDefault="008F5410" w:rsidP="00224858">
            <w:pPr>
              <w:pStyle w:val="In-tableHeading"/>
              <w:rPr>
                <w:lang w:val="en-AU"/>
              </w:rPr>
            </w:pPr>
            <w:r w:rsidRPr="00BF148D">
              <w:rPr>
                <w:lang w:val="en-AU"/>
              </w:rPr>
              <w:t>Time horizon extended to 30 years using modelled data (with carer disutilities) – base case in the submission</w:t>
            </w:r>
          </w:p>
        </w:tc>
      </w:tr>
      <w:tr w:rsidR="008F5410" w:rsidRPr="00BF148D" w:rsidTr="0002344D">
        <w:trPr>
          <w:tblHeader/>
        </w:trPr>
        <w:tc>
          <w:tcPr>
            <w:tcW w:w="1727" w:type="pct"/>
            <w:vAlign w:val="center"/>
          </w:tcPr>
          <w:p w:rsidR="008F5410" w:rsidRPr="00BF148D" w:rsidRDefault="008F5410" w:rsidP="00224858">
            <w:pPr>
              <w:pStyle w:val="TableText0"/>
              <w:rPr>
                <w:rFonts w:ascii="Times" w:hAnsi="Times"/>
              </w:rPr>
            </w:pPr>
            <w:r w:rsidRPr="00BF148D">
              <w:t>Costs</w:t>
            </w:r>
          </w:p>
        </w:tc>
        <w:tc>
          <w:tcPr>
            <w:tcW w:w="125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c>
          <w:tcPr>
            <w:tcW w:w="1178" w:type="pct"/>
            <w:vAlign w:val="center"/>
          </w:tcPr>
          <w:p w:rsidR="008F5410" w:rsidRPr="00BF148D" w:rsidRDefault="008F5410" w:rsidP="00224858">
            <w:pPr>
              <w:pStyle w:val="TableText0"/>
              <w:jc w:val="center"/>
              <w:rPr>
                <w:rFonts w:ascii="Times" w:hAnsi="Times"/>
              </w:rPr>
            </w:pPr>
            <w:r w:rsidRPr="00BF148D">
              <w:t>$231,994</w:t>
            </w:r>
          </w:p>
        </w:tc>
        <w:tc>
          <w:tcPr>
            <w:tcW w:w="838" w:type="pct"/>
            <w:vAlign w:val="center"/>
          </w:tcPr>
          <w:p w:rsidR="008F5410" w:rsidRPr="00BF148D" w:rsidRDefault="008F5410" w:rsidP="00224858">
            <w:pPr>
              <w:pStyle w:val="TableText0"/>
              <w:jc w:val="center"/>
              <w:rPr>
                <w:rFonts w:ascii="Times" w:hAnsi="Times"/>
              </w:rPr>
            </w:pPr>
            <w:r w:rsidRPr="00BF148D">
              <w:t>$</w:t>
            </w:r>
            <w:r w:rsidR="00B451A4">
              <w:rPr>
                <w:noProof/>
                <w:color w:val="000000"/>
                <w:highlight w:val="black"/>
              </w:rPr>
              <w:t>'''''''''''''''</w:t>
            </w:r>
          </w:p>
        </w:tc>
      </w:tr>
      <w:tr w:rsidR="008F5410" w:rsidRPr="00BF148D" w:rsidTr="0002344D">
        <w:trPr>
          <w:tblHeader/>
        </w:trPr>
        <w:tc>
          <w:tcPr>
            <w:tcW w:w="1727" w:type="pct"/>
            <w:vAlign w:val="center"/>
          </w:tcPr>
          <w:p w:rsidR="008F5410" w:rsidRPr="00BF148D" w:rsidRDefault="008F5410" w:rsidP="00224858">
            <w:pPr>
              <w:pStyle w:val="TableText0"/>
              <w:rPr>
                <w:rFonts w:ascii="Times" w:hAnsi="Times"/>
              </w:rPr>
            </w:pPr>
            <w:r w:rsidRPr="00BF148D">
              <w:t>QALYs</w:t>
            </w:r>
          </w:p>
        </w:tc>
        <w:tc>
          <w:tcPr>
            <w:tcW w:w="1258" w:type="pct"/>
            <w:vAlign w:val="center"/>
          </w:tcPr>
          <w:p w:rsidR="008F5410" w:rsidRPr="00BF148D" w:rsidRDefault="008F5410" w:rsidP="00224858">
            <w:pPr>
              <w:pStyle w:val="TableText0"/>
              <w:jc w:val="center"/>
            </w:pPr>
            <w:r w:rsidRPr="00BF148D">
              <w:t>-1.46</w:t>
            </w:r>
          </w:p>
        </w:tc>
        <w:tc>
          <w:tcPr>
            <w:tcW w:w="1178" w:type="pct"/>
            <w:vAlign w:val="center"/>
          </w:tcPr>
          <w:p w:rsidR="008F5410" w:rsidRPr="00BF148D" w:rsidRDefault="008F5410" w:rsidP="00224858">
            <w:pPr>
              <w:pStyle w:val="TableText0"/>
              <w:jc w:val="center"/>
            </w:pPr>
            <w:r w:rsidRPr="00BF148D">
              <w:t>-2.76</w:t>
            </w:r>
          </w:p>
        </w:tc>
        <w:tc>
          <w:tcPr>
            <w:tcW w:w="838" w:type="pct"/>
            <w:vAlign w:val="center"/>
          </w:tcPr>
          <w:p w:rsidR="008F5410" w:rsidRPr="00BF148D" w:rsidRDefault="008F5410" w:rsidP="00224858">
            <w:pPr>
              <w:pStyle w:val="TableText0"/>
              <w:jc w:val="center"/>
            </w:pPr>
            <w:r w:rsidRPr="00BF148D">
              <w:t>1.3</w:t>
            </w:r>
          </w:p>
        </w:tc>
      </w:tr>
      <w:tr w:rsidR="008F5410" w:rsidRPr="00BF148D" w:rsidTr="005C7A19">
        <w:trPr>
          <w:tblHeader/>
        </w:trPr>
        <w:tc>
          <w:tcPr>
            <w:tcW w:w="4162" w:type="pct"/>
            <w:gridSpan w:val="3"/>
            <w:vAlign w:val="center"/>
          </w:tcPr>
          <w:p w:rsidR="008F5410" w:rsidRPr="00BF148D" w:rsidRDefault="008F5410" w:rsidP="00224858">
            <w:pPr>
              <w:pStyle w:val="TableText0"/>
              <w:rPr>
                <w:rFonts w:ascii="Times" w:hAnsi="Times"/>
                <w:b/>
              </w:rPr>
            </w:pPr>
            <w:r w:rsidRPr="00BF148D">
              <w:rPr>
                <w:b/>
              </w:rPr>
              <w:t xml:space="preserve">Incremental cost/extra QALY gained </w:t>
            </w:r>
          </w:p>
        </w:tc>
        <w:tc>
          <w:tcPr>
            <w:tcW w:w="838" w:type="pct"/>
            <w:vAlign w:val="center"/>
          </w:tcPr>
          <w:p w:rsidR="008F5410" w:rsidRPr="00BF148D" w:rsidRDefault="008F5410" w:rsidP="00224858">
            <w:pPr>
              <w:pStyle w:val="TableText0"/>
              <w:jc w:val="center"/>
              <w:rPr>
                <w:rFonts w:ascii="Times" w:hAnsi="Times"/>
                <w:b/>
              </w:rPr>
            </w:pPr>
            <w:r w:rsidRPr="00BF148D">
              <w:rPr>
                <w:b/>
              </w:rPr>
              <w:t>$</w:t>
            </w:r>
            <w:r w:rsidR="00B451A4">
              <w:rPr>
                <w:b/>
                <w:noProof/>
                <w:color w:val="000000"/>
                <w:highlight w:val="black"/>
              </w:rPr>
              <w:t>''''''''''''</w:t>
            </w:r>
          </w:p>
        </w:tc>
      </w:tr>
    </w:tbl>
    <w:p w:rsidR="00580552" w:rsidRPr="00BF148D" w:rsidRDefault="00580552" w:rsidP="00580552">
      <w:pPr>
        <w:pStyle w:val="TableFigureFooter"/>
      </w:pPr>
      <w:r w:rsidRPr="00BF148D">
        <w:t>LGS = Lennox Gastaut Syndrome; QALY = quality adjusted life year</w:t>
      </w:r>
    </w:p>
    <w:p w:rsidR="008F5410" w:rsidRPr="00BF148D" w:rsidRDefault="008F5410" w:rsidP="00F625F6">
      <w:pPr>
        <w:pStyle w:val="TableFigureFooter"/>
        <w:keepNext/>
      </w:pPr>
      <w:r w:rsidRPr="00BF148D">
        <w:t>Cost for 20 mg/kg/day over 98 days plus 2 physician treatment visits at $195 per visit, in line with the submission’s assumptions for the 10 mg/kg/day dose</w:t>
      </w:r>
    </w:p>
    <w:p w:rsidR="008F5410" w:rsidRDefault="008F5410" w:rsidP="00F625F6">
      <w:pPr>
        <w:pStyle w:val="TableFigureFooter"/>
      </w:pPr>
      <w:r w:rsidRPr="00BF148D">
        <w:t>Source: Table 100, p191 of the submission and constructed during the evaluation and Table 110, pp191-192 of the submission.</w:t>
      </w:r>
    </w:p>
    <w:p w:rsidR="00053D8B" w:rsidRDefault="00053D8B" w:rsidP="00F625F6">
      <w:pPr>
        <w:pStyle w:val="TableFigureFooter"/>
      </w:pPr>
    </w:p>
    <w:p w:rsidR="00864873" w:rsidRPr="00864873" w:rsidRDefault="00864873" w:rsidP="00F625F6">
      <w:pPr>
        <w:pStyle w:val="TableFigureFooter"/>
        <w:rPr>
          <w:rFonts w:ascii="Calibri" w:hAnsi="Calibri" w:cs="Calibri"/>
          <w:i/>
          <w:sz w:val="24"/>
        </w:rPr>
      </w:pPr>
      <w:r>
        <w:rPr>
          <w:rFonts w:ascii="Calibri" w:hAnsi="Calibri" w:cs="Calibri"/>
          <w:i/>
          <w:sz w:val="24"/>
        </w:rPr>
        <w:t>The redacted table shows the base case ICER (no carer disutilities) in the range of $155,000 to &lt; $255,000 per QALY, versus an ICER (with carer disutilities) in the range of $55,000 to &lt; $75,000 per QALY.</w:t>
      </w:r>
    </w:p>
    <w:p w:rsidR="008532FF" w:rsidRPr="00BF148D" w:rsidRDefault="008532FF" w:rsidP="008532FF">
      <w:pPr>
        <w:pStyle w:val="ListBullet"/>
        <w:ind w:left="709"/>
        <w:contextualSpacing w:val="0"/>
      </w:pPr>
    </w:p>
    <w:p w:rsidR="00D73C12" w:rsidRPr="00BF148D" w:rsidRDefault="00D73C12" w:rsidP="00D73C12">
      <w:pPr>
        <w:pStyle w:val="3-BodyText"/>
      </w:pPr>
      <w:r w:rsidRPr="00BF148D">
        <w:t xml:space="preserve">The ESC considered the </w:t>
      </w:r>
      <w:r w:rsidR="00172851" w:rsidRPr="00BF148D">
        <w:t xml:space="preserve">March 2020 PBAC recommendation for stiripentol for DS may provide a useful framework for consideration of the cost-effectiveness of cannabidiol for DS and LGS. </w:t>
      </w:r>
      <w:r w:rsidR="00C17A57" w:rsidRPr="00BF148D">
        <w:t xml:space="preserve">The ESC advised </w:t>
      </w:r>
      <w:r w:rsidR="000E0880" w:rsidRPr="00BF148D">
        <w:t xml:space="preserve">that </w:t>
      </w:r>
      <w:r w:rsidR="0032149E" w:rsidRPr="00BF148D">
        <w:t xml:space="preserve">a simpler </w:t>
      </w:r>
      <w:r w:rsidR="00172851" w:rsidRPr="00BF148D">
        <w:t>economic model</w:t>
      </w:r>
      <w:r w:rsidR="00130893" w:rsidRPr="00BF148D">
        <w:t>,</w:t>
      </w:r>
      <w:r w:rsidR="00172851" w:rsidRPr="00BF148D">
        <w:t xml:space="preserve"> </w:t>
      </w:r>
      <w:r w:rsidR="0032149E" w:rsidRPr="00BF148D">
        <w:t>as was</w:t>
      </w:r>
      <w:r w:rsidR="00172851" w:rsidRPr="00BF148D">
        <w:t xml:space="preserve"> </w:t>
      </w:r>
      <w:r w:rsidR="000E0880" w:rsidRPr="00BF148D">
        <w:t>used in the stiripentol submission</w:t>
      </w:r>
      <w:r w:rsidR="00130893" w:rsidRPr="00BF148D">
        <w:t>,</w:t>
      </w:r>
      <w:r w:rsidR="000E0880" w:rsidRPr="00BF148D">
        <w:t xml:space="preserve"> </w:t>
      </w:r>
      <w:r w:rsidR="00172851" w:rsidRPr="00BF148D">
        <w:t>with a 5 year time horizon</w:t>
      </w:r>
      <w:r w:rsidR="000E0880" w:rsidRPr="00BF148D">
        <w:t xml:space="preserve">, </w:t>
      </w:r>
      <w:r w:rsidR="00C17A57" w:rsidRPr="00BF148D">
        <w:t xml:space="preserve">4 health states clearly linked with health outcomes from the clinical trials, </w:t>
      </w:r>
      <w:r w:rsidR="00130893" w:rsidRPr="00BF148D">
        <w:t xml:space="preserve">and </w:t>
      </w:r>
      <w:r w:rsidR="00C17A57" w:rsidRPr="00BF148D">
        <w:t xml:space="preserve">applying utilities sourced from </w:t>
      </w:r>
      <w:r w:rsidR="00847F8F" w:rsidRPr="00BF148D">
        <w:t>peer reviewed literature (</w:t>
      </w:r>
      <w:r w:rsidR="00C17A57" w:rsidRPr="00BF148D">
        <w:t>Verdian 2008</w:t>
      </w:r>
      <w:r w:rsidR="00847F8F" w:rsidRPr="00BF148D">
        <w:t xml:space="preserve">) </w:t>
      </w:r>
      <w:r w:rsidR="003B6A1F" w:rsidRPr="00BF148D">
        <w:t>c</w:t>
      </w:r>
      <w:r w:rsidR="00847F8F" w:rsidRPr="00BF148D">
        <w:t xml:space="preserve">ould be a </w:t>
      </w:r>
      <w:r w:rsidR="003B6A1F" w:rsidRPr="00BF148D">
        <w:t xml:space="preserve">more appropriate approach, </w:t>
      </w:r>
      <w:r w:rsidR="0032149E" w:rsidRPr="00BF148D">
        <w:t xml:space="preserve">noting that </w:t>
      </w:r>
      <w:r w:rsidR="00C17A57" w:rsidRPr="00BF148D">
        <w:t xml:space="preserve">addressing other issues raised </w:t>
      </w:r>
      <w:r w:rsidR="00C17A57" w:rsidRPr="00574741">
        <w:t>in paragraph</w:t>
      </w:r>
      <w:r w:rsidR="00574741" w:rsidRPr="00574741">
        <w:t>s</w:t>
      </w:r>
      <w:r w:rsidR="00C17A57" w:rsidRPr="00574741">
        <w:t xml:space="preserve"> </w:t>
      </w:r>
      <w:r w:rsidR="00585BA0" w:rsidRPr="00574741">
        <w:t>6.</w:t>
      </w:r>
      <w:r w:rsidR="00574741" w:rsidRPr="00574741">
        <w:t>43 and 6.44</w:t>
      </w:r>
      <w:r w:rsidR="002435FB" w:rsidRPr="00BF148D">
        <w:t xml:space="preserve"> </w:t>
      </w:r>
      <w:r w:rsidR="00C17A57" w:rsidRPr="00BF148D">
        <w:t xml:space="preserve">would </w:t>
      </w:r>
      <w:r w:rsidR="0032149E" w:rsidRPr="00BF148D">
        <w:t xml:space="preserve">also </w:t>
      </w:r>
      <w:r w:rsidR="00C17A57" w:rsidRPr="00BF148D">
        <w:t>be required</w:t>
      </w:r>
      <w:r w:rsidR="00BF148D">
        <w:t xml:space="preserve">. </w:t>
      </w:r>
    </w:p>
    <w:p w:rsidR="007827EC" w:rsidRPr="00BF148D" w:rsidRDefault="007827EC" w:rsidP="00224858">
      <w:pPr>
        <w:pStyle w:val="4-SubsectionHeading"/>
      </w:pPr>
      <w:bookmarkStart w:id="55" w:name="_Toc22897646"/>
      <w:bookmarkStart w:id="56" w:name="_Toc38639612"/>
      <w:bookmarkStart w:id="57" w:name="_Toc40880091"/>
      <w:r w:rsidRPr="00BF148D">
        <w:lastRenderedPageBreak/>
        <w:t>Drug cost/patient/yea</w:t>
      </w:r>
      <w:bookmarkEnd w:id="55"/>
      <w:bookmarkEnd w:id="56"/>
      <w:r w:rsidR="00F87199" w:rsidRPr="00BF148D">
        <w:t>r</w:t>
      </w:r>
      <w:bookmarkEnd w:id="57"/>
    </w:p>
    <w:p w:rsidR="007827EC" w:rsidRPr="00BF148D" w:rsidRDefault="008F5410" w:rsidP="00224858">
      <w:pPr>
        <w:pStyle w:val="TableFigureHeading"/>
        <w:rPr>
          <w:rStyle w:val="CommentReference"/>
          <w:b/>
          <w:szCs w:val="24"/>
        </w:rPr>
      </w:pPr>
      <w:r w:rsidRPr="00BF148D">
        <w:rPr>
          <w:rStyle w:val="CommentReference"/>
          <w:b/>
          <w:szCs w:val="24"/>
        </w:rPr>
        <w:t xml:space="preserve">Table </w:t>
      </w:r>
      <w:r w:rsidR="00580552" w:rsidRPr="00BF148D">
        <w:rPr>
          <w:rStyle w:val="CommentReference"/>
          <w:b/>
          <w:szCs w:val="24"/>
        </w:rPr>
        <w:t>11</w:t>
      </w:r>
      <w:r w:rsidR="007827EC" w:rsidRPr="00BF148D">
        <w:rPr>
          <w:rStyle w:val="CommentReference"/>
          <w:b/>
          <w:szCs w:val="24"/>
        </w:rPr>
        <w:t xml:space="preserve">: Drug cost per patient for </w:t>
      </w:r>
      <w:r w:rsidR="00B60658" w:rsidRPr="00BF148D">
        <w:rPr>
          <w:rStyle w:val="CommentReference"/>
          <w:b/>
          <w:szCs w:val="24"/>
        </w:rPr>
        <w:t>cannabidiol</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8"/>
        <w:gridCol w:w="1561"/>
        <w:gridCol w:w="1559"/>
        <w:gridCol w:w="3120"/>
        <w:gridCol w:w="1644"/>
      </w:tblGrid>
      <w:tr w:rsidR="00B60658" w:rsidRPr="00BF148D" w:rsidTr="004C318B">
        <w:trPr>
          <w:cantSplit/>
          <w:tblHeader/>
          <w:jc w:val="center"/>
        </w:trPr>
        <w:tc>
          <w:tcPr>
            <w:tcW w:w="626" w:type="pct"/>
            <w:shd w:val="clear" w:color="auto" w:fill="auto"/>
            <w:vAlign w:val="center"/>
          </w:tcPr>
          <w:p w:rsidR="00B60658" w:rsidRPr="00BF148D" w:rsidRDefault="00B60658" w:rsidP="00224858">
            <w:pPr>
              <w:pStyle w:val="In-tableHeading"/>
              <w:jc w:val="center"/>
              <w:rPr>
                <w:lang w:val="en-AU"/>
              </w:rPr>
            </w:pPr>
          </w:p>
        </w:tc>
        <w:tc>
          <w:tcPr>
            <w:tcW w:w="866" w:type="pct"/>
            <w:shd w:val="clear" w:color="auto" w:fill="auto"/>
            <w:vAlign w:val="center"/>
          </w:tcPr>
          <w:p w:rsidR="00B60658" w:rsidRPr="00BF148D" w:rsidRDefault="00B60658" w:rsidP="00224858">
            <w:pPr>
              <w:pStyle w:val="In-tableHeading"/>
              <w:jc w:val="center"/>
              <w:rPr>
                <w:lang w:val="en-AU"/>
              </w:rPr>
            </w:pPr>
            <w:r w:rsidRPr="00BF148D">
              <w:rPr>
                <w:lang w:val="en-AU"/>
              </w:rPr>
              <w:t>Trial dose and duration</w:t>
            </w:r>
          </w:p>
        </w:tc>
        <w:tc>
          <w:tcPr>
            <w:tcW w:w="865" w:type="pct"/>
            <w:shd w:val="clear" w:color="auto" w:fill="auto"/>
            <w:vAlign w:val="center"/>
          </w:tcPr>
          <w:p w:rsidR="00B60658" w:rsidRPr="00BF148D" w:rsidRDefault="00B60658" w:rsidP="00224858">
            <w:pPr>
              <w:pStyle w:val="In-tableHeading"/>
              <w:jc w:val="center"/>
              <w:rPr>
                <w:lang w:val="en-AU"/>
              </w:rPr>
            </w:pPr>
            <w:r w:rsidRPr="00BF148D">
              <w:rPr>
                <w:lang w:val="en-AU"/>
              </w:rPr>
              <w:t>Trial-based analyses in Section 3</w:t>
            </w:r>
          </w:p>
        </w:tc>
        <w:tc>
          <w:tcPr>
            <w:tcW w:w="1731" w:type="pct"/>
            <w:shd w:val="clear" w:color="auto" w:fill="auto"/>
            <w:vAlign w:val="center"/>
          </w:tcPr>
          <w:p w:rsidR="00B60658" w:rsidRPr="00BF148D" w:rsidRDefault="00B60658" w:rsidP="00224858">
            <w:pPr>
              <w:pStyle w:val="In-tableHeading"/>
              <w:jc w:val="center"/>
              <w:rPr>
                <w:lang w:val="en-AU"/>
              </w:rPr>
            </w:pPr>
            <w:r w:rsidRPr="00BF148D">
              <w:rPr>
                <w:lang w:val="en-AU"/>
              </w:rPr>
              <w:t>Modelled economic evaluations</w:t>
            </w:r>
          </w:p>
        </w:tc>
        <w:tc>
          <w:tcPr>
            <w:tcW w:w="912" w:type="pct"/>
            <w:shd w:val="clear" w:color="auto" w:fill="auto"/>
            <w:vAlign w:val="center"/>
          </w:tcPr>
          <w:p w:rsidR="00B60658" w:rsidRPr="00BF148D" w:rsidRDefault="00B60658" w:rsidP="00224858">
            <w:pPr>
              <w:pStyle w:val="In-tableHeading"/>
              <w:jc w:val="center"/>
              <w:rPr>
                <w:lang w:val="en-AU"/>
              </w:rPr>
            </w:pPr>
            <w:r w:rsidRPr="00BF148D">
              <w:rPr>
                <w:lang w:val="en-AU"/>
              </w:rPr>
              <w:t>Financial estimates</w:t>
            </w:r>
          </w:p>
        </w:tc>
      </w:tr>
      <w:tr w:rsidR="00B60658" w:rsidRPr="00BF148D" w:rsidTr="004C318B">
        <w:trPr>
          <w:cantSplit/>
          <w:jc w:val="center"/>
        </w:trPr>
        <w:tc>
          <w:tcPr>
            <w:tcW w:w="626" w:type="pct"/>
            <w:shd w:val="clear" w:color="auto" w:fill="auto"/>
            <w:vAlign w:val="center"/>
          </w:tcPr>
          <w:p w:rsidR="00B60658" w:rsidRPr="00BF148D" w:rsidRDefault="00B60658" w:rsidP="00224858">
            <w:pPr>
              <w:pStyle w:val="TableText0"/>
            </w:pPr>
            <w:r w:rsidRPr="00BF148D">
              <w:t>Mean dose</w:t>
            </w:r>
          </w:p>
        </w:tc>
        <w:tc>
          <w:tcPr>
            <w:tcW w:w="866" w:type="pct"/>
            <w:shd w:val="clear" w:color="auto" w:fill="auto"/>
            <w:vAlign w:val="center"/>
          </w:tcPr>
          <w:p w:rsidR="00B60658" w:rsidRPr="00BF148D" w:rsidRDefault="00B60658" w:rsidP="00224858">
            <w:pPr>
              <w:pStyle w:val="TableText0"/>
              <w:jc w:val="center"/>
            </w:pPr>
            <w:r w:rsidRPr="00BF148D">
              <w:t>DS: 32.8 kg x 10.06</w:t>
            </w:r>
            <w:r w:rsidR="00BA5DE1" w:rsidRPr="00BF148D">
              <w:t> </w:t>
            </w:r>
            <w:r w:rsidRPr="00BF148D">
              <w:t xml:space="preserve">mg/kg/day </w:t>
            </w:r>
          </w:p>
          <w:p w:rsidR="00B60658" w:rsidRPr="00BF148D" w:rsidRDefault="00B60658" w:rsidP="00224858">
            <w:pPr>
              <w:pStyle w:val="TableText0"/>
              <w:jc w:val="center"/>
            </w:pPr>
            <w:r w:rsidRPr="00BF148D">
              <w:t>LGS: 44.25 kg x 9.94 mg/kg/day</w:t>
            </w:r>
          </w:p>
        </w:tc>
        <w:tc>
          <w:tcPr>
            <w:tcW w:w="865" w:type="pct"/>
            <w:shd w:val="clear" w:color="auto" w:fill="auto"/>
            <w:vAlign w:val="center"/>
          </w:tcPr>
          <w:p w:rsidR="00B60658" w:rsidRPr="00BF148D" w:rsidRDefault="00B60658" w:rsidP="00224858">
            <w:pPr>
              <w:pStyle w:val="TableText0"/>
              <w:jc w:val="center"/>
            </w:pPr>
            <w:r w:rsidRPr="00BF148D">
              <w:t>10 mg/kg/day and mean weight of 32.8</w:t>
            </w:r>
            <w:r w:rsidR="00BA5DE1" w:rsidRPr="00BF148D">
              <w:t> </w:t>
            </w:r>
            <w:r w:rsidRPr="00BF148D">
              <w:t>kg and 44.25</w:t>
            </w:r>
            <w:r w:rsidR="00BA5DE1" w:rsidRPr="00BF148D">
              <w:t> </w:t>
            </w:r>
            <w:r w:rsidRPr="00BF148D">
              <w:t>kg for DS and LGS</w:t>
            </w:r>
          </w:p>
        </w:tc>
        <w:tc>
          <w:tcPr>
            <w:tcW w:w="1731" w:type="pct"/>
            <w:shd w:val="clear" w:color="auto" w:fill="auto"/>
            <w:vAlign w:val="center"/>
          </w:tcPr>
          <w:p w:rsidR="00B60658" w:rsidRPr="00BF148D" w:rsidRDefault="00CA4E83" w:rsidP="00224858">
            <w:pPr>
              <w:pStyle w:val="TableText0"/>
              <w:jc w:val="center"/>
            </w:pPr>
            <w:r w:rsidRPr="00BF148D">
              <w:t>10 mg/kg/day based on median weights by age in the trials</w:t>
            </w:r>
          </w:p>
          <w:p w:rsidR="00C45E4D" w:rsidRPr="00BF148D" w:rsidRDefault="00C45E4D" w:rsidP="00C45E4D">
            <w:pPr>
              <w:pStyle w:val="TableText0"/>
              <w:jc w:val="center"/>
              <w:rPr>
                <w:i/>
              </w:rPr>
            </w:pPr>
            <w:r w:rsidRPr="00BF148D">
              <w:t>(average DS 32.1 kg, LGS 41.3 kg)</w:t>
            </w:r>
          </w:p>
        </w:tc>
        <w:tc>
          <w:tcPr>
            <w:tcW w:w="912" w:type="pct"/>
            <w:shd w:val="clear" w:color="auto" w:fill="auto"/>
            <w:vAlign w:val="center"/>
          </w:tcPr>
          <w:p w:rsidR="00B60658" w:rsidRPr="00BF148D" w:rsidRDefault="00CA4E83" w:rsidP="00224858">
            <w:pPr>
              <w:pStyle w:val="TableText0"/>
              <w:jc w:val="center"/>
            </w:pPr>
            <w:r w:rsidRPr="00BF148D">
              <w:t>10 mg/kg/day based on average weight of 33 kg for DS and 43</w:t>
            </w:r>
            <w:r w:rsidR="00BA5DE1" w:rsidRPr="00BF148D">
              <w:t> </w:t>
            </w:r>
            <w:r w:rsidRPr="00BF148D">
              <w:t>kg for LGS</w:t>
            </w:r>
          </w:p>
        </w:tc>
      </w:tr>
      <w:tr w:rsidR="00B60658" w:rsidRPr="00BF148D" w:rsidTr="004C318B">
        <w:trPr>
          <w:cantSplit/>
          <w:jc w:val="center"/>
        </w:trPr>
        <w:tc>
          <w:tcPr>
            <w:tcW w:w="626" w:type="pct"/>
            <w:shd w:val="clear" w:color="auto" w:fill="auto"/>
            <w:vAlign w:val="center"/>
          </w:tcPr>
          <w:p w:rsidR="00B60658" w:rsidRPr="00BF148D" w:rsidRDefault="00B60658" w:rsidP="00224858">
            <w:pPr>
              <w:pStyle w:val="TableText0"/>
            </w:pPr>
            <w:r w:rsidRPr="00BF148D">
              <w:t>Mean duration</w:t>
            </w:r>
          </w:p>
        </w:tc>
        <w:tc>
          <w:tcPr>
            <w:tcW w:w="866" w:type="pct"/>
            <w:shd w:val="clear" w:color="auto" w:fill="auto"/>
            <w:vAlign w:val="center"/>
          </w:tcPr>
          <w:p w:rsidR="00B60658" w:rsidRPr="00BF148D" w:rsidRDefault="00B60658" w:rsidP="00224858">
            <w:pPr>
              <w:pStyle w:val="TableText0"/>
              <w:jc w:val="center"/>
            </w:pPr>
            <w:r w:rsidRPr="00BF148D">
              <w:t>DS: 98.3 days</w:t>
            </w:r>
          </w:p>
          <w:p w:rsidR="00B60658" w:rsidRPr="00BF148D" w:rsidRDefault="00B60658" w:rsidP="00224858">
            <w:pPr>
              <w:pStyle w:val="TableText0"/>
              <w:jc w:val="center"/>
            </w:pPr>
            <w:r w:rsidRPr="00BF148D">
              <w:t>LGS: 98.4 days</w:t>
            </w:r>
          </w:p>
        </w:tc>
        <w:tc>
          <w:tcPr>
            <w:tcW w:w="865" w:type="pct"/>
            <w:shd w:val="clear" w:color="auto" w:fill="auto"/>
            <w:vAlign w:val="center"/>
          </w:tcPr>
          <w:p w:rsidR="00B60658" w:rsidRPr="00BF148D" w:rsidRDefault="00B60658" w:rsidP="00224858">
            <w:pPr>
              <w:pStyle w:val="TableText0"/>
              <w:jc w:val="center"/>
            </w:pPr>
            <w:r w:rsidRPr="00BF148D">
              <w:t>98 days</w:t>
            </w:r>
          </w:p>
        </w:tc>
        <w:tc>
          <w:tcPr>
            <w:tcW w:w="1731" w:type="pct"/>
            <w:shd w:val="clear" w:color="auto" w:fill="auto"/>
            <w:vAlign w:val="center"/>
          </w:tcPr>
          <w:p w:rsidR="00B60658" w:rsidRPr="00BF148D" w:rsidRDefault="00C71FDD" w:rsidP="00224858">
            <w:pPr>
              <w:pStyle w:val="TableText0"/>
              <w:jc w:val="center"/>
            </w:pPr>
            <w:r w:rsidRPr="00BF148D">
              <w:t>1 year less discontinuations</w:t>
            </w:r>
            <w:r w:rsidR="00322CBF" w:rsidRPr="00BF148D">
              <w:t xml:space="preserve"> for DS of 4.35% in C</w:t>
            </w:r>
            <w:r w:rsidR="00864991" w:rsidRPr="00BF148D">
              <w:t xml:space="preserve">ycle 1 </w:t>
            </w:r>
            <w:r w:rsidR="00322CBF" w:rsidRPr="00BF148D">
              <w:t>and between 0.50% and 5.41% in C</w:t>
            </w:r>
            <w:r w:rsidR="00864991" w:rsidRPr="00BF148D">
              <w:t>y</w:t>
            </w:r>
            <w:r w:rsidR="00322CBF" w:rsidRPr="00BF148D">
              <w:t>cle 2, and for LGS of 6.25% in C</w:t>
            </w:r>
            <w:r w:rsidR="00864991" w:rsidRPr="00BF148D">
              <w:t>ycle 1</w:t>
            </w:r>
            <w:r w:rsidR="00322CBF" w:rsidRPr="00BF148D">
              <w:t xml:space="preserve"> and between 0.50 and 4.69% in C</w:t>
            </w:r>
            <w:r w:rsidR="00864991" w:rsidRPr="00BF148D">
              <w:t>ycle 2</w:t>
            </w:r>
            <w:r w:rsidRPr="00BF148D">
              <w:t xml:space="preserve"> and mortality of 1.58%</w:t>
            </w:r>
          </w:p>
        </w:tc>
        <w:tc>
          <w:tcPr>
            <w:tcW w:w="912" w:type="pct"/>
            <w:shd w:val="clear" w:color="auto" w:fill="auto"/>
            <w:vAlign w:val="center"/>
          </w:tcPr>
          <w:p w:rsidR="00B60658" w:rsidRPr="00BF148D" w:rsidRDefault="00FE5D4B" w:rsidP="00224858">
            <w:pPr>
              <w:pStyle w:val="TableText0"/>
              <w:jc w:val="center"/>
            </w:pPr>
            <w:r w:rsidRPr="00BF148D">
              <w:t>1 year</w:t>
            </w:r>
            <w:r w:rsidR="00C71FDD" w:rsidRPr="00BF148D">
              <w:t xml:space="preserve"> </w:t>
            </w:r>
          </w:p>
        </w:tc>
      </w:tr>
      <w:tr w:rsidR="00B60658" w:rsidRPr="00BF148D" w:rsidTr="004C318B">
        <w:trPr>
          <w:cantSplit/>
          <w:jc w:val="center"/>
        </w:trPr>
        <w:tc>
          <w:tcPr>
            <w:tcW w:w="626" w:type="pct"/>
            <w:shd w:val="clear" w:color="auto" w:fill="auto"/>
            <w:vAlign w:val="center"/>
          </w:tcPr>
          <w:p w:rsidR="00B60658" w:rsidRPr="00BF148D" w:rsidRDefault="00B60658" w:rsidP="00754314">
            <w:pPr>
              <w:pStyle w:val="TableText0"/>
            </w:pPr>
            <w:r w:rsidRPr="00BF148D">
              <w:t>Cost/patient/</w:t>
            </w:r>
            <w:r w:rsidR="00322CBF" w:rsidRPr="00BF148D">
              <w:t xml:space="preserve"> </w:t>
            </w:r>
            <w:r w:rsidRPr="00BF148D">
              <w:t>trial</w:t>
            </w:r>
            <w:r w:rsidR="00754314">
              <w:t>-</w:t>
            </w:r>
            <w:r w:rsidRPr="00BF148D">
              <w:t>based period</w:t>
            </w:r>
          </w:p>
        </w:tc>
        <w:tc>
          <w:tcPr>
            <w:tcW w:w="866" w:type="pct"/>
            <w:shd w:val="clear" w:color="auto" w:fill="auto"/>
            <w:vAlign w:val="center"/>
          </w:tcPr>
          <w:p w:rsidR="00B60658" w:rsidRPr="00BF148D" w:rsidRDefault="00B60658" w:rsidP="00224858">
            <w:pPr>
              <w:pStyle w:val="TableText0"/>
              <w:jc w:val="center"/>
            </w:pPr>
            <w:r w:rsidRPr="00BF148D">
              <w:t>DS: $</w:t>
            </w:r>
            <w:r w:rsidR="00B451A4">
              <w:rPr>
                <w:noProof/>
                <w:color w:val="000000"/>
                <w:highlight w:val="black"/>
              </w:rPr>
              <w:t>'''''''''''''</w:t>
            </w:r>
          </w:p>
          <w:p w:rsidR="00B60658" w:rsidRPr="00BF148D" w:rsidRDefault="00B60658" w:rsidP="00224858">
            <w:pPr>
              <w:pStyle w:val="TableText0"/>
              <w:jc w:val="center"/>
            </w:pPr>
            <w:r w:rsidRPr="00BF148D">
              <w:t>LGS: $</w:t>
            </w:r>
            <w:r w:rsidR="00B451A4">
              <w:rPr>
                <w:noProof/>
                <w:color w:val="000000"/>
                <w:highlight w:val="black"/>
              </w:rPr>
              <w:t>''''''''''''''</w:t>
            </w:r>
          </w:p>
        </w:tc>
        <w:tc>
          <w:tcPr>
            <w:tcW w:w="865" w:type="pct"/>
            <w:shd w:val="clear" w:color="auto" w:fill="auto"/>
            <w:vAlign w:val="center"/>
          </w:tcPr>
          <w:p w:rsidR="00B60658" w:rsidRPr="00BF148D" w:rsidRDefault="00B60658" w:rsidP="00224858">
            <w:pPr>
              <w:pStyle w:val="TableText0"/>
              <w:jc w:val="center"/>
            </w:pPr>
            <w:r w:rsidRPr="00BF148D">
              <w:t>DS: $</w:t>
            </w:r>
            <w:r w:rsidR="00B451A4">
              <w:rPr>
                <w:noProof/>
                <w:color w:val="000000"/>
                <w:highlight w:val="black"/>
              </w:rPr>
              <w:t>'''''''''''''</w:t>
            </w:r>
          </w:p>
          <w:p w:rsidR="00B60658" w:rsidRPr="00BF148D" w:rsidRDefault="00B60658" w:rsidP="00224858">
            <w:pPr>
              <w:pStyle w:val="TableText0"/>
              <w:jc w:val="center"/>
            </w:pPr>
            <w:r w:rsidRPr="00BF148D">
              <w:t>LGS: $</w:t>
            </w:r>
            <w:r w:rsidR="00B451A4">
              <w:rPr>
                <w:noProof/>
                <w:color w:val="000000"/>
                <w:highlight w:val="black"/>
              </w:rPr>
              <w:t>'''''''''''''</w:t>
            </w:r>
          </w:p>
        </w:tc>
        <w:tc>
          <w:tcPr>
            <w:tcW w:w="1731" w:type="pct"/>
            <w:shd w:val="clear" w:color="auto" w:fill="auto"/>
            <w:vAlign w:val="center"/>
          </w:tcPr>
          <w:p w:rsidR="00B60658" w:rsidRPr="00BF148D" w:rsidRDefault="00FE5D4B" w:rsidP="00224858">
            <w:pPr>
              <w:pStyle w:val="TableText0"/>
              <w:jc w:val="center"/>
            </w:pPr>
            <w:r w:rsidRPr="00BF148D">
              <w:t>-</w:t>
            </w:r>
          </w:p>
        </w:tc>
        <w:tc>
          <w:tcPr>
            <w:tcW w:w="912" w:type="pct"/>
            <w:shd w:val="clear" w:color="auto" w:fill="auto"/>
            <w:vAlign w:val="center"/>
          </w:tcPr>
          <w:p w:rsidR="00B60658" w:rsidRPr="00BF148D" w:rsidRDefault="00FE5D4B" w:rsidP="00224858">
            <w:pPr>
              <w:pStyle w:val="TableText0"/>
              <w:jc w:val="center"/>
            </w:pPr>
            <w:r w:rsidRPr="00BF148D">
              <w:t>-</w:t>
            </w:r>
          </w:p>
        </w:tc>
      </w:tr>
      <w:tr w:rsidR="00B60658" w:rsidRPr="00BF148D" w:rsidTr="004C318B">
        <w:trPr>
          <w:cantSplit/>
          <w:jc w:val="center"/>
        </w:trPr>
        <w:tc>
          <w:tcPr>
            <w:tcW w:w="626" w:type="pct"/>
            <w:shd w:val="clear" w:color="auto" w:fill="auto"/>
            <w:vAlign w:val="center"/>
          </w:tcPr>
          <w:p w:rsidR="00B60658" w:rsidRPr="00BF148D" w:rsidRDefault="00B60658" w:rsidP="00224858">
            <w:pPr>
              <w:pStyle w:val="TableText0"/>
            </w:pPr>
            <w:r w:rsidRPr="00BF148D">
              <w:t>Cost/patient/</w:t>
            </w:r>
            <w:r w:rsidR="00322CBF" w:rsidRPr="00BF148D">
              <w:t xml:space="preserve"> </w:t>
            </w:r>
            <w:r w:rsidR="00FE5D4B" w:rsidRPr="00BF148D">
              <w:t>year</w:t>
            </w:r>
          </w:p>
        </w:tc>
        <w:tc>
          <w:tcPr>
            <w:tcW w:w="866" w:type="pct"/>
            <w:shd w:val="clear" w:color="auto" w:fill="auto"/>
            <w:vAlign w:val="center"/>
          </w:tcPr>
          <w:p w:rsidR="00B60658" w:rsidRPr="00BF148D" w:rsidRDefault="00FE5D4B" w:rsidP="00224858">
            <w:pPr>
              <w:pStyle w:val="TableText0"/>
              <w:jc w:val="center"/>
            </w:pPr>
            <w:r w:rsidRPr="00BF148D">
              <w:t>-</w:t>
            </w:r>
          </w:p>
        </w:tc>
        <w:tc>
          <w:tcPr>
            <w:tcW w:w="865" w:type="pct"/>
            <w:shd w:val="clear" w:color="auto" w:fill="auto"/>
            <w:vAlign w:val="center"/>
          </w:tcPr>
          <w:p w:rsidR="00B60658" w:rsidRPr="00BF148D" w:rsidRDefault="00FE5D4B" w:rsidP="00224858">
            <w:pPr>
              <w:pStyle w:val="TableText0"/>
              <w:jc w:val="center"/>
            </w:pPr>
            <w:r w:rsidRPr="00BF148D">
              <w:t>-</w:t>
            </w:r>
          </w:p>
        </w:tc>
        <w:tc>
          <w:tcPr>
            <w:tcW w:w="1731" w:type="pct"/>
            <w:shd w:val="clear" w:color="auto" w:fill="auto"/>
            <w:vAlign w:val="center"/>
          </w:tcPr>
          <w:p w:rsidR="00B60658" w:rsidRPr="00BF148D" w:rsidRDefault="00837ED6" w:rsidP="00224858">
            <w:pPr>
              <w:pStyle w:val="TableText0"/>
              <w:jc w:val="center"/>
            </w:pPr>
            <w:r w:rsidRPr="00BF148D">
              <w:t>Based on using a 1-year model duration</w:t>
            </w:r>
            <w:r w:rsidR="009967DD" w:rsidRPr="00BF148D">
              <w:t>*</w:t>
            </w:r>
          </w:p>
          <w:p w:rsidR="00837ED6" w:rsidRPr="00BF148D" w:rsidRDefault="00837ED6" w:rsidP="00224858">
            <w:pPr>
              <w:pStyle w:val="TableText0"/>
              <w:jc w:val="center"/>
            </w:pPr>
            <w:r w:rsidRPr="00BF148D">
              <w:t xml:space="preserve">DS: </w:t>
            </w:r>
            <w:r w:rsidR="00322CBF" w:rsidRPr="00BF148D">
              <w:t>$</w:t>
            </w:r>
            <w:r w:rsidR="00B451A4">
              <w:rPr>
                <w:noProof/>
                <w:color w:val="000000"/>
                <w:highlight w:val="black"/>
              </w:rPr>
              <w:t>'''''''''''''''''</w:t>
            </w:r>
          </w:p>
          <w:p w:rsidR="00837ED6" w:rsidRPr="00BF148D" w:rsidRDefault="00837ED6" w:rsidP="00224858">
            <w:pPr>
              <w:pStyle w:val="TableText0"/>
              <w:jc w:val="center"/>
              <w:rPr>
                <w:i/>
              </w:rPr>
            </w:pPr>
            <w:r w:rsidRPr="00BF148D">
              <w:t>LGS: $</w:t>
            </w:r>
            <w:r w:rsidR="00B451A4">
              <w:rPr>
                <w:noProof/>
                <w:color w:val="000000"/>
                <w:highlight w:val="black"/>
              </w:rPr>
              <w:t>'''''''''''''''''</w:t>
            </w:r>
          </w:p>
        </w:tc>
        <w:tc>
          <w:tcPr>
            <w:tcW w:w="912" w:type="pct"/>
            <w:shd w:val="clear" w:color="auto" w:fill="auto"/>
            <w:vAlign w:val="center"/>
          </w:tcPr>
          <w:p w:rsidR="00B60658" w:rsidRPr="00BF148D" w:rsidRDefault="00FE5D4B" w:rsidP="00224858">
            <w:pPr>
              <w:pStyle w:val="TableText0"/>
              <w:jc w:val="center"/>
            </w:pPr>
            <w:r w:rsidRPr="00BF148D">
              <w:t>DS: $</w:t>
            </w:r>
            <w:r w:rsidR="00B451A4">
              <w:rPr>
                <w:noProof/>
                <w:color w:val="000000"/>
                <w:highlight w:val="black"/>
              </w:rPr>
              <w:t>'''''''''''''''''</w:t>
            </w:r>
            <w:r w:rsidR="00517C77" w:rsidRPr="00BF148D">
              <w:t>**</w:t>
            </w:r>
          </w:p>
          <w:p w:rsidR="00FE5D4B" w:rsidRPr="00BF148D" w:rsidRDefault="00FE5D4B" w:rsidP="00224858">
            <w:pPr>
              <w:pStyle w:val="TableText0"/>
              <w:jc w:val="center"/>
            </w:pPr>
            <w:r w:rsidRPr="00BF148D">
              <w:t>LGS: $</w:t>
            </w:r>
            <w:r w:rsidR="00B451A4">
              <w:rPr>
                <w:noProof/>
                <w:color w:val="000000"/>
                <w:highlight w:val="black"/>
              </w:rPr>
              <w:t>''''''''''''''''''</w:t>
            </w:r>
            <w:r w:rsidR="00517C77" w:rsidRPr="00BF148D">
              <w:t>**</w:t>
            </w:r>
          </w:p>
        </w:tc>
      </w:tr>
    </w:tbl>
    <w:p w:rsidR="00580552" w:rsidRPr="00BF148D" w:rsidRDefault="00580552" w:rsidP="00224858">
      <w:pPr>
        <w:pStyle w:val="TableFigureFooter"/>
      </w:pPr>
      <w:r w:rsidRPr="00BF148D">
        <w:t xml:space="preserve">DS = Dravet Syndrome; LGS = Lennox Gastaut Syndrome; </w:t>
      </w:r>
    </w:p>
    <w:p w:rsidR="007827EC" w:rsidRPr="00BF148D" w:rsidRDefault="007827EC" w:rsidP="00224858">
      <w:pPr>
        <w:pStyle w:val="TableFigureFooter"/>
      </w:pPr>
      <w:r w:rsidRPr="00BF148D">
        <w:t xml:space="preserve">Source: </w:t>
      </w:r>
      <w:r w:rsidR="00B60658" w:rsidRPr="00BF148D">
        <w:t>constructed during the evaluation</w:t>
      </w:r>
      <w:r w:rsidR="00FE5D4B" w:rsidRPr="00BF148D">
        <w:t xml:space="preserve"> from Sections 2, 3 and 4 of the submission</w:t>
      </w:r>
      <w:r w:rsidR="00B60658" w:rsidRPr="00BF148D">
        <w:t>.</w:t>
      </w:r>
    </w:p>
    <w:p w:rsidR="009967DD" w:rsidRPr="00BF148D" w:rsidRDefault="009967DD" w:rsidP="00224858">
      <w:pPr>
        <w:pStyle w:val="TableFigureFooter"/>
        <w:tabs>
          <w:tab w:val="left" w:pos="284"/>
        </w:tabs>
      </w:pPr>
      <w:r w:rsidRPr="00BF148D">
        <w:t>*</w:t>
      </w:r>
      <w:r w:rsidRPr="00BF148D">
        <w:tab/>
        <w:t>calculated as treatment cost cannabidiol minus placebo with a 1-year model duration</w:t>
      </w:r>
    </w:p>
    <w:p w:rsidR="00517C77" w:rsidRPr="00BF148D" w:rsidRDefault="00517C77" w:rsidP="00224858">
      <w:pPr>
        <w:pStyle w:val="TableFigureFooter"/>
        <w:tabs>
          <w:tab w:val="left" w:pos="284"/>
        </w:tabs>
      </w:pPr>
      <w:r w:rsidRPr="00BF148D">
        <w:t>**</w:t>
      </w:r>
      <w:r w:rsidRPr="00BF148D">
        <w:tab/>
        <w:t>based on total cost to PBS/number of patients</w:t>
      </w:r>
    </w:p>
    <w:p w:rsidR="00F50206" w:rsidRPr="00BF148D" w:rsidRDefault="00F50206" w:rsidP="00224858">
      <w:pPr>
        <w:pStyle w:val="3-BodyText"/>
        <w:rPr>
          <w:snapToGrid/>
          <w:color w:val="000000" w:themeColor="text1"/>
        </w:rPr>
      </w:pPr>
      <w:r w:rsidRPr="00BF148D">
        <w:rPr>
          <w:color w:val="000000" w:themeColor="text1"/>
        </w:rPr>
        <w:t xml:space="preserve">The cost of cannabidiol per patient </w:t>
      </w:r>
      <w:r w:rsidR="0066205A" w:rsidRPr="00BF148D">
        <w:rPr>
          <w:color w:val="000000" w:themeColor="text1"/>
        </w:rPr>
        <w:t>for the first year of treatment</w:t>
      </w:r>
      <w:r w:rsidRPr="00BF148D">
        <w:rPr>
          <w:color w:val="000000" w:themeColor="text1"/>
        </w:rPr>
        <w:t xml:space="preserve"> </w:t>
      </w:r>
      <w:r w:rsidR="004074F1" w:rsidRPr="00BF148D">
        <w:rPr>
          <w:color w:val="000000" w:themeColor="text1"/>
        </w:rPr>
        <w:t xml:space="preserve">(based on the economic model) </w:t>
      </w:r>
      <w:r w:rsidRPr="00BF148D">
        <w:rPr>
          <w:color w:val="000000" w:themeColor="text1"/>
        </w:rPr>
        <w:t>was estimated to be $</w:t>
      </w:r>
      <w:r w:rsidR="00B451A4">
        <w:rPr>
          <w:noProof/>
          <w:color w:val="000000"/>
          <w:highlight w:val="black"/>
        </w:rPr>
        <w:t>''''''''''''''</w:t>
      </w:r>
      <w:r w:rsidRPr="00BF148D">
        <w:rPr>
          <w:color w:val="000000" w:themeColor="text1"/>
        </w:rPr>
        <w:t xml:space="preserve"> for patients with LGS and $</w:t>
      </w:r>
      <w:r w:rsidR="00B451A4">
        <w:rPr>
          <w:noProof/>
          <w:color w:val="000000"/>
          <w:highlight w:val="black"/>
        </w:rPr>
        <w:t>''''''''''''''</w:t>
      </w:r>
      <w:r w:rsidRPr="00BF148D">
        <w:rPr>
          <w:color w:val="000000" w:themeColor="text1"/>
        </w:rPr>
        <w:t xml:space="preserve"> for patients with DS. This cost was lower compared to the financial estimates, due to the models</w:t>
      </w:r>
      <w:r w:rsidR="00322CBF" w:rsidRPr="00BF148D">
        <w:rPr>
          <w:color w:val="000000" w:themeColor="text1"/>
        </w:rPr>
        <w:t>’</w:t>
      </w:r>
      <w:r w:rsidRPr="00BF148D">
        <w:rPr>
          <w:color w:val="000000" w:themeColor="text1"/>
        </w:rPr>
        <w:t xml:space="preserve"> use of median weights rather than mean weights, and the assumption in the models </w:t>
      </w:r>
      <w:r w:rsidR="00465F73" w:rsidRPr="00BF148D">
        <w:rPr>
          <w:color w:val="000000" w:themeColor="text1"/>
        </w:rPr>
        <w:t>that some patients will discontinue treatment</w:t>
      </w:r>
      <w:r w:rsidRPr="00BF148D">
        <w:rPr>
          <w:color w:val="000000" w:themeColor="text1"/>
        </w:rPr>
        <w:t xml:space="preserve">. </w:t>
      </w:r>
    </w:p>
    <w:p w:rsidR="00A60C70" w:rsidRPr="00BF148D" w:rsidRDefault="00A60C70" w:rsidP="00224858">
      <w:pPr>
        <w:pStyle w:val="3-BodyText"/>
        <w:rPr>
          <w:snapToGrid/>
          <w:color w:val="000000" w:themeColor="text1"/>
        </w:rPr>
      </w:pPr>
      <w:r w:rsidRPr="00BF148D">
        <w:rPr>
          <w:snapToGrid/>
          <w:color w:val="000000" w:themeColor="text1"/>
        </w:rPr>
        <w:t>The PBAC recalled stiripentol had been recommended for the treatment of DS at a modelled cost per patient per year of $</w:t>
      </w:r>
      <w:r w:rsidR="00B451A4">
        <w:rPr>
          <w:noProof/>
          <w:snapToGrid/>
          <w:color w:val="000000"/>
          <w:highlight w:val="black"/>
        </w:rPr>
        <w:t>''''''''''''''</w:t>
      </w:r>
      <w:r w:rsidRPr="00BF148D">
        <w:rPr>
          <w:snapToGrid/>
          <w:color w:val="000000" w:themeColor="text1"/>
        </w:rPr>
        <w:t xml:space="preserve"> (Table 12, stiripentol </w:t>
      </w:r>
      <w:r w:rsidR="000E332F">
        <w:rPr>
          <w:snapToGrid/>
          <w:color w:val="000000" w:themeColor="text1"/>
        </w:rPr>
        <w:t>PSD</w:t>
      </w:r>
      <w:r w:rsidRPr="00BF148D">
        <w:rPr>
          <w:snapToGrid/>
          <w:color w:val="000000" w:themeColor="text1"/>
        </w:rPr>
        <w:t xml:space="preserve">, March 2020 PBAC meeting). </w:t>
      </w:r>
    </w:p>
    <w:p w:rsidR="007827EC" w:rsidRPr="00BF148D" w:rsidRDefault="007827EC" w:rsidP="00224858">
      <w:pPr>
        <w:pStyle w:val="4-SubsectionHeading"/>
      </w:pPr>
      <w:bookmarkStart w:id="58" w:name="_Toc22897647"/>
      <w:bookmarkStart w:id="59" w:name="_Toc38639613"/>
      <w:bookmarkStart w:id="60" w:name="_Toc40880092"/>
      <w:r w:rsidRPr="00BF148D">
        <w:t>Estimated PBS usage &amp; financial implications</w:t>
      </w:r>
      <w:bookmarkEnd w:id="58"/>
      <w:bookmarkEnd w:id="59"/>
      <w:bookmarkEnd w:id="60"/>
    </w:p>
    <w:p w:rsidR="006672B6" w:rsidRPr="00BF148D" w:rsidRDefault="00644CF2" w:rsidP="00224858">
      <w:pPr>
        <w:pStyle w:val="3-BodyText"/>
      </w:pPr>
      <w:r w:rsidRPr="00BF148D">
        <w:t>This submission was</w:t>
      </w:r>
      <w:r w:rsidR="006672B6" w:rsidRPr="00BF148D">
        <w:t xml:space="preserve"> </w:t>
      </w:r>
      <w:r w:rsidRPr="00BF148D">
        <w:t>not</w:t>
      </w:r>
      <w:r w:rsidR="007827EC" w:rsidRPr="00BF148D">
        <w:t xml:space="preserve"> considered by DUSC. </w:t>
      </w:r>
      <w:r w:rsidR="006672B6" w:rsidRPr="00BF148D">
        <w:t>The submission used an epidemiological approach to estimate both the incidence and prevalence of DS and LGS in Australia</w:t>
      </w:r>
      <w:r w:rsidR="007B0B60" w:rsidRPr="00BF148D">
        <w:t>, the utilisation of cannabidiol and the associated financial implications to the PBS and the health budget</w:t>
      </w:r>
      <w:r w:rsidR="00D73D0A" w:rsidRPr="00BF148D">
        <w:t xml:space="preserve">. It was assumed that cannabidiol would be prescribed as adjunctive therapy to other AEDs, that patients </w:t>
      </w:r>
      <w:r w:rsidR="0043087C" w:rsidRPr="00BF148D">
        <w:t xml:space="preserve">would </w:t>
      </w:r>
      <w:r w:rsidR="00D73D0A" w:rsidRPr="00BF148D">
        <w:t xml:space="preserve">cease treatment without tapering of the dose should they not have at least a 30% reduction in seizure frequency per month from baseline within 12 months of initiating therapy, and that there </w:t>
      </w:r>
      <w:r w:rsidR="0043087C" w:rsidRPr="00BF148D">
        <w:t xml:space="preserve">would </w:t>
      </w:r>
      <w:r w:rsidR="00D73D0A" w:rsidRPr="00BF148D">
        <w:t>be no change in the dose of cannabidiol or in the use of any other AEDs over time</w:t>
      </w:r>
      <w:r w:rsidR="006672B6" w:rsidRPr="00BF148D">
        <w:t>.</w:t>
      </w:r>
      <w:r w:rsidR="00CB011B" w:rsidRPr="00BF148D">
        <w:t xml:space="preserve"> It was also assumed that there would be net savings to the health budget associated with reduced hospitalisation for patients becoming seizure free on cannabidiol. </w:t>
      </w:r>
    </w:p>
    <w:p w:rsidR="00BA47E5" w:rsidRPr="00BF148D" w:rsidRDefault="00580552" w:rsidP="00224858">
      <w:pPr>
        <w:pStyle w:val="3-BodyText"/>
      </w:pPr>
      <w:r w:rsidRPr="00BF148D">
        <w:t>Table 12</w:t>
      </w:r>
      <w:r w:rsidR="008F5410" w:rsidRPr="00BF148D">
        <w:t xml:space="preserve"> </w:t>
      </w:r>
      <w:r w:rsidR="00BA47E5" w:rsidRPr="00BF148D">
        <w:t xml:space="preserve">summarises the key inputs used in the financial estimates. </w:t>
      </w:r>
    </w:p>
    <w:p w:rsidR="007827EC" w:rsidRPr="00BF148D" w:rsidRDefault="008F5410" w:rsidP="00224858">
      <w:pPr>
        <w:pStyle w:val="TableFigureHeading"/>
        <w:rPr>
          <w:rStyle w:val="CommentReference"/>
          <w:b/>
          <w:szCs w:val="24"/>
        </w:rPr>
      </w:pPr>
      <w:bookmarkStart w:id="61" w:name="_Ref39813302"/>
      <w:r w:rsidRPr="00BF148D">
        <w:rPr>
          <w:rStyle w:val="CommentReference"/>
          <w:b/>
          <w:szCs w:val="24"/>
        </w:rPr>
        <w:lastRenderedPageBreak/>
        <w:t xml:space="preserve">Table </w:t>
      </w:r>
      <w:r w:rsidR="00580552" w:rsidRPr="00BF148D">
        <w:rPr>
          <w:rStyle w:val="CommentReference"/>
          <w:b/>
          <w:szCs w:val="24"/>
        </w:rPr>
        <w:t>12</w:t>
      </w:r>
      <w:bookmarkEnd w:id="61"/>
      <w:r w:rsidR="007827EC" w:rsidRPr="00BF148D">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403"/>
        <w:gridCol w:w="4059"/>
      </w:tblGrid>
      <w:tr w:rsidR="00C23119" w:rsidRPr="00BF148D" w:rsidTr="00742186">
        <w:trPr>
          <w:tblHeader/>
        </w:trPr>
        <w:tc>
          <w:tcPr>
            <w:tcW w:w="862" w:type="pct"/>
            <w:shd w:val="clear" w:color="auto" w:fill="auto"/>
            <w:vAlign w:val="center"/>
          </w:tcPr>
          <w:p w:rsidR="007827EC" w:rsidRPr="00BF148D" w:rsidRDefault="007827EC" w:rsidP="00224858">
            <w:pPr>
              <w:pStyle w:val="In-tableHeading"/>
              <w:rPr>
                <w:lang w:val="en-AU"/>
              </w:rPr>
            </w:pPr>
            <w:r w:rsidRPr="00BF148D">
              <w:rPr>
                <w:lang w:val="en-AU"/>
              </w:rPr>
              <w:t>Parameter</w:t>
            </w:r>
          </w:p>
        </w:tc>
        <w:tc>
          <w:tcPr>
            <w:tcW w:w="1887" w:type="pct"/>
            <w:shd w:val="clear" w:color="auto" w:fill="auto"/>
          </w:tcPr>
          <w:p w:rsidR="007827EC" w:rsidRPr="00BF148D" w:rsidRDefault="007827EC" w:rsidP="00224858">
            <w:pPr>
              <w:pStyle w:val="In-tableHeading"/>
              <w:jc w:val="center"/>
              <w:rPr>
                <w:lang w:val="en-AU"/>
              </w:rPr>
            </w:pPr>
            <w:r w:rsidRPr="00BF148D">
              <w:rPr>
                <w:lang w:val="en-AU"/>
              </w:rPr>
              <w:t>Value applied and source</w:t>
            </w:r>
          </w:p>
        </w:tc>
        <w:tc>
          <w:tcPr>
            <w:tcW w:w="2251" w:type="pct"/>
            <w:shd w:val="clear" w:color="auto" w:fill="auto"/>
          </w:tcPr>
          <w:p w:rsidR="007827EC" w:rsidRPr="00BF148D" w:rsidRDefault="007827EC" w:rsidP="00224858">
            <w:pPr>
              <w:pStyle w:val="In-tableHeading"/>
              <w:jc w:val="center"/>
              <w:rPr>
                <w:lang w:val="en-AU"/>
              </w:rPr>
            </w:pPr>
            <w:r w:rsidRPr="00BF148D">
              <w:rPr>
                <w:lang w:val="en-AU"/>
              </w:rPr>
              <w:t>Comment</w:t>
            </w:r>
          </w:p>
        </w:tc>
      </w:tr>
      <w:tr w:rsidR="00C23119" w:rsidRPr="00BF148D" w:rsidTr="00742186">
        <w:tc>
          <w:tcPr>
            <w:tcW w:w="862" w:type="pct"/>
            <w:shd w:val="clear" w:color="auto" w:fill="auto"/>
            <w:vAlign w:val="center"/>
          </w:tcPr>
          <w:p w:rsidR="007827EC" w:rsidRPr="00BF148D" w:rsidRDefault="007D3151" w:rsidP="00224858">
            <w:pPr>
              <w:pStyle w:val="TableText0"/>
            </w:pPr>
            <w:r w:rsidRPr="00BF148D">
              <w:t>Incidence/prevalent population</w:t>
            </w:r>
          </w:p>
        </w:tc>
        <w:tc>
          <w:tcPr>
            <w:tcW w:w="1887" w:type="pct"/>
            <w:shd w:val="clear" w:color="auto" w:fill="auto"/>
            <w:vAlign w:val="center"/>
          </w:tcPr>
          <w:p w:rsidR="002F6C9F" w:rsidRPr="00BF148D" w:rsidRDefault="002F6C9F" w:rsidP="00224858">
            <w:pPr>
              <w:pStyle w:val="TableText0"/>
            </w:pPr>
            <w:r w:rsidRPr="00BF148D">
              <w:t>LGS: Incidence rate 0.0019%, prevalence rate 0.016% from systematic review of publications</w:t>
            </w:r>
            <w:r w:rsidR="00397BDB" w:rsidRPr="00BF148D">
              <w:t xml:space="preserve">. </w:t>
            </w:r>
            <w:r w:rsidRPr="00BF148D">
              <w:t>DS: 0.003%, prevalence 0.004% from Rosander 2015</w:t>
            </w:r>
          </w:p>
        </w:tc>
        <w:tc>
          <w:tcPr>
            <w:tcW w:w="2251" w:type="pct"/>
            <w:shd w:val="clear" w:color="auto" w:fill="auto"/>
            <w:vAlign w:val="center"/>
          </w:tcPr>
          <w:p w:rsidR="007827EC" w:rsidRPr="00BF148D" w:rsidRDefault="004A59AC" w:rsidP="00224858">
            <w:pPr>
              <w:pStyle w:val="TableText0"/>
            </w:pPr>
            <w:r w:rsidRPr="00BF148D">
              <w:t xml:space="preserve">The ESC noted the prevalence of DS in the Rosander 2015 paper </w:t>
            </w:r>
            <w:r w:rsidR="00322666" w:rsidRPr="00BF148D">
              <w:t>was</w:t>
            </w:r>
            <w:r w:rsidRPr="00BF148D">
              <w:t xml:space="preserve"> reported as 1/45,700 or 0.002%. </w:t>
            </w:r>
          </w:p>
          <w:p w:rsidR="004A59AC" w:rsidRPr="00BF148D" w:rsidRDefault="000853D1" w:rsidP="00224858">
            <w:pPr>
              <w:pStyle w:val="TableText0"/>
            </w:pPr>
            <w:r w:rsidRPr="00BF148D">
              <w:t xml:space="preserve">The ESC noted the incidence and prevalence of LGS was based on a systemic review but </w:t>
            </w:r>
            <w:r w:rsidR="00ED5478" w:rsidRPr="00BF148D">
              <w:t xml:space="preserve">minimal </w:t>
            </w:r>
            <w:r w:rsidRPr="00BF148D">
              <w:t>detail regarding the revie</w:t>
            </w:r>
            <w:r w:rsidR="002F2426" w:rsidRPr="00BF148D">
              <w:t>w or associated publications were</w:t>
            </w:r>
            <w:r w:rsidRPr="00BF148D">
              <w:t xml:space="preserve"> provided in the submission.</w:t>
            </w:r>
            <w:r w:rsidR="00EB62D6" w:rsidRPr="00BF148D">
              <w:t xml:space="preserve"> </w:t>
            </w:r>
          </w:p>
          <w:p w:rsidR="004A59AC" w:rsidRPr="00BF148D" w:rsidRDefault="004A59AC" w:rsidP="00224858">
            <w:pPr>
              <w:pStyle w:val="TableText0"/>
              <w:rPr>
                <w:i/>
              </w:rPr>
            </w:pPr>
          </w:p>
        </w:tc>
      </w:tr>
      <w:tr w:rsidR="00C23119" w:rsidRPr="00BF148D" w:rsidTr="00742186">
        <w:tc>
          <w:tcPr>
            <w:tcW w:w="862" w:type="pct"/>
            <w:shd w:val="clear" w:color="auto" w:fill="auto"/>
            <w:vAlign w:val="center"/>
          </w:tcPr>
          <w:p w:rsidR="008A3DDC" w:rsidRPr="00BF148D" w:rsidRDefault="008A3DDC" w:rsidP="00224858">
            <w:pPr>
              <w:pStyle w:val="TableText0"/>
              <w:keepNext w:val="0"/>
            </w:pPr>
            <w:r w:rsidRPr="00BF148D">
              <w:t>% who are inadequately controlled on current AEDs</w:t>
            </w:r>
          </w:p>
        </w:tc>
        <w:tc>
          <w:tcPr>
            <w:tcW w:w="1887" w:type="pct"/>
            <w:shd w:val="clear" w:color="auto" w:fill="auto"/>
            <w:vAlign w:val="center"/>
          </w:tcPr>
          <w:p w:rsidR="008A3DDC" w:rsidRPr="00BF148D" w:rsidRDefault="008A3DDC" w:rsidP="00224858">
            <w:pPr>
              <w:pStyle w:val="TableText0"/>
              <w:keepNext w:val="0"/>
            </w:pPr>
            <w:r w:rsidRPr="00BF148D">
              <w:t>85%, based on Ostendorf 2017</w:t>
            </w:r>
          </w:p>
        </w:tc>
        <w:tc>
          <w:tcPr>
            <w:tcW w:w="2251" w:type="pct"/>
            <w:shd w:val="clear" w:color="auto" w:fill="auto"/>
            <w:vAlign w:val="center"/>
          </w:tcPr>
          <w:p w:rsidR="008A3DDC" w:rsidRPr="00BF148D" w:rsidRDefault="008A3DDC" w:rsidP="00224858">
            <w:pPr>
              <w:pStyle w:val="TableText0"/>
              <w:keepNext w:val="0"/>
            </w:pPr>
            <w:r w:rsidRPr="00BF148D">
              <w:rPr>
                <w:rFonts w:eastAsiaTheme="minorHAnsi" w:cstheme="minorBidi"/>
                <w:szCs w:val="22"/>
                <w:lang w:eastAsia="en-US"/>
              </w:rPr>
              <w:t>Not a req</w:t>
            </w:r>
            <w:r w:rsidR="00C23119" w:rsidRPr="00BF148D">
              <w:rPr>
                <w:rFonts w:eastAsiaTheme="minorHAnsi" w:cstheme="minorBidi"/>
                <w:szCs w:val="22"/>
                <w:lang w:eastAsia="en-US"/>
              </w:rPr>
              <w:t>uirement for use of cannabidiol. U</w:t>
            </w:r>
            <w:r w:rsidR="00322CBF" w:rsidRPr="00BF148D">
              <w:rPr>
                <w:rFonts w:eastAsiaTheme="minorHAnsi" w:cstheme="minorBidi"/>
                <w:szCs w:val="22"/>
                <w:lang w:eastAsia="en-US"/>
              </w:rPr>
              <w:t>n</w:t>
            </w:r>
            <w:r w:rsidRPr="00BF148D">
              <w:rPr>
                <w:rFonts w:eastAsiaTheme="minorHAnsi" w:cstheme="minorBidi"/>
                <w:szCs w:val="22"/>
                <w:lang w:eastAsia="en-US"/>
              </w:rPr>
              <w:t>reason</w:t>
            </w:r>
            <w:r w:rsidR="00C23119" w:rsidRPr="00BF148D">
              <w:rPr>
                <w:rFonts w:eastAsiaTheme="minorHAnsi" w:cstheme="minorBidi"/>
                <w:szCs w:val="22"/>
                <w:lang w:eastAsia="en-US"/>
              </w:rPr>
              <w:t>able to apply this assumption</w:t>
            </w:r>
            <w:r w:rsidRPr="00BF148D">
              <w:rPr>
                <w:rFonts w:eastAsiaTheme="minorHAnsi" w:cstheme="minorBidi"/>
                <w:szCs w:val="22"/>
                <w:lang w:eastAsia="en-US"/>
              </w:rPr>
              <w:t xml:space="preserve">. </w:t>
            </w:r>
            <w:r w:rsidR="00C23119" w:rsidRPr="00BF148D">
              <w:rPr>
                <w:rFonts w:eastAsiaTheme="minorHAnsi" w:cstheme="minorBidi"/>
                <w:szCs w:val="22"/>
                <w:lang w:eastAsia="en-US"/>
              </w:rPr>
              <w:t>C</w:t>
            </w:r>
            <w:r w:rsidRPr="00BF148D">
              <w:rPr>
                <w:rFonts w:eastAsiaTheme="minorHAnsi" w:cstheme="minorBidi"/>
                <w:szCs w:val="22"/>
                <w:lang w:eastAsia="en-US"/>
              </w:rPr>
              <w:t xml:space="preserve">orrected in </w:t>
            </w:r>
            <w:r w:rsidR="00C23119" w:rsidRPr="00BF148D">
              <w:rPr>
                <w:rFonts w:eastAsiaTheme="minorHAnsi" w:cstheme="minorBidi"/>
                <w:szCs w:val="22"/>
                <w:lang w:eastAsia="en-US"/>
              </w:rPr>
              <w:t xml:space="preserve">the revised base case </w:t>
            </w:r>
            <w:r w:rsidRPr="00BF148D">
              <w:rPr>
                <w:rFonts w:eastAsiaTheme="minorHAnsi" w:cstheme="minorBidi"/>
                <w:szCs w:val="22"/>
                <w:lang w:eastAsia="en-US"/>
              </w:rPr>
              <w:t>to 100%</w:t>
            </w:r>
          </w:p>
        </w:tc>
      </w:tr>
      <w:tr w:rsidR="008A3DDC" w:rsidRPr="00BF148D" w:rsidTr="00742186">
        <w:tc>
          <w:tcPr>
            <w:tcW w:w="862" w:type="pct"/>
            <w:shd w:val="clear" w:color="auto" w:fill="auto"/>
            <w:vAlign w:val="center"/>
          </w:tcPr>
          <w:p w:rsidR="008A3DDC" w:rsidRPr="00BF148D" w:rsidRDefault="008A3DDC" w:rsidP="00224858">
            <w:pPr>
              <w:pStyle w:val="TableText0"/>
              <w:keepNext w:val="0"/>
            </w:pPr>
            <w:r w:rsidRPr="00BF148D">
              <w:t>% medically eligible for cannabis</w:t>
            </w:r>
          </w:p>
        </w:tc>
        <w:tc>
          <w:tcPr>
            <w:tcW w:w="1887" w:type="pct"/>
            <w:shd w:val="clear" w:color="auto" w:fill="auto"/>
            <w:vAlign w:val="center"/>
          </w:tcPr>
          <w:p w:rsidR="008A3DDC" w:rsidRPr="00BF148D" w:rsidRDefault="008A3DDC" w:rsidP="00224858">
            <w:pPr>
              <w:pStyle w:val="TableText0"/>
              <w:keepNext w:val="0"/>
              <w:rPr>
                <w:rFonts w:eastAsiaTheme="minorHAnsi" w:cstheme="minorBidi"/>
                <w:szCs w:val="22"/>
                <w:lang w:eastAsia="en-US"/>
              </w:rPr>
            </w:pPr>
            <w:r w:rsidRPr="00BF148D">
              <w:rPr>
                <w:rFonts w:eastAsiaTheme="minorHAnsi" w:cstheme="minorBidi"/>
                <w:szCs w:val="22"/>
                <w:lang w:eastAsia="en-US"/>
              </w:rPr>
              <w:t>90%, based on clinician feedback in the UK</w:t>
            </w:r>
          </w:p>
        </w:tc>
        <w:tc>
          <w:tcPr>
            <w:tcW w:w="2251" w:type="pct"/>
            <w:shd w:val="clear" w:color="auto" w:fill="auto"/>
            <w:vAlign w:val="center"/>
          </w:tcPr>
          <w:p w:rsidR="008A3DDC" w:rsidRPr="00BF148D" w:rsidRDefault="00C23119" w:rsidP="00224858">
            <w:pPr>
              <w:jc w:val="left"/>
              <w:rPr>
                <w:rFonts w:ascii="Arial Narrow" w:eastAsiaTheme="minorHAnsi" w:hAnsi="Arial Narrow" w:cstheme="minorBidi"/>
                <w:sz w:val="20"/>
                <w:szCs w:val="22"/>
                <w:lang w:eastAsia="en-US"/>
              </w:rPr>
            </w:pPr>
            <w:r w:rsidRPr="00BF148D">
              <w:rPr>
                <w:rFonts w:ascii="Arial Narrow" w:eastAsiaTheme="minorHAnsi" w:hAnsi="Arial Narrow" w:cstheme="minorBidi"/>
                <w:sz w:val="20"/>
                <w:szCs w:val="22"/>
                <w:lang w:eastAsia="en-US"/>
              </w:rPr>
              <w:t>C</w:t>
            </w:r>
            <w:r w:rsidR="008A3DDC" w:rsidRPr="00BF148D">
              <w:rPr>
                <w:rFonts w:ascii="Arial Narrow" w:eastAsiaTheme="minorHAnsi" w:hAnsi="Arial Narrow" w:cstheme="minorBidi"/>
                <w:sz w:val="20"/>
                <w:szCs w:val="22"/>
                <w:lang w:eastAsia="en-US"/>
              </w:rPr>
              <w:t xml:space="preserve">onsidered unreasonable to apply this assumption </w:t>
            </w:r>
            <w:r w:rsidRPr="00BF148D">
              <w:rPr>
                <w:rFonts w:ascii="Arial Narrow" w:eastAsiaTheme="minorHAnsi" w:hAnsi="Arial Narrow" w:cstheme="minorBidi"/>
                <w:sz w:val="20"/>
                <w:szCs w:val="22"/>
                <w:lang w:eastAsia="en-US"/>
              </w:rPr>
              <w:t>given no justification for it and no definition of it. C</w:t>
            </w:r>
            <w:r w:rsidR="008A3DDC" w:rsidRPr="00BF148D">
              <w:rPr>
                <w:rFonts w:ascii="Arial Narrow" w:eastAsiaTheme="minorHAnsi" w:hAnsi="Arial Narrow" w:cstheme="minorBidi"/>
                <w:sz w:val="20"/>
                <w:szCs w:val="22"/>
                <w:lang w:eastAsia="en-US"/>
              </w:rPr>
              <w:t>orrected in the revised base case to 100%</w:t>
            </w:r>
          </w:p>
        </w:tc>
      </w:tr>
      <w:tr w:rsidR="00C23119" w:rsidRPr="00BF148D" w:rsidTr="00742186">
        <w:tc>
          <w:tcPr>
            <w:tcW w:w="862" w:type="pct"/>
            <w:shd w:val="clear" w:color="auto" w:fill="auto"/>
            <w:vAlign w:val="center"/>
          </w:tcPr>
          <w:p w:rsidR="007827EC" w:rsidRPr="00BF148D" w:rsidRDefault="007D3151" w:rsidP="00224858">
            <w:pPr>
              <w:pStyle w:val="TableText0"/>
              <w:keepNext w:val="0"/>
            </w:pPr>
            <w:r w:rsidRPr="00BF148D">
              <w:t>Uptake rate</w:t>
            </w:r>
          </w:p>
        </w:tc>
        <w:tc>
          <w:tcPr>
            <w:tcW w:w="1887" w:type="pct"/>
            <w:shd w:val="clear" w:color="auto" w:fill="auto"/>
            <w:vAlign w:val="center"/>
          </w:tcPr>
          <w:p w:rsidR="00322CBF" w:rsidRPr="00BF148D" w:rsidRDefault="007D3151" w:rsidP="00224858">
            <w:pPr>
              <w:pStyle w:val="TableText0"/>
              <w:keepNext w:val="0"/>
              <w:rPr>
                <w:rFonts w:eastAsiaTheme="minorHAnsi" w:cstheme="minorBidi"/>
                <w:szCs w:val="22"/>
                <w:lang w:eastAsia="en-US"/>
              </w:rPr>
            </w:pPr>
            <w:r w:rsidRPr="00BF148D">
              <w:rPr>
                <w:rFonts w:eastAsiaTheme="minorHAnsi" w:cstheme="minorBidi"/>
                <w:szCs w:val="22"/>
                <w:lang w:eastAsia="en-US"/>
              </w:rPr>
              <w:t>LGS</w:t>
            </w:r>
            <w:r w:rsidR="00D40F0E" w:rsidRPr="00BF148D">
              <w:rPr>
                <w:rFonts w:eastAsiaTheme="minorHAnsi" w:cstheme="minorBidi"/>
                <w:szCs w:val="22"/>
                <w:lang w:eastAsia="en-US"/>
              </w:rPr>
              <w:t xml:space="preserve">: </w:t>
            </w:r>
            <w:r w:rsidRPr="00BF148D">
              <w:rPr>
                <w:rFonts w:eastAsiaTheme="minorHAnsi" w:cstheme="minorBidi"/>
                <w:szCs w:val="22"/>
                <w:lang w:eastAsia="en-US"/>
              </w:rPr>
              <w:t>Prevalent: 48% in 2021, increasing to 64%, 74%, 82%,</w:t>
            </w:r>
            <w:r w:rsidR="00322666" w:rsidRPr="00BF148D">
              <w:rPr>
                <w:rFonts w:eastAsiaTheme="minorHAnsi" w:cstheme="minorBidi"/>
                <w:szCs w:val="22"/>
                <w:lang w:eastAsia="en-US"/>
              </w:rPr>
              <w:t xml:space="preserve"> </w:t>
            </w:r>
            <w:r w:rsidRPr="00BF148D">
              <w:rPr>
                <w:rFonts w:eastAsiaTheme="minorHAnsi" w:cstheme="minorBidi"/>
                <w:szCs w:val="22"/>
                <w:lang w:eastAsia="en-US"/>
              </w:rPr>
              <w:t>88% and 96% in years up to 2026</w:t>
            </w:r>
            <w:r w:rsidR="00D40F0E" w:rsidRPr="00BF148D">
              <w:rPr>
                <w:rFonts w:eastAsiaTheme="minorHAnsi" w:cstheme="minorBidi"/>
                <w:szCs w:val="22"/>
                <w:lang w:eastAsia="en-US"/>
              </w:rPr>
              <w:t xml:space="preserve">. </w:t>
            </w:r>
            <w:r w:rsidRPr="00BF148D">
              <w:rPr>
                <w:rFonts w:eastAsiaTheme="minorHAnsi" w:cstheme="minorBidi"/>
                <w:szCs w:val="22"/>
                <w:lang w:eastAsia="en-US"/>
              </w:rPr>
              <w:t>Incident: 0% in 2021 and 5% thereafter.</w:t>
            </w:r>
            <w:r w:rsidR="00397BDB" w:rsidRPr="00BF148D">
              <w:rPr>
                <w:rFonts w:eastAsiaTheme="minorHAnsi" w:cstheme="minorBidi"/>
                <w:szCs w:val="22"/>
                <w:lang w:eastAsia="en-US"/>
              </w:rPr>
              <w:t xml:space="preserve"> </w:t>
            </w:r>
          </w:p>
          <w:p w:rsidR="00322CBF" w:rsidRPr="00BF148D" w:rsidRDefault="007D3151" w:rsidP="00224858">
            <w:pPr>
              <w:pStyle w:val="TableText0"/>
              <w:keepNext w:val="0"/>
              <w:rPr>
                <w:rFonts w:eastAsiaTheme="minorHAnsi" w:cstheme="minorBidi"/>
                <w:szCs w:val="22"/>
                <w:lang w:eastAsia="en-US"/>
              </w:rPr>
            </w:pPr>
            <w:r w:rsidRPr="00BF148D">
              <w:rPr>
                <w:rFonts w:eastAsiaTheme="minorHAnsi" w:cstheme="minorBidi"/>
                <w:szCs w:val="22"/>
                <w:lang w:eastAsia="en-US"/>
              </w:rPr>
              <w:t>DS</w:t>
            </w:r>
            <w:r w:rsidR="00D40F0E" w:rsidRPr="00BF148D">
              <w:rPr>
                <w:rFonts w:eastAsiaTheme="minorHAnsi" w:cstheme="minorBidi"/>
                <w:szCs w:val="22"/>
                <w:lang w:eastAsia="en-US"/>
              </w:rPr>
              <w:t xml:space="preserve">: </w:t>
            </w:r>
            <w:r w:rsidRPr="00BF148D">
              <w:rPr>
                <w:rFonts w:eastAsiaTheme="minorHAnsi" w:cstheme="minorBidi"/>
                <w:szCs w:val="22"/>
                <w:lang w:eastAsia="en-US"/>
              </w:rPr>
              <w:t>Prevalent: 60% in 2021, increasing to 78%, 84%, 87%, 92% and 96% in years up to 2026</w:t>
            </w:r>
            <w:r w:rsidR="00D40F0E" w:rsidRPr="00BF148D">
              <w:rPr>
                <w:rFonts w:eastAsiaTheme="minorHAnsi" w:cstheme="minorBidi"/>
                <w:szCs w:val="22"/>
                <w:lang w:eastAsia="en-US"/>
              </w:rPr>
              <w:t xml:space="preserve">. </w:t>
            </w:r>
            <w:r w:rsidRPr="00BF148D">
              <w:rPr>
                <w:rFonts w:eastAsiaTheme="minorHAnsi" w:cstheme="minorBidi"/>
                <w:szCs w:val="22"/>
                <w:lang w:eastAsia="en-US"/>
              </w:rPr>
              <w:t>Incident: 0% in 2021 and 5% thereafter.</w:t>
            </w:r>
            <w:r w:rsidR="00397BDB" w:rsidRPr="00BF148D">
              <w:rPr>
                <w:rFonts w:eastAsiaTheme="minorHAnsi" w:cstheme="minorBidi"/>
                <w:szCs w:val="22"/>
                <w:lang w:eastAsia="en-US"/>
              </w:rPr>
              <w:t xml:space="preserve"> </w:t>
            </w:r>
          </w:p>
          <w:p w:rsidR="007D3151" w:rsidRPr="00BF148D" w:rsidRDefault="00397BDB" w:rsidP="00224858">
            <w:pPr>
              <w:pStyle w:val="TableText0"/>
              <w:keepNext w:val="0"/>
              <w:rPr>
                <w:rFonts w:eastAsiaTheme="minorHAnsi" w:cstheme="minorBidi"/>
                <w:szCs w:val="22"/>
                <w:lang w:eastAsia="en-US"/>
              </w:rPr>
            </w:pPr>
            <w:r w:rsidRPr="00BF148D">
              <w:rPr>
                <w:rFonts w:eastAsiaTheme="minorHAnsi" w:cstheme="minorBidi"/>
                <w:szCs w:val="22"/>
                <w:lang w:eastAsia="en-US"/>
              </w:rPr>
              <w:t>From s</w:t>
            </w:r>
            <w:r w:rsidR="007D3151" w:rsidRPr="00BF148D">
              <w:rPr>
                <w:rFonts w:eastAsiaTheme="minorHAnsi" w:cstheme="minorBidi"/>
                <w:szCs w:val="22"/>
                <w:lang w:eastAsia="en-US"/>
              </w:rPr>
              <w:t>ponsor projections from UK and US uptake</w:t>
            </w:r>
            <w:r w:rsidR="00322666" w:rsidRPr="00BF148D">
              <w:rPr>
                <w:rFonts w:eastAsiaTheme="minorHAnsi" w:cstheme="minorBidi"/>
                <w:szCs w:val="22"/>
                <w:lang w:eastAsia="en-US"/>
              </w:rPr>
              <w:t>.</w:t>
            </w:r>
          </w:p>
        </w:tc>
        <w:tc>
          <w:tcPr>
            <w:tcW w:w="2251" w:type="pct"/>
            <w:shd w:val="clear" w:color="auto" w:fill="auto"/>
            <w:vAlign w:val="center"/>
          </w:tcPr>
          <w:p w:rsidR="007827EC" w:rsidRPr="00BF148D" w:rsidRDefault="007D3151" w:rsidP="009C6ED7">
            <w:pPr>
              <w:jc w:val="left"/>
            </w:pPr>
            <w:r w:rsidRPr="00BF148D">
              <w:rPr>
                <w:rFonts w:ascii="Arial Narrow" w:eastAsiaTheme="minorHAnsi" w:hAnsi="Arial Narrow" w:cstheme="minorBidi"/>
                <w:sz w:val="20"/>
                <w:szCs w:val="22"/>
                <w:lang w:eastAsia="en-US"/>
              </w:rPr>
              <w:t xml:space="preserve">Considered highly uncertain and </w:t>
            </w:r>
            <w:r w:rsidR="009C6ED7" w:rsidRPr="00BF148D">
              <w:rPr>
                <w:rFonts w:ascii="Arial Narrow" w:eastAsiaTheme="minorHAnsi" w:hAnsi="Arial Narrow" w:cstheme="minorBidi"/>
                <w:sz w:val="20"/>
                <w:szCs w:val="22"/>
                <w:lang w:eastAsia="en-US"/>
              </w:rPr>
              <w:t>likely</w:t>
            </w:r>
            <w:r w:rsidR="00EB62D6" w:rsidRPr="00BF148D">
              <w:rPr>
                <w:rFonts w:ascii="Arial Narrow" w:eastAsiaTheme="minorHAnsi" w:hAnsi="Arial Narrow" w:cstheme="minorBidi"/>
                <w:sz w:val="20"/>
                <w:szCs w:val="22"/>
                <w:lang w:eastAsia="en-US"/>
              </w:rPr>
              <w:t xml:space="preserve"> </w:t>
            </w:r>
            <w:r w:rsidRPr="00BF148D">
              <w:rPr>
                <w:rFonts w:ascii="Arial Narrow" w:eastAsiaTheme="minorHAnsi" w:hAnsi="Arial Narrow" w:cstheme="minorBidi"/>
                <w:sz w:val="20"/>
                <w:szCs w:val="22"/>
                <w:lang w:eastAsia="en-US"/>
              </w:rPr>
              <w:t>underestimated.</w:t>
            </w:r>
          </w:p>
        </w:tc>
      </w:tr>
      <w:tr w:rsidR="00C23119" w:rsidRPr="00BF148D" w:rsidTr="00742186">
        <w:tc>
          <w:tcPr>
            <w:tcW w:w="862" w:type="pct"/>
            <w:shd w:val="clear" w:color="auto" w:fill="auto"/>
            <w:vAlign w:val="center"/>
          </w:tcPr>
          <w:p w:rsidR="007827EC" w:rsidRPr="00BF148D" w:rsidRDefault="007D3151" w:rsidP="00224858">
            <w:pPr>
              <w:pStyle w:val="TableText0"/>
              <w:keepNext w:val="0"/>
            </w:pPr>
            <w:r w:rsidRPr="00BF148D">
              <w:t>Patients continuing after 12 months</w:t>
            </w:r>
          </w:p>
        </w:tc>
        <w:tc>
          <w:tcPr>
            <w:tcW w:w="1887" w:type="pct"/>
            <w:shd w:val="clear" w:color="auto" w:fill="auto"/>
            <w:vAlign w:val="center"/>
          </w:tcPr>
          <w:p w:rsidR="007827EC" w:rsidRPr="00BF148D" w:rsidRDefault="007D3151" w:rsidP="00224858">
            <w:pPr>
              <w:pStyle w:val="TableText0"/>
              <w:keepNext w:val="0"/>
            </w:pPr>
            <w:r w:rsidRPr="00BF148D">
              <w:t>LGS: 63% (from GWPCARE2 trial)</w:t>
            </w:r>
          </w:p>
          <w:p w:rsidR="007D3151" w:rsidRPr="00BF148D" w:rsidRDefault="007D3151" w:rsidP="00224858">
            <w:pPr>
              <w:pStyle w:val="TableText0"/>
              <w:keepNext w:val="0"/>
            </w:pPr>
            <w:r w:rsidRPr="00BF148D">
              <w:t>DS:</w:t>
            </w:r>
            <w:r w:rsidR="00BC5C17" w:rsidRPr="00BF148D">
              <w:t xml:space="preserve"> 44% (stated to be from GWPCARE</w:t>
            </w:r>
            <w:r w:rsidRPr="00BF148D">
              <w:t>3 trial)</w:t>
            </w:r>
          </w:p>
        </w:tc>
        <w:tc>
          <w:tcPr>
            <w:tcW w:w="2251" w:type="pct"/>
            <w:shd w:val="clear" w:color="auto" w:fill="auto"/>
            <w:vAlign w:val="center"/>
          </w:tcPr>
          <w:p w:rsidR="007827EC" w:rsidRPr="00BF148D" w:rsidRDefault="007D3151" w:rsidP="00224858">
            <w:pPr>
              <w:jc w:val="left"/>
            </w:pPr>
            <w:r w:rsidRPr="00BF148D">
              <w:rPr>
                <w:rFonts w:ascii="Arial Narrow" w:eastAsiaTheme="minorHAnsi" w:hAnsi="Arial Narrow" w:cstheme="minorBidi"/>
                <w:sz w:val="20"/>
                <w:szCs w:val="22"/>
                <w:lang w:eastAsia="en-US"/>
              </w:rPr>
              <w:t xml:space="preserve">The </w:t>
            </w:r>
            <w:r w:rsidR="00322CBF" w:rsidRPr="00BF148D">
              <w:rPr>
                <w:rFonts w:ascii="Arial Narrow" w:eastAsiaTheme="minorHAnsi" w:hAnsi="Arial Narrow" w:cstheme="minorBidi"/>
                <w:sz w:val="20"/>
                <w:szCs w:val="22"/>
                <w:lang w:eastAsia="en-US"/>
              </w:rPr>
              <w:t>proportion</w:t>
            </w:r>
            <w:r w:rsidR="00C23119" w:rsidRPr="00BF148D">
              <w:rPr>
                <w:rFonts w:ascii="Arial Narrow" w:eastAsiaTheme="minorHAnsi" w:hAnsi="Arial Narrow" w:cstheme="minorBidi"/>
                <w:sz w:val="20"/>
                <w:szCs w:val="22"/>
                <w:lang w:eastAsia="en-US"/>
              </w:rPr>
              <w:t xml:space="preserve"> of</w:t>
            </w:r>
            <w:r w:rsidRPr="00BF148D">
              <w:rPr>
                <w:rFonts w:ascii="Arial Narrow" w:eastAsiaTheme="minorHAnsi" w:hAnsi="Arial Narrow" w:cstheme="minorBidi"/>
                <w:sz w:val="20"/>
                <w:szCs w:val="22"/>
                <w:lang w:eastAsia="en-US"/>
              </w:rPr>
              <w:t xml:space="preserve"> patients achieving at least a 25% reduction from baseline in drop seizures for LGS and convulsive seizures for DS was equal to 63% and 56% at 14 weeks. The proportions could be substantially </w:t>
            </w:r>
            <w:r w:rsidR="00C23119" w:rsidRPr="00BF148D">
              <w:rPr>
                <w:rFonts w:ascii="Arial Narrow" w:eastAsiaTheme="minorHAnsi" w:hAnsi="Arial Narrow" w:cstheme="minorBidi"/>
                <w:sz w:val="20"/>
                <w:szCs w:val="22"/>
                <w:lang w:eastAsia="en-US"/>
              </w:rPr>
              <w:t xml:space="preserve">higher </w:t>
            </w:r>
            <w:r w:rsidRPr="00BF148D">
              <w:rPr>
                <w:rFonts w:ascii="Arial Narrow" w:eastAsiaTheme="minorHAnsi" w:hAnsi="Arial Narrow" w:cstheme="minorBidi"/>
                <w:sz w:val="20"/>
                <w:szCs w:val="22"/>
                <w:lang w:eastAsia="en-US"/>
              </w:rPr>
              <w:t>than estimated based on the requested streamlined listing</w:t>
            </w:r>
            <w:r w:rsidR="00C23119" w:rsidRPr="00BF148D">
              <w:rPr>
                <w:rFonts w:ascii="Arial Narrow" w:eastAsiaTheme="minorHAnsi" w:hAnsi="Arial Narrow" w:cstheme="minorBidi"/>
                <w:sz w:val="20"/>
                <w:szCs w:val="22"/>
                <w:lang w:eastAsia="en-US"/>
              </w:rPr>
              <w:t>,</w:t>
            </w:r>
            <w:r w:rsidRPr="00BF148D">
              <w:rPr>
                <w:rFonts w:ascii="Arial Narrow" w:eastAsiaTheme="minorHAnsi" w:hAnsi="Arial Narrow" w:cstheme="minorBidi"/>
                <w:sz w:val="20"/>
                <w:szCs w:val="22"/>
                <w:lang w:eastAsia="en-US"/>
              </w:rPr>
              <w:t xml:space="preserve"> lack of detail required for patients </w:t>
            </w:r>
            <w:r w:rsidR="00C23119" w:rsidRPr="00BF148D">
              <w:rPr>
                <w:rFonts w:ascii="Arial Narrow" w:eastAsiaTheme="minorHAnsi" w:hAnsi="Arial Narrow" w:cstheme="minorBidi"/>
                <w:sz w:val="20"/>
                <w:szCs w:val="22"/>
                <w:lang w:eastAsia="en-US"/>
              </w:rPr>
              <w:t>before they could continue on treatment, and higher response rates in DS patients taking 20 mg/kg/day dose in GWPCARE2</w:t>
            </w:r>
          </w:p>
        </w:tc>
      </w:tr>
      <w:tr w:rsidR="00C23119" w:rsidRPr="00BF148D" w:rsidTr="00742186">
        <w:tc>
          <w:tcPr>
            <w:tcW w:w="862" w:type="pct"/>
            <w:shd w:val="clear" w:color="auto" w:fill="auto"/>
            <w:vAlign w:val="center"/>
          </w:tcPr>
          <w:p w:rsidR="007827EC" w:rsidRPr="00BF148D" w:rsidRDefault="007827EC" w:rsidP="00224858">
            <w:pPr>
              <w:pStyle w:val="TableText0"/>
              <w:keepNext w:val="0"/>
            </w:pPr>
            <w:r w:rsidRPr="00BF148D">
              <w:t>Grandfathered patients</w:t>
            </w:r>
          </w:p>
        </w:tc>
        <w:tc>
          <w:tcPr>
            <w:tcW w:w="1887" w:type="pct"/>
            <w:shd w:val="clear" w:color="auto" w:fill="auto"/>
            <w:vAlign w:val="center"/>
          </w:tcPr>
          <w:p w:rsidR="007827EC" w:rsidRPr="00BF148D" w:rsidRDefault="00174A06" w:rsidP="00224858">
            <w:pPr>
              <w:pStyle w:val="TableText0"/>
              <w:keepNext w:val="0"/>
            </w:pPr>
            <w:r>
              <w:t>&lt; 500</w:t>
            </w:r>
            <w:r w:rsidR="007D3151" w:rsidRPr="00BF148D">
              <w:t xml:space="preserve"> patients: 80% LGS and 20% DS from NSW and QLD compassionate access scheme</w:t>
            </w:r>
          </w:p>
        </w:tc>
        <w:tc>
          <w:tcPr>
            <w:tcW w:w="2251" w:type="pct"/>
            <w:shd w:val="clear" w:color="auto" w:fill="auto"/>
            <w:vAlign w:val="center"/>
          </w:tcPr>
          <w:p w:rsidR="007827EC" w:rsidRPr="00BF148D" w:rsidRDefault="007D3151" w:rsidP="00224858">
            <w:pPr>
              <w:pStyle w:val="TableText0"/>
              <w:keepNext w:val="0"/>
            </w:pPr>
            <w:r w:rsidRPr="00BF148D">
              <w:rPr>
                <w:rFonts w:eastAsiaTheme="minorHAnsi" w:cstheme="minorBidi"/>
                <w:szCs w:val="22"/>
                <w:lang w:eastAsia="en-US"/>
              </w:rPr>
              <w:t>Reasonable, although mortality rates were</w:t>
            </w:r>
            <w:r w:rsidR="00322666" w:rsidRPr="00BF148D">
              <w:rPr>
                <w:rFonts w:eastAsiaTheme="minorHAnsi" w:cstheme="minorBidi"/>
                <w:szCs w:val="22"/>
                <w:lang w:eastAsia="en-US"/>
              </w:rPr>
              <w:t xml:space="preserve"> not</w:t>
            </w:r>
            <w:r w:rsidRPr="00BF148D">
              <w:rPr>
                <w:rFonts w:eastAsiaTheme="minorHAnsi" w:cstheme="minorBidi"/>
                <w:szCs w:val="22"/>
                <w:lang w:eastAsia="en-US"/>
              </w:rPr>
              <w:t xml:space="preserve"> applied to these patients, which </w:t>
            </w:r>
            <w:r w:rsidR="00322CBF" w:rsidRPr="00BF148D">
              <w:rPr>
                <w:rFonts w:eastAsiaTheme="minorHAnsi" w:cstheme="minorBidi"/>
                <w:szCs w:val="22"/>
                <w:lang w:eastAsia="en-US"/>
              </w:rPr>
              <w:t>was inconsistent.</w:t>
            </w:r>
          </w:p>
        </w:tc>
      </w:tr>
      <w:tr w:rsidR="00C23119" w:rsidRPr="00BF148D" w:rsidTr="00742186">
        <w:tc>
          <w:tcPr>
            <w:tcW w:w="862" w:type="pct"/>
            <w:shd w:val="clear" w:color="auto" w:fill="auto"/>
            <w:vAlign w:val="center"/>
          </w:tcPr>
          <w:p w:rsidR="007827EC" w:rsidRPr="00BF148D" w:rsidRDefault="00BF5F28" w:rsidP="00224858">
            <w:pPr>
              <w:pStyle w:val="TableText0"/>
              <w:keepNext w:val="0"/>
            </w:pPr>
            <w:r w:rsidRPr="00BF148D">
              <w:t>Dose/duration</w:t>
            </w:r>
          </w:p>
        </w:tc>
        <w:tc>
          <w:tcPr>
            <w:tcW w:w="1887" w:type="pct"/>
            <w:shd w:val="clear" w:color="auto" w:fill="auto"/>
            <w:vAlign w:val="center"/>
          </w:tcPr>
          <w:p w:rsidR="007827EC" w:rsidRPr="00BF148D" w:rsidRDefault="007B64E3" w:rsidP="00224858">
            <w:pPr>
              <w:pStyle w:val="TableText0"/>
              <w:keepNext w:val="0"/>
            </w:pPr>
            <w:r w:rsidRPr="00BF148D">
              <w:t>Ongoing dose of 10 mg/kg/day for patients at initiation and in those who continue on therapy after 12 months</w:t>
            </w:r>
            <w:r w:rsidR="00BF5F28" w:rsidRPr="00BF148D">
              <w:t>, based on recommended maintenance dose in draft PI</w:t>
            </w:r>
          </w:p>
        </w:tc>
        <w:tc>
          <w:tcPr>
            <w:tcW w:w="2251" w:type="pct"/>
            <w:shd w:val="clear" w:color="auto" w:fill="auto"/>
            <w:vAlign w:val="center"/>
          </w:tcPr>
          <w:p w:rsidR="007827EC" w:rsidRPr="00BF148D" w:rsidRDefault="007B64E3" w:rsidP="00224858">
            <w:pPr>
              <w:pStyle w:val="TableText0"/>
              <w:keepNext w:val="0"/>
            </w:pPr>
            <w:r w:rsidRPr="00BF148D">
              <w:t xml:space="preserve">Consistent with the economic evaluation, however this </w:t>
            </w:r>
            <w:r w:rsidR="00BF5F28" w:rsidRPr="00BF148D">
              <w:t xml:space="preserve">is likely to be </w:t>
            </w:r>
            <w:r w:rsidRPr="00BF148D">
              <w:t>an underestimate of the likely dose in practice</w:t>
            </w:r>
            <w:r w:rsidR="00322666" w:rsidRPr="00BF148D">
              <w:t>.</w:t>
            </w:r>
          </w:p>
        </w:tc>
      </w:tr>
      <w:tr w:rsidR="00BF5F28" w:rsidRPr="00BF148D" w:rsidTr="00742186">
        <w:tc>
          <w:tcPr>
            <w:tcW w:w="862" w:type="pct"/>
            <w:shd w:val="clear" w:color="auto" w:fill="auto"/>
            <w:vAlign w:val="center"/>
          </w:tcPr>
          <w:p w:rsidR="00BF5F28" w:rsidRPr="00BF148D" w:rsidRDefault="00BF5F28" w:rsidP="00224858">
            <w:pPr>
              <w:pStyle w:val="TableText0"/>
              <w:keepNext w:val="0"/>
            </w:pPr>
            <w:r w:rsidRPr="00BF148D">
              <w:t>Patient weight</w:t>
            </w:r>
          </w:p>
        </w:tc>
        <w:tc>
          <w:tcPr>
            <w:tcW w:w="1887" w:type="pct"/>
            <w:shd w:val="clear" w:color="auto" w:fill="auto"/>
            <w:vAlign w:val="center"/>
          </w:tcPr>
          <w:p w:rsidR="00BF5F28" w:rsidRPr="00BF148D" w:rsidRDefault="00BF5F28" w:rsidP="00224858">
            <w:pPr>
              <w:jc w:val="left"/>
            </w:pPr>
            <w:r w:rsidRPr="00BF148D">
              <w:rPr>
                <w:rFonts w:ascii="Arial Narrow" w:eastAsiaTheme="minorHAnsi" w:hAnsi="Arial Narrow" w:cstheme="minorBidi"/>
                <w:sz w:val="20"/>
                <w:szCs w:val="22"/>
                <w:lang w:eastAsia="en-US"/>
              </w:rPr>
              <w:t>LGS: 43 kg and DS: 33 kg, based on mean weight in GWPCARE1-4 trials</w:t>
            </w:r>
          </w:p>
        </w:tc>
        <w:tc>
          <w:tcPr>
            <w:tcW w:w="2251" w:type="pct"/>
            <w:shd w:val="clear" w:color="auto" w:fill="auto"/>
            <w:vAlign w:val="center"/>
          </w:tcPr>
          <w:p w:rsidR="00BF5F28" w:rsidRPr="00BF148D" w:rsidRDefault="00BF5F28" w:rsidP="00224858">
            <w:pPr>
              <w:pStyle w:val="TableText0"/>
              <w:keepNext w:val="0"/>
            </w:pPr>
            <w:r w:rsidRPr="00BF148D">
              <w:rPr>
                <w:rFonts w:eastAsiaTheme="minorHAnsi" w:cstheme="minorBidi"/>
                <w:szCs w:val="22"/>
                <w:lang w:eastAsia="en-US"/>
              </w:rPr>
              <w:t>Unreasonable, since the average age and weight of patients likely to use cannabidiol on the PBS is unknown, and since the assumptions included no allowance for the average weight to increase as younger patients who commence on cannabidiol age over time</w:t>
            </w:r>
            <w:r w:rsidR="00322666" w:rsidRPr="00BF148D">
              <w:rPr>
                <w:rFonts w:eastAsiaTheme="minorHAnsi" w:cstheme="minorBidi"/>
                <w:szCs w:val="22"/>
                <w:lang w:eastAsia="en-US"/>
              </w:rPr>
              <w:t>.</w:t>
            </w:r>
          </w:p>
        </w:tc>
      </w:tr>
      <w:tr w:rsidR="00D40F0E" w:rsidRPr="00BF148D" w:rsidTr="00742186">
        <w:tc>
          <w:tcPr>
            <w:tcW w:w="862" w:type="pct"/>
            <w:vAlign w:val="center"/>
          </w:tcPr>
          <w:p w:rsidR="00D40F0E" w:rsidRPr="00BF148D" w:rsidRDefault="00D40F0E" w:rsidP="00224858">
            <w:pPr>
              <w:pStyle w:val="TableText0"/>
              <w:keepNext w:val="0"/>
            </w:pPr>
            <w:r w:rsidRPr="00BF148D">
              <w:rPr>
                <w:rFonts w:eastAsiaTheme="minorHAnsi" w:cstheme="minorBidi"/>
                <w:szCs w:val="22"/>
                <w:lang w:eastAsia="en-US"/>
              </w:rPr>
              <w:t>Bottles of cannabidiol required per month</w:t>
            </w:r>
          </w:p>
        </w:tc>
        <w:tc>
          <w:tcPr>
            <w:tcW w:w="1887" w:type="pct"/>
            <w:vAlign w:val="center"/>
          </w:tcPr>
          <w:p w:rsidR="00D40F0E" w:rsidRPr="00BF148D" w:rsidRDefault="00D40F0E" w:rsidP="00224858">
            <w:pPr>
              <w:pStyle w:val="TableText0"/>
              <w:keepNext w:val="0"/>
            </w:pPr>
            <w:r w:rsidRPr="00BF148D">
              <w:rPr>
                <w:rFonts w:eastAsiaTheme="minorHAnsi" w:cstheme="minorBidi"/>
                <w:szCs w:val="22"/>
                <w:lang w:eastAsia="en-US"/>
              </w:rPr>
              <w:t>1.29 bottles for LGS and 1.00 for DS</w:t>
            </w:r>
          </w:p>
        </w:tc>
        <w:tc>
          <w:tcPr>
            <w:tcW w:w="2251" w:type="pct"/>
            <w:shd w:val="clear" w:color="auto" w:fill="auto"/>
            <w:vAlign w:val="center"/>
          </w:tcPr>
          <w:p w:rsidR="00D40F0E" w:rsidRPr="00BF148D" w:rsidRDefault="00D40F0E" w:rsidP="00DB6031">
            <w:pPr>
              <w:pStyle w:val="TableText0"/>
              <w:keepNext w:val="0"/>
            </w:pPr>
            <w:r w:rsidRPr="00BF148D">
              <w:rPr>
                <w:rFonts w:eastAsiaTheme="minorHAnsi" w:cstheme="minorBidi"/>
                <w:szCs w:val="22"/>
                <w:lang w:eastAsia="en-US"/>
              </w:rPr>
              <w:t xml:space="preserve">Annual units were 12.05 for DS and </w:t>
            </w:r>
            <w:r w:rsidR="00DB6031" w:rsidRPr="00BF148D">
              <w:rPr>
                <w:rFonts w:eastAsiaTheme="minorHAnsi" w:cstheme="minorBidi"/>
                <w:szCs w:val="22"/>
                <w:lang w:eastAsia="en-US"/>
              </w:rPr>
              <w:t>15.7</w:t>
            </w:r>
            <w:r w:rsidRPr="00BF148D">
              <w:rPr>
                <w:rFonts w:eastAsiaTheme="minorHAnsi" w:cstheme="minorBidi"/>
                <w:szCs w:val="22"/>
                <w:lang w:eastAsia="en-US"/>
              </w:rPr>
              <w:t xml:space="preserve"> for LGS. No allowance was made for wastage in discontinuing patients, which was inappropriate. This underestimated the expected cost of cannabidiol to the PBS</w:t>
            </w:r>
            <w:r w:rsidR="00322666" w:rsidRPr="00BF148D">
              <w:rPr>
                <w:rFonts w:eastAsiaTheme="minorHAnsi" w:cstheme="minorBidi"/>
                <w:szCs w:val="22"/>
                <w:lang w:eastAsia="en-US"/>
              </w:rPr>
              <w:t>.</w:t>
            </w:r>
          </w:p>
        </w:tc>
      </w:tr>
      <w:tr w:rsidR="00C23119" w:rsidRPr="00BF148D" w:rsidTr="00742186">
        <w:tc>
          <w:tcPr>
            <w:tcW w:w="862" w:type="pct"/>
            <w:shd w:val="clear" w:color="auto" w:fill="auto"/>
            <w:vAlign w:val="center"/>
          </w:tcPr>
          <w:p w:rsidR="007827EC" w:rsidRPr="00BF148D" w:rsidRDefault="00BF5F28" w:rsidP="00224858">
            <w:pPr>
              <w:pStyle w:val="TableText0"/>
              <w:keepNext w:val="0"/>
            </w:pPr>
            <w:r w:rsidRPr="00BF148D">
              <w:t>O</w:t>
            </w:r>
            <w:r w:rsidR="007827EC" w:rsidRPr="00BF148D">
              <w:t xml:space="preserve">ffsets for </w:t>
            </w:r>
            <w:r w:rsidRPr="00BF148D">
              <w:t>other</w:t>
            </w:r>
            <w:r w:rsidR="00EB62D6" w:rsidRPr="00BF148D">
              <w:t xml:space="preserve"> </w:t>
            </w:r>
            <w:r w:rsidRPr="00BF148D">
              <w:t xml:space="preserve">drug </w:t>
            </w:r>
            <w:r w:rsidR="007827EC" w:rsidRPr="00BF148D">
              <w:t>therapie</w:t>
            </w:r>
            <w:r w:rsidRPr="00BF148D">
              <w:t>s</w:t>
            </w:r>
          </w:p>
        </w:tc>
        <w:tc>
          <w:tcPr>
            <w:tcW w:w="1887" w:type="pct"/>
            <w:shd w:val="clear" w:color="auto" w:fill="auto"/>
            <w:vAlign w:val="center"/>
          </w:tcPr>
          <w:p w:rsidR="007827EC" w:rsidRPr="00BF148D" w:rsidRDefault="00BF5F28" w:rsidP="00224858">
            <w:pPr>
              <w:pStyle w:val="TableText0"/>
              <w:keepNext w:val="0"/>
            </w:pPr>
            <w:r w:rsidRPr="00BF148D">
              <w:t>None</w:t>
            </w:r>
          </w:p>
        </w:tc>
        <w:tc>
          <w:tcPr>
            <w:tcW w:w="2251" w:type="pct"/>
            <w:shd w:val="clear" w:color="auto" w:fill="auto"/>
            <w:vAlign w:val="center"/>
          </w:tcPr>
          <w:p w:rsidR="007827EC" w:rsidRPr="00BF148D" w:rsidRDefault="00BF5F28" w:rsidP="000155E1">
            <w:pPr>
              <w:pStyle w:val="TableText0"/>
              <w:keepNext w:val="0"/>
            </w:pPr>
            <w:r w:rsidRPr="00BF148D">
              <w:t xml:space="preserve">Consistent with </w:t>
            </w:r>
            <w:r w:rsidR="000155E1" w:rsidRPr="00BF148D">
              <w:t>the economic evaluation</w:t>
            </w:r>
            <w:r w:rsidRPr="00BF148D">
              <w:t>, however there may be changes in the dose and or use of other AEDs in practice</w:t>
            </w:r>
            <w:r w:rsidR="00C45E4D" w:rsidRPr="00BF148D">
              <w:t>.</w:t>
            </w:r>
            <w:r w:rsidRPr="00BF148D">
              <w:t xml:space="preserve"> </w:t>
            </w:r>
          </w:p>
        </w:tc>
      </w:tr>
      <w:tr w:rsidR="00C23119" w:rsidRPr="00BF148D" w:rsidTr="00001C12">
        <w:trPr>
          <w:cantSplit/>
        </w:trPr>
        <w:tc>
          <w:tcPr>
            <w:tcW w:w="862" w:type="pct"/>
            <w:shd w:val="clear" w:color="auto" w:fill="auto"/>
            <w:vAlign w:val="center"/>
          </w:tcPr>
          <w:p w:rsidR="007827EC" w:rsidRPr="00BF148D" w:rsidRDefault="00BF5F28" w:rsidP="00224858">
            <w:pPr>
              <w:pStyle w:val="TableText0"/>
              <w:keepNext w:val="0"/>
            </w:pPr>
            <w:r w:rsidRPr="00BF148D">
              <w:lastRenderedPageBreak/>
              <w:t>Hospitalisations</w:t>
            </w:r>
          </w:p>
        </w:tc>
        <w:tc>
          <w:tcPr>
            <w:tcW w:w="1887" w:type="pct"/>
            <w:shd w:val="clear" w:color="auto" w:fill="auto"/>
            <w:vAlign w:val="center"/>
          </w:tcPr>
          <w:p w:rsidR="007827EC" w:rsidRPr="00BF148D" w:rsidRDefault="00DB6031" w:rsidP="00224858">
            <w:pPr>
              <w:pStyle w:val="TableText0"/>
              <w:keepNext w:val="0"/>
            </w:pPr>
            <w:r w:rsidRPr="00BF148D">
              <w:t>Assumed 13% of patient</w:t>
            </w:r>
            <w:r w:rsidR="004929B9" w:rsidRPr="00BF148D">
              <w:t>s</w:t>
            </w:r>
            <w:r w:rsidRPr="00BF148D">
              <w:t xml:space="preserve"> would become se</w:t>
            </w:r>
            <w:r w:rsidR="004929B9" w:rsidRPr="00BF148D">
              <w:t>i</w:t>
            </w:r>
            <w:r w:rsidRPr="00BF148D">
              <w:t>zure free and avoid an average 3 day hospital stay, b</w:t>
            </w:r>
            <w:r w:rsidR="00CF33DF" w:rsidRPr="00BF148D">
              <w:t xml:space="preserve">ased on general ward daily cost of </w:t>
            </w:r>
            <w:r w:rsidR="00BF5F28" w:rsidRPr="00BF148D">
              <w:t xml:space="preserve">$1,700.42 per day from National Hospital Cost Data Collection Round 22, DRG B76A </w:t>
            </w:r>
            <w:r w:rsidR="00630934" w:rsidRPr="00BF148D">
              <w:t>and</w:t>
            </w:r>
            <w:r w:rsidR="00BF5F28" w:rsidRPr="00BF148D">
              <w:t xml:space="preserve"> B76B</w:t>
            </w:r>
          </w:p>
        </w:tc>
        <w:tc>
          <w:tcPr>
            <w:tcW w:w="2251" w:type="pct"/>
            <w:shd w:val="clear" w:color="auto" w:fill="auto"/>
            <w:vAlign w:val="center"/>
          </w:tcPr>
          <w:p w:rsidR="007827EC" w:rsidRPr="00BF148D" w:rsidRDefault="00BF5F28" w:rsidP="00224858">
            <w:pPr>
              <w:pStyle w:val="TableText0"/>
              <w:keepNext w:val="0"/>
            </w:pPr>
            <w:r w:rsidRPr="00BF148D">
              <w:t>Not considered appropriate. Cost offsets due to reduced hospitalisations may not be reali</w:t>
            </w:r>
            <w:r w:rsidR="00D40F0E" w:rsidRPr="00BF148D">
              <w:t>s</w:t>
            </w:r>
            <w:r w:rsidRPr="00BF148D">
              <w:t>ed.</w:t>
            </w:r>
          </w:p>
        </w:tc>
      </w:tr>
    </w:tbl>
    <w:p w:rsidR="00AA231B" w:rsidRPr="00BF148D" w:rsidRDefault="00AA231B" w:rsidP="00224858">
      <w:pPr>
        <w:pStyle w:val="TableFigureFooter"/>
      </w:pPr>
      <w:r w:rsidRPr="00BF148D">
        <w:t>AED = anti-epileptic drug; DS = Dravet Syndrome; ESC = economic sub-committee; LGS = Lennox Gastaut Syndrome; PBS = Pharmaceutical Benefits Scheme; PI = product information</w:t>
      </w:r>
    </w:p>
    <w:p w:rsidR="007827EC" w:rsidRPr="00BF148D" w:rsidRDefault="00630934" w:rsidP="00224858">
      <w:pPr>
        <w:pStyle w:val="TableFigureFooter"/>
      </w:pPr>
      <w:r w:rsidRPr="00BF148D">
        <w:t xml:space="preserve">Source: </w:t>
      </w:r>
      <w:r w:rsidR="007827EC" w:rsidRPr="00BF148D">
        <w:t>Table</w:t>
      </w:r>
      <w:r w:rsidRPr="00BF148D">
        <w:t xml:space="preserve"> 130, pp213-214 of the s</w:t>
      </w:r>
      <w:r w:rsidR="007827EC" w:rsidRPr="00BF148D">
        <w:t>ubmission.</w:t>
      </w:r>
    </w:p>
    <w:p w:rsidR="007827EC" w:rsidRPr="00BF148D" w:rsidRDefault="00580552" w:rsidP="00B330D7">
      <w:pPr>
        <w:pStyle w:val="3-BodyText"/>
      </w:pPr>
      <w:r w:rsidRPr="00BF148D">
        <w:t>Table 13</w:t>
      </w:r>
      <w:r w:rsidR="008F5410" w:rsidRPr="00BF148D">
        <w:t xml:space="preserve"> </w:t>
      </w:r>
      <w:r w:rsidR="001F2271" w:rsidRPr="00BF148D">
        <w:t>summarises the estimated use and financial implications of the proposed PBS listing for cannabidiol</w:t>
      </w:r>
      <w:r w:rsidR="007827EC" w:rsidRPr="00BF148D">
        <w:t xml:space="preserve">. </w:t>
      </w:r>
    </w:p>
    <w:p w:rsidR="007827EC" w:rsidRPr="00BF148D" w:rsidRDefault="008F5410" w:rsidP="00224858">
      <w:pPr>
        <w:pStyle w:val="TableFigureHeading"/>
        <w:rPr>
          <w:color w:val="000000" w:themeColor="text1"/>
        </w:rPr>
      </w:pPr>
      <w:bookmarkStart w:id="62" w:name="_Ref39813363"/>
      <w:r w:rsidRPr="00BF148D">
        <w:rPr>
          <w:rStyle w:val="CommentReference"/>
          <w:b/>
          <w:color w:val="000000" w:themeColor="text1"/>
          <w:szCs w:val="24"/>
        </w:rPr>
        <w:t xml:space="preserve">Table </w:t>
      </w:r>
      <w:r w:rsidR="00580552" w:rsidRPr="00BF148D">
        <w:rPr>
          <w:rStyle w:val="CommentReference"/>
          <w:b/>
          <w:color w:val="000000" w:themeColor="text1"/>
          <w:szCs w:val="24"/>
        </w:rPr>
        <w:t>13</w:t>
      </w:r>
      <w:bookmarkEnd w:id="62"/>
      <w:r w:rsidR="007827EC" w:rsidRPr="00BF148D">
        <w:rPr>
          <w:rStyle w:val="CommentReference"/>
          <w:b/>
          <w:color w:val="000000" w:themeColor="text1"/>
          <w:szCs w:val="24"/>
        </w:rPr>
        <w:t>: Estimated use and financial implications</w:t>
      </w:r>
    </w:p>
    <w:tbl>
      <w:tblPr>
        <w:tblStyle w:val="TableGrid"/>
        <w:tblW w:w="0" w:type="auto"/>
        <w:tblLayout w:type="fixed"/>
        <w:tblCellMar>
          <w:left w:w="28" w:type="dxa"/>
          <w:right w:w="28" w:type="dxa"/>
        </w:tblCellMar>
        <w:tblLook w:val="04A0" w:firstRow="1" w:lastRow="0" w:firstColumn="1" w:lastColumn="0" w:noHBand="0" w:noVBand="1"/>
        <w:tblCaption w:val="Table 13: Estimated use and financial implications"/>
      </w:tblPr>
      <w:tblGrid>
        <w:gridCol w:w="2830"/>
        <w:gridCol w:w="1031"/>
        <w:gridCol w:w="1031"/>
        <w:gridCol w:w="1031"/>
        <w:gridCol w:w="1031"/>
        <w:gridCol w:w="1031"/>
        <w:gridCol w:w="1031"/>
      </w:tblGrid>
      <w:tr w:rsidR="00D45650" w:rsidRPr="00BF148D" w:rsidTr="0093480D">
        <w:trPr>
          <w:tblHeader/>
        </w:trPr>
        <w:tc>
          <w:tcPr>
            <w:tcW w:w="2830" w:type="dxa"/>
            <w:shd w:val="clear" w:color="auto" w:fill="auto"/>
          </w:tcPr>
          <w:p w:rsidR="00D45650" w:rsidRPr="00BF148D" w:rsidRDefault="00D45650" w:rsidP="00224858">
            <w:pPr>
              <w:keepNext/>
              <w:rPr>
                <w:rFonts w:ascii="Arial Narrow" w:hAnsi="Arial Narrow"/>
                <w:snapToGrid w:val="0"/>
                <w:sz w:val="20"/>
                <w:szCs w:val="20"/>
                <w:lang w:eastAsia="en-US"/>
              </w:rPr>
            </w:pPr>
          </w:p>
        </w:tc>
        <w:tc>
          <w:tcPr>
            <w:tcW w:w="1031" w:type="dxa"/>
            <w:shd w:val="clear" w:color="auto" w:fill="auto"/>
            <w:vAlign w:val="center"/>
          </w:tcPr>
          <w:p w:rsidR="00D45650" w:rsidRPr="00BF148D" w:rsidRDefault="00D45650" w:rsidP="00224858">
            <w:pPr>
              <w:keepNext/>
              <w:spacing w:line="256" w:lineRule="auto"/>
              <w:jc w:val="center"/>
              <w:rPr>
                <w:rFonts w:ascii="Arial Narrow" w:hAnsi="Arial Narrow"/>
                <w:b/>
                <w:snapToGrid w:val="0"/>
                <w:sz w:val="20"/>
                <w:szCs w:val="20"/>
                <w:lang w:eastAsia="en-US"/>
              </w:rPr>
            </w:pPr>
            <w:r w:rsidRPr="00BF148D">
              <w:rPr>
                <w:rFonts w:ascii="Arial Narrow" w:hAnsi="Arial Narrow"/>
                <w:b/>
                <w:snapToGrid w:val="0"/>
                <w:sz w:val="20"/>
                <w:szCs w:val="20"/>
                <w:lang w:eastAsia="en-US"/>
              </w:rPr>
              <w:t>2021</w:t>
            </w:r>
          </w:p>
        </w:tc>
        <w:tc>
          <w:tcPr>
            <w:tcW w:w="1031" w:type="dxa"/>
            <w:shd w:val="clear" w:color="auto" w:fill="auto"/>
            <w:vAlign w:val="center"/>
          </w:tcPr>
          <w:p w:rsidR="00D45650" w:rsidRPr="00BF148D" w:rsidRDefault="00D45650" w:rsidP="00224858">
            <w:pPr>
              <w:keepNext/>
              <w:spacing w:line="256" w:lineRule="auto"/>
              <w:jc w:val="center"/>
              <w:rPr>
                <w:rFonts w:ascii="Arial Narrow" w:hAnsi="Arial Narrow"/>
                <w:b/>
                <w:snapToGrid w:val="0"/>
                <w:sz w:val="20"/>
                <w:szCs w:val="20"/>
                <w:lang w:eastAsia="en-US"/>
              </w:rPr>
            </w:pPr>
            <w:r w:rsidRPr="00BF148D">
              <w:rPr>
                <w:rFonts w:ascii="Arial Narrow" w:hAnsi="Arial Narrow"/>
                <w:b/>
                <w:snapToGrid w:val="0"/>
                <w:sz w:val="20"/>
                <w:szCs w:val="20"/>
                <w:lang w:eastAsia="en-US"/>
              </w:rPr>
              <w:t>2022</w:t>
            </w:r>
          </w:p>
        </w:tc>
        <w:tc>
          <w:tcPr>
            <w:tcW w:w="1031" w:type="dxa"/>
            <w:shd w:val="clear" w:color="auto" w:fill="auto"/>
            <w:vAlign w:val="center"/>
          </w:tcPr>
          <w:p w:rsidR="00D45650" w:rsidRPr="00BF148D" w:rsidRDefault="00D45650" w:rsidP="00224858">
            <w:pPr>
              <w:keepNext/>
              <w:spacing w:line="256" w:lineRule="auto"/>
              <w:jc w:val="center"/>
              <w:rPr>
                <w:rFonts w:ascii="Arial Narrow" w:hAnsi="Arial Narrow"/>
                <w:b/>
                <w:snapToGrid w:val="0"/>
                <w:sz w:val="20"/>
                <w:szCs w:val="20"/>
                <w:lang w:eastAsia="en-US"/>
              </w:rPr>
            </w:pPr>
            <w:r w:rsidRPr="00BF148D">
              <w:rPr>
                <w:rFonts w:ascii="Arial Narrow" w:hAnsi="Arial Narrow"/>
                <w:b/>
                <w:snapToGrid w:val="0"/>
                <w:sz w:val="20"/>
                <w:szCs w:val="20"/>
                <w:lang w:eastAsia="en-US"/>
              </w:rPr>
              <w:t>2023</w:t>
            </w:r>
          </w:p>
        </w:tc>
        <w:tc>
          <w:tcPr>
            <w:tcW w:w="1031" w:type="dxa"/>
            <w:shd w:val="clear" w:color="auto" w:fill="auto"/>
            <w:vAlign w:val="center"/>
          </w:tcPr>
          <w:p w:rsidR="00D45650" w:rsidRPr="00BF148D" w:rsidRDefault="00D45650" w:rsidP="00224858">
            <w:pPr>
              <w:keepNext/>
              <w:spacing w:line="256" w:lineRule="auto"/>
              <w:jc w:val="center"/>
              <w:rPr>
                <w:rFonts w:ascii="Arial Narrow" w:hAnsi="Arial Narrow"/>
                <w:b/>
                <w:snapToGrid w:val="0"/>
                <w:sz w:val="20"/>
                <w:szCs w:val="20"/>
                <w:lang w:eastAsia="en-US"/>
              </w:rPr>
            </w:pPr>
            <w:r w:rsidRPr="00BF148D">
              <w:rPr>
                <w:rFonts w:ascii="Arial Narrow" w:hAnsi="Arial Narrow"/>
                <w:b/>
                <w:snapToGrid w:val="0"/>
                <w:sz w:val="20"/>
                <w:szCs w:val="20"/>
                <w:lang w:eastAsia="en-US"/>
              </w:rPr>
              <w:t>2024</w:t>
            </w:r>
          </w:p>
        </w:tc>
        <w:tc>
          <w:tcPr>
            <w:tcW w:w="1031" w:type="dxa"/>
            <w:shd w:val="clear" w:color="auto" w:fill="auto"/>
            <w:vAlign w:val="center"/>
          </w:tcPr>
          <w:p w:rsidR="00D45650" w:rsidRPr="00BF148D" w:rsidRDefault="00D45650" w:rsidP="00224858">
            <w:pPr>
              <w:keepNext/>
              <w:spacing w:line="256" w:lineRule="auto"/>
              <w:jc w:val="center"/>
              <w:rPr>
                <w:rFonts w:ascii="Arial Narrow" w:hAnsi="Arial Narrow"/>
                <w:b/>
                <w:snapToGrid w:val="0"/>
                <w:sz w:val="20"/>
                <w:szCs w:val="20"/>
                <w:lang w:eastAsia="en-US"/>
              </w:rPr>
            </w:pPr>
            <w:r w:rsidRPr="00BF148D">
              <w:rPr>
                <w:rFonts w:ascii="Arial Narrow" w:hAnsi="Arial Narrow"/>
                <w:b/>
                <w:snapToGrid w:val="0"/>
                <w:sz w:val="20"/>
                <w:szCs w:val="20"/>
                <w:lang w:eastAsia="en-US"/>
              </w:rPr>
              <w:t>2025</w:t>
            </w:r>
          </w:p>
        </w:tc>
        <w:tc>
          <w:tcPr>
            <w:tcW w:w="1031" w:type="dxa"/>
            <w:shd w:val="clear" w:color="auto" w:fill="auto"/>
            <w:vAlign w:val="center"/>
          </w:tcPr>
          <w:p w:rsidR="00D45650" w:rsidRPr="00BF148D" w:rsidRDefault="00D45650" w:rsidP="00224858">
            <w:pPr>
              <w:keepNext/>
              <w:spacing w:line="256" w:lineRule="auto"/>
              <w:jc w:val="center"/>
              <w:rPr>
                <w:rFonts w:ascii="Arial Narrow" w:hAnsi="Arial Narrow"/>
                <w:b/>
                <w:snapToGrid w:val="0"/>
                <w:sz w:val="20"/>
                <w:szCs w:val="20"/>
                <w:lang w:eastAsia="en-US"/>
              </w:rPr>
            </w:pPr>
            <w:r w:rsidRPr="00BF148D">
              <w:rPr>
                <w:rFonts w:ascii="Arial Narrow" w:hAnsi="Arial Narrow"/>
                <w:b/>
                <w:snapToGrid w:val="0"/>
                <w:sz w:val="20"/>
                <w:szCs w:val="20"/>
                <w:lang w:eastAsia="en-US"/>
              </w:rPr>
              <w:t>2026</w:t>
            </w:r>
          </w:p>
        </w:tc>
      </w:tr>
      <w:tr w:rsidR="00D45650" w:rsidRPr="00BF148D" w:rsidTr="00456AC8">
        <w:tc>
          <w:tcPr>
            <w:tcW w:w="2830" w:type="dxa"/>
            <w:vAlign w:val="center"/>
          </w:tcPr>
          <w:p w:rsidR="00D45650" w:rsidRPr="00BF148D" w:rsidRDefault="00D45650" w:rsidP="00224858">
            <w:pPr>
              <w:keepNext/>
              <w:jc w:val="left"/>
              <w:rPr>
                <w:rFonts w:ascii="Arial Narrow" w:hAnsi="Arial Narrow"/>
                <w:snapToGrid w:val="0"/>
                <w:sz w:val="20"/>
                <w:szCs w:val="20"/>
                <w:lang w:eastAsia="en-US"/>
              </w:rPr>
            </w:pPr>
            <w:r w:rsidRPr="00BF148D">
              <w:rPr>
                <w:rFonts w:ascii="Arial Narrow" w:hAnsi="Arial Narrow"/>
                <w:snapToGrid w:val="0"/>
                <w:sz w:val="20"/>
                <w:szCs w:val="20"/>
                <w:lang w:eastAsia="en-US"/>
              </w:rPr>
              <w:t xml:space="preserve">DS treated patients at the </w:t>
            </w:r>
            <w:r w:rsidR="00131022" w:rsidRPr="00BF148D">
              <w:rPr>
                <w:rFonts w:ascii="Arial Narrow" w:hAnsi="Arial Narrow"/>
                <w:snapToGrid w:val="0"/>
                <w:sz w:val="20"/>
                <w:szCs w:val="20"/>
                <w:lang w:eastAsia="en-US"/>
              </w:rPr>
              <w:t>end of year</w:t>
            </w:r>
            <w:r w:rsidRPr="00BF148D">
              <w:rPr>
                <w:rFonts w:ascii="Arial Narrow" w:hAnsi="Arial Narrow"/>
                <w:snapToGrid w:val="0"/>
                <w:sz w:val="20"/>
                <w:szCs w:val="20"/>
                <w:lang w:eastAsia="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b/>
                <w:snapToGrid w:val="0"/>
                <w:sz w:val="20"/>
                <w:szCs w:val="20"/>
                <w:highlight w:val="black"/>
                <w:lang w:eastAsia="en-US"/>
              </w:rPr>
            </w:pPr>
            <w:r>
              <w:rPr>
                <w:rFonts w:ascii="Arial Narrow" w:hAnsi="Arial Narrow"/>
                <w:noProof/>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b/>
                <w:snapToGrid w:val="0"/>
                <w:sz w:val="20"/>
                <w:szCs w:val="20"/>
                <w:highlight w:val="black"/>
                <w:lang w:eastAsia="en-US"/>
              </w:rPr>
            </w:pPr>
            <w:r>
              <w:rPr>
                <w:rFonts w:ascii="Arial Narrow" w:hAnsi="Arial Narrow"/>
                <w:noProof/>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b/>
                <w:snapToGrid w:val="0"/>
                <w:sz w:val="20"/>
                <w:szCs w:val="20"/>
                <w:highlight w:val="black"/>
                <w:lang w:eastAsia="en-US"/>
              </w:rPr>
            </w:pPr>
            <w:r>
              <w:rPr>
                <w:rFonts w:ascii="Arial Narrow" w:hAnsi="Arial Narrow"/>
                <w:noProof/>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b/>
                <w:snapToGrid w:val="0"/>
                <w:sz w:val="20"/>
                <w:szCs w:val="20"/>
                <w:highlight w:val="black"/>
                <w:lang w:eastAsia="en-US"/>
              </w:rPr>
            </w:pPr>
            <w:r>
              <w:rPr>
                <w:rFonts w:ascii="Arial Narrow" w:hAnsi="Arial Narrow"/>
                <w:noProof/>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b/>
                <w:snapToGrid w:val="0"/>
                <w:sz w:val="20"/>
                <w:szCs w:val="20"/>
                <w:highlight w:val="black"/>
                <w:lang w:eastAsia="en-US"/>
              </w:rPr>
            </w:pPr>
            <w:r>
              <w:rPr>
                <w:rFonts w:ascii="Arial Narrow" w:hAnsi="Arial Narrow"/>
                <w:noProof/>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b/>
                <w:snapToGrid w:val="0"/>
                <w:sz w:val="20"/>
                <w:szCs w:val="20"/>
                <w:highlight w:val="black"/>
                <w:lang w:eastAsia="en-US"/>
              </w:rPr>
            </w:pPr>
            <w:r>
              <w:rPr>
                <w:rFonts w:ascii="Arial Narrow" w:hAnsi="Arial Narrow"/>
                <w:noProof/>
                <w:color w:val="000000"/>
                <w:sz w:val="20"/>
                <w:szCs w:val="20"/>
                <w:highlight w:val="black"/>
              </w:rPr>
              <w:t xml:space="preserve">'''''' </w:t>
            </w:r>
          </w:p>
        </w:tc>
      </w:tr>
      <w:tr w:rsidR="009B4201" w:rsidRPr="00BF148D" w:rsidTr="00456AC8">
        <w:tc>
          <w:tcPr>
            <w:tcW w:w="2830" w:type="dxa"/>
            <w:shd w:val="clear" w:color="auto" w:fill="auto"/>
            <w:vAlign w:val="center"/>
          </w:tcPr>
          <w:p w:rsidR="009B4201" w:rsidRPr="00BF148D" w:rsidRDefault="009B4201" w:rsidP="00224858">
            <w:pPr>
              <w:keepNext/>
              <w:jc w:val="left"/>
              <w:rPr>
                <w:rFonts w:ascii="Arial Narrow" w:hAnsi="Arial Narrow"/>
                <w:snapToGrid w:val="0"/>
                <w:sz w:val="20"/>
                <w:szCs w:val="20"/>
                <w:lang w:eastAsia="en-US"/>
              </w:rPr>
            </w:pPr>
            <w:r w:rsidRPr="00BF148D">
              <w:rPr>
                <w:rFonts w:ascii="Arial Narrow" w:hAnsi="Arial Narrow"/>
                <w:sz w:val="20"/>
                <w:szCs w:val="20"/>
              </w:rPr>
              <w:t xml:space="preserve">Revised script numbers – DS (one 100 mL bottle per script)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r>
      <w:tr w:rsidR="009B4201" w:rsidRPr="00BF148D" w:rsidTr="00456AC8">
        <w:tc>
          <w:tcPr>
            <w:tcW w:w="2830" w:type="dxa"/>
            <w:shd w:val="clear" w:color="auto" w:fill="auto"/>
            <w:vAlign w:val="center"/>
          </w:tcPr>
          <w:p w:rsidR="009B4201" w:rsidRPr="00BF148D" w:rsidRDefault="009B4201" w:rsidP="00224858">
            <w:pPr>
              <w:keepNext/>
              <w:jc w:val="left"/>
              <w:rPr>
                <w:rFonts w:ascii="Arial Narrow" w:hAnsi="Arial Narrow"/>
                <w:snapToGrid w:val="0"/>
                <w:sz w:val="20"/>
                <w:szCs w:val="20"/>
                <w:lang w:eastAsia="en-US"/>
              </w:rPr>
            </w:pPr>
            <w:r w:rsidRPr="00BF148D">
              <w:rPr>
                <w:rFonts w:ascii="Arial Narrow" w:hAnsi="Arial Narrow"/>
                <w:sz w:val="20"/>
                <w:szCs w:val="20"/>
              </w:rPr>
              <w:t xml:space="preserve">Revised PBS/RPBS cost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9B4201" w:rsidRPr="00BF148D" w:rsidRDefault="009B4201" w:rsidP="00224858">
            <w:pPr>
              <w:keepNext/>
              <w:jc w:val="center"/>
              <w:rPr>
                <w:rFonts w:ascii="Arial Narrow" w:hAnsi="Arial Narrow"/>
                <w:color w:val="000000"/>
                <w:sz w:val="20"/>
                <w:szCs w:val="20"/>
              </w:rPr>
            </w:pPr>
            <w:r w:rsidRPr="00BF148D">
              <w:rPr>
                <w:rFonts w:ascii="Arial Narrow" w:hAnsi="Arial Narrow"/>
                <w:color w:val="000000"/>
                <w:sz w:val="20"/>
                <w:szCs w:val="20"/>
              </w:rPr>
              <w:t>$</w:t>
            </w:r>
            <w:r w:rsidR="00B451A4">
              <w:rPr>
                <w:rFonts w:ascii="Arial Narrow" w:hAnsi="Arial Narrow"/>
                <w:noProof/>
                <w:color w:val="000000"/>
                <w:sz w:val="20"/>
                <w:szCs w:val="20"/>
                <w:highlight w:val="black"/>
              </w:rPr>
              <w:t>'''''''''''''''''''''''</w:t>
            </w:r>
            <w:r w:rsidRPr="00BF148D">
              <w:rPr>
                <w:rFonts w:ascii="Arial Narrow" w:hAnsi="Arial Narrow"/>
                <w:color w:val="000000"/>
                <w:sz w:val="20"/>
                <w:szCs w:val="20"/>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F148D" w:rsidRDefault="009B4201" w:rsidP="00224858">
            <w:pPr>
              <w:keepNext/>
              <w:jc w:val="center"/>
              <w:rPr>
                <w:rFonts w:ascii="Arial Narrow" w:hAnsi="Arial Narrow"/>
                <w:color w:val="000000"/>
                <w:sz w:val="20"/>
                <w:szCs w:val="20"/>
              </w:rPr>
            </w:pPr>
            <w:r w:rsidRPr="00BF148D">
              <w:rPr>
                <w:rFonts w:ascii="Arial Narrow" w:hAnsi="Arial Narrow"/>
                <w:color w:val="000000"/>
                <w:sz w:val="20"/>
                <w:szCs w:val="20"/>
              </w:rPr>
              <w:t>$</w:t>
            </w:r>
            <w:r w:rsidR="00B451A4">
              <w:rPr>
                <w:rFonts w:ascii="Arial Narrow" w:hAnsi="Arial Narrow"/>
                <w:noProof/>
                <w:color w:val="000000"/>
                <w:sz w:val="20"/>
                <w:szCs w:val="20"/>
                <w:highlight w:val="black"/>
              </w:rPr>
              <w:t>'''''''''''''''''''''''</w:t>
            </w:r>
            <w:r w:rsidRPr="00BF148D">
              <w:rPr>
                <w:rFonts w:ascii="Arial Narrow" w:hAnsi="Arial Narrow"/>
                <w:color w:val="000000"/>
                <w:sz w:val="20"/>
                <w:szCs w:val="20"/>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F148D" w:rsidRDefault="009B4201" w:rsidP="00224858">
            <w:pPr>
              <w:keepNext/>
              <w:jc w:val="center"/>
              <w:rPr>
                <w:rFonts w:ascii="Arial Narrow" w:hAnsi="Arial Narrow"/>
                <w:color w:val="000000"/>
                <w:sz w:val="20"/>
                <w:szCs w:val="20"/>
              </w:rPr>
            </w:pPr>
            <w:r w:rsidRPr="00BF148D">
              <w:rPr>
                <w:rFonts w:ascii="Arial Narrow" w:hAnsi="Arial Narrow"/>
                <w:color w:val="000000"/>
                <w:sz w:val="20"/>
                <w:szCs w:val="20"/>
              </w:rPr>
              <w:t>$</w:t>
            </w:r>
            <w:r w:rsidR="00B451A4">
              <w:rPr>
                <w:rFonts w:ascii="Arial Narrow" w:hAnsi="Arial Narrow"/>
                <w:noProof/>
                <w:color w:val="000000"/>
                <w:sz w:val="20"/>
                <w:szCs w:val="20"/>
                <w:highlight w:val="black"/>
              </w:rPr>
              <w:t>''''''''''''''''''''''''</w:t>
            </w:r>
            <w:r w:rsidRPr="00BF148D">
              <w:rPr>
                <w:rFonts w:ascii="Arial Narrow" w:hAnsi="Arial Narrow"/>
                <w:color w:val="000000"/>
                <w:sz w:val="20"/>
                <w:szCs w:val="20"/>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F148D" w:rsidRDefault="009B4201" w:rsidP="00224858">
            <w:pPr>
              <w:keepNext/>
              <w:jc w:val="center"/>
              <w:rPr>
                <w:rFonts w:ascii="Arial Narrow" w:hAnsi="Arial Narrow"/>
                <w:color w:val="000000"/>
                <w:sz w:val="20"/>
                <w:szCs w:val="20"/>
              </w:rPr>
            </w:pPr>
            <w:r w:rsidRPr="00BF148D">
              <w:rPr>
                <w:rFonts w:ascii="Arial Narrow" w:hAnsi="Arial Narrow"/>
                <w:color w:val="000000"/>
                <w:sz w:val="20"/>
                <w:szCs w:val="20"/>
              </w:rPr>
              <w:t>$</w:t>
            </w:r>
            <w:r w:rsidR="00B451A4">
              <w:rPr>
                <w:rFonts w:ascii="Arial Narrow" w:hAnsi="Arial Narrow"/>
                <w:noProof/>
                <w:color w:val="000000"/>
                <w:sz w:val="20"/>
                <w:szCs w:val="20"/>
                <w:highlight w:val="black"/>
              </w:rPr>
              <w:t>'''''''''''''''''''''''</w:t>
            </w:r>
            <w:r w:rsidRPr="00BF148D">
              <w:rPr>
                <w:rFonts w:ascii="Arial Narrow" w:hAnsi="Arial Narrow"/>
                <w:color w:val="000000"/>
                <w:sz w:val="20"/>
                <w:szCs w:val="20"/>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F148D" w:rsidRDefault="009B4201" w:rsidP="00224858">
            <w:pPr>
              <w:keepNext/>
              <w:jc w:val="center"/>
              <w:rPr>
                <w:rFonts w:ascii="Arial Narrow" w:hAnsi="Arial Narrow"/>
                <w:color w:val="000000"/>
                <w:sz w:val="20"/>
                <w:szCs w:val="20"/>
              </w:rPr>
            </w:pPr>
            <w:r w:rsidRPr="00BF148D">
              <w:rPr>
                <w:rFonts w:ascii="Arial Narrow" w:hAnsi="Arial Narrow"/>
                <w:color w:val="000000"/>
                <w:sz w:val="20"/>
                <w:szCs w:val="20"/>
              </w:rPr>
              <w:t>$</w:t>
            </w:r>
            <w:r w:rsidR="00B451A4">
              <w:rPr>
                <w:rFonts w:ascii="Arial Narrow" w:hAnsi="Arial Narrow"/>
                <w:noProof/>
                <w:color w:val="000000"/>
                <w:sz w:val="20"/>
                <w:szCs w:val="20"/>
                <w:highlight w:val="black"/>
              </w:rPr>
              <w:t>'''''''''''''''''''''</w:t>
            </w:r>
            <w:r w:rsidRPr="00BF148D">
              <w:rPr>
                <w:rFonts w:ascii="Arial Narrow" w:hAnsi="Arial Narrow"/>
                <w:color w:val="000000"/>
                <w:sz w:val="20"/>
                <w:szCs w:val="20"/>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F148D" w:rsidRDefault="009B4201" w:rsidP="00224858">
            <w:pPr>
              <w:keepNext/>
              <w:jc w:val="center"/>
              <w:rPr>
                <w:rFonts w:ascii="Arial Narrow" w:hAnsi="Arial Narrow"/>
                <w:color w:val="000000"/>
                <w:sz w:val="20"/>
                <w:szCs w:val="20"/>
              </w:rPr>
            </w:pPr>
            <w:r w:rsidRPr="00BF148D">
              <w:rPr>
                <w:rFonts w:ascii="Arial Narrow" w:hAnsi="Arial Narrow"/>
                <w:color w:val="000000"/>
                <w:sz w:val="20"/>
                <w:szCs w:val="20"/>
              </w:rPr>
              <w:t>$</w:t>
            </w:r>
            <w:r w:rsidR="00B451A4">
              <w:rPr>
                <w:rFonts w:ascii="Arial Narrow" w:hAnsi="Arial Narrow"/>
                <w:noProof/>
                <w:color w:val="000000"/>
                <w:sz w:val="20"/>
                <w:szCs w:val="20"/>
                <w:highlight w:val="black"/>
              </w:rPr>
              <w:t>''''''''''''''''''''''''</w:t>
            </w:r>
            <w:r w:rsidRPr="00BF148D">
              <w:rPr>
                <w:rFonts w:ascii="Arial Narrow" w:hAnsi="Arial Narrow"/>
                <w:color w:val="000000"/>
                <w:sz w:val="20"/>
                <w:szCs w:val="20"/>
              </w:rPr>
              <w:t xml:space="preserve"> </w:t>
            </w:r>
          </w:p>
        </w:tc>
      </w:tr>
      <w:tr w:rsidR="00D45650" w:rsidRPr="00BF148D" w:rsidTr="00456AC8">
        <w:tc>
          <w:tcPr>
            <w:tcW w:w="2830" w:type="dxa"/>
          </w:tcPr>
          <w:p w:rsidR="00D45650" w:rsidRPr="00BF148D" w:rsidRDefault="00D45650" w:rsidP="00224858">
            <w:pPr>
              <w:keepNext/>
              <w:rPr>
                <w:rFonts w:ascii="Arial Narrow" w:hAnsi="Arial Narrow"/>
                <w:snapToGrid w:val="0"/>
                <w:sz w:val="20"/>
                <w:szCs w:val="20"/>
                <w:lang w:eastAsia="en-US"/>
              </w:rPr>
            </w:pPr>
            <w:r w:rsidRPr="00BF148D">
              <w:rPr>
                <w:rFonts w:ascii="Arial Narrow" w:hAnsi="Arial Narrow"/>
                <w:bCs/>
                <w:snapToGrid w:val="0"/>
                <w:sz w:val="20"/>
                <w:szCs w:val="20"/>
                <w:lang w:eastAsia="en-US"/>
              </w:rPr>
              <w:t>LGS t</w:t>
            </w:r>
            <w:r w:rsidR="00131022" w:rsidRPr="00BF148D">
              <w:rPr>
                <w:rFonts w:ascii="Arial Narrow" w:hAnsi="Arial Narrow"/>
                <w:bCs/>
                <w:snapToGrid w:val="0"/>
                <w:sz w:val="20"/>
                <w:szCs w:val="20"/>
                <w:lang w:eastAsia="en-US"/>
              </w:rPr>
              <w:t xml:space="preserve">reated patients </w:t>
            </w:r>
            <w:r w:rsidRPr="00BF148D">
              <w:rPr>
                <w:rFonts w:ascii="Arial Narrow" w:hAnsi="Arial Narrow"/>
                <w:bCs/>
                <w:snapToGrid w:val="0"/>
                <w:sz w:val="20"/>
                <w:szCs w:val="20"/>
                <w:lang w:eastAsia="en-US"/>
              </w:rPr>
              <w:t>at end of year</w:t>
            </w:r>
            <w:r w:rsidR="00131022" w:rsidRPr="00BF148D">
              <w:rPr>
                <w:rFonts w:ascii="Arial Narrow" w:hAnsi="Arial Narrow"/>
                <w:bCs/>
                <w:snapToGrid w:val="0"/>
                <w:sz w:val="20"/>
                <w:szCs w:val="20"/>
                <w:lang w:eastAsia="en-US"/>
              </w:rPr>
              <w:t>*</w:t>
            </w:r>
            <w:r w:rsidRPr="00BF148D">
              <w:rPr>
                <w:rFonts w:ascii="Arial Narrow" w:hAnsi="Arial Narrow"/>
                <w:bCs/>
                <w:snapToGrid w:val="0"/>
                <w:sz w:val="20"/>
                <w:szCs w:val="20"/>
                <w:lang w:eastAsia="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D45650"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D45650"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D45650"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D45650"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D45650"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FFFFFF" w:themeFill="background1"/>
            <w:vAlign w:val="center"/>
          </w:tcPr>
          <w:p w:rsidR="00D45650"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D45650" w:rsidRPr="00B451A4">
              <w:rPr>
                <w:rFonts w:ascii="Arial Narrow" w:hAnsi="Arial Narrow"/>
                <w:color w:val="000000"/>
                <w:sz w:val="20"/>
                <w:szCs w:val="20"/>
                <w:highlight w:val="black"/>
              </w:rPr>
              <w:t xml:space="preserve"> </w:t>
            </w:r>
          </w:p>
        </w:tc>
      </w:tr>
      <w:tr w:rsidR="009B4201" w:rsidRPr="00BF148D" w:rsidTr="00456AC8">
        <w:tc>
          <w:tcPr>
            <w:tcW w:w="2830" w:type="dxa"/>
            <w:shd w:val="clear" w:color="auto" w:fill="auto"/>
            <w:vAlign w:val="center"/>
          </w:tcPr>
          <w:p w:rsidR="009B4201" w:rsidRPr="00BF148D" w:rsidRDefault="009B4201" w:rsidP="00224858">
            <w:pPr>
              <w:keepNext/>
              <w:rPr>
                <w:rFonts w:ascii="Arial Narrow" w:hAnsi="Arial Narrow"/>
                <w:b/>
                <w:snapToGrid w:val="0"/>
                <w:sz w:val="20"/>
                <w:szCs w:val="20"/>
                <w:lang w:eastAsia="en-US"/>
              </w:rPr>
            </w:pPr>
            <w:r w:rsidRPr="00BF148D">
              <w:rPr>
                <w:rFonts w:ascii="Arial Narrow" w:hAnsi="Arial Narrow"/>
                <w:sz w:val="20"/>
                <w:szCs w:val="20"/>
              </w:rPr>
              <w:t>Revised script numbers – LGS (two 100 mL bottles per script)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c>
          <w:tcPr>
            <w:tcW w:w="1031" w:type="dxa"/>
            <w:tcBorders>
              <w:top w:val="single" w:sz="4" w:space="0" w:color="auto"/>
              <w:left w:val="nil"/>
              <w:bottom w:val="single" w:sz="4" w:space="0" w:color="auto"/>
              <w:right w:val="single" w:sz="4" w:space="0" w:color="auto"/>
            </w:tcBorders>
            <w:shd w:val="clear" w:color="auto" w:fill="auto"/>
            <w:vAlign w:val="center"/>
          </w:tcPr>
          <w:p w:rsidR="009B4201" w:rsidRPr="00B451A4" w:rsidRDefault="00B451A4" w:rsidP="00224858">
            <w:pPr>
              <w:keepNext/>
              <w:jc w:val="center"/>
              <w:rPr>
                <w:rFonts w:ascii="Arial Narrow" w:hAnsi="Arial Narrow"/>
                <w:sz w:val="20"/>
                <w:szCs w:val="20"/>
                <w:highlight w:val="black"/>
              </w:rPr>
            </w:pPr>
            <w:r>
              <w:rPr>
                <w:rFonts w:ascii="Arial Narrow" w:hAnsi="Arial Narrow"/>
                <w:noProof/>
                <w:color w:val="000000"/>
                <w:sz w:val="20"/>
                <w:szCs w:val="20"/>
                <w:highlight w:val="black"/>
              </w:rPr>
              <w:t>'''''''''''''</w:t>
            </w:r>
            <w:r w:rsidR="009B4201" w:rsidRPr="00B451A4">
              <w:rPr>
                <w:rFonts w:ascii="Arial Narrow" w:hAnsi="Arial Narrow"/>
                <w:color w:val="000000"/>
                <w:sz w:val="20"/>
                <w:szCs w:val="20"/>
                <w:highlight w:val="black"/>
              </w:rPr>
              <w:t xml:space="preserve"> </w:t>
            </w:r>
          </w:p>
        </w:tc>
      </w:tr>
      <w:tr w:rsidR="009B4201" w:rsidRPr="00BF148D" w:rsidTr="00456AC8">
        <w:tc>
          <w:tcPr>
            <w:tcW w:w="2830" w:type="dxa"/>
            <w:shd w:val="clear" w:color="auto" w:fill="auto"/>
            <w:vAlign w:val="center"/>
          </w:tcPr>
          <w:p w:rsidR="009B4201" w:rsidRPr="00BF148D" w:rsidRDefault="002040FF" w:rsidP="00224858">
            <w:pPr>
              <w:keepNext/>
              <w:jc w:val="left"/>
              <w:rPr>
                <w:rFonts w:ascii="Arial Narrow" w:hAnsi="Arial Narrow"/>
                <w:b/>
                <w:bCs/>
                <w:snapToGrid w:val="0"/>
                <w:sz w:val="20"/>
                <w:szCs w:val="20"/>
                <w:lang w:eastAsia="en-US"/>
              </w:rPr>
            </w:pPr>
            <w:r w:rsidRPr="00BF148D">
              <w:rPr>
                <w:rFonts w:ascii="Arial Narrow" w:hAnsi="Arial Narrow"/>
                <w:sz w:val="20"/>
                <w:szCs w:val="20"/>
              </w:rPr>
              <w:t>Revised PBS</w:t>
            </w:r>
            <w:r w:rsidR="00585BA0" w:rsidRPr="00BF148D">
              <w:rPr>
                <w:rFonts w:ascii="Arial Narrow" w:hAnsi="Arial Narrow"/>
                <w:sz w:val="20"/>
                <w:szCs w:val="20"/>
              </w:rPr>
              <w:t>/ RPBS</w:t>
            </w:r>
            <w:r w:rsidR="009B4201" w:rsidRPr="00BF148D">
              <w:rPr>
                <w:rFonts w:ascii="Arial Narrow" w:hAnsi="Arial Narrow"/>
                <w:sz w:val="20"/>
                <w:szCs w:val="20"/>
              </w:rPr>
              <w:t xml:space="preserve"> cost </w:t>
            </w:r>
          </w:p>
        </w:tc>
        <w:tc>
          <w:tcPr>
            <w:tcW w:w="1031" w:type="dxa"/>
            <w:tcBorders>
              <w:top w:val="single" w:sz="4" w:space="0" w:color="auto"/>
              <w:left w:val="nil"/>
              <w:bottom w:val="single" w:sz="4" w:space="0" w:color="auto"/>
              <w:right w:val="single" w:sz="4" w:space="0" w:color="auto"/>
            </w:tcBorders>
            <w:shd w:val="clear" w:color="auto" w:fill="auto"/>
            <w:vAlign w:val="bottom"/>
          </w:tcPr>
          <w:p w:rsidR="009B4201" w:rsidRPr="00BF148D" w:rsidRDefault="009B4201"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r w:rsidRPr="00BF148D">
              <w:rPr>
                <w:rFonts w:ascii="Arial Narrow" w:hAnsi="Arial Narrow" w:cs="Calibri"/>
                <w:color w:val="000000"/>
                <w:sz w:val="20"/>
                <w:szCs w:val="20"/>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rsidR="009B4201" w:rsidRPr="00BF148D" w:rsidRDefault="009B4201"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r w:rsidRPr="00BF148D">
              <w:rPr>
                <w:rFonts w:ascii="Arial Narrow" w:hAnsi="Arial Narrow" w:cs="Calibri"/>
                <w:color w:val="000000"/>
                <w:sz w:val="20"/>
                <w:szCs w:val="20"/>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rsidR="009B4201" w:rsidRPr="00BF148D" w:rsidRDefault="009B4201"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r w:rsidRPr="00BF148D">
              <w:rPr>
                <w:rFonts w:ascii="Arial Narrow" w:hAnsi="Arial Narrow" w:cs="Calibri"/>
                <w:color w:val="000000"/>
                <w:sz w:val="20"/>
                <w:szCs w:val="20"/>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rsidR="009B4201" w:rsidRPr="00BF148D" w:rsidRDefault="009B4201"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r w:rsidRPr="00BF148D">
              <w:rPr>
                <w:rFonts w:ascii="Arial Narrow" w:hAnsi="Arial Narrow" w:cs="Calibri"/>
                <w:color w:val="000000"/>
                <w:sz w:val="20"/>
                <w:szCs w:val="20"/>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rsidR="009B4201" w:rsidRPr="00BF148D" w:rsidRDefault="009B4201"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r w:rsidRPr="00BF148D">
              <w:rPr>
                <w:rFonts w:ascii="Arial Narrow" w:hAnsi="Arial Narrow" w:cs="Calibri"/>
                <w:color w:val="000000"/>
                <w:sz w:val="20"/>
                <w:szCs w:val="20"/>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rsidR="009B4201" w:rsidRPr="00BF148D" w:rsidRDefault="009B4201"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r w:rsidRPr="00BF148D">
              <w:rPr>
                <w:rFonts w:ascii="Arial Narrow" w:hAnsi="Arial Narrow" w:cs="Calibri"/>
                <w:color w:val="000000"/>
                <w:sz w:val="20"/>
                <w:szCs w:val="20"/>
              </w:rPr>
              <w:t xml:space="preserve"> </w:t>
            </w:r>
          </w:p>
        </w:tc>
      </w:tr>
      <w:tr w:rsidR="00172D7B" w:rsidRPr="00BF148D" w:rsidTr="00456AC8">
        <w:tc>
          <w:tcPr>
            <w:tcW w:w="9016" w:type="dxa"/>
            <w:gridSpan w:val="7"/>
          </w:tcPr>
          <w:p w:rsidR="00172D7B" w:rsidRPr="00BF148D" w:rsidRDefault="008E61D1" w:rsidP="00224858">
            <w:pPr>
              <w:keepNext/>
              <w:jc w:val="left"/>
              <w:rPr>
                <w:rFonts w:ascii="Arial Narrow" w:hAnsi="Arial Narrow"/>
                <w:sz w:val="20"/>
                <w:szCs w:val="20"/>
              </w:rPr>
            </w:pPr>
            <w:r w:rsidRPr="00BF148D">
              <w:rPr>
                <w:rFonts w:ascii="Arial Narrow" w:hAnsi="Arial Narrow"/>
                <w:b/>
                <w:snapToGrid w:val="0"/>
                <w:sz w:val="20"/>
                <w:szCs w:val="20"/>
                <w:lang w:eastAsia="en-US"/>
              </w:rPr>
              <w:t>Revised e</w:t>
            </w:r>
            <w:r w:rsidR="00172D7B" w:rsidRPr="00BF148D">
              <w:rPr>
                <w:rFonts w:ascii="Arial Narrow" w:hAnsi="Arial Narrow"/>
                <w:b/>
                <w:snapToGrid w:val="0"/>
                <w:sz w:val="20"/>
                <w:szCs w:val="20"/>
                <w:lang w:eastAsia="en-US"/>
              </w:rPr>
              <w:t>stimated financial implications of cannabidiol</w:t>
            </w:r>
            <w:r w:rsidRPr="00BF148D">
              <w:rPr>
                <w:rFonts w:ascii="Arial Narrow" w:hAnsi="Arial Narrow"/>
                <w:b/>
                <w:snapToGrid w:val="0"/>
                <w:sz w:val="20"/>
                <w:szCs w:val="20"/>
                <w:lang w:eastAsia="en-US"/>
              </w:rPr>
              <w:t xml:space="preserve"> (based on above)</w:t>
            </w:r>
          </w:p>
        </w:tc>
      </w:tr>
      <w:tr w:rsidR="00172D7B" w:rsidRPr="00BF148D" w:rsidTr="00456AC8">
        <w:tc>
          <w:tcPr>
            <w:tcW w:w="2830" w:type="dxa"/>
          </w:tcPr>
          <w:p w:rsidR="00172D7B" w:rsidRPr="00BF148D" w:rsidRDefault="00585BA0" w:rsidP="00224858">
            <w:pPr>
              <w:keepNext/>
              <w:rPr>
                <w:rStyle w:val="MainBodyTextEmphasiswithBold"/>
                <w:rFonts w:ascii="Arial Narrow" w:hAnsi="Arial Narrow"/>
                <w:b w:val="0"/>
                <w:sz w:val="20"/>
                <w:szCs w:val="20"/>
              </w:rPr>
            </w:pPr>
            <w:r w:rsidRPr="00BF148D">
              <w:rPr>
                <w:rStyle w:val="MainBodyTextEmphasiswithBold"/>
                <w:rFonts w:ascii="Arial Narrow" w:hAnsi="Arial Narrow"/>
                <w:b w:val="0"/>
                <w:sz w:val="20"/>
                <w:szCs w:val="20"/>
              </w:rPr>
              <w:t>Revised c</w:t>
            </w:r>
            <w:r w:rsidR="00172D7B" w:rsidRPr="00BF148D">
              <w:rPr>
                <w:rStyle w:val="MainBodyTextEmphasiswithBold"/>
                <w:rFonts w:ascii="Arial Narrow" w:hAnsi="Arial Narrow"/>
                <w:b w:val="0"/>
                <w:sz w:val="20"/>
                <w:szCs w:val="20"/>
              </w:rPr>
              <w:t>ost to PBS</w:t>
            </w:r>
            <w:r w:rsidRPr="00BF148D">
              <w:rPr>
                <w:rStyle w:val="MainBodyTextEmphasiswithBold"/>
                <w:rFonts w:ascii="Arial Narrow" w:hAnsi="Arial Narrow"/>
                <w:b w:val="0"/>
                <w:sz w:val="20"/>
                <w:szCs w:val="20"/>
              </w:rPr>
              <w:t>/ RPBS</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72D7B" w:rsidRPr="00BF148D" w:rsidRDefault="00172D7B"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72D7B" w:rsidRPr="00BF148D" w:rsidRDefault="00172D7B"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72D7B" w:rsidRPr="00BF148D" w:rsidRDefault="00172D7B"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72D7B" w:rsidRPr="00BF148D" w:rsidRDefault="00172D7B"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72D7B" w:rsidRPr="00BF148D" w:rsidRDefault="00172D7B"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72D7B" w:rsidRPr="00BF148D" w:rsidRDefault="00172D7B" w:rsidP="00224858">
            <w:pPr>
              <w:keepNext/>
              <w:jc w:val="center"/>
              <w:rPr>
                <w:rFonts w:ascii="Arial Narrow" w:hAnsi="Arial Narrow"/>
                <w:sz w:val="20"/>
                <w:szCs w:val="20"/>
              </w:rPr>
            </w:pPr>
            <w:r w:rsidRPr="00BF148D">
              <w:rPr>
                <w:rFonts w:ascii="Arial Narrow" w:hAnsi="Arial Narrow" w:cs="Calibri"/>
                <w:color w:val="000000"/>
                <w:sz w:val="20"/>
                <w:szCs w:val="20"/>
              </w:rPr>
              <w:t>$</w:t>
            </w:r>
            <w:r w:rsidR="00B451A4">
              <w:rPr>
                <w:rFonts w:ascii="Arial Narrow" w:hAnsi="Arial Narrow" w:cs="Calibri"/>
                <w:noProof/>
                <w:color w:val="000000"/>
                <w:sz w:val="20"/>
                <w:szCs w:val="20"/>
                <w:highlight w:val="black"/>
              </w:rPr>
              <w:t>''''''''''''''''''''''''''''</w:t>
            </w:r>
          </w:p>
        </w:tc>
      </w:tr>
      <w:tr w:rsidR="008E61D1" w:rsidRPr="00BF148D" w:rsidTr="00456AC8">
        <w:tc>
          <w:tcPr>
            <w:tcW w:w="2830" w:type="dxa"/>
          </w:tcPr>
          <w:p w:rsidR="008E61D1" w:rsidRPr="00BF148D" w:rsidRDefault="008E61D1" w:rsidP="00224858">
            <w:pPr>
              <w:keepNext/>
              <w:rPr>
                <w:rFonts w:ascii="Arial Narrow" w:hAnsi="Arial Narrow"/>
                <w:b/>
                <w:bCs/>
                <w:snapToGrid w:val="0"/>
                <w:sz w:val="20"/>
                <w:szCs w:val="20"/>
                <w:lang w:eastAsia="en-US"/>
              </w:rPr>
            </w:pPr>
            <w:r w:rsidRPr="00BF148D">
              <w:rPr>
                <w:rFonts w:ascii="Arial Narrow" w:hAnsi="Arial Narrow"/>
                <w:b/>
                <w:bCs/>
                <w:snapToGrid w:val="0"/>
                <w:sz w:val="20"/>
                <w:szCs w:val="20"/>
                <w:lang w:eastAsia="en-US"/>
              </w:rPr>
              <w:t>Net cost to PBS</w:t>
            </w:r>
            <w:r w:rsidR="00585BA0" w:rsidRPr="00BF148D">
              <w:rPr>
                <w:rFonts w:ascii="Arial Narrow" w:hAnsi="Arial Narrow"/>
                <w:b/>
                <w:bCs/>
                <w:snapToGrid w:val="0"/>
                <w:sz w:val="20"/>
                <w:szCs w:val="20"/>
                <w:lang w:eastAsia="en-US"/>
              </w:rPr>
              <w:t>/ RPBS</w:t>
            </w:r>
            <w:r w:rsidRPr="00BF148D">
              <w:rPr>
                <w:rFonts w:ascii="Arial Narrow" w:hAnsi="Arial Narrow"/>
                <w:b/>
                <w:bCs/>
                <w:snapToGrid w:val="0"/>
                <w:sz w:val="20"/>
                <w:szCs w:val="20"/>
                <w:lang w:eastAsia="en-US"/>
              </w:rPr>
              <w:t>***</w:t>
            </w:r>
          </w:p>
        </w:tc>
        <w:tc>
          <w:tcPr>
            <w:tcW w:w="1031" w:type="dxa"/>
            <w:tcBorders>
              <w:top w:val="single" w:sz="4" w:space="0" w:color="auto"/>
              <w:left w:val="nil"/>
              <w:bottom w:val="single" w:sz="4" w:space="0" w:color="auto"/>
              <w:right w:val="single" w:sz="4" w:space="0" w:color="auto"/>
            </w:tcBorders>
            <w:shd w:val="clear" w:color="auto" w:fill="auto"/>
            <w:vAlign w:val="center"/>
          </w:tcPr>
          <w:p w:rsidR="008E61D1" w:rsidRPr="00BF148D" w:rsidRDefault="008E61D1" w:rsidP="00224858">
            <w:pPr>
              <w:keepNext/>
              <w:jc w:val="center"/>
              <w:rPr>
                <w:rFonts w:ascii="Arial Narrow" w:hAnsi="Arial Narrow"/>
                <w:sz w:val="20"/>
                <w:szCs w:val="20"/>
              </w:rPr>
            </w:pPr>
            <w:r w:rsidRPr="00BF148D">
              <w:rPr>
                <w:rFonts w:ascii="Arial Narrow" w:hAnsi="Arial Narrow"/>
                <w:b/>
                <w:color w:val="000000"/>
                <w:sz w:val="20"/>
                <w:szCs w:val="20"/>
              </w:rPr>
              <w:t>$</w:t>
            </w:r>
            <w:r w:rsidR="00B451A4">
              <w:rPr>
                <w:rFonts w:ascii="Arial Narrow" w:hAnsi="Arial Narrow"/>
                <w:b/>
                <w:noProof/>
                <w:color w:val="000000"/>
                <w:sz w:val="20"/>
                <w:szCs w:val="20"/>
                <w:highlight w:val="black"/>
              </w:rPr>
              <w:t>'''''''''''''''''''''''</w:t>
            </w:r>
            <w:r w:rsidRPr="00BF148D">
              <w:rPr>
                <w:rFonts w:ascii="Arial Narrow" w:hAnsi="Arial Narrow"/>
                <w:b/>
                <w:color w:val="000000"/>
                <w:sz w:val="20"/>
                <w:szCs w:val="20"/>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E61D1" w:rsidRPr="00BF148D" w:rsidRDefault="008E61D1" w:rsidP="00224858">
            <w:pPr>
              <w:keepNext/>
              <w:jc w:val="center"/>
              <w:rPr>
                <w:rFonts w:ascii="Arial Narrow" w:hAnsi="Arial Narrow"/>
                <w:sz w:val="20"/>
                <w:szCs w:val="20"/>
              </w:rPr>
            </w:pPr>
            <w:r w:rsidRPr="00BF148D">
              <w:rPr>
                <w:rFonts w:ascii="Arial Narrow" w:hAnsi="Arial Narrow"/>
                <w:b/>
                <w:sz w:val="20"/>
                <w:szCs w:val="20"/>
              </w:rPr>
              <w:t>$</w:t>
            </w:r>
            <w:r w:rsidR="00B451A4">
              <w:rPr>
                <w:rFonts w:ascii="Arial Narrow" w:hAnsi="Arial Narrow"/>
                <w:b/>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E61D1" w:rsidRPr="00BF148D" w:rsidRDefault="008E61D1" w:rsidP="00224858">
            <w:pPr>
              <w:keepNext/>
              <w:jc w:val="center"/>
              <w:rPr>
                <w:rFonts w:ascii="Arial Narrow" w:hAnsi="Arial Narrow"/>
                <w:sz w:val="20"/>
                <w:szCs w:val="20"/>
              </w:rPr>
            </w:pPr>
            <w:r w:rsidRPr="00BF148D">
              <w:rPr>
                <w:rFonts w:ascii="Arial Narrow" w:hAnsi="Arial Narrow"/>
                <w:b/>
                <w:sz w:val="20"/>
                <w:szCs w:val="20"/>
              </w:rPr>
              <w:t>$</w:t>
            </w:r>
            <w:r w:rsidR="00B451A4">
              <w:rPr>
                <w:rFonts w:ascii="Arial Narrow" w:hAnsi="Arial Narrow"/>
                <w:b/>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E61D1" w:rsidRPr="00BF148D" w:rsidRDefault="008E61D1" w:rsidP="00224858">
            <w:pPr>
              <w:keepNext/>
              <w:jc w:val="center"/>
              <w:rPr>
                <w:rFonts w:ascii="Arial Narrow" w:hAnsi="Arial Narrow"/>
                <w:sz w:val="20"/>
                <w:szCs w:val="20"/>
              </w:rPr>
            </w:pPr>
            <w:r w:rsidRPr="00BF148D">
              <w:rPr>
                <w:rFonts w:ascii="Arial Narrow" w:hAnsi="Arial Narrow"/>
                <w:b/>
                <w:sz w:val="20"/>
                <w:szCs w:val="20"/>
              </w:rPr>
              <w:t>$</w:t>
            </w:r>
            <w:r w:rsidR="00B451A4">
              <w:rPr>
                <w:rFonts w:ascii="Arial Narrow" w:hAnsi="Arial Narrow"/>
                <w:b/>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E61D1" w:rsidRPr="00BF148D" w:rsidRDefault="008E61D1" w:rsidP="00224858">
            <w:pPr>
              <w:keepNext/>
              <w:jc w:val="center"/>
              <w:rPr>
                <w:rFonts w:ascii="Arial Narrow" w:hAnsi="Arial Narrow"/>
                <w:sz w:val="20"/>
                <w:szCs w:val="20"/>
              </w:rPr>
            </w:pPr>
            <w:r w:rsidRPr="00BF148D">
              <w:rPr>
                <w:rFonts w:ascii="Arial Narrow" w:hAnsi="Arial Narrow"/>
                <w:b/>
                <w:sz w:val="20"/>
                <w:szCs w:val="20"/>
              </w:rPr>
              <w:t>$</w:t>
            </w:r>
            <w:r w:rsidR="00B451A4">
              <w:rPr>
                <w:rFonts w:ascii="Arial Narrow" w:hAnsi="Arial Narrow"/>
                <w:b/>
                <w:noProof/>
                <w:color w:val="000000"/>
                <w:sz w:val="20"/>
                <w:szCs w:val="20"/>
                <w:highlight w:val="black"/>
              </w:rPr>
              <w: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E61D1" w:rsidRPr="00BF148D" w:rsidRDefault="008E61D1" w:rsidP="00224858">
            <w:pPr>
              <w:keepNext/>
              <w:jc w:val="center"/>
              <w:rPr>
                <w:rFonts w:ascii="Arial Narrow" w:hAnsi="Arial Narrow"/>
                <w:sz w:val="20"/>
                <w:szCs w:val="20"/>
              </w:rPr>
            </w:pPr>
            <w:r w:rsidRPr="00BF148D">
              <w:rPr>
                <w:rFonts w:ascii="Arial Narrow" w:hAnsi="Arial Narrow"/>
                <w:b/>
                <w:sz w:val="20"/>
                <w:szCs w:val="20"/>
              </w:rPr>
              <w:t>$</w:t>
            </w:r>
            <w:r w:rsidR="00B451A4">
              <w:rPr>
                <w:rFonts w:ascii="Arial Narrow" w:hAnsi="Arial Narrow"/>
                <w:b/>
                <w:noProof/>
                <w:color w:val="000000"/>
                <w:sz w:val="20"/>
                <w:szCs w:val="20"/>
                <w:highlight w:val="black"/>
              </w:rPr>
              <w:t>''''''''''''''''''''''</w:t>
            </w:r>
          </w:p>
        </w:tc>
      </w:tr>
    </w:tbl>
    <w:p w:rsidR="00D45650" w:rsidRPr="00BF148D" w:rsidRDefault="00D45650" w:rsidP="00224858">
      <w:pPr>
        <w:tabs>
          <w:tab w:val="left" w:pos="284"/>
        </w:tabs>
        <w:ind w:left="284" w:hanging="284"/>
        <w:rPr>
          <w:rFonts w:ascii="Arial Narrow" w:hAnsi="Arial Narrow"/>
          <w:snapToGrid w:val="0"/>
          <w:sz w:val="18"/>
          <w:szCs w:val="18"/>
          <w:lang w:eastAsia="en-US"/>
        </w:rPr>
      </w:pPr>
      <w:r w:rsidRPr="00BF148D">
        <w:rPr>
          <w:rFonts w:ascii="Arial Narrow" w:hAnsi="Arial Narrow"/>
          <w:snapToGrid w:val="0"/>
          <w:sz w:val="18"/>
          <w:szCs w:val="18"/>
          <w:lang w:eastAsia="en-US"/>
        </w:rPr>
        <w:t>*</w:t>
      </w:r>
      <w:r w:rsidRPr="00BF148D">
        <w:rPr>
          <w:rFonts w:ascii="Arial Narrow" w:hAnsi="Arial Narrow"/>
          <w:snapToGrid w:val="0"/>
          <w:sz w:val="18"/>
          <w:szCs w:val="18"/>
          <w:lang w:eastAsia="en-US"/>
        </w:rPr>
        <w:tab/>
        <w:t>Based on assuming all diagnosed patients are medically eligible and otherwise eligible for cannabidiol, and the con</w:t>
      </w:r>
      <w:r w:rsidR="00131022" w:rsidRPr="00BF148D">
        <w:rPr>
          <w:rFonts w:ascii="Arial Narrow" w:hAnsi="Arial Narrow"/>
          <w:snapToGrid w:val="0"/>
          <w:sz w:val="18"/>
          <w:szCs w:val="18"/>
          <w:lang w:eastAsia="en-US"/>
        </w:rPr>
        <w:t xml:space="preserve">tinuation rate is 56% </w:t>
      </w:r>
      <w:r w:rsidRPr="00BF148D">
        <w:rPr>
          <w:rFonts w:ascii="Arial Narrow" w:hAnsi="Arial Narrow"/>
          <w:snapToGrid w:val="0"/>
          <w:sz w:val="18"/>
          <w:szCs w:val="18"/>
          <w:lang w:eastAsia="en-US"/>
        </w:rPr>
        <w:t>at the end of 2021 rather than 44%</w:t>
      </w:r>
      <w:r w:rsidR="002C6017" w:rsidRPr="00BF148D">
        <w:rPr>
          <w:rFonts w:ascii="Arial Narrow" w:hAnsi="Arial Narrow"/>
          <w:snapToGrid w:val="0"/>
          <w:sz w:val="18"/>
          <w:szCs w:val="18"/>
          <w:lang w:eastAsia="en-US"/>
        </w:rPr>
        <w:t xml:space="preserve"> to be consistent with the approach for LGS</w:t>
      </w:r>
    </w:p>
    <w:p w:rsidR="00D45650" w:rsidRPr="00BF148D" w:rsidRDefault="00D45650" w:rsidP="00224858">
      <w:pPr>
        <w:tabs>
          <w:tab w:val="left" w:pos="284"/>
        </w:tabs>
        <w:ind w:left="284" w:hanging="284"/>
        <w:rPr>
          <w:rFonts w:ascii="Arial Narrow" w:hAnsi="Arial Narrow"/>
          <w:snapToGrid w:val="0"/>
          <w:sz w:val="18"/>
          <w:szCs w:val="18"/>
          <w:lang w:eastAsia="en-US"/>
        </w:rPr>
      </w:pPr>
      <w:r w:rsidRPr="00BF148D">
        <w:rPr>
          <w:rFonts w:ascii="Arial Narrow" w:hAnsi="Arial Narrow"/>
          <w:snapToGrid w:val="0"/>
          <w:sz w:val="18"/>
          <w:szCs w:val="18"/>
          <w:lang w:eastAsia="en-US"/>
        </w:rPr>
        <w:t>**</w:t>
      </w:r>
      <w:r w:rsidRPr="00BF148D">
        <w:rPr>
          <w:rFonts w:ascii="Arial Narrow" w:hAnsi="Arial Narrow"/>
          <w:snapToGrid w:val="0"/>
          <w:sz w:val="18"/>
          <w:szCs w:val="18"/>
          <w:lang w:eastAsia="en-US"/>
        </w:rPr>
        <w:tab/>
        <w:t>Based on assuming all diagnosed patients are medically eligible and otherwise eligible for cannabidiol</w:t>
      </w:r>
    </w:p>
    <w:p w:rsidR="002040FF" w:rsidRPr="00BF148D" w:rsidRDefault="002040FF" w:rsidP="00224858">
      <w:pPr>
        <w:tabs>
          <w:tab w:val="left" w:pos="284"/>
        </w:tabs>
        <w:ind w:left="284" w:hanging="284"/>
        <w:rPr>
          <w:rFonts w:ascii="Arial Narrow" w:hAnsi="Arial Narrow"/>
          <w:snapToGrid w:val="0"/>
          <w:sz w:val="18"/>
          <w:szCs w:val="18"/>
          <w:lang w:eastAsia="en-US"/>
        </w:rPr>
      </w:pPr>
      <w:r w:rsidRPr="00BF148D">
        <w:rPr>
          <w:rFonts w:ascii="Arial Narrow" w:hAnsi="Arial Narrow"/>
          <w:snapToGrid w:val="0"/>
          <w:sz w:val="18"/>
          <w:szCs w:val="18"/>
          <w:lang w:eastAsia="en-US"/>
        </w:rPr>
        <w:t>***</w:t>
      </w:r>
      <w:r w:rsidRPr="00BF148D">
        <w:rPr>
          <w:rFonts w:ascii="Arial Narrow" w:hAnsi="Arial Narrow"/>
          <w:snapToGrid w:val="0"/>
          <w:sz w:val="18"/>
          <w:szCs w:val="18"/>
          <w:lang w:eastAsia="en-US"/>
        </w:rPr>
        <w:tab/>
      </w:r>
      <w:r w:rsidR="000155E1" w:rsidRPr="00BF148D">
        <w:rPr>
          <w:rFonts w:ascii="Arial Narrow" w:hAnsi="Arial Narrow"/>
          <w:snapToGrid w:val="0"/>
          <w:sz w:val="18"/>
          <w:szCs w:val="18"/>
          <w:lang w:eastAsia="en-US"/>
        </w:rPr>
        <w:t>T</w:t>
      </w:r>
      <w:r w:rsidRPr="00BF148D">
        <w:rPr>
          <w:rFonts w:ascii="Arial Narrow" w:hAnsi="Arial Narrow"/>
          <w:snapToGrid w:val="0"/>
          <w:sz w:val="18"/>
          <w:szCs w:val="18"/>
          <w:lang w:eastAsia="en-US"/>
        </w:rPr>
        <w:t>he net change in services and costs to the MBS and health budgets associated with an assumed reduced number of hospitalisations due to more patients becoming seizure free</w:t>
      </w:r>
      <w:r w:rsidR="000155E1" w:rsidRPr="00BF148D">
        <w:rPr>
          <w:rFonts w:ascii="Arial Narrow" w:hAnsi="Arial Narrow"/>
          <w:snapToGrid w:val="0"/>
          <w:sz w:val="18"/>
          <w:szCs w:val="18"/>
          <w:lang w:eastAsia="en-US"/>
        </w:rPr>
        <w:t xml:space="preserve"> are not presented as</w:t>
      </w:r>
      <w:r w:rsidR="008E61D1" w:rsidRPr="00BF148D">
        <w:rPr>
          <w:rFonts w:ascii="Arial Narrow" w:hAnsi="Arial Narrow"/>
          <w:snapToGrid w:val="0"/>
          <w:sz w:val="18"/>
          <w:szCs w:val="18"/>
          <w:lang w:eastAsia="en-US"/>
        </w:rPr>
        <w:t xml:space="preserve"> these costs were not considered likely to be realised</w:t>
      </w:r>
    </w:p>
    <w:p w:rsidR="00B279E4" w:rsidRPr="00BF148D" w:rsidRDefault="00B279E4" w:rsidP="00224858">
      <w:pPr>
        <w:pStyle w:val="TableFigureFooter"/>
      </w:pPr>
      <w:r w:rsidRPr="00BF148D">
        <w:t>LGS: DPMQ of $</w:t>
      </w:r>
      <w:r w:rsidR="00B451A4">
        <w:rPr>
          <w:noProof/>
          <w:color w:val="000000"/>
          <w:highlight w:val="black"/>
        </w:rPr>
        <w:t>''''''''''''</w:t>
      </w:r>
      <w:r w:rsidRPr="00BF148D">
        <w:t xml:space="preserve"> for 2 x 100 mL bottles per script</w:t>
      </w:r>
    </w:p>
    <w:p w:rsidR="00B279E4" w:rsidRPr="00BF148D" w:rsidRDefault="00B279E4" w:rsidP="00224858">
      <w:pPr>
        <w:pStyle w:val="TableFigureFooter"/>
      </w:pPr>
      <w:r w:rsidRPr="00BF148D">
        <w:t>DS: DPMQ of $</w:t>
      </w:r>
      <w:r w:rsidR="00B451A4">
        <w:rPr>
          <w:noProof/>
          <w:color w:val="000000"/>
          <w:highlight w:val="black"/>
        </w:rPr>
        <w:t>'''''''''''''</w:t>
      </w:r>
      <w:r w:rsidRPr="00BF148D">
        <w:t xml:space="preserve"> for 1 x 100 mL bottle per script</w:t>
      </w:r>
    </w:p>
    <w:p w:rsidR="00B279E4" w:rsidRPr="00BF148D" w:rsidRDefault="00585BA0" w:rsidP="00224858">
      <w:pPr>
        <w:pStyle w:val="TableFigureFooter"/>
        <w:rPr>
          <w:i/>
        </w:rPr>
      </w:pPr>
      <w:r w:rsidRPr="00BF148D">
        <w:t>E</w:t>
      </w:r>
      <w:r w:rsidR="00B279E4" w:rsidRPr="00BF148D">
        <w:t>stimates that were updated during the evaluation assuming all patients are medically eligible for cannabidiol and that treatment is not limited to patients inadequately controlled on other AEDs, and that 56% of patients will continue on treatment for DS rather than 44%</w:t>
      </w:r>
      <w:r w:rsidR="002C6017" w:rsidRPr="00BF148D">
        <w:t xml:space="preserve"> to be consistent with the approach for LGS</w:t>
      </w:r>
    </w:p>
    <w:p w:rsidR="00B279E4" w:rsidRDefault="00B279E4" w:rsidP="00224858">
      <w:pPr>
        <w:pStyle w:val="TableFigureFooter"/>
      </w:pPr>
      <w:r w:rsidRPr="00BF148D">
        <w:t>Source: constructed during the evaluation from Table 137, p219 and Tables 139- 141, pp220-221</w:t>
      </w:r>
      <w:r w:rsidR="00BF148D">
        <w:t xml:space="preserve"> </w:t>
      </w:r>
      <w:r w:rsidRPr="00BF148D">
        <w:t>of the submission.</w:t>
      </w:r>
    </w:p>
    <w:p w:rsidR="00EE1E2F" w:rsidRDefault="00EE1E2F" w:rsidP="00224858">
      <w:pPr>
        <w:pStyle w:val="TableFigureFooter"/>
      </w:pPr>
    </w:p>
    <w:p w:rsidR="00EE1E2F" w:rsidRPr="00EE1E2F" w:rsidRDefault="00EE1E2F" w:rsidP="00224858">
      <w:pPr>
        <w:pStyle w:val="TableFigureFooter"/>
        <w:rPr>
          <w:rFonts w:asciiTheme="minorHAnsi" w:hAnsiTheme="minorHAnsi" w:cstheme="minorHAnsi"/>
          <w:i/>
          <w:sz w:val="24"/>
          <w:szCs w:val="24"/>
        </w:rPr>
      </w:pPr>
      <w:r>
        <w:rPr>
          <w:rFonts w:asciiTheme="minorHAnsi" w:hAnsiTheme="minorHAnsi" w:cstheme="minorHAnsi"/>
          <w:i/>
          <w:sz w:val="24"/>
          <w:szCs w:val="24"/>
        </w:rPr>
        <w:t>The redacted table shows that at Year 6</w:t>
      </w:r>
      <w:r w:rsidR="00A856D2">
        <w:rPr>
          <w:rFonts w:asciiTheme="minorHAnsi" w:hAnsiTheme="minorHAnsi" w:cstheme="minorHAnsi"/>
          <w:i/>
          <w:sz w:val="24"/>
          <w:szCs w:val="24"/>
        </w:rPr>
        <w:t xml:space="preserve">, the estimated number of scripts was 500 to &lt; 5,000 and 5,000 to &lt; 10,000 for DS and LGS respectively. </w:t>
      </w:r>
    </w:p>
    <w:p w:rsidR="00EC795B" w:rsidRPr="00BF148D" w:rsidRDefault="007827EC" w:rsidP="00B330D7">
      <w:pPr>
        <w:pStyle w:val="3-BodyText"/>
      </w:pPr>
      <w:r w:rsidRPr="00BF148D">
        <w:t xml:space="preserve">The </w:t>
      </w:r>
      <w:r w:rsidR="00EF300D" w:rsidRPr="00BF148D">
        <w:t xml:space="preserve">revised </w:t>
      </w:r>
      <w:r w:rsidR="00322CBF" w:rsidRPr="00BF148D">
        <w:t xml:space="preserve">(assuming all patients would be medically eligible, and one and two bottles per script for DS and LGS, respectively) </w:t>
      </w:r>
      <w:r w:rsidRPr="00BF148D">
        <w:t xml:space="preserve">total </w:t>
      </w:r>
      <w:r w:rsidR="00585BA0" w:rsidRPr="00BF148D">
        <w:t xml:space="preserve">net </w:t>
      </w:r>
      <w:r w:rsidRPr="00BF148D">
        <w:t xml:space="preserve">cost to the PBS/RPBS of listing </w:t>
      </w:r>
      <w:r w:rsidR="00EC795B" w:rsidRPr="00BF148D">
        <w:t xml:space="preserve">cannabidiol </w:t>
      </w:r>
      <w:r w:rsidRPr="00BF148D">
        <w:t>was estimated to be $</w:t>
      </w:r>
      <w:r w:rsidR="00A856D2">
        <w:t>30</w:t>
      </w:r>
      <w:r w:rsidR="00EC795B" w:rsidRPr="00BF148D">
        <w:t xml:space="preserve"> </w:t>
      </w:r>
      <w:r w:rsidRPr="00BF148D">
        <w:t>million</w:t>
      </w:r>
      <w:r w:rsidR="00A856D2">
        <w:t xml:space="preserve"> to &lt; </w:t>
      </w:r>
      <w:r w:rsidR="007C5D4C">
        <w:t>$</w:t>
      </w:r>
      <w:r w:rsidR="00A856D2">
        <w:t>40 million</w:t>
      </w:r>
      <w:r w:rsidRPr="00BF148D">
        <w:t xml:space="preserve"> in Year 6, and a total </w:t>
      </w:r>
      <w:r w:rsidR="00585BA0" w:rsidRPr="00BF148D">
        <w:t xml:space="preserve">net cost </w:t>
      </w:r>
      <w:r w:rsidRPr="00BF148D">
        <w:t xml:space="preserve">of </w:t>
      </w:r>
      <w:r w:rsidR="00EF300D" w:rsidRPr="00BF148D">
        <w:t>$</w:t>
      </w:r>
      <w:r w:rsidR="00A856D2">
        <w:t>200</w:t>
      </w:r>
      <w:r w:rsidR="00EC795B" w:rsidRPr="00BF148D">
        <w:t xml:space="preserve"> </w:t>
      </w:r>
      <w:r w:rsidRPr="00BF148D">
        <w:t>million</w:t>
      </w:r>
      <w:r w:rsidR="00A856D2">
        <w:t xml:space="preserve"> to &lt; </w:t>
      </w:r>
      <w:r w:rsidR="007C5D4C">
        <w:t>$</w:t>
      </w:r>
      <w:r w:rsidR="00A856D2">
        <w:t>300 million</w:t>
      </w:r>
      <w:r w:rsidRPr="00BF148D">
        <w:t xml:space="preserve"> in the first 6 years of </w:t>
      </w:r>
      <w:r w:rsidRPr="00BF148D">
        <w:rPr>
          <w:color w:val="000000" w:themeColor="text1"/>
        </w:rPr>
        <w:t>listing.</w:t>
      </w:r>
      <w:r w:rsidR="008D2CDF" w:rsidRPr="00BF148D">
        <w:rPr>
          <w:color w:val="000000" w:themeColor="text1"/>
        </w:rPr>
        <w:t xml:space="preserve"> </w:t>
      </w:r>
    </w:p>
    <w:p w:rsidR="00995A0B" w:rsidRPr="00BF148D" w:rsidRDefault="00995A0B" w:rsidP="00224858">
      <w:pPr>
        <w:pStyle w:val="3-BodyText"/>
        <w:rPr>
          <w:color w:val="000000" w:themeColor="text1"/>
        </w:rPr>
      </w:pPr>
      <w:r w:rsidRPr="00BF148D">
        <w:rPr>
          <w:color w:val="000000" w:themeColor="text1"/>
        </w:rPr>
        <w:t xml:space="preserve">The revised total cost to the PBS/RPBS was considered </w:t>
      </w:r>
      <w:r w:rsidR="00883588" w:rsidRPr="00BF148D">
        <w:rPr>
          <w:color w:val="000000" w:themeColor="text1"/>
        </w:rPr>
        <w:t xml:space="preserve">to be highly uncertain and potentially </w:t>
      </w:r>
      <w:r w:rsidRPr="00BF148D">
        <w:rPr>
          <w:color w:val="000000" w:themeColor="text1"/>
        </w:rPr>
        <w:t>underestimated, despite the evaluation’s increase to the number of patients medically eligible and otherwise eligible for cannabidiol since</w:t>
      </w:r>
      <w:r w:rsidR="00FC50CA" w:rsidRPr="00BF148D">
        <w:rPr>
          <w:color w:val="000000" w:themeColor="text1"/>
        </w:rPr>
        <w:t>:</w:t>
      </w:r>
      <w:r w:rsidRPr="00BF148D">
        <w:rPr>
          <w:color w:val="000000" w:themeColor="text1"/>
        </w:rPr>
        <w:t xml:space="preserve"> </w:t>
      </w:r>
      <w:r w:rsidR="00322CBF" w:rsidRPr="00BF148D">
        <w:rPr>
          <w:color w:val="000000" w:themeColor="text1"/>
        </w:rPr>
        <w:t xml:space="preserve">(i) </w:t>
      </w:r>
      <w:r w:rsidR="00883588" w:rsidRPr="00BF148D">
        <w:rPr>
          <w:color w:val="000000" w:themeColor="text1"/>
        </w:rPr>
        <w:t xml:space="preserve">the proportion of patients continuing on therapy after 12 months may be greater than </w:t>
      </w:r>
      <w:r w:rsidR="00883588" w:rsidRPr="00BF148D">
        <w:rPr>
          <w:color w:val="000000" w:themeColor="text1"/>
        </w:rPr>
        <w:lastRenderedPageBreak/>
        <w:t xml:space="preserve">that estimated by the </w:t>
      </w:r>
      <w:r w:rsidR="00FC50CA" w:rsidRPr="00BF148D">
        <w:rPr>
          <w:color w:val="000000" w:themeColor="text1"/>
        </w:rPr>
        <w:t>submission;</w:t>
      </w:r>
      <w:r w:rsidR="00883588" w:rsidRPr="00BF148D">
        <w:rPr>
          <w:color w:val="000000" w:themeColor="text1"/>
        </w:rPr>
        <w:t xml:space="preserve"> </w:t>
      </w:r>
      <w:r w:rsidR="00322CBF" w:rsidRPr="00BF148D">
        <w:rPr>
          <w:color w:val="000000" w:themeColor="text1"/>
        </w:rPr>
        <w:t xml:space="preserve">(ii) </w:t>
      </w:r>
      <w:r w:rsidR="00883588" w:rsidRPr="00BF148D">
        <w:rPr>
          <w:color w:val="000000" w:themeColor="text1"/>
        </w:rPr>
        <w:t>the dose of cannabidiol used is likely to be higher than estimated by the submission</w:t>
      </w:r>
      <w:r w:rsidR="00FC50CA" w:rsidRPr="00BF148D">
        <w:rPr>
          <w:color w:val="000000" w:themeColor="text1"/>
        </w:rPr>
        <w:t>;</w:t>
      </w:r>
      <w:r w:rsidR="00883588" w:rsidRPr="00BF148D">
        <w:rPr>
          <w:color w:val="000000" w:themeColor="text1"/>
        </w:rPr>
        <w:t xml:space="preserve"> and </w:t>
      </w:r>
      <w:r w:rsidR="00322CBF" w:rsidRPr="00BF148D">
        <w:rPr>
          <w:color w:val="000000" w:themeColor="text1"/>
        </w:rPr>
        <w:t xml:space="preserve">(iii) </w:t>
      </w:r>
      <w:r w:rsidR="00883588" w:rsidRPr="00BF148D">
        <w:rPr>
          <w:color w:val="000000" w:themeColor="text1"/>
        </w:rPr>
        <w:t>the weight of patients (and therefore the cost of cannabidiol, being based on weight) is likely to increase over time as the cohort initiating treatment on cannabidiol ages.</w:t>
      </w:r>
      <w:r w:rsidRPr="00BF148D">
        <w:rPr>
          <w:color w:val="000000" w:themeColor="text1"/>
        </w:rPr>
        <w:t xml:space="preserve"> </w:t>
      </w:r>
      <w:r w:rsidR="00883588" w:rsidRPr="00BF148D">
        <w:rPr>
          <w:color w:val="000000" w:themeColor="text1"/>
        </w:rPr>
        <w:t>This underestimation of costs may have been partly offset by the submission’s inclusion of grandfathered patients separate to the estimation of prevalent patient numbers, and there could also be some cost offsets in the use of other AEDs should cannabidiol replac</w:t>
      </w:r>
      <w:r w:rsidR="00322CBF" w:rsidRPr="00BF148D">
        <w:rPr>
          <w:color w:val="000000" w:themeColor="text1"/>
        </w:rPr>
        <w:t>e the use of some currently PBS-</w:t>
      </w:r>
      <w:r w:rsidR="00883588" w:rsidRPr="00BF148D">
        <w:rPr>
          <w:color w:val="000000" w:themeColor="text1"/>
        </w:rPr>
        <w:t xml:space="preserve">listed AEDs for patients with DS or LGS. </w:t>
      </w:r>
    </w:p>
    <w:p w:rsidR="00742186" w:rsidRPr="00BF148D" w:rsidRDefault="00742186" w:rsidP="00224858">
      <w:pPr>
        <w:pStyle w:val="3-BodyText"/>
        <w:rPr>
          <w:color w:val="000000" w:themeColor="text1"/>
        </w:rPr>
      </w:pPr>
      <w:r w:rsidRPr="00BF148D">
        <w:rPr>
          <w:color w:val="000000" w:themeColor="text1"/>
        </w:rPr>
        <w:t xml:space="preserve">The ESC considered the financial estimates to be highly uncertain and likely underestimated due to a lack of data and </w:t>
      </w:r>
      <w:r w:rsidR="003E0634" w:rsidRPr="00BF148D">
        <w:rPr>
          <w:color w:val="000000" w:themeColor="text1"/>
        </w:rPr>
        <w:t xml:space="preserve">unsupported </w:t>
      </w:r>
      <w:r w:rsidRPr="00BF148D">
        <w:rPr>
          <w:color w:val="000000" w:themeColor="text1"/>
        </w:rPr>
        <w:t>assumptions:</w:t>
      </w:r>
    </w:p>
    <w:p w:rsidR="00643261" w:rsidRPr="00BF148D" w:rsidRDefault="00742186" w:rsidP="009C6864">
      <w:pPr>
        <w:pStyle w:val="ListParagraph"/>
        <w:numPr>
          <w:ilvl w:val="0"/>
          <w:numId w:val="26"/>
        </w:numPr>
        <w:ind w:left="1077" w:hanging="357"/>
        <w:contextualSpacing/>
      </w:pPr>
      <w:r w:rsidRPr="00BF148D">
        <w:t>The prevalence and incidence of</w:t>
      </w:r>
      <w:r w:rsidR="00B330D7" w:rsidRPr="00BF148D">
        <w:t xml:space="preserve"> </w:t>
      </w:r>
      <w:r w:rsidRPr="00BF148D">
        <w:t xml:space="preserve">LGS in the Australian population was an estimation based on </w:t>
      </w:r>
      <w:r w:rsidR="00643261" w:rsidRPr="00BF148D">
        <w:t>a systematic review of publications</w:t>
      </w:r>
      <w:r w:rsidR="00B330D7" w:rsidRPr="00BF148D">
        <w:t xml:space="preserve"> and </w:t>
      </w:r>
      <w:r w:rsidR="00FD2776" w:rsidRPr="00BF148D">
        <w:t xml:space="preserve">minimal </w:t>
      </w:r>
      <w:r w:rsidR="00B330D7" w:rsidRPr="00BF148D">
        <w:t>details regarding the review or publications identified were provided in the submission</w:t>
      </w:r>
      <w:r w:rsidR="00643261" w:rsidRPr="00BF148D">
        <w:t>;</w:t>
      </w:r>
    </w:p>
    <w:p w:rsidR="00B330D7" w:rsidRPr="00BF148D" w:rsidRDefault="00B330D7" w:rsidP="009C6864">
      <w:pPr>
        <w:pStyle w:val="ListParagraph"/>
        <w:numPr>
          <w:ilvl w:val="0"/>
          <w:numId w:val="26"/>
        </w:numPr>
        <w:ind w:left="1077" w:hanging="357"/>
        <w:contextualSpacing/>
      </w:pPr>
      <w:r w:rsidRPr="00BF148D">
        <w:t xml:space="preserve">The prevalence of DS appeared to be incorrectly applied (0.004%, rather than 0.002%); </w:t>
      </w:r>
    </w:p>
    <w:p w:rsidR="00643261" w:rsidRPr="00BF148D" w:rsidRDefault="00643261" w:rsidP="009C6864">
      <w:pPr>
        <w:pStyle w:val="ListParagraph"/>
        <w:numPr>
          <w:ilvl w:val="0"/>
          <w:numId w:val="26"/>
        </w:numPr>
        <w:ind w:left="1077" w:hanging="357"/>
        <w:contextualSpacing/>
      </w:pPr>
      <w:r w:rsidRPr="00BF148D">
        <w:t xml:space="preserve">The uptake rates were considered highly uncertain as they were based on </w:t>
      </w:r>
      <w:r w:rsidR="00B330D7" w:rsidRPr="00BF148D">
        <w:t xml:space="preserve">unsubstantiated </w:t>
      </w:r>
      <w:r w:rsidRPr="00BF148D">
        <w:t>sponsor projections;</w:t>
      </w:r>
    </w:p>
    <w:p w:rsidR="00643261" w:rsidRPr="00BF148D" w:rsidRDefault="00643261" w:rsidP="009C6864">
      <w:pPr>
        <w:pStyle w:val="ListParagraph"/>
        <w:numPr>
          <w:ilvl w:val="0"/>
          <w:numId w:val="26"/>
        </w:numPr>
        <w:ind w:left="1077" w:hanging="357"/>
        <w:contextualSpacing/>
      </w:pPr>
      <w:r w:rsidRPr="00BF148D">
        <w:t>The weight of patients was uncert</w:t>
      </w:r>
      <w:r w:rsidR="000155E1" w:rsidRPr="00BF148D">
        <w:t>ain,</w:t>
      </w:r>
      <w:r w:rsidR="00FC7316" w:rsidRPr="00BF148D">
        <w:t xml:space="preserve"> and did not allow for the increasing weight of patients over time;</w:t>
      </w:r>
    </w:p>
    <w:p w:rsidR="00FC7316" w:rsidRPr="00BF148D" w:rsidRDefault="00FC7316" w:rsidP="009C6864">
      <w:pPr>
        <w:pStyle w:val="ListParagraph"/>
        <w:numPr>
          <w:ilvl w:val="0"/>
          <w:numId w:val="26"/>
        </w:numPr>
        <w:ind w:left="1077" w:hanging="357"/>
        <w:contextualSpacing/>
      </w:pPr>
      <w:r w:rsidRPr="00BF148D">
        <w:t>The costs of monitoring plasma levels of other AEDs was not accounted for;</w:t>
      </w:r>
    </w:p>
    <w:p w:rsidR="00FC7316" w:rsidRPr="00BF148D" w:rsidRDefault="00FC7316" w:rsidP="009C6864">
      <w:pPr>
        <w:pStyle w:val="ListParagraph"/>
        <w:numPr>
          <w:ilvl w:val="0"/>
          <w:numId w:val="26"/>
        </w:numPr>
        <w:ind w:left="1077" w:hanging="357"/>
        <w:contextualSpacing/>
      </w:pPr>
      <w:r w:rsidRPr="00BF148D">
        <w:t>Dosage was based on the assumption that all patients would receive 10 mg/kg/day, although the restriction and PI allow up to 20 mg/kg/day;</w:t>
      </w:r>
    </w:p>
    <w:p w:rsidR="00643261" w:rsidRPr="00BF148D" w:rsidRDefault="00FC7316" w:rsidP="009C6864">
      <w:pPr>
        <w:pStyle w:val="ListParagraph"/>
        <w:numPr>
          <w:ilvl w:val="0"/>
          <w:numId w:val="26"/>
        </w:numPr>
        <w:ind w:left="1077" w:hanging="357"/>
        <w:contextualSpacing/>
      </w:pPr>
      <w:r w:rsidRPr="00BF148D">
        <w:t>No allowance was made for wastage</w:t>
      </w:r>
      <w:r w:rsidR="00001C12" w:rsidRPr="00BF148D">
        <w:t>.</w:t>
      </w:r>
      <w:r w:rsidRPr="00BF148D">
        <w:t xml:space="preserve"> </w:t>
      </w:r>
    </w:p>
    <w:p w:rsidR="00996F78" w:rsidRPr="00BF148D" w:rsidRDefault="00996F78" w:rsidP="00DD0C66">
      <w:pPr>
        <w:pStyle w:val="3-BodyText"/>
      </w:pPr>
      <w:r w:rsidRPr="00BF148D">
        <w:t xml:space="preserve">The PBAC </w:t>
      </w:r>
      <w:r w:rsidR="003615E3" w:rsidRPr="00BF148D">
        <w:t xml:space="preserve">noted the prevalence and incidence of LGS was based on a systematic review </w:t>
      </w:r>
      <w:r w:rsidR="00FD2776" w:rsidRPr="00BF148D">
        <w:t xml:space="preserve">(conducted in October 2018) </w:t>
      </w:r>
      <w:r w:rsidR="003615E3" w:rsidRPr="00BF148D">
        <w:t>but</w:t>
      </w:r>
      <w:r w:rsidR="00FD2776" w:rsidRPr="00BF148D">
        <w:t xml:space="preserve"> minimal discussion </w:t>
      </w:r>
      <w:r w:rsidR="003615E3" w:rsidRPr="00BF148D">
        <w:t xml:space="preserve">was </w:t>
      </w:r>
      <w:r w:rsidR="00FD2776" w:rsidRPr="00BF148D">
        <w:t xml:space="preserve">included </w:t>
      </w:r>
      <w:r w:rsidR="003615E3" w:rsidRPr="00BF148D">
        <w:t xml:space="preserve">in the submission. </w:t>
      </w:r>
      <w:r w:rsidR="00265211" w:rsidRPr="00BF148D">
        <w:t>The PBAC considered the estimate of</w:t>
      </w:r>
      <w:r w:rsidR="000904D1" w:rsidRPr="00BF148D">
        <w:t xml:space="preserve"> the prevalence of LGS (2,996</w:t>
      </w:r>
      <w:r w:rsidR="006177F6" w:rsidRPr="00BF148D">
        <w:t xml:space="preserve"> </w:t>
      </w:r>
      <w:r w:rsidR="00FD2776" w:rsidRPr="00BF148D">
        <w:t xml:space="preserve">people </w:t>
      </w:r>
      <w:r w:rsidR="000904D1" w:rsidRPr="00BF148D">
        <w:t xml:space="preserve">in 2021) was likely to be significantly underestimated </w:t>
      </w:r>
      <w:r w:rsidR="006177F6" w:rsidRPr="00BF148D">
        <w:t xml:space="preserve">given the wide range of aetiologies associated with condition. The PBAC </w:t>
      </w:r>
      <w:r w:rsidR="000904D1" w:rsidRPr="00BF148D">
        <w:t xml:space="preserve">noted there may be </w:t>
      </w:r>
      <w:r w:rsidR="00A856D2">
        <w:t>5,000 to &lt; 10,000</w:t>
      </w:r>
      <w:r w:rsidR="000904D1" w:rsidRPr="00BF148D">
        <w:t xml:space="preserve"> patients in Australia with LGS</w:t>
      </w:r>
      <w:r w:rsidR="000904D1" w:rsidRPr="00BF148D">
        <w:rPr>
          <w:rStyle w:val="FootnoteReference"/>
        </w:rPr>
        <w:footnoteReference w:id="6"/>
      </w:r>
      <w:r w:rsidR="000904D1" w:rsidRPr="00BF148D">
        <w:t xml:space="preserve">. </w:t>
      </w:r>
    </w:p>
    <w:p w:rsidR="007827EC" w:rsidRPr="00BF148D" w:rsidRDefault="007827EC" w:rsidP="00224858">
      <w:pPr>
        <w:pStyle w:val="4-SubsectionHeading"/>
      </w:pPr>
      <w:bookmarkStart w:id="63" w:name="_Toc22897648"/>
      <w:bookmarkStart w:id="64" w:name="_Toc38639614"/>
      <w:bookmarkStart w:id="65" w:name="_Toc40880093"/>
      <w:r w:rsidRPr="00BF148D">
        <w:t>Quality Use of Medicines</w:t>
      </w:r>
      <w:bookmarkEnd w:id="63"/>
      <w:bookmarkEnd w:id="64"/>
      <w:bookmarkEnd w:id="65"/>
    </w:p>
    <w:p w:rsidR="007827EC" w:rsidRPr="00BF148D" w:rsidRDefault="00873DBC" w:rsidP="00224858">
      <w:pPr>
        <w:pStyle w:val="3-BodyText"/>
      </w:pPr>
      <w:r w:rsidRPr="00BF148D">
        <w:t>The s</w:t>
      </w:r>
      <w:r w:rsidR="007827EC" w:rsidRPr="00BF148D">
        <w:t>ponsor proposed to undertake a prescriber education program covering safety, dose and titration, treatment criteria and the targeted patient population</w:t>
      </w:r>
      <w:r w:rsidR="00F02AA2" w:rsidRPr="00BF148D">
        <w:t>.</w:t>
      </w:r>
      <w:r w:rsidR="007827EC" w:rsidRPr="00BF148D">
        <w:t xml:space="preserve"> </w:t>
      </w:r>
    </w:p>
    <w:p w:rsidR="007827EC" w:rsidRPr="00BF148D" w:rsidRDefault="007827EC" w:rsidP="00224858">
      <w:pPr>
        <w:pStyle w:val="4-SubsectionHeading"/>
      </w:pPr>
      <w:bookmarkStart w:id="66" w:name="_Toc22897649"/>
      <w:bookmarkStart w:id="67" w:name="_Toc38639615"/>
      <w:bookmarkStart w:id="68" w:name="_Toc40880094"/>
      <w:r w:rsidRPr="00BF148D">
        <w:lastRenderedPageBreak/>
        <w:t>Financial Management – Risk Sharing Arrangements</w:t>
      </w:r>
      <w:bookmarkEnd w:id="66"/>
      <w:bookmarkEnd w:id="67"/>
      <w:bookmarkEnd w:id="68"/>
    </w:p>
    <w:p w:rsidR="007827EC" w:rsidRPr="00BF148D" w:rsidRDefault="00F95C11" w:rsidP="00224858">
      <w:pPr>
        <w:pStyle w:val="ListParagraph"/>
        <w:numPr>
          <w:ilvl w:val="1"/>
          <w:numId w:val="1"/>
        </w:numPr>
      </w:pPr>
      <w:r w:rsidRPr="00BF148D">
        <w:t xml:space="preserve">Given that there will likely be a proportion of patients using a dose greater than the proposed 10 mg/kg/day, </w:t>
      </w:r>
      <w:r w:rsidR="00A345F4" w:rsidRPr="00BF148D">
        <w:t xml:space="preserve">the evaluation noted </w:t>
      </w:r>
      <w:r w:rsidRPr="00BF148D">
        <w:t>a risk sharing arrangement for these patients may be</w:t>
      </w:r>
      <w:r w:rsidR="004074F1" w:rsidRPr="00BF148D">
        <w:t xml:space="preserve"> required</w:t>
      </w:r>
      <w:r w:rsidRPr="00BF148D">
        <w:t>.</w:t>
      </w:r>
    </w:p>
    <w:p w:rsidR="00754DB4" w:rsidRPr="00BF148D" w:rsidRDefault="00754DB4" w:rsidP="00754DB4">
      <w:pPr>
        <w:pStyle w:val="3-BodyText"/>
      </w:pPr>
      <w:r w:rsidRPr="00BF148D">
        <w:t>The sponsor advised that they were open to a risk sharing</w:t>
      </w:r>
      <w:r w:rsidR="00E71E48" w:rsidRPr="00BF148D">
        <w:t xml:space="preserve"> arrangement</w:t>
      </w:r>
      <w:r w:rsidR="00A345F4" w:rsidRPr="00BF148D">
        <w:t xml:space="preserve"> in their pre-PBAC response</w:t>
      </w:r>
      <w:r w:rsidRPr="00BF148D">
        <w:t>.</w:t>
      </w:r>
    </w:p>
    <w:p w:rsidR="00C834C5" w:rsidRPr="00BF148D" w:rsidRDefault="00C834C5" w:rsidP="00B91C93">
      <w:pPr>
        <w:ind w:firstLine="720"/>
        <w:rPr>
          <w:i/>
        </w:rPr>
      </w:pPr>
      <w:r w:rsidRPr="00BF148D">
        <w:rPr>
          <w:i/>
        </w:rPr>
        <w:t>For more detail on PBAC’s view, see section 7 PBAC outcome.</w:t>
      </w:r>
    </w:p>
    <w:p w:rsidR="00C834C5" w:rsidRPr="00BF148D" w:rsidRDefault="00C834C5" w:rsidP="00C834C5">
      <w:pPr>
        <w:pStyle w:val="2-SectionHeading"/>
      </w:pPr>
      <w:r w:rsidRPr="00BF148D">
        <w:t>PBAC Outcome</w:t>
      </w:r>
    </w:p>
    <w:p w:rsidR="00B87197" w:rsidRPr="00BF148D" w:rsidRDefault="00B87197" w:rsidP="003707F1">
      <w:pPr>
        <w:pStyle w:val="3-BodyText"/>
      </w:pPr>
      <w:r w:rsidRPr="00BF148D">
        <w:t xml:space="preserve">The PBAC deferred making a recommendation for the listing of cannabidiol for the treatment of </w:t>
      </w:r>
      <w:r w:rsidR="00493C33" w:rsidRPr="00BF148D">
        <w:t xml:space="preserve">Dravet Syndrome (DS) and </w:t>
      </w:r>
      <w:r w:rsidRPr="00BF148D">
        <w:t xml:space="preserve">Lennox Gastaut Syndrome </w:t>
      </w:r>
      <w:r w:rsidR="0005130B" w:rsidRPr="00BF148D">
        <w:t xml:space="preserve">(LGS) </w:t>
      </w:r>
      <w:r w:rsidRPr="00BF148D">
        <w:t>in combination with other anti-epileptic drugs</w:t>
      </w:r>
      <w:r w:rsidR="00E51C0C" w:rsidRPr="00BF148D">
        <w:t xml:space="preserve"> </w:t>
      </w:r>
      <w:r w:rsidR="0005130B" w:rsidRPr="00BF148D">
        <w:t xml:space="preserve">(AEDs) </w:t>
      </w:r>
      <w:r w:rsidRPr="00BF148D">
        <w:t xml:space="preserve">on the PBS to </w:t>
      </w:r>
      <w:r w:rsidR="00C0509A" w:rsidRPr="00BF148D">
        <w:t xml:space="preserve">enable </w:t>
      </w:r>
      <w:r w:rsidR="00E51C0C" w:rsidRPr="00BF148D">
        <w:t>consult</w:t>
      </w:r>
      <w:r w:rsidR="00C0509A" w:rsidRPr="00BF148D">
        <w:t>ation</w:t>
      </w:r>
      <w:r w:rsidR="00E51C0C" w:rsidRPr="00BF148D">
        <w:t xml:space="preserve"> with stakeholders regarding the </w:t>
      </w:r>
      <w:r w:rsidR="00E122D7" w:rsidRPr="00BF148D">
        <w:t xml:space="preserve">role of cannabidiol </w:t>
      </w:r>
      <w:r w:rsidRPr="00BF148D">
        <w:rPr>
          <w:bCs/>
        </w:rPr>
        <w:t>in</w:t>
      </w:r>
      <w:r w:rsidR="00E122D7" w:rsidRPr="00BF148D">
        <w:rPr>
          <w:bCs/>
        </w:rPr>
        <w:t xml:space="preserve"> the treatment of</w:t>
      </w:r>
      <w:r w:rsidRPr="00BF148D">
        <w:rPr>
          <w:bCs/>
        </w:rPr>
        <w:t xml:space="preserve"> these rare forms of epilepsy.</w:t>
      </w:r>
      <w:r w:rsidR="0005130B" w:rsidRPr="00BF148D">
        <w:rPr>
          <w:bCs/>
        </w:rPr>
        <w:t xml:space="preserve"> </w:t>
      </w:r>
      <w:r w:rsidR="00AC074F" w:rsidRPr="00BF148D">
        <w:rPr>
          <w:bCs/>
        </w:rPr>
        <w:t xml:space="preserve">The PBAC considered further clarity on the clinical place </w:t>
      </w:r>
      <w:r w:rsidR="003615E3" w:rsidRPr="00BF148D">
        <w:rPr>
          <w:bCs/>
        </w:rPr>
        <w:t xml:space="preserve">of cannabidiol </w:t>
      </w:r>
      <w:r w:rsidR="00AC074F" w:rsidRPr="00BF148D">
        <w:rPr>
          <w:bCs/>
        </w:rPr>
        <w:t xml:space="preserve">in therapy </w:t>
      </w:r>
      <w:r w:rsidR="00F6796D" w:rsidRPr="00BF148D">
        <w:rPr>
          <w:bCs/>
        </w:rPr>
        <w:t xml:space="preserve">is required to </w:t>
      </w:r>
      <w:r w:rsidR="00AC074F" w:rsidRPr="00BF148D">
        <w:rPr>
          <w:bCs/>
        </w:rPr>
        <w:t xml:space="preserve">inform the </w:t>
      </w:r>
      <w:r w:rsidR="00F6796D" w:rsidRPr="00BF148D">
        <w:rPr>
          <w:bCs/>
        </w:rPr>
        <w:t xml:space="preserve">appropriate initial and continuing </w:t>
      </w:r>
      <w:r w:rsidR="00AC074F" w:rsidRPr="00BF148D">
        <w:rPr>
          <w:bCs/>
        </w:rPr>
        <w:t>restriction criteria, cost-effectiveness and financial implications of listing cannabidiol on the PBS</w:t>
      </w:r>
      <w:r w:rsidR="003615E3" w:rsidRPr="00BF148D">
        <w:rPr>
          <w:bCs/>
        </w:rPr>
        <w:t>.</w:t>
      </w:r>
      <w:r w:rsidR="00AC074F" w:rsidRPr="00BF148D">
        <w:rPr>
          <w:bCs/>
        </w:rPr>
        <w:t xml:space="preserve"> </w:t>
      </w:r>
    </w:p>
    <w:p w:rsidR="0005130B" w:rsidRPr="00BF148D" w:rsidRDefault="0005130B" w:rsidP="00C62D75">
      <w:pPr>
        <w:pStyle w:val="3-BodyText"/>
      </w:pPr>
      <w:r w:rsidRPr="00BF148D">
        <w:t xml:space="preserve">The PBAC </w:t>
      </w:r>
      <w:r w:rsidR="000E719C" w:rsidRPr="00BF148D">
        <w:t xml:space="preserve">considered there was </w:t>
      </w:r>
      <w:r w:rsidRPr="00BF148D">
        <w:t>a clinical need for additional effective and sa</w:t>
      </w:r>
      <w:r w:rsidR="000E719C" w:rsidRPr="00BF148D">
        <w:t>fe treatment options</w:t>
      </w:r>
      <w:r w:rsidRPr="00BF148D">
        <w:t xml:space="preserve"> for people with </w:t>
      </w:r>
      <w:r w:rsidR="00493C33" w:rsidRPr="00BF148D">
        <w:t xml:space="preserve">DS and </w:t>
      </w:r>
      <w:r w:rsidRPr="00BF148D">
        <w:t xml:space="preserve">LGS. </w:t>
      </w:r>
      <w:r w:rsidR="00493C33" w:rsidRPr="00BF148D">
        <w:t xml:space="preserve">The PBAC noted the consumer comments </w:t>
      </w:r>
      <w:r w:rsidR="007E7E53" w:rsidRPr="00BF148D">
        <w:t xml:space="preserve">received </w:t>
      </w:r>
      <w:r w:rsidR="00EC4269" w:rsidRPr="00BF148D">
        <w:t xml:space="preserve">indicated the benefits of treatment with cannabidiol included </w:t>
      </w:r>
      <w:r w:rsidR="00EC4269" w:rsidRPr="00BF148D">
        <w:rPr>
          <w:bCs/>
        </w:rPr>
        <w:t>improvement in seizure control in difficult to treat patients and a</w:t>
      </w:r>
      <w:r w:rsidR="00A83364" w:rsidRPr="00BF148D">
        <w:rPr>
          <w:bCs/>
        </w:rPr>
        <w:t>n</w:t>
      </w:r>
      <w:r w:rsidR="00EC4269" w:rsidRPr="00BF148D">
        <w:rPr>
          <w:bCs/>
        </w:rPr>
        <w:t xml:space="preserve"> increase in quality of life for both patients and carers</w:t>
      </w:r>
      <w:r w:rsidR="005D4BF7" w:rsidRPr="00BF148D">
        <w:rPr>
          <w:bCs/>
        </w:rPr>
        <w:t>.</w:t>
      </w:r>
      <w:r w:rsidR="00EC4269" w:rsidRPr="00BF148D">
        <w:rPr>
          <w:bCs/>
        </w:rPr>
        <w:t xml:space="preserve"> </w:t>
      </w:r>
    </w:p>
    <w:p w:rsidR="00E37023" w:rsidRPr="00BF148D" w:rsidRDefault="00066197" w:rsidP="003707F1">
      <w:pPr>
        <w:pStyle w:val="3-BodyText"/>
        <w:rPr>
          <w:bCs/>
        </w:rPr>
      </w:pPr>
      <w:r w:rsidRPr="00BF148D">
        <w:rPr>
          <w:bCs/>
        </w:rPr>
        <w:t>The PBAC noted that</w:t>
      </w:r>
      <w:r w:rsidR="00E37023" w:rsidRPr="00BF148D">
        <w:rPr>
          <w:bCs/>
        </w:rPr>
        <w:t xml:space="preserve"> the TGA Delegate was supportive of the registration of cannabidiol but a number of issues were referred to the A</w:t>
      </w:r>
      <w:r w:rsidR="00F06584" w:rsidRPr="00BF148D">
        <w:rPr>
          <w:bCs/>
        </w:rPr>
        <w:t xml:space="preserve">dvisory </w:t>
      </w:r>
      <w:r w:rsidR="00E37023" w:rsidRPr="00BF148D">
        <w:rPr>
          <w:bCs/>
        </w:rPr>
        <w:t>C</w:t>
      </w:r>
      <w:r w:rsidR="00F06584" w:rsidRPr="00BF148D">
        <w:rPr>
          <w:bCs/>
        </w:rPr>
        <w:t xml:space="preserve">ommittee on </w:t>
      </w:r>
      <w:r w:rsidR="00E37023" w:rsidRPr="00BF148D">
        <w:rPr>
          <w:bCs/>
        </w:rPr>
        <w:t>M</w:t>
      </w:r>
      <w:r w:rsidR="00F06584" w:rsidRPr="00BF148D">
        <w:rPr>
          <w:bCs/>
        </w:rPr>
        <w:t>edicines</w:t>
      </w:r>
      <w:r w:rsidR="00E37023" w:rsidRPr="00BF148D">
        <w:rPr>
          <w:bCs/>
        </w:rPr>
        <w:t xml:space="preserve"> for advice. </w:t>
      </w:r>
      <w:r w:rsidR="007E7E53" w:rsidRPr="00BF148D">
        <w:rPr>
          <w:bCs/>
        </w:rPr>
        <w:t>The PBAC noted the clinical evaluator was supportive of registration only in combination with clobazam and this may have an impact on the clinical place in therapy of cannabidiol. The PBAC noted clobazam is not currently listed on the PBS</w:t>
      </w:r>
      <w:r w:rsidRPr="00BF148D">
        <w:rPr>
          <w:bCs/>
        </w:rPr>
        <w:t xml:space="preserve">. </w:t>
      </w:r>
    </w:p>
    <w:p w:rsidR="009F1091" w:rsidRPr="00BF148D" w:rsidRDefault="00CA3A37" w:rsidP="0013240C">
      <w:pPr>
        <w:pStyle w:val="3-BodyText"/>
      </w:pPr>
      <w:r w:rsidRPr="00BF148D">
        <w:t>The PBAC</w:t>
      </w:r>
      <w:r w:rsidR="007B7B6A" w:rsidRPr="00BF148D">
        <w:t xml:space="preserve"> noted the sponsor proposed</w:t>
      </w:r>
      <w:r w:rsidRPr="00BF148D">
        <w:t xml:space="preserve"> amending the restriction criteria to identify patients with DS and LGS who have trialled two other appropriate AEDs to a maximally tolerated dose and failed to achieve seizure freedom</w:t>
      </w:r>
      <w:r w:rsidR="000E332F">
        <w:t xml:space="preserve"> in their p</w:t>
      </w:r>
      <w:r w:rsidR="00BC3508" w:rsidRPr="00BF148D">
        <w:t>re-sub</w:t>
      </w:r>
      <w:r w:rsidR="000E332F">
        <w:t>-</w:t>
      </w:r>
      <w:r w:rsidR="00BC3508" w:rsidRPr="00BF148D">
        <w:t>committee response</w:t>
      </w:r>
      <w:r w:rsidR="006E5EC6" w:rsidRPr="00BF148D">
        <w:t xml:space="preserve"> to be consistent with the clinical claim</w:t>
      </w:r>
      <w:r w:rsidRPr="00BF148D">
        <w:t xml:space="preserve">. </w:t>
      </w:r>
      <w:r w:rsidR="00822E5B" w:rsidRPr="00BF148D">
        <w:t xml:space="preserve">The PBAC noted this was not consistent with the patients included in the clinical trials (paragraph </w:t>
      </w:r>
      <w:r w:rsidR="00BC3508" w:rsidRPr="00574741">
        <w:t>3.4</w:t>
      </w:r>
      <w:r w:rsidR="00822E5B" w:rsidRPr="00574741">
        <w:t>)</w:t>
      </w:r>
      <w:r w:rsidR="00822E5B" w:rsidRPr="00BF148D">
        <w:t xml:space="preserve"> </w:t>
      </w:r>
      <w:r w:rsidR="00BC3508" w:rsidRPr="00BF148D">
        <w:t xml:space="preserve">who were not required to have trialled two other AEDs to maximally tolerated doses </w:t>
      </w:r>
      <w:r w:rsidR="00822E5B" w:rsidRPr="00BF148D">
        <w:t xml:space="preserve">and it was unclear whether it defined the </w:t>
      </w:r>
      <w:r w:rsidR="009F1091" w:rsidRPr="00BF148D">
        <w:t xml:space="preserve">appropriate </w:t>
      </w:r>
      <w:r w:rsidR="00822E5B" w:rsidRPr="00BF148D">
        <w:t xml:space="preserve">clinical place in therapy for cannabidiol. </w:t>
      </w:r>
    </w:p>
    <w:p w:rsidR="00CA3A37" w:rsidRPr="00BF148D" w:rsidRDefault="00BC3508" w:rsidP="0013240C">
      <w:pPr>
        <w:pStyle w:val="3-BodyText"/>
      </w:pPr>
      <w:r w:rsidRPr="00BF148D">
        <w:t xml:space="preserve">The proposed restriction criteria required patients to cease treatment after 12 months if a 30% reduction in convulsive (for DS) or drop (for LGS) seizures had not been achieved. </w:t>
      </w:r>
      <w:r w:rsidR="00A33767" w:rsidRPr="00BF148D">
        <w:t>The PBAC considered it may be unreasonable for clinicians, patients and their carers to determine if a 30% reduction in seizures ha</w:t>
      </w:r>
      <w:r w:rsidR="00542E57" w:rsidRPr="00BF148D">
        <w:t>d</w:t>
      </w:r>
      <w:r w:rsidR="00A33767" w:rsidRPr="00BF148D">
        <w:t xml:space="preserve"> been achieved. </w:t>
      </w:r>
      <w:r w:rsidR="0013240C" w:rsidRPr="00BF148D">
        <w:t xml:space="preserve">The PBAC considered the proposed continuation criteria may not capture additional benefits of </w:t>
      </w:r>
      <w:r w:rsidR="0013240C" w:rsidRPr="00BF148D">
        <w:lastRenderedPageBreak/>
        <w:t>treatment with cannabidiol, such as a reduction in u</w:t>
      </w:r>
      <w:r w:rsidR="00A82452" w:rsidRPr="00BF148D">
        <w:t xml:space="preserve">ncountable non-convulsive or </w:t>
      </w:r>
      <w:r w:rsidR="0013240C" w:rsidRPr="00BF148D">
        <w:t xml:space="preserve">non-drop seizures, and </w:t>
      </w:r>
      <w:r w:rsidR="00A5737C" w:rsidRPr="00BF148D">
        <w:t xml:space="preserve">may result in patients experiencing a meaningful benefit being required to cease treatment. </w:t>
      </w:r>
      <w:r w:rsidR="007B7B6A" w:rsidRPr="00BF148D">
        <w:t xml:space="preserve">The PBAC considered that further consultation was required as to the appropriate </w:t>
      </w:r>
      <w:r w:rsidR="002F365F" w:rsidRPr="00BF148D">
        <w:t xml:space="preserve">initial and continuing </w:t>
      </w:r>
      <w:r w:rsidR="007B7B6A" w:rsidRPr="00BF148D">
        <w:t>restriction criteria</w:t>
      </w:r>
      <w:r w:rsidR="00A33767" w:rsidRPr="00BF148D">
        <w:t xml:space="preserve"> for cannabidiol for DS and LGS.</w:t>
      </w:r>
      <w:r w:rsidR="00EB62D6" w:rsidRPr="00BF148D">
        <w:t xml:space="preserve"> </w:t>
      </w:r>
    </w:p>
    <w:p w:rsidR="00822E5B" w:rsidRPr="00BF148D" w:rsidRDefault="00A33767" w:rsidP="0079589E">
      <w:pPr>
        <w:pStyle w:val="3-BodyText"/>
      </w:pPr>
      <w:r w:rsidRPr="00BF148D">
        <w:t>The PBAC noted the clinical claim</w:t>
      </w:r>
      <w:r w:rsidR="00F06584" w:rsidRPr="00BF148D">
        <w:t>s</w:t>
      </w:r>
      <w:r w:rsidRPr="00BF148D">
        <w:t xml:space="preserve"> </w:t>
      </w:r>
      <w:r w:rsidR="00B61758" w:rsidRPr="00BF148D">
        <w:t xml:space="preserve">in the submission </w:t>
      </w:r>
      <w:r w:rsidR="00AC7C3F" w:rsidRPr="00BF148D">
        <w:t>w</w:t>
      </w:r>
      <w:r w:rsidR="00F06584" w:rsidRPr="00BF148D">
        <w:t xml:space="preserve">ere </w:t>
      </w:r>
      <w:r w:rsidR="00AC7C3F" w:rsidRPr="00BF148D">
        <w:t>based on</w:t>
      </w:r>
      <w:r w:rsidR="00B61758" w:rsidRPr="00BF148D">
        <w:t xml:space="preserve"> </w:t>
      </w:r>
      <w:r w:rsidR="006E5EC6" w:rsidRPr="00BF148D">
        <w:t>two</w:t>
      </w:r>
      <w:r w:rsidR="00AC7C3F" w:rsidRPr="00BF148D">
        <w:t xml:space="preserve"> randomised </w:t>
      </w:r>
      <w:r w:rsidRPr="00BF148D">
        <w:t>double-blind, placebo-controlled stud</w:t>
      </w:r>
      <w:r w:rsidR="006E5EC6" w:rsidRPr="00BF148D">
        <w:t>ies</w:t>
      </w:r>
      <w:r w:rsidRPr="00BF148D">
        <w:t xml:space="preserve"> </w:t>
      </w:r>
      <w:r w:rsidR="00AC7C3F" w:rsidRPr="00BF148D">
        <w:t>of cannabidiol</w:t>
      </w:r>
      <w:r w:rsidR="006E5EC6" w:rsidRPr="00BF148D">
        <w:t xml:space="preserve"> </w:t>
      </w:r>
      <w:r w:rsidR="00B61758" w:rsidRPr="00BF148D">
        <w:t xml:space="preserve">conducted over 14 weeks for each patient population. </w:t>
      </w:r>
      <w:r w:rsidR="0079589E" w:rsidRPr="00BF148D">
        <w:t xml:space="preserve">The </w:t>
      </w:r>
      <w:r w:rsidR="0079589E" w:rsidRPr="00BF148D">
        <w:rPr>
          <w:bCs/>
        </w:rPr>
        <w:t xml:space="preserve">trials used fixed doses of cannabidiol (10 and/or 20mg/kg/day). </w:t>
      </w:r>
      <w:r w:rsidR="00AC7C3F" w:rsidRPr="00BF148D">
        <w:t xml:space="preserve">Data from an open-label extension study </w:t>
      </w:r>
      <w:r w:rsidR="00B00641" w:rsidRPr="00BF148D">
        <w:t xml:space="preserve">provided support for the longer-term use of cannabidiol in DS and LGS. </w:t>
      </w:r>
      <w:r w:rsidR="002F365F" w:rsidRPr="00BF148D">
        <w:t>The PBAC noted there were limitations in the clinical studies (</w:t>
      </w:r>
      <w:r w:rsidR="002F365F" w:rsidRPr="00574741">
        <w:t xml:space="preserve">paragraph </w:t>
      </w:r>
      <w:r w:rsidR="00822E5B" w:rsidRPr="00574741">
        <w:t>6.3</w:t>
      </w:r>
      <w:r w:rsidR="00542E57" w:rsidRPr="00574741">
        <w:t>2</w:t>
      </w:r>
      <w:r w:rsidR="002F365F" w:rsidRPr="00574741">
        <w:t>)</w:t>
      </w:r>
      <w:r w:rsidR="002F365F" w:rsidRPr="00BF148D">
        <w:t xml:space="preserve"> but, on balance, considered that the evidence presented demonstrated cannabidiol is likely to be beneficial; however, the magnitude of the benefit was </w:t>
      </w:r>
      <w:r w:rsidR="00C75E75" w:rsidRPr="00BF148D">
        <w:t>unclear</w:t>
      </w:r>
      <w:r w:rsidR="002F365F" w:rsidRPr="00BF148D">
        <w:t xml:space="preserve">. </w:t>
      </w:r>
      <w:r w:rsidRPr="00BF148D">
        <w:t xml:space="preserve">The PBAC noted </w:t>
      </w:r>
      <w:r w:rsidR="00964F2B" w:rsidRPr="00BF148D">
        <w:t xml:space="preserve">that compared with placebo, an additional </w:t>
      </w:r>
      <w:r w:rsidR="00294018" w:rsidRPr="00BF148D">
        <w:t>16</w:t>
      </w:r>
      <w:r w:rsidR="00964F2B" w:rsidRPr="00BF148D">
        <w:t xml:space="preserve">% to 23% of DS patients and 21% to 25% of LGS </w:t>
      </w:r>
      <w:r w:rsidRPr="00BF148D">
        <w:t xml:space="preserve">patients </w:t>
      </w:r>
      <w:r w:rsidR="00B00641" w:rsidRPr="00BF148D">
        <w:t xml:space="preserve">treated with cannabidiol 10mg/kg/day or 20mg/kg/day </w:t>
      </w:r>
      <w:r w:rsidR="00F11A03" w:rsidRPr="00BF148D">
        <w:t>achiev</w:t>
      </w:r>
      <w:r w:rsidR="00964F2B" w:rsidRPr="00BF148D">
        <w:t>ed</w:t>
      </w:r>
      <w:r w:rsidR="00F11A03" w:rsidRPr="00BF148D">
        <w:t xml:space="preserve"> a 50% reduction in </w:t>
      </w:r>
      <w:r w:rsidR="000010E1" w:rsidRPr="00BF148D">
        <w:t>seizure frequency</w:t>
      </w:r>
      <w:r w:rsidR="00F11A03" w:rsidRPr="00BF148D">
        <w:t xml:space="preserve"> </w:t>
      </w:r>
      <w:r w:rsidR="00F06584" w:rsidRPr="00BF148D">
        <w:t>over 14 weeks</w:t>
      </w:r>
      <w:r w:rsidR="00366650" w:rsidRPr="00BF148D">
        <w:t>. The PBAC considered this was an important outcome in patients with refractory seizures but noted the results were</w:t>
      </w:r>
      <w:r w:rsidR="00491819" w:rsidRPr="00BF148D">
        <w:t xml:space="preserve"> not statistically significant in all studies</w:t>
      </w:r>
      <w:r w:rsidR="0079589E" w:rsidRPr="00BF148D">
        <w:t xml:space="preserve"> </w:t>
      </w:r>
      <w:r w:rsidR="00366650" w:rsidRPr="00BF148D">
        <w:t xml:space="preserve">and the confidence intervals </w:t>
      </w:r>
      <w:r w:rsidR="002F365F" w:rsidRPr="00BF148D">
        <w:t xml:space="preserve">around the estimates </w:t>
      </w:r>
      <w:r w:rsidR="00366650" w:rsidRPr="00BF148D">
        <w:t>were wide.</w:t>
      </w:r>
      <w:r w:rsidR="002F365F" w:rsidRPr="00BF148D">
        <w:t xml:space="preserve"> </w:t>
      </w:r>
    </w:p>
    <w:p w:rsidR="007A3536" w:rsidRPr="00BF148D" w:rsidRDefault="00491819" w:rsidP="00491819">
      <w:pPr>
        <w:pStyle w:val="3-BodyText"/>
      </w:pPr>
      <w:r w:rsidRPr="00BF148D">
        <w:t xml:space="preserve">The PBAC noted the economic model presented in the submission was unreliable given the substantial issues noted by ESC, and further that it was not possible to verify a number of the key inputs as part of the evaluation of the submission. The PBAC noted stakeholder input regarding the patient population and circumstances of use of cannabidiol (including </w:t>
      </w:r>
      <w:r w:rsidR="00593873">
        <w:t xml:space="preserve">initial and </w:t>
      </w:r>
      <w:r w:rsidRPr="00BF148D">
        <w:t>continu</w:t>
      </w:r>
      <w:r w:rsidR="00593873">
        <w:t xml:space="preserve">ing restriction </w:t>
      </w:r>
      <w:r w:rsidRPr="00BF148D">
        <w:t xml:space="preserve">criteria, concomitant therapies and dose) will need to be considered in a revised economic evaluation. </w:t>
      </w:r>
    </w:p>
    <w:p w:rsidR="00CF7AB3" w:rsidRPr="00BF148D" w:rsidRDefault="00B5046C" w:rsidP="003707F1">
      <w:pPr>
        <w:widowControl w:val="0"/>
        <w:numPr>
          <w:ilvl w:val="1"/>
          <w:numId w:val="1"/>
        </w:numPr>
        <w:spacing w:after="120"/>
        <w:rPr>
          <w:snapToGrid w:val="0"/>
        </w:rPr>
      </w:pPr>
      <w:r w:rsidRPr="00BF148D">
        <w:rPr>
          <w:snapToGrid w:val="0"/>
        </w:rPr>
        <w:t>T</w:t>
      </w:r>
      <w:r w:rsidR="003707F1" w:rsidRPr="00BF148D">
        <w:rPr>
          <w:snapToGrid w:val="0"/>
        </w:rPr>
        <w:t>he PBAC</w:t>
      </w:r>
      <w:r w:rsidR="003537A2" w:rsidRPr="00BF148D">
        <w:rPr>
          <w:snapToGrid w:val="0"/>
        </w:rPr>
        <w:t xml:space="preserve"> considered the </w:t>
      </w:r>
      <w:r w:rsidR="00CF7AB3" w:rsidRPr="00BF148D">
        <w:rPr>
          <w:snapToGrid w:val="0"/>
        </w:rPr>
        <w:t xml:space="preserve">estimated number of </w:t>
      </w:r>
      <w:r w:rsidR="003537A2" w:rsidRPr="00BF148D">
        <w:rPr>
          <w:snapToGrid w:val="0"/>
        </w:rPr>
        <w:t>patient</w:t>
      </w:r>
      <w:r w:rsidR="00CF7AB3" w:rsidRPr="00BF148D">
        <w:rPr>
          <w:snapToGrid w:val="0"/>
        </w:rPr>
        <w:t xml:space="preserve">s with </w:t>
      </w:r>
      <w:r w:rsidR="003537A2" w:rsidRPr="00BF148D">
        <w:rPr>
          <w:snapToGrid w:val="0"/>
        </w:rPr>
        <w:t>LGS</w:t>
      </w:r>
      <w:r w:rsidR="00CF7AB3" w:rsidRPr="00BF148D">
        <w:rPr>
          <w:snapToGrid w:val="0"/>
        </w:rPr>
        <w:t xml:space="preserve"> likely to be treated with cannabidiol </w:t>
      </w:r>
      <w:r w:rsidR="003537A2" w:rsidRPr="00BF148D">
        <w:rPr>
          <w:snapToGrid w:val="0"/>
        </w:rPr>
        <w:t xml:space="preserve">to be </w:t>
      </w:r>
      <w:r w:rsidR="00A87BA4" w:rsidRPr="00BF148D">
        <w:rPr>
          <w:snapToGrid w:val="0"/>
        </w:rPr>
        <w:t>uncertain</w:t>
      </w:r>
      <w:r w:rsidR="00CF7AB3" w:rsidRPr="00BF148D">
        <w:rPr>
          <w:snapToGrid w:val="0"/>
        </w:rPr>
        <w:t xml:space="preserve">, given the limited </w:t>
      </w:r>
      <w:r w:rsidR="001E00A7" w:rsidRPr="00BF148D">
        <w:rPr>
          <w:snapToGrid w:val="0"/>
        </w:rPr>
        <w:t>discussion</w:t>
      </w:r>
      <w:r w:rsidR="00CF7AB3" w:rsidRPr="00BF148D">
        <w:rPr>
          <w:snapToGrid w:val="0"/>
        </w:rPr>
        <w:t xml:space="preserve"> in the submission </w:t>
      </w:r>
      <w:r w:rsidR="00CF7AB3" w:rsidRPr="00BF148D">
        <w:t xml:space="preserve">regarding the systematic literature review used to inform the incidence and prevalence estimates </w:t>
      </w:r>
      <w:r w:rsidR="00CF7AB3" w:rsidRPr="00BF148D">
        <w:rPr>
          <w:snapToGrid w:val="0"/>
        </w:rPr>
        <w:t>and the uncertain clinical place</w:t>
      </w:r>
      <w:r w:rsidR="00E66564" w:rsidRPr="00BF148D">
        <w:rPr>
          <w:snapToGrid w:val="0"/>
        </w:rPr>
        <w:t xml:space="preserve"> of cannab</w:t>
      </w:r>
      <w:r w:rsidR="009C2C49" w:rsidRPr="00BF148D">
        <w:rPr>
          <w:snapToGrid w:val="0"/>
        </w:rPr>
        <w:t>i</w:t>
      </w:r>
      <w:r w:rsidR="00E66564" w:rsidRPr="00BF148D">
        <w:rPr>
          <w:snapToGrid w:val="0"/>
        </w:rPr>
        <w:t>diol</w:t>
      </w:r>
      <w:r w:rsidR="00CF7AB3" w:rsidRPr="00BF148D">
        <w:rPr>
          <w:snapToGrid w:val="0"/>
        </w:rPr>
        <w:t xml:space="preserve"> in therapy.</w:t>
      </w:r>
      <w:r w:rsidR="00EB62D6" w:rsidRPr="00BF148D">
        <w:rPr>
          <w:snapToGrid w:val="0"/>
        </w:rPr>
        <w:t xml:space="preserve"> </w:t>
      </w:r>
      <w:r w:rsidR="00CF7AB3" w:rsidRPr="00BF148D">
        <w:rPr>
          <w:snapToGrid w:val="0"/>
        </w:rPr>
        <w:t xml:space="preserve">The PBAC noted </w:t>
      </w:r>
      <w:r w:rsidR="00E66564" w:rsidRPr="00BF148D">
        <w:rPr>
          <w:snapToGrid w:val="0"/>
        </w:rPr>
        <w:t xml:space="preserve">no criteria were proposed to define LGS and considered that </w:t>
      </w:r>
      <w:r w:rsidR="00CF7AB3" w:rsidRPr="00BF148D">
        <w:rPr>
          <w:snapToGrid w:val="0"/>
        </w:rPr>
        <w:t>a</w:t>
      </w:r>
      <w:r w:rsidR="00E66564" w:rsidRPr="00BF148D">
        <w:rPr>
          <w:snapToGrid w:val="0"/>
        </w:rPr>
        <w:t>s it is a heterogeneous</w:t>
      </w:r>
      <w:r w:rsidR="00CF7AB3" w:rsidRPr="00BF148D">
        <w:rPr>
          <w:snapToGrid w:val="0"/>
        </w:rPr>
        <w:t xml:space="preserve"> </w:t>
      </w:r>
      <w:r w:rsidR="00E66564" w:rsidRPr="00BF148D">
        <w:rPr>
          <w:snapToGrid w:val="0"/>
        </w:rPr>
        <w:t xml:space="preserve">condition, the number of prevalent patients could be </w:t>
      </w:r>
      <w:r w:rsidR="00374A58" w:rsidRPr="00BF148D">
        <w:rPr>
          <w:snapToGrid w:val="0"/>
        </w:rPr>
        <w:t xml:space="preserve">significantly </w:t>
      </w:r>
      <w:r w:rsidR="00E66564" w:rsidRPr="00BF148D">
        <w:rPr>
          <w:snapToGrid w:val="0"/>
        </w:rPr>
        <w:t>higher than estimated in the submission.</w:t>
      </w:r>
      <w:r w:rsidR="00EB62D6" w:rsidRPr="00BF148D">
        <w:rPr>
          <w:snapToGrid w:val="0"/>
        </w:rPr>
        <w:t xml:space="preserve"> </w:t>
      </w:r>
    </w:p>
    <w:p w:rsidR="00C0573A" w:rsidRPr="00BF148D" w:rsidRDefault="00A87BA4" w:rsidP="00486824">
      <w:pPr>
        <w:widowControl w:val="0"/>
        <w:numPr>
          <w:ilvl w:val="1"/>
          <w:numId w:val="1"/>
        </w:numPr>
        <w:spacing w:after="120"/>
        <w:rPr>
          <w:snapToGrid w:val="0"/>
        </w:rPr>
      </w:pPr>
      <w:r w:rsidRPr="00BF148D">
        <w:rPr>
          <w:snapToGrid w:val="0"/>
        </w:rPr>
        <w:t xml:space="preserve">The PBAC </w:t>
      </w:r>
      <w:r w:rsidR="008532FF" w:rsidRPr="00BF148D">
        <w:rPr>
          <w:snapToGrid w:val="0"/>
        </w:rPr>
        <w:t xml:space="preserve">noted </w:t>
      </w:r>
      <w:r w:rsidRPr="00BF148D">
        <w:rPr>
          <w:snapToGrid w:val="0"/>
        </w:rPr>
        <w:t>DS was a smaller, better defined population than LGS</w:t>
      </w:r>
      <w:r w:rsidR="00C9470B" w:rsidRPr="00BF148D">
        <w:rPr>
          <w:snapToGrid w:val="0"/>
        </w:rPr>
        <w:t xml:space="preserve"> but the number of patients </w:t>
      </w:r>
      <w:r w:rsidR="00B320F5" w:rsidRPr="00BF148D">
        <w:rPr>
          <w:snapToGrid w:val="0"/>
        </w:rPr>
        <w:t xml:space="preserve">who </w:t>
      </w:r>
      <w:r w:rsidR="00C9470B" w:rsidRPr="00BF148D">
        <w:rPr>
          <w:snapToGrid w:val="0"/>
        </w:rPr>
        <w:t>would be treated with cannabidiol is uncertain given the clinical place in therapy is unclear</w:t>
      </w:r>
      <w:r w:rsidR="00486824" w:rsidRPr="00BF148D">
        <w:rPr>
          <w:snapToGrid w:val="0"/>
        </w:rPr>
        <w:t>, particularly relative to stiripentol which was recommended for PBS listing for DS</w:t>
      </w:r>
      <w:r w:rsidR="00304A3C" w:rsidRPr="00BF148D">
        <w:rPr>
          <w:snapToGrid w:val="0"/>
        </w:rPr>
        <w:t xml:space="preserve"> in March 2020</w:t>
      </w:r>
      <w:r w:rsidR="00C9470B" w:rsidRPr="00BF148D">
        <w:rPr>
          <w:snapToGrid w:val="0"/>
        </w:rPr>
        <w:t>.</w:t>
      </w:r>
      <w:r w:rsidR="00486824" w:rsidRPr="00BF148D">
        <w:rPr>
          <w:snapToGrid w:val="0"/>
        </w:rPr>
        <w:t xml:space="preserve"> </w:t>
      </w:r>
    </w:p>
    <w:p w:rsidR="00D42B9D" w:rsidRPr="00BF148D" w:rsidRDefault="00D42B9D" w:rsidP="00052BB2">
      <w:pPr>
        <w:pStyle w:val="3-BodyText"/>
        <w:rPr>
          <w:bCs/>
        </w:rPr>
      </w:pPr>
      <w:r w:rsidRPr="00BF148D">
        <w:t xml:space="preserve">The PBAC considered that any future resubmission should be a major submission </w:t>
      </w:r>
      <w:r w:rsidR="00CA44BA" w:rsidRPr="00BF148D">
        <w:t>and</w:t>
      </w:r>
      <w:r w:rsidR="00C9470B" w:rsidRPr="00BF148D">
        <w:t xml:space="preserve"> </w:t>
      </w:r>
      <w:r w:rsidR="00CA44BA" w:rsidRPr="00BF148D">
        <w:t>the proposed restriction</w:t>
      </w:r>
      <w:r w:rsidR="00330975">
        <w:t xml:space="preserve"> criteria</w:t>
      </w:r>
      <w:r w:rsidR="00CA44BA" w:rsidRPr="00BF148D">
        <w:t>, economic evaluation and financial estimate</w:t>
      </w:r>
      <w:r w:rsidR="00491819" w:rsidRPr="00BF148D">
        <w:t>s</w:t>
      </w:r>
      <w:r w:rsidR="00CA44BA" w:rsidRPr="00BF148D">
        <w:t xml:space="preserve"> </w:t>
      </w:r>
      <w:r w:rsidR="00C9470B" w:rsidRPr="00BF148D">
        <w:t>should be informed by the outcome of consultation with stakeholders</w:t>
      </w:r>
      <w:r w:rsidR="00CA44BA" w:rsidRPr="00BF148D">
        <w:t xml:space="preserve"> regarding the role of cannabidiol in the treatment of DS and LGS.</w:t>
      </w:r>
      <w:r w:rsidR="00C9470B" w:rsidRPr="00BF148D">
        <w:t xml:space="preserve"> </w:t>
      </w:r>
    </w:p>
    <w:p w:rsidR="00C834C5" w:rsidRPr="00BF148D" w:rsidRDefault="00C834C5" w:rsidP="00D33ABD">
      <w:pPr>
        <w:keepNext/>
        <w:keepLines/>
        <w:spacing w:before="240"/>
        <w:rPr>
          <w:rFonts w:asciiTheme="minorHAnsi" w:hAnsiTheme="minorHAnsi"/>
          <w:b/>
          <w:bCs/>
          <w:snapToGrid w:val="0"/>
        </w:rPr>
      </w:pPr>
      <w:r w:rsidRPr="00BF148D">
        <w:rPr>
          <w:rFonts w:asciiTheme="minorHAnsi" w:hAnsiTheme="minorHAnsi"/>
          <w:b/>
          <w:bCs/>
          <w:snapToGrid w:val="0"/>
        </w:rPr>
        <w:lastRenderedPageBreak/>
        <w:t>Outcome:</w:t>
      </w:r>
    </w:p>
    <w:p w:rsidR="00A856D2" w:rsidRPr="0093480D" w:rsidRDefault="00B87197" w:rsidP="0093480D">
      <w:pPr>
        <w:keepNext/>
        <w:keepLines/>
        <w:rPr>
          <w:rFonts w:asciiTheme="minorHAnsi" w:hAnsiTheme="minorHAnsi"/>
          <w:bCs/>
          <w:snapToGrid w:val="0"/>
        </w:rPr>
      </w:pPr>
      <w:r w:rsidRPr="00BF148D">
        <w:rPr>
          <w:rFonts w:asciiTheme="minorHAnsi" w:hAnsiTheme="minorHAnsi"/>
          <w:bCs/>
          <w:snapToGrid w:val="0"/>
        </w:rPr>
        <w:t xml:space="preserve">Deferred </w:t>
      </w:r>
    </w:p>
    <w:p w:rsidR="000E332F" w:rsidRDefault="000E332F" w:rsidP="000E332F">
      <w:pPr>
        <w:pStyle w:val="2Sections"/>
        <w:numPr>
          <w:ilvl w:val="0"/>
          <w:numId w:val="1"/>
        </w:numPr>
        <w:rPr>
          <w:color w:val="1F497D"/>
        </w:rPr>
      </w:pPr>
      <w:r w:rsidRPr="00C07617">
        <w:t>Context for Decision</w:t>
      </w:r>
    </w:p>
    <w:p w:rsidR="000E332F" w:rsidRDefault="000E332F" w:rsidP="000E332F">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bCs/>
          <w:lang w:val="en-GB"/>
        </w:rPr>
        <w:t>medicines</w:t>
      </w:r>
      <w:r w:rsidRPr="007129F2">
        <w:rPr>
          <w:rFonts w:asciiTheme="minorHAnsi" w:hAnsiTheme="minorHAnsi"/>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E332F" w:rsidRPr="007129F2" w:rsidRDefault="000E332F" w:rsidP="000E332F">
      <w:pPr>
        <w:rPr>
          <w:rFonts w:asciiTheme="minorHAnsi" w:hAnsiTheme="minorHAnsi"/>
          <w:bCs/>
          <w:lang w:val="en-GB"/>
        </w:rPr>
      </w:pPr>
    </w:p>
    <w:p w:rsidR="000E332F" w:rsidRPr="00C07617" w:rsidRDefault="000E332F" w:rsidP="000E332F">
      <w:pPr>
        <w:pStyle w:val="2Sections"/>
        <w:numPr>
          <w:ilvl w:val="0"/>
          <w:numId w:val="1"/>
        </w:numPr>
        <w:rPr>
          <w:b w:val="0"/>
        </w:rPr>
      </w:pPr>
      <w:r>
        <w:t>Sponsor’s Comment</w:t>
      </w:r>
    </w:p>
    <w:p w:rsidR="005A5178" w:rsidRPr="005A5178" w:rsidRDefault="005A5178" w:rsidP="005A5178">
      <w:pPr>
        <w:rPr>
          <w:rFonts w:asciiTheme="minorHAnsi" w:hAnsiTheme="minorHAnsi"/>
          <w:bCs/>
        </w:rPr>
      </w:pPr>
      <w:r w:rsidRPr="005A5178">
        <w:t>The outcome is disappointing for DS and LGS patients in Australia. The sponsor continues to be committed to collaborating with the PBAC to find a way to make Epidyolex</w:t>
      </w:r>
      <w:r>
        <w:t>®</w:t>
      </w:r>
      <w:r w:rsidRPr="005A5178">
        <w:t xml:space="preserve"> available for this patient population wit</w:t>
      </w:r>
      <w:r>
        <w:t>h such high unmet medical need.</w:t>
      </w:r>
    </w:p>
    <w:p w:rsidR="005A5178" w:rsidRPr="005A5178" w:rsidRDefault="005A5178" w:rsidP="005A5178">
      <w:pPr>
        <w:pStyle w:val="CommentText"/>
        <w:rPr>
          <w:rFonts w:asciiTheme="minorHAnsi" w:hAnsiTheme="minorHAnsi" w:cstheme="minorHAnsi"/>
          <w:sz w:val="24"/>
        </w:rPr>
      </w:pPr>
    </w:p>
    <w:p w:rsidR="0028042A" w:rsidRDefault="005A5178" w:rsidP="005A5178">
      <w:pPr>
        <w:jc w:val="left"/>
        <w:rPr>
          <w:rFonts w:asciiTheme="minorHAnsi" w:hAnsiTheme="minorHAnsi" w:cstheme="minorHAnsi"/>
        </w:rPr>
      </w:pPr>
      <w:r w:rsidRPr="005A5178">
        <w:rPr>
          <w:rFonts w:asciiTheme="minorHAnsi" w:hAnsiTheme="minorHAnsi" w:cstheme="minorHAnsi"/>
        </w:rPr>
        <w:t>Chiesi Australia</w:t>
      </w:r>
      <w:r w:rsidR="008309DB">
        <w:rPr>
          <w:rFonts w:asciiTheme="minorHAnsi" w:hAnsiTheme="minorHAnsi" w:cstheme="minorHAnsi"/>
        </w:rPr>
        <w:t xml:space="preserve"> (formerly Emerge Health Pty Ltd)</w:t>
      </w:r>
      <w:r w:rsidRPr="005A5178">
        <w:rPr>
          <w:rFonts w:asciiTheme="minorHAnsi" w:hAnsiTheme="minorHAnsi" w:cstheme="minorHAnsi"/>
        </w:rPr>
        <w:t xml:space="preserve"> also believe that in disease areas such as DS and LGS that a carer utility (thus QALY) should be able allowed to be included in an economic evaluation</w:t>
      </w:r>
    </w:p>
    <w:p w:rsidR="009E0762" w:rsidRDefault="009E0762" w:rsidP="005A5178">
      <w:pPr>
        <w:jc w:val="left"/>
        <w:rPr>
          <w:rFonts w:asciiTheme="minorHAnsi" w:hAnsiTheme="minorHAnsi" w:cstheme="minorHAnsi"/>
        </w:rPr>
      </w:pPr>
    </w:p>
    <w:p w:rsidR="009E0762" w:rsidRDefault="009E0762">
      <w:pPr>
        <w:jc w:val="left"/>
        <w:rPr>
          <w:rFonts w:eastAsia="Calibri"/>
          <w:b/>
          <w:color w:val="FF0000"/>
          <w:sz w:val="32"/>
          <w:szCs w:val="28"/>
        </w:rPr>
      </w:pPr>
      <w:r>
        <w:rPr>
          <w:rFonts w:eastAsia="Calibri"/>
          <w:b/>
          <w:color w:val="FF0000"/>
          <w:sz w:val="32"/>
          <w:szCs w:val="28"/>
        </w:rPr>
        <w:br w:type="page"/>
      </w:r>
    </w:p>
    <w:p w:rsidR="009E0762" w:rsidRPr="00F57E64" w:rsidRDefault="009E0762" w:rsidP="009E0762">
      <w:pPr>
        <w:spacing w:before="120" w:after="160"/>
        <w:outlineLvl w:val="0"/>
        <w:rPr>
          <w:rFonts w:eastAsia="Calibri"/>
          <w:b/>
          <w:color w:val="FF0000"/>
          <w:sz w:val="32"/>
          <w:szCs w:val="28"/>
        </w:rPr>
      </w:pPr>
      <w:r w:rsidRPr="00F57E64">
        <w:rPr>
          <w:rFonts w:eastAsia="Calibri"/>
          <w:b/>
          <w:color w:val="FF0000"/>
          <w:sz w:val="32"/>
          <w:szCs w:val="28"/>
        </w:rPr>
        <w:lastRenderedPageBreak/>
        <w:t>Addendum to the July 2020 PBAC Minutes:</w:t>
      </w:r>
    </w:p>
    <w:p w:rsidR="009E0762" w:rsidRPr="00A70DBB" w:rsidRDefault="009E0762" w:rsidP="009E0762">
      <w:pPr>
        <w:pStyle w:val="1-MainHeading"/>
      </w:pPr>
      <w:r>
        <w:t>4.02</w:t>
      </w:r>
      <w:r w:rsidRPr="00A70DBB">
        <w:tab/>
        <w:t>CANNABIDIOL,</w:t>
      </w:r>
      <w:r w:rsidRPr="00A70DBB">
        <w:br/>
        <w:t>Oral solution, 100 mg per mL, 100mL</w:t>
      </w:r>
      <w:r w:rsidRPr="00A70DBB">
        <w:br/>
        <w:t>Epidyolex</w:t>
      </w:r>
      <w:r w:rsidRPr="00A70DBB">
        <w:rPr>
          <w:vertAlign w:val="superscript"/>
        </w:rPr>
        <w:t>®</w:t>
      </w:r>
      <w:r w:rsidRPr="00A70DBB">
        <w:t>,</w:t>
      </w:r>
      <w:r w:rsidRPr="00A70DBB">
        <w:br/>
      </w:r>
      <w:r>
        <w:t>Chiesi Australia Pty Ltd</w:t>
      </w:r>
      <w:r w:rsidRPr="00A70DBB">
        <w:t>.</w:t>
      </w:r>
    </w:p>
    <w:p w:rsidR="009E0762" w:rsidRPr="00A70DBB" w:rsidRDefault="009E0762" w:rsidP="009E0762">
      <w:pPr>
        <w:pStyle w:val="2Sections"/>
        <w:numPr>
          <w:ilvl w:val="0"/>
          <w:numId w:val="1"/>
        </w:numPr>
      </w:pPr>
      <w:r w:rsidRPr="00A70DBB">
        <w:t xml:space="preserve">Background </w:t>
      </w:r>
    </w:p>
    <w:p w:rsidR="009E0762" w:rsidRPr="00A70DBB" w:rsidRDefault="009E0762" w:rsidP="009E0762">
      <w:pPr>
        <w:pStyle w:val="3-BodyText"/>
      </w:pPr>
      <w:r w:rsidRPr="00A70DBB">
        <w:rPr>
          <w:bCs/>
        </w:rPr>
        <w:t>At its July 2020 meeting, the PBAC considered further clarity on the clinical place of cannabidiol in the treatment of DS and LGS was required to inform the appropriate initial and continuing restriction criteria, cost-effectiveness and financial implications of listing cannabidiol on the PBS (paragraph 7.1).</w:t>
      </w:r>
    </w:p>
    <w:p w:rsidR="009E0762" w:rsidRPr="00A70DBB" w:rsidRDefault="009E0762" w:rsidP="009E0762">
      <w:pPr>
        <w:pStyle w:val="3-BodyText"/>
      </w:pPr>
      <w:r w:rsidRPr="00A70DBB">
        <w:t xml:space="preserve">A discussion with clinicians to inform the clinical place of cannabidiol in therapy was held on 9 October 2020 with representatives of the PBAC present and advice from this discussion informed PBAC consideration at the November 2020 meeting. </w:t>
      </w:r>
    </w:p>
    <w:p w:rsidR="009E0762" w:rsidRPr="00A70DBB" w:rsidRDefault="009E0762" w:rsidP="009E0762">
      <w:pPr>
        <w:pStyle w:val="3-BodyText"/>
      </w:pPr>
      <w:r w:rsidRPr="00A70DBB">
        <w:t>Cannabidiol was included on the Australian Register of Therapeutic Goods on 25 September 2020. The approved indication is “for use as adjunctive therapy of seizures associated with LGS or DS for patients 2 years of age or older”.</w:t>
      </w:r>
    </w:p>
    <w:p w:rsidR="009E0762" w:rsidRPr="00A70DBB" w:rsidRDefault="009E0762" w:rsidP="009E0762">
      <w:pPr>
        <w:pStyle w:val="2Sections"/>
        <w:keepNext/>
        <w:keepLines/>
        <w:numPr>
          <w:ilvl w:val="0"/>
          <w:numId w:val="1"/>
        </w:numPr>
      </w:pPr>
      <w:r w:rsidRPr="00A70DBB">
        <w:t>PBAC Outcome</w:t>
      </w:r>
    </w:p>
    <w:p w:rsidR="009E0762" w:rsidRPr="00A70DBB" w:rsidRDefault="009E0762" w:rsidP="009E0762">
      <w:pPr>
        <w:pStyle w:val="3-BodyText"/>
        <w:keepNext/>
        <w:keepLines/>
        <w:widowControl w:val="0"/>
        <w:numPr>
          <w:ilvl w:val="0"/>
          <w:numId w:val="0"/>
        </w:numPr>
        <w:ind w:left="720"/>
        <w:rPr>
          <w:b/>
        </w:rPr>
      </w:pPr>
      <w:r w:rsidRPr="00A70DBB">
        <w:rPr>
          <w:b/>
          <w:bCs/>
        </w:rPr>
        <w:t>Dravet Syndrome</w:t>
      </w:r>
    </w:p>
    <w:p w:rsidR="009E0762" w:rsidRPr="00A70DBB" w:rsidRDefault="009E0762" w:rsidP="009E0762">
      <w:pPr>
        <w:widowControl w:val="0"/>
        <w:numPr>
          <w:ilvl w:val="1"/>
          <w:numId w:val="1"/>
        </w:numPr>
        <w:spacing w:after="120"/>
      </w:pPr>
      <w:r w:rsidRPr="00A70DBB">
        <w:t xml:space="preserve">The PBAC recommended the listing of cannabidiol for the treatment of Dravet Syndrome (DS) in combination with </w:t>
      </w:r>
      <w:r>
        <w:t xml:space="preserve">at least </w:t>
      </w:r>
      <w:r w:rsidRPr="00A70DBB">
        <w:t xml:space="preserve">two other anti-epileptic drugs (AEDs) on the PBS. </w:t>
      </w:r>
      <w:r w:rsidRPr="00A70DBB">
        <w:rPr>
          <w:bCs/>
        </w:rPr>
        <w:t xml:space="preserve">The PBAC considered the appropriate place in therapy for cannabidiol is as a third line treatment and that cannabidiol was likely to be cost-effective at a cost per patient per year </w:t>
      </w:r>
      <w:r>
        <w:rPr>
          <w:bCs/>
        </w:rPr>
        <w:t>that is less than, or is not significantly higher than, that for</w:t>
      </w:r>
      <w:r w:rsidRPr="00A70DBB">
        <w:rPr>
          <w:bCs/>
        </w:rPr>
        <w:t xml:space="preserve"> stiripentol. The PBAC considered the financial impact could be reliably estimated based on the number of eligible patients in this small, well defined population.</w:t>
      </w:r>
      <w:r w:rsidRPr="00A70DBB">
        <w:t xml:space="preserve"> </w:t>
      </w:r>
    </w:p>
    <w:p w:rsidR="009E0762" w:rsidRPr="00A70DBB" w:rsidRDefault="009E0762" w:rsidP="009E0762">
      <w:pPr>
        <w:widowControl w:val="0"/>
        <w:numPr>
          <w:ilvl w:val="1"/>
          <w:numId w:val="1"/>
        </w:numPr>
        <w:spacing w:after="120"/>
        <w:rPr>
          <w:rFonts w:asciiTheme="minorHAnsi" w:hAnsiTheme="minorHAnsi"/>
          <w:bCs/>
          <w:snapToGrid w:val="0"/>
        </w:rPr>
      </w:pPr>
      <w:r w:rsidRPr="00A70DBB">
        <w:rPr>
          <w:rFonts w:asciiTheme="minorHAnsi" w:hAnsiTheme="minorHAnsi"/>
          <w:bCs/>
          <w:snapToGrid w:val="0"/>
        </w:rPr>
        <w:t xml:space="preserve">The PBAC considered that standard care, consisting of a range of AEDs (paragraph 5.2), was the appropriate main comparator. The PBAC recalled it had previously considered cannabidiol as adjunctive therapy was superior in terms of effectiveness compared to standard care (but the magnitude of the benefit was uncertain) and inferior in terms of safety (paragraph 7.6). </w:t>
      </w:r>
    </w:p>
    <w:p w:rsidR="009E0762" w:rsidRPr="00A70DBB" w:rsidRDefault="009E0762" w:rsidP="009E0762">
      <w:pPr>
        <w:pStyle w:val="3-BodyText"/>
      </w:pPr>
      <w:r w:rsidRPr="00A70DBB">
        <w:t>The PBAC was satisfied that cannabidiol provides, for some patients, an improvement in efficacy over standard care for DS</w:t>
      </w:r>
      <w:r>
        <w:t xml:space="preserve">. </w:t>
      </w:r>
    </w:p>
    <w:p w:rsidR="009E0762" w:rsidRPr="00A70DBB" w:rsidRDefault="009E0762" w:rsidP="009E0762">
      <w:pPr>
        <w:pStyle w:val="3-BodyText"/>
      </w:pPr>
      <w:r w:rsidRPr="00A70DBB">
        <w:t>The PBAC recalled the economic model considered in July 2020 was unreliable (paragraph 7.7). However, given a similar clinical positioning as stiripentol (i.e., as a third line treatment), the PBAC considered cannabidiol would be of acceptable cost-</w:t>
      </w:r>
      <w:r w:rsidRPr="00A70DBB">
        <w:lastRenderedPageBreak/>
        <w:t xml:space="preserve">effectiveness for DS if it were listed at a cost per patient per year </w:t>
      </w:r>
      <w:r>
        <w:t xml:space="preserve">that </w:t>
      </w:r>
      <w:r>
        <w:rPr>
          <w:bCs/>
        </w:rPr>
        <w:t xml:space="preserve">is less than, or is not significantly higher than, </w:t>
      </w:r>
      <w:r>
        <w:t>that for</w:t>
      </w:r>
      <w:r w:rsidRPr="00A70DBB">
        <w:t xml:space="preserve"> stiripentol.</w:t>
      </w:r>
    </w:p>
    <w:p w:rsidR="009E0762" w:rsidRPr="00A70DBB" w:rsidRDefault="009E0762" w:rsidP="009E0762">
      <w:pPr>
        <w:pStyle w:val="3-BodyText"/>
      </w:pPr>
      <w:r w:rsidRPr="00A70DBB">
        <w:t xml:space="preserve">The PBAC recalled the cost of cannabidiol may have been underestimated in the July 2020 submission as the economic and financial models did not account for doses higher than 10mg/kg/day (paragraph 6.43, paragraph 6.58). The PBAC noted clinical advice that a dose of 10mg/kg/day or less was likely to be used in most DS patients and considered that not accounting for doses higher than 10mg/kg/day was reasonable. </w:t>
      </w:r>
    </w:p>
    <w:p w:rsidR="009E0762" w:rsidRPr="00A70DBB" w:rsidRDefault="009E0762" w:rsidP="009E0762">
      <w:pPr>
        <w:pStyle w:val="3-BodyText"/>
      </w:pPr>
      <w:r w:rsidRPr="00A70DBB">
        <w:t>The PBAC considered the financial impact of listing for DS could be reliably estimated based on the number of eligible patients in this small, well defined population.</w:t>
      </w:r>
    </w:p>
    <w:p w:rsidR="009E0762" w:rsidRPr="00A70DBB" w:rsidRDefault="009E0762" w:rsidP="009E0762">
      <w:pPr>
        <w:pStyle w:val="3-BodyText"/>
      </w:pPr>
      <w:r w:rsidRPr="00A70DBB">
        <w:t>The PBAC previously considered it may be unreasonable for clinicians, patients and their carers to determine if a 30% reduction in seizures had been achieved (paragraph 7.5).</w:t>
      </w:r>
      <w:r>
        <w:t xml:space="preserve"> </w:t>
      </w:r>
      <w:r w:rsidRPr="00A70DBB">
        <w:t>However, based on clinical advice, the PBAC considered a reduction in the number of seizures of at least 25% was likely to be clinically significant and, for DS, could be determined in clinical practice by clinicians, patients and carers</w:t>
      </w:r>
      <w:r>
        <w:t xml:space="preserve">. The PBAC noted the stiripentol restriction did not include a response criteria for continuing therapy and considered that, given the similar clinical positioning to stiripentol, it was appropriate to exclude the response criteria from the cannabidiol restriction. </w:t>
      </w:r>
    </w:p>
    <w:p w:rsidR="009E0762" w:rsidRPr="00A70DBB" w:rsidRDefault="009E0762" w:rsidP="009E0762">
      <w:pPr>
        <w:pStyle w:val="3-BodyText"/>
      </w:pPr>
      <w:r w:rsidRPr="00A70DBB">
        <w:t xml:space="preserve">The PBAC considered that an Authority Required (telephone/online), Section 85 (General Schedule) listing was appropriate for the DS population. </w:t>
      </w:r>
    </w:p>
    <w:p w:rsidR="009E0762" w:rsidRPr="00A70DBB" w:rsidRDefault="009E0762" w:rsidP="009E0762">
      <w:pPr>
        <w:pStyle w:val="3-BodyText"/>
      </w:pPr>
      <w:r w:rsidRPr="00A70DBB">
        <w:t>The PBAC advised that the restriction criteria for DS should:</w:t>
      </w:r>
    </w:p>
    <w:p w:rsidR="009E0762" w:rsidRPr="00A70DBB" w:rsidRDefault="009E0762" w:rsidP="009E0762">
      <w:pPr>
        <w:pStyle w:val="ListParagraph"/>
        <w:numPr>
          <w:ilvl w:val="0"/>
          <w:numId w:val="38"/>
        </w:numPr>
        <w:spacing w:after="0"/>
        <w:rPr>
          <w:bCs/>
        </w:rPr>
      </w:pPr>
      <w:r w:rsidRPr="00A70DBB">
        <w:rPr>
          <w:bCs/>
        </w:rPr>
        <w:t>provide for a maximum quantity of 1 bottle (100 mL) and five repeats;</w:t>
      </w:r>
    </w:p>
    <w:p w:rsidR="009E0762" w:rsidRPr="00A70DBB" w:rsidRDefault="009E0762" w:rsidP="009E0762">
      <w:pPr>
        <w:pStyle w:val="ListParagraph"/>
        <w:numPr>
          <w:ilvl w:val="0"/>
          <w:numId w:val="38"/>
        </w:numPr>
        <w:spacing w:after="0"/>
        <w:rPr>
          <w:bCs/>
        </w:rPr>
      </w:pPr>
      <w:r w:rsidRPr="00A70DBB">
        <w:rPr>
          <w:bCs/>
        </w:rPr>
        <w:t>include the clinical criteria “Patient must have, or have had, generalised tonic-clonic seizures or generalised clonic seizures that are not adequately controlled with at least two other anti-epileptic drugs</w:t>
      </w:r>
      <w:r>
        <w:rPr>
          <w:bCs/>
        </w:rPr>
        <w:t xml:space="preserve"> at initiating treatment</w:t>
      </w:r>
      <w:r w:rsidRPr="00A70DBB">
        <w:rPr>
          <w:bCs/>
        </w:rPr>
        <w:t xml:space="preserve">”; </w:t>
      </w:r>
    </w:p>
    <w:p w:rsidR="009E0762" w:rsidRPr="00A70DBB" w:rsidRDefault="009E0762" w:rsidP="009E0762">
      <w:pPr>
        <w:pStyle w:val="ListParagraph"/>
        <w:numPr>
          <w:ilvl w:val="0"/>
          <w:numId w:val="38"/>
        </w:numPr>
        <w:spacing w:after="0"/>
        <w:rPr>
          <w:bCs/>
        </w:rPr>
      </w:pPr>
      <w:r w:rsidRPr="00A70DBB">
        <w:rPr>
          <w:bCs/>
        </w:rPr>
        <w:t xml:space="preserve">include the clinical criteria “The treatment must be as adjunctive therapy to </w:t>
      </w:r>
      <w:r>
        <w:rPr>
          <w:bCs/>
        </w:rPr>
        <w:t xml:space="preserve">at least </w:t>
      </w:r>
      <w:r w:rsidRPr="00A70DBB">
        <w:rPr>
          <w:bCs/>
        </w:rPr>
        <w:t xml:space="preserve">two other anti-epileptic drugs”; </w:t>
      </w:r>
    </w:p>
    <w:p w:rsidR="009E0762" w:rsidRPr="00A70DBB" w:rsidRDefault="009E0762" w:rsidP="009E0762">
      <w:pPr>
        <w:pStyle w:val="ListParagraph"/>
        <w:numPr>
          <w:ilvl w:val="0"/>
          <w:numId w:val="38"/>
        </w:numPr>
        <w:rPr>
          <w:bCs/>
        </w:rPr>
      </w:pPr>
      <w:r w:rsidRPr="00A70DBB">
        <w:rPr>
          <w:bCs/>
        </w:rPr>
        <w:t xml:space="preserve">not include the population criteria “Patient must be 2 years of age or older”. </w:t>
      </w:r>
    </w:p>
    <w:p w:rsidR="009E0762" w:rsidRDefault="009E0762" w:rsidP="009E0762">
      <w:pPr>
        <w:pStyle w:val="3-BodyText"/>
      </w:pPr>
      <w:r>
        <w:t>The PBAC advised the following flow on changes are required to the stiripentol restriction:</w:t>
      </w:r>
    </w:p>
    <w:p w:rsidR="009E0762" w:rsidRPr="0036115B" w:rsidRDefault="009E0762" w:rsidP="009E0762">
      <w:pPr>
        <w:pStyle w:val="ListParagraph"/>
        <w:numPr>
          <w:ilvl w:val="0"/>
          <w:numId w:val="39"/>
        </w:numPr>
      </w:pPr>
      <w:r>
        <w:t>change “</w:t>
      </w:r>
      <w:r w:rsidRPr="0036115B">
        <w:t>Patient must have, or have had, generalised tonic-clonic seizures or generalised clonic seizures that are not adequately controlled with a benzodiazepine and valproate</w:t>
      </w:r>
      <w:r>
        <w:t>” to “</w:t>
      </w:r>
      <w:r w:rsidRPr="0036115B">
        <w:t xml:space="preserve">Patient must have, or have had, generalised tonic-clonic seizures or generalised clonic seizures that are not adequately controlled with at least </w:t>
      </w:r>
      <w:r>
        <w:t>two other anti-epileptic drugs”.</w:t>
      </w:r>
    </w:p>
    <w:p w:rsidR="009E0762" w:rsidRDefault="009E0762" w:rsidP="009E0762">
      <w:pPr>
        <w:pStyle w:val="ListParagraph"/>
        <w:numPr>
          <w:ilvl w:val="0"/>
          <w:numId w:val="39"/>
        </w:numPr>
      </w:pPr>
      <w:r>
        <w:t>change “</w:t>
      </w:r>
      <w:r w:rsidRPr="0036115B">
        <w:t>The treatment must be as adjunctive therapy to a benzodiazepine and valproate</w:t>
      </w:r>
      <w:r>
        <w:t>” to “</w:t>
      </w:r>
      <w:r w:rsidRPr="0036115B">
        <w:t>The treatment must be as adjunctive therapy to at least two other anti-epileptic drugs</w:t>
      </w:r>
      <w:r>
        <w:t>”</w:t>
      </w:r>
      <w:r w:rsidRPr="0036115B">
        <w:t>.</w:t>
      </w:r>
    </w:p>
    <w:p w:rsidR="009E0762" w:rsidRPr="00A70DBB" w:rsidRDefault="009E0762" w:rsidP="009E0762">
      <w:pPr>
        <w:pStyle w:val="3-BodyText"/>
      </w:pPr>
      <w:r w:rsidRPr="00A70DBB">
        <w:t>The PBAC advised that initial prescribing should be limited to neurologists, and that paediatricians and general practitioners</w:t>
      </w:r>
      <w:r>
        <w:t>, in addition to neurologists, could also continue treatment, but only</w:t>
      </w:r>
      <w:r w:rsidRPr="00A70DBB">
        <w:t xml:space="preserve"> in consultation with a neurologist. </w:t>
      </w:r>
    </w:p>
    <w:p w:rsidR="009E0762" w:rsidRPr="00A70DBB" w:rsidRDefault="009E0762" w:rsidP="009E0762">
      <w:pPr>
        <w:widowControl w:val="0"/>
        <w:numPr>
          <w:ilvl w:val="1"/>
          <w:numId w:val="1"/>
        </w:numPr>
        <w:spacing w:after="120"/>
        <w:rPr>
          <w:rFonts w:asciiTheme="minorHAnsi" w:hAnsiTheme="minorHAnsi"/>
          <w:bCs/>
          <w:snapToGrid w:val="0"/>
        </w:rPr>
      </w:pPr>
      <w:r w:rsidRPr="00A70DBB">
        <w:rPr>
          <w:rFonts w:asciiTheme="minorHAnsi" w:hAnsiTheme="minorHAnsi"/>
          <w:bCs/>
          <w:snapToGrid w:val="0"/>
        </w:rPr>
        <w:t>The PBAC advised that cannabidiol is not suitable for prescribing by nurse practitioners.</w:t>
      </w:r>
    </w:p>
    <w:p w:rsidR="009E0762" w:rsidRPr="00A70DBB" w:rsidRDefault="009E0762" w:rsidP="009E0762">
      <w:pPr>
        <w:widowControl w:val="0"/>
        <w:numPr>
          <w:ilvl w:val="1"/>
          <w:numId w:val="1"/>
        </w:numPr>
        <w:spacing w:after="120"/>
        <w:rPr>
          <w:snapToGrid w:val="0"/>
        </w:rPr>
      </w:pPr>
      <w:r w:rsidRPr="00A70DBB">
        <w:rPr>
          <w:rFonts w:asciiTheme="minorHAnsi" w:hAnsiTheme="minorHAnsi"/>
          <w:bCs/>
          <w:snapToGrid w:val="0"/>
        </w:rPr>
        <w:t xml:space="preserve">The PBAC recommended that the Early Supply Rule should not apply. </w:t>
      </w:r>
    </w:p>
    <w:p w:rsidR="009E0762" w:rsidRPr="00A70DBB" w:rsidRDefault="009E0762" w:rsidP="009E0762">
      <w:pPr>
        <w:widowControl w:val="0"/>
        <w:numPr>
          <w:ilvl w:val="1"/>
          <w:numId w:val="1"/>
        </w:numPr>
        <w:spacing w:after="120"/>
        <w:rPr>
          <w:snapToGrid w:val="0"/>
        </w:rPr>
      </w:pPr>
      <w:r w:rsidRPr="00A70DBB">
        <w:rPr>
          <w:rFonts w:asciiTheme="minorHAnsi" w:hAnsiTheme="minorHAnsi"/>
          <w:bCs/>
          <w:snapToGrid w:val="0"/>
        </w:rPr>
        <w:t>The PBAC recommended that cannabidiol should not be treated as interchangeable on an individual patient basis with any other drugs.</w:t>
      </w:r>
    </w:p>
    <w:p w:rsidR="009E0762" w:rsidRPr="00A70DBB" w:rsidRDefault="009E0762" w:rsidP="009E0762">
      <w:pPr>
        <w:pStyle w:val="3-BodyText"/>
      </w:pPr>
      <w:r w:rsidRPr="00A70DBB">
        <w:t xml:space="preserve">The PBAC found that the criteria prescribed by the </w:t>
      </w:r>
      <w:r w:rsidRPr="00A70DBB">
        <w:rPr>
          <w:i/>
        </w:rPr>
        <w:t>National Health (Pharmaceuticals and Vaccines – Cost Recovery) Regulations 2009</w:t>
      </w:r>
      <w:r w:rsidRPr="00A70DBB">
        <w:t xml:space="preserve"> for Pricing Pathway A were not met. Specifically the PBAC found that in the circumstances of its recommendation for cannabidiol:</w:t>
      </w:r>
    </w:p>
    <w:p w:rsidR="009E0762" w:rsidRPr="00A70DBB" w:rsidRDefault="009E0762" w:rsidP="009E0762">
      <w:pPr>
        <w:pStyle w:val="4Bodytext"/>
        <w:ind w:left="1440"/>
      </w:pPr>
      <w:r w:rsidRPr="00A70DBB">
        <w:t>a)</w:t>
      </w:r>
      <w:r w:rsidRPr="00A70DBB">
        <w:tab/>
        <w:t>The treatment is not expected to provide a substantial and clinically relevant improvement in efficacy over standard of care. The PBAC considered this criteria was not met as the available data did not allow a reliable assessment of the magnitude of the incremental benefit (paragraph 7.6).</w:t>
      </w:r>
    </w:p>
    <w:p w:rsidR="009E0762" w:rsidRPr="00A70DBB" w:rsidRDefault="009E0762" w:rsidP="009E0762">
      <w:pPr>
        <w:pStyle w:val="4Bodytext"/>
        <w:ind w:left="1440"/>
      </w:pPr>
      <w:r w:rsidRPr="00A70DBB">
        <w:t>b)</w:t>
      </w:r>
      <w:r w:rsidRPr="00A70DBB">
        <w:tab/>
      </w:r>
      <w:r w:rsidRPr="00A70DBB">
        <w:rPr>
          <w:bCs/>
        </w:rPr>
        <w:t xml:space="preserve">Treatment with cannabidiol is not expected to address a high and urgent unmet clinical need; </w:t>
      </w:r>
    </w:p>
    <w:p w:rsidR="009E0762" w:rsidRPr="00A70DBB" w:rsidRDefault="009E0762" w:rsidP="009E0762">
      <w:pPr>
        <w:pStyle w:val="4Bodytext"/>
        <w:ind w:left="1440"/>
      </w:pPr>
      <w:r w:rsidRPr="00A70DBB">
        <w:t>c)</w:t>
      </w:r>
      <w:r w:rsidRPr="00A70DBB">
        <w:tab/>
        <w:t>It was not necessary to make a finding in relation to whether it would be in the public interest for the subsequent pricing application to be progressed under Pricing Pathway A because one or more of the preceding tests had failed.</w:t>
      </w:r>
    </w:p>
    <w:p w:rsidR="009E0762" w:rsidRPr="00A70DBB" w:rsidRDefault="009E0762" w:rsidP="009E0762">
      <w:pPr>
        <w:widowControl w:val="0"/>
        <w:numPr>
          <w:ilvl w:val="1"/>
          <w:numId w:val="1"/>
        </w:numPr>
        <w:spacing w:after="120"/>
        <w:rPr>
          <w:rFonts w:asciiTheme="minorHAnsi" w:hAnsiTheme="minorHAnsi"/>
          <w:bCs/>
          <w:i/>
          <w:snapToGrid w:val="0"/>
        </w:rPr>
      </w:pPr>
      <w:r w:rsidRPr="00A70DBB">
        <w:rPr>
          <w:rFonts w:asciiTheme="minorHAnsi" w:hAnsiTheme="minorHAnsi"/>
          <w:bCs/>
          <w:snapToGrid w:val="0"/>
        </w:rPr>
        <w:t xml:space="preserve">The PBAC noted that this submission was not eligible for an Independent Review as it received a positive recommendation. </w:t>
      </w:r>
    </w:p>
    <w:p w:rsidR="009E0762" w:rsidRPr="00A70DBB" w:rsidRDefault="009E0762" w:rsidP="009E0762">
      <w:pPr>
        <w:pStyle w:val="3-BodyText"/>
        <w:numPr>
          <w:ilvl w:val="0"/>
          <w:numId w:val="0"/>
        </w:numPr>
        <w:ind w:left="720" w:hanging="720"/>
        <w:rPr>
          <w:u w:val="single"/>
        </w:rPr>
      </w:pPr>
      <w:r w:rsidRPr="00A70DBB">
        <w:rPr>
          <w:bCs/>
          <w:u w:val="single"/>
        </w:rPr>
        <w:t>Lennox Gastaut Syndrome</w:t>
      </w:r>
    </w:p>
    <w:p w:rsidR="009E0762" w:rsidRPr="00A70DBB" w:rsidRDefault="009E0762" w:rsidP="009E0762">
      <w:pPr>
        <w:pStyle w:val="3-BodyText"/>
        <w:keepNext/>
        <w:keepLines/>
      </w:pPr>
      <w:r w:rsidRPr="00A70DBB">
        <w:t xml:space="preserve">The PBAC did not recommend the listing of cannabidiol for treatment of Lennox Gastaut Syndrome (LGS) on the PBS. The PBAC considered the place in therapy as a third line treatment was appropriate but the cost-effectiveness of cannabidiol for LGS remained uncertain. The PBAC considered the financial estimates provided in the submission were high and uncertain and that further information was required to appropriately define this potentially large, heterogeneous patient population. </w:t>
      </w:r>
    </w:p>
    <w:p w:rsidR="009E0762" w:rsidRPr="00A70DBB" w:rsidRDefault="009E0762" w:rsidP="009E0762">
      <w:pPr>
        <w:pStyle w:val="3-BodyText"/>
      </w:pPr>
      <w:r w:rsidRPr="00A70DBB">
        <w:t xml:space="preserve">The PBAC noted the clinical advice that LGS was a heterogeneous condition </w:t>
      </w:r>
      <w:r>
        <w:t xml:space="preserve">and is often not consistently defined in clinical practice, outside of the research setting. </w:t>
      </w:r>
      <w:r w:rsidRPr="00A70DBB">
        <w:t>The PBAC considered the appropriate restriction criteria for LGS and estimated number of patients likely to be treated with cannabidiol continued to be uncertain (paragraph 7.8). The PBAC reiterated its previous consideration that the number of prevalent patients with LGS may be significantly higher than estimated in the submission (paragraph 6.59)</w:t>
      </w:r>
      <w:r>
        <w:t xml:space="preserve">. </w:t>
      </w:r>
      <w:r w:rsidRPr="00A70DBB">
        <w:rPr>
          <w:bCs/>
        </w:rPr>
        <w:t xml:space="preserve"> </w:t>
      </w:r>
    </w:p>
    <w:p w:rsidR="009E0762" w:rsidRPr="00A70DBB" w:rsidRDefault="009E0762" w:rsidP="009E0762">
      <w:pPr>
        <w:pStyle w:val="3-BodyText"/>
      </w:pPr>
      <w:r w:rsidRPr="00A70DBB">
        <w:t xml:space="preserve">The PBAC noted </w:t>
      </w:r>
      <w:r w:rsidRPr="00507E3E">
        <w:t>the clinical advice that electroencephalogram (EEG) is the most definitive diagnostic measure for LGS. The PBAC noted the clinical trials for LGS required patients to have an EEG that showed a pattern of slow (&lt;3.0 Hz) spike-and-wave complexes. The PBAC considered that any resubmission should propose a criteria that appropriately identifies people with LGS.</w:t>
      </w:r>
      <w:r>
        <w:t xml:space="preserve"> </w:t>
      </w:r>
    </w:p>
    <w:p w:rsidR="009E0762" w:rsidRPr="00A70DBB" w:rsidRDefault="009E0762" w:rsidP="009E0762">
      <w:pPr>
        <w:pStyle w:val="3-BodyText"/>
      </w:pPr>
      <w:r w:rsidRPr="00A70DBB">
        <w:t>The PBAC noted clinical advice that a reduction in the number of seizures of at least 25% was likely to be clinically significant for LGS but it may be more challenging (compared to DS) for clinicians, patients and carers to determine if this has been achieved due to the nature of seizures experienced. The PBAC considered that any resubmission for LGS should address this issue.</w:t>
      </w:r>
    </w:p>
    <w:p w:rsidR="009E0762" w:rsidRPr="00A70DBB" w:rsidRDefault="009E0762" w:rsidP="009E0762">
      <w:pPr>
        <w:pStyle w:val="3-BodyText"/>
      </w:pPr>
      <w:r w:rsidRPr="00A70DBB">
        <w:t xml:space="preserve">The PBAC recalled the economic model considered in July 2020 was unreliable (paragraph 7.7) and the cost-effectiveness of cannabidiol in this population remained uncertain. </w:t>
      </w:r>
    </w:p>
    <w:p w:rsidR="009E0762" w:rsidRPr="00A70DBB" w:rsidRDefault="009E0762" w:rsidP="009E0762">
      <w:pPr>
        <w:pStyle w:val="3-BodyText"/>
      </w:pPr>
      <w:r w:rsidRPr="00A70DBB">
        <w:rPr>
          <w:rFonts w:ascii="Calibri" w:hAnsi="Calibri"/>
          <w:bCs/>
          <w:snapToGrid/>
        </w:rPr>
        <w:t>The PBAC considered that any future submission for LGS should be a major submission and should propose appropriate restriction criteria, address the uncertain cost-effectiveness and high and uncertain financial estimates.</w:t>
      </w:r>
    </w:p>
    <w:p w:rsidR="009E0762" w:rsidRPr="00A70DBB" w:rsidRDefault="009E0762" w:rsidP="009E0762">
      <w:pPr>
        <w:spacing w:before="240"/>
        <w:rPr>
          <w:rFonts w:asciiTheme="minorHAnsi" w:hAnsiTheme="minorHAnsi"/>
          <w:b/>
          <w:bCs/>
          <w:snapToGrid w:val="0"/>
        </w:rPr>
      </w:pPr>
      <w:r w:rsidRPr="00A70DBB">
        <w:rPr>
          <w:rFonts w:asciiTheme="minorHAnsi" w:hAnsiTheme="minorHAnsi"/>
          <w:b/>
          <w:bCs/>
          <w:snapToGrid w:val="0"/>
        </w:rPr>
        <w:t>Outcome:</w:t>
      </w:r>
    </w:p>
    <w:p w:rsidR="009E0762" w:rsidRPr="00A70DBB" w:rsidRDefault="009E0762" w:rsidP="009E0762">
      <w:pPr>
        <w:rPr>
          <w:rFonts w:asciiTheme="minorHAnsi" w:hAnsiTheme="minorHAnsi"/>
          <w:bCs/>
          <w:snapToGrid w:val="0"/>
        </w:rPr>
      </w:pPr>
      <w:r w:rsidRPr="00A70DBB">
        <w:rPr>
          <w:rFonts w:asciiTheme="minorHAnsi" w:hAnsiTheme="minorHAnsi"/>
          <w:bCs/>
          <w:snapToGrid w:val="0"/>
        </w:rPr>
        <w:t xml:space="preserve">Recommended for DS. </w:t>
      </w:r>
    </w:p>
    <w:p w:rsidR="009E0762" w:rsidRPr="00A70DBB" w:rsidRDefault="009E0762" w:rsidP="009E0762">
      <w:pPr>
        <w:pStyle w:val="2-SectionHeading"/>
        <w:rPr>
          <w:i/>
        </w:rPr>
      </w:pPr>
      <w:r w:rsidRPr="00A70DBB">
        <w:t>Recommended listing</w:t>
      </w:r>
    </w:p>
    <w:p w:rsidR="009E0762" w:rsidRPr="00A70DBB" w:rsidRDefault="009E0762" w:rsidP="009E0762">
      <w:pPr>
        <w:pStyle w:val="3-BodyText"/>
      </w:pPr>
      <w:r w:rsidRPr="00A70DBB">
        <w:t>Add new</w:t>
      </w:r>
      <w:r>
        <w:t xml:space="preserve"> medicinal product</w:t>
      </w:r>
      <w:r w:rsidRPr="00A70DB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270"/>
        <w:gridCol w:w="902"/>
        <w:gridCol w:w="902"/>
        <w:gridCol w:w="902"/>
        <w:gridCol w:w="1502"/>
      </w:tblGrid>
      <w:tr w:rsidR="009E0762" w:rsidRPr="00A70DBB" w:rsidTr="00856CCA">
        <w:trPr>
          <w:cantSplit/>
          <w:trHeight w:val="471"/>
        </w:trPr>
        <w:tc>
          <w:tcPr>
            <w:tcW w:w="1962" w:type="pct"/>
          </w:tcPr>
          <w:p w:rsidR="009E0762" w:rsidRPr="00A70DBB" w:rsidRDefault="009E0762" w:rsidP="00856CCA">
            <w:pPr>
              <w:keepNext/>
              <w:rPr>
                <w:rFonts w:ascii="Arial Narrow" w:hAnsi="Arial Narrow"/>
                <w:b/>
                <w:sz w:val="18"/>
                <w:szCs w:val="18"/>
              </w:rPr>
            </w:pPr>
            <w:r w:rsidRPr="00A70DBB">
              <w:rPr>
                <w:rFonts w:ascii="Arial Narrow" w:hAnsi="Arial Narrow"/>
                <w:b/>
                <w:sz w:val="18"/>
                <w:szCs w:val="18"/>
              </w:rPr>
              <w:t>MEDICINAL PRODUCT</w:t>
            </w:r>
          </w:p>
          <w:p w:rsidR="009E0762" w:rsidRPr="00A70DBB" w:rsidRDefault="009E0762" w:rsidP="00856CCA">
            <w:pPr>
              <w:keepNext/>
              <w:rPr>
                <w:rFonts w:ascii="Arial Narrow" w:hAnsi="Arial Narrow"/>
                <w:b/>
                <w:sz w:val="18"/>
                <w:szCs w:val="18"/>
              </w:rPr>
            </w:pPr>
            <w:r w:rsidRPr="00A70DBB">
              <w:rPr>
                <w:rFonts w:ascii="Arial Narrow" w:hAnsi="Arial Narrow"/>
                <w:b/>
                <w:sz w:val="18"/>
                <w:szCs w:val="18"/>
              </w:rPr>
              <w:t>medicinal product pack</w:t>
            </w:r>
          </w:p>
        </w:tc>
        <w:tc>
          <w:tcPr>
            <w:tcW w:w="704" w:type="pct"/>
          </w:tcPr>
          <w:p w:rsidR="009E0762" w:rsidRPr="00A70DBB" w:rsidRDefault="009E0762" w:rsidP="00856CCA">
            <w:pPr>
              <w:keepNext/>
              <w:keepLines/>
              <w:ind w:left="-108"/>
              <w:jc w:val="center"/>
              <w:rPr>
                <w:rFonts w:ascii="Arial Narrow" w:hAnsi="Arial Narrow"/>
                <w:b/>
                <w:sz w:val="18"/>
                <w:szCs w:val="18"/>
              </w:rPr>
            </w:pPr>
            <w:r>
              <w:rPr>
                <w:rFonts w:ascii="Arial Narrow" w:hAnsi="Arial Narrow"/>
                <w:b/>
                <w:sz w:val="18"/>
                <w:szCs w:val="18"/>
              </w:rPr>
              <w:t>PBS item code</w:t>
            </w:r>
          </w:p>
        </w:tc>
        <w:tc>
          <w:tcPr>
            <w:tcW w:w="500" w:type="pct"/>
          </w:tcPr>
          <w:p w:rsidR="009E0762" w:rsidRPr="00A70DBB" w:rsidRDefault="009E0762" w:rsidP="00856CCA">
            <w:pPr>
              <w:keepNext/>
              <w:keepLines/>
              <w:ind w:left="-108"/>
              <w:jc w:val="center"/>
              <w:rPr>
                <w:rFonts w:ascii="Arial Narrow" w:hAnsi="Arial Narrow"/>
                <w:b/>
                <w:sz w:val="18"/>
                <w:szCs w:val="18"/>
              </w:rPr>
            </w:pPr>
            <w:r w:rsidRPr="00A70DBB">
              <w:rPr>
                <w:rFonts w:ascii="Arial Narrow" w:hAnsi="Arial Narrow"/>
                <w:b/>
                <w:sz w:val="18"/>
                <w:szCs w:val="18"/>
              </w:rPr>
              <w:t>Max. qty packs</w:t>
            </w:r>
          </w:p>
        </w:tc>
        <w:tc>
          <w:tcPr>
            <w:tcW w:w="500" w:type="pct"/>
          </w:tcPr>
          <w:p w:rsidR="009E0762" w:rsidRPr="00A70DBB" w:rsidRDefault="009E0762" w:rsidP="00856CCA">
            <w:pPr>
              <w:keepNext/>
              <w:keepLines/>
              <w:ind w:left="-108"/>
              <w:jc w:val="center"/>
              <w:rPr>
                <w:rFonts w:ascii="Arial Narrow" w:hAnsi="Arial Narrow"/>
                <w:b/>
                <w:sz w:val="18"/>
                <w:szCs w:val="18"/>
              </w:rPr>
            </w:pPr>
            <w:r w:rsidRPr="00A70DBB">
              <w:rPr>
                <w:rFonts w:ascii="Arial Narrow" w:hAnsi="Arial Narrow"/>
                <w:b/>
                <w:sz w:val="18"/>
                <w:szCs w:val="18"/>
              </w:rPr>
              <w:t>Max. qty units</w:t>
            </w:r>
          </w:p>
        </w:tc>
        <w:tc>
          <w:tcPr>
            <w:tcW w:w="500" w:type="pct"/>
          </w:tcPr>
          <w:p w:rsidR="009E0762" w:rsidRPr="00A70DBB" w:rsidRDefault="009E0762" w:rsidP="00856CCA">
            <w:pPr>
              <w:keepNext/>
              <w:keepLines/>
              <w:ind w:left="-108"/>
              <w:jc w:val="center"/>
              <w:rPr>
                <w:rFonts w:ascii="Arial Narrow" w:hAnsi="Arial Narrow"/>
                <w:b/>
                <w:sz w:val="18"/>
                <w:szCs w:val="18"/>
              </w:rPr>
            </w:pPr>
            <w:r w:rsidRPr="00A70DBB">
              <w:rPr>
                <w:rFonts w:ascii="Arial Narrow" w:hAnsi="Arial Narrow"/>
                <w:b/>
                <w:sz w:val="18"/>
                <w:szCs w:val="18"/>
              </w:rPr>
              <w:t>№.of</w:t>
            </w:r>
          </w:p>
          <w:p w:rsidR="009E0762" w:rsidRPr="00A70DBB" w:rsidRDefault="009E0762" w:rsidP="00856CCA">
            <w:pPr>
              <w:keepNext/>
              <w:keepLines/>
              <w:ind w:left="-108"/>
              <w:jc w:val="center"/>
              <w:rPr>
                <w:rFonts w:ascii="Arial Narrow" w:hAnsi="Arial Narrow"/>
                <w:b/>
                <w:sz w:val="18"/>
                <w:szCs w:val="18"/>
              </w:rPr>
            </w:pPr>
            <w:r w:rsidRPr="00A70DBB">
              <w:rPr>
                <w:rFonts w:ascii="Arial Narrow" w:hAnsi="Arial Narrow"/>
                <w:b/>
                <w:sz w:val="18"/>
                <w:szCs w:val="18"/>
              </w:rPr>
              <w:t>Rpts</w:t>
            </w:r>
          </w:p>
        </w:tc>
        <w:tc>
          <w:tcPr>
            <w:tcW w:w="833" w:type="pct"/>
          </w:tcPr>
          <w:p w:rsidR="009E0762" w:rsidRPr="00A70DBB" w:rsidRDefault="009E0762" w:rsidP="00856CCA">
            <w:pPr>
              <w:keepNext/>
              <w:keepLines/>
              <w:ind w:left="-108"/>
              <w:jc w:val="center"/>
              <w:rPr>
                <w:rFonts w:ascii="Arial Narrow" w:hAnsi="Arial Narrow"/>
                <w:b/>
                <w:sz w:val="18"/>
                <w:szCs w:val="18"/>
              </w:rPr>
            </w:pPr>
            <w:r w:rsidRPr="00A70DBB">
              <w:rPr>
                <w:rFonts w:ascii="Arial Narrow" w:hAnsi="Arial Narrow"/>
                <w:b/>
                <w:sz w:val="18"/>
                <w:szCs w:val="18"/>
              </w:rPr>
              <w:t>Available brands</w:t>
            </w:r>
          </w:p>
        </w:tc>
      </w:tr>
      <w:tr w:rsidR="009E0762" w:rsidRPr="00A70DBB" w:rsidTr="00856CCA">
        <w:trPr>
          <w:cantSplit/>
          <w:trHeight w:val="463"/>
        </w:trPr>
        <w:tc>
          <w:tcPr>
            <w:tcW w:w="1962" w:type="pct"/>
          </w:tcPr>
          <w:p w:rsidR="009E0762" w:rsidRPr="00A70DBB" w:rsidRDefault="009E0762" w:rsidP="00856CCA">
            <w:pPr>
              <w:keepNext/>
              <w:keepLines/>
              <w:ind w:left="57"/>
              <w:rPr>
                <w:rFonts w:ascii="Arial Narrow" w:hAnsi="Arial Narrow"/>
                <w:sz w:val="18"/>
                <w:szCs w:val="18"/>
              </w:rPr>
            </w:pPr>
            <w:r w:rsidRPr="00A70DBB">
              <w:rPr>
                <w:rFonts w:ascii="Arial Narrow" w:hAnsi="Arial Narrow"/>
                <w:sz w:val="18"/>
                <w:szCs w:val="18"/>
              </w:rPr>
              <w:t>CANNABIDIOL</w:t>
            </w:r>
          </w:p>
          <w:p w:rsidR="009E0762" w:rsidRPr="00A70DBB" w:rsidRDefault="009E0762" w:rsidP="00856CCA">
            <w:pPr>
              <w:keepNext/>
              <w:keepLines/>
              <w:ind w:left="57"/>
              <w:rPr>
                <w:rFonts w:ascii="Arial Narrow" w:hAnsi="Arial Narrow"/>
                <w:sz w:val="18"/>
                <w:szCs w:val="18"/>
              </w:rPr>
            </w:pPr>
            <w:r w:rsidRPr="00A70DBB">
              <w:rPr>
                <w:rFonts w:ascii="Arial Narrow" w:hAnsi="Arial Narrow"/>
                <w:sz w:val="18"/>
                <w:szCs w:val="18"/>
              </w:rPr>
              <w:t>cannabidiol 100 mg/mL oral liquid, 100 mL</w:t>
            </w:r>
          </w:p>
        </w:tc>
        <w:tc>
          <w:tcPr>
            <w:tcW w:w="704" w:type="pct"/>
          </w:tcPr>
          <w:p w:rsidR="009E0762" w:rsidRDefault="009E0762" w:rsidP="00856CCA">
            <w:pPr>
              <w:keepNext/>
              <w:keepLines/>
              <w:jc w:val="center"/>
              <w:rPr>
                <w:rFonts w:ascii="Arial Narrow" w:hAnsi="Arial Narrow"/>
                <w:sz w:val="18"/>
                <w:szCs w:val="18"/>
              </w:rPr>
            </w:pPr>
          </w:p>
          <w:p w:rsidR="009E0762" w:rsidRPr="00A70DBB" w:rsidRDefault="009E0762" w:rsidP="00856CCA">
            <w:pPr>
              <w:keepNext/>
              <w:keepLines/>
              <w:jc w:val="center"/>
              <w:rPr>
                <w:rFonts w:ascii="Arial Narrow" w:hAnsi="Arial Narrow"/>
                <w:sz w:val="18"/>
                <w:szCs w:val="18"/>
              </w:rPr>
            </w:pPr>
            <w:r>
              <w:rPr>
                <w:rFonts w:ascii="Arial Narrow" w:hAnsi="Arial Narrow"/>
                <w:sz w:val="18"/>
                <w:szCs w:val="18"/>
              </w:rPr>
              <w:t>New</w:t>
            </w:r>
          </w:p>
        </w:tc>
        <w:tc>
          <w:tcPr>
            <w:tcW w:w="500" w:type="pct"/>
          </w:tcPr>
          <w:p w:rsidR="009E0762" w:rsidRPr="00A70DBB" w:rsidRDefault="009E0762" w:rsidP="00856CCA">
            <w:pPr>
              <w:keepNext/>
              <w:keepLines/>
              <w:jc w:val="center"/>
              <w:rPr>
                <w:rFonts w:ascii="Arial Narrow" w:hAnsi="Arial Narrow"/>
                <w:sz w:val="18"/>
                <w:szCs w:val="18"/>
              </w:rPr>
            </w:pPr>
          </w:p>
          <w:p w:rsidR="009E0762" w:rsidRPr="00A70DBB" w:rsidRDefault="009E0762" w:rsidP="00856CCA">
            <w:pPr>
              <w:keepNext/>
              <w:keepLines/>
              <w:ind w:left="-108"/>
              <w:jc w:val="center"/>
              <w:rPr>
                <w:rFonts w:ascii="Arial Narrow" w:hAnsi="Arial Narrow"/>
                <w:sz w:val="18"/>
                <w:szCs w:val="18"/>
              </w:rPr>
            </w:pPr>
            <w:r w:rsidRPr="00A70DBB">
              <w:rPr>
                <w:rFonts w:ascii="Arial Narrow" w:hAnsi="Arial Narrow"/>
                <w:sz w:val="18"/>
                <w:szCs w:val="18"/>
              </w:rPr>
              <w:t>1</w:t>
            </w:r>
          </w:p>
        </w:tc>
        <w:tc>
          <w:tcPr>
            <w:tcW w:w="500" w:type="pct"/>
          </w:tcPr>
          <w:p w:rsidR="009E0762" w:rsidRPr="00A70DBB" w:rsidRDefault="009E0762" w:rsidP="00856CCA">
            <w:pPr>
              <w:keepNext/>
              <w:keepLines/>
              <w:ind w:left="-108"/>
              <w:jc w:val="center"/>
              <w:rPr>
                <w:rFonts w:ascii="Arial Narrow" w:hAnsi="Arial Narrow"/>
                <w:sz w:val="18"/>
                <w:szCs w:val="18"/>
              </w:rPr>
            </w:pPr>
          </w:p>
          <w:p w:rsidR="009E0762" w:rsidRPr="00A70DBB" w:rsidRDefault="009E0762" w:rsidP="00856CCA">
            <w:pPr>
              <w:keepNext/>
              <w:keepLines/>
              <w:ind w:left="-108"/>
              <w:jc w:val="center"/>
              <w:rPr>
                <w:rFonts w:ascii="Arial Narrow" w:hAnsi="Arial Narrow"/>
                <w:sz w:val="18"/>
                <w:szCs w:val="18"/>
              </w:rPr>
            </w:pPr>
            <w:r w:rsidRPr="00A70DBB">
              <w:rPr>
                <w:rFonts w:ascii="Arial Narrow" w:hAnsi="Arial Narrow"/>
                <w:sz w:val="18"/>
                <w:szCs w:val="18"/>
              </w:rPr>
              <w:t>1</w:t>
            </w:r>
          </w:p>
        </w:tc>
        <w:tc>
          <w:tcPr>
            <w:tcW w:w="500" w:type="pct"/>
          </w:tcPr>
          <w:p w:rsidR="009E0762" w:rsidRPr="00A70DBB" w:rsidRDefault="009E0762" w:rsidP="00856CCA">
            <w:pPr>
              <w:keepNext/>
              <w:keepLines/>
              <w:ind w:left="-108"/>
              <w:jc w:val="center"/>
              <w:rPr>
                <w:rFonts w:ascii="Arial Narrow" w:hAnsi="Arial Narrow"/>
                <w:sz w:val="18"/>
                <w:szCs w:val="18"/>
              </w:rPr>
            </w:pPr>
          </w:p>
          <w:p w:rsidR="009E0762" w:rsidRPr="00A70DBB" w:rsidRDefault="009E0762" w:rsidP="00856CCA">
            <w:pPr>
              <w:keepNext/>
              <w:keepLines/>
              <w:ind w:left="-108"/>
              <w:jc w:val="center"/>
              <w:rPr>
                <w:rFonts w:ascii="Arial Narrow" w:hAnsi="Arial Narrow"/>
                <w:sz w:val="18"/>
                <w:szCs w:val="18"/>
              </w:rPr>
            </w:pPr>
            <w:r w:rsidRPr="00A70DBB">
              <w:rPr>
                <w:rFonts w:ascii="Arial Narrow" w:hAnsi="Arial Narrow"/>
                <w:sz w:val="18"/>
                <w:szCs w:val="18"/>
              </w:rPr>
              <w:t>5</w:t>
            </w:r>
          </w:p>
        </w:tc>
        <w:tc>
          <w:tcPr>
            <w:tcW w:w="833" w:type="pct"/>
          </w:tcPr>
          <w:p w:rsidR="009E0762" w:rsidRPr="00A70DBB" w:rsidRDefault="009E0762" w:rsidP="00856CCA">
            <w:pPr>
              <w:keepNext/>
              <w:keepLines/>
              <w:rPr>
                <w:rFonts w:ascii="Arial Narrow" w:hAnsi="Arial Narrow"/>
                <w:sz w:val="18"/>
                <w:szCs w:val="18"/>
              </w:rPr>
            </w:pPr>
          </w:p>
          <w:p w:rsidR="009E0762" w:rsidRPr="00A70DBB" w:rsidRDefault="009E0762" w:rsidP="00856CCA">
            <w:pPr>
              <w:keepNext/>
              <w:keepLines/>
              <w:rPr>
                <w:rFonts w:ascii="Arial Narrow" w:hAnsi="Arial Narrow"/>
                <w:sz w:val="18"/>
                <w:szCs w:val="18"/>
              </w:rPr>
            </w:pPr>
            <w:r w:rsidRPr="00A70DBB">
              <w:rPr>
                <w:rFonts w:ascii="Arial Narrow" w:hAnsi="Arial Narrow"/>
                <w:sz w:val="18"/>
                <w:szCs w:val="18"/>
              </w:rPr>
              <w:t>Epidyolex</w:t>
            </w:r>
          </w:p>
        </w:tc>
      </w:tr>
    </w:tbl>
    <w:p w:rsidR="009E0762" w:rsidRPr="00A70DBB" w:rsidRDefault="009E0762" w:rsidP="009E0762">
      <w:pPr>
        <w:pStyle w:val="TableFigureHeading"/>
      </w:pPr>
    </w:p>
    <w:p w:rsidR="009E0762" w:rsidRPr="00A70DBB" w:rsidRDefault="009E0762" w:rsidP="009E0762">
      <w:pPr>
        <w:keepNext/>
        <w:rPr>
          <w:rFonts w:ascii="Arial Narrow" w:hAnsi="Arial Narrow"/>
          <w:b/>
          <w:sz w:val="18"/>
          <w:szCs w:val="18"/>
        </w:rPr>
      </w:pPr>
      <w:r w:rsidRPr="00A70DBB">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20"/>
      </w:tblGrid>
      <w:tr w:rsidR="009E0762" w:rsidRPr="00A70DBB" w:rsidTr="00856CCA">
        <w:tc>
          <w:tcPr>
            <w:tcW w:w="553" w:type="pct"/>
            <w:vMerge w:val="restart"/>
            <w:tcBorders>
              <w:top w:val="single" w:sz="4" w:space="0" w:color="auto"/>
              <w:left w:val="single" w:sz="4" w:space="0" w:color="auto"/>
              <w:right w:val="single" w:sz="4" w:space="0" w:color="auto"/>
            </w:tcBorders>
          </w:tcPr>
          <w:p w:rsidR="009E0762" w:rsidRPr="008F4C5E" w:rsidRDefault="009E0762" w:rsidP="00856CCA">
            <w:pPr>
              <w:keepNext/>
              <w:jc w:val="cente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rsidR="009E0762" w:rsidRPr="00A70DBB" w:rsidRDefault="009E0762" w:rsidP="00856CCA">
            <w:pPr>
              <w:keepNext/>
              <w:rPr>
                <w:rFonts w:ascii="Arial Narrow" w:hAnsi="Arial Narrow"/>
                <w:strike/>
                <w:sz w:val="18"/>
                <w:szCs w:val="18"/>
              </w:rPr>
            </w:pPr>
            <w:r w:rsidRPr="00A70DBB">
              <w:rPr>
                <w:rFonts w:ascii="Arial Narrow" w:hAnsi="Arial Narrow"/>
                <w:b/>
                <w:sz w:val="18"/>
                <w:szCs w:val="18"/>
              </w:rPr>
              <w:t xml:space="preserve">Category / Program:  </w:t>
            </w:r>
            <w:r w:rsidRPr="00A70DBB">
              <w:rPr>
                <w:rFonts w:ascii="Arial Narrow" w:hAnsi="Arial Narrow"/>
                <w:sz w:val="18"/>
                <w:szCs w:val="18"/>
              </w:rPr>
              <w:t>GENERAL – General Schedule (Code GE)</w:t>
            </w:r>
          </w:p>
        </w:tc>
      </w:tr>
      <w:tr w:rsidR="009E0762" w:rsidRPr="00A70DBB" w:rsidTr="00856CCA">
        <w:trPr>
          <w:trHeight w:val="50"/>
        </w:trPr>
        <w:tc>
          <w:tcPr>
            <w:tcW w:w="553" w:type="pct"/>
            <w:vMerge/>
            <w:tcBorders>
              <w:left w:val="single" w:sz="4" w:space="0" w:color="auto"/>
              <w:right w:val="single" w:sz="4" w:space="0" w:color="auto"/>
            </w:tcBorders>
          </w:tcPr>
          <w:p w:rsidR="009E0762" w:rsidRPr="00A70DBB" w:rsidRDefault="009E0762" w:rsidP="00856CCA">
            <w:pPr>
              <w:keepNext/>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tcPr>
          <w:p w:rsidR="009E0762" w:rsidRPr="00A70DBB" w:rsidRDefault="009E0762" w:rsidP="00856CCA">
            <w:pPr>
              <w:keepNext/>
              <w:rPr>
                <w:rFonts w:ascii="Arial Narrow" w:hAnsi="Arial Narrow"/>
                <w:sz w:val="18"/>
                <w:szCs w:val="18"/>
              </w:rPr>
            </w:pPr>
            <w:r w:rsidRPr="00A70DBB">
              <w:rPr>
                <w:rFonts w:ascii="Arial Narrow" w:hAnsi="Arial Narrow"/>
                <w:b/>
                <w:sz w:val="18"/>
                <w:szCs w:val="18"/>
              </w:rPr>
              <w:t xml:space="preserve">Prescriber type: </w:t>
            </w:r>
            <w:r w:rsidRPr="00A70DBB">
              <w:rPr>
                <w:rFonts w:ascii="Arial Narrow" w:hAnsi="Arial Narrow"/>
                <w:sz w:val="18"/>
                <w:szCs w:val="18"/>
              </w:rPr>
              <w:fldChar w:fldCharType="begin">
                <w:ffData>
                  <w:name w:val=""/>
                  <w:enabled/>
                  <w:calcOnExit w:val="0"/>
                  <w:checkBox>
                    <w:sizeAuto/>
                    <w:default w:val="1"/>
                  </w:checkBox>
                </w:ffData>
              </w:fldChar>
            </w:r>
            <w:r w:rsidRPr="00A70DBB">
              <w:rPr>
                <w:rFonts w:ascii="Arial Narrow" w:hAnsi="Arial Narrow"/>
                <w:sz w:val="18"/>
                <w:szCs w:val="18"/>
              </w:rPr>
              <w:instrText xml:space="preserve"> FORMCHECKBOX </w:instrText>
            </w:r>
            <w:r w:rsidR="00856CCA">
              <w:rPr>
                <w:rFonts w:ascii="Arial Narrow" w:hAnsi="Arial Narrow"/>
                <w:sz w:val="18"/>
                <w:szCs w:val="18"/>
              </w:rPr>
            </w:r>
            <w:r w:rsidR="00856CCA">
              <w:rPr>
                <w:rFonts w:ascii="Arial Narrow" w:hAnsi="Arial Narrow"/>
                <w:sz w:val="18"/>
                <w:szCs w:val="18"/>
              </w:rPr>
              <w:fldChar w:fldCharType="separate"/>
            </w:r>
            <w:r w:rsidRPr="00A70DBB">
              <w:rPr>
                <w:rFonts w:ascii="Arial Narrow" w:hAnsi="Arial Narrow"/>
                <w:sz w:val="18"/>
                <w:szCs w:val="18"/>
              </w:rPr>
              <w:fldChar w:fldCharType="end"/>
            </w:r>
            <w:r w:rsidRPr="00A70DBB">
              <w:rPr>
                <w:rFonts w:ascii="Arial Narrow" w:hAnsi="Arial Narrow"/>
                <w:sz w:val="18"/>
                <w:szCs w:val="18"/>
              </w:rPr>
              <w:t xml:space="preserve">Medical Practitioners </w:t>
            </w:r>
          </w:p>
        </w:tc>
      </w:tr>
      <w:tr w:rsidR="009E0762" w:rsidRPr="00A70DBB" w:rsidTr="00856CCA">
        <w:tc>
          <w:tcPr>
            <w:tcW w:w="553" w:type="pct"/>
            <w:vMerge/>
            <w:tcBorders>
              <w:left w:val="single" w:sz="4" w:space="0" w:color="auto"/>
              <w:right w:val="single" w:sz="4" w:space="0" w:color="auto"/>
            </w:tcBorders>
          </w:tcPr>
          <w:p w:rsidR="009E0762" w:rsidRPr="00A70DBB" w:rsidRDefault="009E0762" w:rsidP="00856CCA">
            <w:pPr>
              <w:keepNext/>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tcPr>
          <w:p w:rsidR="009E0762" w:rsidRPr="008F4C5E" w:rsidRDefault="009E0762" w:rsidP="00856CCA">
            <w:pPr>
              <w:keepNext/>
              <w:rPr>
                <w:rFonts w:ascii="Arial Narrow" w:hAnsi="Arial Narrow"/>
                <w:sz w:val="18"/>
                <w:szCs w:val="18"/>
              </w:rPr>
            </w:pPr>
            <w:r>
              <w:rPr>
                <w:rFonts w:ascii="Arial Narrow" w:hAnsi="Arial Narrow"/>
                <w:b/>
                <w:sz w:val="18"/>
                <w:szCs w:val="18"/>
              </w:rPr>
              <w:t>Restriction type</w:t>
            </w:r>
            <w:r w:rsidRPr="00A70DBB">
              <w:rPr>
                <w:rFonts w:ascii="Arial Narrow" w:hAnsi="Arial Narrow"/>
                <w:b/>
                <w:sz w:val="18"/>
                <w:szCs w:val="18"/>
              </w:rPr>
              <w:t>:</w:t>
            </w:r>
            <w:r>
              <w:rPr>
                <w:rFonts w:ascii="Arial Narrow" w:hAnsi="Arial Narrow"/>
                <w:b/>
                <w:sz w:val="18"/>
                <w:szCs w:val="18"/>
              </w:rPr>
              <w:t xml:space="preserve"> </w:t>
            </w:r>
            <w:r w:rsidRPr="00A70DBB">
              <w:rPr>
                <w:rFonts w:ascii="Arial Narrow" w:hAnsi="Arial Narrow"/>
                <w:sz w:val="18"/>
                <w:szCs w:val="18"/>
              </w:rPr>
              <w:fldChar w:fldCharType="begin">
                <w:ffData>
                  <w:name w:val="Check3"/>
                  <w:enabled/>
                  <w:calcOnExit w:val="0"/>
                  <w:checkBox>
                    <w:sizeAuto/>
                    <w:default w:val="1"/>
                  </w:checkBox>
                </w:ffData>
              </w:fldChar>
            </w:r>
            <w:r w:rsidRPr="00A70DBB">
              <w:rPr>
                <w:rFonts w:ascii="Arial Narrow" w:hAnsi="Arial Narrow"/>
                <w:sz w:val="18"/>
                <w:szCs w:val="18"/>
              </w:rPr>
              <w:instrText xml:space="preserve"> FORMCHECKBOX </w:instrText>
            </w:r>
            <w:r w:rsidR="00856CCA">
              <w:rPr>
                <w:rFonts w:ascii="Arial Narrow" w:hAnsi="Arial Narrow"/>
                <w:sz w:val="18"/>
                <w:szCs w:val="18"/>
              </w:rPr>
            </w:r>
            <w:r w:rsidR="00856CCA">
              <w:rPr>
                <w:rFonts w:ascii="Arial Narrow" w:hAnsi="Arial Narrow"/>
                <w:sz w:val="18"/>
                <w:szCs w:val="18"/>
              </w:rPr>
              <w:fldChar w:fldCharType="separate"/>
            </w:r>
            <w:r w:rsidRPr="00A70DBB">
              <w:rPr>
                <w:rFonts w:ascii="Arial Narrow" w:hAnsi="Arial Narrow"/>
                <w:sz w:val="18"/>
                <w:szCs w:val="18"/>
              </w:rPr>
              <w:fldChar w:fldCharType="end"/>
            </w:r>
            <w:r>
              <w:rPr>
                <w:rFonts w:ascii="Arial Narrow" w:hAnsi="Arial Narrow"/>
                <w:sz w:val="18"/>
                <w:szCs w:val="18"/>
              </w:rPr>
              <w:t xml:space="preserve"> </w:t>
            </w:r>
            <w:r w:rsidRPr="00A70DBB">
              <w:rPr>
                <w:rFonts w:ascii="Arial Narrow" w:hAnsi="Arial Narrow"/>
                <w:sz w:val="18"/>
                <w:szCs w:val="18"/>
              </w:rPr>
              <w:t>Authority Required – immediate/real time assessment</w:t>
            </w:r>
            <w:r>
              <w:rPr>
                <w:rFonts w:ascii="Arial Narrow" w:hAnsi="Arial Narrow"/>
                <w:sz w:val="18"/>
                <w:szCs w:val="18"/>
              </w:rPr>
              <w:t xml:space="preserve"> by Services Australia</w:t>
            </w:r>
            <w:r w:rsidRPr="00A70DBB">
              <w:rPr>
                <w:rFonts w:ascii="Arial Narrow" w:hAnsi="Arial Narrow"/>
                <w:sz w:val="18"/>
                <w:szCs w:val="18"/>
              </w:rPr>
              <w:t xml:space="preserve"> (telephone/online)</w:t>
            </w:r>
          </w:p>
        </w:tc>
      </w:tr>
      <w:tr w:rsidR="009E0762" w:rsidRPr="00A70DBB" w:rsidTr="00856CCA">
        <w:tc>
          <w:tcPr>
            <w:tcW w:w="553" w:type="pct"/>
            <w:vMerge/>
            <w:tcBorders>
              <w:left w:val="single" w:sz="4" w:space="0" w:color="auto"/>
              <w:right w:val="single" w:sz="4" w:space="0" w:color="auto"/>
            </w:tcBorders>
          </w:tcPr>
          <w:p w:rsidR="009E0762" w:rsidRPr="00A70DBB" w:rsidRDefault="009E0762" w:rsidP="00856CCA">
            <w:pPr>
              <w:keepNext/>
              <w:jc w:val="center"/>
              <w:rPr>
                <w:rFonts w:ascii="Arial Narrow" w:hAnsi="Arial Narrow"/>
                <w:color w:val="333333"/>
                <w:sz w:val="18"/>
                <w:szCs w:val="18"/>
              </w:rPr>
            </w:pPr>
          </w:p>
        </w:tc>
        <w:tc>
          <w:tcPr>
            <w:tcW w:w="4447" w:type="pct"/>
            <w:tcBorders>
              <w:left w:val="single" w:sz="4" w:space="0" w:color="auto"/>
            </w:tcBorders>
            <w:vAlign w:val="center"/>
          </w:tcPr>
          <w:p w:rsidR="009E0762" w:rsidRPr="008F4C5E" w:rsidRDefault="009E0762" w:rsidP="00856CCA">
            <w:pPr>
              <w:keepNext/>
              <w:rPr>
                <w:rFonts w:ascii="Arial Narrow" w:hAnsi="Arial Narrow"/>
                <w:bCs/>
                <w:sz w:val="18"/>
                <w:szCs w:val="18"/>
              </w:rPr>
            </w:pPr>
            <w:r>
              <w:rPr>
                <w:rFonts w:ascii="Arial Narrow" w:hAnsi="Arial Narrow"/>
                <w:b/>
                <w:bCs/>
                <w:sz w:val="18"/>
                <w:szCs w:val="18"/>
              </w:rPr>
              <w:t xml:space="preserve">Episodicity: </w:t>
            </w:r>
            <w:r>
              <w:rPr>
                <w:rFonts w:ascii="Arial Narrow" w:hAnsi="Arial Narrow"/>
                <w:bCs/>
                <w:sz w:val="18"/>
                <w:szCs w:val="18"/>
              </w:rPr>
              <w:t>[blank]</w:t>
            </w:r>
          </w:p>
        </w:tc>
      </w:tr>
      <w:tr w:rsidR="009E0762" w:rsidRPr="00A70DBB" w:rsidTr="00856CCA">
        <w:tc>
          <w:tcPr>
            <w:tcW w:w="553" w:type="pct"/>
            <w:vMerge/>
            <w:tcBorders>
              <w:left w:val="single" w:sz="4" w:space="0" w:color="auto"/>
              <w:right w:val="single" w:sz="4" w:space="0" w:color="auto"/>
            </w:tcBorders>
          </w:tcPr>
          <w:p w:rsidR="009E0762" w:rsidRPr="00A70DBB" w:rsidRDefault="009E0762" w:rsidP="00856CCA">
            <w:pPr>
              <w:keepNext/>
              <w:jc w:val="center"/>
              <w:rPr>
                <w:rFonts w:ascii="Arial Narrow" w:hAnsi="Arial Narrow"/>
                <w:color w:val="333333"/>
                <w:sz w:val="18"/>
                <w:szCs w:val="18"/>
              </w:rPr>
            </w:pPr>
          </w:p>
        </w:tc>
        <w:tc>
          <w:tcPr>
            <w:tcW w:w="4447" w:type="pct"/>
            <w:tcBorders>
              <w:left w:val="single" w:sz="4" w:space="0" w:color="auto"/>
            </w:tcBorders>
            <w:vAlign w:val="center"/>
          </w:tcPr>
          <w:p w:rsidR="009E0762" w:rsidRDefault="009E0762" w:rsidP="00856CCA">
            <w:pPr>
              <w:keepNext/>
              <w:rPr>
                <w:rFonts w:ascii="Arial Narrow" w:hAnsi="Arial Narrow"/>
                <w:b/>
                <w:bCs/>
                <w:sz w:val="18"/>
                <w:szCs w:val="18"/>
              </w:rPr>
            </w:pPr>
            <w:r>
              <w:rPr>
                <w:rFonts w:ascii="Arial Narrow" w:hAnsi="Arial Narrow"/>
                <w:b/>
                <w:bCs/>
                <w:sz w:val="18"/>
                <w:szCs w:val="18"/>
              </w:rPr>
              <w:t xml:space="preserve">Severity: </w:t>
            </w:r>
            <w:r w:rsidRPr="008F4C5E">
              <w:rPr>
                <w:rFonts w:ascii="Arial Narrow" w:hAnsi="Arial Narrow"/>
                <w:bCs/>
                <w:sz w:val="18"/>
                <w:szCs w:val="18"/>
              </w:rPr>
              <w:t>Severe</w:t>
            </w:r>
          </w:p>
        </w:tc>
      </w:tr>
      <w:tr w:rsidR="009E0762" w:rsidRPr="00A70DBB" w:rsidTr="00856CCA">
        <w:trPr>
          <w:trHeight w:val="280"/>
        </w:trPr>
        <w:tc>
          <w:tcPr>
            <w:tcW w:w="553" w:type="pct"/>
            <w:vMerge/>
            <w:tcBorders>
              <w:left w:val="single" w:sz="4" w:space="0" w:color="auto"/>
              <w:right w:val="single" w:sz="4" w:space="0" w:color="auto"/>
            </w:tcBorders>
          </w:tcPr>
          <w:p w:rsidR="009E0762" w:rsidRPr="00A70DBB" w:rsidRDefault="009E0762" w:rsidP="00856CCA">
            <w:pPr>
              <w:keepNext/>
              <w:jc w:val="center"/>
              <w:rPr>
                <w:rFonts w:ascii="Arial Narrow" w:hAnsi="Arial Narrow"/>
                <w:color w:val="333333"/>
                <w:sz w:val="18"/>
                <w:szCs w:val="18"/>
              </w:rPr>
            </w:pPr>
          </w:p>
        </w:tc>
        <w:tc>
          <w:tcPr>
            <w:tcW w:w="4447" w:type="pct"/>
            <w:tcBorders>
              <w:left w:val="single" w:sz="4" w:space="0" w:color="auto"/>
            </w:tcBorders>
            <w:vAlign w:val="center"/>
          </w:tcPr>
          <w:p w:rsidR="009E0762" w:rsidRPr="00A70DBB" w:rsidRDefault="009E0762" w:rsidP="00856CCA">
            <w:pPr>
              <w:keepNext/>
              <w:rPr>
                <w:rFonts w:ascii="Arial Narrow" w:hAnsi="Arial Narrow"/>
                <w:b/>
                <w:bCs/>
                <w:i/>
                <w:sz w:val="18"/>
                <w:szCs w:val="18"/>
              </w:rPr>
            </w:pPr>
            <w:r w:rsidRPr="00A70DBB">
              <w:rPr>
                <w:rFonts w:ascii="Arial Narrow" w:hAnsi="Arial Narrow"/>
                <w:b/>
                <w:bCs/>
                <w:sz w:val="18"/>
                <w:szCs w:val="18"/>
              </w:rPr>
              <w:t xml:space="preserve">Condition: </w:t>
            </w:r>
            <w:r w:rsidRPr="00A70DBB">
              <w:rPr>
                <w:rFonts w:ascii="Arial Narrow" w:hAnsi="Arial Narrow"/>
                <w:bCs/>
                <w:sz w:val="18"/>
                <w:szCs w:val="18"/>
              </w:rPr>
              <w:t xml:space="preserve"> myoclonic epilepsy of infancy (Dravet syndrome)</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hideMark/>
          </w:tcPr>
          <w:p w:rsidR="009E0762" w:rsidRPr="00A70DBB" w:rsidRDefault="009E0762" w:rsidP="00856CCA">
            <w:pPr>
              <w:keepNext/>
              <w:rPr>
                <w:rFonts w:ascii="Arial Narrow" w:hAnsi="Arial Narrow"/>
                <w:color w:val="333333"/>
                <w:sz w:val="18"/>
                <w:szCs w:val="18"/>
              </w:rPr>
            </w:pPr>
            <w:r w:rsidRPr="00A70DBB">
              <w:rPr>
                <w:rFonts w:ascii="Arial Narrow" w:hAnsi="Arial Narrow"/>
                <w:b/>
                <w:bCs/>
                <w:color w:val="333333"/>
                <w:sz w:val="18"/>
                <w:szCs w:val="18"/>
              </w:rPr>
              <w:t>Indication:</w:t>
            </w:r>
            <w:r w:rsidRPr="00A70DBB">
              <w:rPr>
                <w:rFonts w:ascii="Arial Narrow" w:hAnsi="Arial Narrow"/>
                <w:color w:val="333333"/>
                <w:sz w:val="18"/>
                <w:szCs w:val="18"/>
              </w:rPr>
              <w:t xml:space="preserve"> </w:t>
            </w:r>
            <w:r w:rsidRPr="00A70DBB">
              <w:rPr>
                <w:rFonts w:ascii="Arial Narrow" w:hAnsi="Arial Narrow"/>
                <w:bCs/>
                <w:sz w:val="18"/>
                <w:szCs w:val="18"/>
              </w:rPr>
              <w:t>Severe myoclonic epilepsy of infancy (Dravet syndrome)</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hideMark/>
          </w:tcPr>
          <w:p w:rsidR="009E0762" w:rsidRPr="00A70DBB" w:rsidRDefault="009E0762" w:rsidP="00856CCA">
            <w:pPr>
              <w:keepNext/>
              <w:rPr>
                <w:rFonts w:ascii="Arial Narrow" w:hAnsi="Arial Narrow"/>
                <w:color w:val="333333"/>
                <w:sz w:val="18"/>
                <w:szCs w:val="18"/>
              </w:rPr>
            </w:pPr>
            <w:r w:rsidRPr="00A70DBB">
              <w:rPr>
                <w:rFonts w:ascii="Arial Narrow" w:hAnsi="Arial Narrow"/>
                <w:b/>
                <w:bCs/>
                <w:color w:val="333333"/>
                <w:sz w:val="18"/>
                <w:szCs w:val="18"/>
              </w:rPr>
              <w:t>Treatment Phase:</w:t>
            </w:r>
            <w:r w:rsidRPr="00A70DBB">
              <w:rPr>
                <w:rFonts w:ascii="Arial Narrow" w:hAnsi="Arial Narrow"/>
                <w:color w:val="333333"/>
                <w:sz w:val="18"/>
                <w:szCs w:val="18"/>
              </w:rPr>
              <w:t xml:space="preserve"> </w:t>
            </w:r>
            <w:r>
              <w:rPr>
                <w:rFonts w:ascii="Arial Narrow" w:hAnsi="Arial Narrow"/>
                <w:color w:val="333333"/>
                <w:sz w:val="18"/>
                <w:szCs w:val="18"/>
              </w:rPr>
              <w:t>[blank]</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hideMark/>
          </w:tcPr>
          <w:p w:rsidR="009E0762" w:rsidRPr="00A70DBB" w:rsidRDefault="009E0762" w:rsidP="00856CCA">
            <w:pPr>
              <w:keepNext/>
              <w:rPr>
                <w:rFonts w:ascii="Arial Narrow" w:hAnsi="Arial Narrow"/>
                <w:color w:val="333333"/>
                <w:sz w:val="18"/>
                <w:szCs w:val="18"/>
              </w:rPr>
            </w:pPr>
            <w:r w:rsidRPr="00A70DBB">
              <w:rPr>
                <w:rFonts w:ascii="Arial Narrow" w:hAnsi="Arial Narrow"/>
                <w:b/>
                <w:bCs/>
                <w:color w:val="333333"/>
                <w:sz w:val="18"/>
                <w:szCs w:val="18"/>
              </w:rPr>
              <w:t>Clinical criteria:</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hideMark/>
          </w:tcPr>
          <w:p w:rsidR="009E0762" w:rsidRPr="00A70DBB" w:rsidRDefault="009E0762" w:rsidP="00856CCA">
            <w:pPr>
              <w:keepNext/>
              <w:rPr>
                <w:rFonts w:ascii="Arial Narrow" w:hAnsi="Arial Narrow"/>
                <w:strike/>
                <w:sz w:val="18"/>
                <w:szCs w:val="18"/>
              </w:rPr>
            </w:pPr>
            <w:r w:rsidRPr="00A70DBB">
              <w:rPr>
                <w:rFonts w:ascii="Arial Narrow" w:hAnsi="Arial Narrow"/>
                <w:sz w:val="18"/>
                <w:szCs w:val="18"/>
              </w:rPr>
              <w:t>Patient must have, or have had, generalised tonic-clonic seizures or generalised clonic seizures that are not adequately controlled with at least two other anti-epileptic drugs</w:t>
            </w:r>
            <w:r>
              <w:rPr>
                <w:rFonts w:ascii="Arial Narrow" w:hAnsi="Arial Narrow"/>
                <w:sz w:val="18"/>
                <w:szCs w:val="18"/>
              </w:rPr>
              <w:t xml:space="preserve"> </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hideMark/>
          </w:tcPr>
          <w:p w:rsidR="009E0762" w:rsidRPr="00A70DBB" w:rsidRDefault="009E0762" w:rsidP="00856CCA">
            <w:pPr>
              <w:keepNext/>
              <w:rPr>
                <w:rFonts w:ascii="Arial Narrow" w:hAnsi="Arial Narrow"/>
                <w:sz w:val="18"/>
                <w:szCs w:val="18"/>
              </w:rPr>
            </w:pPr>
            <w:r w:rsidRPr="00A70DBB">
              <w:rPr>
                <w:rFonts w:ascii="Arial Narrow" w:hAnsi="Arial Narrow"/>
                <w:b/>
                <w:bCs/>
                <w:sz w:val="18"/>
                <w:szCs w:val="18"/>
              </w:rPr>
              <w:t>AND</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tcPr>
          <w:p w:rsidR="009E0762" w:rsidRPr="00A70DBB" w:rsidRDefault="009E0762" w:rsidP="00856CCA">
            <w:pPr>
              <w:rPr>
                <w:rFonts w:ascii="Arial Narrow" w:hAnsi="Arial Narrow"/>
                <w:b/>
                <w:bCs/>
                <w:sz w:val="18"/>
                <w:szCs w:val="18"/>
              </w:rPr>
            </w:pPr>
            <w:r w:rsidRPr="00A70DBB">
              <w:rPr>
                <w:rFonts w:ascii="Arial Narrow" w:hAnsi="Arial Narrow"/>
                <w:b/>
                <w:bCs/>
                <w:sz w:val="18"/>
                <w:szCs w:val="18"/>
              </w:rPr>
              <w:t>Clinical criteria:</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tcPr>
          <w:p w:rsidR="009E0762" w:rsidRPr="00A70DBB" w:rsidRDefault="009E0762" w:rsidP="00856CCA">
            <w:pPr>
              <w:rPr>
                <w:rFonts w:ascii="Arial Narrow" w:hAnsi="Arial Narrow"/>
                <w:sz w:val="18"/>
                <w:szCs w:val="18"/>
              </w:rPr>
            </w:pPr>
            <w:r w:rsidRPr="00A70DBB">
              <w:rPr>
                <w:rFonts w:ascii="Arial Narrow" w:hAnsi="Arial Narrow"/>
                <w:sz w:val="18"/>
                <w:szCs w:val="18"/>
              </w:rPr>
              <w:t>The treatment must be as adjunctive therapy to</w:t>
            </w:r>
            <w:r>
              <w:rPr>
                <w:rFonts w:ascii="Arial Narrow" w:hAnsi="Arial Narrow"/>
                <w:sz w:val="18"/>
                <w:szCs w:val="18"/>
              </w:rPr>
              <w:t xml:space="preserve"> at least</w:t>
            </w:r>
            <w:r w:rsidRPr="00A70DBB">
              <w:rPr>
                <w:rFonts w:ascii="Arial Narrow" w:hAnsi="Arial Narrow"/>
                <w:sz w:val="18"/>
                <w:szCs w:val="18"/>
              </w:rPr>
              <w:t xml:space="preserve"> two other anti-epileptic drugs</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tcPr>
          <w:p w:rsidR="009E0762" w:rsidRPr="00A70DBB" w:rsidRDefault="009E0762" w:rsidP="00856CCA">
            <w:pPr>
              <w:rPr>
                <w:rFonts w:ascii="Arial Narrow" w:hAnsi="Arial Narrow"/>
                <w:b/>
                <w:bCs/>
                <w:sz w:val="18"/>
                <w:szCs w:val="18"/>
              </w:rPr>
            </w:pPr>
            <w:r w:rsidRPr="00A70DBB">
              <w:rPr>
                <w:rFonts w:ascii="Arial Narrow" w:hAnsi="Arial Narrow"/>
                <w:b/>
                <w:bCs/>
                <w:sz w:val="18"/>
                <w:szCs w:val="18"/>
              </w:rPr>
              <w:t>AND</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hideMark/>
          </w:tcPr>
          <w:p w:rsidR="009E0762" w:rsidRPr="00A70DBB" w:rsidRDefault="009E0762" w:rsidP="00856CCA">
            <w:pPr>
              <w:rPr>
                <w:rFonts w:ascii="Arial Narrow" w:hAnsi="Arial Narrow"/>
                <w:sz w:val="18"/>
                <w:szCs w:val="18"/>
              </w:rPr>
            </w:pPr>
            <w:r w:rsidRPr="00A70DBB">
              <w:rPr>
                <w:rFonts w:ascii="Arial Narrow" w:hAnsi="Arial Narrow"/>
                <w:b/>
                <w:bCs/>
                <w:sz w:val="18"/>
                <w:szCs w:val="18"/>
              </w:rPr>
              <w:t>Treatment criteria:</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hideMark/>
          </w:tcPr>
          <w:p w:rsidR="009E0762" w:rsidRPr="00A70DBB" w:rsidRDefault="009E0762" w:rsidP="00856CCA">
            <w:pPr>
              <w:autoSpaceDE w:val="0"/>
              <w:autoSpaceDN w:val="0"/>
              <w:adjustRightInd w:val="0"/>
              <w:rPr>
                <w:rFonts w:ascii="Arial Narrow" w:hAnsi="Arial Narrow" w:cs="Arial Narrow"/>
                <w:iCs/>
                <w:sz w:val="18"/>
                <w:szCs w:val="18"/>
              </w:rPr>
            </w:pPr>
            <w:r w:rsidRPr="00A70DBB">
              <w:rPr>
                <w:rFonts w:ascii="Arial Narrow" w:hAnsi="Arial Narrow" w:cs="Arial Narrow"/>
                <w:iCs/>
                <w:sz w:val="18"/>
                <w:szCs w:val="18"/>
              </w:rPr>
              <w:t>Must be treated by a neurologist if t</w:t>
            </w:r>
            <w:r>
              <w:rPr>
                <w:rFonts w:ascii="Arial Narrow" w:hAnsi="Arial Narrow" w:cs="Arial Narrow"/>
                <w:iCs/>
                <w:sz w:val="18"/>
                <w:szCs w:val="18"/>
              </w:rPr>
              <w:t>reatment is being initiated; or</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tcPr>
          <w:p w:rsidR="009E0762" w:rsidRPr="00A70DBB" w:rsidRDefault="009E0762" w:rsidP="00856CCA">
            <w:pPr>
              <w:autoSpaceDE w:val="0"/>
              <w:autoSpaceDN w:val="0"/>
              <w:adjustRightInd w:val="0"/>
              <w:rPr>
                <w:rFonts w:ascii="Arial Narrow" w:hAnsi="Arial Narrow" w:cs="Arial Narrow"/>
                <w:iCs/>
                <w:sz w:val="18"/>
                <w:szCs w:val="18"/>
              </w:rPr>
            </w:pPr>
            <w:r w:rsidRPr="00034EAB">
              <w:rPr>
                <w:rFonts w:ascii="Arial Narrow" w:hAnsi="Arial Narrow" w:cs="Arial Narrow"/>
                <w:iCs/>
                <w:sz w:val="18"/>
                <w:szCs w:val="18"/>
              </w:rPr>
              <w:t>Must be treated by a neurologist if treatment is b</w:t>
            </w:r>
            <w:r>
              <w:rPr>
                <w:rFonts w:ascii="Arial Narrow" w:hAnsi="Arial Narrow" w:cs="Arial Narrow"/>
                <w:iCs/>
                <w:sz w:val="18"/>
                <w:szCs w:val="18"/>
              </w:rPr>
              <w:t>eing continued/re-initiated; or</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tcPr>
          <w:p w:rsidR="009E0762" w:rsidRPr="00A70DBB" w:rsidRDefault="009E0762" w:rsidP="00856CCA">
            <w:pPr>
              <w:autoSpaceDE w:val="0"/>
              <w:autoSpaceDN w:val="0"/>
              <w:adjustRightInd w:val="0"/>
              <w:rPr>
                <w:rFonts w:ascii="Arial Narrow" w:hAnsi="Arial Narrow" w:cs="Arial Narrow"/>
                <w:iCs/>
                <w:sz w:val="18"/>
                <w:szCs w:val="18"/>
              </w:rPr>
            </w:pPr>
            <w:r w:rsidRPr="00034EAB">
              <w:rPr>
                <w:rFonts w:ascii="Arial Narrow" w:hAnsi="Arial Narrow" w:cs="Arial Narrow"/>
                <w:iCs/>
                <w:sz w:val="18"/>
                <w:szCs w:val="18"/>
              </w:rPr>
              <w:t>Must be treated by a paediatrician in consultation with a neurologist if t</w:t>
            </w:r>
            <w:r>
              <w:rPr>
                <w:rFonts w:ascii="Arial Narrow" w:hAnsi="Arial Narrow" w:cs="Arial Narrow"/>
                <w:iCs/>
                <w:sz w:val="18"/>
                <w:szCs w:val="18"/>
              </w:rPr>
              <w:t>reatment is being continued; or</w:t>
            </w:r>
          </w:p>
        </w:tc>
      </w:tr>
      <w:tr w:rsidR="009E0762" w:rsidRPr="00A70DBB" w:rsidTr="00856CCA">
        <w:tc>
          <w:tcPr>
            <w:tcW w:w="553" w:type="pct"/>
          </w:tcPr>
          <w:p w:rsidR="009E0762" w:rsidRPr="00A70DBB" w:rsidRDefault="009E0762" w:rsidP="00856CCA">
            <w:pPr>
              <w:keepNext/>
              <w:jc w:val="center"/>
              <w:rPr>
                <w:rFonts w:ascii="Arial Narrow" w:hAnsi="Arial Narrow"/>
                <w:color w:val="333333"/>
                <w:sz w:val="18"/>
                <w:szCs w:val="18"/>
              </w:rPr>
            </w:pPr>
          </w:p>
        </w:tc>
        <w:tc>
          <w:tcPr>
            <w:tcW w:w="4447" w:type="pct"/>
            <w:vAlign w:val="center"/>
          </w:tcPr>
          <w:p w:rsidR="009E0762" w:rsidRPr="00A70DBB" w:rsidRDefault="009E0762" w:rsidP="00856CCA">
            <w:pPr>
              <w:autoSpaceDE w:val="0"/>
              <w:autoSpaceDN w:val="0"/>
              <w:adjustRightInd w:val="0"/>
              <w:rPr>
                <w:rFonts w:ascii="Arial Narrow" w:hAnsi="Arial Narrow" w:cs="Arial Narrow"/>
                <w:iCs/>
                <w:sz w:val="18"/>
                <w:szCs w:val="18"/>
              </w:rPr>
            </w:pPr>
            <w:r w:rsidRPr="00034EAB">
              <w:rPr>
                <w:rFonts w:ascii="Arial Narrow" w:hAnsi="Arial Narrow" w:cs="Arial Narrow"/>
                <w:iCs/>
                <w:sz w:val="18"/>
                <w:szCs w:val="18"/>
              </w:rPr>
              <w:t>Must be treated by a general practitioner in consultation with a neurologist if treatment is being continued</w:t>
            </w:r>
          </w:p>
        </w:tc>
      </w:tr>
      <w:tr w:rsidR="009E0762" w:rsidRPr="00A70DBB" w:rsidTr="00856CCA">
        <w:tc>
          <w:tcPr>
            <w:tcW w:w="553" w:type="pct"/>
            <w:vAlign w:val="center"/>
          </w:tcPr>
          <w:p w:rsidR="009E0762" w:rsidRPr="00A70DBB" w:rsidRDefault="009E0762" w:rsidP="00856CCA">
            <w:pPr>
              <w:keepNext/>
              <w:jc w:val="center"/>
              <w:rPr>
                <w:rFonts w:ascii="Arial Narrow" w:hAnsi="Arial Narrow"/>
                <w:color w:val="333333"/>
                <w:sz w:val="18"/>
                <w:szCs w:val="18"/>
              </w:rPr>
            </w:pPr>
          </w:p>
        </w:tc>
        <w:tc>
          <w:tcPr>
            <w:tcW w:w="4447" w:type="pct"/>
            <w:vAlign w:val="center"/>
          </w:tcPr>
          <w:p w:rsidR="009E0762" w:rsidRPr="00A70DBB" w:rsidRDefault="009E0762" w:rsidP="00856CCA">
            <w:pPr>
              <w:rPr>
                <w:rFonts w:ascii="Arial Narrow" w:hAnsi="Arial Narrow"/>
                <w:bCs/>
                <w:strike/>
                <w:color w:val="333333"/>
                <w:sz w:val="18"/>
                <w:szCs w:val="18"/>
              </w:rPr>
            </w:pPr>
            <w:r w:rsidRPr="00A70DBB">
              <w:rPr>
                <w:rFonts w:ascii="Arial Narrow" w:hAnsi="Arial Narrow"/>
                <w:b/>
                <w:bCs/>
                <w:color w:val="333333"/>
                <w:sz w:val="18"/>
                <w:szCs w:val="18"/>
              </w:rPr>
              <w:t>Administrative Advice:</w:t>
            </w:r>
            <w:r w:rsidRPr="00A70DBB">
              <w:rPr>
                <w:rFonts w:ascii="Arial Narrow" w:hAnsi="Arial Narrow"/>
                <w:bCs/>
                <w:color w:val="333333"/>
                <w:sz w:val="18"/>
                <w:szCs w:val="18"/>
              </w:rPr>
              <w:t xml:space="preserve"> </w:t>
            </w:r>
          </w:p>
          <w:p w:rsidR="009E0762" w:rsidRDefault="009E0762" w:rsidP="00856CCA">
            <w:pPr>
              <w:rPr>
                <w:rFonts w:ascii="Arial Narrow" w:hAnsi="Arial Narrow"/>
                <w:bCs/>
                <w:color w:val="333333"/>
                <w:sz w:val="18"/>
                <w:szCs w:val="18"/>
              </w:rPr>
            </w:pPr>
          </w:p>
          <w:p w:rsidR="009E0762" w:rsidRPr="009A6EDE" w:rsidRDefault="009E0762" w:rsidP="00856CCA">
            <w:pPr>
              <w:rPr>
                <w:rFonts w:ascii="Arial Narrow" w:hAnsi="Arial Narrow"/>
                <w:bCs/>
                <w:color w:val="333333"/>
                <w:sz w:val="18"/>
                <w:szCs w:val="18"/>
              </w:rPr>
            </w:pPr>
            <w:r w:rsidRPr="009A6EDE">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9E0762" w:rsidRPr="00A70DBB" w:rsidTr="00856CCA">
        <w:trPr>
          <w:trHeight w:val="259"/>
        </w:trPr>
        <w:tc>
          <w:tcPr>
            <w:tcW w:w="553" w:type="pct"/>
            <w:vAlign w:val="center"/>
          </w:tcPr>
          <w:p w:rsidR="009E0762" w:rsidRDefault="009E0762" w:rsidP="00856CCA">
            <w:pPr>
              <w:keepNext/>
              <w:jc w:val="center"/>
              <w:rPr>
                <w:rFonts w:ascii="Arial Narrow" w:hAnsi="Arial Narrow"/>
                <w:color w:val="333333"/>
                <w:sz w:val="18"/>
                <w:szCs w:val="18"/>
              </w:rPr>
            </w:pPr>
          </w:p>
        </w:tc>
        <w:tc>
          <w:tcPr>
            <w:tcW w:w="4447" w:type="pct"/>
            <w:vAlign w:val="center"/>
          </w:tcPr>
          <w:p w:rsidR="009E0762" w:rsidRDefault="009E0762" w:rsidP="00856CCA">
            <w:pPr>
              <w:rPr>
                <w:rFonts w:ascii="Arial Narrow" w:hAnsi="Arial Narrow"/>
                <w:b/>
                <w:bCs/>
                <w:color w:val="333333"/>
                <w:sz w:val="18"/>
                <w:szCs w:val="18"/>
              </w:rPr>
            </w:pPr>
            <w:r>
              <w:rPr>
                <w:rFonts w:ascii="Arial Narrow" w:hAnsi="Arial Narrow"/>
                <w:b/>
                <w:bCs/>
                <w:color w:val="333333"/>
                <w:sz w:val="18"/>
                <w:szCs w:val="18"/>
              </w:rPr>
              <w:t xml:space="preserve">Administrative Advice: </w:t>
            </w:r>
          </w:p>
          <w:p w:rsidR="009E0762" w:rsidRPr="005629D0" w:rsidRDefault="009E0762" w:rsidP="00856CCA">
            <w:pPr>
              <w:rPr>
                <w:rFonts w:ascii="Arial Narrow" w:hAnsi="Arial Narrow"/>
                <w:bCs/>
                <w:color w:val="333333"/>
                <w:sz w:val="18"/>
                <w:szCs w:val="18"/>
              </w:rPr>
            </w:pPr>
            <w:r>
              <w:rPr>
                <w:rFonts w:ascii="Arial Narrow" w:hAnsi="Arial Narrow"/>
                <w:bCs/>
                <w:color w:val="333333"/>
                <w:sz w:val="18"/>
                <w:szCs w:val="18"/>
              </w:rPr>
              <w:t xml:space="preserve">Requests for increased maximum quantities will be considered based on daily doses not exceeding 20 mg/kg/day (in line with the Product Information) and requested quantities not taking treatment duration beyond 30 days per prescription. </w:t>
            </w:r>
          </w:p>
        </w:tc>
      </w:tr>
      <w:tr w:rsidR="009E0762" w:rsidRPr="00A70DBB" w:rsidTr="00856CCA">
        <w:trPr>
          <w:trHeight w:val="259"/>
        </w:trPr>
        <w:tc>
          <w:tcPr>
            <w:tcW w:w="553" w:type="pct"/>
            <w:vAlign w:val="center"/>
          </w:tcPr>
          <w:p w:rsidR="009E0762" w:rsidRDefault="009E0762" w:rsidP="00856CCA">
            <w:pPr>
              <w:keepNext/>
              <w:jc w:val="center"/>
              <w:rPr>
                <w:rFonts w:ascii="Arial Narrow" w:hAnsi="Arial Narrow"/>
                <w:color w:val="333333"/>
                <w:sz w:val="18"/>
                <w:szCs w:val="18"/>
              </w:rPr>
            </w:pPr>
          </w:p>
        </w:tc>
        <w:tc>
          <w:tcPr>
            <w:tcW w:w="4447" w:type="pct"/>
            <w:vAlign w:val="center"/>
          </w:tcPr>
          <w:p w:rsidR="009E0762" w:rsidRPr="005629D0" w:rsidRDefault="009E0762" w:rsidP="00856CCA">
            <w:pPr>
              <w:rPr>
                <w:rFonts w:ascii="Arial Narrow" w:hAnsi="Arial Narrow"/>
                <w:bCs/>
                <w:color w:val="333333"/>
                <w:sz w:val="18"/>
                <w:szCs w:val="18"/>
              </w:rPr>
            </w:pPr>
            <w:r w:rsidRPr="005629D0">
              <w:rPr>
                <w:rFonts w:ascii="Arial Narrow" w:hAnsi="Arial Narrow"/>
                <w:b/>
                <w:bCs/>
                <w:color w:val="333333"/>
                <w:sz w:val="18"/>
                <w:szCs w:val="18"/>
              </w:rPr>
              <w:t>Administrative Advice:</w:t>
            </w:r>
            <w:r>
              <w:rPr>
                <w:rFonts w:ascii="Arial Narrow" w:hAnsi="Arial Narrow"/>
                <w:bCs/>
                <w:color w:val="333333"/>
                <w:sz w:val="18"/>
                <w:szCs w:val="18"/>
              </w:rPr>
              <w:t xml:space="preserve"> </w:t>
            </w:r>
            <w:r w:rsidRPr="005629D0">
              <w:rPr>
                <w:rFonts w:ascii="Arial Narrow" w:hAnsi="Arial Narrow"/>
                <w:bCs/>
                <w:color w:val="333333"/>
                <w:sz w:val="18"/>
                <w:szCs w:val="18"/>
              </w:rPr>
              <w:t>No increase in the maximum number of repeats may be authorised.</w:t>
            </w:r>
          </w:p>
        </w:tc>
      </w:tr>
    </w:tbl>
    <w:p w:rsidR="009E0762" w:rsidRPr="008E257C" w:rsidRDefault="009E0762" w:rsidP="009E0762">
      <w:pPr>
        <w:rPr>
          <w:rFonts w:asciiTheme="minorHAnsi" w:hAnsiTheme="minorHAnsi"/>
          <w:snapToGrid w:val="0"/>
        </w:rPr>
      </w:pPr>
    </w:p>
    <w:p w:rsidR="009E0762" w:rsidRPr="00A70DBB" w:rsidRDefault="009E0762" w:rsidP="009E0762">
      <w:pPr>
        <w:pStyle w:val="3-BodyText"/>
      </w:pPr>
      <w:r>
        <w:t>Flow on changes to stiripentol listing (</w:t>
      </w:r>
      <w:r w:rsidRPr="0036115B">
        <w:t>12088F</w:t>
      </w:r>
      <w:r>
        <w:t xml:space="preserve">, </w:t>
      </w:r>
      <w:r w:rsidRPr="008E257C">
        <w:t>12103B</w:t>
      </w:r>
      <w:r>
        <w:t xml:space="preserve">, </w:t>
      </w:r>
      <w:r w:rsidRPr="008E257C">
        <w:t>12106E</w:t>
      </w:r>
      <w:r w:rsidRPr="0036115B">
        <w:t xml:space="preserve"> </w:t>
      </w:r>
      <w:r w:rsidRPr="008E257C">
        <w:t>12107F</w:t>
      </w:r>
      <w:r>
        <w:t xml:space="preserve">) as outlined in paragraph 9.10. </w:t>
      </w:r>
    </w:p>
    <w:p w:rsidR="009E0762" w:rsidRDefault="009E0762" w:rsidP="009E0762">
      <w:pPr>
        <w:jc w:val="left"/>
        <w:rPr>
          <w:rFonts w:cs="Times New Roman"/>
          <w:b/>
          <w:bCs/>
          <w:i/>
        </w:rPr>
      </w:pPr>
    </w:p>
    <w:p w:rsidR="009E0762" w:rsidRPr="00981FB6" w:rsidRDefault="009E0762" w:rsidP="009E0762">
      <w:pPr>
        <w:jc w:val="left"/>
        <w:rPr>
          <w:rFonts w:cs="Times New Roman"/>
          <w:b/>
          <w:bCs/>
          <w:i/>
        </w:rPr>
      </w:pPr>
      <w:r w:rsidRPr="00981FB6">
        <w:rPr>
          <w:rFonts w:cs="Times New Roman"/>
          <w:b/>
          <w:bCs/>
          <w:i/>
        </w:rPr>
        <w:t>This restriction may be subject to further review. Should there be any changes made to the restriction the Sponsor will be informed.</w:t>
      </w:r>
    </w:p>
    <w:p w:rsidR="009E0762" w:rsidRPr="00A70DBB" w:rsidRDefault="009E0762" w:rsidP="009E0762">
      <w:pPr>
        <w:jc w:val="left"/>
        <w:rPr>
          <w:i/>
        </w:rPr>
      </w:pPr>
    </w:p>
    <w:p w:rsidR="009E0762" w:rsidRPr="009E0762" w:rsidRDefault="009E0762" w:rsidP="009E0762">
      <w:pPr>
        <w:pStyle w:val="2-SectionHeading"/>
      </w:pPr>
      <w:r w:rsidRPr="009E0762">
        <w:t>Context for Decision</w:t>
      </w:r>
    </w:p>
    <w:p w:rsidR="009E0762" w:rsidRPr="007129F2" w:rsidRDefault="009E0762" w:rsidP="009E076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E0762" w:rsidRPr="00C07617" w:rsidRDefault="009E0762" w:rsidP="009E0762">
      <w:pPr>
        <w:pStyle w:val="2-SectionHeading"/>
        <w:rPr>
          <w:b w:val="0"/>
        </w:rPr>
      </w:pPr>
      <w:r w:rsidRPr="009E0762">
        <w:t>Sponsor’s Comment</w:t>
      </w:r>
    </w:p>
    <w:p w:rsidR="009E0762" w:rsidRPr="005A5178" w:rsidRDefault="003362F9" w:rsidP="003362F9">
      <w:pPr>
        <w:ind w:left="720"/>
        <w:jc w:val="left"/>
        <w:rPr>
          <w:rFonts w:asciiTheme="minorHAnsi" w:hAnsiTheme="minorHAnsi" w:cstheme="minorHAnsi"/>
          <w:i/>
        </w:rPr>
      </w:pPr>
      <w:r w:rsidRPr="003362F9">
        <w:rPr>
          <w:rFonts w:asciiTheme="minorHAnsi" w:hAnsiTheme="minorHAnsi"/>
          <w:bCs/>
          <w:lang w:val="en-GB"/>
        </w:rPr>
        <w:t>Chiesi Australia welcomes the PBAC’s decision to recommend Epidyolex® for Dravet Syndrome. We look forward to working with the PBAC to ensure the successful PBS listing of Epidyolex for Lennox Gastaut Syndrome patients in Australia.</w:t>
      </w:r>
    </w:p>
    <w:sectPr w:rsidR="009E0762" w:rsidRPr="005A5178" w:rsidSect="00F440A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9837F7" w16cid:durableId="22961435"/>
  <w16cid:commentId w16cid:paraId="08E3D084" w16cid:durableId="22961436"/>
  <w16cid:commentId w16cid:paraId="552B1615" w16cid:durableId="22961437"/>
  <w16cid:commentId w16cid:paraId="53F02A3D" w16cid:durableId="22961438"/>
  <w16cid:commentId w16cid:paraId="0D8A4859" w16cid:durableId="22961439"/>
  <w16cid:commentId w16cid:paraId="42376715" w16cid:durableId="2296143A"/>
  <w16cid:commentId w16cid:paraId="4278B64B" w16cid:durableId="2296144F"/>
  <w16cid:commentId w16cid:paraId="590EE0C5" w16cid:durableId="2296143B"/>
  <w16cid:commentId w16cid:paraId="6BB7FF2B" w16cid:durableId="22961490"/>
  <w16cid:commentId w16cid:paraId="7DFDC184" w16cid:durableId="2296143C"/>
  <w16cid:commentId w16cid:paraId="77B05795" w16cid:durableId="229614D8"/>
  <w16cid:commentId w16cid:paraId="1C933C3F" w16cid:durableId="2296143D"/>
  <w16cid:commentId w16cid:paraId="55240EA6" w16cid:durableId="2296143E"/>
  <w16cid:commentId w16cid:paraId="1E4BFF1F" w16cid:durableId="22961589"/>
  <w16cid:commentId w16cid:paraId="4F18CF5A" w16cid:durableId="2296143F"/>
  <w16cid:commentId w16cid:paraId="6BB6C358" w16cid:durableId="229615F7"/>
  <w16cid:commentId w16cid:paraId="5CAB5283" w16cid:durableId="22961440"/>
  <w16cid:commentId w16cid:paraId="4FF6336A" w16cid:durableId="2296161C"/>
  <w16cid:commentId w16cid:paraId="3E3B45B6" w16cid:durableId="22961441"/>
  <w16cid:commentId w16cid:paraId="2D1201BC" w16cid:durableId="229616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CCA" w:rsidRDefault="00856CCA" w:rsidP="00124A51">
      <w:r>
        <w:separator/>
      </w:r>
    </w:p>
    <w:p w:rsidR="00856CCA" w:rsidRDefault="00856CCA"/>
    <w:p w:rsidR="00856CCA" w:rsidRDefault="00856CCA"/>
  </w:endnote>
  <w:endnote w:type="continuationSeparator" w:id="0">
    <w:p w:rsidR="00856CCA" w:rsidRDefault="00856CCA" w:rsidP="00124A51">
      <w:r>
        <w:continuationSeparator/>
      </w:r>
    </w:p>
    <w:p w:rsidR="00856CCA" w:rsidRDefault="00856CCA"/>
    <w:p w:rsidR="00856CCA" w:rsidRDefault="00856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9C" w:rsidRDefault="00EA1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CA" w:rsidRDefault="00856CCA">
    <w:pPr>
      <w:pStyle w:val="Footer"/>
      <w:jc w:val="center"/>
    </w:pPr>
  </w:p>
  <w:p w:rsidR="00856CCA" w:rsidRPr="00514142" w:rsidRDefault="00856CCA" w:rsidP="00514142">
    <w:pPr>
      <w:pStyle w:val="Footer"/>
      <w:jc w:val="center"/>
      <w:rPr>
        <w:b/>
      </w:rPr>
    </w:pPr>
    <w:sdt>
      <w:sdtPr>
        <w:rPr>
          <w:b/>
        </w:rPr>
        <w:id w:val="1420142253"/>
        <w:docPartObj>
          <w:docPartGallery w:val="Page Numbers (Bottom of Page)"/>
          <w:docPartUnique/>
        </w:docPartObj>
      </w:sdtPr>
      <w:sdtEndPr>
        <w:rPr>
          <w:noProof/>
        </w:rPr>
      </w:sdtEndPr>
      <w:sdtContent>
        <w:r w:rsidRPr="00514142">
          <w:rPr>
            <w:b/>
          </w:rPr>
          <w:fldChar w:fldCharType="begin"/>
        </w:r>
        <w:r w:rsidRPr="00514142">
          <w:rPr>
            <w:b/>
          </w:rPr>
          <w:instrText xml:space="preserve"> PAGE   \* MERGEFORMAT </w:instrText>
        </w:r>
        <w:r w:rsidRPr="00514142">
          <w:rPr>
            <w:b/>
          </w:rPr>
          <w:fldChar w:fldCharType="separate"/>
        </w:r>
        <w:r w:rsidR="00C20FC7">
          <w:rPr>
            <w:b/>
            <w:noProof/>
          </w:rPr>
          <w:t>21</w:t>
        </w:r>
        <w:r w:rsidRPr="00514142">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9C" w:rsidRDefault="00EA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CCA" w:rsidRDefault="00856CCA" w:rsidP="00124A51">
      <w:r>
        <w:separator/>
      </w:r>
    </w:p>
    <w:p w:rsidR="00856CCA" w:rsidRDefault="00856CCA"/>
    <w:p w:rsidR="00856CCA" w:rsidRDefault="00856CCA"/>
  </w:footnote>
  <w:footnote w:type="continuationSeparator" w:id="0">
    <w:p w:rsidR="00856CCA" w:rsidRDefault="00856CCA" w:rsidP="00124A51">
      <w:r>
        <w:continuationSeparator/>
      </w:r>
    </w:p>
    <w:p w:rsidR="00856CCA" w:rsidRDefault="00856CCA"/>
    <w:p w:rsidR="00856CCA" w:rsidRDefault="00856CCA"/>
  </w:footnote>
  <w:footnote w:id="1">
    <w:p w:rsidR="00856CCA" w:rsidRDefault="00856CCA" w:rsidP="00F37DD4">
      <w:pPr>
        <w:pStyle w:val="FootnoteText"/>
      </w:pPr>
      <w:r>
        <w:rPr>
          <w:rStyle w:val="FootnoteReference"/>
        </w:rPr>
        <w:footnoteRef/>
      </w:r>
      <w:r>
        <w:t xml:space="preserve"> Draft Product Information</w:t>
      </w:r>
    </w:p>
  </w:footnote>
  <w:footnote w:id="2">
    <w:p w:rsidR="00856CCA" w:rsidRDefault="00856CCA" w:rsidP="00F37DD4">
      <w:pPr>
        <w:pStyle w:val="FootnoteText"/>
      </w:pPr>
      <w:r>
        <w:rPr>
          <w:rStyle w:val="FootnoteReference"/>
        </w:rPr>
        <w:footnoteRef/>
      </w:r>
      <w:r>
        <w:t xml:space="preserve"> </w:t>
      </w:r>
      <w:r w:rsidRPr="00266252">
        <w:t>https://www.nice.org.uk/guidance/ta61</w:t>
      </w:r>
      <w:r>
        <w:t xml:space="preserve">4 </w:t>
      </w:r>
    </w:p>
  </w:footnote>
  <w:footnote w:id="3">
    <w:p w:rsidR="00856CCA" w:rsidRDefault="00856CCA" w:rsidP="00F37DD4">
      <w:pPr>
        <w:pStyle w:val="FootnoteText"/>
      </w:pPr>
      <w:r>
        <w:rPr>
          <w:rStyle w:val="FootnoteReference"/>
        </w:rPr>
        <w:footnoteRef/>
      </w:r>
      <w:r>
        <w:t xml:space="preserve"> </w:t>
      </w:r>
      <w:hyperlink r:id="rId1" w:history="1">
        <w:r>
          <w:rPr>
            <w:rStyle w:val="Hyperlink"/>
          </w:rPr>
          <w:t>https://www.nice.org.uk/guidance/ta615</w:t>
        </w:r>
      </w:hyperlink>
      <w:r>
        <w:t xml:space="preserve"> </w:t>
      </w:r>
      <w:bookmarkStart w:id="8" w:name="_GoBack"/>
      <w:bookmarkEnd w:id="8"/>
    </w:p>
  </w:footnote>
  <w:footnote w:id="4">
    <w:p w:rsidR="00856CCA" w:rsidRDefault="00856CCA" w:rsidP="007827EC">
      <w:pPr>
        <w:pStyle w:val="FootnoteText"/>
      </w:pPr>
      <w:r>
        <w:rPr>
          <w:rStyle w:val="FootnoteReference"/>
        </w:rPr>
        <w:footnoteRef/>
      </w:r>
      <w:r>
        <w:t xml:space="preserve"> Based on results from both the GWPCARE2 and GWPCARE1 Part B secondary outcome of 50% or greater reduction in convulsive seizures. </w:t>
      </w:r>
    </w:p>
  </w:footnote>
  <w:footnote w:id="5">
    <w:p w:rsidR="00856CCA" w:rsidRDefault="00856CCA" w:rsidP="007827EC">
      <w:pPr>
        <w:pStyle w:val="FootnoteText"/>
      </w:pPr>
      <w:r>
        <w:rPr>
          <w:rStyle w:val="FootnoteReference"/>
        </w:rPr>
        <w:footnoteRef/>
      </w:r>
      <w:r>
        <w:t xml:space="preserve"> Based on results from both GWPCARE3 and GWPCARE4 secondary outcome of 50% or greater reduction in drop seizures. </w:t>
      </w:r>
    </w:p>
  </w:footnote>
  <w:footnote w:id="6">
    <w:p w:rsidR="00856CCA" w:rsidRDefault="00856CCA">
      <w:pPr>
        <w:pStyle w:val="FootnoteText"/>
      </w:pPr>
      <w:r>
        <w:rPr>
          <w:rStyle w:val="FootnoteReference"/>
        </w:rPr>
        <w:footnoteRef/>
      </w:r>
      <w:r>
        <w:t xml:space="preserve"> </w:t>
      </w:r>
      <w:hyperlink r:id="rId2" w:history="1">
        <w:r>
          <w:rPr>
            <w:rStyle w:val="Hyperlink"/>
          </w:rPr>
          <w:t>http://www.health.vic.gov.au/healthvictoria/apr19/epilepsy.htm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9C" w:rsidRDefault="00EA1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CA" w:rsidRPr="00966288" w:rsidRDefault="00856CCA" w:rsidP="000E332F">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856CCA" w:rsidRPr="008C7ECB" w:rsidRDefault="00856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9C" w:rsidRDefault="00EA1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0FE"/>
    <w:multiLevelType w:val="hybridMultilevel"/>
    <w:tmpl w:val="8C644A74"/>
    <w:lvl w:ilvl="0" w:tplc="C6F659A0">
      <w:numFmt w:val="bullet"/>
      <w:lvlText w:val="-"/>
      <w:lvlJc w:val="left"/>
      <w:pPr>
        <w:ind w:left="720" w:hanging="360"/>
      </w:pPr>
      <w:rPr>
        <w:rFonts w:ascii="Calibri" w:eastAsiaTheme="minorHAnsi" w:hAnsi="Calibri" w:cs="Calibri" w:hint="default"/>
      </w:rPr>
    </w:lvl>
    <w:lvl w:ilvl="1" w:tplc="A8008934">
      <w:start w:val="1"/>
      <w:numFmt w:val="decimal"/>
      <w:lvlText w:val="%2."/>
      <w:lvlJc w:val="left"/>
      <w:pPr>
        <w:ind w:left="1440" w:hanging="360"/>
      </w:pPr>
      <w:rPr>
        <w:rFonts w:hint="default"/>
        <w:b w:val="0"/>
        <w:i w:val="0"/>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16677B"/>
    <w:multiLevelType w:val="hybridMultilevel"/>
    <w:tmpl w:val="37CC1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5B0F70"/>
    <w:multiLevelType w:val="multilevel"/>
    <w:tmpl w:val="F51235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747BA5"/>
    <w:multiLevelType w:val="hybridMultilevel"/>
    <w:tmpl w:val="7B3A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62A41"/>
    <w:multiLevelType w:val="hybridMultilevel"/>
    <w:tmpl w:val="78A83D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CAC1BF0"/>
    <w:multiLevelType w:val="hybridMultilevel"/>
    <w:tmpl w:val="16FC08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D383609"/>
    <w:multiLevelType w:val="hybridMultilevel"/>
    <w:tmpl w:val="794A73F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219F8"/>
    <w:multiLevelType w:val="hybridMultilevel"/>
    <w:tmpl w:val="831AEC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916954"/>
    <w:multiLevelType w:val="hybridMultilevel"/>
    <w:tmpl w:val="F2D8FF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8E76B9A"/>
    <w:multiLevelType w:val="hybridMultilevel"/>
    <w:tmpl w:val="76A29928"/>
    <w:lvl w:ilvl="0" w:tplc="43AC9FBE">
      <w:start w:val="1"/>
      <w:numFmt w:val="bullet"/>
      <w:lvlText w:val="•"/>
      <w:lvlJc w:val="left"/>
      <w:pPr>
        <w:tabs>
          <w:tab w:val="num" w:pos="720"/>
        </w:tabs>
        <w:ind w:left="720" w:hanging="360"/>
      </w:pPr>
      <w:rPr>
        <w:rFonts w:ascii="Arial" w:hAnsi="Arial" w:hint="default"/>
      </w:rPr>
    </w:lvl>
    <w:lvl w:ilvl="1" w:tplc="D226B458" w:tentative="1">
      <w:start w:val="1"/>
      <w:numFmt w:val="bullet"/>
      <w:lvlText w:val="•"/>
      <w:lvlJc w:val="left"/>
      <w:pPr>
        <w:tabs>
          <w:tab w:val="num" w:pos="1440"/>
        </w:tabs>
        <w:ind w:left="1440" w:hanging="360"/>
      </w:pPr>
      <w:rPr>
        <w:rFonts w:ascii="Arial" w:hAnsi="Arial" w:hint="default"/>
      </w:rPr>
    </w:lvl>
    <w:lvl w:ilvl="2" w:tplc="31423974" w:tentative="1">
      <w:start w:val="1"/>
      <w:numFmt w:val="bullet"/>
      <w:lvlText w:val="•"/>
      <w:lvlJc w:val="left"/>
      <w:pPr>
        <w:tabs>
          <w:tab w:val="num" w:pos="2160"/>
        </w:tabs>
        <w:ind w:left="2160" w:hanging="360"/>
      </w:pPr>
      <w:rPr>
        <w:rFonts w:ascii="Arial" w:hAnsi="Arial" w:hint="default"/>
      </w:rPr>
    </w:lvl>
    <w:lvl w:ilvl="3" w:tplc="6EE48D7E" w:tentative="1">
      <w:start w:val="1"/>
      <w:numFmt w:val="bullet"/>
      <w:lvlText w:val="•"/>
      <w:lvlJc w:val="left"/>
      <w:pPr>
        <w:tabs>
          <w:tab w:val="num" w:pos="2880"/>
        </w:tabs>
        <w:ind w:left="2880" w:hanging="360"/>
      </w:pPr>
      <w:rPr>
        <w:rFonts w:ascii="Arial" w:hAnsi="Arial" w:hint="default"/>
      </w:rPr>
    </w:lvl>
    <w:lvl w:ilvl="4" w:tplc="95CE92D4" w:tentative="1">
      <w:start w:val="1"/>
      <w:numFmt w:val="bullet"/>
      <w:lvlText w:val="•"/>
      <w:lvlJc w:val="left"/>
      <w:pPr>
        <w:tabs>
          <w:tab w:val="num" w:pos="3600"/>
        </w:tabs>
        <w:ind w:left="3600" w:hanging="360"/>
      </w:pPr>
      <w:rPr>
        <w:rFonts w:ascii="Arial" w:hAnsi="Arial" w:hint="default"/>
      </w:rPr>
    </w:lvl>
    <w:lvl w:ilvl="5" w:tplc="60866230" w:tentative="1">
      <w:start w:val="1"/>
      <w:numFmt w:val="bullet"/>
      <w:lvlText w:val="•"/>
      <w:lvlJc w:val="left"/>
      <w:pPr>
        <w:tabs>
          <w:tab w:val="num" w:pos="4320"/>
        </w:tabs>
        <w:ind w:left="4320" w:hanging="360"/>
      </w:pPr>
      <w:rPr>
        <w:rFonts w:ascii="Arial" w:hAnsi="Arial" w:hint="default"/>
      </w:rPr>
    </w:lvl>
    <w:lvl w:ilvl="6" w:tplc="55A2A7C6" w:tentative="1">
      <w:start w:val="1"/>
      <w:numFmt w:val="bullet"/>
      <w:lvlText w:val="•"/>
      <w:lvlJc w:val="left"/>
      <w:pPr>
        <w:tabs>
          <w:tab w:val="num" w:pos="5040"/>
        </w:tabs>
        <w:ind w:left="5040" w:hanging="360"/>
      </w:pPr>
      <w:rPr>
        <w:rFonts w:ascii="Arial" w:hAnsi="Arial" w:hint="default"/>
      </w:rPr>
    </w:lvl>
    <w:lvl w:ilvl="7" w:tplc="D6F2BFD2" w:tentative="1">
      <w:start w:val="1"/>
      <w:numFmt w:val="bullet"/>
      <w:lvlText w:val="•"/>
      <w:lvlJc w:val="left"/>
      <w:pPr>
        <w:tabs>
          <w:tab w:val="num" w:pos="5760"/>
        </w:tabs>
        <w:ind w:left="5760" w:hanging="360"/>
      </w:pPr>
      <w:rPr>
        <w:rFonts w:ascii="Arial" w:hAnsi="Arial" w:hint="default"/>
      </w:rPr>
    </w:lvl>
    <w:lvl w:ilvl="8" w:tplc="747068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567C9A"/>
    <w:multiLevelType w:val="hybridMultilevel"/>
    <w:tmpl w:val="D3F608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A407393"/>
    <w:multiLevelType w:val="hybridMultilevel"/>
    <w:tmpl w:val="1E90F6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AAF1B8A"/>
    <w:multiLevelType w:val="hybridMultilevel"/>
    <w:tmpl w:val="25EA0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ADC4535"/>
    <w:multiLevelType w:val="hybridMultilevel"/>
    <w:tmpl w:val="4F08621C"/>
    <w:lvl w:ilvl="0" w:tplc="992251E6">
      <w:numFmt w:val="bullet"/>
      <w:lvlText w:val="-"/>
      <w:lvlJc w:val="left"/>
      <w:pPr>
        <w:ind w:left="611" w:hanging="360"/>
      </w:pPr>
      <w:rPr>
        <w:rFonts w:ascii="Calibri" w:eastAsia="Times New Roman" w:hAnsi="Calibri" w:cs="Calibri" w:hint="default"/>
      </w:rPr>
    </w:lvl>
    <w:lvl w:ilvl="1" w:tplc="0C090003" w:tentative="1">
      <w:start w:val="1"/>
      <w:numFmt w:val="bullet"/>
      <w:lvlText w:val="o"/>
      <w:lvlJc w:val="left"/>
      <w:pPr>
        <w:ind w:left="1331" w:hanging="360"/>
      </w:pPr>
      <w:rPr>
        <w:rFonts w:ascii="Courier New" w:hAnsi="Courier New" w:cs="Courier New" w:hint="default"/>
      </w:rPr>
    </w:lvl>
    <w:lvl w:ilvl="2" w:tplc="0C090005" w:tentative="1">
      <w:start w:val="1"/>
      <w:numFmt w:val="bullet"/>
      <w:lvlText w:val=""/>
      <w:lvlJc w:val="left"/>
      <w:pPr>
        <w:ind w:left="2051" w:hanging="360"/>
      </w:pPr>
      <w:rPr>
        <w:rFonts w:ascii="Wingdings" w:hAnsi="Wingdings" w:hint="default"/>
      </w:rPr>
    </w:lvl>
    <w:lvl w:ilvl="3" w:tplc="0C090001" w:tentative="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491" w:hanging="360"/>
      </w:pPr>
      <w:rPr>
        <w:rFonts w:ascii="Courier New" w:hAnsi="Courier New" w:cs="Courier New" w:hint="default"/>
      </w:rPr>
    </w:lvl>
    <w:lvl w:ilvl="5" w:tplc="0C090005" w:tentative="1">
      <w:start w:val="1"/>
      <w:numFmt w:val="bullet"/>
      <w:lvlText w:val=""/>
      <w:lvlJc w:val="left"/>
      <w:pPr>
        <w:ind w:left="4211" w:hanging="360"/>
      </w:pPr>
      <w:rPr>
        <w:rFonts w:ascii="Wingdings" w:hAnsi="Wingdings" w:hint="default"/>
      </w:rPr>
    </w:lvl>
    <w:lvl w:ilvl="6" w:tplc="0C090001" w:tentative="1">
      <w:start w:val="1"/>
      <w:numFmt w:val="bullet"/>
      <w:lvlText w:val=""/>
      <w:lvlJc w:val="left"/>
      <w:pPr>
        <w:ind w:left="4931" w:hanging="360"/>
      </w:pPr>
      <w:rPr>
        <w:rFonts w:ascii="Symbol" w:hAnsi="Symbol" w:hint="default"/>
      </w:rPr>
    </w:lvl>
    <w:lvl w:ilvl="7" w:tplc="0C090003" w:tentative="1">
      <w:start w:val="1"/>
      <w:numFmt w:val="bullet"/>
      <w:lvlText w:val="o"/>
      <w:lvlJc w:val="left"/>
      <w:pPr>
        <w:ind w:left="5651" w:hanging="360"/>
      </w:pPr>
      <w:rPr>
        <w:rFonts w:ascii="Courier New" w:hAnsi="Courier New" w:cs="Courier New" w:hint="default"/>
      </w:rPr>
    </w:lvl>
    <w:lvl w:ilvl="8" w:tplc="0C090005" w:tentative="1">
      <w:start w:val="1"/>
      <w:numFmt w:val="bullet"/>
      <w:lvlText w:val=""/>
      <w:lvlJc w:val="left"/>
      <w:pPr>
        <w:ind w:left="6371"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E750890A"/>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B6F8E"/>
    <w:multiLevelType w:val="hybridMultilevel"/>
    <w:tmpl w:val="B85E66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80B0886"/>
    <w:multiLevelType w:val="hybridMultilevel"/>
    <w:tmpl w:val="67046D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C731F4B"/>
    <w:multiLevelType w:val="hybridMultilevel"/>
    <w:tmpl w:val="4DEE14A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4E991257"/>
    <w:multiLevelType w:val="hybridMultilevel"/>
    <w:tmpl w:val="413CF6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F59558B"/>
    <w:multiLevelType w:val="hybridMultilevel"/>
    <w:tmpl w:val="107CB4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17B0FA3"/>
    <w:multiLevelType w:val="hybridMultilevel"/>
    <w:tmpl w:val="30FEE2A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226695"/>
    <w:multiLevelType w:val="hybridMultilevel"/>
    <w:tmpl w:val="FF786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4021BB"/>
    <w:multiLevelType w:val="hybridMultilevel"/>
    <w:tmpl w:val="59487A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F686729"/>
    <w:multiLevelType w:val="hybridMultilevel"/>
    <w:tmpl w:val="C43225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3515942"/>
    <w:multiLevelType w:val="hybridMultilevel"/>
    <w:tmpl w:val="0EF640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72B370A"/>
    <w:multiLevelType w:val="hybridMultilevel"/>
    <w:tmpl w:val="68CCC7B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8735F22"/>
    <w:multiLevelType w:val="hybridMultilevel"/>
    <w:tmpl w:val="A6C68DEA"/>
    <w:lvl w:ilvl="0" w:tplc="F27408DE">
      <w:start w:val="1"/>
      <w:numFmt w:val="bullet"/>
      <w:lvlText w:val="•"/>
      <w:lvlJc w:val="left"/>
      <w:pPr>
        <w:tabs>
          <w:tab w:val="num" w:pos="720"/>
        </w:tabs>
        <w:ind w:left="720" w:hanging="360"/>
      </w:pPr>
      <w:rPr>
        <w:rFonts w:ascii="Arial" w:hAnsi="Arial" w:hint="default"/>
      </w:rPr>
    </w:lvl>
    <w:lvl w:ilvl="1" w:tplc="8C52AE7C" w:tentative="1">
      <w:start w:val="1"/>
      <w:numFmt w:val="bullet"/>
      <w:lvlText w:val="•"/>
      <w:lvlJc w:val="left"/>
      <w:pPr>
        <w:tabs>
          <w:tab w:val="num" w:pos="1440"/>
        </w:tabs>
        <w:ind w:left="1440" w:hanging="360"/>
      </w:pPr>
      <w:rPr>
        <w:rFonts w:ascii="Arial" w:hAnsi="Arial" w:hint="default"/>
      </w:rPr>
    </w:lvl>
    <w:lvl w:ilvl="2" w:tplc="4C9EAB0A" w:tentative="1">
      <w:start w:val="1"/>
      <w:numFmt w:val="bullet"/>
      <w:lvlText w:val="•"/>
      <w:lvlJc w:val="left"/>
      <w:pPr>
        <w:tabs>
          <w:tab w:val="num" w:pos="2160"/>
        </w:tabs>
        <w:ind w:left="2160" w:hanging="360"/>
      </w:pPr>
      <w:rPr>
        <w:rFonts w:ascii="Arial" w:hAnsi="Arial" w:hint="default"/>
      </w:rPr>
    </w:lvl>
    <w:lvl w:ilvl="3" w:tplc="493CEA64" w:tentative="1">
      <w:start w:val="1"/>
      <w:numFmt w:val="bullet"/>
      <w:lvlText w:val="•"/>
      <w:lvlJc w:val="left"/>
      <w:pPr>
        <w:tabs>
          <w:tab w:val="num" w:pos="2880"/>
        </w:tabs>
        <w:ind w:left="2880" w:hanging="360"/>
      </w:pPr>
      <w:rPr>
        <w:rFonts w:ascii="Arial" w:hAnsi="Arial" w:hint="default"/>
      </w:rPr>
    </w:lvl>
    <w:lvl w:ilvl="4" w:tplc="910CE700" w:tentative="1">
      <w:start w:val="1"/>
      <w:numFmt w:val="bullet"/>
      <w:lvlText w:val="•"/>
      <w:lvlJc w:val="left"/>
      <w:pPr>
        <w:tabs>
          <w:tab w:val="num" w:pos="3600"/>
        </w:tabs>
        <w:ind w:left="3600" w:hanging="360"/>
      </w:pPr>
      <w:rPr>
        <w:rFonts w:ascii="Arial" w:hAnsi="Arial" w:hint="default"/>
      </w:rPr>
    </w:lvl>
    <w:lvl w:ilvl="5" w:tplc="7C54489C" w:tentative="1">
      <w:start w:val="1"/>
      <w:numFmt w:val="bullet"/>
      <w:lvlText w:val="•"/>
      <w:lvlJc w:val="left"/>
      <w:pPr>
        <w:tabs>
          <w:tab w:val="num" w:pos="4320"/>
        </w:tabs>
        <w:ind w:left="4320" w:hanging="360"/>
      </w:pPr>
      <w:rPr>
        <w:rFonts w:ascii="Arial" w:hAnsi="Arial" w:hint="default"/>
      </w:rPr>
    </w:lvl>
    <w:lvl w:ilvl="6" w:tplc="2056F4D0" w:tentative="1">
      <w:start w:val="1"/>
      <w:numFmt w:val="bullet"/>
      <w:lvlText w:val="•"/>
      <w:lvlJc w:val="left"/>
      <w:pPr>
        <w:tabs>
          <w:tab w:val="num" w:pos="5040"/>
        </w:tabs>
        <w:ind w:left="5040" w:hanging="360"/>
      </w:pPr>
      <w:rPr>
        <w:rFonts w:ascii="Arial" w:hAnsi="Arial" w:hint="default"/>
      </w:rPr>
    </w:lvl>
    <w:lvl w:ilvl="7" w:tplc="5F76936C" w:tentative="1">
      <w:start w:val="1"/>
      <w:numFmt w:val="bullet"/>
      <w:lvlText w:val="•"/>
      <w:lvlJc w:val="left"/>
      <w:pPr>
        <w:tabs>
          <w:tab w:val="num" w:pos="5760"/>
        </w:tabs>
        <w:ind w:left="5760" w:hanging="360"/>
      </w:pPr>
      <w:rPr>
        <w:rFonts w:ascii="Arial" w:hAnsi="Arial" w:hint="default"/>
      </w:rPr>
    </w:lvl>
    <w:lvl w:ilvl="8" w:tplc="12EC6D8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B33C23"/>
    <w:multiLevelType w:val="hybridMultilevel"/>
    <w:tmpl w:val="6A98DB9C"/>
    <w:lvl w:ilvl="0" w:tplc="80162DB4">
      <w:start w:val="1"/>
      <w:numFmt w:val="lowerLetter"/>
      <w:lvlText w:val="%1)"/>
      <w:lvlJc w:val="left"/>
      <w:pPr>
        <w:ind w:left="1080" w:hanging="360"/>
      </w:pPr>
      <w:rPr>
        <w:i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31960EF"/>
    <w:multiLevelType w:val="hybridMultilevel"/>
    <w:tmpl w:val="A1E8C5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4D033C"/>
    <w:multiLevelType w:val="multilevel"/>
    <w:tmpl w:val="D5166EEC"/>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EB03FB"/>
    <w:multiLevelType w:val="hybridMultilevel"/>
    <w:tmpl w:val="AB36D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20"/>
  </w:num>
  <w:num w:numId="4">
    <w:abstractNumId w:val="9"/>
  </w:num>
  <w:num w:numId="5">
    <w:abstractNumId w:val="8"/>
  </w:num>
  <w:num w:numId="6">
    <w:abstractNumId w:val="28"/>
  </w:num>
  <w:num w:numId="7">
    <w:abstractNumId w:val="37"/>
  </w:num>
  <w:num w:numId="8">
    <w:abstractNumId w:val="21"/>
  </w:num>
  <w:num w:numId="9">
    <w:abstractNumId w:val="5"/>
  </w:num>
  <w:num w:numId="10">
    <w:abstractNumId w:val="12"/>
  </w:num>
  <w:num w:numId="11">
    <w:abstractNumId w:val="23"/>
  </w:num>
  <w:num w:numId="12">
    <w:abstractNumId w:val="18"/>
  </w:num>
  <w:num w:numId="13">
    <w:abstractNumId w:val="0"/>
  </w:num>
  <w:num w:numId="14">
    <w:abstractNumId w:val="29"/>
  </w:num>
  <w:num w:numId="15">
    <w:abstractNumId w:val="34"/>
  </w:num>
  <w:num w:numId="16">
    <w:abstractNumId w:val="7"/>
  </w:num>
  <w:num w:numId="17">
    <w:abstractNumId w:val="35"/>
  </w:num>
  <w:num w:numId="18">
    <w:abstractNumId w:val="3"/>
  </w:num>
  <w:num w:numId="19">
    <w:abstractNumId w:val="27"/>
  </w:num>
  <w:num w:numId="20">
    <w:abstractNumId w:val="4"/>
  </w:num>
  <w:num w:numId="21">
    <w:abstractNumId w:val="1"/>
  </w:num>
  <w:num w:numId="22">
    <w:abstractNumId w:val="11"/>
  </w:num>
  <w:num w:numId="23">
    <w:abstractNumId w:val="14"/>
  </w:num>
  <w:num w:numId="24">
    <w:abstractNumId w:val="10"/>
  </w:num>
  <w:num w:numId="25">
    <w:abstractNumId w:val="25"/>
  </w:num>
  <w:num w:numId="26">
    <w:abstractNumId w:val="16"/>
  </w:num>
  <w:num w:numId="27">
    <w:abstractNumId w:val="22"/>
  </w:num>
  <w:num w:numId="28">
    <w:abstractNumId w:val="6"/>
  </w:num>
  <w:num w:numId="29">
    <w:abstractNumId w:val="20"/>
  </w:num>
  <w:num w:numId="30">
    <w:abstractNumId w:val="30"/>
  </w:num>
  <w:num w:numId="31">
    <w:abstractNumId w:val="31"/>
  </w:num>
  <w:num w:numId="32">
    <w:abstractNumId w:val="26"/>
  </w:num>
  <w:num w:numId="33">
    <w:abstractNumId w:val="17"/>
  </w:num>
  <w:num w:numId="34">
    <w:abstractNumId w:val="24"/>
  </w:num>
  <w:num w:numId="35">
    <w:abstractNumId w:val="13"/>
  </w:num>
  <w:num w:numId="36">
    <w:abstractNumId w:val="33"/>
  </w:num>
  <w:num w:numId="37">
    <w:abstractNumId w:val="2"/>
  </w:num>
  <w:num w:numId="38">
    <w:abstractNumId w:val="32"/>
  </w:num>
  <w:num w:numId="39">
    <w:abstractNumId w:val="15"/>
  </w:num>
  <w:num w:numId="40">
    <w:abstractNumId w:val="36"/>
  </w:num>
  <w:num w:numId="41">
    <w:abstractNumId w:val="36"/>
  </w:num>
  <w:num w:numId="42">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0E1"/>
    <w:rsid w:val="0000110B"/>
    <w:rsid w:val="00001C12"/>
    <w:rsid w:val="00003499"/>
    <w:rsid w:val="000036D6"/>
    <w:rsid w:val="000038DF"/>
    <w:rsid w:val="000039B7"/>
    <w:rsid w:val="00003E01"/>
    <w:rsid w:val="00004B49"/>
    <w:rsid w:val="0000639A"/>
    <w:rsid w:val="00006D4D"/>
    <w:rsid w:val="00007765"/>
    <w:rsid w:val="00007C59"/>
    <w:rsid w:val="0001082A"/>
    <w:rsid w:val="00011498"/>
    <w:rsid w:val="0001177E"/>
    <w:rsid w:val="000123E4"/>
    <w:rsid w:val="000131BD"/>
    <w:rsid w:val="00013247"/>
    <w:rsid w:val="00013437"/>
    <w:rsid w:val="00014219"/>
    <w:rsid w:val="000155E1"/>
    <w:rsid w:val="00015886"/>
    <w:rsid w:val="000162EF"/>
    <w:rsid w:val="0001691D"/>
    <w:rsid w:val="00016BD8"/>
    <w:rsid w:val="0001712B"/>
    <w:rsid w:val="000171E1"/>
    <w:rsid w:val="0001757F"/>
    <w:rsid w:val="0002041A"/>
    <w:rsid w:val="000204EF"/>
    <w:rsid w:val="00020605"/>
    <w:rsid w:val="000207C9"/>
    <w:rsid w:val="00020C80"/>
    <w:rsid w:val="0002225F"/>
    <w:rsid w:val="000228DE"/>
    <w:rsid w:val="00022CB6"/>
    <w:rsid w:val="0002344D"/>
    <w:rsid w:val="00023763"/>
    <w:rsid w:val="00023C0E"/>
    <w:rsid w:val="000255E2"/>
    <w:rsid w:val="00025DE7"/>
    <w:rsid w:val="0002608B"/>
    <w:rsid w:val="0002632B"/>
    <w:rsid w:val="00026845"/>
    <w:rsid w:val="000274B8"/>
    <w:rsid w:val="000275CF"/>
    <w:rsid w:val="00027AFB"/>
    <w:rsid w:val="0003080C"/>
    <w:rsid w:val="00030D8B"/>
    <w:rsid w:val="00030DDC"/>
    <w:rsid w:val="00031CD0"/>
    <w:rsid w:val="00031E23"/>
    <w:rsid w:val="000320A0"/>
    <w:rsid w:val="00032165"/>
    <w:rsid w:val="00033554"/>
    <w:rsid w:val="0003359D"/>
    <w:rsid w:val="00033863"/>
    <w:rsid w:val="000348B3"/>
    <w:rsid w:val="00035492"/>
    <w:rsid w:val="000358E6"/>
    <w:rsid w:val="00035953"/>
    <w:rsid w:val="00035DC0"/>
    <w:rsid w:val="0003609D"/>
    <w:rsid w:val="000365D8"/>
    <w:rsid w:val="00036829"/>
    <w:rsid w:val="00036BA9"/>
    <w:rsid w:val="00036D5E"/>
    <w:rsid w:val="000373F8"/>
    <w:rsid w:val="000376E1"/>
    <w:rsid w:val="00037B30"/>
    <w:rsid w:val="00037C13"/>
    <w:rsid w:val="00040895"/>
    <w:rsid w:val="00041139"/>
    <w:rsid w:val="00041A00"/>
    <w:rsid w:val="00042442"/>
    <w:rsid w:val="000429E9"/>
    <w:rsid w:val="00043342"/>
    <w:rsid w:val="000435EE"/>
    <w:rsid w:val="00043C37"/>
    <w:rsid w:val="00044909"/>
    <w:rsid w:val="00044F9F"/>
    <w:rsid w:val="00044FD6"/>
    <w:rsid w:val="00045017"/>
    <w:rsid w:val="00045620"/>
    <w:rsid w:val="00045A2B"/>
    <w:rsid w:val="000464AE"/>
    <w:rsid w:val="000468AA"/>
    <w:rsid w:val="0004698F"/>
    <w:rsid w:val="0005130B"/>
    <w:rsid w:val="000515B7"/>
    <w:rsid w:val="0005180C"/>
    <w:rsid w:val="00051FB7"/>
    <w:rsid w:val="00052779"/>
    <w:rsid w:val="00052854"/>
    <w:rsid w:val="0005299A"/>
    <w:rsid w:val="00052BB2"/>
    <w:rsid w:val="00052CFB"/>
    <w:rsid w:val="0005388A"/>
    <w:rsid w:val="000539D0"/>
    <w:rsid w:val="00053D8B"/>
    <w:rsid w:val="00054621"/>
    <w:rsid w:val="000546B2"/>
    <w:rsid w:val="000546D7"/>
    <w:rsid w:val="000550F9"/>
    <w:rsid w:val="00055EE4"/>
    <w:rsid w:val="00056AD3"/>
    <w:rsid w:val="00056E15"/>
    <w:rsid w:val="00056ECF"/>
    <w:rsid w:val="000570B1"/>
    <w:rsid w:val="0005711E"/>
    <w:rsid w:val="00057DD5"/>
    <w:rsid w:val="00057DFA"/>
    <w:rsid w:val="00057EB7"/>
    <w:rsid w:val="00057FFE"/>
    <w:rsid w:val="000604DF"/>
    <w:rsid w:val="00060547"/>
    <w:rsid w:val="0006056D"/>
    <w:rsid w:val="00060615"/>
    <w:rsid w:val="000608D0"/>
    <w:rsid w:val="00060B93"/>
    <w:rsid w:val="00060EA1"/>
    <w:rsid w:val="00061F12"/>
    <w:rsid w:val="00063A2D"/>
    <w:rsid w:val="00063E97"/>
    <w:rsid w:val="000643AC"/>
    <w:rsid w:val="00064960"/>
    <w:rsid w:val="000653B5"/>
    <w:rsid w:val="000657B7"/>
    <w:rsid w:val="00065AA3"/>
    <w:rsid w:val="00065EB3"/>
    <w:rsid w:val="00066197"/>
    <w:rsid w:val="00066360"/>
    <w:rsid w:val="00066AF8"/>
    <w:rsid w:val="00066E34"/>
    <w:rsid w:val="00067231"/>
    <w:rsid w:val="000678EC"/>
    <w:rsid w:val="000679B8"/>
    <w:rsid w:val="00071248"/>
    <w:rsid w:val="00071E35"/>
    <w:rsid w:val="000720B9"/>
    <w:rsid w:val="000724A5"/>
    <w:rsid w:val="00073298"/>
    <w:rsid w:val="000737F7"/>
    <w:rsid w:val="00073EBC"/>
    <w:rsid w:val="00074558"/>
    <w:rsid w:val="0007457D"/>
    <w:rsid w:val="00074D77"/>
    <w:rsid w:val="0007672F"/>
    <w:rsid w:val="00076B54"/>
    <w:rsid w:val="000774F0"/>
    <w:rsid w:val="00077C05"/>
    <w:rsid w:val="00080909"/>
    <w:rsid w:val="000812CA"/>
    <w:rsid w:val="00081379"/>
    <w:rsid w:val="000816BF"/>
    <w:rsid w:val="00081BA3"/>
    <w:rsid w:val="00081E63"/>
    <w:rsid w:val="0008258D"/>
    <w:rsid w:val="00083130"/>
    <w:rsid w:val="00083681"/>
    <w:rsid w:val="00083E99"/>
    <w:rsid w:val="00084FA8"/>
    <w:rsid w:val="0008520D"/>
    <w:rsid w:val="000853D1"/>
    <w:rsid w:val="000856C5"/>
    <w:rsid w:val="000856F5"/>
    <w:rsid w:val="00085C31"/>
    <w:rsid w:val="000868A2"/>
    <w:rsid w:val="000878DE"/>
    <w:rsid w:val="000902D9"/>
    <w:rsid w:val="000903E5"/>
    <w:rsid w:val="000904D1"/>
    <w:rsid w:val="00090819"/>
    <w:rsid w:val="00090AF2"/>
    <w:rsid w:val="00090C7E"/>
    <w:rsid w:val="00091628"/>
    <w:rsid w:val="000918EB"/>
    <w:rsid w:val="00091EE8"/>
    <w:rsid w:val="00092600"/>
    <w:rsid w:val="0009262B"/>
    <w:rsid w:val="00093310"/>
    <w:rsid w:val="000937B3"/>
    <w:rsid w:val="00093895"/>
    <w:rsid w:val="00093B4B"/>
    <w:rsid w:val="0009445C"/>
    <w:rsid w:val="00094D94"/>
    <w:rsid w:val="00095200"/>
    <w:rsid w:val="00095311"/>
    <w:rsid w:val="00095410"/>
    <w:rsid w:val="000954D0"/>
    <w:rsid w:val="00095789"/>
    <w:rsid w:val="00095FE5"/>
    <w:rsid w:val="00096284"/>
    <w:rsid w:val="000963A9"/>
    <w:rsid w:val="00096453"/>
    <w:rsid w:val="00096AEB"/>
    <w:rsid w:val="000971F9"/>
    <w:rsid w:val="00097CF2"/>
    <w:rsid w:val="000A1BC0"/>
    <w:rsid w:val="000A21AF"/>
    <w:rsid w:val="000A2784"/>
    <w:rsid w:val="000A29DC"/>
    <w:rsid w:val="000A3D39"/>
    <w:rsid w:val="000A50F3"/>
    <w:rsid w:val="000A5760"/>
    <w:rsid w:val="000A6039"/>
    <w:rsid w:val="000A6078"/>
    <w:rsid w:val="000A654D"/>
    <w:rsid w:val="000A66CD"/>
    <w:rsid w:val="000A7453"/>
    <w:rsid w:val="000A7D08"/>
    <w:rsid w:val="000B0121"/>
    <w:rsid w:val="000B0670"/>
    <w:rsid w:val="000B0E75"/>
    <w:rsid w:val="000B115B"/>
    <w:rsid w:val="000B2080"/>
    <w:rsid w:val="000B2DCB"/>
    <w:rsid w:val="000B34A5"/>
    <w:rsid w:val="000B4B43"/>
    <w:rsid w:val="000B5CE0"/>
    <w:rsid w:val="000B6992"/>
    <w:rsid w:val="000B6C82"/>
    <w:rsid w:val="000B6CAC"/>
    <w:rsid w:val="000B7612"/>
    <w:rsid w:val="000B78AE"/>
    <w:rsid w:val="000B7F4D"/>
    <w:rsid w:val="000C1FFA"/>
    <w:rsid w:val="000C20C7"/>
    <w:rsid w:val="000C2FB7"/>
    <w:rsid w:val="000C3DF9"/>
    <w:rsid w:val="000C5056"/>
    <w:rsid w:val="000C507B"/>
    <w:rsid w:val="000C52DC"/>
    <w:rsid w:val="000C5D1E"/>
    <w:rsid w:val="000C6181"/>
    <w:rsid w:val="000C665D"/>
    <w:rsid w:val="000C6713"/>
    <w:rsid w:val="000C7BBB"/>
    <w:rsid w:val="000D047B"/>
    <w:rsid w:val="000D0A36"/>
    <w:rsid w:val="000D139A"/>
    <w:rsid w:val="000D13AA"/>
    <w:rsid w:val="000D1BFC"/>
    <w:rsid w:val="000D1D5D"/>
    <w:rsid w:val="000D281A"/>
    <w:rsid w:val="000D2848"/>
    <w:rsid w:val="000D326A"/>
    <w:rsid w:val="000D3C8B"/>
    <w:rsid w:val="000D51FB"/>
    <w:rsid w:val="000D5337"/>
    <w:rsid w:val="000D6097"/>
    <w:rsid w:val="000D6D73"/>
    <w:rsid w:val="000D7650"/>
    <w:rsid w:val="000D7732"/>
    <w:rsid w:val="000E0033"/>
    <w:rsid w:val="000E0640"/>
    <w:rsid w:val="000E0880"/>
    <w:rsid w:val="000E0F7D"/>
    <w:rsid w:val="000E135D"/>
    <w:rsid w:val="000E2302"/>
    <w:rsid w:val="000E2BA9"/>
    <w:rsid w:val="000E2C67"/>
    <w:rsid w:val="000E2C70"/>
    <w:rsid w:val="000E2E16"/>
    <w:rsid w:val="000E332F"/>
    <w:rsid w:val="000E3605"/>
    <w:rsid w:val="000E3C55"/>
    <w:rsid w:val="000E46FE"/>
    <w:rsid w:val="000E5403"/>
    <w:rsid w:val="000E6909"/>
    <w:rsid w:val="000E719C"/>
    <w:rsid w:val="000E7E1D"/>
    <w:rsid w:val="000F00BA"/>
    <w:rsid w:val="000F067A"/>
    <w:rsid w:val="000F1747"/>
    <w:rsid w:val="000F1E5F"/>
    <w:rsid w:val="000F316A"/>
    <w:rsid w:val="000F39B9"/>
    <w:rsid w:val="000F3C74"/>
    <w:rsid w:val="000F413C"/>
    <w:rsid w:val="000F45BC"/>
    <w:rsid w:val="000F461A"/>
    <w:rsid w:val="000F4B6C"/>
    <w:rsid w:val="000F4BB8"/>
    <w:rsid w:val="000F4FA9"/>
    <w:rsid w:val="000F513E"/>
    <w:rsid w:val="000F53FB"/>
    <w:rsid w:val="000F6F05"/>
    <w:rsid w:val="000F7127"/>
    <w:rsid w:val="000F7B54"/>
    <w:rsid w:val="001002FD"/>
    <w:rsid w:val="00100D03"/>
    <w:rsid w:val="00100F5E"/>
    <w:rsid w:val="00100F8A"/>
    <w:rsid w:val="00102F76"/>
    <w:rsid w:val="001031E7"/>
    <w:rsid w:val="001039E4"/>
    <w:rsid w:val="00103EDD"/>
    <w:rsid w:val="0010452E"/>
    <w:rsid w:val="001045DC"/>
    <w:rsid w:val="00104936"/>
    <w:rsid w:val="00105AE2"/>
    <w:rsid w:val="00105B86"/>
    <w:rsid w:val="001060C6"/>
    <w:rsid w:val="001064E0"/>
    <w:rsid w:val="00106B80"/>
    <w:rsid w:val="0010781B"/>
    <w:rsid w:val="00107F92"/>
    <w:rsid w:val="0011008C"/>
    <w:rsid w:val="0011032E"/>
    <w:rsid w:val="00110336"/>
    <w:rsid w:val="00112134"/>
    <w:rsid w:val="0011306D"/>
    <w:rsid w:val="00113212"/>
    <w:rsid w:val="0011348B"/>
    <w:rsid w:val="00114DD0"/>
    <w:rsid w:val="00115982"/>
    <w:rsid w:val="00115F8D"/>
    <w:rsid w:val="00115FC6"/>
    <w:rsid w:val="00116C53"/>
    <w:rsid w:val="0012127A"/>
    <w:rsid w:val="00121799"/>
    <w:rsid w:val="001222FC"/>
    <w:rsid w:val="00122315"/>
    <w:rsid w:val="0012247C"/>
    <w:rsid w:val="00123902"/>
    <w:rsid w:val="00123E72"/>
    <w:rsid w:val="001240CE"/>
    <w:rsid w:val="00124A51"/>
    <w:rsid w:val="0012511F"/>
    <w:rsid w:val="001258F5"/>
    <w:rsid w:val="00125F3D"/>
    <w:rsid w:val="00126621"/>
    <w:rsid w:val="00126B1D"/>
    <w:rsid w:val="001275FB"/>
    <w:rsid w:val="001301E9"/>
    <w:rsid w:val="00130893"/>
    <w:rsid w:val="00130F39"/>
    <w:rsid w:val="00131022"/>
    <w:rsid w:val="00131D82"/>
    <w:rsid w:val="0013240C"/>
    <w:rsid w:val="001326C3"/>
    <w:rsid w:val="001329C9"/>
    <w:rsid w:val="00132B22"/>
    <w:rsid w:val="0013357F"/>
    <w:rsid w:val="00133D36"/>
    <w:rsid w:val="00133F33"/>
    <w:rsid w:val="001364ED"/>
    <w:rsid w:val="00136DBD"/>
    <w:rsid w:val="0013706A"/>
    <w:rsid w:val="0013729B"/>
    <w:rsid w:val="00137645"/>
    <w:rsid w:val="00137FDA"/>
    <w:rsid w:val="0014015A"/>
    <w:rsid w:val="0014067C"/>
    <w:rsid w:val="00140E99"/>
    <w:rsid w:val="00141D8F"/>
    <w:rsid w:val="0014202A"/>
    <w:rsid w:val="00143CC1"/>
    <w:rsid w:val="00143F67"/>
    <w:rsid w:val="00144374"/>
    <w:rsid w:val="0014477D"/>
    <w:rsid w:val="00144F47"/>
    <w:rsid w:val="00145111"/>
    <w:rsid w:val="00145135"/>
    <w:rsid w:val="00145540"/>
    <w:rsid w:val="00145656"/>
    <w:rsid w:val="001456B0"/>
    <w:rsid w:val="00145CEC"/>
    <w:rsid w:val="001467B4"/>
    <w:rsid w:val="00146E29"/>
    <w:rsid w:val="00147665"/>
    <w:rsid w:val="00147BE8"/>
    <w:rsid w:val="001513F9"/>
    <w:rsid w:val="00151B21"/>
    <w:rsid w:val="00151C1D"/>
    <w:rsid w:val="00151F8E"/>
    <w:rsid w:val="0015259E"/>
    <w:rsid w:val="00152ACB"/>
    <w:rsid w:val="001537F2"/>
    <w:rsid w:val="00155AE2"/>
    <w:rsid w:val="00156925"/>
    <w:rsid w:val="00156F8F"/>
    <w:rsid w:val="001570E0"/>
    <w:rsid w:val="00157130"/>
    <w:rsid w:val="001574F5"/>
    <w:rsid w:val="001576B1"/>
    <w:rsid w:val="00157F98"/>
    <w:rsid w:val="0016047B"/>
    <w:rsid w:val="00160A4C"/>
    <w:rsid w:val="00160CF0"/>
    <w:rsid w:val="00161CA9"/>
    <w:rsid w:val="00161D4C"/>
    <w:rsid w:val="00161E61"/>
    <w:rsid w:val="001624EA"/>
    <w:rsid w:val="00162913"/>
    <w:rsid w:val="00163EFF"/>
    <w:rsid w:val="00163F66"/>
    <w:rsid w:val="001653D1"/>
    <w:rsid w:val="001658B8"/>
    <w:rsid w:val="00165D82"/>
    <w:rsid w:val="0016616A"/>
    <w:rsid w:val="001661FB"/>
    <w:rsid w:val="0016630B"/>
    <w:rsid w:val="0016671D"/>
    <w:rsid w:val="00166BF8"/>
    <w:rsid w:val="00166C7D"/>
    <w:rsid w:val="00166D3D"/>
    <w:rsid w:val="001671A0"/>
    <w:rsid w:val="00167230"/>
    <w:rsid w:val="0016767F"/>
    <w:rsid w:val="00167A90"/>
    <w:rsid w:val="001700AF"/>
    <w:rsid w:val="00170354"/>
    <w:rsid w:val="0017096A"/>
    <w:rsid w:val="0017154D"/>
    <w:rsid w:val="0017155A"/>
    <w:rsid w:val="00171BA4"/>
    <w:rsid w:val="00171FB2"/>
    <w:rsid w:val="00172851"/>
    <w:rsid w:val="00172D7B"/>
    <w:rsid w:val="0017324D"/>
    <w:rsid w:val="00173565"/>
    <w:rsid w:val="00173709"/>
    <w:rsid w:val="001738C3"/>
    <w:rsid w:val="00173AB3"/>
    <w:rsid w:val="00173B07"/>
    <w:rsid w:val="001742F1"/>
    <w:rsid w:val="0017434F"/>
    <w:rsid w:val="00174A06"/>
    <w:rsid w:val="001750DE"/>
    <w:rsid w:val="001751FA"/>
    <w:rsid w:val="00176B5F"/>
    <w:rsid w:val="001773B7"/>
    <w:rsid w:val="0017796E"/>
    <w:rsid w:val="00180808"/>
    <w:rsid w:val="00180AE7"/>
    <w:rsid w:val="00181D9C"/>
    <w:rsid w:val="00182151"/>
    <w:rsid w:val="001824AB"/>
    <w:rsid w:val="00183E9B"/>
    <w:rsid w:val="00184861"/>
    <w:rsid w:val="00184B0E"/>
    <w:rsid w:val="0018530D"/>
    <w:rsid w:val="001856BA"/>
    <w:rsid w:val="001862A9"/>
    <w:rsid w:val="0018752F"/>
    <w:rsid w:val="001900E3"/>
    <w:rsid w:val="001912D5"/>
    <w:rsid w:val="001915C7"/>
    <w:rsid w:val="00192F87"/>
    <w:rsid w:val="00193838"/>
    <w:rsid w:val="00193F90"/>
    <w:rsid w:val="001948C9"/>
    <w:rsid w:val="00194AD8"/>
    <w:rsid w:val="00195222"/>
    <w:rsid w:val="00195D31"/>
    <w:rsid w:val="001962ED"/>
    <w:rsid w:val="00196A6A"/>
    <w:rsid w:val="001975D8"/>
    <w:rsid w:val="001A0EA8"/>
    <w:rsid w:val="001A178E"/>
    <w:rsid w:val="001A19DB"/>
    <w:rsid w:val="001A1FA3"/>
    <w:rsid w:val="001A2F01"/>
    <w:rsid w:val="001A3A5D"/>
    <w:rsid w:val="001A40A1"/>
    <w:rsid w:val="001A43FA"/>
    <w:rsid w:val="001A47C5"/>
    <w:rsid w:val="001A5350"/>
    <w:rsid w:val="001A54F6"/>
    <w:rsid w:val="001A5734"/>
    <w:rsid w:val="001A581D"/>
    <w:rsid w:val="001A58A9"/>
    <w:rsid w:val="001A59FB"/>
    <w:rsid w:val="001A5C64"/>
    <w:rsid w:val="001A5E9E"/>
    <w:rsid w:val="001A624E"/>
    <w:rsid w:val="001A6354"/>
    <w:rsid w:val="001A6366"/>
    <w:rsid w:val="001A65AF"/>
    <w:rsid w:val="001A66BD"/>
    <w:rsid w:val="001A69EE"/>
    <w:rsid w:val="001A6A84"/>
    <w:rsid w:val="001A778E"/>
    <w:rsid w:val="001A7AE8"/>
    <w:rsid w:val="001A7EEE"/>
    <w:rsid w:val="001B0FC4"/>
    <w:rsid w:val="001B1A94"/>
    <w:rsid w:val="001B204E"/>
    <w:rsid w:val="001B22B0"/>
    <w:rsid w:val="001B2372"/>
    <w:rsid w:val="001B2980"/>
    <w:rsid w:val="001B3443"/>
    <w:rsid w:val="001B3DC7"/>
    <w:rsid w:val="001B4D20"/>
    <w:rsid w:val="001B5453"/>
    <w:rsid w:val="001B56C3"/>
    <w:rsid w:val="001B5FB5"/>
    <w:rsid w:val="001B6445"/>
    <w:rsid w:val="001B670A"/>
    <w:rsid w:val="001B7326"/>
    <w:rsid w:val="001B798E"/>
    <w:rsid w:val="001C0215"/>
    <w:rsid w:val="001C0974"/>
    <w:rsid w:val="001C0A7E"/>
    <w:rsid w:val="001C18DE"/>
    <w:rsid w:val="001C19EE"/>
    <w:rsid w:val="001C22F3"/>
    <w:rsid w:val="001C2A0F"/>
    <w:rsid w:val="001C2A9B"/>
    <w:rsid w:val="001C38E2"/>
    <w:rsid w:val="001C3A01"/>
    <w:rsid w:val="001C4299"/>
    <w:rsid w:val="001C4874"/>
    <w:rsid w:val="001C5537"/>
    <w:rsid w:val="001C575E"/>
    <w:rsid w:val="001C5F94"/>
    <w:rsid w:val="001C6E66"/>
    <w:rsid w:val="001D0251"/>
    <w:rsid w:val="001D0903"/>
    <w:rsid w:val="001D0A4D"/>
    <w:rsid w:val="001D1100"/>
    <w:rsid w:val="001D112B"/>
    <w:rsid w:val="001D1391"/>
    <w:rsid w:val="001D18D4"/>
    <w:rsid w:val="001D2149"/>
    <w:rsid w:val="001D25D7"/>
    <w:rsid w:val="001D3E84"/>
    <w:rsid w:val="001D48C7"/>
    <w:rsid w:val="001D50B2"/>
    <w:rsid w:val="001D723D"/>
    <w:rsid w:val="001D7541"/>
    <w:rsid w:val="001D7645"/>
    <w:rsid w:val="001D7857"/>
    <w:rsid w:val="001E0009"/>
    <w:rsid w:val="001E00A7"/>
    <w:rsid w:val="001E06AF"/>
    <w:rsid w:val="001E08B9"/>
    <w:rsid w:val="001E1769"/>
    <w:rsid w:val="001E1E86"/>
    <w:rsid w:val="001E238E"/>
    <w:rsid w:val="001E2483"/>
    <w:rsid w:val="001E28EE"/>
    <w:rsid w:val="001E2962"/>
    <w:rsid w:val="001E2A2F"/>
    <w:rsid w:val="001E2B1E"/>
    <w:rsid w:val="001E2CFF"/>
    <w:rsid w:val="001E2F24"/>
    <w:rsid w:val="001E30D4"/>
    <w:rsid w:val="001E34DF"/>
    <w:rsid w:val="001E4B2E"/>
    <w:rsid w:val="001E52EB"/>
    <w:rsid w:val="001E61D2"/>
    <w:rsid w:val="001E740C"/>
    <w:rsid w:val="001E7667"/>
    <w:rsid w:val="001E76E6"/>
    <w:rsid w:val="001E7F13"/>
    <w:rsid w:val="001F0D5B"/>
    <w:rsid w:val="001F1235"/>
    <w:rsid w:val="001F1CB3"/>
    <w:rsid w:val="001F2271"/>
    <w:rsid w:val="001F27CC"/>
    <w:rsid w:val="001F2853"/>
    <w:rsid w:val="001F355C"/>
    <w:rsid w:val="001F38B5"/>
    <w:rsid w:val="001F3D9C"/>
    <w:rsid w:val="001F4081"/>
    <w:rsid w:val="001F46BD"/>
    <w:rsid w:val="001F4CAD"/>
    <w:rsid w:val="001F4F2C"/>
    <w:rsid w:val="001F50DB"/>
    <w:rsid w:val="001F53E0"/>
    <w:rsid w:val="001F589E"/>
    <w:rsid w:val="001F7361"/>
    <w:rsid w:val="001F7B65"/>
    <w:rsid w:val="001F7DD6"/>
    <w:rsid w:val="00200074"/>
    <w:rsid w:val="002000E4"/>
    <w:rsid w:val="0020050F"/>
    <w:rsid w:val="002011B0"/>
    <w:rsid w:val="002026B0"/>
    <w:rsid w:val="00203181"/>
    <w:rsid w:val="00203729"/>
    <w:rsid w:val="00203783"/>
    <w:rsid w:val="002037E5"/>
    <w:rsid w:val="0020385F"/>
    <w:rsid w:val="002040FF"/>
    <w:rsid w:val="0020562B"/>
    <w:rsid w:val="002059A0"/>
    <w:rsid w:val="00205BD8"/>
    <w:rsid w:val="00205D7F"/>
    <w:rsid w:val="00206320"/>
    <w:rsid w:val="002068A0"/>
    <w:rsid w:val="00206B30"/>
    <w:rsid w:val="00207021"/>
    <w:rsid w:val="0020732F"/>
    <w:rsid w:val="00207D00"/>
    <w:rsid w:val="0021030B"/>
    <w:rsid w:val="002105C1"/>
    <w:rsid w:val="002106D5"/>
    <w:rsid w:val="00213023"/>
    <w:rsid w:val="00213225"/>
    <w:rsid w:val="00213EF5"/>
    <w:rsid w:val="00214241"/>
    <w:rsid w:val="0021534A"/>
    <w:rsid w:val="002162CD"/>
    <w:rsid w:val="0021631E"/>
    <w:rsid w:val="00216BF5"/>
    <w:rsid w:val="0021783B"/>
    <w:rsid w:val="00220551"/>
    <w:rsid w:val="002205C1"/>
    <w:rsid w:val="00222BD3"/>
    <w:rsid w:val="00223299"/>
    <w:rsid w:val="00223B49"/>
    <w:rsid w:val="00223D5A"/>
    <w:rsid w:val="00224228"/>
    <w:rsid w:val="00224858"/>
    <w:rsid w:val="00224DD4"/>
    <w:rsid w:val="00224E7F"/>
    <w:rsid w:val="00224FBC"/>
    <w:rsid w:val="00225080"/>
    <w:rsid w:val="0022785C"/>
    <w:rsid w:val="002278A0"/>
    <w:rsid w:val="00230429"/>
    <w:rsid w:val="00230858"/>
    <w:rsid w:val="002308E3"/>
    <w:rsid w:val="002309CC"/>
    <w:rsid w:val="00230DAB"/>
    <w:rsid w:val="00230F1A"/>
    <w:rsid w:val="00230FA7"/>
    <w:rsid w:val="002311CB"/>
    <w:rsid w:val="00231FC4"/>
    <w:rsid w:val="0023209F"/>
    <w:rsid w:val="00233C01"/>
    <w:rsid w:val="00233C43"/>
    <w:rsid w:val="00233DDD"/>
    <w:rsid w:val="0023413C"/>
    <w:rsid w:val="002346F0"/>
    <w:rsid w:val="0023585A"/>
    <w:rsid w:val="002358A6"/>
    <w:rsid w:val="00235E4E"/>
    <w:rsid w:val="0023629D"/>
    <w:rsid w:val="00236E22"/>
    <w:rsid w:val="00237255"/>
    <w:rsid w:val="0024194B"/>
    <w:rsid w:val="002424AF"/>
    <w:rsid w:val="00242E94"/>
    <w:rsid w:val="002432E0"/>
    <w:rsid w:val="002435FB"/>
    <w:rsid w:val="0024397D"/>
    <w:rsid w:val="002439DC"/>
    <w:rsid w:val="002441D2"/>
    <w:rsid w:val="00244694"/>
    <w:rsid w:val="00244B61"/>
    <w:rsid w:val="00244DC8"/>
    <w:rsid w:val="00244E11"/>
    <w:rsid w:val="002458BA"/>
    <w:rsid w:val="00245CE9"/>
    <w:rsid w:val="0024636C"/>
    <w:rsid w:val="00247925"/>
    <w:rsid w:val="00250BCC"/>
    <w:rsid w:val="00251006"/>
    <w:rsid w:val="002524D5"/>
    <w:rsid w:val="00252847"/>
    <w:rsid w:val="00252B4A"/>
    <w:rsid w:val="00252B64"/>
    <w:rsid w:val="00252C01"/>
    <w:rsid w:val="00253785"/>
    <w:rsid w:val="00253B1D"/>
    <w:rsid w:val="0025428E"/>
    <w:rsid w:val="00254DCF"/>
    <w:rsid w:val="0025534B"/>
    <w:rsid w:val="00255BB7"/>
    <w:rsid w:val="00256865"/>
    <w:rsid w:val="00257541"/>
    <w:rsid w:val="00257616"/>
    <w:rsid w:val="00257A39"/>
    <w:rsid w:val="00257AC4"/>
    <w:rsid w:val="00260343"/>
    <w:rsid w:val="00261EEF"/>
    <w:rsid w:val="00262A1A"/>
    <w:rsid w:val="00262A87"/>
    <w:rsid w:val="00263344"/>
    <w:rsid w:val="00264225"/>
    <w:rsid w:val="00264372"/>
    <w:rsid w:val="0026448A"/>
    <w:rsid w:val="002647E7"/>
    <w:rsid w:val="0026496A"/>
    <w:rsid w:val="00264D26"/>
    <w:rsid w:val="00265211"/>
    <w:rsid w:val="002665D7"/>
    <w:rsid w:val="002666B8"/>
    <w:rsid w:val="00266710"/>
    <w:rsid w:val="00266F35"/>
    <w:rsid w:val="00267048"/>
    <w:rsid w:val="00267642"/>
    <w:rsid w:val="00267AEA"/>
    <w:rsid w:val="002700E6"/>
    <w:rsid w:val="002702DD"/>
    <w:rsid w:val="0027097B"/>
    <w:rsid w:val="00270E26"/>
    <w:rsid w:val="00270F41"/>
    <w:rsid w:val="00272403"/>
    <w:rsid w:val="00272701"/>
    <w:rsid w:val="0027294B"/>
    <w:rsid w:val="00272D22"/>
    <w:rsid w:val="00272FC4"/>
    <w:rsid w:val="00273199"/>
    <w:rsid w:val="002734E9"/>
    <w:rsid w:val="00273555"/>
    <w:rsid w:val="0027372A"/>
    <w:rsid w:val="00273EB4"/>
    <w:rsid w:val="00273F84"/>
    <w:rsid w:val="00274682"/>
    <w:rsid w:val="002753C2"/>
    <w:rsid w:val="00275C5A"/>
    <w:rsid w:val="00276691"/>
    <w:rsid w:val="00276693"/>
    <w:rsid w:val="00277409"/>
    <w:rsid w:val="0028042A"/>
    <w:rsid w:val="00280902"/>
    <w:rsid w:val="00281014"/>
    <w:rsid w:val="00282119"/>
    <w:rsid w:val="0028240F"/>
    <w:rsid w:val="00283679"/>
    <w:rsid w:val="0028415C"/>
    <w:rsid w:val="002851F4"/>
    <w:rsid w:val="0028579C"/>
    <w:rsid w:val="0028665D"/>
    <w:rsid w:val="00286680"/>
    <w:rsid w:val="00286DA6"/>
    <w:rsid w:val="00290891"/>
    <w:rsid w:val="00290C57"/>
    <w:rsid w:val="00291730"/>
    <w:rsid w:val="0029176B"/>
    <w:rsid w:val="00291ECE"/>
    <w:rsid w:val="00292095"/>
    <w:rsid w:val="00294018"/>
    <w:rsid w:val="0029517C"/>
    <w:rsid w:val="0029521A"/>
    <w:rsid w:val="00295A71"/>
    <w:rsid w:val="00295CB5"/>
    <w:rsid w:val="00296521"/>
    <w:rsid w:val="0029663F"/>
    <w:rsid w:val="002967E2"/>
    <w:rsid w:val="002A0BE4"/>
    <w:rsid w:val="002A11FB"/>
    <w:rsid w:val="002A14AB"/>
    <w:rsid w:val="002A1659"/>
    <w:rsid w:val="002A1E06"/>
    <w:rsid w:val="002A25B8"/>
    <w:rsid w:val="002A2ADE"/>
    <w:rsid w:val="002A2F50"/>
    <w:rsid w:val="002A2FD7"/>
    <w:rsid w:val="002A3BA7"/>
    <w:rsid w:val="002A42BF"/>
    <w:rsid w:val="002A43E9"/>
    <w:rsid w:val="002A5826"/>
    <w:rsid w:val="002A620B"/>
    <w:rsid w:val="002A6496"/>
    <w:rsid w:val="002A7D81"/>
    <w:rsid w:val="002B006A"/>
    <w:rsid w:val="002B0102"/>
    <w:rsid w:val="002B019A"/>
    <w:rsid w:val="002B02B0"/>
    <w:rsid w:val="002B0595"/>
    <w:rsid w:val="002B05A1"/>
    <w:rsid w:val="002B09A4"/>
    <w:rsid w:val="002B1207"/>
    <w:rsid w:val="002B17D0"/>
    <w:rsid w:val="002B1C1F"/>
    <w:rsid w:val="002B262B"/>
    <w:rsid w:val="002B2910"/>
    <w:rsid w:val="002B3CBA"/>
    <w:rsid w:val="002B42C3"/>
    <w:rsid w:val="002B432F"/>
    <w:rsid w:val="002B57BE"/>
    <w:rsid w:val="002B5827"/>
    <w:rsid w:val="002B62A4"/>
    <w:rsid w:val="002B62B3"/>
    <w:rsid w:val="002B6754"/>
    <w:rsid w:val="002B6CCE"/>
    <w:rsid w:val="002B6DD9"/>
    <w:rsid w:val="002C0531"/>
    <w:rsid w:val="002C14DA"/>
    <w:rsid w:val="002C1780"/>
    <w:rsid w:val="002C1841"/>
    <w:rsid w:val="002C2510"/>
    <w:rsid w:val="002C2775"/>
    <w:rsid w:val="002C27C1"/>
    <w:rsid w:val="002C5099"/>
    <w:rsid w:val="002C5889"/>
    <w:rsid w:val="002C589F"/>
    <w:rsid w:val="002C5E95"/>
    <w:rsid w:val="002C6017"/>
    <w:rsid w:val="002C619B"/>
    <w:rsid w:val="002C6D41"/>
    <w:rsid w:val="002C71CE"/>
    <w:rsid w:val="002D0500"/>
    <w:rsid w:val="002D08F8"/>
    <w:rsid w:val="002D0ACC"/>
    <w:rsid w:val="002D152F"/>
    <w:rsid w:val="002D16D7"/>
    <w:rsid w:val="002D1F64"/>
    <w:rsid w:val="002D2453"/>
    <w:rsid w:val="002D3654"/>
    <w:rsid w:val="002D3E59"/>
    <w:rsid w:val="002D418F"/>
    <w:rsid w:val="002D44BE"/>
    <w:rsid w:val="002D577C"/>
    <w:rsid w:val="002D5E9F"/>
    <w:rsid w:val="002D6F24"/>
    <w:rsid w:val="002D6F85"/>
    <w:rsid w:val="002E0005"/>
    <w:rsid w:val="002E1071"/>
    <w:rsid w:val="002E15B9"/>
    <w:rsid w:val="002E2158"/>
    <w:rsid w:val="002E2B90"/>
    <w:rsid w:val="002E2E34"/>
    <w:rsid w:val="002E3034"/>
    <w:rsid w:val="002E3755"/>
    <w:rsid w:val="002E4735"/>
    <w:rsid w:val="002E4E87"/>
    <w:rsid w:val="002E4F02"/>
    <w:rsid w:val="002E51FC"/>
    <w:rsid w:val="002E57C4"/>
    <w:rsid w:val="002E5F64"/>
    <w:rsid w:val="002E6397"/>
    <w:rsid w:val="002E70C6"/>
    <w:rsid w:val="002E7133"/>
    <w:rsid w:val="002E7722"/>
    <w:rsid w:val="002F07BA"/>
    <w:rsid w:val="002F094E"/>
    <w:rsid w:val="002F099B"/>
    <w:rsid w:val="002F0B38"/>
    <w:rsid w:val="002F0DA9"/>
    <w:rsid w:val="002F1014"/>
    <w:rsid w:val="002F1474"/>
    <w:rsid w:val="002F1DCF"/>
    <w:rsid w:val="002F2426"/>
    <w:rsid w:val="002F328F"/>
    <w:rsid w:val="002F337A"/>
    <w:rsid w:val="002F34EF"/>
    <w:rsid w:val="002F365F"/>
    <w:rsid w:val="002F4377"/>
    <w:rsid w:val="002F47C8"/>
    <w:rsid w:val="002F53DB"/>
    <w:rsid w:val="002F5F13"/>
    <w:rsid w:val="002F643C"/>
    <w:rsid w:val="002F6595"/>
    <w:rsid w:val="002F6C9F"/>
    <w:rsid w:val="002F71C0"/>
    <w:rsid w:val="002F74F1"/>
    <w:rsid w:val="002F789F"/>
    <w:rsid w:val="002F7DDA"/>
    <w:rsid w:val="003006AA"/>
    <w:rsid w:val="00301017"/>
    <w:rsid w:val="0030155F"/>
    <w:rsid w:val="00302627"/>
    <w:rsid w:val="00303C79"/>
    <w:rsid w:val="00303DCE"/>
    <w:rsid w:val="00304A3C"/>
    <w:rsid w:val="0030587B"/>
    <w:rsid w:val="0030595E"/>
    <w:rsid w:val="003059CC"/>
    <w:rsid w:val="00305DC4"/>
    <w:rsid w:val="00306708"/>
    <w:rsid w:val="00306D98"/>
    <w:rsid w:val="00306EEC"/>
    <w:rsid w:val="003073C6"/>
    <w:rsid w:val="003074E8"/>
    <w:rsid w:val="00307645"/>
    <w:rsid w:val="0030786C"/>
    <w:rsid w:val="00307F67"/>
    <w:rsid w:val="0031031A"/>
    <w:rsid w:val="00310981"/>
    <w:rsid w:val="00310DBB"/>
    <w:rsid w:val="003124D9"/>
    <w:rsid w:val="00312594"/>
    <w:rsid w:val="003127BE"/>
    <w:rsid w:val="00312DED"/>
    <w:rsid w:val="00313151"/>
    <w:rsid w:val="003131AA"/>
    <w:rsid w:val="003132D3"/>
    <w:rsid w:val="003136EE"/>
    <w:rsid w:val="00313839"/>
    <w:rsid w:val="0031471A"/>
    <w:rsid w:val="00314BCA"/>
    <w:rsid w:val="00314DDE"/>
    <w:rsid w:val="00315346"/>
    <w:rsid w:val="00315472"/>
    <w:rsid w:val="00315498"/>
    <w:rsid w:val="003157FC"/>
    <w:rsid w:val="00316126"/>
    <w:rsid w:val="00316474"/>
    <w:rsid w:val="00316A20"/>
    <w:rsid w:val="00317559"/>
    <w:rsid w:val="00317B79"/>
    <w:rsid w:val="00320DC1"/>
    <w:rsid w:val="00320DC4"/>
    <w:rsid w:val="0032149E"/>
    <w:rsid w:val="00322107"/>
    <w:rsid w:val="00322355"/>
    <w:rsid w:val="00322666"/>
    <w:rsid w:val="00322846"/>
    <w:rsid w:val="00322CBF"/>
    <w:rsid w:val="00324247"/>
    <w:rsid w:val="00324AF5"/>
    <w:rsid w:val="0032539F"/>
    <w:rsid w:val="00326276"/>
    <w:rsid w:val="003262BC"/>
    <w:rsid w:val="00326DA7"/>
    <w:rsid w:val="003270E4"/>
    <w:rsid w:val="00327A8C"/>
    <w:rsid w:val="00330501"/>
    <w:rsid w:val="00330975"/>
    <w:rsid w:val="003309ED"/>
    <w:rsid w:val="00330DAA"/>
    <w:rsid w:val="00330DF3"/>
    <w:rsid w:val="00330F5C"/>
    <w:rsid w:val="00333253"/>
    <w:rsid w:val="00334555"/>
    <w:rsid w:val="00334D84"/>
    <w:rsid w:val="00334D9D"/>
    <w:rsid w:val="003357E9"/>
    <w:rsid w:val="00335B12"/>
    <w:rsid w:val="003362F9"/>
    <w:rsid w:val="0033638D"/>
    <w:rsid w:val="003366C9"/>
    <w:rsid w:val="00336EA3"/>
    <w:rsid w:val="0033712E"/>
    <w:rsid w:val="003371B0"/>
    <w:rsid w:val="00337BA8"/>
    <w:rsid w:val="00337BDA"/>
    <w:rsid w:val="00340DF1"/>
    <w:rsid w:val="00341B43"/>
    <w:rsid w:val="00341F30"/>
    <w:rsid w:val="00342486"/>
    <w:rsid w:val="00343239"/>
    <w:rsid w:val="00344387"/>
    <w:rsid w:val="003449EA"/>
    <w:rsid w:val="00344D44"/>
    <w:rsid w:val="003451C0"/>
    <w:rsid w:val="0034641E"/>
    <w:rsid w:val="003478BD"/>
    <w:rsid w:val="00347947"/>
    <w:rsid w:val="00351420"/>
    <w:rsid w:val="003517F9"/>
    <w:rsid w:val="00351BA9"/>
    <w:rsid w:val="00351C42"/>
    <w:rsid w:val="00351CC9"/>
    <w:rsid w:val="00351F03"/>
    <w:rsid w:val="003533F6"/>
    <w:rsid w:val="003537A2"/>
    <w:rsid w:val="003539FA"/>
    <w:rsid w:val="00353C21"/>
    <w:rsid w:val="003546FD"/>
    <w:rsid w:val="00354F64"/>
    <w:rsid w:val="00356062"/>
    <w:rsid w:val="003561A5"/>
    <w:rsid w:val="0035620E"/>
    <w:rsid w:val="00356464"/>
    <w:rsid w:val="00356A3F"/>
    <w:rsid w:val="00360345"/>
    <w:rsid w:val="00360577"/>
    <w:rsid w:val="003615E3"/>
    <w:rsid w:val="0036173F"/>
    <w:rsid w:val="00361A05"/>
    <w:rsid w:val="003624C4"/>
    <w:rsid w:val="00363229"/>
    <w:rsid w:val="0036344E"/>
    <w:rsid w:val="00363B00"/>
    <w:rsid w:val="00363E1E"/>
    <w:rsid w:val="003654AC"/>
    <w:rsid w:val="0036588C"/>
    <w:rsid w:val="003663AA"/>
    <w:rsid w:val="00366650"/>
    <w:rsid w:val="003669C0"/>
    <w:rsid w:val="00366EED"/>
    <w:rsid w:val="0036733B"/>
    <w:rsid w:val="0036785B"/>
    <w:rsid w:val="003703F0"/>
    <w:rsid w:val="003707F1"/>
    <w:rsid w:val="00370F3E"/>
    <w:rsid w:val="003710CF"/>
    <w:rsid w:val="00371652"/>
    <w:rsid w:val="00371A3D"/>
    <w:rsid w:val="003721E5"/>
    <w:rsid w:val="003725F6"/>
    <w:rsid w:val="0037279C"/>
    <w:rsid w:val="00372DEE"/>
    <w:rsid w:val="00372E90"/>
    <w:rsid w:val="0037324A"/>
    <w:rsid w:val="0037358A"/>
    <w:rsid w:val="00373817"/>
    <w:rsid w:val="00374424"/>
    <w:rsid w:val="00374711"/>
    <w:rsid w:val="00374A58"/>
    <w:rsid w:val="003750F6"/>
    <w:rsid w:val="003753B8"/>
    <w:rsid w:val="003760FC"/>
    <w:rsid w:val="00376465"/>
    <w:rsid w:val="0037707F"/>
    <w:rsid w:val="00377349"/>
    <w:rsid w:val="00380E4E"/>
    <w:rsid w:val="00381018"/>
    <w:rsid w:val="00382574"/>
    <w:rsid w:val="0038365C"/>
    <w:rsid w:val="0038369B"/>
    <w:rsid w:val="00383857"/>
    <w:rsid w:val="00383969"/>
    <w:rsid w:val="00383985"/>
    <w:rsid w:val="00383B78"/>
    <w:rsid w:val="00383BB3"/>
    <w:rsid w:val="00384483"/>
    <w:rsid w:val="00384FF1"/>
    <w:rsid w:val="00385A9D"/>
    <w:rsid w:val="003860AC"/>
    <w:rsid w:val="00386CE3"/>
    <w:rsid w:val="00386D8A"/>
    <w:rsid w:val="003902B1"/>
    <w:rsid w:val="00390B7E"/>
    <w:rsid w:val="00390E95"/>
    <w:rsid w:val="003910F4"/>
    <w:rsid w:val="0039179C"/>
    <w:rsid w:val="00392218"/>
    <w:rsid w:val="0039222A"/>
    <w:rsid w:val="003925C2"/>
    <w:rsid w:val="00393611"/>
    <w:rsid w:val="003941AE"/>
    <w:rsid w:val="00396896"/>
    <w:rsid w:val="00396D1D"/>
    <w:rsid w:val="00396FD0"/>
    <w:rsid w:val="0039736B"/>
    <w:rsid w:val="00397BDB"/>
    <w:rsid w:val="003A007A"/>
    <w:rsid w:val="003A103E"/>
    <w:rsid w:val="003A127C"/>
    <w:rsid w:val="003A1A7A"/>
    <w:rsid w:val="003A1C68"/>
    <w:rsid w:val="003A1F83"/>
    <w:rsid w:val="003A20C8"/>
    <w:rsid w:val="003A2392"/>
    <w:rsid w:val="003A2831"/>
    <w:rsid w:val="003A283D"/>
    <w:rsid w:val="003A3CB6"/>
    <w:rsid w:val="003A3ED1"/>
    <w:rsid w:val="003A4411"/>
    <w:rsid w:val="003A44DB"/>
    <w:rsid w:val="003A4A3E"/>
    <w:rsid w:val="003A4E42"/>
    <w:rsid w:val="003A5046"/>
    <w:rsid w:val="003A66A7"/>
    <w:rsid w:val="003A7324"/>
    <w:rsid w:val="003A7390"/>
    <w:rsid w:val="003A78F4"/>
    <w:rsid w:val="003B0112"/>
    <w:rsid w:val="003B091C"/>
    <w:rsid w:val="003B0968"/>
    <w:rsid w:val="003B1D1A"/>
    <w:rsid w:val="003B240E"/>
    <w:rsid w:val="003B3346"/>
    <w:rsid w:val="003B3580"/>
    <w:rsid w:val="003B35D8"/>
    <w:rsid w:val="003B3971"/>
    <w:rsid w:val="003B405D"/>
    <w:rsid w:val="003B448C"/>
    <w:rsid w:val="003B46AC"/>
    <w:rsid w:val="003B51D7"/>
    <w:rsid w:val="003B55D1"/>
    <w:rsid w:val="003B5A8F"/>
    <w:rsid w:val="003B5B61"/>
    <w:rsid w:val="003B5B84"/>
    <w:rsid w:val="003B6A1F"/>
    <w:rsid w:val="003B78BF"/>
    <w:rsid w:val="003C000D"/>
    <w:rsid w:val="003C01C5"/>
    <w:rsid w:val="003C1019"/>
    <w:rsid w:val="003C13C6"/>
    <w:rsid w:val="003C13E0"/>
    <w:rsid w:val="003C1654"/>
    <w:rsid w:val="003C3F36"/>
    <w:rsid w:val="003C43B6"/>
    <w:rsid w:val="003C5465"/>
    <w:rsid w:val="003C5542"/>
    <w:rsid w:val="003C635C"/>
    <w:rsid w:val="003C66EF"/>
    <w:rsid w:val="003C7056"/>
    <w:rsid w:val="003C758E"/>
    <w:rsid w:val="003C762A"/>
    <w:rsid w:val="003C7AAA"/>
    <w:rsid w:val="003C7D19"/>
    <w:rsid w:val="003C7D2F"/>
    <w:rsid w:val="003D03F5"/>
    <w:rsid w:val="003D1828"/>
    <w:rsid w:val="003D1DE4"/>
    <w:rsid w:val="003D1E9A"/>
    <w:rsid w:val="003D2422"/>
    <w:rsid w:val="003D2AF2"/>
    <w:rsid w:val="003D3319"/>
    <w:rsid w:val="003D3846"/>
    <w:rsid w:val="003D39A1"/>
    <w:rsid w:val="003D3FBF"/>
    <w:rsid w:val="003D4A30"/>
    <w:rsid w:val="003D6265"/>
    <w:rsid w:val="003D6630"/>
    <w:rsid w:val="003D739D"/>
    <w:rsid w:val="003D7452"/>
    <w:rsid w:val="003D770A"/>
    <w:rsid w:val="003D79BB"/>
    <w:rsid w:val="003D7C98"/>
    <w:rsid w:val="003D7D9D"/>
    <w:rsid w:val="003E0105"/>
    <w:rsid w:val="003E0481"/>
    <w:rsid w:val="003E052F"/>
    <w:rsid w:val="003E0543"/>
    <w:rsid w:val="003E0634"/>
    <w:rsid w:val="003E0B96"/>
    <w:rsid w:val="003E139B"/>
    <w:rsid w:val="003E20B0"/>
    <w:rsid w:val="003E2A33"/>
    <w:rsid w:val="003E39CB"/>
    <w:rsid w:val="003E3CCF"/>
    <w:rsid w:val="003E425A"/>
    <w:rsid w:val="003E50AD"/>
    <w:rsid w:val="003E5FB6"/>
    <w:rsid w:val="003E6D44"/>
    <w:rsid w:val="003E7215"/>
    <w:rsid w:val="003E749E"/>
    <w:rsid w:val="003E7987"/>
    <w:rsid w:val="003E7BDD"/>
    <w:rsid w:val="003F02E6"/>
    <w:rsid w:val="003F05BD"/>
    <w:rsid w:val="003F1CCB"/>
    <w:rsid w:val="003F25A6"/>
    <w:rsid w:val="003F2A47"/>
    <w:rsid w:val="003F2C54"/>
    <w:rsid w:val="003F2D13"/>
    <w:rsid w:val="003F2E2D"/>
    <w:rsid w:val="003F3161"/>
    <w:rsid w:val="003F333C"/>
    <w:rsid w:val="003F3D73"/>
    <w:rsid w:val="003F4060"/>
    <w:rsid w:val="003F4156"/>
    <w:rsid w:val="003F4490"/>
    <w:rsid w:val="003F46F7"/>
    <w:rsid w:val="003F47E9"/>
    <w:rsid w:val="003F5ADF"/>
    <w:rsid w:val="003F5EDC"/>
    <w:rsid w:val="003F65FC"/>
    <w:rsid w:val="003F7D74"/>
    <w:rsid w:val="003F7ED5"/>
    <w:rsid w:val="003F7FE3"/>
    <w:rsid w:val="00400B29"/>
    <w:rsid w:val="00401260"/>
    <w:rsid w:val="004014BC"/>
    <w:rsid w:val="0040189D"/>
    <w:rsid w:val="0040248C"/>
    <w:rsid w:val="00403A66"/>
    <w:rsid w:val="00403DEA"/>
    <w:rsid w:val="0040504B"/>
    <w:rsid w:val="00405366"/>
    <w:rsid w:val="004059F4"/>
    <w:rsid w:val="004060B7"/>
    <w:rsid w:val="00406CC8"/>
    <w:rsid w:val="00407144"/>
    <w:rsid w:val="004074F1"/>
    <w:rsid w:val="00407FE5"/>
    <w:rsid w:val="004101B0"/>
    <w:rsid w:val="00410326"/>
    <w:rsid w:val="00410487"/>
    <w:rsid w:val="00410708"/>
    <w:rsid w:val="00410EC7"/>
    <w:rsid w:val="0041117A"/>
    <w:rsid w:val="00411B39"/>
    <w:rsid w:val="00411D45"/>
    <w:rsid w:val="004127A7"/>
    <w:rsid w:val="00412928"/>
    <w:rsid w:val="00412D0C"/>
    <w:rsid w:val="00412D9A"/>
    <w:rsid w:val="00412F6C"/>
    <w:rsid w:val="004132D0"/>
    <w:rsid w:val="00413A1E"/>
    <w:rsid w:val="00413BA2"/>
    <w:rsid w:val="0041401A"/>
    <w:rsid w:val="0041421F"/>
    <w:rsid w:val="0041445F"/>
    <w:rsid w:val="00414476"/>
    <w:rsid w:val="004144CA"/>
    <w:rsid w:val="00414C06"/>
    <w:rsid w:val="00414C2E"/>
    <w:rsid w:val="00415076"/>
    <w:rsid w:val="004151CF"/>
    <w:rsid w:val="00415724"/>
    <w:rsid w:val="0041591B"/>
    <w:rsid w:val="00416364"/>
    <w:rsid w:val="00416C76"/>
    <w:rsid w:val="0041755C"/>
    <w:rsid w:val="00420125"/>
    <w:rsid w:val="0042047F"/>
    <w:rsid w:val="00420A6C"/>
    <w:rsid w:val="00420AA6"/>
    <w:rsid w:val="00420B9F"/>
    <w:rsid w:val="00420F73"/>
    <w:rsid w:val="00421276"/>
    <w:rsid w:val="0042142D"/>
    <w:rsid w:val="0042192C"/>
    <w:rsid w:val="00422260"/>
    <w:rsid w:val="0042274D"/>
    <w:rsid w:val="00422EFE"/>
    <w:rsid w:val="00423FE0"/>
    <w:rsid w:val="004240C2"/>
    <w:rsid w:val="0042413F"/>
    <w:rsid w:val="0042450B"/>
    <w:rsid w:val="004252D1"/>
    <w:rsid w:val="00425BDC"/>
    <w:rsid w:val="004266DF"/>
    <w:rsid w:val="00426803"/>
    <w:rsid w:val="004268AE"/>
    <w:rsid w:val="00426A12"/>
    <w:rsid w:val="0042772D"/>
    <w:rsid w:val="00430052"/>
    <w:rsid w:val="0043087C"/>
    <w:rsid w:val="00431007"/>
    <w:rsid w:val="004319F8"/>
    <w:rsid w:val="00431A90"/>
    <w:rsid w:val="00431E55"/>
    <w:rsid w:val="004321F6"/>
    <w:rsid w:val="00432837"/>
    <w:rsid w:val="00433044"/>
    <w:rsid w:val="004330FC"/>
    <w:rsid w:val="00433444"/>
    <w:rsid w:val="00434088"/>
    <w:rsid w:val="00434372"/>
    <w:rsid w:val="00434BDC"/>
    <w:rsid w:val="00434DD1"/>
    <w:rsid w:val="00435383"/>
    <w:rsid w:val="00435630"/>
    <w:rsid w:val="004358DD"/>
    <w:rsid w:val="0043620C"/>
    <w:rsid w:val="004375B9"/>
    <w:rsid w:val="00440E03"/>
    <w:rsid w:val="00440EF6"/>
    <w:rsid w:val="00441973"/>
    <w:rsid w:val="004428D0"/>
    <w:rsid w:val="00444185"/>
    <w:rsid w:val="004443A7"/>
    <w:rsid w:val="0044442C"/>
    <w:rsid w:val="00445941"/>
    <w:rsid w:val="00445D82"/>
    <w:rsid w:val="00445DC7"/>
    <w:rsid w:val="004464EB"/>
    <w:rsid w:val="0044782A"/>
    <w:rsid w:val="00447D26"/>
    <w:rsid w:val="00447DFC"/>
    <w:rsid w:val="0045091D"/>
    <w:rsid w:val="00451CEC"/>
    <w:rsid w:val="0045234E"/>
    <w:rsid w:val="00452836"/>
    <w:rsid w:val="00452CFA"/>
    <w:rsid w:val="004536B6"/>
    <w:rsid w:val="00453EBF"/>
    <w:rsid w:val="00453F7F"/>
    <w:rsid w:val="004548B5"/>
    <w:rsid w:val="004548E8"/>
    <w:rsid w:val="00454ABE"/>
    <w:rsid w:val="004553DC"/>
    <w:rsid w:val="004554E2"/>
    <w:rsid w:val="0045570E"/>
    <w:rsid w:val="00455D45"/>
    <w:rsid w:val="00456AA6"/>
    <w:rsid w:val="00456AC8"/>
    <w:rsid w:val="00456C94"/>
    <w:rsid w:val="00457205"/>
    <w:rsid w:val="00457371"/>
    <w:rsid w:val="00457778"/>
    <w:rsid w:val="0046284B"/>
    <w:rsid w:val="00463AB6"/>
    <w:rsid w:val="00463C32"/>
    <w:rsid w:val="00463C92"/>
    <w:rsid w:val="00464595"/>
    <w:rsid w:val="00464B5C"/>
    <w:rsid w:val="00464CC6"/>
    <w:rsid w:val="00464CF6"/>
    <w:rsid w:val="004655D8"/>
    <w:rsid w:val="004657DF"/>
    <w:rsid w:val="004658B5"/>
    <w:rsid w:val="00465F73"/>
    <w:rsid w:val="00471164"/>
    <w:rsid w:val="004716D1"/>
    <w:rsid w:val="004716D7"/>
    <w:rsid w:val="00471C40"/>
    <w:rsid w:val="00471EA5"/>
    <w:rsid w:val="004720B1"/>
    <w:rsid w:val="00472642"/>
    <w:rsid w:val="00472A79"/>
    <w:rsid w:val="00472DA4"/>
    <w:rsid w:val="00473C11"/>
    <w:rsid w:val="00473D59"/>
    <w:rsid w:val="00473F19"/>
    <w:rsid w:val="004753BF"/>
    <w:rsid w:val="00475864"/>
    <w:rsid w:val="00475E22"/>
    <w:rsid w:val="00477E44"/>
    <w:rsid w:val="00480033"/>
    <w:rsid w:val="0048088E"/>
    <w:rsid w:val="00480F2B"/>
    <w:rsid w:val="00482720"/>
    <w:rsid w:val="004829D8"/>
    <w:rsid w:val="00482AFA"/>
    <w:rsid w:val="00482E5D"/>
    <w:rsid w:val="00482FB5"/>
    <w:rsid w:val="004835E7"/>
    <w:rsid w:val="00483894"/>
    <w:rsid w:val="00483BED"/>
    <w:rsid w:val="004843B5"/>
    <w:rsid w:val="0048522D"/>
    <w:rsid w:val="0048559C"/>
    <w:rsid w:val="00485885"/>
    <w:rsid w:val="00486126"/>
    <w:rsid w:val="0048644D"/>
    <w:rsid w:val="004867E2"/>
    <w:rsid w:val="00486824"/>
    <w:rsid w:val="00486C7F"/>
    <w:rsid w:val="00487A7B"/>
    <w:rsid w:val="00490087"/>
    <w:rsid w:val="00490B17"/>
    <w:rsid w:val="0049107A"/>
    <w:rsid w:val="00491167"/>
    <w:rsid w:val="00491218"/>
    <w:rsid w:val="00491819"/>
    <w:rsid w:val="0049188B"/>
    <w:rsid w:val="00491B3A"/>
    <w:rsid w:val="00491BF9"/>
    <w:rsid w:val="004923D4"/>
    <w:rsid w:val="0049267A"/>
    <w:rsid w:val="004929B9"/>
    <w:rsid w:val="00492CFD"/>
    <w:rsid w:val="00493C33"/>
    <w:rsid w:val="004940CE"/>
    <w:rsid w:val="00494207"/>
    <w:rsid w:val="004944C7"/>
    <w:rsid w:val="00494DD5"/>
    <w:rsid w:val="004951C4"/>
    <w:rsid w:val="004957E7"/>
    <w:rsid w:val="004962D2"/>
    <w:rsid w:val="00496B44"/>
    <w:rsid w:val="004976C4"/>
    <w:rsid w:val="00497C0D"/>
    <w:rsid w:val="00497CDE"/>
    <w:rsid w:val="00497D7B"/>
    <w:rsid w:val="004A03FD"/>
    <w:rsid w:val="004A0472"/>
    <w:rsid w:val="004A0DA1"/>
    <w:rsid w:val="004A10FE"/>
    <w:rsid w:val="004A1156"/>
    <w:rsid w:val="004A1254"/>
    <w:rsid w:val="004A13D6"/>
    <w:rsid w:val="004A2DD9"/>
    <w:rsid w:val="004A347B"/>
    <w:rsid w:val="004A4186"/>
    <w:rsid w:val="004A51E6"/>
    <w:rsid w:val="004A52E9"/>
    <w:rsid w:val="004A59AC"/>
    <w:rsid w:val="004A5DE6"/>
    <w:rsid w:val="004A5E5D"/>
    <w:rsid w:val="004A6040"/>
    <w:rsid w:val="004A61CB"/>
    <w:rsid w:val="004A6344"/>
    <w:rsid w:val="004A6597"/>
    <w:rsid w:val="004A6695"/>
    <w:rsid w:val="004A7848"/>
    <w:rsid w:val="004A7D30"/>
    <w:rsid w:val="004B1189"/>
    <w:rsid w:val="004B1815"/>
    <w:rsid w:val="004B1CB4"/>
    <w:rsid w:val="004B1E2B"/>
    <w:rsid w:val="004B2110"/>
    <w:rsid w:val="004B2618"/>
    <w:rsid w:val="004B2A30"/>
    <w:rsid w:val="004B2F18"/>
    <w:rsid w:val="004B3D57"/>
    <w:rsid w:val="004B3DDB"/>
    <w:rsid w:val="004B44A5"/>
    <w:rsid w:val="004B44FD"/>
    <w:rsid w:val="004B4632"/>
    <w:rsid w:val="004B5CFC"/>
    <w:rsid w:val="004B6F79"/>
    <w:rsid w:val="004B701E"/>
    <w:rsid w:val="004B75A0"/>
    <w:rsid w:val="004B774D"/>
    <w:rsid w:val="004C0030"/>
    <w:rsid w:val="004C0502"/>
    <w:rsid w:val="004C2340"/>
    <w:rsid w:val="004C2394"/>
    <w:rsid w:val="004C318B"/>
    <w:rsid w:val="004C407F"/>
    <w:rsid w:val="004C4AED"/>
    <w:rsid w:val="004C5396"/>
    <w:rsid w:val="004C75DE"/>
    <w:rsid w:val="004C7C03"/>
    <w:rsid w:val="004D0BD7"/>
    <w:rsid w:val="004D13EF"/>
    <w:rsid w:val="004D2178"/>
    <w:rsid w:val="004D2483"/>
    <w:rsid w:val="004D2692"/>
    <w:rsid w:val="004D28BA"/>
    <w:rsid w:val="004D2C2D"/>
    <w:rsid w:val="004D360F"/>
    <w:rsid w:val="004D3A7F"/>
    <w:rsid w:val="004D47AB"/>
    <w:rsid w:val="004D69B5"/>
    <w:rsid w:val="004D7120"/>
    <w:rsid w:val="004D7227"/>
    <w:rsid w:val="004E00B6"/>
    <w:rsid w:val="004E0E7F"/>
    <w:rsid w:val="004E0EB8"/>
    <w:rsid w:val="004E1630"/>
    <w:rsid w:val="004E18E9"/>
    <w:rsid w:val="004E21F5"/>
    <w:rsid w:val="004E2ADC"/>
    <w:rsid w:val="004E2C5B"/>
    <w:rsid w:val="004E41B0"/>
    <w:rsid w:val="004E43B2"/>
    <w:rsid w:val="004E6142"/>
    <w:rsid w:val="004E75C2"/>
    <w:rsid w:val="004E78B8"/>
    <w:rsid w:val="004E7FED"/>
    <w:rsid w:val="004F0510"/>
    <w:rsid w:val="004F0CFF"/>
    <w:rsid w:val="004F162F"/>
    <w:rsid w:val="004F189A"/>
    <w:rsid w:val="004F18CD"/>
    <w:rsid w:val="004F1D02"/>
    <w:rsid w:val="004F23BC"/>
    <w:rsid w:val="004F252F"/>
    <w:rsid w:val="004F2679"/>
    <w:rsid w:val="004F2D2D"/>
    <w:rsid w:val="004F2F21"/>
    <w:rsid w:val="004F2F25"/>
    <w:rsid w:val="004F3533"/>
    <w:rsid w:val="004F3DE5"/>
    <w:rsid w:val="004F3F2A"/>
    <w:rsid w:val="004F42D5"/>
    <w:rsid w:val="004F4A06"/>
    <w:rsid w:val="004F4D2E"/>
    <w:rsid w:val="004F65C3"/>
    <w:rsid w:val="004F6913"/>
    <w:rsid w:val="004F7865"/>
    <w:rsid w:val="004F7ED5"/>
    <w:rsid w:val="0050174E"/>
    <w:rsid w:val="00501854"/>
    <w:rsid w:val="0050219B"/>
    <w:rsid w:val="005035BC"/>
    <w:rsid w:val="00503601"/>
    <w:rsid w:val="00503F17"/>
    <w:rsid w:val="0050432F"/>
    <w:rsid w:val="0050467D"/>
    <w:rsid w:val="00504E67"/>
    <w:rsid w:val="00504ED9"/>
    <w:rsid w:val="005054F3"/>
    <w:rsid w:val="00505703"/>
    <w:rsid w:val="005067D9"/>
    <w:rsid w:val="00506928"/>
    <w:rsid w:val="00507581"/>
    <w:rsid w:val="005077EF"/>
    <w:rsid w:val="0051105A"/>
    <w:rsid w:val="005113F6"/>
    <w:rsid w:val="00511AD5"/>
    <w:rsid w:val="00511DC7"/>
    <w:rsid w:val="00512186"/>
    <w:rsid w:val="005125B5"/>
    <w:rsid w:val="00512B9B"/>
    <w:rsid w:val="00512CB4"/>
    <w:rsid w:val="00513130"/>
    <w:rsid w:val="00513541"/>
    <w:rsid w:val="00513DE9"/>
    <w:rsid w:val="005140E1"/>
    <w:rsid w:val="00514142"/>
    <w:rsid w:val="005142C5"/>
    <w:rsid w:val="00514E2F"/>
    <w:rsid w:val="0051501B"/>
    <w:rsid w:val="00515193"/>
    <w:rsid w:val="005152B5"/>
    <w:rsid w:val="005157D6"/>
    <w:rsid w:val="00515F07"/>
    <w:rsid w:val="00516AC8"/>
    <w:rsid w:val="00517C77"/>
    <w:rsid w:val="0052028F"/>
    <w:rsid w:val="005207C4"/>
    <w:rsid w:val="0052096D"/>
    <w:rsid w:val="0052123C"/>
    <w:rsid w:val="00521319"/>
    <w:rsid w:val="005218A1"/>
    <w:rsid w:val="005218EF"/>
    <w:rsid w:val="00521D0D"/>
    <w:rsid w:val="00522412"/>
    <w:rsid w:val="00522BC8"/>
    <w:rsid w:val="00523C28"/>
    <w:rsid w:val="005241E6"/>
    <w:rsid w:val="0052565A"/>
    <w:rsid w:val="0052770D"/>
    <w:rsid w:val="005308C8"/>
    <w:rsid w:val="00530E7E"/>
    <w:rsid w:val="0053176B"/>
    <w:rsid w:val="005317CF"/>
    <w:rsid w:val="00531B17"/>
    <w:rsid w:val="00532136"/>
    <w:rsid w:val="00533389"/>
    <w:rsid w:val="00534CC3"/>
    <w:rsid w:val="00535612"/>
    <w:rsid w:val="00536C5B"/>
    <w:rsid w:val="00536F42"/>
    <w:rsid w:val="00537182"/>
    <w:rsid w:val="00541071"/>
    <w:rsid w:val="00541098"/>
    <w:rsid w:val="00541EDD"/>
    <w:rsid w:val="00542071"/>
    <w:rsid w:val="00542299"/>
    <w:rsid w:val="00542375"/>
    <w:rsid w:val="00542743"/>
    <w:rsid w:val="00542C2D"/>
    <w:rsid w:val="00542E57"/>
    <w:rsid w:val="005439AB"/>
    <w:rsid w:val="00543E75"/>
    <w:rsid w:val="00544A70"/>
    <w:rsid w:val="00545758"/>
    <w:rsid w:val="005462F2"/>
    <w:rsid w:val="005466E7"/>
    <w:rsid w:val="00546842"/>
    <w:rsid w:val="00547150"/>
    <w:rsid w:val="00547675"/>
    <w:rsid w:val="005478BD"/>
    <w:rsid w:val="005479E3"/>
    <w:rsid w:val="00550557"/>
    <w:rsid w:val="00550D06"/>
    <w:rsid w:val="00551985"/>
    <w:rsid w:val="00552423"/>
    <w:rsid w:val="00552AAF"/>
    <w:rsid w:val="00552BD3"/>
    <w:rsid w:val="005532A0"/>
    <w:rsid w:val="00553699"/>
    <w:rsid w:val="005537CA"/>
    <w:rsid w:val="0055391B"/>
    <w:rsid w:val="00553A89"/>
    <w:rsid w:val="00554AB0"/>
    <w:rsid w:val="00554BF0"/>
    <w:rsid w:val="00554F5A"/>
    <w:rsid w:val="00555109"/>
    <w:rsid w:val="00555C3F"/>
    <w:rsid w:val="00555CB2"/>
    <w:rsid w:val="00555CFC"/>
    <w:rsid w:val="00556B35"/>
    <w:rsid w:val="0055741A"/>
    <w:rsid w:val="005611B7"/>
    <w:rsid w:val="00561300"/>
    <w:rsid w:val="005618D4"/>
    <w:rsid w:val="00561E5E"/>
    <w:rsid w:val="00562B10"/>
    <w:rsid w:val="00562CA0"/>
    <w:rsid w:val="005630F7"/>
    <w:rsid w:val="00563936"/>
    <w:rsid w:val="00564808"/>
    <w:rsid w:val="00564CAF"/>
    <w:rsid w:val="00564E4A"/>
    <w:rsid w:val="005652C2"/>
    <w:rsid w:val="00565DF0"/>
    <w:rsid w:val="00566119"/>
    <w:rsid w:val="0056696F"/>
    <w:rsid w:val="00566B04"/>
    <w:rsid w:val="00567534"/>
    <w:rsid w:val="00567681"/>
    <w:rsid w:val="00567D73"/>
    <w:rsid w:val="00567FBF"/>
    <w:rsid w:val="005711A1"/>
    <w:rsid w:val="0057154A"/>
    <w:rsid w:val="00572269"/>
    <w:rsid w:val="0057244A"/>
    <w:rsid w:val="005729F5"/>
    <w:rsid w:val="00572D9E"/>
    <w:rsid w:val="00572F26"/>
    <w:rsid w:val="00573514"/>
    <w:rsid w:val="00573A79"/>
    <w:rsid w:val="00574741"/>
    <w:rsid w:val="005750C5"/>
    <w:rsid w:val="0057513C"/>
    <w:rsid w:val="005752DE"/>
    <w:rsid w:val="005757E4"/>
    <w:rsid w:val="00575C85"/>
    <w:rsid w:val="00575D8D"/>
    <w:rsid w:val="005763B8"/>
    <w:rsid w:val="00576972"/>
    <w:rsid w:val="00576995"/>
    <w:rsid w:val="00576C47"/>
    <w:rsid w:val="00577818"/>
    <w:rsid w:val="00580552"/>
    <w:rsid w:val="00580726"/>
    <w:rsid w:val="00581BAF"/>
    <w:rsid w:val="005825AA"/>
    <w:rsid w:val="0058267F"/>
    <w:rsid w:val="00582A3D"/>
    <w:rsid w:val="005830F9"/>
    <w:rsid w:val="00583699"/>
    <w:rsid w:val="00585178"/>
    <w:rsid w:val="00585B7B"/>
    <w:rsid w:val="00585BA0"/>
    <w:rsid w:val="00585CDD"/>
    <w:rsid w:val="00586133"/>
    <w:rsid w:val="00586191"/>
    <w:rsid w:val="005862E8"/>
    <w:rsid w:val="00586AB1"/>
    <w:rsid w:val="00587058"/>
    <w:rsid w:val="00587B63"/>
    <w:rsid w:val="00587F8D"/>
    <w:rsid w:val="00591224"/>
    <w:rsid w:val="00591957"/>
    <w:rsid w:val="00593873"/>
    <w:rsid w:val="00594591"/>
    <w:rsid w:val="005947E5"/>
    <w:rsid w:val="00595930"/>
    <w:rsid w:val="00597BF9"/>
    <w:rsid w:val="00597CC8"/>
    <w:rsid w:val="00597D71"/>
    <w:rsid w:val="005A1E87"/>
    <w:rsid w:val="005A2088"/>
    <w:rsid w:val="005A293C"/>
    <w:rsid w:val="005A309A"/>
    <w:rsid w:val="005A373D"/>
    <w:rsid w:val="005A3825"/>
    <w:rsid w:val="005A5178"/>
    <w:rsid w:val="005A518F"/>
    <w:rsid w:val="005A65B8"/>
    <w:rsid w:val="005A667B"/>
    <w:rsid w:val="005A772C"/>
    <w:rsid w:val="005A78D6"/>
    <w:rsid w:val="005B045B"/>
    <w:rsid w:val="005B0B58"/>
    <w:rsid w:val="005B0BD7"/>
    <w:rsid w:val="005B0EC3"/>
    <w:rsid w:val="005B19E4"/>
    <w:rsid w:val="005B337D"/>
    <w:rsid w:val="005B375D"/>
    <w:rsid w:val="005B4E53"/>
    <w:rsid w:val="005B563A"/>
    <w:rsid w:val="005B5857"/>
    <w:rsid w:val="005B6E6F"/>
    <w:rsid w:val="005C0052"/>
    <w:rsid w:val="005C0330"/>
    <w:rsid w:val="005C04DD"/>
    <w:rsid w:val="005C0565"/>
    <w:rsid w:val="005C1020"/>
    <w:rsid w:val="005C103D"/>
    <w:rsid w:val="005C15BA"/>
    <w:rsid w:val="005C1B83"/>
    <w:rsid w:val="005C2266"/>
    <w:rsid w:val="005C25FF"/>
    <w:rsid w:val="005C2B14"/>
    <w:rsid w:val="005C2D55"/>
    <w:rsid w:val="005C2E86"/>
    <w:rsid w:val="005C346B"/>
    <w:rsid w:val="005C3EC0"/>
    <w:rsid w:val="005C438C"/>
    <w:rsid w:val="005C4E23"/>
    <w:rsid w:val="005C6052"/>
    <w:rsid w:val="005C6E80"/>
    <w:rsid w:val="005C7A19"/>
    <w:rsid w:val="005D044D"/>
    <w:rsid w:val="005D0ABD"/>
    <w:rsid w:val="005D1246"/>
    <w:rsid w:val="005D1779"/>
    <w:rsid w:val="005D18AD"/>
    <w:rsid w:val="005D26B4"/>
    <w:rsid w:val="005D375F"/>
    <w:rsid w:val="005D490F"/>
    <w:rsid w:val="005D4BF4"/>
    <w:rsid w:val="005D4BF7"/>
    <w:rsid w:val="005D50CE"/>
    <w:rsid w:val="005D527D"/>
    <w:rsid w:val="005D5EBC"/>
    <w:rsid w:val="005D74BA"/>
    <w:rsid w:val="005E0449"/>
    <w:rsid w:val="005E1311"/>
    <w:rsid w:val="005E28CE"/>
    <w:rsid w:val="005E2F1A"/>
    <w:rsid w:val="005E329F"/>
    <w:rsid w:val="005E4C76"/>
    <w:rsid w:val="005E5DA7"/>
    <w:rsid w:val="005E68D9"/>
    <w:rsid w:val="005E6CBC"/>
    <w:rsid w:val="005E7264"/>
    <w:rsid w:val="005E72FF"/>
    <w:rsid w:val="005E73C0"/>
    <w:rsid w:val="005E7BA5"/>
    <w:rsid w:val="005E7FF6"/>
    <w:rsid w:val="005F01DE"/>
    <w:rsid w:val="005F2706"/>
    <w:rsid w:val="005F29B3"/>
    <w:rsid w:val="005F2A38"/>
    <w:rsid w:val="005F47D3"/>
    <w:rsid w:val="005F4AB1"/>
    <w:rsid w:val="005F536B"/>
    <w:rsid w:val="005F5AEE"/>
    <w:rsid w:val="005F5D49"/>
    <w:rsid w:val="005F627C"/>
    <w:rsid w:val="005F67A4"/>
    <w:rsid w:val="005F67EF"/>
    <w:rsid w:val="005F6A8F"/>
    <w:rsid w:val="005F6BB7"/>
    <w:rsid w:val="005F6E50"/>
    <w:rsid w:val="005F71CC"/>
    <w:rsid w:val="005F7588"/>
    <w:rsid w:val="005F7B25"/>
    <w:rsid w:val="005F7ED5"/>
    <w:rsid w:val="00600D79"/>
    <w:rsid w:val="00601118"/>
    <w:rsid w:val="006015A2"/>
    <w:rsid w:val="0060344B"/>
    <w:rsid w:val="0060367B"/>
    <w:rsid w:val="00603DB9"/>
    <w:rsid w:val="00605758"/>
    <w:rsid w:val="00606FBA"/>
    <w:rsid w:val="006075E5"/>
    <w:rsid w:val="00607669"/>
    <w:rsid w:val="006076F4"/>
    <w:rsid w:val="00607787"/>
    <w:rsid w:val="00607AFD"/>
    <w:rsid w:val="006103B5"/>
    <w:rsid w:val="006118F5"/>
    <w:rsid w:val="00611F9E"/>
    <w:rsid w:val="00611FCE"/>
    <w:rsid w:val="00612C51"/>
    <w:rsid w:val="00612F97"/>
    <w:rsid w:val="0061345D"/>
    <w:rsid w:val="00614243"/>
    <w:rsid w:val="00614E26"/>
    <w:rsid w:val="0061549B"/>
    <w:rsid w:val="00615726"/>
    <w:rsid w:val="0061646E"/>
    <w:rsid w:val="00616802"/>
    <w:rsid w:val="00616B26"/>
    <w:rsid w:val="00617729"/>
    <w:rsid w:val="006177F6"/>
    <w:rsid w:val="00617E12"/>
    <w:rsid w:val="006208DC"/>
    <w:rsid w:val="00620936"/>
    <w:rsid w:val="00620C25"/>
    <w:rsid w:val="00620F87"/>
    <w:rsid w:val="006211B0"/>
    <w:rsid w:val="00621477"/>
    <w:rsid w:val="00621ADA"/>
    <w:rsid w:val="00623CE7"/>
    <w:rsid w:val="00623F7B"/>
    <w:rsid w:val="00624C43"/>
    <w:rsid w:val="00624E57"/>
    <w:rsid w:val="00624EB4"/>
    <w:rsid w:val="00625D00"/>
    <w:rsid w:val="006263F2"/>
    <w:rsid w:val="00626647"/>
    <w:rsid w:val="006269BB"/>
    <w:rsid w:val="00630934"/>
    <w:rsid w:val="00630C16"/>
    <w:rsid w:val="0063158F"/>
    <w:rsid w:val="00631D6B"/>
    <w:rsid w:val="00632183"/>
    <w:rsid w:val="00632B21"/>
    <w:rsid w:val="00632C04"/>
    <w:rsid w:val="006330A1"/>
    <w:rsid w:val="00633E97"/>
    <w:rsid w:val="0063479F"/>
    <w:rsid w:val="006353F0"/>
    <w:rsid w:val="006357B5"/>
    <w:rsid w:val="00635AF1"/>
    <w:rsid w:val="006360A4"/>
    <w:rsid w:val="006364A1"/>
    <w:rsid w:val="0063678E"/>
    <w:rsid w:val="00637BFD"/>
    <w:rsid w:val="00637C35"/>
    <w:rsid w:val="006407BD"/>
    <w:rsid w:val="00640805"/>
    <w:rsid w:val="0064110A"/>
    <w:rsid w:val="00641C4E"/>
    <w:rsid w:val="00641D97"/>
    <w:rsid w:val="00641EB8"/>
    <w:rsid w:val="00641FB3"/>
    <w:rsid w:val="00642D7F"/>
    <w:rsid w:val="00643261"/>
    <w:rsid w:val="00643B51"/>
    <w:rsid w:val="0064434C"/>
    <w:rsid w:val="00644CF2"/>
    <w:rsid w:val="00645549"/>
    <w:rsid w:val="00647127"/>
    <w:rsid w:val="006471CC"/>
    <w:rsid w:val="006471DD"/>
    <w:rsid w:val="0064781F"/>
    <w:rsid w:val="00647A29"/>
    <w:rsid w:val="006502B7"/>
    <w:rsid w:val="0065046F"/>
    <w:rsid w:val="00650480"/>
    <w:rsid w:val="0065079F"/>
    <w:rsid w:val="00651ED9"/>
    <w:rsid w:val="00652619"/>
    <w:rsid w:val="006528F1"/>
    <w:rsid w:val="00652A28"/>
    <w:rsid w:val="0065379F"/>
    <w:rsid w:val="00653D45"/>
    <w:rsid w:val="006559FA"/>
    <w:rsid w:val="00656188"/>
    <w:rsid w:val="0065715A"/>
    <w:rsid w:val="006571F3"/>
    <w:rsid w:val="006605D3"/>
    <w:rsid w:val="00660A25"/>
    <w:rsid w:val="00660C87"/>
    <w:rsid w:val="006610F1"/>
    <w:rsid w:val="006611E7"/>
    <w:rsid w:val="0066134C"/>
    <w:rsid w:val="00661C6B"/>
    <w:rsid w:val="00661E23"/>
    <w:rsid w:val="0066205A"/>
    <w:rsid w:val="00663470"/>
    <w:rsid w:val="006661E1"/>
    <w:rsid w:val="00666435"/>
    <w:rsid w:val="00667116"/>
    <w:rsid w:val="006672B6"/>
    <w:rsid w:val="0066750F"/>
    <w:rsid w:val="006678A6"/>
    <w:rsid w:val="00667FD7"/>
    <w:rsid w:val="00670237"/>
    <w:rsid w:val="00670381"/>
    <w:rsid w:val="00670490"/>
    <w:rsid w:val="0067079E"/>
    <w:rsid w:val="00670E41"/>
    <w:rsid w:val="00671004"/>
    <w:rsid w:val="006711B5"/>
    <w:rsid w:val="0067202A"/>
    <w:rsid w:val="00672646"/>
    <w:rsid w:val="006734CE"/>
    <w:rsid w:val="0067373D"/>
    <w:rsid w:val="006737EB"/>
    <w:rsid w:val="00673F22"/>
    <w:rsid w:val="00674E42"/>
    <w:rsid w:val="0067511F"/>
    <w:rsid w:val="00675934"/>
    <w:rsid w:val="00675EDC"/>
    <w:rsid w:val="00676143"/>
    <w:rsid w:val="00677504"/>
    <w:rsid w:val="006804EA"/>
    <w:rsid w:val="00680769"/>
    <w:rsid w:val="00680866"/>
    <w:rsid w:val="00680E12"/>
    <w:rsid w:val="006813F8"/>
    <w:rsid w:val="00681433"/>
    <w:rsid w:val="00681D39"/>
    <w:rsid w:val="00682112"/>
    <w:rsid w:val="00682BA6"/>
    <w:rsid w:val="006832CA"/>
    <w:rsid w:val="00684D91"/>
    <w:rsid w:val="006852F0"/>
    <w:rsid w:val="00685840"/>
    <w:rsid w:val="0068643E"/>
    <w:rsid w:val="00686957"/>
    <w:rsid w:val="00686A94"/>
    <w:rsid w:val="006872BA"/>
    <w:rsid w:val="00690375"/>
    <w:rsid w:val="00690795"/>
    <w:rsid w:val="00691648"/>
    <w:rsid w:val="006917D7"/>
    <w:rsid w:val="00691D3A"/>
    <w:rsid w:val="00693330"/>
    <w:rsid w:val="00693DB0"/>
    <w:rsid w:val="006940FD"/>
    <w:rsid w:val="006941A7"/>
    <w:rsid w:val="0069434C"/>
    <w:rsid w:val="006947CA"/>
    <w:rsid w:val="00694F44"/>
    <w:rsid w:val="00695656"/>
    <w:rsid w:val="00695C7C"/>
    <w:rsid w:val="00695D8C"/>
    <w:rsid w:val="00696701"/>
    <w:rsid w:val="00696F51"/>
    <w:rsid w:val="006979A5"/>
    <w:rsid w:val="00697EA2"/>
    <w:rsid w:val="006A0854"/>
    <w:rsid w:val="006A1014"/>
    <w:rsid w:val="006A2A5F"/>
    <w:rsid w:val="006A3B5E"/>
    <w:rsid w:val="006A40AE"/>
    <w:rsid w:val="006A48E0"/>
    <w:rsid w:val="006A5B16"/>
    <w:rsid w:val="006A61C8"/>
    <w:rsid w:val="006A6272"/>
    <w:rsid w:val="006A68DD"/>
    <w:rsid w:val="006A6B99"/>
    <w:rsid w:val="006A72F3"/>
    <w:rsid w:val="006A7B50"/>
    <w:rsid w:val="006A7C0D"/>
    <w:rsid w:val="006A7E5F"/>
    <w:rsid w:val="006A7F34"/>
    <w:rsid w:val="006B0589"/>
    <w:rsid w:val="006B0FF4"/>
    <w:rsid w:val="006B1529"/>
    <w:rsid w:val="006B25BF"/>
    <w:rsid w:val="006B261B"/>
    <w:rsid w:val="006B2C90"/>
    <w:rsid w:val="006B35E6"/>
    <w:rsid w:val="006B465A"/>
    <w:rsid w:val="006B48BF"/>
    <w:rsid w:val="006B68B4"/>
    <w:rsid w:val="006B6DD0"/>
    <w:rsid w:val="006B714E"/>
    <w:rsid w:val="006B7BA6"/>
    <w:rsid w:val="006B7EEC"/>
    <w:rsid w:val="006C0399"/>
    <w:rsid w:val="006C0BFB"/>
    <w:rsid w:val="006C285A"/>
    <w:rsid w:val="006C2A8E"/>
    <w:rsid w:val="006C2FBE"/>
    <w:rsid w:val="006C3255"/>
    <w:rsid w:val="006C3404"/>
    <w:rsid w:val="006C3F08"/>
    <w:rsid w:val="006C3F26"/>
    <w:rsid w:val="006C5960"/>
    <w:rsid w:val="006C59CC"/>
    <w:rsid w:val="006C7F13"/>
    <w:rsid w:val="006D0A7A"/>
    <w:rsid w:val="006D0AE8"/>
    <w:rsid w:val="006D0D17"/>
    <w:rsid w:val="006D154D"/>
    <w:rsid w:val="006D1DD7"/>
    <w:rsid w:val="006D2EED"/>
    <w:rsid w:val="006D3C7D"/>
    <w:rsid w:val="006D3D47"/>
    <w:rsid w:val="006D4659"/>
    <w:rsid w:val="006D4E1D"/>
    <w:rsid w:val="006D5370"/>
    <w:rsid w:val="006D5D5F"/>
    <w:rsid w:val="006D65C7"/>
    <w:rsid w:val="006D68FB"/>
    <w:rsid w:val="006D710B"/>
    <w:rsid w:val="006D7590"/>
    <w:rsid w:val="006D77B1"/>
    <w:rsid w:val="006D7E24"/>
    <w:rsid w:val="006D7F8B"/>
    <w:rsid w:val="006E00B4"/>
    <w:rsid w:val="006E0D73"/>
    <w:rsid w:val="006E1230"/>
    <w:rsid w:val="006E1875"/>
    <w:rsid w:val="006E1D4F"/>
    <w:rsid w:val="006E2844"/>
    <w:rsid w:val="006E2868"/>
    <w:rsid w:val="006E3B09"/>
    <w:rsid w:val="006E3E22"/>
    <w:rsid w:val="006E3EF0"/>
    <w:rsid w:val="006E5C0F"/>
    <w:rsid w:val="006E5EC6"/>
    <w:rsid w:val="006E61FB"/>
    <w:rsid w:val="006E7C78"/>
    <w:rsid w:val="006F15D4"/>
    <w:rsid w:val="006F2A68"/>
    <w:rsid w:val="006F2E98"/>
    <w:rsid w:val="006F306C"/>
    <w:rsid w:val="006F33D0"/>
    <w:rsid w:val="006F3D43"/>
    <w:rsid w:val="006F3D65"/>
    <w:rsid w:val="006F4141"/>
    <w:rsid w:val="006F4335"/>
    <w:rsid w:val="006F4CA3"/>
    <w:rsid w:val="006F59C7"/>
    <w:rsid w:val="006F63A5"/>
    <w:rsid w:val="006F7608"/>
    <w:rsid w:val="007007DD"/>
    <w:rsid w:val="0070127C"/>
    <w:rsid w:val="0070142B"/>
    <w:rsid w:val="00701746"/>
    <w:rsid w:val="007021AD"/>
    <w:rsid w:val="0070276E"/>
    <w:rsid w:val="00702CDF"/>
    <w:rsid w:val="00702F8F"/>
    <w:rsid w:val="007039BB"/>
    <w:rsid w:val="00703E23"/>
    <w:rsid w:val="00704F69"/>
    <w:rsid w:val="00705BC5"/>
    <w:rsid w:val="00705D8A"/>
    <w:rsid w:val="00706149"/>
    <w:rsid w:val="00706F2C"/>
    <w:rsid w:val="007075E8"/>
    <w:rsid w:val="0070782A"/>
    <w:rsid w:val="007079FC"/>
    <w:rsid w:val="007105E1"/>
    <w:rsid w:val="00710676"/>
    <w:rsid w:val="007106C4"/>
    <w:rsid w:val="00711861"/>
    <w:rsid w:val="00711A36"/>
    <w:rsid w:val="007132E8"/>
    <w:rsid w:val="00714621"/>
    <w:rsid w:val="007147FD"/>
    <w:rsid w:val="00714C26"/>
    <w:rsid w:val="0071529C"/>
    <w:rsid w:val="00716210"/>
    <w:rsid w:val="007167E2"/>
    <w:rsid w:val="007170DA"/>
    <w:rsid w:val="007172AD"/>
    <w:rsid w:val="00720801"/>
    <w:rsid w:val="007224F8"/>
    <w:rsid w:val="00722B1B"/>
    <w:rsid w:val="0072416F"/>
    <w:rsid w:val="0072502E"/>
    <w:rsid w:val="00725EC0"/>
    <w:rsid w:val="0072636E"/>
    <w:rsid w:val="007263B1"/>
    <w:rsid w:val="00726D9D"/>
    <w:rsid w:val="00726F77"/>
    <w:rsid w:val="007276C4"/>
    <w:rsid w:val="00727C94"/>
    <w:rsid w:val="00727DB9"/>
    <w:rsid w:val="0073064D"/>
    <w:rsid w:val="00731A71"/>
    <w:rsid w:val="00731B0A"/>
    <w:rsid w:val="00731EAE"/>
    <w:rsid w:val="0073211C"/>
    <w:rsid w:val="00732AE6"/>
    <w:rsid w:val="00733073"/>
    <w:rsid w:val="0073328E"/>
    <w:rsid w:val="00733C11"/>
    <w:rsid w:val="00733FD1"/>
    <w:rsid w:val="00735033"/>
    <w:rsid w:val="00735328"/>
    <w:rsid w:val="00735DE7"/>
    <w:rsid w:val="00735FD8"/>
    <w:rsid w:val="0073685B"/>
    <w:rsid w:val="00737A50"/>
    <w:rsid w:val="00740114"/>
    <w:rsid w:val="00740B34"/>
    <w:rsid w:val="007411FF"/>
    <w:rsid w:val="00741F9E"/>
    <w:rsid w:val="007420E2"/>
    <w:rsid w:val="00742186"/>
    <w:rsid w:val="00743B4C"/>
    <w:rsid w:val="007447F0"/>
    <w:rsid w:val="007449BF"/>
    <w:rsid w:val="00744DE0"/>
    <w:rsid w:val="00746BC0"/>
    <w:rsid w:val="00750A13"/>
    <w:rsid w:val="007510B4"/>
    <w:rsid w:val="00751D6D"/>
    <w:rsid w:val="00752142"/>
    <w:rsid w:val="007523F9"/>
    <w:rsid w:val="00752D6B"/>
    <w:rsid w:val="0075357E"/>
    <w:rsid w:val="00753FD2"/>
    <w:rsid w:val="00754314"/>
    <w:rsid w:val="00754A86"/>
    <w:rsid w:val="00754B7C"/>
    <w:rsid w:val="00754DB4"/>
    <w:rsid w:val="007550D7"/>
    <w:rsid w:val="007551CB"/>
    <w:rsid w:val="007573E8"/>
    <w:rsid w:val="00757A99"/>
    <w:rsid w:val="00757B49"/>
    <w:rsid w:val="00757D4E"/>
    <w:rsid w:val="00760162"/>
    <w:rsid w:val="007601E2"/>
    <w:rsid w:val="00760282"/>
    <w:rsid w:val="0076052D"/>
    <w:rsid w:val="00760565"/>
    <w:rsid w:val="00760C4E"/>
    <w:rsid w:val="00760D11"/>
    <w:rsid w:val="00760F9E"/>
    <w:rsid w:val="007619DE"/>
    <w:rsid w:val="0076224A"/>
    <w:rsid w:val="007623AA"/>
    <w:rsid w:val="007627BE"/>
    <w:rsid w:val="00762DD2"/>
    <w:rsid w:val="00763A56"/>
    <w:rsid w:val="00763FA3"/>
    <w:rsid w:val="007640CF"/>
    <w:rsid w:val="007640F9"/>
    <w:rsid w:val="00764148"/>
    <w:rsid w:val="007641CA"/>
    <w:rsid w:val="00764BE8"/>
    <w:rsid w:val="00764F03"/>
    <w:rsid w:val="007655E6"/>
    <w:rsid w:val="00765A8D"/>
    <w:rsid w:val="00765B1A"/>
    <w:rsid w:val="00766776"/>
    <w:rsid w:val="0076685C"/>
    <w:rsid w:val="00766B08"/>
    <w:rsid w:val="00767772"/>
    <w:rsid w:val="007712FC"/>
    <w:rsid w:val="007715D1"/>
    <w:rsid w:val="00771664"/>
    <w:rsid w:val="007719F4"/>
    <w:rsid w:val="00771E4B"/>
    <w:rsid w:val="007720C5"/>
    <w:rsid w:val="007726C1"/>
    <w:rsid w:val="00772970"/>
    <w:rsid w:val="0077371C"/>
    <w:rsid w:val="00773CF1"/>
    <w:rsid w:val="00773D1C"/>
    <w:rsid w:val="007741EF"/>
    <w:rsid w:val="00775997"/>
    <w:rsid w:val="00776693"/>
    <w:rsid w:val="0077728B"/>
    <w:rsid w:val="00777335"/>
    <w:rsid w:val="0077736C"/>
    <w:rsid w:val="0078015E"/>
    <w:rsid w:val="0078025B"/>
    <w:rsid w:val="00780CCD"/>
    <w:rsid w:val="00781C6C"/>
    <w:rsid w:val="00781DFD"/>
    <w:rsid w:val="00782193"/>
    <w:rsid w:val="007827EC"/>
    <w:rsid w:val="007843F2"/>
    <w:rsid w:val="007849DE"/>
    <w:rsid w:val="0078544D"/>
    <w:rsid w:val="00785A9F"/>
    <w:rsid w:val="00786018"/>
    <w:rsid w:val="00790253"/>
    <w:rsid w:val="00791653"/>
    <w:rsid w:val="00792012"/>
    <w:rsid w:val="007925DF"/>
    <w:rsid w:val="0079304A"/>
    <w:rsid w:val="0079324E"/>
    <w:rsid w:val="0079589E"/>
    <w:rsid w:val="00795A07"/>
    <w:rsid w:val="00795F33"/>
    <w:rsid w:val="00796F14"/>
    <w:rsid w:val="00797B4B"/>
    <w:rsid w:val="007A031C"/>
    <w:rsid w:val="007A0355"/>
    <w:rsid w:val="007A08AA"/>
    <w:rsid w:val="007A0A12"/>
    <w:rsid w:val="007A132D"/>
    <w:rsid w:val="007A1345"/>
    <w:rsid w:val="007A1AE8"/>
    <w:rsid w:val="007A2606"/>
    <w:rsid w:val="007A2DDB"/>
    <w:rsid w:val="007A3533"/>
    <w:rsid w:val="007A3536"/>
    <w:rsid w:val="007A4329"/>
    <w:rsid w:val="007A4F19"/>
    <w:rsid w:val="007A57AC"/>
    <w:rsid w:val="007A6D83"/>
    <w:rsid w:val="007A6FE1"/>
    <w:rsid w:val="007A70BA"/>
    <w:rsid w:val="007A771E"/>
    <w:rsid w:val="007B0236"/>
    <w:rsid w:val="007B08DC"/>
    <w:rsid w:val="007B0995"/>
    <w:rsid w:val="007B0B60"/>
    <w:rsid w:val="007B0D68"/>
    <w:rsid w:val="007B11E4"/>
    <w:rsid w:val="007B251D"/>
    <w:rsid w:val="007B2C8F"/>
    <w:rsid w:val="007B35AA"/>
    <w:rsid w:val="007B35D8"/>
    <w:rsid w:val="007B4F28"/>
    <w:rsid w:val="007B4F58"/>
    <w:rsid w:val="007B528D"/>
    <w:rsid w:val="007B52FD"/>
    <w:rsid w:val="007B55E6"/>
    <w:rsid w:val="007B5DEE"/>
    <w:rsid w:val="007B63CA"/>
    <w:rsid w:val="007B64E3"/>
    <w:rsid w:val="007B6DF3"/>
    <w:rsid w:val="007B74B7"/>
    <w:rsid w:val="007B77D1"/>
    <w:rsid w:val="007B7B6A"/>
    <w:rsid w:val="007C07C7"/>
    <w:rsid w:val="007C1248"/>
    <w:rsid w:val="007C1CD9"/>
    <w:rsid w:val="007C1F3F"/>
    <w:rsid w:val="007C22B2"/>
    <w:rsid w:val="007C2B86"/>
    <w:rsid w:val="007C3116"/>
    <w:rsid w:val="007C32DA"/>
    <w:rsid w:val="007C32EF"/>
    <w:rsid w:val="007C361D"/>
    <w:rsid w:val="007C3E37"/>
    <w:rsid w:val="007C48DA"/>
    <w:rsid w:val="007C4B84"/>
    <w:rsid w:val="007C4C05"/>
    <w:rsid w:val="007C4F56"/>
    <w:rsid w:val="007C5D4C"/>
    <w:rsid w:val="007C646D"/>
    <w:rsid w:val="007C68F7"/>
    <w:rsid w:val="007C70FF"/>
    <w:rsid w:val="007C7287"/>
    <w:rsid w:val="007C7AA6"/>
    <w:rsid w:val="007C7C25"/>
    <w:rsid w:val="007C7F72"/>
    <w:rsid w:val="007D0028"/>
    <w:rsid w:val="007D004F"/>
    <w:rsid w:val="007D0B38"/>
    <w:rsid w:val="007D1CEE"/>
    <w:rsid w:val="007D242B"/>
    <w:rsid w:val="007D2901"/>
    <w:rsid w:val="007D2E72"/>
    <w:rsid w:val="007D3151"/>
    <w:rsid w:val="007D37AE"/>
    <w:rsid w:val="007D38F5"/>
    <w:rsid w:val="007D3D3D"/>
    <w:rsid w:val="007D3FE9"/>
    <w:rsid w:val="007D449C"/>
    <w:rsid w:val="007D44B1"/>
    <w:rsid w:val="007D4813"/>
    <w:rsid w:val="007D4FC0"/>
    <w:rsid w:val="007D4FFE"/>
    <w:rsid w:val="007D50AD"/>
    <w:rsid w:val="007D5440"/>
    <w:rsid w:val="007D5C02"/>
    <w:rsid w:val="007D620C"/>
    <w:rsid w:val="007D69EB"/>
    <w:rsid w:val="007D703E"/>
    <w:rsid w:val="007D7229"/>
    <w:rsid w:val="007E0925"/>
    <w:rsid w:val="007E128F"/>
    <w:rsid w:val="007E24FF"/>
    <w:rsid w:val="007E2C79"/>
    <w:rsid w:val="007E31BC"/>
    <w:rsid w:val="007E3238"/>
    <w:rsid w:val="007E4B08"/>
    <w:rsid w:val="007E56A0"/>
    <w:rsid w:val="007E579B"/>
    <w:rsid w:val="007E6661"/>
    <w:rsid w:val="007E6A45"/>
    <w:rsid w:val="007E6AB0"/>
    <w:rsid w:val="007E6B50"/>
    <w:rsid w:val="007E746D"/>
    <w:rsid w:val="007E7AD2"/>
    <w:rsid w:val="007E7E53"/>
    <w:rsid w:val="007E7EEE"/>
    <w:rsid w:val="007F0286"/>
    <w:rsid w:val="007F06C4"/>
    <w:rsid w:val="007F0C7B"/>
    <w:rsid w:val="007F1017"/>
    <w:rsid w:val="007F1C7C"/>
    <w:rsid w:val="007F2084"/>
    <w:rsid w:val="007F327B"/>
    <w:rsid w:val="007F38A2"/>
    <w:rsid w:val="007F3CD2"/>
    <w:rsid w:val="007F48E2"/>
    <w:rsid w:val="007F4A3F"/>
    <w:rsid w:val="007F4A61"/>
    <w:rsid w:val="007F5255"/>
    <w:rsid w:val="007F56CC"/>
    <w:rsid w:val="007F61C2"/>
    <w:rsid w:val="007F6E9A"/>
    <w:rsid w:val="007F7106"/>
    <w:rsid w:val="007F7E07"/>
    <w:rsid w:val="008000B6"/>
    <w:rsid w:val="00800A0F"/>
    <w:rsid w:val="00801227"/>
    <w:rsid w:val="00801DAF"/>
    <w:rsid w:val="00803C97"/>
    <w:rsid w:val="00805142"/>
    <w:rsid w:val="00805699"/>
    <w:rsid w:val="00805FCE"/>
    <w:rsid w:val="00807941"/>
    <w:rsid w:val="00807A8B"/>
    <w:rsid w:val="00810821"/>
    <w:rsid w:val="008108C7"/>
    <w:rsid w:val="00810F2C"/>
    <w:rsid w:val="00811383"/>
    <w:rsid w:val="008113FA"/>
    <w:rsid w:val="00812149"/>
    <w:rsid w:val="008121EC"/>
    <w:rsid w:val="00812CAC"/>
    <w:rsid w:val="008145BC"/>
    <w:rsid w:val="00814C0A"/>
    <w:rsid w:val="00814C2E"/>
    <w:rsid w:val="00816361"/>
    <w:rsid w:val="0081650D"/>
    <w:rsid w:val="008166EF"/>
    <w:rsid w:val="00816A38"/>
    <w:rsid w:val="00816B88"/>
    <w:rsid w:val="00816C0E"/>
    <w:rsid w:val="00816FEF"/>
    <w:rsid w:val="00816FF1"/>
    <w:rsid w:val="00820894"/>
    <w:rsid w:val="00820A8C"/>
    <w:rsid w:val="008215FB"/>
    <w:rsid w:val="00821D1A"/>
    <w:rsid w:val="00822613"/>
    <w:rsid w:val="0082289E"/>
    <w:rsid w:val="00822D38"/>
    <w:rsid w:val="00822E5B"/>
    <w:rsid w:val="00823174"/>
    <w:rsid w:val="00824ED2"/>
    <w:rsid w:val="00824FA7"/>
    <w:rsid w:val="00824FEE"/>
    <w:rsid w:val="00825321"/>
    <w:rsid w:val="00825751"/>
    <w:rsid w:val="0082617C"/>
    <w:rsid w:val="008264EB"/>
    <w:rsid w:val="00826988"/>
    <w:rsid w:val="00830023"/>
    <w:rsid w:val="008309DB"/>
    <w:rsid w:val="00830DBF"/>
    <w:rsid w:val="00831757"/>
    <w:rsid w:val="0083190B"/>
    <w:rsid w:val="00831913"/>
    <w:rsid w:val="00832543"/>
    <w:rsid w:val="0083298A"/>
    <w:rsid w:val="00833505"/>
    <w:rsid w:val="00833B05"/>
    <w:rsid w:val="00833CE3"/>
    <w:rsid w:val="00834804"/>
    <w:rsid w:val="008359AF"/>
    <w:rsid w:val="008362B4"/>
    <w:rsid w:val="00837AE6"/>
    <w:rsid w:val="00837ED6"/>
    <w:rsid w:val="008400B0"/>
    <w:rsid w:val="008407D0"/>
    <w:rsid w:val="00840C34"/>
    <w:rsid w:val="00840CA2"/>
    <w:rsid w:val="00841648"/>
    <w:rsid w:val="00842F9F"/>
    <w:rsid w:val="008432D0"/>
    <w:rsid w:val="00843408"/>
    <w:rsid w:val="0084361B"/>
    <w:rsid w:val="0084374F"/>
    <w:rsid w:val="0084405E"/>
    <w:rsid w:val="00844A22"/>
    <w:rsid w:val="00844AB2"/>
    <w:rsid w:val="00845D6A"/>
    <w:rsid w:val="00846187"/>
    <w:rsid w:val="008462EB"/>
    <w:rsid w:val="008466F3"/>
    <w:rsid w:val="0084765E"/>
    <w:rsid w:val="00847703"/>
    <w:rsid w:val="00847DF5"/>
    <w:rsid w:val="00847F8F"/>
    <w:rsid w:val="0085063F"/>
    <w:rsid w:val="0085309D"/>
    <w:rsid w:val="008531C1"/>
    <w:rsid w:val="008532FF"/>
    <w:rsid w:val="00853F15"/>
    <w:rsid w:val="00854A25"/>
    <w:rsid w:val="00855E0A"/>
    <w:rsid w:val="008561A1"/>
    <w:rsid w:val="008561F3"/>
    <w:rsid w:val="00856897"/>
    <w:rsid w:val="008569CA"/>
    <w:rsid w:val="00856CCA"/>
    <w:rsid w:val="00856E9A"/>
    <w:rsid w:val="0086075D"/>
    <w:rsid w:val="008607AA"/>
    <w:rsid w:val="00860994"/>
    <w:rsid w:val="00860B7B"/>
    <w:rsid w:val="00862502"/>
    <w:rsid w:val="00862731"/>
    <w:rsid w:val="00862CC1"/>
    <w:rsid w:val="0086393A"/>
    <w:rsid w:val="00863FA5"/>
    <w:rsid w:val="00864873"/>
    <w:rsid w:val="00864991"/>
    <w:rsid w:val="00864C68"/>
    <w:rsid w:val="00864EA7"/>
    <w:rsid w:val="008657E1"/>
    <w:rsid w:val="00865FD3"/>
    <w:rsid w:val="008660D4"/>
    <w:rsid w:val="00866A1E"/>
    <w:rsid w:val="0086736B"/>
    <w:rsid w:val="008674BF"/>
    <w:rsid w:val="00867F01"/>
    <w:rsid w:val="0087056E"/>
    <w:rsid w:val="00870DFE"/>
    <w:rsid w:val="00871B03"/>
    <w:rsid w:val="00871CD5"/>
    <w:rsid w:val="00871F95"/>
    <w:rsid w:val="00871FA9"/>
    <w:rsid w:val="008728E9"/>
    <w:rsid w:val="00873DBC"/>
    <w:rsid w:val="00874635"/>
    <w:rsid w:val="00874F66"/>
    <w:rsid w:val="00875555"/>
    <w:rsid w:val="00875725"/>
    <w:rsid w:val="008759CE"/>
    <w:rsid w:val="00876076"/>
    <w:rsid w:val="008770EB"/>
    <w:rsid w:val="008776D7"/>
    <w:rsid w:val="008777C5"/>
    <w:rsid w:val="0088245B"/>
    <w:rsid w:val="00882874"/>
    <w:rsid w:val="00882E3C"/>
    <w:rsid w:val="00883588"/>
    <w:rsid w:val="00883787"/>
    <w:rsid w:val="0088392A"/>
    <w:rsid w:val="008847E7"/>
    <w:rsid w:val="008855E4"/>
    <w:rsid w:val="00886CD2"/>
    <w:rsid w:val="00886F72"/>
    <w:rsid w:val="008908C7"/>
    <w:rsid w:val="00890C4F"/>
    <w:rsid w:val="00890D16"/>
    <w:rsid w:val="008910FE"/>
    <w:rsid w:val="008912C6"/>
    <w:rsid w:val="008916A3"/>
    <w:rsid w:val="00891B7F"/>
    <w:rsid w:val="00891CD2"/>
    <w:rsid w:val="00891D2A"/>
    <w:rsid w:val="00891E6F"/>
    <w:rsid w:val="0089275D"/>
    <w:rsid w:val="00892A36"/>
    <w:rsid w:val="00892E36"/>
    <w:rsid w:val="0089315D"/>
    <w:rsid w:val="00893239"/>
    <w:rsid w:val="00894489"/>
    <w:rsid w:val="00894856"/>
    <w:rsid w:val="00894DF1"/>
    <w:rsid w:val="00895211"/>
    <w:rsid w:val="00895714"/>
    <w:rsid w:val="00895CC2"/>
    <w:rsid w:val="008963A5"/>
    <w:rsid w:val="00896A4C"/>
    <w:rsid w:val="00896BCE"/>
    <w:rsid w:val="00896D5D"/>
    <w:rsid w:val="00897053"/>
    <w:rsid w:val="008971B4"/>
    <w:rsid w:val="008972A5"/>
    <w:rsid w:val="0089753D"/>
    <w:rsid w:val="008A0971"/>
    <w:rsid w:val="008A1D29"/>
    <w:rsid w:val="008A1DFF"/>
    <w:rsid w:val="008A21C2"/>
    <w:rsid w:val="008A22B7"/>
    <w:rsid w:val="008A3363"/>
    <w:rsid w:val="008A3371"/>
    <w:rsid w:val="008A37C2"/>
    <w:rsid w:val="008A3C3E"/>
    <w:rsid w:val="008A3DDC"/>
    <w:rsid w:val="008A49AD"/>
    <w:rsid w:val="008A55E9"/>
    <w:rsid w:val="008A6CF5"/>
    <w:rsid w:val="008A7168"/>
    <w:rsid w:val="008A78D4"/>
    <w:rsid w:val="008A79DE"/>
    <w:rsid w:val="008A7B5E"/>
    <w:rsid w:val="008A7DA3"/>
    <w:rsid w:val="008B022F"/>
    <w:rsid w:val="008B06BF"/>
    <w:rsid w:val="008B09D6"/>
    <w:rsid w:val="008B1757"/>
    <w:rsid w:val="008B2711"/>
    <w:rsid w:val="008B4216"/>
    <w:rsid w:val="008B54D9"/>
    <w:rsid w:val="008B58C9"/>
    <w:rsid w:val="008B5FC5"/>
    <w:rsid w:val="008B65E8"/>
    <w:rsid w:val="008B709C"/>
    <w:rsid w:val="008B7992"/>
    <w:rsid w:val="008B7D7E"/>
    <w:rsid w:val="008C020A"/>
    <w:rsid w:val="008C0743"/>
    <w:rsid w:val="008C1F14"/>
    <w:rsid w:val="008C2373"/>
    <w:rsid w:val="008C274D"/>
    <w:rsid w:val="008C4091"/>
    <w:rsid w:val="008C5610"/>
    <w:rsid w:val="008C5739"/>
    <w:rsid w:val="008C59A2"/>
    <w:rsid w:val="008C5CF8"/>
    <w:rsid w:val="008C637A"/>
    <w:rsid w:val="008C6FCA"/>
    <w:rsid w:val="008C7269"/>
    <w:rsid w:val="008C72F4"/>
    <w:rsid w:val="008C78E0"/>
    <w:rsid w:val="008C7D03"/>
    <w:rsid w:val="008C7ECB"/>
    <w:rsid w:val="008D0387"/>
    <w:rsid w:val="008D1303"/>
    <w:rsid w:val="008D15E7"/>
    <w:rsid w:val="008D17F6"/>
    <w:rsid w:val="008D2CDF"/>
    <w:rsid w:val="008D30AE"/>
    <w:rsid w:val="008D3B86"/>
    <w:rsid w:val="008D4755"/>
    <w:rsid w:val="008D47CA"/>
    <w:rsid w:val="008D4C3D"/>
    <w:rsid w:val="008D55FD"/>
    <w:rsid w:val="008D56B7"/>
    <w:rsid w:val="008D59F7"/>
    <w:rsid w:val="008D71D3"/>
    <w:rsid w:val="008D743C"/>
    <w:rsid w:val="008D7483"/>
    <w:rsid w:val="008E02BB"/>
    <w:rsid w:val="008E07A0"/>
    <w:rsid w:val="008E0D3C"/>
    <w:rsid w:val="008E1122"/>
    <w:rsid w:val="008E128B"/>
    <w:rsid w:val="008E1B9E"/>
    <w:rsid w:val="008E2ADE"/>
    <w:rsid w:val="008E2BCA"/>
    <w:rsid w:val="008E336C"/>
    <w:rsid w:val="008E5097"/>
    <w:rsid w:val="008E5319"/>
    <w:rsid w:val="008E55AB"/>
    <w:rsid w:val="008E5F56"/>
    <w:rsid w:val="008E61D1"/>
    <w:rsid w:val="008F120A"/>
    <w:rsid w:val="008F1FF3"/>
    <w:rsid w:val="008F2018"/>
    <w:rsid w:val="008F27E0"/>
    <w:rsid w:val="008F3000"/>
    <w:rsid w:val="008F38B7"/>
    <w:rsid w:val="008F3D15"/>
    <w:rsid w:val="008F3F5A"/>
    <w:rsid w:val="008F3F71"/>
    <w:rsid w:val="008F48EB"/>
    <w:rsid w:val="008F4B37"/>
    <w:rsid w:val="008F4C7F"/>
    <w:rsid w:val="008F4D7C"/>
    <w:rsid w:val="008F4F0B"/>
    <w:rsid w:val="008F5410"/>
    <w:rsid w:val="008F65A8"/>
    <w:rsid w:val="008F74F0"/>
    <w:rsid w:val="008F7B8D"/>
    <w:rsid w:val="0090083C"/>
    <w:rsid w:val="00900FDF"/>
    <w:rsid w:val="0090143C"/>
    <w:rsid w:val="00901600"/>
    <w:rsid w:val="00901934"/>
    <w:rsid w:val="009019D7"/>
    <w:rsid w:val="009035EC"/>
    <w:rsid w:val="009046C4"/>
    <w:rsid w:val="00904A28"/>
    <w:rsid w:val="00904ACC"/>
    <w:rsid w:val="00904EA8"/>
    <w:rsid w:val="00905CB8"/>
    <w:rsid w:val="009062A5"/>
    <w:rsid w:val="009074CE"/>
    <w:rsid w:val="00907B54"/>
    <w:rsid w:val="00907B61"/>
    <w:rsid w:val="00907CC9"/>
    <w:rsid w:val="00910ACF"/>
    <w:rsid w:val="00910D94"/>
    <w:rsid w:val="00910FA7"/>
    <w:rsid w:val="00911272"/>
    <w:rsid w:val="009120A3"/>
    <w:rsid w:val="00912B89"/>
    <w:rsid w:val="009135D6"/>
    <w:rsid w:val="00914C77"/>
    <w:rsid w:val="00915333"/>
    <w:rsid w:val="00917069"/>
    <w:rsid w:val="009173DE"/>
    <w:rsid w:val="0092024D"/>
    <w:rsid w:val="00920C93"/>
    <w:rsid w:val="00921282"/>
    <w:rsid w:val="00921ACB"/>
    <w:rsid w:val="00921D63"/>
    <w:rsid w:val="00921DEC"/>
    <w:rsid w:val="009222B9"/>
    <w:rsid w:val="009224B3"/>
    <w:rsid w:val="0092264C"/>
    <w:rsid w:val="0092369B"/>
    <w:rsid w:val="009239BC"/>
    <w:rsid w:val="00924952"/>
    <w:rsid w:val="00924AAB"/>
    <w:rsid w:val="00924C8F"/>
    <w:rsid w:val="00925852"/>
    <w:rsid w:val="00926D03"/>
    <w:rsid w:val="00926F34"/>
    <w:rsid w:val="009271D1"/>
    <w:rsid w:val="00927B97"/>
    <w:rsid w:val="0093071C"/>
    <w:rsid w:val="00930C73"/>
    <w:rsid w:val="009315A2"/>
    <w:rsid w:val="00931B18"/>
    <w:rsid w:val="00932897"/>
    <w:rsid w:val="00932D9A"/>
    <w:rsid w:val="00933BF1"/>
    <w:rsid w:val="009342A2"/>
    <w:rsid w:val="009342DE"/>
    <w:rsid w:val="0093480D"/>
    <w:rsid w:val="00934988"/>
    <w:rsid w:val="00934BAF"/>
    <w:rsid w:val="009357CB"/>
    <w:rsid w:val="00936D17"/>
    <w:rsid w:val="00937089"/>
    <w:rsid w:val="00940293"/>
    <w:rsid w:val="0094216A"/>
    <w:rsid w:val="00942F82"/>
    <w:rsid w:val="00942FA3"/>
    <w:rsid w:val="00944A06"/>
    <w:rsid w:val="00944F8A"/>
    <w:rsid w:val="00945216"/>
    <w:rsid w:val="00945631"/>
    <w:rsid w:val="00945636"/>
    <w:rsid w:val="009459BC"/>
    <w:rsid w:val="00945AE1"/>
    <w:rsid w:val="00945D59"/>
    <w:rsid w:val="009510A2"/>
    <w:rsid w:val="00951FF1"/>
    <w:rsid w:val="009521B8"/>
    <w:rsid w:val="00952376"/>
    <w:rsid w:val="009525EA"/>
    <w:rsid w:val="00952C45"/>
    <w:rsid w:val="00952D72"/>
    <w:rsid w:val="00953257"/>
    <w:rsid w:val="00953B28"/>
    <w:rsid w:val="009541E3"/>
    <w:rsid w:val="0095474C"/>
    <w:rsid w:val="00954FB0"/>
    <w:rsid w:val="00955DBE"/>
    <w:rsid w:val="009562E8"/>
    <w:rsid w:val="00956866"/>
    <w:rsid w:val="0096172C"/>
    <w:rsid w:val="0096295D"/>
    <w:rsid w:val="00962CB9"/>
    <w:rsid w:val="00963433"/>
    <w:rsid w:val="00963EC6"/>
    <w:rsid w:val="00964312"/>
    <w:rsid w:val="00964A76"/>
    <w:rsid w:val="00964F2B"/>
    <w:rsid w:val="00964F45"/>
    <w:rsid w:val="009656B5"/>
    <w:rsid w:val="00965B8A"/>
    <w:rsid w:val="00966332"/>
    <w:rsid w:val="0096635C"/>
    <w:rsid w:val="009679C8"/>
    <w:rsid w:val="0097071F"/>
    <w:rsid w:val="00970789"/>
    <w:rsid w:val="00970C6A"/>
    <w:rsid w:val="009717AC"/>
    <w:rsid w:val="00971F10"/>
    <w:rsid w:val="0097229E"/>
    <w:rsid w:val="00973DA4"/>
    <w:rsid w:val="00974A4B"/>
    <w:rsid w:val="00975050"/>
    <w:rsid w:val="009750AA"/>
    <w:rsid w:val="009751C1"/>
    <w:rsid w:val="00975647"/>
    <w:rsid w:val="00976EF2"/>
    <w:rsid w:val="009774E1"/>
    <w:rsid w:val="009801F0"/>
    <w:rsid w:val="009807FD"/>
    <w:rsid w:val="009811F1"/>
    <w:rsid w:val="009815BB"/>
    <w:rsid w:val="009824E9"/>
    <w:rsid w:val="00982EED"/>
    <w:rsid w:val="00982FC0"/>
    <w:rsid w:val="0098315C"/>
    <w:rsid w:val="009831CE"/>
    <w:rsid w:val="00983836"/>
    <w:rsid w:val="00983E57"/>
    <w:rsid w:val="0098507C"/>
    <w:rsid w:val="009855A3"/>
    <w:rsid w:val="00985DE2"/>
    <w:rsid w:val="00986644"/>
    <w:rsid w:val="0098675D"/>
    <w:rsid w:val="00986A1D"/>
    <w:rsid w:val="00986B8A"/>
    <w:rsid w:val="009877EE"/>
    <w:rsid w:val="0098799A"/>
    <w:rsid w:val="009906D4"/>
    <w:rsid w:val="0099070A"/>
    <w:rsid w:val="00990DA6"/>
    <w:rsid w:val="0099115B"/>
    <w:rsid w:val="00991F26"/>
    <w:rsid w:val="009926E0"/>
    <w:rsid w:val="009927C4"/>
    <w:rsid w:val="0099341F"/>
    <w:rsid w:val="009939E3"/>
    <w:rsid w:val="0099451E"/>
    <w:rsid w:val="0099452C"/>
    <w:rsid w:val="00994661"/>
    <w:rsid w:val="00995A0B"/>
    <w:rsid w:val="00995B1B"/>
    <w:rsid w:val="00995DC2"/>
    <w:rsid w:val="00996745"/>
    <w:rsid w:val="009967DD"/>
    <w:rsid w:val="00996B1A"/>
    <w:rsid w:val="00996F78"/>
    <w:rsid w:val="009971F7"/>
    <w:rsid w:val="009A038B"/>
    <w:rsid w:val="009A283A"/>
    <w:rsid w:val="009A2DCC"/>
    <w:rsid w:val="009A36D2"/>
    <w:rsid w:val="009A3BD1"/>
    <w:rsid w:val="009A3D28"/>
    <w:rsid w:val="009A3F89"/>
    <w:rsid w:val="009A3F97"/>
    <w:rsid w:val="009A4147"/>
    <w:rsid w:val="009A4F88"/>
    <w:rsid w:val="009A5108"/>
    <w:rsid w:val="009A566F"/>
    <w:rsid w:val="009A5928"/>
    <w:rsid w:val="009A5ABC"/>
    <w:rsid w:val="009A6941"/>
    <w:rsid w:val="009A7565"/>
    <w:rsid w:val="009A7F10"/>
    <w:rsid w:val="009B1BD5"/>
    <w:rsid w:val="009B1DE8"/>
    <w:rsid w:val="009B1E3D"/>
    <w:rsid w:val="009B2095"/>
    <w:rsid w:val="009B20D5"/>
    <w:rsid w:val="009B218E"/>
    <w:rsid w:val="009B246C"/>
    <w:rsid w:val="009B3E26"/>
    <w:rsid w:val="009B4201"/>
    <w:rsid w:val="009B4F24"/>
    <w:rsid w:val="009B5247"/>
    <w:rsid w:val="009B6AFC"/>
    <w:rsid w:val="009B762F"/>
    <w:rsid w:val="009C0127"/>
    <w:rsid w:val="009C0518"/>
    <w:rsid w:val="009C1C2E"/>
    <w:rsid w:val="009C2C49"/>
    <w:rsid w:val="009C2CD9"/>
    <w:rsid w:val="009C3706"/>
    <w:rsid w:val="009C3802"/>
    <w:rsid w:val="009C3A3A"/>
    <w:rsid w:val="009C4458"/>
    <w:rsid w:val="009C44E1"/>
    <w:rsid w:val="009C6864"/>
    <w:rsid w:val="009C6CEA"/>
    <w:rsid w:val="009C6ED7"/>
    <w:rsid w:val="009C714F"/>
    <w:rsid w:val="009C735A"/>
    <w:rsid w:val="009C7B85"/>
    <w:rsid w:val="009D0254"/>
    <w:rsid w:val="009D039C"/>
    <w:rsid w:val="009D09B3"/>
    <w:rsid w:val="009D1A64"/>
    <w:rsid w:val="009D1F12"/>
    <w:rsid w:val="009D2302"/>
    <w:rsid w:val="009D391E"/>
    <w:rsid w:val="009D4620"/>
    <w:rsid w:val="009D4D0D"/>
    <w:rsid w:val="009D5B91"/>
    <w:rsid w:val="009D6103"/>
    <w:rsid w:val="009D730E"/>
    <w:rsid w:val="009D792E"/>
    <w:rsid w:val="009E0762"/>
    <w:rsid w:val="009E0DFE"/>
    <w:rsid w:val="009E0EBA"/>
    <w:rsid w:val="009E0F52"/>
    <w:rsid w:val="009E13F1"/>
    <w:rsid w:val="009E1739"/>
    <w:rsid w:val="009E1D7E"/>
    <w:rsid w:val="009E1F9C"/>
    <w:rsid w:val="009E1FA3"/>
    <w:rsid w:val="009E2093"/>
    <w:rsid w:val="009E23E0"/>
    <w:rsid w:val="009E27AF"/>
    <w:rsid w:val="009E2F3F"/>
    <w:rsid w:val="009E2FCF"/>
    <w:rsid w:val="009E31F6"/>
    <w:rsid w:val="009E324E"/>
    <w:rsid w:val="009E4C07"/>
    <w:rsid w:val="009E54D2"/>
    <w:rsid w:val="009E5EA5"/>
    <w:rsid w:val="009E7074"/>
    <w:rsid w:val="009E7BE5"/>
    <w:rsid w:val="009F1091"/>
    <w:rsid w:val="009F1B0B"/>
    <w:rsid w:val="009F23F8"/>
    <w:rsid w:val="009F2B22"/>
    <w:rsid w:val="009F35FD"/>
    <w:rsid w:val="009F3D00"/>
    <w:rsid w:val="009F444D"/>
    <w:rsid w:val="009F4515"/>
    <w:rsid w:val="009F4D24"/>
    <w:rsid w:val="009F5BA0"/>
    <w:rsid w:val="009F5DB1"/>
    <w:rsid w:val="009F63AC"/>
    <w:rsid w:val="00A001D2"/>
    <w:rsid w:val="00A00850"/>
    <w:rsid w:val="00A01184"/>
    <w:rsid w:val="00A01673"/>
    <w:rsid w:val="00A02E36"/>
    <w:rsid w:val="00A02F49"/>
    <w:rsid w:val="00A037C2"/>
    <w:rsid w:val="00A03C4A"/>
    <w:rsid w:val="00A03D43"/>
    <w:rsid w:val="00A04380"/>
    <w:rsid w:val="00A0441B"/>
    <w:rsid w:val="00A045BC"/>
    <w:rsid w:val="00A05472"/>
    <w:rsid w:val="00A05C32"/>
    <w:rsid w:val="00A064AA"/>
    <w:rsid w:val="00A0653F"/>
    <w:rsid w:val="00A06923"/>
    <w:rsid w:val="00A06C5B"/>
    <w:rsid w:val="00A06D26"/>
    <w:rsid w:val="00A072CD"/>
    <w:rsid w:val="00A10C4C"/>
    <w:rsid w:val="00A119C2"/>
    <w:rsid w:val="00A11CD0"/>
    <w:rsid w:val="00A13948"/>
    <w:rsid w:val="00A141B9"/>
    <w:rsid w:val="00A1453B"/>
    <w:rsid w:val="00A147E4"/>
    <w:rsid w:val="00A152F9"/>
    <w:rsid w:val="00A1555B"/>
    <w:rsid w:val="00A155C5"/>
    <w:rsid w:val="00A16238"/>
    <w:rsid w:val="00A162F3"/>
    <w:rsid w:val="00A16AD8"/>
    <w:rsid w:val="00A16C64"/>
    <w:rsid w:val="00A16FD2"/>
    <w:rsid w:val="00A175EA"/>
    <w:rsid w:val="00A17D17"/>
    <w:rsid w:val="00A20A1F"/>
    <w:rsid w:val="00A20F13"/>
    <w:rsid w:val="00A21B8F"/>
    <w:rsid w:val="00A21C95"/>
    <w:rsid w:val="00A21CF3"/>
    <w:rsid w:val="00A21E2D"/>
    <w:rsid w:val="00A220A6"/>
    <w:rsid w:val="00A2256D"/>
    <w:rsid w:val="00A22923"/>
    <w:rsid w:val="00A2331E"/>
    <w:rsid w:val="00A23C74"/>
    <w:rsid w:val="00A24813"/>
    <w:rsid w:val="00A24832"/>
    <w:rsid w:val="00A24886"/>
    <w:rsid w:val="00A25DCC"/>
    <w:rsid w:val="00A278AF"/>
    <w:rsid w:val="00A27AEC"/>
    <w:rsid w:val="00A31384"/>
    <w:rsid w:val="00A31392"/>
    <w:rsid w:val="00A31673"/>
    <w:rsid w:val="00A320DB"/>
    <w:rsid w:val="00A32186"/>
    <w:rsid w:val="00A33468"/>
    <w:rsid w:val="00A33767"/>
    <w:rsid w:val="00A34373"/>
    <w:rsid w:val="00A3437A"/>
    <w:rsid w:val="00A345F4"/>
    <w:rsid w:val="00A349D4"/>
    <w:rsid w:val="00A34F19"/>
    <w:rsid w:val="00A350FA"/>
    <w:rsid w:val="00A3522F"/>
    <w:rsid w:val="00A35248"/>
    <w:rsid w:val="00A35B93"/>
    <w:rsid w:val="00A35D16"/>
    <w:rsid w:val="00A36977"/>
    <w:rsid w:val="00A37BCD"/>
    <w:rsid w:val="00A37EC8"/>
    <w:rsid w:val="00A40909"/>
    <w:rsid w:val="00A409C2"/>
    <w:rsid w:val="00A41427"/>
    <w:rsid w:val="00A41689"/>
    <w:rsid w:val="00A423CB"/>
    <w:rsid w:val="00A42592"/>
    <w:rsid w:val="00A428FF"/>
    <w:rsid w:val="00A43720"/>
    <w:rsid w:val="00A43C59"/>
    <w:rsid w:val="00A44254"/>
    <w:rsid w:val="00A45234"/>
    <w:rsid w:val="00A45C3F"/>
    <w:rsid w:val="00A462C6"/>
    <w:rsid w:val="00A464F1"/>
    <w:rsid w:val="00A467B5"/>
    <w:rsid w:val="00A47160"/>
    <w:rsid w:val="00A4736E"/>
    <w:rsid w:val="00A47ACC"/>
    <w:rsid w:val="00A47C84"/>
    <w:rsid w:val="00A50ECD"/>
    <w:rsid w:val="00A5184B"/>
    <w:rsid w:val="00A518F3"/>
    <w:rsid w:val="00A5219C"/>
    <w:rsid w:val="00A526EE"/>
    <w:rsid w:val="00A52729"/>
    <w:rsid w:val="00A535DC"/>
    <w:rsid w:val="00A53675"/>
    <w:rsid w:val="00A53E80"/>
    <w:rsid w:val="00A54B78"/>
    <w:rsid w:val="00A55D91"/>
    <w:rsid w:val="00A564D7"/>
    <w:rsid w:val="00A56591"/>
    <w:rsid w:val="00A56B6A"/>
    <w:rsid w:val="00A5737C"/>
    <w:rsid w:val="00A578DC"/>
    <w:rsid w:val="00A600DA"/>
    <w:rsid w:val="00A60C70"/>
    <w:rsid w:val="00A60C7C"/>
    <w:rsid w:val="00A60D72"/>
    <w:rsid w:val="00A6105B"/>
    <w:rsid w:val="00A61A0F"/>
    <w:rsid w:val="00A62E2B"/>
    <w:rsid w:val="00A62FE3"/>
    <w:rsid w:val="00A63570"/>
    <w:rsid w:val="00A63AFA"/>
    <w:rsid w:val="00A640E2"/>
    <w:rsid w:val="00A6466B"/>
    <w:rsid w:val="00A6469F"/>
    <w:rsid w:val="00A64D41"/>
    <w:rsid w:val="00A64D65"/>
    <w:rsid w:val="00A655F1"/>
    <w:rsid w:val="00A6576F"/>
    <w:rsid w:val="00A663F0"/>
    <w:rsid w:val="00A671E6"/>
    <w:rsid w:val="00A6725B"/>
    <w:rsid w:val="00A6732D"/>
    <w:rsid w:val="00A6783B"/>
    <w:rsid w:val="00A67896"/>
    <w:rsid w:val="00A67F39"/>
    <w:rsid w:val="00A700E2"/>
    <w:rsid w:val="00A70605"/>
    <w:rsid w:val="00A71554"/>
    <w:rsid w:val="00A725F3"/>
    <w:rsid w:val="00A729CC"/>
    <w:rsid w:val="00A72DA2"/>
    <w:rsid w:val="00A73134"/>
    <w:rsid w:val="00A7324B"/>
    <w:rsid w:val="00A73FF0"/>
    <w:rsid w:val="00A741FE"/>
    <w:rsid w:val="00A7457C"/>
    <w:rsid w:val="00A74F30"/>
    <w:rsid w:val="00A75B4E"/>
    <w:rsid w:val="00A76001"/>
    <w:rsid w:val="00A7605E"/>
    <w:rsid w:val="00A760C1"/>
    <w:rsid w:val="00A767BF"/>
    <w:rsid w:val="00A76E54"/>
    <w:rsid w:val="00A7711D"/>
    <w:rsid w:val="00A777B2"/>
    <w:rsid w:val="00A77881"/>
    <w:rsid w:val="00A779CB"/>
    <w:rsid w:val="00A77A2A"/>
    <w:rsid w:val="00A77B24"/>
    <w:rsid w:val="00A77F92"/>
    <w:rsid w:val="00A80D0B"/>
    <w:rsid w:val="00A81075"/>
    <w:rsid w:val="00A811AA"/>
    <w:rsid w:val="00A812B4"/>
    <w:rsid w:val="00A817B5"/>
    <w:rsid w:val="00A82452"/>
    <w:rsid w:val="00A825D4"/>
    <w:rsid w:val="00A828F6"/>
    <w:rsid w:val="00A82B73"/>
    <w:rsid w:val="00A83364"/>
    <w:rsid w:val="00A83A83"/>
    <w:rsid w:val="00A83E09"/>
    <w:rsid w:val="00A84977"/>
    <w:rsid w:val="00A84B57"/>
    <w:rsid w:val="00A856D2"/>
    <w:rsid w:val="00A86DFD"/>
    <w:rsid w:val="00A86E8B"/>
    <w:rsid w:val="00A86FF8"/>
    <w:rsid w:val="00A87164"/>
    <w:rsid w:val="00A87B24"/>
    <w:rsid w:val="00A87BA4"/>
    <w:rsid w:val="00A87FCD"/>
    <w:rsid w:val="00A9005B"/>
    <w:rsid w:val="00A906D2"/>
    <w:rsid w:val="00A90AB1"/>
    <w:rsid w:val="00A90E8D"/>
    <w:rsid w:val="00A93072"/>
    <w:rsid w:val="00A9369A"/>
    <w:rsid w:val="00A938BD"/>
    <w:rsid w:val="00A938BF"/>
    <w:rsid w:val="00A93953"/>
    <w:rsid w:val="00A93DA3"/>
    <w:rsid w:val="00A94BDE"/>
    <w:rsid w:val="00A95226"/>
    <w:rsid w:val="00A959D8"/>
    <w:rsid w:val="00A95D9E"/>
    <w:rsid w:val="00A9601B"/>
    <w:rsid w:val="00A96477"/>
    <w:rsid w:val="00A96681"/>
    <w:rsid w:val="00A96ECA"/>
    <w:rsid w:val="00A974AB"/>
    <w:rsid w:val="00A97657"/>
    <w:rsid w:val="00A97DBB"/>
    <w:rsid w:val="00A97EDB"/>
    <w:rsid w:val="00AA0263"/>
    <w:rsid w:val="00AA0A3F"/>
    <w:rsid w:val="00AA113D"/>
    <w:rsid w:val="00AA231B"/>
    <w:rsid w:val="00AA235D"/>
    <w:rsid w:val="00AA262E"/>
    <w:rsid w:val="00AA3563"/>
    <w:rsid w:val="00AA3BC4"/>
    <w:rsid w:val="00AA401B"/>
    <w:rsid w:val="00AA42BD"/>
    <w:rsid w:val="00AA494C"/>
    <w:rsid w:val="00AA4CB4"/>
    <w:rsid w:val="00AA4FD4"/>
    <w:rsid w:val="00AA5A0A"/>
    <w:rsid w:val="00AA5BC9"/>
    <w:rsid w:val="00AA5EAB"/>
    <w:rsid w:val="00AA5ECC"/>
    <w:rsid w:val="00AA6BD5"/>
    <w:rsid w:val="00AA6BD8"/>
    <w:rsid w:val="00AA6C7D"/>
    <w:rsid w:val="00AA7A88"/>
    <w:rsid w:val="00AA7B99"/>
    <w:rsid w:val="00AA7FD6"/>
    <w:rsid w:val="00AB0403"/>
    <w:rsid w:val="00AB042A"/>
    <w:rsid w:val="00AB11CB"/>
    <w:rsid w:val="00AB19EF"/>
    <w:rsid w:val="00AB1A27"/>
    <w:rsid w:val="00AB1F4F"/>
    <w:rsid w:val="00AB21FC"/>
    <w:rsid w:val="00AB2D34"/>
    <w:rsid w:val="00AB3430"/>
    <w:rsid w:val="00AB3436"/>
    <w:rsid w:val="00AB37B9"/>
    <w:rsid w:val="00AB3D3A"/>
    <w:rsid w:val="00AB4354"/>
    <w:rsid w:val="00AB4AD1"/>
    <w:rsid w:val="00AB4CB6"/>
    <w:rsid w:val="00AB5645"/>
    <w:rsid w:val="00AB56A3"/>
    <w:rsid w:val="00AB5BD2"/>
    <w:rsid w:val="00AB5C8F"/>
    <w:rsid w:val="00AB5E07"/>
    <w:rsid w:val="00AB608A"/>
    <w:rsid w:val="00AB61BA"/>
    <w:rsid w:val="00AB670C"/>
    <w:rsid w:val="00AB6E2C"/>
    <w:rsid w:val="00AB722B"/>
    <w:rsid w:val="00AB7CFA"/>
    <w:rsid w:val="00AB7F2E"/>
    <w:rsid w:val="00AC074F"/>
    <w:rsid w:val="00AC1F44"/>
    <w:rsid w:val="00AC208C"/>
    <w:rsid w:val="00AC283C"/>
    <w:rsid w:val="00AC2BF0"/>
    <w:rsid w:val="00AC4698"/>
    <w:rsid w:val="00AC4888"/>
    <w:rsid w:val="00AC5B48"/>
    <w:rsid w:val="00AC6896"/>
    <w:rsid w:val="00AC7437"/>
    <w:rsid w:val="00AC7BD0"/>
    <w:rsid w:val="00AC7C3F"/>
    <w:rsid w:val="00AC7D1A"/>
    <w:rsid w:val="00AD006B"/>
    <w:rsid w:val="00AD0985"/>
    <w:rsid w:val="00AD0E4A"/>
    <w:rsid w:val="00AD1450"/>
    <w:rsid w:val="00AD1C9F"/>
    <w:rsid w:val="00AD1DFE"/>
    <w:rsid w:val="00AD1F9E"/>
    <w:rsid w:val="00AD2108"/>
    <w:rsid w:val="00AD26BD"/>
    <w:rsid w:val="00AD2727"/>
    <w:rsid w:val="00AD29EB"/>
    <w:rsid w:val="00AD2CA3"/>
    <w:rsid w:val="00AD3089"/>
    <w:rsid w:val="00AD3AE3"/>
    <w:rsid w:val="00AD430D"/>
    <w:rsid w:val="00AD4534"/>
    <w:rsid w:val="00AD4A66"/>
    <w:rsid w:val="00AD548F"/>
    <w:rsid w:val="00AD5646"/>
    <w:rsid w:val="00AD5C1B"/>
    <w:rsid w:val="00AD6502"/>
    <w:rsid w:val="00AD6908"/>
    <w:rsid w:val="00AD7093"/>
    <w:rsid w:val="00AD7FE9"/>
    <w:rsid w:val="00AE01A8"/>
    <w:rsid w:val="00AE0695"/>
    <w:rsid w:val="00AE1CF5"/>
    <w:rsid w:val="00AE319C"/>
    <w:rsid w:val="00AE3E7E"/>
    <w:rsid w:val="00AE46AE"/>
    <w:rsid w:val="00AE5AEB"/>
    <w:rsid w:val="00AE5C91"/>
    <w:rsid w:val="00AE5F85"/>
    <w:rsid w:val="00AE70E1"/>
    <w:rsid w:val="00AF0B6D"/>
    <w:rsid w:val="00AF1315"/>
    <w:rsid w:val="00AF19BF"/>
    <w:rsid w:val="00AF19DC"/>
    <w:rsid w:val="00AF22AF"/>
    <w:rsid w:val="00AF2A86"/>
    <w:rsid w:val="00AF2DC3"/>
    <w:rsid w:val="00AF2F65"/>
    <w:rsid w:val="00AF38BE"/>
    <w:rsid w:val="00AF3D81"/>
    <w:rsid w:val="00AF3E15"/>
    <w:rsid w:val="00AF4830"/>
    <w:rsid w:val="00AF50BB"/>
    <w:rsid w:val="00AF5F78"/>
    <w:rsid w:val="00AF6FC9"/>
    <w:rsid w:val="00B001AD"/>
    <w:rsid w:val="00B00641"/>
    <w:rsid w:val="00B0087F"/>
    <w:rsid w:val="00B00ED6"/>
    <w:rsid w:val="00B011FD"/>
    <w:rsid w:val="00B020C8"/>
    <w:rsid w:val="00B0323A"/>
    <w:rsid w:val="00B033E5"/>
    <w:rsid w:val="00B035D1"/>
    <w:rsid w:val="00B03A63"/>
    <w:rsid w:val="00B03FB2"/>
    <w:rsid w:val="00B04E30"/>
    <w:rsid w:val="00B05571"/>
    <w:rsid w:val="00B05DCA"/>
    <w:rsid w:val="00B05F50"/>
    <w:rsid w:val="00B0635E"/>
    <w:rsid w:val="00B07079"/>
    <w:rsid w:val="00B07A6B"/>
    <w:rsid w:val="00B1005E"/>
    <w:rsid w:val="00B10AAD"/>
    <w:rsid w:val="00B1164B"/>
    <w:rsid w:val="00B11EB6"/>
    <w:rsid w:val="00B13D96"/>
    <w:rsid w:val="00B152B6"/>
    <w:rsid w:val="00B15707"/>
    <w:rsid w:val="00B15750"/>
    <w:rsid w:val="00B170DC"/>
    <w:rsid w:val="00B17ACD"/>
    <w:rsid w:val="00B17F0F"/>
    <w:rsid w:val="00B201A4"/>
    <w:rsid w:val="00B201D1"/>
    <w:rsid w:val="00B213A6"/>
    <w:rsid w:val="00B22C13"/>
    <w:rsid w:val="00B233FA"/>
    <w:rsid w:val="00B235B0"/>
    <w:rsid w:val="00B24679"/>
    <w:rsid w:val="00B2480C"/>
    <w:rsid w:val="00B24DF6"/>
    <w:rsid w:val="00B25AAA"/>
    <w:rsid w:val="00B25E7A"/>
    <w:rsid w:val="00B265BA"/>
    <w:rsid w:val="00B26719"/>
    <w:rsid w:val="00B26D33"/>
    <w:rsid w:val="00B26D3C"/>
    <w:rsid w:val="00B27430"/>
    <w:rsid w:val="00B279E4"/>
    <w:rsid w:val="00B30396"/>
    <w:rsid w:val="00B3128E"/>
    <w:rsid w:val="00B320F5"/>
    <w:rsid w:val="00B329FC"/>
    <w:rsid w:val="00B330D7"/>
    <w:rsid w:val="00B330ED"/>
    <w:rsid w:val="00B33A3E"/>
    <w:rsid w:val="00B34FE2"/>
    <w:rsid w:val="00B35166"/>
    <w:rsid w:val="00B357D8"/>
    <w:rsid w:val="00B35CAD"/>
    <w:rsid w:val="00B360F4"/>
    <w:rsid w:val="00B366CE"/>
    <w:rsid w:val="00B36A00"/>
    <w:rsid w:val="00B36ACF"/>
    <w:rsid w:val="00B37256"/>
    <w:rsid w:val="00B37B65"/>
    <w:rsid w:val="00B37BFC"/>
    <w:rsid w:val="00B37D15"/>
    <w:rsid w:val="00B37D81"/>
    <w:rsid w:val="00B40358"/>
    <w:rsid w:val="00B404F4"/>
    <w:rsid w:val="00B40734"/>
    <w:rsid w:val="00B41614"/>
    <w:rsid w:val="00B41F59"/>
    <w:rsid w:val="00B42851"/>
    <w:rsid w:val="00B42F80"/>
    <w:rsid w:val="00B435CB"/>
    <w:rsid w:val="00B4389B"/>
    <w:rsid w:val="00B4446B"/>
    <w:rsid w:val="00B44A23"/>
    <w:rsid w:val="00B451A4"/>
    <w:rsid w:val="00B45AE5"/>
    <w:rsid w:val="00B45B4C"/>
    <w:rsid w:val="00B45D44"/>
    <w:rsid w:val="00B463F0"/>
    <w:rsid w:val="00B473CA"/>
    <w:rsid w:val="00B47D68"/>
    <w:rsid w:val="00B47DD9"/>
    <w:rsid w:val="00B5046C"/>
    <w:rsid w:val="00B505C8"/>
    <w:rsid w:val="00B50DB8"/>
    <w:rsid w:val="00B5120E"/>
    <w:rsid w:val="00B518C4"/>
    <w:rsid w:val="00B519D3"/>
    <w:rsid w:val="00B51CF8"/>
    <w:rsid w:val="00B5287A"/>
    <w:rsid w:val="00B53473"/>
    <w:rsid w:val="00B53654"/>
    <w:rsid w:val="00B53905"/>
    <w:rsid w:val="00B5490B"/>
    <w:rsid w:val="00B54AF2"/>
    <w:rsid w:val="00B54B5B"/>
    <w:rsid w:val="00B5562E"/>
    <w:rsid w:val="00B556F5"/>
    <w:rsid w:val="00B55D65"/>
    <w:rsid w:val="00B562C8"/>
    <w:rsid w:val="00B56D19"/>
    <w:rsid w:val="00B57000"/>
    <w:rsid w:val="00B60200"/>
    <w:rsid w:val="00B60658"/>
    <w:rsid w:val="00B60939"/>
    <w:rsid w:val="00B60AFD"/>
    <w:rsid w:val="00B61188"/>
    <w:rsid w:val="00B61758"/>
    <w:rsid w:val="00B61D20"/>
    <w:rsid w:val="00B61DCE"/>
    <w:rsid w:val="00B625A6"/>
    <w:rsid w:val="00B625C9"/>
    <w:rsid w:val="00B62715"/>
    <w:rsid w:val="00B62BAF"/>
    <w:rsid w:val="00B63294"/>
    <w:rsid w:val="00B63FBA"/>
    <w:rsid w:val="00B64621"/>
    <w:rsid w:val="00B64906"/>
    <w:rsid w:val="00B64D14"/>
    <w:rsid w:val="00B65611"/>
    <w:rsid w:val="00B657D7"/>
    <w:rsid w:val="00B66368"/>
    <w:rsid w:val="00B66541"/>
    <w:rsid w:val="00B66976"/>
    <w:rsid w:val="00B6768F"/>
    <w:rsid w:val="00B67D91"/>
    <w:rsid w:val="00B70050"/>
    <w:rsid w:val="00B706CE"/>
    <w:rsid w:val="00B70BF2"/>
    <w:rsid w:val="00B70E8E"/>
    <w:rsid w:val="00B716A9"/>
    <w:rsid w:val="00B71ACD"/>
    <w:rsid w:val="00B73D60"/>
    <w:rsid w:val="00B74C7E"/>
    <w:rsid w:val="00B74FE1"/>
    <w:rsid w:val="00B75E18"/>
    <w:rsid w:val="00B76312"/>
    <w:rsid w:val="00B76C92"/>
    <w:rsid w:val="00B76D84"/>
    <w:rsid w:val="00B76F50"/>
    <w:rsid w:val="00B77388"/>
    <w:rsid w:val="00B77B9F"/>
    <w:rsid w:val="00B80018"/>
    <w:rsid w:val="00B8077A"/>
    <w:rsid w:val="00B8179E"/>
    <w:rsid w:val="00B818A4"/>
    <w:rsid w:val="00B81B00"/>
    <w:rsid w:val="00B82CA8"/>
    <w:rsid w:val="00B838E1"/>
    <w:rsid w:val="00B84117"/>
    <w:rsid w:val="00B858F0"/>
    <w:rsid w:val="00B85AA2"/>
    <w:rsid w:val="00B8649C"/>
    <w:rsid w:val="00B86672"/>
    <w:rsid w:val="00B8695D"/>
    <w:rsid w:val="00B869D7"/>
    <w:rsid w:val="00B86E4E"/>
    <w:rsid w:val="00B86F6C"/>
    <w:rsid w:val="00B87135"/>
    <w:rsid w:val="00B87197"/>
    <w:rsid w:val="00B87DA9"/>
    <w:rsid w:val="00B87E41"/>
    <w:rsid w:val="00B87F0A"/>
    <w:rsid w:val="00B87F84"/>
    <w:rsid w:val="00B90201"/>
    <w:rsid w:val="00B90EB1"/>
    <w:rsid w:val="00B91C93"/>
    <w:rsid w:val="00B92C4A"/>
    <w:rsid w:val="00B92D0B"/>
    <w:rsid w:val="00B93DC4"/>
    <w:rsid w:val="00B9405A"/>
    <w:rsid w:val="00B94945"/>
    <w:rsid w:val="00B94DD6"/>
    <w:rsid w:val="00B97E78"/>
    <w:rsid w:val="00BA0A36"/>
    <w:rsid w:val="00BA19A6"/>
    <w:rsid w:val="00BA1CF8"/>
    <w:rsid w:val="00BA1D1E"/>
    <w:rsid w:val="00BA310E"/>
    <w:rsid w:val="00BA322D"/>
    <w:rsid w:val="00BA47E5"/>
    <w:rsid w:val="00BA4DEF"/>
    <w:rsid w:val="00BA5DE1"/>
    <w:rsid w:val="00BA62F8"/>
    <w:rsid w:val="00BA63FA"/>
    <w:rsid w:val="00BA6AE3"/>
    <w:rsid w:val="00BA7DE2"/>
    <w:rsid w:val="00BB00B3"/>
    <w:rsid w:val="00BB0BDD"/>
    <w:rsid w:val="00BB176C"/>
    <w:rsid w:val="00BB2A73"/>
    <w:rsid w:val="00BB3376"/>
    <w:rsid w:val="00BB3A45"/>
    <w:rsid w:val="00BB3F63"/>
    <w:rsid w:val="00BB4454"/>
    <w:rsid w:val="00BB479A"/>
    <w:rsid w:val="00BB4ACC"/>
    <w:rsid w:val="00BB4C93"/>
    <w:rsid w:val="00BB5486"/>
    <w:rsid w:val="00BB5599"/>
    <w:rsid w:val="00BB6D47"/>
    <w:rsid w:val="00BB700A"/>
    <w:rsid w:val="00BB703E"/>
    <w:rsid w:val="00BB732D"/>
    <w:rsid w:val="00BB7405"/>
    <w:rsid w:val="00BC0141"/>
    <w:rsid w:val="00BC0276"/>
    <w:rsid w:val="00BC0901"/>
    <w:rsid w:val="00BC0E38"/>
    <w:rsid w:val="00BC1104"/>
    <w:rsid w:val="00BC110E"/>
    <w:rsid w:val="00BC1562"/>
    <w:rsid w:val="00BC23B2"/>
    <w:rsid w:val="00BC24E9"/>
    <w:rsid w:val="00BC2D4D"/>
    <w:rsid w:val="00BC318C"/>
    <w:rsid w:val="00BC3508"/>
    <w:rsid w:val="00BC3631"/>
    <w:rsid w:val="00BC4043"/>
    <w:rsid w:val="00BC4734"/>
    <w:rsid w:val="00BC4F10"/>
    <w:rsid w:val="00BC591F"/>
    <w:rsid w:val="00BC5A14"/>
    <w:rsid w:val="00BC5C17"/>
    <w:rsid w:val="00BC5E8A"/>
    <w:rsid w:val="00BC602F"/>
    <w:rsid w:val="00BC642F"/>
    <w:rsid w:val="00BC674F"/>
    <w:rsid w:val="00BC6B70"/>
    <w:rsid w:val="00BC6BD4"/>
    <w:rsid w:val="00BC6DA0"/>
    <w:rsid w:val="00BC7D6D"/>
    <w:rsid w:val="00BD0930"/>
    <w:rsid w:val="00BD12BA"/>
    <w:rsid w:val="00BD1CEF"/>
    <w:rsid w:val="00BD1EB5"/>
    <w:rsid w:val="00BD2108"/>
    <w:rsid w:val="00BD3375"/>
    <w:rsid w:val="00BD35C5"/>
    <w:rsid w:val="00BD3D56"/>
    <w:rsid w:val="00BD42A9"/>
    <w:rsid w:val="00BD456A"/>
    <w:rsid w:val="00BD68A3"/>
    <w:rsid w:val="00BD6938"/>
    <w:rsid w:val="00BD6CF3"/>
    <w:rsid w:val="00BD6D9B"/>
    <w:rsid w:val="00BD7299"/>
    <w:rsid w:val="00BD7320"/>
    <w:rsid w:val="00BD799B"/>
    <w:rsid w:val="00BE0020"/>
    <w:rsid w:val="00BE02EB"/>
    <w:rsid w:val="00BE0ECA"/>
    <w:rsid w:val="00BE113E"/>
    <w:rsid w:val="00BE2180"/>
    <w:rsid w:val="00BE21F2"/>
    <w:rsid w:val="00BE4275"/>
    <w:rsid w:val="00BE44C6"/>
    <w:rsid w:val="00BE4548"/>
    <w:rsid w:val="00BE5193"/>
    <w:rsid w:val="00BE6D06"/>
    <w:rsid w:val="00BE75E6"/>
    <w:rsid w:val="00BE7E1F"/>
    <w:rsid w:val="00BF04DA"/>
    <w:rsid w:val="00BF06AE"/>
    <w:rsid w:val="00BF0F95"/>
    <w:rsid w:val="00BF148D"/>
    <w:rsid w:val="00BF1984"/>
    <w:rsid w:val="00BF19D6"/>
    <w:rsid w:val="00BF1EA1"/>
    <w:rsid w:val="00BF2433"/>
    <w:rsid w:val="00BF27EF"/>
    <w:rsid w:val="00BF3B91"/>
    <w:rsid w:val="00BF43DE"/>
    <w:rsid w:val="00BF4D0C"/>
    <w:rsid w:val="00BF5D8B"/>
    <w:rsid w:val="00BF5DAB"/>
    <w:rsid w:val="00BF5F28"/>
    <w:rsid w:val="00BF61A4"/>
    <w:rsid w:val="00BF61C9"/>
    <w:rsid w:val="00BF6314"/>
    <w:rsid w:val="00BF6C94"/>
    <w:rsid w:val="00C00424"/>
    <w:rsid w:val="00C00FD9"/>
    <w:rsid w:val="00C0161E"/>
    <w:rsid w:val="00C01BFA"/>
    <w:rsid w:val="00C03C94"/>
    <w:rsid w:val="00C042E5"/>
    <w:rsid w:val="00C0509A"/>
    <w:rsid w:val="00C052BE"/>
    <w:rsid w:val="00C05708"/>
    <w:rsid w:val="00C0573A"/>
    <w:rsid w:val="00C067E1"/>
    <w:rsid w:val="00C06BCC"/>
    <w:rsid w:val="00C0717A"/>
    <w:rsid w:val="00C07322"/>
    <w:rsid w:val="00C075C5"/>
    <w:rsid w:val="00C078B1"/>
    <w:rsid w:val="00C07EC3"/>
    <w:rsid w:val="00C10E62"/>
    <w:rsid w:val="00C11578"/>
    <w:rsid w:val="00C116C9"/>
    <w:rsid w:val="00C116E8"/>
    <w:rsid w:val="00C1179F"/>
    <w:rsid w:val="00C118D5"/>
    <w:rsid w:val="00C12566"/>
    <w:rsid w:val="00C127B5"/>
    <w:rsid w:val="00C12C14"/>
    <w:rsid w:val="00C12F55"/>
    <w:rsid w:val="00C1437B"/>
    <w:rsid w:val="00C14CE6"/>
    <w:rsid w:val="00C1502E"/>
    <w:rsid w:val="00C15393"/>
    <w:rsid w:val="00C15EC3"/>
    <w:rsid w:val="00C15F04"/>
    <w:rsid w:val="00C1630B"/>
    <w:rsid w:val="00C166B7"/>
    <w:rsid w:val="00C16AFF"/>
    <w:rsid w:val="00C17317"/>
    <w:rsid w:val="00C179B3"/>
    <w:rsid w:val="00C17A57"/>
    <w:rsid w:val="00C17E3F"/>
    <w:rsid w:val="00C200AA"/>
    <w:rsid w:val="00C200CF"/>
    <w:rsid w:val="00C20984"/>
    <w:rsid w:val="00C20FC7"/>
    <w:rsid w:val="00C2125A"/>
    <w:rsid w:val="00C21745"/>
    <w:rsid w:val="00C23119"/>
    <w:rsid w:val="00C23320"/>
    <w:rsid w:val="00C234E4"/>
    <w:rsid w:val="00C237ED"/>
    <w:rsid w:val="00C23AA6"/>
    <w:rsid w:val="00C24632"/>
    <w:rsid w:val="00C25418"/>
    <w:rsid w:val="00C25D9C"/>
    <w:rsid w:val="00C2701F"/>
    <w:rsid w:val="00C2716A"/>
    <w:rsid w:val="00C2778B"/>
    <w:rsid w:val="00C27D9A"/>
    <w:rsid w:val="00C30C9F"/>
    <w:rsid w:val="00C31529"/>
    <w:rsid w:val="00C31649"/>
    <w:rsid w:val="00C31C2A"/>
    <w:rsid w:val="00C320B1"/>
    <w:rsid w:val="00C32AEF"/>
    <w:rsid w:val="00C3320D"/>
    <w:rsid w:val="00C3434C"/>
    <w:rsid w:val="00C3497D"/>
    <w:rsid w:val="00C35DD9"/>
    <w:rsid w:val="00C36E69"/>
    <w:rsid w:val="00C37069"/>
    <w:rsid w:val="00C3709E"/>
    <w:rsid w:val="00C401C0"/>
    <w:rsid w:val="00C40385"/>
    <w:rsid w:val="00C4055F"/>
    <w:rsid w:val="00C406B4"/>
    <w:rsid w:val="00C41768"/>
    <w:rsid w:val="00C41DE7"/>
    <w:rsid w:val="00C42CF8"/>
    <w:rsid w:val="00C42E92"/>
    <w:rsid w:val="00C45E4D"/>
    <w:rsid w:val="00C47277"/>
    <w:rsid w:val="00C475AA"/>
    <w:rsid w:val="00C501F1"/>
    <w:rsid w:val="00C5045D"/>
    <w:rsid w:val="00C50B6A"/>
    <w:rsid w:val="00C51B3A"/>
    <w:rsid w:val="00C51DFC"/>
    <w:rsid w:val="00C525F3"/>
    <w:rsid w:val="00C53077"/>
    <w:rsid w:val="00C53C98"/>
    <w:rsid w:val="00C53D96"/>
    <w:rsid w:val="00C53FF1"/>
    <w:rsid w:val="00C546B0"/>
    <w:rsid w:val="00C56210"/>
    <w:rsid w:val="00C56626"/>
    <w:rsid w:val="00C5669D"/>
    <w:rsid w:val="00C56A1A"/>
    <w:rsid w:val="00C56FCF"/>
    <w:rsid w:val="00C57B6C"/>
    <w:rsid w:val="00C6045B"/>
    <w:rsid w:val="00C61395"/>
    <w:rsid w:val="00C61836"/>
    <w:rsid w:val="00C61CF6"/>
    <w:rsid w:val="00C62650"/>
    <w:rsid w:val="00C628A6"/>
    <w:rsid w:val="00C629C4"/>
    <w:rsid w:val="00C62B11"/>
    <w:rsid w:val="00C62D75"/>
    <w:rsid w:val="00C63DC6"/>
    <w:rsid w:val="00C64344"/>
    <w:rsid w:val="00C644FD"/>
    <w:rsid w:val="00C648EF"/>
    <w:rsid w:val="00C65108"/>
    <w:rsid w:val="00C65576"/>
    <w:rsid w:val="00C66165"/>
    <w:rsid w:val="00C6657E"/>
    <w:rsid w:val="00C66C66"/>
    <w:rsid w:val="00C66D30"/>
    <w:rsid w:val="00C67C40"/>
    <w:rsid w:val="00C7060A"/>
    <w:rsid w:val="00C71240"/>
    <w:rsid w:val="00C7151A"/>
    <w:rsid w:val="00C71619"/>
    <w:rsid w:val="00C717E3"/>
    <w:rsid w:val="00C71F60"/>
    <w:rsid w:val="00C71FDD"/>
    <w:rsid w:val="00C7208B"/>
    <w:rsid w:val="00C72241"/>
    <w:rsid w:val="00C72A95"/>
    <w:rsid w:val="00C732A0"/>
    <w:rsid w:val="00C746EC"/>
    <w:rsid w:val="00C74F59"/>
    <w:rsid w:val="00C750C8"/>
    <w:rsid w:val="00C753CF"/>
    <w:rsid w:val="00C7560F"/>
    <w:rsid w:val="00C75664"/>
    <w:rsid w:val="00C75672"/>
    <w:rsid w:val="00C75892"/>
    <w:rsid w:val="00C75E75"/>
    <w:rsid w:val="00C7760F"/>
    <w:rsid w:val="00C8074F"/>
    <w:rsid w:val="00C80922"/>
    <w:rsid w:val="00C80A0E"/>
    <w:rsid w:val="00C80BB5"/>
    <w:rsid w:val="00C8213F"/>
    <w:rsid w:val="00C82C92"/>
    <w:rsid w:val="00C834C5"/>
    <w:rsid w:val="00C83691"/>
    <w:rsid w:val="00C838BB"/>
    <w:rsid w:val="00C83BD0"/>
    <w:rsid w:val="00C84FDB"/>
    <w:rsid w:val="00C85154"/>
    <w:rsid w:val="00C8703B"/>
    <w:rsid w:val="00C87712"/>
    <w:rsid w:val="00C8797A"/>
    <w:rsid w:val="00C900B8"/>
    <w:rsid w:val="00C90C71"/>
    <w:rsid w:val="00C90D54"/>
    <w:rsid w:val="00C90D90"/>
    <w:rsid w:val="00C90DA7"/>
    <w:rsid w:val="00C90EFF"/>
    <w:rsid w:val="00C91FD1"/>
    <w:rsid w:val="00C92012"/>
    <w:rsid w:val="00C9284F"/>
    <w:rsid w:val="00C928EB"/>
    <w:rsid w:val="00C931CF"/>
    <w:rsid w:val="00C938CF"/>
    <w:rsid w:val="00C93BD3"/>
    <w:rsid w:val="00C93CC0"/>
    <w:rsid w:val="00C94053"/>
    <w:rsid w:val="00C94470"/>
    <w:rsid w:val="00C9470B"/>
    <w:rsid w:val="00C95444"/>
    <w:rsid w:val="00C95A28"/>
    <w:rsid w:val="00C9624D"/>
    <w:rsid w:val="00C962AA"/>
    <w:rsid w:val="00C969DA"/>
    <w:rsid w:val="00C96B86"/>
    <w:rsid w:val="00CA2C77"/>
    <w:rsid w:val="00CA3025"/>
    <w:rsid w:val="00CA3252"/>
    <w:rsid w:val="00CA38D3"/>
    <w:rsid w:val="00CA3A37"/>
    <w:rsid w:val="00CA40AE"/>
    <w:rsid w:val="00CA4236"/>
    <w:rsid w:val="00CA444F"/>
    <w:rsid w:val="00CA44BA"/>
    <w:rsid w:val="00CA4CA2"/>
    <w:rsid w:val="00CA4D0C"/>
    <w:rsid w:val="00CA4E83"/>
    <w:rsid w:val="00CA5245"/>
    <w:rsid w:val="00CA6475"/>
    <w:rsid w:val="00CA71F4"/>
    <w:rsid w:val="00CA7283"/>
    <w:rsid w:val="00CA76A0"/>
    <w:rsid w:val="00CA7B09"/>
    <w:rsid w:val="00CB0119"/>
    <w:rsid w:val="00CB011B"/>
    <w:rsid w:val="00CB0E3A"/>
    <w:rsid w:val="00CB12A5"/>
    <w:rsid w:val="00CB12BC"/>
    <w:rsid w:val="00CB1CAC"/>
    <w:rsid w:val="00CB2F2A"/>
    <w:rsid w:val="00CB32B5"/>
    <w:rsid w:val="00CB3E0F"/>
    <w:rsid w:val="00CB5B1A"/>
    <w:rsid w:val="00CB67AF"/>
    <w:rsid w:val="00CB6B22"/>
    <w:rsid w:val="00CB7ED4"/>
    <w:rsid w:val="00CB7F5F"/>
    <w:rsid w:val="00CC1989"/>
    <w:rsid w:val="00CC1B39"/>
    <w:rsid w:val="00CC1BC3"/>
    <w:rsid w:val="00CC1FDC"/>
    <w:rsid w:val="00CC35EA"/>
    <w:rsid w:val="00CC3848"/>
    <w:rsid w:val="00CC3936"/>
    <w:rsid w:val="00CC3C0A"/>
    <w:rsid w:val="00CC7441"/>
    <w:rsid w:val="00CD1408"/>
    <w:rsid w:val="00CD278C"/>
    <w:rsid w:val="00CD3A7B"/>
    <w:rsid w:val="00CD3F77"/>
    <w:rsid w:val="00CD52D6"/>
    <w:rsid w:val="00CD59B8"/>
    <w:rsid w:val="00CD6ADC"/>
    <w:rsid w:val="00CD6AF9"/>
    <w:rsid w:val="00CD6C14"/>
    <w:rsid w:val="00CD7193"/>
    <w:rsid w:val="00CD7392"/>
    <w:rsid w:val="00CD7BD0"/>
    <w:rsid w:val="00CE082F"/>
    <w:rsid w:val="00CE0F1B"/>
    <w:rsid w:val="00CE1D05"/>
    <w:rsid w:val="00CE350C"/>
    <w:rsid w:val="00CE359B"/>
    <w:rsid w:val="00CE38C8"/>
    <w:rsid w:val="00CE6274"/>
    <w:rsid w:val="00CE7119"/>
    <w:rsid w:val="00CE77B6"/>
    <w:rsid w:val="00CE7E90"/>
    <w:rsid w:val="00CF00F9"/>
    <w:rsid w:val="00CF0D32"/>
    <w:rsid w:val="00CF2693"/>
    <w:rsid w:val="00CF26B8"/>
    <w:rsid w:val="00CF2746"/>
    <w:rsid w:val="00CF2B8D"/>
    <w:rsid w:val="00CF3270"/>
    <w:rsid w:val="00CF33DF"/>
    <w:rsid w:val="00CF456B"/>
    <w:rsid w:val="00CF5A22"/>
    <w:rsid w:val="00CF7AB3"/>
    <w:rsid w:val="00D00364"/>
    <w:rsid w:val="00D0048E"/>
    <w:rsid w:val="00D01235"/>
    <w:rsid w:val="00D0262E"/>
    <w:rsid w:val="00D03188"/>
    <w:rsid w:val="00D03C67"/>
    <w:rsid w:val="00D05653"/>
    <w:rsid w:val="00D05E3D"/>
    <w:rsid w:val="00D06139"/>
    <w:rsid w:val="00D079A2"/>
    <w:rsid w:val="00D07DD7"/>
    <w:rsid w:val="00D110BD"/>
    <w:rsid w:val="00D11944"/>
    <w:rsid w:val="00D11AB5"/>
    <w:rsid w:val="00D12632"/>
    <w:rsid w:val="00D13675"/>
    <w:rsid w:val="00D13717"/>
    <w:rsid w:val="00D141E1"/>
    <w:rsid w:val="00D14218"/>
    <w:rsid w:val="00D14783"/>
    <w:rsid w:val="00D14D8E"/>
    <w:rsid w:val="00D15314"/>
    <w:rsid w:val="00D15D03"/>
    <w:rsid w:val="00D17554"/>
    <w:rsid w:val="00D17D6C"/>
    <w:rsid w:val="00D20C17"/>
    <w:rsid w:val="00D2155B"/>
    <w:rsid w:val="00D2294C"/>
    <w:rsid w:val="00D22D1D"/>
    <w:rsid w:val="00D23653"/>
    <w:rsid w:val="00D23BBF"/>
    <w:rsid w:val="00D23D11"/>
    <w:rsid w:val="00D23E23"/>
    <w:rsid w:val="00D23E9A"/>
    <w:rsid w:val="00D244B6"/>
    <w:rsid w:val="00D26A16"/>
    <w:rsid w:val="00D26BA6"/>
    <w:rsid w:val="00D26CD3"/>
    <w:rsid w:val="00D2754D"/>
    <w:rsid w:val="00D27B27"/>
    <w:rsid w:val="00D304F5"/>
    <w:rsid w:val="00D30816"/>
    <w:rsid w:val="00D30E34"/>
    <w:rsid w:val="00D31AC8"/>
    <w:rsid w:val="00D32C7D"/>
    <w:rsid w:val="00D32EDE"/>
    <w:rsid w:val="00D3302E"/>
    <w:rsid w:val="00D33729"/>
    <w:rsid w:val="00D33ABD"/>
    <w:rsid w:val="00D33BE9"/>
    <w:rsid w:val="00D33F93"/>
    <w:rsid w:val="00D34D22"/>
    <w:rsid w:val="00D357FF"/>
    <w:rsid w:val="00D35E15"/>
    <w:rsid w:val="00D3601A"/>
    <w:rsid w:val="00D3663D"/>
    <w:rsid w:val="00D36861"/>
    <w:rsid w:val="00D36B8F"/>
    <w:rsid w:val="00D37AB0"/>
    <w:rsid w:val="00D40455"/>
    <w:rsid w:val="00D40F0E"/>
    <w:rsid w:val="00D416D1"/>
    <w:rsid w:val="00D420C5"/>
    <w:rsid w:val="00D422C6"/>
    <w:rsid w:val="00D424C7"/>
    <w:rsid w:val="00D4298B"/>
    <w:rsid w:val="00D42B71"/>
    <w:rsid w:val="00D42B9D"/>
    <w:rsid w:val="00D42CD7"/>
    <w:rsid w:val="00D43B2A"/>
    <w:rsid w:val="00D43D83"/>
    <w:rsid w:val="00D43F10"/>
    <w:rsid w:val="00D45650"/>
    <w:rsid w:val="00D45FAF"/>
    <w:rsid w:val="00D45FF1"/>
    <w:rsid w:val="00D47575"/>
    <w:rsid w:val="00D47BBA"/>
    <w:rsid w:val="00D50098"/>
    <w:rsid w:val="00D500AA"/>
    <w:rsid w:val="00D509E3"/>
    <w:rsid w:val="00D51025"/>
    <w:rsid w:val="00D51278"/>
    <w:rsid w:val="00D515DF"/>
    <w:rsid w:val="00D5243B"/>
    <w:rsid w:val="00D533EC"/>
    <w:rsid w:val="00D53C57"/>
    <w:rsid w:val="00D54BB3"/>
    <w:rsid w:val="00D54EEB"/>
    <w:rsid w:val="00D55202"/>
    <w:rsid w:val="00D554F6"/>
    <w:rsid w:val="00D55C10"/>
    <w:rsid w:val="00D55FCA"/>
    <w:rsid w:val="00D562D7"/>
    <w:rsid w:val="00D56A95"/>
    <w:rsid w:val="00D56BB1"/>
    <w:rsid w:val="00D63124"/>
    <w:rsid w:val="00D63772"/>
    <w:rsid w:val="00D63855"/>
    <w:rsid w:val="00D63E60"/>
    <w:rsid w:val="00D64913"/>
    <w:rsid w:val="00D650B7"/>
    <w:rsid w:val="00D65202"/>
    <w:rsid w:val="00D65D3D"/>
    <w:rsid w:val="00D664BA"/>
    <w:rsid w:val="00D672E5"/>
    <w:rsid w:val="00D67361"/>
    <w:rsid w:val="00D674C9"/>
    <w:rsid w:val="00D67874"/>
    <w:rsid w:val="00D67CD5"/>
    <w:rsid w:val="00D70F16"/>
    <w:rsid w:val="00D71678"/>
    <w:rsid w:val="00D7255A"/>
    <w:rsid w:val="00D72F57"/>
    <w:rsid w:val="00D73BA7"/>
    <w:rsid w:val="00D73C12"/>
    <w:rsid w:val="00D73D0A"/>
    <w:rsid w:val="00D744BD"/>
    <w:rsid w:val="00D74A7C"/>
    <w:rsid w:val="00D75343"/>
    <w:rsid w:val="00D75609"/>
    <w:rsid w:val="00D768FA"/>
    <w:rsid w:val="00D76A44"/>
    <w:rsid w:val="00D8028A"/>
    <w:rsid w:val="00D815EF"/>
    <w:rsid w:val="00D819D3"/>
    <w:rsid w:val="00D81C11"/>
    <w:rsid w:val="00D81F26"/>
    <w:rsid w:val="00D8213E"/>
    <w:rsid w:val="00D82C61"/>
    <w:rsid w:val="00D849FF"/>
    <w:rsid w:val="00D84CDD"/>
    <w:rsid w:val="00D85974"/>
    <w:rsid w:val="00D86231"/>
    <w:rsid w:val="00D865C0"/>
    <w:rsid w:val="00D86B85"/>
    <w:rsid w:val="00D915A8"/>
    <w:rsid w:val="00D91923"/>
    <w:rsid w:val="00D91E60"/>
    <w:rsid w:val="00D91FEC"/>
    <w:rsid w:val="00D923EE"/>
    <w:rsid w:val="00D93396"/>
    <w:rsid w:val="00D935F5"/>
    <w:rsid w:val="00D93753"/>
    <w:rsid w:val="00D94992"/>
    <w:rsid w:val="00D94A4B"/>
    <w:rsid w:val="00D95DE5"/>
    <w:rsid w:val="00D960FA"/>
    <w:rsid w:val="00D96594"/>
    <w:rsid w:val="00D96E15"/>
    <w:rsid w:val="00D97704"/>
    <w:rsid w:val="00D97C86"/>
    <w:rsid w:val="00DA0468"/>
    <w:rsid w:val="00DA0B20"/>
    <w:rsid w:val="00DA0F36"/>
    <w:rsid w:val="00DA0F91"/>
    <w:rsid w:val="00DA1BEC"/>
    <w:rsid w:val="00DA2D52"/>
    <w:rsid w:val="00DA3167"/>
    <w:rsid w:val="00DA3377"/>
    <w:rsid w:val="00DA3C20"/>
    <w:rsid w:val="00DA3E1E"/>
    <w:rsid w:val="00DA4DC3"/>
    <w:rsid w:val="00DA56E5"/>
    <w:rsid w:val="00DA571D"/>
    <w:rsid w:val="00DA66CC"/>
    <w:rsid w:val="00DA7470"/>
    <w:rsid w:val="00DA77A5"/>
    <w:rsid w:val="00DA77D3"/>
    <w:rsid w:val="00DB0522"/>
    <w:rsid w:val="00DB1361"/>
    <w:rsid w:val="00DB1630"/>
    <w:rsid w:val="00DB1994"/>
    <w:rsid w:val="00DB26E4"/>
    <w:rsid w:val="00DB33A0"/>
    <w:rsid w:val="00DB3BA8"/>
    <w:rsid w:val="00DB3DBF"/>
    <w:rsid w:val="00DB484F"/>
    <w:rsid w:val="00DB6031"/>
    <w:rsid w:val="00DB64F7"/>
    <w:rsid w:val="00DB76FA"/>
    <w:rsid w:val="00DC022F"/>
    <w:rsid w:val="00DC04F6"/>
    <w:rsid w:val="00DC0690"/>
    <w:rsid w:val="00DC0C7F"/>
    <w:rsid w:val="00DC11AC"/>
    <w:rsid w:val="00DC1D65"/>
    <w:rsid w:val="00DC1E12"/>
    <w:rsid w:val="00DC39A3"/>
    <w:rsid w:val="00DC3C57"/>
    <w:rsid w:val="00DC4975"/>
    <w:rsid w:val="00DC4992"/>
    <w:rsid w:val="00DC4C70"/>
    <w:rsid w:val="00DC4FB7"/>
    <w:rsid w:val="00DC542D"/>
    <w:rsid w:val="00DC5501"/>
    <w:rsid w:val="00DC608A"/>
    <w:rsid w:val="00DC626D"/>
    <w:rsid w:val="00DC64FE"/>
    <w:rsid w:val="00DC7080"/>
    <w:rsid w:val="00DC7154"/>
    <w:rsid w:val="00DC724B"/>
    <w:rsid w:val="00DC74ED"/>
    <w:rsid w:val="00DC75CB"/>
    <w:rsid w:val="00DC7E8A"/>
    <w:rsid w:val="00DD0C66"/>
    <w:rsid w:val="00DD0DD5"/>
    <w:rsid w:val="00DD0F78"/>
    <w:rsid w:val="00DD1DD3"/>
    <w:rsid w:val="00DD2051"/>
    <w:rsid w:val="00DD22EA"/>
    <w:rsid w:val="00DD273C"/>
    <w:rsid w:val="00DD281C"/>
    <w:rsid w:val="00DD2C6F"/>
    <w:rsid w:val="00DD3B3A"/>
    <w:rsid w:val="00DD3F28"/>
    <w:rsid w:val="00DD41D6"/>
    <w:rsid w:val="00DD4537"/>
    <w:rsid w:val="00DD4DF8"/>
    <w:rsid w:val="00DD4E15"/>
    <w:rsid w:val="00DD5094"/>
    <w:rsid w:val="00DD5CAD"/>
    <w:rsid w:val="00DD6BA4"/>
    <w:rsid w:val="00DD6DBC"/>
    <w:rsid w:val="00DD6E68"/>
    <w:rsid w:val="00DD7975"/>
    <w:rsid w:val="00DE01F7"/>
    <w:rsid w:val="00DE0EAD"/>
    <w:rsid w:val="00DE0F84"/>
    <w:rsid w:val="00DE2304"/>
    <w:rsid w:val="00DE3138"/>
    <w:rsid w:val="00DE37F8"/>
    <w:rsid w:val="00DE41B1"/>
    <w:rsid w:val="00DE4645"/>
    <w:rsid w:val="00DE47BE"/>
    <w:rsid w:val="00DE4FCB"/>
    <w:rsid w:val="00DE5425"/>
    <w:rsid w:val="00DE5D07"/>
    <w:rsid w:val="00DE60DC"/>
    <w:rsid w:val="00DE6D94"/>
    <w:rsid w:val="00DE72A7"/>
    <w:rsid w:val="00DE7832"/>
    <w:rsid w:val="00DE7906"/>
    <w:rsid w:val="00DE7C55"/>
    <w:rsid w:val="00DF00B9"/>
    <w:rsid w:val="00DF104B"/>
    <w:rsid w:val="00DF14C1"/>
    <w:rsid w:val="00DF18FC"/>
    <w:rsid w:val="00DF1B82"/>
    <w:rsid w:val="00DF1DF3"/>
    <w:rsid w:val="00DF21EB"/>
    <w:rsid w:val="00DF242F"/>
    <w:rsid w:val="00DF41DB"/>
    <w:rsid w:val="00DF41E1"/>
    <w:rsid w:val="00DF430C"/>
    <w:rsid w:val="00DF491C"/>
    <w:rsid w:val="00DF49AD"/>
    <w:rsid w:val="00DF4A07"/>
    <w:rsid w:val="00DF4F15"/>
    <w:rsid w:val="00DF5D2B"/>
    <w:rsid w:val="00E002B7"/>
    <w:rsid w:val="00E00E8E"/>
    <w:rsid w:val="00E01B7B"/>
    <w:rsid w:val="00E02393"/>
    <w:rsid w:val="00E02A7B"/>
    <w:rsid w:val="00E03150"/>
    <w:rsid w:val="00E05630"/>
    <w:rsid w:val="00E056BD"/>
    <w:rsid w:val="00E05E74"/>
    <w:rsid w:val="00E060EF"/>
    <w:rsid w:val="00E06123"/>
    <w:rsid w:val="00E0636F"/>
    <w:rsid w:val="00E0692F"/>
    <w:rsid w:val="00E06B00"/>
    <w:rsid w:val="00E06DBB"/>
    <w:rsid w:val="00E07AA6"/>
    <w:rsid w:val="00E10149"/>
    <w:rsid w:val="00E10559"/>
    <w:rsid w:val="00E111BC"/>
    <w:rsid w:val="00E11340"/>
    <w:rsid w:val="00E11A91"/>
    <w:rsid w:val="00E11DCF"/>
    <w:rsid w:val="00E122A1"/>
    <w:rsid w:val="00E122D7"/>
    <w:rsid w:val="00E13C85"/>
    <w:rsid w:val="00E142F9"/>
    <w:rsid w:val="00E14429"/>
    <w:rsid w:val="00E14457"/>
    <w:rsid w:val="00E15031"/>
    <w:rsid w:val="00E16372"/>
    <w:rsid w:val="00E1654A"/>
    <w:rsid w:val="00E16F2C"/>
    <w:rsid w:val="00E1720F"/>
    <w:rsid w:val="00E17A3F"/>
    <w:rsid w:val="00E2006D"/>
    <w:rsid w:val="00E2017B"/>
    <w:rsid w:val="00E20E4D"/>
    <w:rsid w:val="00E20ED6"/>
    <w:rsid w:val="00E21358"/>
    <w:rsid w:val="00E2173E"/>
    <w:rsid w:val="00E21958"/>
    <w:rsid w:val="00E21FBD"/>
    <w:rsid w:val="00E2249B"/>
    <w:rsid w:val="00E22A0D"/>
    <w:rsid w:val="00E22A5F"/>
    <w:rsid w:val="00E230F7"/>
    <w:rsid w:val="00E2319F"/>
    <w:rsid w:val="00E239E3"/>
    <w:rsid w:val="00E24219"/>
    <w:rsid w:val="00E243CF"/>
    <w:rsid w:val="00E244F6"/>
    <w:rsid w:val="00E250C1"/>
    <w:rsid w:val="00E26908"/>
    <w:rsid w:val="00E26F8C"/>
    <w:rsid w:val="00E2771E"/>
    <w:rsid w:val="00E27AEA"/>
    <w:rsid w:val="00E30370"/>
    <w:rsid w:val="00E30664"/>
    <w:rsid w:val="00E31081"/>
    <w:rsid w:val="00E311EF"/>
    <w:rsid w:val="00E32180"/>
    <w:rsid w:val="00E32E3F"/>
    <w:rsid w:val="00E339DF"/>
    <w:rsid w:val="00E34129"/>
    <w:rsid w:val="00E34948"/>
    <w:rsid w:val="00E352C9"/>
    <w:rsid w:val="00E35D2C"/>
    <w:rsid w:val="00E365DD"/>
    <w:rsid w:val="00E36F77"/>
    <w:rsid w:val="00E37023"/>
    <w:rsid w:val="00E37569"/>
    <w:rsid w:val="00E37782"/>
    <w:rsid w:val="00E37ECD"/>
    <w:rsid w:val="00E401B2"/>
    <w:rsid w:val="00E402E3"/>
    <w:rsid w:val="00E40B5D"/>
    <w:rsid w:val="00E412D0"/>
    <w:rsid w:val="00E41E30"/>
    <w:rsid w:val="00E4235E"/>
    <w:rsid w:val="00E42564"/>
    <w:rsid w:val="00E42F73"/>
    <w:rsid w:val="00E4328E"/>
    <w:rsid w:val="00E43D70"/>
    <w:rsid w:val="00E44CF9"/>
    <w:rsid w:val="00E459DE"/>
    <w:rsid w:val="00E45A82"/>
    <w:rsid w:val="00E45BAC"/>
    <w:rsid w:val="00E45E04"/>
    <w:rsid w:val="00E46642"/>
    <w:rsid w:val="00E466F3"/>
    <w:rsid w:val="00E47B2C"/>
    <w:rsid w:val="00E513BE"/>
    <w:rsid w:val="00E51560"/>
    <w:rsid w:val="00E51C0C"/>
    <w:rsid w:val="00E53BEF"/>
    <w:rsid w:val="00E53FC8"/>
    <w:rsid w:val="00E54293"/>
    <w:rsid w:val="00E54347"/>
    <w:rsid w:val="00E55424"/>
    <w:rsid w:val="00E5544D"/>
    <w:rsid w:val="00E558B9"/>
    <w:rsid w:val="00E55915"/>
    <w:rsid w:val="00E55943"/>
    <w:rsid w:val="00E55BB5"/>
    <w:rsid w:val="00E56D78"/>
    <w:rsid w:val="00E571AF"/>
    <w:rsid w:val="00E5746A"/>
    <w:rsid w:val="00E57758"/>
    <w:rsid w:val="00E57F4E"/>
    <w:rsid w:val="00E6085A"/>
    <w:rsid w:val="00E60CCE"/>
    <w:rsid w:val="00E61451"/>
    <w:rsid w:val="00E62837"/>
    <w:rsid w:val="00E63B25"/>
    <w:rsid w:val="00E63B6E"/>
    <w:rsid w:val="00E63F1D"/>
    <w:rsid w:val="00E650CD"/>
    <w:rsid w:val="00E650D6"/>
    <w:rsid w:val="00E65670"/>
    <w:rsid w:val="00E65A27"/>
    <w:rsid w:val="00E65E79"/>
    <w:rsid w:val="00E66564"/>
    <w:rsid w:val="00E66752"/>
    <w:rsid w:val="00E66A44"/>
    <w:rsid w:val="00E66BA2"/>
    <w:rsid w:val="00E66D13"/>
    <w:rsid w:val="00E66E93"/>
    <w:rsid w:val="00E67416"/>
    <w:rsid w:val="00E702CD"/>
    <w:rsid w:val="00E716ED"/>
    <w:rsid w:val="00E718B6"/>
    <w:rsid w:val="00E71B74"/>
    <w:rsid w:val="00E71E48"/>
    <w:rsid w:val="00E723BA"/>
    <w:rsid w:val="00E734BF"/>
    <w:rsid w:val="00E73581"/>
    <w:rsid w:val="00E73DB4"/>
    <w:rsid w:val="00E745D5"/>
    <w:rsid w:val="00E74CEB"/>
    <w:rsid w:val="00E76615"/>
    <w:rsid w:val="00E770C8"/>
    <w:rsid w:val="00E77B97"/>
    <w:rsid w:val="00E80410"/>
    <w:rsid w:val="00E80839"/>
    <w:rsid w:val="00E80DDD"/>
    <w:rsid w:val="00E816CB"/>
    <w:rsid w:val="00E8257E"/>
    <w:rsid w:val="00E83236"/>
    <w:rsid w:val="00E833F7"/>
    <w:rsid w:val="00E83597"/>
    <w:rsid w:val="00E83BDF"/>
    <w:rsid w:val="00E8453E"/>
    <w:rsid w:val="00E86859"/>
    <w:rsid w:val="00E86A60"/>
    <w:rsid w:val="00E86E17"/>
    <w:rsid w:val="00E87A1D"/>
    <w:rsid w:val="00E87E89"/>
    <w:rsid w:val="00E900D8"/>
    <w:rsid w:val="00E9094A"/>
    <w:rsid w:val="00E9147D"/>
    <w:rsid w:val="00E91C79"/>
    <w:rsid w:val="00E91D35"/>
    <w:rsid w:val="00E926A5"/>
    <w:rsid w:val="00E93AFE"/>
    <w:rsid w:val="00E93E1D"/>
    <w:rsid w:val="00E94900"/>
    <w:rsid w:val="00E94DF5"/>
    <w:rsid w:val="00E957D2"/>
    <w:rsid w:val="00E978C2"/>
    <w:rsid w:val="00E97F57"/>
    <w:rsid w:val="00EA026E"/>
    <w:rsid w:val="00EA04AE"/>
    <w:rsid w:val="00EA139C"/>
    <w:rsid w:val="00EA17C3"/>
    <w:rsid w:val="00EA2404"/>
    <w:rsid w:val="00EA27C4"/>
    <w:rsid w:val="00EA2985"/>
    <w:rsid w:val="00EA2CAA"/>
    <w:rsid w:val="00EA32A2"/>
    <w:rsid w:val="00EA374F"/>
    <w:rsid w:val="00EA3864"/>
    <w:rsid w:val="00EA3A41"/>
    <w:rsid w:val="00EA3CC1"/>
    <w:rsid w:val="00EA50BA"/>
    <w:rsid w:val="00EA51CB"/>
    <w:rsid w:val="00EA6BB1"/>
    <w:rsid w:val="00EA7F1C"/>
    <w:rsid w:val="00EB122C"/>
    <w:rsid w:val="00EB1242"/>
    <w:rsid w:val="00EB13B6"/>
    <w:rsid w:val="00EB15B6"/>
    <w:rsid w:val="00EB2939"/>
    <w:rsid w:val="00EB2DCD"/>
    <w:rsid w:val="00EB2DEB"/>
    <w:rsid w:val="00EB34C7"/>
    <w:rsid w:val="00EB3991"/>
    <w:rsid w:val="00EB3D06"/>
    <w:rsid w:val="00EB4916"/>
    <w:rsid w:val="00EB4C92"/>
    <w:rsid w:val="00EB62D6"/>
    <w:rsid w:val="00EB64FA"/>
    <w:rsid w:val="00EB6D1D"/>
    <w:rsid w:val="00EB7429"/>
    <w:rsid w:val="00EC00C9"/>
    <w:rsid w:val="00EC07E0"/>
    <w:rsid w:val="00EC0DD9"/>
    <w:rsid w:val="00EC1046"/>
    <w:rsid w:val="00EC14A6"/>
    <w:rsid w:val="00EC23B5"/>
    <w:rsid w:val="00EC2649"/>
    <w:rsid w:val="00EC2FBE"/>
    <w:rsid w:val="00EC31ED"/>
    <w:rsid w:val="00EC35A9"/>
    <w:rsid w:val="00EC40BD"/>
    <w:rsid w:val="00EC4269"/>
    <w:rsid w:val="00EC5540"/>
    <w:rsid w:val="00EC5836"/>
    <w:rsid w:val="00EC688C"/>
    <w:rsid w:val="00EC7069"/>
    <w:rsid w:val="00EC795B"/>
    <w:rsid w:val="00EC7D4C"/>
    <w:rsid w:val="00ED0F5E"/>
    <w:rsid w:val="00ED11A1"/>
    <w:rsid w:val="00ED154C"/>
    <w:rsid w:val="00ED2428"/>
    <w:rsid w:val="00ED2834"/>
    <w:rsid w:val="00ED5478"/>
    <w:rsid w:val="00ED57EA"/>
    <w:rsid w:val="00ED5BD4"/>
    <w:rsid w:val="00ED63AB"/>
    <w:rsid w:val="00ED6994"/>
    <w:rsid w:val="00ED70B3"/>
    <w:rsid w:val="00ED781F"/>
    <w:rsid w:val="00ED785B"/>
    <w:rsid w:val="00ED7DBB"/>
    <w:rsid w:val="00ED7E8E"/>
    <w:rsid w:val="00EE0457"/>
    <w:rsid w:val="00EE07D3"/>
    <w:rsid w:val="00EE187A"/>
    <w:rsid w:val="00EE1996"/>
    <w:rsid w:val="00EE1C01"/>
    <w:rsid w:val="00EE1E2F"/>
    <w:rsid w:val="00EE22AF"/>
    <w:rsid w:val="00EE2769"/>
    <w:rsid w:val="00EE2831"/>
    <w:rsid w:val="00EE2A55"/>
    <w:rsid w:val="00EE3F3B"/>
    <w:rsid w:val="00EE44A5"/>
    <w:rsid w:val="00EE5075"/>
    <w:rsid w:val="00EE6116"/>
    <w:rsid w:val="00EE6DF3"/>
    <w:rsid w:val="00EF0171"/>
    <w:rsid w:val="00EF111A"/>
    <w:rsid w:val="00EF160A"/>
    <w:rsid w:val="00EF1B25"/>
    <w:rsid w:val="00EF1DA0"/>
    <w:rsid w:val="00EF1DC9"/>
    <w:rsid w:val="00EF2396"/>
    <w:rsid w:val="00EF29B2"/>
    <w:rsid w:val="00EF2C46"/>
    <w:rsid w:val="00EF300D"/>
    <w:rsid w:val="00EF3C13"/>
    <w:rsid w:val="00EF4747"/>
    <w:rsid w:val="00EF4BF8"/>
    <w:rsid w:val="00EF572E"/>
    <w:rsid w:val="00EF707C"/>
    <w:rsid w:val="00F018BD"/>
    <w:rsid w:val="00F01B3E"/>
    <w:rsid w:val="00F01DA2"/>
    <w:rsid w:val="00F02253"/>
    <w:rsid w:val="00F02573"/>
    <w:rsid w:val="00F0279A"/>
    <w:rsid w:val="00F02A0A"/>
    <w:rsid w:val="00F02AA2"/>
    <w:rsid w:val="00F02EFA"/>
    <w:rsid w:val="00F035D7"/>
    <w:rsid w:val="00F03767"/>
    <w:rsid w:val="00F03C2E"/>
    <w:rsid w:val="00F04A66"/>
    <w:rsid w:val="00F04AD1"/>
    <w:rsid w:val="00F04B4B"/>
    <w:rsid w:val="00F0516C"/>
    <w:rsid w:val="00F05DA8"/>
    <w:rsid w:val="00F06584"/>
    <w:rsid w:val="00F067A2"/>
    <w:rsid w:val="00F068D5"/>
    <w:rsid w:val="00F06966"/>
    <w:rsid w:val="00F07B9E"/>
    <w:rsid w:val="00F07EF5"/>
    <w:rsid w:val="00F07FDE"/>
    <w:rsid w:val="00F1116F"/>
    <w:rsid w:val="00F117C6"/>
    <w:rsid w:val="00F1196A"/>
    <w:rsid w:val="00F11A03"/>
    <w:rsid w:val="00F12081"/>
    <w:rsid w:val="00F1223F"/>
    <w:rsid w:val="00F12241"/>
    <w:rsid w:val="00F122A1"/>
    <w:rsid w:val="00F1263A"/>
    <w:rsid w:val="00F12C5A"/>
    <w:rsid w:val="00F12F1B"/>
    <w:rsid w:val="00F13B63"/>
    <w:rsid w:val="00F1404F"/>
    <w:rsid w:val="00F14AA7"/>
    <w:rsid w:val="00F156F7"/>
    <w:rsid w:val="00F15B77"/>
    <w:rsid w:val="00F15F70"/>
    <w:rsid w:val="00F16662"/>
    <w:rsid w:val="00F16800"/>
    <w:rsid w:val="00F16D42"/>
    <w:rsid w:val="00F175FC"/>
    <w:rsid w:val="00F17EB0"/>
    <w:rsid w:val="00F20F13"/>
    <w:rsid w:val="00F2200B"/>
    <w:rsid w:val="00F2335E"/>
    <w:rsid w:val="00F239D8"/>
    <w:rsid w:val="00F24776"/>
    <w:rsid w:val="00F24837"/>
    <w:rsid w:val="00F24C3A"/>
    <w:rsid w:val="00F2575F"/>
    <w:rsid w:val="00F25B90"/>
    <w:rsid w:val="00F25CA9"/>
    <w:rsid w:val="00F2631F"/>
    <w:rsid w:val="00F26331"/>
    <w:rsid w:val="00F266C6"/>
    <w:rsid w:val="00F26B4C"/>
    <w:rsid w:val="00F272F9"/>
    <w:rsid w:val="00F27565"/>
    <w:rsid w:val="00F3003A"/>
    <w:rsid w:val="00F30AC5"/>
    <w:rsid w:val="00F310D4"/>
    <w:rsid w:val="00F31801"/>
    <w:rsid w:val="00F31B8A"/>
    <w:rsid w:val="00F31D5A"/>
    <w:rsid w:val="00F31EC1"/>
    <w:rsid w:val="00F3243B"/>
    <w:rsid w:val="00F325B7"/>
    <w:rsid w:val="00F32984"/>
    <w:rsid w:val="00F32B16"/>
    <w:rsid w:val="00F32BB9"/>
    <w:rsid w:val="00F334FD"/>
    <w:rsid w:val="00F33975"/>
    <w:rsid w:val="00F33DE9"/>
    <w:rsid w:val="00F33FD6"/>
    <w:rsid w:val="00F34D57"/>
    <w:rsid w:val="00F34DCF"/>
    <w:rsid w:val="00F34E3C"/>
    <w:rsid w:val="00F3543F"/>
    <w:rsid w:val="00F35821"/>
    <w:rsid w:val="00F35E6D"/>
    <w:rsid w:val="00F3619A"/>
    <w:rsid w:val="00F3632E"/>
    <w:rsid w:val="00F37DD4"/>
    <w:rsid w:val="00F40465"/>
    <w:rsid w:val="00F405CC"/>
    <w:rsid w:val="00F40AAA"/>
    <w:rsid w:val="00F40BA7"/>
    <w:rsid w:val="00F40D39"/>
    <w:rsid w:val="00F40F9D"/>
    <w:rsid w:val="00F41ACD"/>
    <w:rsid w:val="00F42C00"/>
    <w:rsid w:val="00F43137"/>
    <w:rsid w:val="00F440A2"/>
    <w:rsid w:val="00F44878"/>
    <w:rsid w:val="00F45239"/>
    <w:rsid w:val="00F46942"/>
    <w:rsid w:val="00F46CB6"/>
    <w:rsid w:val="00F46F5E"/>
    <w:rsid w:val="00F4756D"/>
    <w:rsid w:val="00F47DE8"/>
    <w:rsid w:val="00F47F1A"/>
    <w:rsid w:val="00F50206"/>
    <w:rsid w:val="00F50C2F"/>
    <w:rsid w:val="00F512EA"/>
    <w:rsid w:val="00F513CB"/>
    <w:rsid w:val="00F52132"/>
    <w:rsid w:val="00F52968"/>
    <w:rsid w:val="00F52FB8"/>
    <w:rsid w:val="00F542C1"/>
    <w:rsid w:val="00F54371"/>
    <w:rsid w:val="00F54EC2"/>
    <w:rsid w:val="00F55504"/>
    <w:rsid w:val="00F5590B"/>
    <w:rsid w:val="00F55E73"/>
    <w:rsid w:val="00F55EDA"/>
    <w:rsid w:val="00F56C80"/>
    <w:rsid w:val="00F573CB"/>
    <w:rsid w:val="00F579CD"/>
    <w:rsid w:val="00F57FDD"/>
    <w:rsid w:val="00F60092"/>
    <w:rsid w:val="00F61C18"/>
    <w:rsid w:val="00F625F6"/>
    <w:rsid w:val="00F62E0C"/>
    <w:rsid w:val="00F6515D"/>
    <w:rsid w:val="00F656B0"/>
    <w:rsid w:val="00F65F4B"/>
    <w:rsid w:val="00F662F6"/>
    <w:rsid w:val="00F66BDF"/>
    <w:rsid w:val="00F6796D"/>
    <w:rsid w:val="00F67A69"/>
    <w:rsid w:val="00F70BFF"/>
    <w:rsid w:val="00F70C9D"/>
    <w:rsid w:val="00F71C35"/>
    <w:rsid w:val="00F72A02"/>
    <w:rsid w:val="00F738D4"/>
    <w:rsid w:val="00F73EA4"/>
    <w:rsid w:val="00F740E2"/>
    <w:rsid w:val="00F74CD9"/>
    <w:rsid w:val="00F76864"/>
    <w:rsid w:val="00F7702F"/>
    <w:rsid w:val="00F77676"/>
    <w:rsid w:val="00F80A7B"/>
    <w:rsid w:val="00F80E5D"/>
    <w:rsid w:val="00F81E78"/>
    <w:rsid w:val="00F836FE"/>
    <w:rsid w:val="00F84011"/>
    <w:rsid w:val="00F848F9"/>
    <w:rsid w:val="00F84953"/>
    <w:rsid w:val="00F84CE4"/>
    <w:rsid w:val="00F84D67"/>
    <w:rsid w:val="00F84E5E"/>
    <w:rsid w:val="00F851CE"/>
    <w:rsid w:val="00F8597C"/>
    <w:rsid w:val="00F86014"/>
    <w:rsid w:val="00F86DA1"/>
    <w:rsid w:val="00F87199"/>
    <w:rsid w:val="00F903FE"/>
    <w:rsid w:val="00F91219"/>
    <w:rsid w:val="00F915B9"/>
    <w:rsid w:val="00F92444"/>
    <w:rsid w:val="00F9393E"/>
    <w:rsid w:val="00F93AC8"/>
    <w:rsid w:val="00F93D44"/>
    <w:rsid w:val="00F9416A"/>
    <w:rsid w:val="00F954DE"/>
    <w:rsid w:val="00F95C11"/>
    <w:rsid w:val="00F95D4B"/>
    <w:rsid w:val="00F961B7"/>
    <w:rsid w:val="00F966ED"/>
    <w:rsid w:val="00F96FD0"/>
    <w:rsid w:val="00F97A78"/>
    <w:rsid w:val="00FA0A17"/>
    <w:rsid w:val="00FA0B20"/>
    <w:rsid w:val="00FA220C"/>
    <w:rsid w:val="00FA24E7"/>
    <w:rsid w:val="00FA3826"/>
    <w:rsid w:val="00FA3B28"/>
    <w:rsid w:val="00FA41C1"/>
    <w:rsid w:val="00FA4B5D"/>
    <w:rsid w:val="00FA4D97"/>
    <w:rsid w:val="00FA5EE6"/>
    <w:rsid w:val="00FA7589"/>
    <w:rsid w:val="00FA7956"/>
    <w:rsid w:val="00FA7EEF"/>
    <w:rsid w:val="00FB018C"/>
    <w:rsid w:val="00FB0AAC"/>
    <w:rsid w:val="00FB10F2"/>
    <w:rsid w:val="00FB1310"/>
    <w:rsid w:val="00FB13DC"/>
    <w:rsid w:val="00FB147C"/>
    <w:rsid w:val="00FB2A08"/>
    <w:rsid w:val="00FB2F1E"/>
    <w:rsid w:val="00FB2FCB"/>
    <w:rsid w:val="00FB34B0"/>
    <w:rsid w:val="00FB3C78"/>
    <w:rsid w:val="00FB489D"/>
    <w:rsid w:val="00FB48DB"/>
    <w:rsid w:val="00FB544E"/>
    <w:rsid w:val="00FB5703"/>
    <w:rsid w:val="00FB57B2"/>
    <w:rsid w:val="00FB6354"/>
    <w:rsid w:val="00FB67BF"/>
    <w:rsid w:val="00FB7C55"/>
    <w:rsid w:val="00FC0A27"/>
    <w:rsid w:val="00FC1074"/>
    <w:rsid w:val="00FC1372"/>
    <w:rsid w:val="00FC1884"/>
    <w:rsid w:val="00FC2679"/>
    <w:rsid w:val="00FC371D"/>
    <w:rsid w:val="00FC487A"/>
    <w:rsid w:val="00FC50CA"/>
    <w:rsid w:val="00FC5F0B"/>
    <w:rsid w:val="00FC6B9A"/>
    <w:rsid w:val="00FC7316"/>
    <w:rsid w:val="00FC73C3"/>
    <w:rsid w:val="00FC73D7"/>
    <w:rsid w:val="00FD0FE3"/>
    <w:rsid w:val="00FD12FB"/>
    <w:rsid w:val="00FD1CF2"/>
    <w:rsid w:val="00FD2100"/>
    <w:rsid w:val="00FD23D4"/>
    <w:rsid w:val="00FD2776"/>
    <w:rsid w:val="00FD29C3"/>
    <w:rsid w:val="00FD2C3F"/>
    <w:rsid w:val="00FD2D55"/>
    <w:rsid w:val="00FD38FD"/>
    <w:rsid w:val="00FD40EB"/>
    <w:rsid w:val="00FD41D2"/>
    <w:rsid w:val="00FD436C"/>
    <w:rsid w:val="00FD446D"/>
    <w:rsid w:val="00FD4751"/>
    <w:rsid w:val="00FD4B69"/>
    <w:rsid w:val="00FD4EEA"/>
    <w:rsid w:val="00FD4F2C"/>
    <w:rsid w:val="00FD5C9B"/>
    <w:rsid w:val="00FD6394"/>
    <w:rsid w:val="00FD66FE"/>
    <w:rsid w:val="00FD7DBB"/>
    <w:rsid w:val="00FE0E6C"/>
    <w:rsid w:val="00FE10CB"/>
    <w:rsid w:val="00FE1CDC"/>
    <w:rsid w:val="00FE1D70"/>
    <w:rsid w:val="00FE1EA1"/>
    <w:rsid w:val="00FE2009"/>
    <w:rsid w:val="00FE2B93"/>
    <w:rsid w:val="00FE4E77"/>
    <w:rsid w:val="00FE59FB"/>
    <w:rsid w:val="00FE5D4B"/>
    <w:rsid w:val="00FE5D9A"/>
    <w:rsid w:val="00FE652E"/>
    <w:rsid w:val="00FE70C3"/>
    <w:rsid w:val="00FE73C7"/>
    <w:rsid w:val="00FE7598"/>
    <w:rsid w:val="00FE7A23"/>
    <w:rsid w:val="00FF0813"/>
    <w:rsid w:val="00FF0FFA"/>
    <w:rsid w:val="00FF2AD9"/>
    <w:rsid w:val="00FF359F"/>
    <w:rsid w:val="00FF3DCF"/>
    <w:rsid w:val="00FF3E89"/>
    <w:rsid w:val="00FF492C"/>
    <w:rsid w:val="00FF4A21"/>
    <w:rsid w:val="00FF4AF6"/>
    <w:rsid w:val="00FF558F"/>
    <w:rsid w:val="00FF5AA3"/>
    <w:rsid w:val="00FF5AD8"/>
    <w:rsid w:val="00FF6C37"/>
    <w:rsid w:val="00FF7A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320"/>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FF6C37"/>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Bullet">
    <w:name w:val="Table Bullet"/>
    <w:basedOn w:val="TableText0"/>
    <w:qFormat/>
    <w:rsid w:val="00B86E4E"/>
    <w:pPr>
      <w:keepNext w:val="0"/>
      <w:numPr>
        <w:numId w:val="5"/>
      </w:numPr>
      <w:spacing w:before="40" w:after="40"/>
      <w:jc w:val="both"/>
    </w:pPr>
    <w:rPr>
      <w:rFonts w:eastAsiaTheme="minorHAnsi" w:cstheme="minorBidi"/>
      <w:bCs w:val="0"/>
      <w:szCs w:val="22"/>
      <w:lang w:eastAsia="en-US"/>
    </w:rPr>
  </w:style>
  <w:style w:type="paragraph" w:styleId="FootnoteText">
    <w:name w:val="footnote text"/>
    <w:basedOn w:val="Normal"/>
    <w:link w:val="FootnoteTextChar"/>
    <w:semiHidden/>
    <w:unhideWhenUsed/>
    <w:rsid w:val="00113212"/>
    <w:rPr>
      <w:sz w:val="20"/>
      <w:szCs w:val="20"/>
    </w:rPr>
  </w:style>
  <w:style w:type="character" w:customStyle="1" w:styleId="FootnoteTextChar">
    <w:name w:val="Footnote Text Char"/>
    <w:basedOn w:val="DefaultParagraphFont"/>
    <w:link w:val="FootnoteText"/>
    <w:semiHidden/>
    <w:rsid w:val="00113212"/>
    <w:rPr>
      <w:rFonts w:ascii="Calibri" w:hAnsi="Calibri" w:cs="Arial"/>
    </w:rPr>
  </w:style>
  <w:style w:type="character" w:styleId="FootnoteReference">
    <w:name w:val="footnote reference"/>
    <w:basedOn w:val="DefaultParagraphFont"/>
    <w:semiHidden/>
    <w:unhideWhenUsed/>
    <w:rsid w:val="00113212"/>
    <w:rPr>
      <w:vertAlign w:val="superscript"/>
    </w:rPr>
  </w:style>
  <w:style w:type="table" w:customStyle="1" w:styleId="TableGridbeth2">
    <w:name w:val="Table Gridbeth2"/>
    <w:basedOn w:val="TableNormal"/>
    <w:next w:val="TableGrid"/>
    <w:uiPriority w:val="59"/>
    <w:rsid w:val="009F5BA0"/>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5">
    <w:name w:val="Table Grid5"/>
    <w:basedOn w:val="TableNormal"/>
    <w:next w:val="TableGrid"/>
    <w:rsid w:val="0028415C"/>
    <w:pPr>
      <w:tabs>
        <w:tab w:val="left" w:pos="416"/>
        <w:tab w:val="left" w:pos="582"/>
      </w:tabs>
      <w:spacing w:line="360" w:lineRule="auto"/>
      <w:jc w:val="both"/>
    </w:pPr>
    <w:rPr>
      <w:rFonts w:ascii="Times" w:hAnsi="Time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Main text Char,Title Page text Char"/>
    <w:basedOn w:val="DefaultParagraphFont"/>
    <w:link w:val="NoSpacing"/>
    <w:uiPriority w:val="1"/>
    <w:rsid w:val="00DC11AC"/>
    <w:rPr>
      <w:rFonts w:ascii="Arial" w:hAnsi="Arial" w:cs="Arial"/>
      <w:snapToGrid w:val="0"/>
      <w:sz w:val="22"/>
      <w:lang w:eastAsia="en-US"/>
    </w:rPr>
  </w:style>
  <w:style w:type="paragraph" w:customStyle="1" w:styleId="NormalIlluminate">
    <w:name w:val="Normal Illuminate"/>
    <w:basedOn w:val="Normal"/>
    <w:rsid w:val="00B61DCE"/>
    <w:pPr>
      <w:spacing w:after="240" w:line="360" w:lineRule="auto"/>
    </w:pPr>
    <w:rPr>
      <w:rFonts w:ascii="Garamond" w:eastAsiaTheme="minorHAnsi" w:hAnsi="Garamond" w:cs="Times New Roman"/>
      <w:bCs/>
      <w:sz w:val="22"/>
      <w:lang w:eastAsia="en-US"/>
    </w:rPr>
  </w:style>
  <w:style w:type="paragraph" w:customStyle="1" w:styleId="CaptionIlluminateBOLD">
    <w:name w:val="Caption Illuminate BOLD"/>
    <w:basedOn w:val="Caption"/>
    <w:rsid w:val="00B61DCE"/>
    <w:pPr>
      <w:spacing w:after="60" w:line="360" w:lineRule="auto"/>
    </w:pPr>
    <w:rPr>
      <w:rFonts w:ascii="Garamond" w:eastAsiaTheme="minorHAnsi" w:hAnsi="Garamond" w:cs="Times New Roman"/>
      <w:color w:val="auto"/>
      <w:sz w:val="22"/>
      <w:lang w:eastAsia="en-US"/>
    </w:rPr>
  </w:style>
  <w:style w:type="character" w:customStyle="1" w:styleId="MainBodyTextEmphasiswithBold">
    <w:name w:val="Main Body Text Emphasis with Bold"/>
    <w:qFormat/>
    <w:rsid w:val="00D35E15"/>
    <w:rPr>
      <w:b/>
    </w:rPr>
  </w:style>
  <w:style w:type="table" w:customStyle="1" w:styleId="Summarybox1">
    <w:name w:val="Summary box1"/>
    <w:basedOn w:val="TableNormal"/>
    <w:next w:val="TableGrid"/>
    <w:rsid w:val="00E734BF"/>
    <w:rPr>
      <w:rFonts w:ascii="Garamond" w:eastAsiaTheme="minorHAns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qFormat/>
    <w:rsid w:val="005862E8"/>
    <w:pPr>
      <w:spacing w:after="240"/>
    </w:pPr>
    <w:rPr>
      <w:rFonts w:ascii="Garamond" w:eastAsiaTheme="minorHAnsi" w:hAnsi="Garamond" w:cs="Times New Roman"/>
      <w:noProof/>
      <w:sz w:val="22"/>
      <w:lang w:val="en-US" w:eastAsia="en-US"/>
    </w:rPr>
  </w:style>
  <w:style w:type="character" w:customStyle="1" w:styleId="EndNoteBibliographyChar">
    <w:name w:val="EndNote Bibliography Char"/>
    <w:basedOn w:val="DefaultParagraphFont"/>
    <w:link w:val="EndNoteBibliography"/>
    <w:qFormat/>
    <w:rsid w:val="005862E8"/>
    <w:rPr>
      <w:rFonts w:ascii="Garamond" w:eastAsiaTheme="minorHAnsi" w:hAnsi="Garamond"/>
      <w:noProof/>
      <w:sz w:val="22"/>
      <w:szCs w:val="24"/>
      <w:lang w:val="en-US" w:eastAsia="en-US"/>
    </w:rPr>
  </w:style>
  <w:style w:type="character" w:styleId="Emphasis">
    <w:name w:val="Emphasis"/>
    <w:basedOn w:val="DefaultParagraphFont"/>
    <w:uiPriority w:val="20"/>
    <w:qFormat/>
    <w:rsid w:val="00FB489D"/>
    <w:rPr>
      <w:i/>
      <w:iCs/>
    </w:rPr>
  </w:style>
  <w:style w:type="paragraph" w:customStyle="1" w:styleId="MinorOVRHeader">
    <w:name w:val="Minor OVR Header"/>
    <w:basedOn w:val="Header"/>
    <w:link w:val="MinorOVRHeaderChar"/>
    <w:rsid w:val="000E332F"/>
    <w:pPr>
      <w:jc w:val="right"/>
    </w:pPr>
    <w:rPr>
      <w:rFonts w:asciiTheme="minorHAnsi" w:hAnsiTheme="minorHAnsi"/>
    </w:rPr>
  </w:style>
  <w:style w:type="character" w:customStyle="1" w:styleId="MinorOVRHeaderChar">
    <w:name w:val="Minor OVR Header Char"/>
    <w:basedOn w:val="HeaderChar"/>
    <w:link w:val="MinorOVRHeader"/>
    <w:rsid w:val="000E332F"/>
    <w:rPr>
      <w:rFonts w:asciiTheme="minorHAnsi" w:hAnsiTheme="minorHAnsi" w:cs="Arial"/>
      <w:sz w:val="24"/>
      <w:szCs w:val="24"/>
    </w:rPr>
  </w:style>
  <w:style w:type="paragraph" w:customStyle="1" w:styleId="2Sections">
    <w:name w:val="2. Sections"/>
    <w:qFormat/>
    <w:rsid w:val="000E332F"/>
    <w:p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0E332F"/>
    <w:pPr>
      <w:numPr>
        <w:numId w:val="0"/>
      </w:numPr>
      <w:ind w:left="720" w:hanging="720"/>
      <w:jc w:val="left"/>
    </w:pPr>
    <w:rPr>
      <w:rFonts w:eastAsiaTheme="minorHAnsi" w:cstheme="minorBidi"/>
      <w:snapToGrid/>
      <w:szCs w:val="22"/>
    </w:rPr>
  </w:style>
  <w:style w:type="paragraph" w:customStyle="1" w:styleId="4Bodytext">
    <w:name w:val="4. Body text"/>
    <w:basedOn w:val="Normal"/>
    <w:link w:val="4BodytextChar"/>
    <w:qFormat/>
    <w:rsid w:val="009E0762"/>
    <w:pPr>
      <w:spacing w:after="120"/>
      <w:ind w:left="720" w:hanging="720"/>
    </w:pPr>
    <w:rPr>
      <w:rFonts w:asciiTheme="minorHAnsi" w:eastAsiaTheme="minorHAnsi" w:hAnsiTheme="minorHAnsi" w:cstheme="minorBidi"/>
      <w:szCs w:val="22"/>
      <w:lang w:eastAsia="en-US"/>
    </w:rPr>
  </w:style>
  <w:style w:type="character" w:customStyle="1" w:styleId="4BodytextChar">
    <w:name w:val="4. Body text Char"/>
    <w:basedOn w:val="DefaultParagraphFont"/>
    <w:link w:val="4Bodytext"/>
    <w:rsid w:val="009E0762"/>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87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6175417">
      <w:bodyDiv w:val="1"/>
      <w:marLeft w:val="0"/>
      <w:marRight w:val="0"/>
      <w:marTop w:val="0"/>
      <w:marBottom w:val="0"/>
      <w:divBdr>
        <w:top w:val="none" w:sz="0" w:space="0" w:color="auto"/>
        <w:left w:val="none" w:sz="0" w:space="0" w:color="auto"/>
        <w:bottom w:val="none" w:sz="0" w:space="0" w:color="auto"/>
        <w:right w:val="none" w:sz="0" w:space="0" w:color="auto"/>
      </w:divBdr>
      <w:divsChild>
        <w:div w:id="1969968051">
          <w:marLeft w:val="1080"/>
          <w:marRight w:val="0"/>
          <w:marTop w:val="100"/>
          <w:marBottom w:val="0"/>
          <w:divBdr>
            <w:top w:val="none" w:sz="0" w:space="0" w:color="auto"/>
            <w:left w:val="none" w:sz="0" w:space="0" w:color="auto"/>
            <w:bottom w:val="none" w:sz="0" w:space="0" w:color="auto"/>
            <w:right w:val="none" w:sz="0" w:space="0" w:color="auto"/>
          </w:divBdr>
        </w:div>
      </w:divsChild>
    </w:div>
    <w:div w:id="414859383">
      <w:bodyDiv w:val="1"/>
      <w:marLeft w:val="0"/>
      <w:marRight w:val="0"/>
      <w:marTop w:val="0"/>
      <w:marBottom w:val="0"/>
      <w:divBdr>
        <w:top w:val="none" w:sz="0" w:space="0" w:color="auto"/>
        <w:left w:val="none" w:sz="0" w:space="0" w:color="auto"/>
        <w:bottom w:val="none" w:sz="0" w:space="0" w:color="auto"/>
        <w:right w:val="none" w:sz="0" w:space="0" w:color="auto"/>
      </w:divBdr>
    </w:div>
    <w:div w:id="446581468">
      <w:bodyDiv w:val="1"/>
      <w:marLeft w:val="0"/>
      <w:marRight w:val="0"/>
      <w:marTop w:val="0"/>
      <w:marBottom w:val="0"/>
      <w:divBdr>
        <w:top w:val="none" w:sz="0" w:space="0" w:color="auto"/>
        <w:left w:val="none" w:sz="0" w:space="0" w:color="auto"/>
        <w:bottom w:val="none" w:sz="0" w:space="0" w:color="auto"/>
        <w:right w:val="none" w:sz="0" w:space="0" w:color="auto"/>
      </w:divBdr>
    </w:div>
    <w:div w:id="641543153">
      <w:bodyDiv w:val="1"/>
      <w:marLeft w:val="0"/>
      <w:marRight w:val="0"/>
      <w:marTop w:val="0"/>
      <w:marBottom w:val="0"/>
      <w:divBdr>
        <w:top w:val="none" w:sz="0" w:space="0" w:color="auto"/>
        <w:left w:val="none" w:sz="0" w:space="0" w:color="auto"/>
        <w:bottom w:val="none" w:sz="0" w:space="0" w:color="auto"/>
        <w:right w:val="none" w:sz="0" w:space="0" w:color="auto"/>
      </w:divBdr>
    </w:div>
    <w:div w:id="835074463">
      <w:bodyDiv w:val="1"/>
      <w:marLeft w:val="0"/>
      <w:marRight w:val="0"/>
      <w:marTop w:val="0"/>
      <w:marBottom w:val="0"/>
      <w:divBdr>
        <w:top w:val="none" w:sz="0" w:space="0" w:color="auto"/>
        <w:left w:val="none" w:sz="0" w:space="0" w:color="auto"/>
        <w:bottom w:val="none" w:sz="0" w:space="0" w:color="auto"/>
        <w:right w:val="none" w:sz="0" w:space="0" w:color="auto"/>
      </w:divBdr>
      <w:divsChild>
        <w:div w:id="1640526427">
          <w:marLeft w:val="547"/>
          <w:marRight w:val="0"/>
          <w:marTop w:val="77"/>
          <w:marBottom w:val="0"/>
          <w:divBdr>
            <w:top w:val="none" w:sz="0" w:space="0" w:color="auto"/>
            <w:left w:val="none" w:sz="0" w:space="0" w:color="auto"/>
            <w:bottom w:val="none" w:sz="0" w:space="0" w:color="auto"/>
            <w:right w:val="none" w:sz="0" w:space="0" w:color="auto"/>
          </w:divBdr>
        </w:div>
        <w:div w:id="529100969">
          <w:marLeft w:val="547"/>
          <w:marRight w:val="0"/>
          <w:marTop w:val="77"/>
          <w:marBottom w:val="0"/>
          <w:divBdr>
            <w:top w:val="none" w:sz="0" w:space="0" w:color="auto"/>
            <w:left w:val="none" w:sz="0" w:space="0" w:color="auto"/>
            <w:bottom w:val="none" w:sz="0" w:space="0" w:color="auto"/>
            <w:right w:val="none" w:sz="0" w:space="0" w:color="auto"/>
          </w:divBdr>
        </w:div>
      </w:divsChild>
    </w:div>
    <w:div w:id="840655518">
      <w:bodyDiv w:val="1"/>
      <w:marLeft w:val="0"/>
      <w:marRight w:val="0"/>
      <w:marTop w:val="0"/>
      <w:marBottom w:val="0"/>
      <w:divBdr>
        <w:top w:val="none" w:sz="0" w:space="0" w:color="auto"/>
        <w:left w:val="none" w:sz="0" w:space="0" w:color="auto"/>
        <w:bottom w:val="none" w:sz="0" w:space="0" w:color="auto"/>
        <w:right w:val="none" w:sz="0" w:space="0" w:color="auto"/>
      </w:divBdr>
      <w:divsChild>
        <w:div w:id="715935254">
          <w:marLeft w:val="547"/>
          <w:marRight w:val="0"/>
          <w:marTop w:val="77"/>
          <w:marBottom w:val="0"/>
          <w:divBdr>
            <w:top w:val="none" w:sz="0" w:space="0" w:color="auto"/>
            <w:left w:val="none" w:sz="0" w:space="0" w:color="auto"/>
            <w:bottom w:val="none" w:sz="0" w:space="0" w:color="auto"/>
            <w:right w:val="none" w:sz="0" w:space="0" w:color="auto"/>
          </w:divBdr>
        </w:div>
      </w:divsChild>
    </w:div>
    <w:div w:id="1053650373">
      <w:bodyDiv w:val="1"/>
      <w:marLeft w:val="0"/>
      <w:marRight w:val="0"/>
      <w:marTop w:val="0"/>
      <w:marBottom w:val="0"/>
      <w:divBdr>
        <w:top w:val="none" w:sz="0" w:space="0" w:color="auto"/>
        <w:left w:val="none" w:sz="0" w:space="0" w:color="auto"/>
        <w:bottom w:val="none" w:sz="0" w:space="0" w:color="auto"/>
        <w:right w:val="none" w:sz="0" w:space="0" w:color="auto"/>
      </w:divBdr>
    </w:div>
    <w:div w:id="1106463257">
      <w:bodyDiv w:val="1"/>
      <w:marLeft w:val="0"/>
      <w:marRight w:val="0"/>
      <w:marTop w:val="0"/>
      <w:marBottom w:val="0"/>
      <w:divBdr>
        <w:top w:val="none" w:sz="0" w:space="0" w:color="auto"/>
        <w:left w:val="none" w:sz="0" w:space="0" w:color="auto"/>
        <w:bottom w:val="none" w:sz="0" w:space="0" w:color="auto"/>
        <w:right w:val="none" w:sz="0" w:space="0" w:color="auto"/>
      </w:divBdr>
      <w:divsChild>
        <w:div w:id="615523082">
          <w:marLeft w:val="360"/>
          <w:marRight w:val="0"/>
          <w:marTop w:val="200"/>
          <w:marBottom w:val="0"/>
          <w:divBdr>
            <w:top w:val="none" w:sz="0" w:space="0" w:color="auto"/>
            <w:left w:val="none" w:sz="0" w:space="0" w:color="auto"/>
            <w:bottom w:val="none" w:sz="0" w:space="0" w:color="auto"/>
            <w:right w:val="none" w:sz="0" w:space="0" w:color="auto"/>
          </w:divBdr>
        </w:div>
      </w:divsChild>
    </w:div>
    <w:div w:id="113995591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379">
      <w:bodyDiv w:val="1"/>
      <w:marLeft w:val="0"/>
      <w:marRight w:val="0"/>
      <w:marTop w:val="0"/>
      <w:marBottom w:val="0"/>
      <w:divBdr>
        <w:top w:val="none" w:sz="0" w:space="0" w:color="auto"/>
        <w:left w:val="none" w:sz="0" w:space="0" w:color="auto"/>
        <w:bottom w:val="none" w:sz="0" w:space="0" w:color="auto"/>
        <w:right w:val="none" w:sz="0" w:space="0" w:color="auto"/>
      </w:divBdr>
      <w:divsChild>
        <w:div w:id="987244119">
          <w:marLeft w:val="360"/>
          <w:marRight w:val="0"/>
          <w:marTop w:val="200"/>
          <w:marBottom w:val="0"/>
          <w:divBdr>
            <w:top w:val="none" w:sz="0" w:space="0" w:color="auto"/>
            <w:left w:val="none" w:sz="0" w:space="0" w:color="auto"/>
            <w:bottom w:val="none" w:sz="0" w:space="0" w:color="auto"/>
            <w:right w:val="none" w:sz="0" w:space="0" w:color="auto"/>
          </w:divBdr>
        </w:div>
        <w:div w:id="1486431880">
          <w:marLeft w:val="360"/>
          <w:marRight w:val="0"/>
          <w:marTop w:val="200"/>
          <w:marBottom w:val="0"/>
          <w:divBdr>
            <w:top w:val="none" w:sz="0" w:space="0" w:color="auto"/>
            <w:left w:val="none" w:sz="0" w:space="0" w:color="auto"/>
            <w:bottom w:val="none" w:sz="0" w:space="0" w:color="auto"/>
            <w:right w:val="none" w:sz="0" w:space="0" w:color="auto"/>
          </w:divBdr>
        </w:div>
        <w:div w:id="1504054131">
          <w:marLeft w:val="360"/>
          <w:marRight w:val="0"/>
          <w:marTop w:val="200"/>
          <w:marBottom w:val="0"/>
          <w:divBdr>
            <w:top w:val="none" w:sz="0" w:space="0" w:color="auto"/>
            <w:left w:val="none" w:sz="0" w:space="0" w:color="auto"/>
            <w:bottom w:val="none" w:sz="0" w:space="0" w:color="auto"/>
            <w:right w:val="none" w:sz="0" w:space="0" w:color="auto"/>
          </w:divBdr>
        </w:div>
      </w:divsChild>
    </w:div>
    <w:div w:id="1378385558">
      <w:bodyDiv w:val="1"/>
      <w:marLeft w:val="0"/>
      <w:marRight w:val="0"/>
      <w:marTop w:val="0"/>
      <w:marBottom w:val="0"/>
      <w:divBdr>
        <w:top w:val="none" w:sz="0" w:space="0" w:color="auto"/>
        <w:left w:val="none" w:sz="0" w:space="0" w:color="auto"/>
        <w:bottom w:val="none" w:sz="0" w:space="0" w:color="auto"/>
        <w:right w:val="none" w:sz="0" w:space="0" w:color="auto"/>
      </w:divBdr>
      <w:divsChild>
        <w:div w:id="71398127">
          <w:marLeft w:val="547"/>
          <w:marRight w:val="0"/>
          <w:marTop w:val="77"/>
          <w:marBottom w:val="0"/>
          <w:divBdr>
            <w:top w:val="none" w:sz="0" w:space="0" w:color="auto"/>
            <w:left w:val="none" w:sz="0" w:space="0" w:color="auto"/>
            <w:bottom w:val="none" w:sz="0" w:space="0" w:color="auto"/>
            <w:right w:val="none" w:sz="0" w:space="0" w:color="auto"/>
          </w:divBdr>
        </w:div>
      </w:divsChild>
    </w:div>
    <w:div w:id="1466509000">
      <w:bodyDiv w:val="1"/>
      <w:marLeft w:val="0"/>
      <w:marRight w:val="0"/>
      <w:marTop w:val="0"/>
      <w:marBottom w:val="0"/>
      <w:divBdr>
        <w:top w:val="none" w:sz="0" w:space="0" w:color="auto"/>
        <w:left w:val="none" w:sz="0" w:space="0" w:color="auto"/>
        <w:bottom w:val="none" w:sz="0" w:space="0" w:color="auto"/>
        <w:right w:val="none" w:sz="0" w:space="0" w:color="auto"/>
      </w:divBdr>
      <w:divsChild>
        <w:div w:id="1298995724">
          <w:marLeft w:val="547"/>
          <w:marRight w:val="0"/>
          <w:marTop w:val="77"/>
          <w:marBottom w:val="0"/>
          <w:divBdr>
            <w:top w:val="none" w:sz="0" w:space="0" w:color="auto"/>
            <w:left w:val="none" w:sz="0" w:space="0" w:color="auto"/>
            <w:bottom w:val="none" w:sz="0" w:space="0" w:color="auto"/>
            <w:right w:val="none" w:sz="0" w:space="0" w:color="auto"/>
          </w:divBdr>
        </w:div>
      </w:divsChild>
    </w:div>
    <w:div w:id="1495419038">
      <w:bodyDiv w:val="1"/>
      <w:marLeft w:val="0"/>
      <w:marRight w:val="0"/>
      <w:marTop w:val="0"/>
      <w:marBottom w:val="0"/>
      <w:divBdr>
        <w:top w:val="none" w:sz="0" w:space="0" w:color="auto"/>
        <w:left w:val="none" w:sz="0" w:space="0" w:color="auto"/>
        <w:bottom w:val="none" w:sz="0" w:space="0" w:color="auto"/>
        <w:right w:val="none" w:sz="0" w:space="0" w:color="auto"/>
      </w:divBdr>
    </w:div>
    <w:div w:id="1695184074">
      <w:bodyDiv w:val="1"/>
      <w:marLeft w:val="0"/>
      <w:marRight w:val="0"/>
      <w:marTop w:val="0"/>
      <w:marBottom w:val="0"/>
      <w:divBdr>
        <w:top w:val="none" w:sz="0" w:space="0" w:color="auto"/>
        <w:left w:val="none" w:sz="0" w:space="0" w:color="auto"/>
        <w:bottom w:val="none" w:sz="0" w:space="0" w:color="auto"/>
        <w:right w:val="none" w:sz="0" w:space="0" w:color="auto"/>
      </w:divBdr>
    </w:div>
    <w:div w:id="172721977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36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ealth.vic.gov.au/healthvictoria/apr19/epilepsy.htm" TargetMode="External"/><Relationship Id="rId1" Type="http://schemas.openxmlformats.org/officeDocument/2006/relationships/hyperlink" Target="https://www.nice.org.uk/guidance/ta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47B8-31EB-42D3-84B5-36F44D0B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14542</Words>
  <Characters>79862</Characters>
  <Application>Microsoft Office Word</Application>
  <DocSecurity>0</DocSecurity>
  <Lines>665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2021-03-01T22:49:00Z</dcterms:created>
  <dcterms:modified xsi:type="dcterms:W3CDTF">2021-03-01T22:50:00Z</dcterms:modified>
</cp:coreProperties>
</file>