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354" w:rsidRPr="00C24DBA" w:rsidRDefault="00577DF1" w:rsidP="004575FD">
      <w:pPr>
        <w:pStyle w:val="1-MainHeading"/>
        <w:spacing w:before="0" w:after="0"/>
        <w:outlineLvl w:val="9"/>
      </w:pPr>
      <w:bookmarkStart w:id="0" w:name="_Toc29800755"/>
      <w:bookmarkStart w:id="1" w:name="_Toc48560938"/>
      <w:r w:rsidRPr="00C24DBA">
        <w:t>7.02</w:t>
      </w:r>
      <w:r w:rsidR="00DC38AF" w:rsidRPr="00C24DBA">
        <w:tab/>
        <w:t>CABOZANTINIB,</w:t>
      </w:r>
      <w:bookmarkEnd w:id="0"/>
      <w:r w:rsidR="00DC38AF" w:rsidRPr="00C24DBA">
        <w:t xml:space="preserve"> </w:t>
      </w:r>
      <w:bookmarkStart w:id="2" w:name="_Toc29800756"/>
      <w:r w:rsidR="00DC38AF" w:rsidRPr="00C24DBA">
        <w:br/>
      </w:r>
      <w:r w:rsidR="005F1354" w:rsidRPr="00C24DBA">
        <w:t>Tablet</w:t>
      </w:r>
      <w:r w:rsidR="004575FD" w:rsidRPr="00C24DBA">
        <w:t xml:space="preserve"> </w:t>
      </w:r>
      <w:r w:rsidR="009E7D48" w:rsidRPr="00C24DBA">
        <w:t xml:space="preserve">20 mg, </w:t>
      </w:r>
      <w:r w:rsidR="004575FD" w:rsidRPr="00C24DBA">
        <w:t xml:space="preserve">Tablet </w:t>
      </w:r>
      <w:r w:rsidR="009E7D48" w:rsidRPr="00C24DBA">
        <w:t xml:space="preserve">40 mg, </w:t>
      </w:r>
      <w:r w:rsidR="004575FD" w:rsidRPr="00C24DBA">
        <w:t xml:space="preserve">Tablet </w:t>
      </w:r>
      <w:r w:rsidR="009E7D48" w:rsidRPr="00C24DBA">
        <w:t>60 mg,</w:t>
      </w:r>
    </w:p>
    <w:p w:rsidR="00DC38AF" w:rsidRPr="00C24DBA" w:rsidRDefault="00DC38AF" w:rsidP="009E7D48">
      <w:pPr>
        <w:pStyle w:val="1-MainHeading"/>
        <w:spacing w:before="0" w:after="0"/>
        <w:ind w:left="709" w:firstLine="0"/>
        <w:outlineLvl w:val="9"/>
      </w:pPr>
      <w:r w:rsidRPr="00C24DBA">
        <w:t>Cabometyx</w:t>
      </w:r>
      <w:r w:rsidRPr="00C24DBA">
        <w:rPr>
          <w:vertAlign w:val="superscript"/>
        </w:rPr>
        <w:t>®</w:t>
      </w:r>
      <w:r w:rsidRPr="00C24DBA">
        <w:t>,</w:t>
      </w:r>
      <w:bookmarkEnd w:id="2"/>
      <w:r w:rsidRPr="00C24DBA">
        <w:t xml:space="preserve"> </w:t>
      </w:r>
      <w:bookmarkStart w:id="3" w:name="_Toc29800757"/>
      <w:r w:rsidRPr="00C24DBA">
        <w:br/>
        <w:t>Ipsen Pty Ltd.</w:t>
      </w:r>
      <w:bookmarkEnd w:id="1"/>
      <w:bookmarkEnd w:id="3"/>
    </w:p>
    <w:p w:rsidR="004B4C7D" w:rsidRPr="00C24DBA" w:rsidRDefault="004B4C7D" w:rsidP="00B05E78">
      <w:pPr>
        <w:pStyle w:val="2-SectionHeading"/>
        <w:numPr>
          <w:ilvl w:val="0"/>
          <w:numId w:val="1"/>
        </w:numPr>
        <w:spacing w:before="360"/>
      </w:pPr>
      <w:bookmarkStart w:id="4" w:name="_Toc48560940"/>
      <w:r w:rsidRPr="00C24DBA">
        <w:t>Purpose of submission</w:t>
      </w:r>
      <w:bookmarkEnd w:id="4"/>
    </w:p>
    <w:p w:rsidR="004B4C7D" w:rsidRPr="00C24DBA" w:rsidRDefault="004B4C7D" w:rsidP="004B1A2C">
      <w:pPr>
        <w:pStyle w:val="3-BodyText"/>
      </w:pPr>
      <w:r w:rsidRPr="00C24DBA">
        <w:t xml:space="preserve">The resubmission requested a Section 85, Authority Required (Streamlined) </w:t>
      </w:r>
      <w:r w:rsidR="002D25DC" w:rsidRPr="00C24DBA">
        <w:t>listing</w:t>
      </w:r>
      <w:r w:rsidR="00A91B2E" w:rsidRPr="00C24DBA">
        <w:t xml:space="preserve"> of</w:t>
      </w:r>
      <w:r w:rsidR="002D25DC" w:rsidRPr="00C24DBA">
        <w:t xml:space="preserve"> </w:t>
      </w:r>
      <w:r w:rsidRPr="00C24DBA">
        <w:t>cabozantinib in patients with stage IV clear cell variant advanc</w:t>
      </w:r>
      <w:r w:rsidR="00820F9E" w:rsidRPr="00C24DBA">
        <w:t xml:space="preserve">ed renal clear carcinoma (RCC) </w:t>
      </w:r>
      <w:r w:rsidR="008E1C32" w:rsidRPr="00C24DBA">
        <w:t xml:space="preserve">with </w:t>
      </w:r>
      <w:r w:rsidRPr="00C24DBA">
        <w:t>intermediate to poor risk classification according to the International Metastatic Renal Cell Carcinoma Database Consortium (IMDC) criteria</w:t>
      </w:r>
      <w:r w:rsidR="00424CFF" w:rsidRPr="00C24DBA">
        <w:t xml:space="preserve"> </w:t>
      </w:r>
      <w:r w:rsidRPr="00C24DBA">
        <w:t>who have not been previously treated with a tyrosine kinase inhibitor (TKI)</w:t>
      </w:r>
      <w:r w:rsidR="00936372" w:rsidRPr="00C24DBA">
        <w:t xml:space="preserve"> (</w:t>
      </w:r>
      <w:r w:rsidR="00B43A0D" w:rsidRPr="00C24DBA">
        <w:t>referred to as ‘</w:t>
      </w:r>
      <w:r w:rsidR="00936372" w:rsidRPr="00C24DBA">
        <w:t>the new listing</w:t>
      </w:r>
      <w:r w:rsidR="00B43A0D" w:rsidRPr="00C24DBA">
        <w:t>’</w:t>
      </w:r>
      <w:r w:rsidR="00936372" w:rsidRPr="00C24DBA">
        <w:t>)</w:t>
      </w:r>
      <w:r w:rsidR="00045513" w:rsidRPr="00C24DBA">
        <w:t xml:space="preserve">. </w:t>
      </w:r>
      <w:r w:rsidR="0098766B" w:rsidRPr="00C24DBA">
        <w:t>The resubmission requested th</w:t>
      </w:r>
      <w:r w:rsidR="00B43A0D" w:rsidRPr="00C24DBA">
        <w:t>at th</w:t>
      </w:r>
      <w:r w:rsidR="0098766B" w:rsidRPr="00C24DBA">
        <w:t xml:space="preserve">e new listing </w:t>
      </w:r>
      <w:r w:rsidR="00594A42" w:rsidRPr="00C24DBA">
        <w:t xml:space="preserve">be combined </w:t>
      </w:r>
      <w:r w:rsidRPr="00C24DBA">
        <w:t xml:space="preserve">with the </w:t>
      </w:r>
      <w:r w:rsidR="004024D5" w:rsidRPr="00C24DBA">
        <w:t>existing</w:t>
      </w:r>
      <w:r w:rsidR="001F2E8D" w:rsidRPr="00C24DBA">
        <w:t xml:space="preserve"> listing </w:t>
      </w:r>
      <w:r w:rsidR="009B70CC" w:rsidRPr="00C24DBA">
        <w:t xml:space="preserve">of </w:t>
      </w:r>
      <w:r w:rsidR="001F2E8D" w:rsidRPr="00C24DBA">
        <w:t>cabozantinib (</w:t>
      </w:r>
      <w:r w:rsidRPr="00C24DBA">
        <w:t>patients who have already received treatment with a TKI</w:t>
      </w:r>
      <w:r w:rsidR="001F2E8D" w:rsidRPr="00C24DBA">
        <w:t xml:space="preserve"> </w:t>
      </w:r>
      <w:r w:rsidRPr="00C24DBA">
        <w:t>irrespective of IMDC risk classification)</w:t>
      </w:r>
      <w:r w:rsidR="002D25DC" w:rsidRPr="00C24DBA">
        <w:t xml:space="preserve"> to </w:t>
      </w:r>
      <w:r w:rsidR="009B70CC" w:rsidRPr="00C24DBA">
        <w:t>form</w:t>
      </w:r>
      <w:r w:rsidR="002D25DC" w:rsidRPr="00C24DBA">
        <w:t xml:space="preserve"> a line-agnostic restriction</w:t>
      </w:r>
      <w:r w:rsidRPr="00C24DBA">
        <w:t xml:space="preserve">. The line-agnostic restriction </w:t>
      </w:r>
      <w:r w:rsidR="002D25DC" w:rsidRPr="00C24DBA">
        <w:t>wa</w:t>
      </w:r>
      <w:r w:rsidRPr="00C24DBA">
        <w:t xml:space="preserve">s consistent with the </w:t>
      </w:r>
      <w:r w:rsidR="009B70CC" w:rsidRPr="00C24DBA">
        <w:t xml:space="preserve">previous </w:t>
      </w:r>
      <w:r w:rsidRPr="00C24DBA">
        <w:t>advice from the PBAC (para 7.15, cabozantinib Public Document Summary (PSD), March 2020 PBAC Meeting).</w:t>
      </w:r>
    </w:p>
    <w:p w:rsidR="007C5BAF" w:rsidRPr="00C24DBA" w:rsidRDefault="004B4C7D" w:rsidP="004B4C7D">
      <w:pPr>
        <w:pStyle w:val="3-BodyText"/>
      </w:pPr>
      <w:r w:rsidRPr="00C24DBA">
        <w:t xml:space="preserve">Listing was requested on the basis of a cost-analysis versus sunitinib. </w:t>
      </w:r>
    </w:p>
    <w:p w:rsidR="004B4C7D" w:rsidRPr="00C24DBA" w:rsidRDefault="004B4C7D" w:rsidP="004B4C7D">
      <w:pPr>
        <w:pStyle w:val="3-BodyText"/>
      </w:pPr>
      <w:r w:rsidRPr="00C24DBA">
        <w:t xml:space="preserve">The resubmission’s PICO is presented in Table 1. </w:t>
      </w:r>
      <w:r w:rsidR="009B70CC" w:rsidRPr="00C24DBA">
        <w:rPr>
          <w:rFonts w:cstheme="minorHAnsi"/>
          <w:bCs/>
          <w:iCs/>
        </w:rPr>
        <w:t>In the March 2020 submission, t</w:t>
      </w:r>
      <w:r w:rsidRPr="00C24DBA">
        <w:rPr>
          <w:rFonts w:cstheme="minorHAnsi"/>
          <w:bCs/>
          <w:iCs/>
        </w:rPr>
        <w:t xml:space="preserve">he clinical claim </w:t>
      </w:r>
      <w:r w:rsidR="009B70CC" w:rsidRPr="00C24DBA">
        <w:rPr>
          <w:rFonts w:cstheme="minorHAnsi"/>
          <w:bCs/>
          <w:iCs/>
        </w:rPr>
        <w:t xml:space="preserve">was </w:t>
      </w:r>
      <w:r w:rsidRPr="00C24DBA">
        <w:rPr>
          <w:rFonts w:cstheme="minorHAnsi"/>
          <w:bCs/>
          <w:iCs/>
        </w:rPr>
        <w:t xml:space="preserve">that “cabozantinib improved </w:t>
      </w:r>
      <w:r w:rsidR="00E606B6" w:rsidRPr="00C24DBA">
        <w:rPr>
          <w:rFonts w:cstheme="minorHAnsi"/>
          <w:bCs/>
          <w:iCs/>
        </w:rPr>
        <w:t>overall survival (OS)</w:t>
      </w:r>
      <w:r w:rsidRPr="00C24DBA">
        <w:rPr>
          <w:rFonts w:cstheme="minorHAnsi"/>
          <w:bCs/>
          <w:iCs/>
        </w:rPr>
        <w:t>”</w:t>
      </w:r>
      <w:r w:rsidR="009B70CC" w:rsidRPr="00C24DBA">
        <w:rPr>
          <w:rFonts w:cstheme="minorHAnsi"/>
          <w:bCs/>
          <w:iCs/>
        </w:rPr>
        <w:t>, this has been changed to a claim of “s</w:t>
      </w:r>
      <w:r w:rsidRPr="00C24DBA">
        <w:rPr>
          <w:rFonts w:cstheme="minorHAnsi"/>
          <w:bCs/>
          <w:iCs/>
        </w:rPr>
        <w:t xml:space="preserve">imilar OS” compared with sunitinib. </w:t>
      </w:r>
      <w:r w:rsidRPr="00C24DBA">
        <w:rPr>
          <w:rStyle w:val="normaltextrun"/>
          <w:color w:val="000000"/>
          <w:shd w:val="clear" w:color="auto" w:fill="FFFFFF"/>
        </w:rPr>
        <w:t xml:space="preserve">The </w:t>
      </w:r>
      <w:r w:rsidR="00B314F7" w:rsidRPr="00C24DBA">
        <w:rPr>
          <w:rStyle w:val="normaltextrun"/>
          <w:color w:val="000000"/>
          <w:shd w:val="clear" w:color="auto" w:fill="FFFFFF"/>
        </w:rPr>
        <w:t>remainder</w:t>
      </w:r>
      <w:r w:rsidRPr="00C24DBA">
        <w:rPr>
          <w:rStyle w:val="normaltextrun"/>
          <w:color w:val="000000"/>
          <w:shd w:val="clear" w:color="auto" w:fill="FFFFFF"/>
        </w:rPr>
        <w:t xml:space="preserve"> of the PICO </w:t>
      </w:r>
      <w:r w:rsidR="00B314F7" w:rsidRPr="00C24DBA">
        <w:rPr>
          <w:rStyle w:val="normaltextrun"/>
          <w:color w:val="000000"/>
          <w:shd w:val="clear" w:color="auto" w:fill="FFFFFF"/>
        </w:rPr>
        <w:t xml:space="preserve">was </w:t>
      </w:r>
      <w:r w:rsidRPr="00C24DBA">
        <w:rPr>
          <w:rStyle w:val="normaltextrun"/>
          <w:color w:val="000000"/>
          <w:shd w:val="clear" w:color="auto" w:fill="FFFFFF"/>
        </w:rPr>
        <w:t>unchanged from the March 2020 submission.</w:t>
      </w:r>
    </w:p>
    <w:p w:rsidR="004B4C7D" w:rsidRPr="00C24DBA" w:rsidRDefault="004B4C7D" w:rsidP="004B4C7D">
      <w:pPr>
        <w:pStyle w:val="TableFigureHeading"/>
      </w:pPr>
      <w:r w:rsidRPr="00C24DBA">
        <w:rPr>
          <w:rStyle w:val="CommentReference"/>
          <w:b/>
          <w:szCs w:val="24"/>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7765"/>
      </w:tblGrid>
      <w:tr w:rsidR="004B4C7D" w:rsidRPr="00C24DBA" w:rsidTr="004B1A2C">
        <w:tc>
          <w:tcPr>
            <w:tcW w:w="694" w:type="pct"/>
            <w:vAlign w:val="center"/>
          </w:tcPr>
          <w:p w:rsidR="004B4C7D" w:rsidRPr="00C24DBA" w:rsidRDefault="004B4C7D" w:rsidP="004866BB">
            <w:pPr>
              <w:pStyle w:val="In-tableHeading"/>
              <w:rPr>
                <w:rFonts w:cs="Arial"/>
                <w:bCs/>
                <w:szCs w:val="20"/>
                <w:lang w:val="en-AU"/>
              </w:rPr>
            </w:pPr>
            <w:r w:rsidRPr="00C24DBA">
              <w:rPr>
                <w:rFonts w:cs="Arial"/>
                <w:bCs/>
                <w:szCs w:val="20"/>
                <w:lang w:val="en-AU"/>
              </w:rPr>
              <w:t>Component</w:t>
            </w:r>
          </w:p>
        </w:tc>
        <w:tc>
          <w:tcPr>
            <w:tcW w:w="4306" w:type="pct"/>
            <w:vAlign w:val="center"/>
          </w:tcPr>
          <w:p w:rsidR="004B4C7D" w:rsidRPr="00C24DBA" w:rsidRDefault="004B4C7D" w:rsidP="004866BB">
            <w:pPr>
              <w:pStyle w:val="In-tableHeading"/>
              <w:rPr>
                <w:rFonts w:cs="Arial"/>
                <w:bCs/>
                <w:szCs w:val="20"/>
                <w:lang w:val="en-AU"/>
              </w:rPr>
            </w:pPr>
            <w:r w:rsidRPr="00C24DBA">
              <w:rPr>
                <w:rFonts w:cs="Arial"/>
                <w:bCs/>
                <w:szCs w:val="20"/>
                <w:lang w:val="en-AU"/>
              </w:rPr>
              <w:t>Description</w:t>
            </w:r>
          </w:p>
        </w:tc>
      </w:tr>
      <w:tr w:rsidR="004B4C7D" w:rsidRPr="00C24DBA" w:rsidTr="004B1A2C">
        <w:trPr>
          <w:trHeight w:val="353"/>
        </w:trPr>
        <w:tc>
          <w:tcPr>
            <w:tcW w:w="694" w:type="pct"/>
            <w:shd w:val="clear" w:color="auto" w:fill="C6D9F1" w:themeFill="text2" w:themeFillTint="33"/>
            <w:vAlign w:val="center"/>
          </w:tcPr>
          <w:p w:rsidR="004B4C7D" w:rsidRPr="00C24DBA" w:rsidRDefault="004B4C7D" w:rsidP="004866BB">
            <w:pPr>
              <w:pStyle w:val="TableText0"/>
              <w:rPr>
                <w:rFonts w:cs="Arial"/>
                <w:szCs w:val="20"/>
              </w:rPr>
            </w:pPr>
            <w:r w:rsidRPr="00C24DBA">
              <w:rPr>
                <w:rFonts w:cs="Arial"/>
                <w:szCs w:val="20"/>
              </w:rPr>
              <w:t>Population</w:t>
            </w:r>
          </w:p>
        </w:tc>
        <w:tc>
          <w:tcPr>
            <w:tcW w:w="4306" w:type="pct"/>
            <w:shd w:val="clear" w:color="auto" w:fill="C6D9F1" w:themeFill="text2" w:themeFillTint="33"/>
          </w:tcPr>
          <w:p w:rsidR="004B4C7D" w:rsidRPr="00C24DBA" w:rsidRDefault="004B4C7D" w:rsidP="004866BB">
            <w:pPr>
              <w:pStyle w:val="TableText0"/>
              <w:rPr>
                <w:rFonts w:cs="Arial"/>
                <w:szCs w:val="20"/>
              </w:rPr>
            </w:pPr>
            <w:r w:rsidRPr="00C24DBA">
              <w:rPr>
                <w:rStyle w:val="normaltextrun"/>
                <w:rFonts w:cs="Calibri"/>
                <w:szCs w:val="20"/>
              </w:rPr>
              <w:t>Patients with stage IV clear cell variant advanced RCC, with ECOG status of 0-2 and intermediate to poor risk classification who have not been previously treated with a TKI.</w:t>
            </w:r>
            <w:r w:rsidRPr="00C24DBA">
              <w:rPr>
                <w:rStyle w:val="normaltextrun"/>
              </w:rPr>
              <w:t> </w:t>
            </w:r>
          </w:p>
        </w:tc>
      </w:tr>
      <w:tr w:rsidR="004B4C7D" w:rsidRPr="00C24DBA" w:rsidTr="004B1A2C">
        <w:trPr>
          <w:trHeight w:val="78"/>
        </w:trPr>
        <w:tc>
          <w:tcPr>
            <w:tcW w:w="694" w:type="pct"/>
            <w:shd w:val="clear" w:color="auto" w:fill="C6D9F1" w:themeFill="text2" w:themeFillTint="33"/>
            <w:vAlign w:val="center"/>
          </w:tcPr>
          <w:p w:rsidR="004B4C7D" w:rsidRPr="00C24DBA" w:rsidRDefault="004B4C7D" w:rsidP="004866BB">
            <w:pPr>
              <w:pStyle w:val="TableText0"/>
              <w:rPr>
                <w:rFonts w:cs="Arial"/>
                <w:szCs w:val="20"/>
              </w:rPr>
            </w:pPr>
            <w:r w:rsidRPr="00C24DBA">
              <w:rPr>
                <w:rFonts w:cs="Arial"/>
                <w:szCs w:val="20"/>
              </w:rPr>
              <w:t>Intervention</w:t>
            </w:r>
          </w:p>
        </w:tc>
        <w:tc>
          <w:tcPr>
            <w:tcW w:w="4306" w:type="pct"/>
            <w:shd w:val="clear" w:color="auto" w:fill="C6D9F1" w:themeFill="text2" w:themeFillTint="33"/>
          </w:tcPr>
          <w:p w:rsidR="004B4C7D" w:rsidRPr="00C24DBA" w:rsidRDefault="004B4C7D" w:rsidP="004866BB">
            <w:pPr>
              <w:pStyle w:val="TableText0"/>
              <w:rPr>
                <w:rFonts w:cs="Arial"/>
                <w:szCs w:val="20"/>
              </w:rPr>
            </w:pPr>
            <w:r w:rsidRPr="00C24DBA">
              <w:rPr>
                <w:rStyle w:val="normaltextrun"/>
                <w:rFonts w:cs="Calibri"/>
                <w:szCs w:val="20"/>
              </w:rPr>
              <w:t>Cabozantinib 60 mg orally once daily (QD) until disease progression or unacceptable toxicity.</w:t>
            </w:r>
          </w:p>
        </w:tc>
      </w:tr>
      <w:tr w:rsidR="004B4C7D" w:rsidRPr="00C24DBA" w:rsidTr="004B1A2C">
        <w:tc>
          <w:tcPr>
            <w:tcW w:w="694" w:type="pct"/>
            <w:shd w:val="clear" w:color="auto" w:fill="C6D9F1" w:themeFill="text2" w:themeFillTint="33"/>
            <w:vAlign w:val="center"/>
          </w:tcPr>
          <w:p w:rsidR="004B4C7D" w:rsidRPr="00C24DBA" w:rsidRDefault="004B4C7D" w:rsidP="004866BB">
            <w:pPr>
              <w:pStyle w:val="TableText0"/>
              <w:rPr>
                <w:rFonts w:cs="Arial"/>
                <w:szCs w:val="20"/>
              </w:rPr>
            </w:pPr>
            <w:r w:rsidRPr="00C24DBA">
              <w:rPr>
                <w:rFonts w:cs="Arial"/>
                <w:szCs w:val="20"/>
              </w:rPr>
              <w:t>Comparator</w:t>
            </w:r>
          </w:p>
        </w:tc>
        <w:tc>
          <w:tcPr>
            <w:tcW w:w="4306" w:type="pct"/>
            <w:shd w:val="clear" w:color="auto" w:fill="C6D9F1" w:themeFill="text2" w:themeFillTint="33"/>
          </w:tcPr>
          <w:p w:rsidR="004B4C7D" w:rsidRPr="00C24DBA" w:rsidRDefault="004B4C7D" w:rsidP="004866BB">
            <w:pPr>
              <w:pStyle w:val="TableText0"/>
              <w:rPr>
                <w:rFonts w:cs="Arial"/>
                <w:szCs w:val="20"/>
              </w:rPr>
            </w:pPr>
            <w:r w:rsidRPr="00C24DBA">
              <w:rPr>
                <w:rStyle w:val="normaltextrun"/>
                <w:rFonts w:cs="Calibri"/>
                <w:szCs w:val="20"/>
              </w:rPr>
              <w:t>Sunitinib (Sutent®), 50 mg orally QD for the first 4 weeks of consecutive 6 week cycles, until disease progression or unacceptable toxicity</w:t>
            </w:r>
            <w:r w:rsidRPr="00C24DBA">
              <w:rPr>
                <w:rStyle w:val="eop"/>
              </w:rPr>
              <w:t>.</w:t>
            </w:r>
          </w:p>
        </w:tc>
      </w:tr>
      <w:tr w:rsidR="004B4C7D" w:rsidRPr="00C24DBA" w:rsidTr="004B1A2C">
        <w:tc>
          <w:tcPr>
            <w:tcW w:w="694" w:type="pct"/>
            <w:shd w:val="clear" w:color="auto" w:fill="C6D9F1" w:themeFill="text2" w:themeFillTint="33"/>
            <w:vAlign w:val="center"/>
          </w:tcPr>
          <w:p w:rsidR="004B4C7D" w:rsidRPr="00C24DBA" w:rsidRDefault="004B4C7D" w:rsidP="004866BB">
            <w:pPr>
              <w:pStyle w:val="TableText0"/>
              <w:rPr>
                <w:rFonts w:cs="Arial"/>
                <w:szCs w:val="20"/>
              </w:rPr>
            </w:pPr>
            <w:r w:rsidRPr="00C24DBA">
              <w:rPr>
                <w:rFonts w:cs="Arial"/>
                <w:szCs w:val="20"/>
              </w:rPr>
              <w:t>Outcomes</w:t>
            </w:r>
          </w:p>
        </w:tc>
        <w:tc>
          <w:tcPr>
            <w:tcW w:w="4306" w:type="pct"/>
            <w:shd w:val="clear" w:color="auto" w:fill="C6D9F1" w:themeFill="text2" w:themeFillTint="33"/>
          </w:tcPr>
          <w:p w:rsidR="004B4C7D" w:rsidRPr="00C24DBA" w:rsidRDefault="004B4C7D" w:rsidP="004866BB">
            <w:pPr>
              <w:pStyle w:val="Table"/>
              <w:rPr>
                <w:rFonts w:ascii="Arial Narrow" w:hAnsi="Arial Narrow" w:cs="Arial"/>
                <w:szCs w:val="20"/>
              </w:rPr>
            </w:pPr>
            <w:r w:rsidRPr="00C24DBA">
              <w:rPr>
                <w:rStyle w:val="normaltextrun"/>
                <w:rFonts w:ascii="Arial Narrow" w:hAnsi="Arial Narrow" w:cs="Calibri"/>
                <w:szCs w:val="20"/>
              </w:rPr>
              <w:t>Progression free survival (PFS), objective response rate (ORR), and overall survival (OS) </w:t>
            </w:r>
            <w:r w:rsidRPr="00C24DBA">
              <w:rPr>
                <w:rStyle w:val="eop"/>
                <w:rFonts w:cs="Calibri"/>
                <w:szCs w:val="20"/>
              </w:rPr>
              <w:t> </w:t>
            </w:r>
          </w:p>
        </w:tc>
      </w:tr>
      <w:tr w:rsidR="004B4C7D" w:rsidRPr="00C24DBA" w:rsidTr="004B1A2C">
        <w:tc>
          <w:tcPr>
            <w:tcW w:w="694" w:type="pct"/>
            <w:vAlign w:val="center"/>
          </w:tcPr>
          <w:p w:rsidR="004B4C7D" w:rsidRPr="00C24DBA" w:rsidRDefault="004B4C7D" w:rsidP="004866BB">
            <w:pPr>
              <w:pStyle w:val="TableText0"/>
              <w:rPr>
                <w:rFonts w:cs="Arial"/>
                <w:szCs w:val="20"/>
              </w:rPr>
            </w:pPr>
            <w:r w:rsidRPr="00C24DBA">
              <w:rPr>
                <w:rFonts w:cs="Arial"/>
                <w:szCs w:val="20"/>
              </w:rPr>
              <w:t>Clinical claim</w:t>
            </w:r>
          </w:p>
        </w:tc>
        <w:tc>
          <w:tcPr>
            <w:tcW w:w="4306" w:type="pct"/>
          </w:tcPr>
          <w:p w:rsidR="004B4C7D" w:rsidRPr="00C24DBA" w:rsidRDefault="004B4C7D" w:rsidP="004866BB">
            <w:pPr>
              <w:pStyle w:val="Table"/>
              <w:shd w:val="clear" w:color="auto" w:fill="C6D9F1" w:themeFill="text2" w:themeFillTint="33"/>
              <w:rPr>
                <w:rFonts w:ascii="Arial Narrow" w:hAnsi="Arial Narrow"/>
                <w:szCs w:val="20"/>
              </w:rPr>
            </w:pPr>
            <w:r w:rsidRPr="00C24DBA">
              <w:rPr>
                <w:rFonts w:ascii="Arial Narrow" w:hAnsi="Arial Narrow"/>
                <w:szCs w:val="20"/>
              </w:rPr>
              <w:t xml:space="preserve">Compared to sunitinib cabozantinib provides: </w:t>
            </w:r>
          </w:p>
          <w:p w:rsidR="004B4C7D" w:rsidRPr="00C24DBA" w:rsidRDefault="004B4C7D" w:rsidP="00046F99">
            <w:pPr>
              <w:pStyle w:val="TableBullets"/>
              <w:numPr>
                <w:ilvl w:val="0"/>
                <w:numId w:val="8"/>
              </w:numPr>
              <w:shd w:val="clear" w:color="auto" w:fill="C6D9F1" w:themeFill="text2" w:themeFillTint="33"/>
              <w:rPr>
                <w:rFonts w:ascii="Arial Narrow" w:hAnsi="Arial Narrow"/>
                <w:szCs w:val="20"/>
              </w:rPr>
            </w:pPr>
            <w:r w:rsidRPr="00C24DBA">
              <w:rPr>
                <w:rFonts w:ascii="Arial Narrow" w:hAnsi="Arial Narrow"/>
                <w:szCs w:val="20"/>
              </w:rPr>
              <w:t>Significantly superior PFS and ORR;</w:t>
            </w:r>
          </w:p>
          <w:p w:rsidR="004B4C7D" w:rsidRPr="00C24DBA" w:rsidRDefault="004B4C7D" w:rsidP="00046F99">
            <w:pPr>
              <w:pStyle w:val="TableBullets"/>
              <w:numPr>
                <w:ilvl w:val="0"/>
                <w:numId w:val="8"/>
              </w:numPr>
              <w:rPr>
                <w:rFonts w:ascii="Arial Narrow" w:hAnsi="Arial Narrow"/>
                <w:szCs w:val="20"/>
              </w:rPr>
            </w:pPr>
            <w:r w:rsidRPr="00C24DBA">
              <w:rPr>
                <w:rFonts w:ascii="Arial Narrow" w:hAnsi="Arial Narrow"/>
                <w:szCs w:val="20"/>
              </w:rPr>
              <w:t xml:space="preserve">Similar OS and </w:t>
            </w:r>
          </w:p>
          <w:p w:rsidR="004B4C7D" w:rsidRPr="00C24DBA" w:rsidRDefault="004B4C7D" w:rsidP="004866BB">
            <w:pPr>
              <w:rPr>
                <w:rFonts w:ascii="Arial Narrow" w:hAnsi="Arial Narrow"/>
                <w:sz w:val="20"/>
                <w:szCs w:val="20"/>
              </w:rPr>
            </w:pPr>
            <w:r w:rsidRPr="00C24DBA">
              <w:rPr>
                <w:rFonts w:ascii="Arial Narrow" w:hAnsi="Arial Narrow"/>
                <w:sz w:val="20"/>
                <w:szCs w:val="20"/>
                <w:shd w:val="clear" w:color="auto" w:fill="C6D9F1" w:themeFill="text2" w:themeFillTint="33"/>
              </w:rPr>
              <w:t>Different but broadly comparable safety.</w:t>
            </w:r>
          </w:p>
        </w:tc>
      </w:tr>
    </w:tbl>
    <w:p w:rsidR="004B4C7D" w:rsidRPr="00C24DBA" w:rsidRDefault="004B4C7D" w:rsidP="004B4C7D">
      <w:pPr>
        <w:pStyle w:val="TableFigureFooter"/>
        <w:rPr>
          <w:szCs w:val="18"/>
        </w:rPr>
      </w:pPr>
      <w:r w:rsidRPr="00C24DBA">
        <w:rPr>
          <w:szCs w:val="18"/>
        </w:rPr>
        <w:t>Source: Table 1-21, p 7; Table 1-2, p 10; section 2.8.2, p 25 of the resubmission.</w:t>
      </w:r>
    </w:p>
    <w:p w:rsidR="004B4C7D" w:rsidRPr="00C24DBA" w:rsidRDefault="004B4C7D" w:rsidP="004B4C7D">
      <w:pPr>
        <w:pStyle w:val="TableFigureFooter"/>
        <w:rPr>
          <w:szCs w:val="18"/>
        </w:rPr>
      </w:pPr>
      <w:r w:rsidRPr="00C24DBA">
        <w:rPr>
          <w:szCs w:val="18"/>
        </w:rPr>
        <w:t>Abbreviations: ECOG = Eastern Cooperative Oncology Group; IMDC = International Metastatic Renal Cell Carcinoma Database Consortium criteria; OS = overall survival; RCC = renal cell carcinoma; TKI = Tyrosine-kinase inhibitor.</w:t>
      </w:r>
    </w:p>
    <w:p w:rsidR="00305D12" w:rsidRPr="00C24DBA" w:rsidRDefault="00305D12" w:rsidP="004B4C7D">
      <w:pPr>
        <w:pStyle w:val="TableFigureFooter"/>
        <w:rPr>
          <w:szCs w:val="18"/>
        </w:rPr>
      </w:pPr>
      <w:r w:rsidRPr="00C24DBA">
        <w:t>Note: Blue shading denotes text remains unchanged from the previous resubmission.</w:t>
      </w:r>
    </w:p>
    <w:p w:rsidR="004B4C7D" w:rsidRPr="00C24DBA" w:rsidRDefault="004B4C7D" w:rsidP="004B4C7D">
      <w:pPr>
        <w:pStyle w:val="2-SectionHeading"/>
        <w:numPr>
          <w:ilvl w:val="0"/>
          <w:numId w:val="1"/>
        </w:numPr>
      </w:pPr>
      <w:bookmarkStart w:id="5" w:name="_Toc48560941"/>
      <w:r w:rsidRPr="00C24DBA">
        <w:t>Background</w:t>
      </w:r>
      <w:bookmarkEnd w:id="5"/>
    </w:p>
    <w:p w:rsidR="004B4C7D" w:rsidRPr="00C24DBA" w:rsidRDefault="004B4C7D" w:rsidP="004B1A2C">
      <w:pPr>
        <w:pStyle w:val="4-SubsectionHeading"/>
      </w:pPr>
      <w:bookmarkStart w:id="6" w:name="_Toc22897638"/>
      <w:bookmarkStart w:id="7" w:name="_Toc48560942"/>
      <w:r w:rsidRPr="004B1A2C">
        <w:t>Registration</w:t>
      </w:r>
      <w:r w:rsidRPr="00C24DBA">
        <w:t xml:space="preserve"> status</w:t>
      </w:r>
      <w:bookmarkEnd w:id="6"/>
      <w:bookmarkEnd w:id="7"/>
    </w:p>
    <w:p w:rsidR="004B4C7D" w:rsidRPr="00C24DBA" w:rsidRDefault="004B4C7D" w:rsidP="004B4C7D">
      <w:pPr>
        <w:pStyle w:val="3-BodyText"/>
        <w:tabs>
          <w:tab w:val="left" w:pos="8505"/>
        </w:tabs>
        <w:spacing w:after="0"/>
        <w:contextualSpacing/>
      </w:pPr>
      <w:bookmarkStart w:id="8" w:name="_Toc22897639"/>
      <w:r w:rsidRPr="00C24DBA">
        <w:t>Cabozantinib is TGA-registered for the treatment of RCC in adults:</w:t>
      </w:r>
    </w:p>
    <w:p w:rsidR="004B4C7D" w:rsidRPr="00C24DBA" w:rsidRDefault="004B4C7D" w:rsidP="00046F99">
      <w:pPr>
        <w:pStyle w:val="NormalBulletList"/>
        <w:numPr>
          <w:ilvl w:val="0"/>
          <w:numId w:val="7"/>
        </w:numPr>
        <w:spacing w:after="0" w:line="240" w:lineRule="auto"/>
        <w:ind w:left="1134"/>
      </w:pPr>
      <w:r w:rsidRPr="00C24DBA">
        <w:lastRenderedPageBreak/>
        <w:t xml:space="preserve">who are treatment-naïve with intermediate or poor risk RCC; and </w:t>
      </w:r>
    </w:p>
    <w:p w:rsidR="004B4C7D" w:rsidRPr="00C24DBA" w:rsidRDefault="004B4C7D" w:rsidP="00046F99">
      <w:pPr>
        <w:pStyle w:val="NormalBulletList"/>
        <w:numPr>
          <w:ilvl w:val="0"/>
          <w:numId w:val="7"/>
        </w:numPr>
        <w:spacing w:after="0" w:line="240" w:lineRule="auto"/>
        <w:ind w:left="1134"/>
      </w:pPr>
      <w:r w:rsidRPr="00C24DBA">
        <w:t xml:space="preserve">following prior treatment with vascular endothelial growth factor targeted therapy. </w:t>
      </w:r>
    </w:p>
    <w:p w:rsidR="004B4C7D" w:rsidRPr="00C24DBA" w:rsidRDefault="004B4C7D" w:rsidP="004B1A2C">
      <w:pPr>
        <w:pStyle w:val="4-SubsectionHeading"/>
      </w:pPr>
      <w:bookmarkStart w:id="9" w:name="_Toc48560943"/>
      <w:r w:rsidRPr="004B1A2C">
        <w:t>Previous</w:t>
      </w:r>
      <w:r w:rsidRPr="00C24DBA">
        <w:t xml:space="preserve"> PBAC consideration</w:t>
      </w:r>
      <w:bookmarkEnd w:id="8"/>
      <w:bookmarkEnd w:id="9"/>
    </w:p>
    <w:p w:rsidR="004B4C7D" w:rsidRPr="00C24DBA" w:rsidRDefault="00EE614E" w:rsidP="004B4C7D">
      <w:pPr>
        <w:pStyle w:val="3-BodyText"/>
      </w:pPr>
      <w:r w:rsidRPr="00C24DBA">
        <w:t>C</w:t>
      </w:r>
      <w:r w:rsidR="004B4C7D" w:rsidRPr="00C24DBA">
        <w:t xml:space="preserve">abozantinib was rejected by the PBAC at its March 2020 meeting for use in patients with stage IV clear cell variant RCC who have not previously been treated with a TKI on the basis that the comparative clinical benefit was small and uncertain, and the incremental cost-effectiveness ratio </w:t>
      </w:r>
      <w:r w:rsidR="002D25DC" w:rsidRPr="00C24DBA">
        <w:t xml:space="preserve">(ICER) </w:t>
      </w:r>
      <w:r w:rsidR="004B4C7D" w:rsidRPr="00C24DBA">
        <w:t>was significantly underestimated due to the inclusion of an overall survival benefit that was not supported by the clinical evidence. The PBAC considered that the overall financial impact, including reductions in the use of cabozantinib in its existing setting</w:t>
      </w:r>
      <w:r w:rsidR="00CB6592" w:rsidRPr="00C24DBA">
        <w:t xml:space="preserve"> (post-TKI)</w:t>
      </w:r>
      <w:r w:rsidR="004B4C7D" w:rsidRPr="00C24DBA">
        <w:t xml:space="preserve">, </w:t>
      </w:r>
      <w:r w:rsidR="00284DB5" w:rsidRPr="00C24DBA">
        <w:t xml:space="preserve">was </w:t>
      </w:r>
      <w:r w:rsidR="004B4C7D" w:rsidRPr="00C24DBA">
        <w:t xml:space="preserve">not reliably estimated in the resubmission </w:t>
      </w:r>
      <w:r w:rsidR="004B4C7D" w:rsidRPr="00C24DBA">
        <w:rPr>
          <w:snapToGrid/>
        </w:rPr>
        <w:t>(para 7.1, cabozantinib PSD, March 2020 PBAC meeting)</w:t>
      </w:r>
      <w:r w:rsidR="004B4C7D" w:rsidRPr="00C24DBA">
        <w:t xml:space="preserve">. </w:t>
      </w:r>
      <w:r w:rsidR="004B4C7D" w:rsidRPr="00C24DBA">
        <w:rPr>
          <w:snapToGrid/>
        </w:rPr>
        <w:t>A summary of the key matters of concern from the March 2020 meeting and whether they were addressed in the current resubmission is presented in Table 2.</w:t>
      </w:r>
    </w:p>
    <w:p w:rsidR="004B4C7D" w:rsidRPr="00C24DBA" w:rsidRDefault="004B4C7D" w:rsidP="004B1A2C">
      <w:pPr>
        <w:pStyle w:val="TableFigureHeading"/>
        <w:keepLines/>
        <w:widowControl w:val="0"/>
        <w:rPr>
          <w:rStyle w:val="CommentReference"/>
          <w:b/>
          <w:szCs w:val="24"/>
        </w:rPr>
      </w:pPr>
      <w:r w:rsidRPr="00C24DBA">
        <w:rPr>
          <w:rStyle w:val="CommentReference"/>
          <w:b/>
          <w:szCs w:val="24"/>
        </w:rPr>
        <w:t>Table 2: Summary of key matters of concern</w:t>
      </w:r>
    </w:p>
    <w:tbl>
      <w:tblPr>
        <w:tblStyle w:val="TableGrid"/>
        <w:tblW w:w="5000" w:type="pct"/>
        <w:tblLook w:val="04A0" w:firstRow="1" w:lastRow="0" w:firstColumn="1" w:lastColumn="0" w:noHBand="0" w:noVBand="1"/>
        <w:tblCaption w:val="Table 2: Summary of key matters of concern"/>
      </w:tblPr>
      <w:tblGrid>
        <w:gridCol w:w="1630"/>
        <w:gridCol w:w="4090"/>
        <w:gridCol w:w="3297"/>
      </w:tblGrid>
      <w:tr w:rsidR="004B4C7D" w:rsidRPr="00C24DBA" w:rsidTr="004B1A2C">
        <w:trPr>
          <w:cantSplit/>
          <w:tblHeader/>
        </w:trPr>
        <w:tc>
          <w:tcPr>
            <w:tcW w:w="904" w:type="pct"/>
          </w:tcPr>
          <w:p w:rsidR="004B4C7D" w:rsidRPr="00C24DBA" w:rsidRDefault="004B4C7D" w:rsidP="004B1A2C">
            <w:pPr>
              <w:keepLines/>
              <w:widowControl w:val="0"/>
              <w:rPr>
                <w:rFonts w:ascii="Arial Narrow" w:hAnsi="Arial Narrow"/>
                <w:b/>
                <w:sz w:val="20"/>
                <w:szCs w:val="20"/>
              </w:rPr>
            </w:pPr>
            <w:r w:rsidRPr="00C24DBA">
              <w:rPr>
                <w:rFonts w:ascii="Arial Narrow" w:hAnsi="Arial Narrow"/>
                <w:b/>
                <w:sz w:val="20"/>
                <w:szCs w:val="20"/>
              </w:rPr>
              <w:t>Component</w:t>
            </w:r>
          </w:p>
        </w:tc>
        <w:tc>
          <w:tcPr>
            <w:tcW w:w="2268" w:type="pct"/>
          </w:tcPr>
          <w:p w:rsidR="004B4C7D" w:rsidRPr="00C24DBA" w:rsidRDefault="004B4C7D" w:rsidP="004B1A2C">
            <w:pPr>
              <w:keepLines/>
              <w:widowControl w:val="0"/>
              <w:rPr>
                <w:rFonts w:ascii="Arial Narrow" w:hAnsi="Arial Narrow"/>
                <w:b/>
                <w:sz w:val="20"/>
                <w:szCs w:val="20"/>
              </w:rPr>
            </w:pPr>
            <w:r w:rsidRPr="00C24DBA">
              <w:rPr>
                <w:rFonts w:ascii="Arial Narrow" w:hAnsi="Arial Narrow"/>
                <w:b/>
                <w:sz w:val="20"/>
                <w:szCs w:val="20"/>
              </w:rPr>
              <w:t>Matter of concern</w:t>
            </w:r>
          </w:p>
        </w:tc>
        <w:tc>
          <w:tcPr>
            <w:tcW w:w="1828" w:type="pct"/>
          </w:tcPr>
          <w:p w:rsidR="004B4C7D" w:rsidRPr="00C24DBA" w:rsidRDefault="004B4C7D" w:rsidP="004B1A2C">
            <w:pPr>
              <w:keepLines/>
              <w:widowControl w:val="0"/>
              <w:rPr>
                <w:rFonts w:ascii="Arial Narrow" w:hAnsi="Arial Narrow"/>
                <w:b/>
                <w:sz w:val="20"/>
                <w:szCs w:val="20"/>
              </w:rPr>
            </w:pPr>
            <w:r w:rsidRPr="00C24DBA">
              <w:rPr>
                <w:rFonts w:ascii="Arial Narrow" w:hAnsi="Arial Narrow"/>
                <w:b/>
                <w:sz w:val="20"/>
                <w:szCs w:val="20"/>
              </w:rPr>
              <w:t xml:space="preserve">How </w:t>
            </w:r>
            <w:r w:rsidR="002D25DC" w:rsidRPr="00C24DBA">
              <w:rPr>
                <w:rFonts w:ascii="Arial Narrow" w:hAnsi="Arial Narrow"/>
                <w:b/>
                <w:sz w:val="20"/>
                <w:szCs w:val="20"/>
              </w:rPr>
              <w:t xml:space="preserve">it was addressed in </w:t>
            </w:r>
            <w:r w:rsidRPr="00C24DBA">
              <w:rPr>
                <w:rFonts w:ascii="Arial Narrow" w:hAnsi="Arial Narrow"/>
                <w:b/>
                <w:sz w:val="20"/>
                <w:szCs w:val="20"/>
              </w:rPr>
              <w:t>the resubmission</w:t>
            </w:r>
          </w:p>
        </w:tc>
      </w:tr>
      <w:tr w:rsidR="004B4C7D" w:rsidRPr="00C24DBA" w:rsidTr="004B1A2C">
        <w:trPr>
          <w:cantSplit/>
        </w:trPr>
        <w:tc>
          <w:tcPr>
            <w:tcW w:w="904" w:type="pct"/>
          </w:tcPr>
          <w:p w:rsidR="004B4C7D" w:rsidRPr="00C24DBA" w:rsidRDefault="004B4C7D" w:rsidP="004B1A2C">
            <w:pPr>
              <w:pStyle w:val="3-BodyText"/>
              <w:keepLines/>
              <w:widowControl w:val="0"/>
              <w:numPr>
                <w:ilvl w:val="0"/>
                <w:numId w:val="0"/>
              </w:numPr>
              <w:ind w:left="30"/>
              <w:jc w:val="left"/>
              <w:rPr>
                <w:rFonts w:ascii="Arial Narrow" w:hAnsi="Arial Narrow"/>
                <w:snapToGrid/>
                <w:sz w:val="20"/>
                <w:szCs w:val="20"/>
              </w:rPr>
            </w:pPr>
            <w:r w:rsidRPr="00C24DBA">
              <w:rPr>
                <w:rFonts w:ascii="Arial Narrow" w:hAnsi="Arial Narrow"/>
                <w:snapToGrid/>
                <w:sz w:val="20"/>
                <w:szCs w:val="20"/>
              </w:rPr>
              <w:t>Economic evaluation: CMA</w:t>
            </w:r>
          </w:p>
        </w:tc>
        <w:tc>
          <w:tcPr>
            <w:tcW w:w="2268" w:type="pct"/>
          </w:tcPr>
          <w:p w:rsidR="004B4C7D" w:rsidRPr="00C24DBA" w:rsidRDefault="004B4C7D" w:rsidP="004B1A2C">
            <w:pPr>
              <w:pStyle w:val="3-BodyText"/>
              <w:keepLines/>
              <w:widowControl w:val="0"/>
              <w:numPr>
                <w:ilvl w:val="0"/>
                <w:numId w:val="0"/>
              </w:numPr>
              <w:ind w:left="30"/>
              <w:rPr>
                <w:rFonts w:ascii="Arial Narrow" w:hAnsi="Arial Narrow"/>
                <w:snapToGrid/>
                <w:sz w:val="20"/>
                <w:szCs w:val="20"/>
              </w:rPr>
            </w:pPr>
            <w:r w:rsidRPr="00C24DBA">
              <w:rPr>
                <w:rFonts w:ascii="Arial Narrow" w:hAnsi="Arial Narrow"/>
                <w:snapToGrid/>
                <w:sz w:val="20"/>
                <w:szCs w:val="20"/>
              </w:rPr>
              <w:t>The PBAC considered that a CMA would be appropriate given the uncertain and likely small increase in PFS,</w:t>
            </w:r>
            <w:r w:rsidRPr="00C24DBA">
              <w:rPr>
                <w:rFonts w:ascii="Arial Narrow" w:hAnsi="Arial Narrow"/>
                <w:sz w:val="20"/>
                <w:szCs w:val="20"/>
              </w:rPr>
              <w:t xml:space="preserve"> </w:t>
            </w:r>
            <w:r w:rsidRPr="00C24DBA">
              <w:rPr>
                <w:rFonts w:ascii="Arial Narrow" w:hAnsi="Arial Narrow"/>
                <w:snapToGrid/>
                <w:sz w:val="20"/>
                <w:szCs w:val="20"/>
              </w:rPr>
              <w:t xml:space="preserve">the absence of a demonstrated OS benefit or improvement in quality of life, and the uncertain applicability of the clinical data and economic model to the </w:t>
            </w:r>
            <w:r w:rsidRPr="00C24DBA">
              <w:rPr>
                <w:rFonts w:ascii="Arial Narrow" w:hAnsi="Arial Narrow"/>
                <w:sz w:val="20"/>
                <w:szCs w:val="20"/>
              </w:rPr>
              <w:t>TKI-naive post-immunotherapy setting (</w:t>
            </w:r>
            <w:r w:rsidR="00225709" w:rsidRPr="00C24DBA">
              <w:rPr>
                <w:rFonts w:ascii="Arial Narrow" w:hAnsi="Arial Narrow"/>
                <w:sz w:val="20"/>
                <w:szCs w:val="20"/>
              </w:rPr>
              <w:t>p</w:t>
            </w:r>
            <w:r w:rsidRPr="00C24DBA">
              <w:rPr>
                <w:rFonts w:ascii="Arial Narrow" w:hAnsi="Arial Narrow"/>
                <w:sz w:val="20"/>
                <w:szCs w:val="20"/>
              </w:rPr>
              <w:t>ara 7.8, March 2020 PSD).</w:t>
            </w:r>
          </w:p>
        </w:tc>
        <w:tc>
          <w:tcPr>
            <w:tcW w:w="1828" w:type="pct"/>
          </w:tcPr>
          <w:p w:rsidR="004B4C7D" w:rsidRPr="00C24DBA" w:rsidRDefault="004B4C7D" w:rsidP="004B1A2C">
            <w:pPr>
              <w:pStyle w:val="CommentText"/>
              <w:keepLines/>
              <w:widowControl w:val="0"/>
              <w:rPr>
                <w:rFonts w:ascii="Arial Narrow" w:hAnsi="Arial Narrow"/>
                <w:iCs/>
                <w:szCs w:val="20"/>
              </w:rPr>
            </w:pPr>
            <w:r w:rsidRPr="00C24DBA">
              <w:rPr>
                <w:rFonts w:ascii="Arial Narrow" w:hAnsi="Arial Narrow"/>
                <w:iCs/>
                <w:szCs w:val="20"/>
              </w:rPr>
              <w:t xml:space="preserve">Addressed. </w:t>
            </w:r>
            <w:r w:rsidR="002D25DC" w:rsidRPr="00C24DBA">
              <w:rPr>
                <w:rFonts w:ascii="Arial Narrow" w:hAnsi="Arial Narrow"/>
                <w:iCs/>
                <w:szCs w:val="20"/>
              </w:rPr>
              <w:t xml:space="preserve">The resubmission relied on the same clinical evidence as presented in March 2020. </w:t>
            </w:r>
            <w:r w:rsidR="003C690D" w:rsidRPr="00C24DBA">
              <w:rPr>
                <w:rFonts w:ascii="Arial Narrow" w:hAnsi="Arial Narrow"/>
                <w:iCs/>
                <w:szCs w:val="20"/>
              </w:rPr>
              <w:t>The resubmission referred to the economic analysis as a ‘CMA’, however it relied upon a difference in PFS and associated differences in treatment duration and time on post-progression therapy and thus may be better classified as a cost-analysis. The approach to the analysis was consistent with that recommended by the PBAC in March 2020.</w:t>
            </w:r>
          </w:p>
        </w:tc>
      </w:tr>
      <w:tr w:rsidR="004B4C7D" w:rsidRPr="00C24DBA" w:rsidTr="004B1A2C">
        <w:trPr>
          <w:cantSplit/>
          <w:trHeight w:val="967"/>
        </w:trPr>
        <w:tc>
          <w:tcPr>
            <w:tcW w:w="904" w:type="pct"/>
          </w:tcPr>
          <w:p w:rsidR="004B4C7D" w:rsidRPr="00C24DBA" w:rsidRDefault="004B4C7D" w:rsidP="004B1A2C">
            <w:pPr>
              <w:pStyle w:val="3-BodyText"/>
              <w:keepLines/>
              <w:widowControl w:val="0"/>
              <w:numPr>
                <w:ilvl w:val="0"/>
                <w:numId w:val="0"/>
              </w:numPr>
              <w:ind w:left="30"/>
              <w:jc w:val="left"/>
              <w:rPr>
                <w:rFonts w:ascii="Arial Narrow" w:hAnsi="Arial Narrow"/>
                <w:snapToGrid/>
                <w:sz w:val="20"/>
                <w:szCs w:val="20"/>
              </w:rPr>
            </w:pPr>
            <w:r w:rsidRPr="00C24DBA">
              <w:rPr>
                <w:rFonts w:ascii="Arial Narrow" w:hAnsi="Arial Narrow"/>
                <w:snapToGrid/>
                <w:sz w:val="20"/>
                <w:szCs w:val="20"/>
              </w:rPr>
              <w:t>Economic evaluation: CMA, duration of treatment</w:t>
            </w:r>
          </w:p>
        </w:tc>
        <w:tc>
          <w:tcPr>
            <w:tcW w:w="2268" w:type="pct"/>
          </w:tcPr>
          <w:p w:rsidR="004B4C7D" w:rsidRPr="00C24DBA" w:rsidRDefault="004B4C7D" w:rsidP="004B1A2C">
            <w:pPr>
              <w:pStyle w:val="3-BodyText"/>
              <w:keepLines/>
              <w:widowControl w:val="0"/>
              <w:numPr>
                <w:ilvl w:val="0"/>
                <w:numId w:val="0"/>
              </w:numPr>
              <w:ind w:left="30"/>
              <w:rPr>
                <w:rFonts w:ascii="Arial Narrow" w:hAnsi="Arial Narrow"/>
                <w:snapToGrid/>
                <w:sz w:val="20"/>
                <w:szCs w:val="20"/>
              </w:rPr>
            </w:pPr>
            <w:r w:rsidRPr="00C24DBA">
              <w:rPr>
                <w:rFonts w:ascii="Arial Narrow" w:hAnsi="Arial Narrow"/>
                <w:snapToGrid/>
                <w:sz w:val="20"/>
                <w:szCs w:val="20"/>
              </w:rPr>
              <w:t xml:space="preserve">The PBAC considered that the CMA should take into account the differences in mean treatment duration with cabozantinib and sunitinib, extrapolated from the </w:t>
            </w:r>
            <w:r w:rsidRPr="00C24DBA">
              <w:rPr>
                <w:rFonts w:ascii="Arial Narrow" w:hAnsi="Arial Narrow" w:cs="Calibri"/>
                <w:sz w:val="20"/>
                <w:szCs w:val="20"/>
              </w:rPr>
              <w:t xml:space="preserve">time to treatment discontinuation (TTD) results of the </w:t>
            </w:r>
            <w:r w:rsidR="009B70CC" w:rsidRPr="00C24DBA">
              <w:rPr>
                <w:rFonts w:ascii="Arial Narrow" w:hAnsi="Arial Narrow"/>
                <w:snapToGrid/>
                <w:sz w:val="20"/>
                <w:szCs w:val="20"/>
              </w:rPr>
              <w:t>CABOSUN trial</w:t>
            </w:r>
            <w:r w:rsidRPr="00C24DBA">
              <w:rPr>
                <w:rFonts w:ascii="Arial Narrow" w:hAnsi="Arial Narrow"/>
                <w:snapToGrid/>
                <w:sz w:val="20"/>
                <w:szCs w:val="20"/>
              </w:rPr>
              <w:t xml:space="preserve"> </w:t>
            </w:r>
            <w:r w:rsidRPr="00C24DBA">
              <w:rPr>
                <w:rFonts w:ascii="Arial Narrow" w:hAnsi="Arial Narrow"/>
                <w:sz w:val="20"/>
                <w:szCs w:val="20"/>
              </w:rPr>
              <w:t>(</w:t>
            </w:r>
            <w:r w:rsidR="00225709" w:rsidRPr="00C24DBA">
              <w:rPr>
                <w:rFonts w:ascii="Arial Narrow" w:hAnsi="Arial Narrow"/>
                <w:sz w:val="20"/>
                <w:szCs w:val="20"/>
              </w:rPr>
              <w:t>p</w:t>
            </w:r>
            <w:r w:rsidRPr="00C24DBA">
              <w:rPr>
                <w:rFonts w:ascii="Arial Narrow" w:hAnsi="Arial Narrow"/>
                <w:sz w:val="20"/>
                <w:szCs w:val="20"/>
              </w:rPr>
              <w:t>ara 7.9, March 2020 PSD)</w:t>
            </w:r>
            <w:r w:rsidRPr="00C24DBA">
              <w:rPr>
                <w:rFonts w:ascii="Arial Narrow" w:hAnsi="Arial Narrow"/>
                <w:snapToGrid/>
                <w:color w:val="FF0000"/>
                <w:sz w:val="20"/>
                <w:szCs w:val="20"/>
              </w:rPr>
              <w:t>.</w:t>
            </w:r>
          </w:p>
        </w:tc>
        <w:tc>
          <w:tcPr>
            <w:tcW w:w="1828" w:type="pct"/>
          </w:tcPr>
          <w:p w:rsidR="004B4C7D" w:rsidRPr="00C24DBA" w:rsidRDefault="004B4C7D" w:rsidP="004B1A2C">
            <w:pPr>
              <w:keepLines/>
              <w:widowControl w:val="0"/>
              <w:rPr>
                <w:rFonts w:ascii="Arial Narrow" w:hAnsi="Arial Narrow"/>
                <w:iCs/>
                <w:sz w:val="20"/>
                <w:szCs w:val="20"/>
              </w:rPr>
            </w:pPr>
            <w:r w:rsidRPr="00C24DBA">
              <w:rPr>
                <w:rFonts w:ascii="Arial Narrow" w:hAnsi="Arial Narrow"/>
                <w:iCs/>
                <w:sz w:val="20"/>
                <w:szCs w:val="20"/>
              </w:rPr>
              <w:t>Addressed. Mean T</w:t>
            </w:r>
            <w:r w:rsidR="008A10C6" w:rsidRPr="00C24DBA">
              <w:rPr>
                <w:rFonts w:ascii="Arial Narrow" w:hAnsi="Arial Narrow"/>
                <w:iCs/>
                <w:sz w:val="20"/>
                <w:szCs w:val="20"/>
              </w:rPr>
              <w:t>TD</w:t>
            </w:r>
            <w:r w:rsidRPr="00C24DBA">
              <w:rPr>
                <w:rFonts w:ascii="Arial Narrow" w:hAnsi="Arial Narrow"/>
                <w:iCs/>
                <w:sz w:val="20"/>
                <w:szCs w:val="20"/>
              </w:rPr>
              <w:t xml:space="preserve"> </w:t>
            </w:r>
            <w:r w:rsidR="002D25DC" w:rsidRPr="00C24DBA">
              <w:rPr>
                <w:rFonts w:ascii="Arial Narrow" w:hAnsi="Arial Narrow"/>
                <w:iCs/>
                <w:sz w:val="20"/>
                <w:szCs w:val="20"/>
              </w:rPr>
              <w:t xml:space="preserve">from </w:t>
            </w:r>
            <w:r w:rsidRPr="00C24DBA">
              <w:rPr>
                <w:rFonts w:ascii="Arial Narrow" w:hAnsi="Arial Narrow"/>
                <w:iCs/>
                <w:sz w:val="20"/>
                <w:szCs w:val="20"/>
              </w:rPr>
              <w:t xml:space="preserve">the economic model </w:t>
            </w:r>
            <w:r w:rsidR="002D25DC" w:rsidRPr="00C24DBA">
              <w:rPr>
                <w:rFonts w:ascii="Arial Narrow" w:hAnsi="Arial Narrow"/>
                <w:iCs/>
                <w:sz w:val="20"/>
                <w:szCs w:val="20"/>
              </w:rPr>
              <w:t xml:space="preserve">included in </w:t>
            </w:r>
            <w:r w:rsidRPr="00C24DBA">
              <w:rPr>
                <w:rFonts w:ascii="Arial Narrow" w:hAnsi="Arial Narrow"/>
                <w:iCs/>
                <w:sz w:val="20"/>
                <w:szCs w:val="20"/>
              </w:rPr>
              <w:t xml:space="preserve">the March 2020 </w:t>
            </w:r>
            <w:r w:rsidR="002D25DC" w:rsidRPr="00C24DBA">
              <w:rPr>
                <w:rFonts w:ascii="Arial Narrow" w:hAnsi="Arial Narrow"/>
                <w:iCs/>
                <w:sz w:val="20"/>
                <w:szCs w:val="20"/>
              </w:rPr>
              <w:t xml:space="preserve">resubmission </w:t>
            </w:r>
            <w:r w:rsidRPr="00C24DBA">
              <w:rPr>
                <w:rFonts w:ascii="Arial Narrow" w:hAnsi="Arial Narrow"/>
                <w:iCs/>
                <w:sz w:val="20"/>
                <w:szCs w:val="20"/>
              </w:rPr>
              <w:t xml:space="preserve">was used. </w:t>
            </w:r>
            <w:r w:rsidR="00860352" w:rsidRPr="00C24DBA">
              <w:rPr>
                <w:rFonts w:ascii="Arial Narrow" w:hAnsi="Arial Narrow"/>
                <w:iCs/>
                <w:sz w:val="20"/>
                <w:szCs w:val="20"/>
              </w:rPr>
              <w:t>The extrapolat</w:t>
            </w:r>
            <w:r w:rsidR="00566353" w:rsidRPr="00C24DBA">
              <w:rPr>
                <w:rFonts w:ascii="Arial Narrow" w:hAnsi="Arial Narrow"/>
                <w:iCs/>
                <w:sz w:val="20"/>
                <w:szCs w:val="20"/>
              </w:rPr>
              <w:t xml:space="preserve">ed outcome </w:t>
            </w:r>
            <w:r w:rsidR="002D25DC" w:rsidRPr="00C24DBA">
              <w:rPr>
                <w:rFonts w:ascii="Arial Narrow" w:hAnsi="Arial Narrow"/>
                <w:iCs/>
                <w:sz w:val="20"/>
                <w:szCs w:val="20"/>
              </w:rPr>
              <w:t xml:space="preserve">appears </w:t>
            </w:r>
            <w:r w:rsidR="00566353" w:rsidRPr="00C24DBA">
              <w:rPr>
                <w:rFonts w:ascii="Arial Narrow" w:hAnsi="Arial Narrow"/>
                <w:iCs/>
                <w:sz w:val="20"/>
                <w:szCs w:val="20"/>
              </w:rPr>
              <w:t>appropriate</w:t>
            </w:r>
            <w:r w:rsidR="00860352" w:rsidRPr="00C24DBA">
              <w:rPr>
                <w:rFonts w:ascii="Arial Narrow" w:hAnsi="Arial Narrow"/>
                <w:iCs/>
                <w:sz w:val="20"/>
                <w:szCs w:val="20"/>
              </w:rPr>
              <w:t>.</w:t>
            </w:r>
          </w:p>
        </w:tc>
      </w:tr>
      <w:tr w:rsidR="004B4C7D" w:rsidRPr="00C24DBA" w:rsidTr="004B1A2C">
        <w:trPr>
          <w:cantSplit/>
        </w:trPr>
        <w:tc>
          <w:tcPr>
            <w:tcW w:w="904" w:type="pct"/>
          </w:tcPr>
          <w:p w:rsidR="004B4C7D" w:rsidRPr="00C24DBA" w:rsidRDefault="004B4C7D" w:rsidP="004B1A2C">
            <w:pPr>
              <w:pStyle w:val="3-BodyText"/>
              <w:keepLines/>
              <w:widowControl w:val="0"/>
              <w:numPr>
                <w:ilvl w:val="0"/>
                <w:numId w:val="0"/>
              </w:numPr>
              <w:jc w:val="left"/>
              <w:rPr>
                <w:rFonts w:ascii="Arial Narrow" w:hAnsi="Arial Narrow"/>
                <w:sz w:val="20"/>
                <w:szCs w:val="20"/>
              </w:rPr>
            </w:pPr>
            <w:r w:rsidRPr="00C24DBA">
              <w:rPr>
                <w:rFonts w:ascii="Arial Narrow" w:hAnsi="Arial Narrow"/>
                <w:sz w:val="20"/>
                <w:szCs w:val="20"/>
              </w:rPr>
              <w:lastRenderedPageBreak/>
              <w:t xml:space="preserve">Economic evaluation: cost-offsets, post-progression costs </w:t>
            </w:r>
          </w:p>
        </w:tc>
        <w:tc>
          <w:tcPr>
            <w:tcW w:w="2268" w:type="pct"/>
          </w:tcPr>
          <w:p w:rsidR="004B4C7D" w:rsidRPr="00C24DBA" w:rsidRDefault="004B4C7D" w:rsidP="004B1A2C">
            <w:pPr>
              <w:pStyle w:val="3-BodyText"/>
              <w:keepLines/>
              <w:widowControl w:val="0"/>
              <w:numPr>
                <w:ilvl w:val="0"/>
                <w:numId w:val="0"/>
              </w:numPr>
              <w:rPr>
                <w:rFonts w:ascii="Arial Narrow" w:hAnsi="Arial Narrow"/>
                <w:snapToGrid/>
                <w:sz w:val="20"/>
                <w:szCs w:val="20"/>
              </w:rPr>
            </w:pPr>
            <w:r w:rsidRPr="00C24DBA">
              <w:rPr>
                <w:rFonts w:ascii="Arial Narrow" w:hAnsi="Arial Narrow"/>
                <w:snapToGrid/>
                <w:sz w:val="20"/>
                <w:szCs w:val="20"/>
              </w:rPr>
              <w:t xml:space="preserve">The PBAC considered that it may be reasonable for the CMA to include some offsets for a shorter duration of post-progression treatment given the longer treatment duration with cabozantinib. </w:t>
            </w:r>
          </w:p>
          <w:p w:rsidR="004B4C7D" w:rsidRPr="00C24DBA" w:rsidRDefault="004B4C7D" w:rsidP="004B1A2C">
            <w:pPr>
              <w:pStyle w:val="3-BodyText"/>
              <w:keepLines/>
              <w:widowControl w:val="0"/>
              <w:numPr>
                <w:ilvl w:val="0"/>
                <w:numId w:val="0"/>
              </w:numPr>
              <w:rPr>
                <w:rFonts w:ascii="Arial Narrow" w:hAnsi="Arial Narrow"/>
                <w:snapToGrid/>
                <w:sz w:val="20"/>
                <w:szCs w:val="20"/>
              </w:rPr>
            </w:pPr>
            <w:r w:rsidRPr="00C24DBA">
              <w:rPr>
                <w:rFonts w:ascii="Arial Narrow" w:hAnsi="Arial Narrow"/>
                <w:snapToGrid/>
                <w:sz w:val="20"/>
                <w:szCs w:val="20"/>
              </w:rPr>
              <w:t xml:space="preserve">However, the PBAC considered that the estimated cost per cycle of post-progression treatment was inadequately supported, and that it was not reasonable to assume a difference in the cost per cycle of post-progression treatment between the arms. </w:t>
            </w:r>
          </w:p>
          <w:p w:rsidR="004B4C7D" w:rsidRPr="00C24DBA" w:rsidRDefault="004B4C7D" w:rsidP="004B1A2C">
            <w:pPr>
              <w:pStyle w:val="3-BodyText"/>
              <w:keepLines/>
              <w:widowControl w:val="0"/>
              <w:numPr>
                <w:ilvl w:val="0"/>
                <w:numId w:val="0"/>
              </w:numPr>
              <w:rPr>
                <w:rFonts w:ascii="Arial Narrow" w:hAnsi="Arial Narrow"/>
                <w:snapToGrid/>
                <w:sz w:val="20"/>
                <w:szCs w:val="20"/>
              </w:rPr>
            </w:pPr>
            <w:r w:rsidRPr="00C24DBA">
              <w:rPr>
                <w:rFonts w:ascii="Arial Narrow" w:hAnsi="Arial Narrow"/>
                <w:snapToGrid/>
                <w:sz w:val="20"/>
                <w:szCs w:val="20"/>
              </w:rPr>
              <w:t xml:space="preserve">The estimated duration of post-progression therapy should be based on a scenario with no difference in OS between the arms, given the PBAC considered that it was not reasonable to include an OS advantage </w:t>
            </w:r>
            <w:r w:rsidRPr="00C24DBA">
              <w:rPr>
                <w:rFonts w:ascii="Arial Narrow" w:hAnsi="Arial Narrow"/>
                <w:sz w:val="20"/>
                <w:szCs w:val="20"/>
              </w:rPr>
              <w:t>(</w:t>
            </w:r>
            <w:r w:rsidR="00225709" w:rsidRPr="00C24DBA">
              <w:rPr>
                <w:rFonts w:ascii="Arial Narrow" w:hAnsi="Arial Narrow"/>
                <w:sz w:val="20"/>
                <w:szCs w:val="20"/>
              </w:rPr>
              <w:t>p</w:t>
            </w:r>
            <w:r w:rsidRPr="00C24DBA">
              <w:rPr>
                <w:rFonts w:ascii="Arial Narrow" w:hAnsi="Arial Narrow"/>
                <w:sz w:val="20"/>
                <w:szCs w:val="20"/>
              </w:rPr>
              <w:t>ara 7.10, March 2020 PSD).</w:t>
            </w:r>
          </w:p>
        </w:tc>
        <w:tc>
          <w:tcPr>
            <w:tcW w:w="1828" w:type="pct"/>
          </w:tcPr>
          <w:p w:rsidR="004B4C7D" w:rsidRPr="00C24DBA" w:rsidRDefault="004B4C7D" w:rsidP="004B1A2C">
            <w:pPr>
              <w:keepLines/>
              <w:widowControl w:val="0"/>
              <w:rPr>
                <w:rFonts w:ascii="Arial Narrow" w:hAnsi="Arial Narrow"/>
                <w:iCs/>
                <w:sz w:val="20"/>
                <w:szCs w:val="20"/>
              </w:rPr>
            </w:pPr>
            <w:r w:rsidRPr="00C24DBA">
              <w:rPr>
                <w:rFonts w:ascii="Arial Narrow" w:hAnsi="Arial Narrow"/>
                <w:iCs/>
                <w:sz w:val="20"/>
                <w:szCs w:val="20"/>
              </w:rPr>
              <w:t>Addressed. The resubmission applied a shorter duration of post-progression treatment</w:t>
            </w:r>
            <w:r w:rsidR="004415DC" w:rsidRPr="00C24DBA">
              <w:rPr>
                <w:rFonts w:ascii="Arial Narrow" w:hAnsi="Arial Narrow"/>
                <w:iCs/>
                <w:sz w:val="20"/>
                <w:szCs w:val="20"/>
              </w:rPr>
              <w:t xml:space="preserve"> for cabozantinib</w:t>
            </w:r>
            <w:r w:rsidRPr="00C24DBA">
              <w:rPr>
                <w:rFonts w:ascii="Arial Narrow" w:hAnsi="Arial Narrow"/>
                <w:iCs/>
                <w:sz w:val="20"/>
                <w:szCs w:val="20"/>
              </w:rPr>
              <w:t xml:space="preserve"> that was based on no difference in OS between cabozantinib and sunitinib. The cost per cycle of post-progression treatment was equivalent across the arms. </w:t>
            </w:r>
          </w:p>
        </w:tc>
      </w:tr>
      <w:tr w:rsidR="004B4C7D" w:rsidRPr="00C24DBA" w:rsidTr="004B1A2C">
        <w:trPr>
          <w:cantSplit/>
        </w:trPr>
        <w:tc>
          <w:tcPr>
            <w:tcW w:w="904" w:type="pct"/>
          </w:tcPr>
          <w:p w:rsidR="004B4C7D" w:rsidRPr="00C24DBA" w:rsidRDefault="004B4C7D" w:rsidP="004B1A2C">
            <w:pPr>
              <w:pStyle w:val="3-BodyText"/>
              <w:keepLines/>
              <w:widowControl w:val="0"/>
              <w:numPr>
                <w:ilvl w:val="0"/>
                <w:numId w:val="0"/>
              </w:numPr>
              <w:rPr>
                <w:rFonts w:ascii="Arial Narrow" w:hAnsi="Arial Narrow"/>
                <w:sz w:val="20"/>
              </w:rPr>
            </w:pPr>
            <w:r w:rsidRPr="00C24DBA">
              <w:rPr>
                <w:rFonts w:ascii="Arial Narrow" w:hAnsi="Arial Narrow"/>
                <w:sz w:val="20"/>
              </w:rPr>
              <w:t>Financial estimates: eligible population</w:t>
            </w:r>
          </w:p>
        </w:tc>
        <w:tc>
          <w:tcPr>
            <w:tcW w:w="2268" w:type="pct"/>
          </w:tcPr>
          <w:p w:rsidR="004B4C7D" w:rsidRPr="00C24DBA" w:rsidRDefault="004B4C7D" w:rsidP="004B1A2C">
            <w:pPr>
              <w:pStyle w:val="3-BodyText"/>
              <w:keepLines/>
              <w:widowControl w:val="0"/>
              <w:numPr>
                <w:ilvl w:val="0"/>
                <w:numId w:val="0"/>
              </w:numPr>
              <w:rPr>
                <w:rFonts w:ascii="Arial Narrow" w:hAnsi="Arial Narrow"/>
                <w:snapToGrid/>
                <w:sz w:val="20"/>
              </w:rPr>
            </w:pPr>
            <w:r w:rsidRPr="00C24DBA">
              <w:rPr>
                <w:rFonts w:ascii="Arial Narrow" w:hAnsi="Arial Narrow"/>
                <w:sz w:val="20"/>
              </w:rPr>
              <w:t xml:space="preserve">The PBAC considered that the treatment-naïve eligible population was likely overestimated as patients who relapse to </w:t>
            </w:r>
            <w:r w:rsidR="009B332D" w:rsidRPr="00C24DBA">
              <w:rPr>
                <w:rFonts w:ascii="Arial Narrow" w:hAnsi="Arial Narrow"/>
                <w:sz w:val="20"/>
              </w:rPr>
              <w:t xml:space="preserve">stage </w:t>
            </w:r>
            <w:r w:rsidRPr="00C24DBA">
              <w:rPr>
                <w:rFonts w:ascii="Arial Narrow" w:hAnsi="Arial Narrow"/>
                <w:sz w:val="20"/>
              </w:rPr>
              <w:t xml:space="preserve">IV from an earlier stage of RCC were double-counted in the incidence approach used, and many of the assumptions used were higher than those available elsewhere in the literature. Overall, the PBAC considered that the resubmission had significantly overestimated the utilisation of cabozantinib in the requested settings </w:t>
            </w:r>
            <w:r w:rsidRPr="00C24DBA">
              <w:rPr>
                <w:rFonts w:ascii="Arial Narrow" w:hAnsi="Arial Narrow"/>
                <w:sz w:val="20"/>
                <w:szCs w:val="20"/>
              </w:rPr>
              <w:t>(</w:t>
            </w:r>
            <w:r w:rsidR="00225709" w:rsidRPr="00C24DBA">
              <w:rPr>
                <w:rFonts w:ascii="Arial Narrow" w:hAnsi="Arial Narrow"/>
                <w:sz w:val="20"/>
                <w:szCs w:val="20"/>
              </w:rPr>
              <w:t>p</w:t>
            </w:r>
            <w:r w:rsidRPr="00C24DBA">
              <w:rPr>
                <w:rFonts w:ascii="Arial Narrow" w:hAnsi="Arial Narrow"/>
                <w:sz w:val="20"/>
                <w:szCs w:val="20"/>
              </w:rPr>
              <w:t>ara 7.12, March 2020 PSD).</w:t>
            </w:r>
          </w:p>
        </w:tc>
        <w:tc>
          <w:tcPr>
            <w:tcW w:w="1828" w:type="pct"/>
          </w:tcPr>
          <w:p w:rsidR="004B4C7D" w:rsidRPr="00C24DBA" w:rsidRDefault="004B4C7D" w:rsidP="004B1A2C">
            <w:pPr>
              <w:keepLines/>
              <w:widowControl w:val="0"/>
              <w:rPr>
                <w:rFonts w:ascii="Arial Narrow" w:hAnsi="Arial Narrow"/>
                <w:iCs/>
                <w:sz w:val="20"/>
                <w:szCs w:val="20"/>
              </w:rPr>
            </w:pPr>
            <w:r w:rsidRPr="00C24DBA">
              <w:rPr>
                <w:rFonts w:ascii="Arial Narrow" w:hAnsi="Arial Narrow"/>
                <w:iCs/>
                <w:sz w:val="20"/>
                <w:szCs w:val="20"/>
              </w:rPr>
              <w:t>Inadequately addressed. The resubmission maintained the approach used to estimate t</w:t>
            </w:r>
            <w:r w:rsidRPr="00C24DBA">
              <w:rPr>
                <w:rFonts w:ascii="Arial Narrow" w:hAnsi="Arial Narrow"/>
                <w:iCs/>
                <w:sz w:val="20"/>
              </w:rPr>
              <w:t xml:space="preserve">he treatment-naïve eligible population. The utilisation of cabozantinib </w:t>
            </w:r>
            <w:r w:rsidR="007D10CE" w:rsidRPr="00C24DBA">
              <w:rPr>
                <w:rFonts w:ascii="Arial Narrow" w:hAnsi="Arial Narrow"/>
                <w:iCs/>
                <w:sz w:val="20"/>
              </w:rPr>
              <w:t>was likely</w:t>
            </w:r>
            <w:r w:rsidRPr="00C24DBA">
              <w:rPr>
                <w:rFonts w:ascii="Arial Narrow" w:hAnsi="Arial Narrow"/>
                <w:iCs/>
                <w:sz w:val="20"/>
              </w:rPr>
              <w:t xml:space="preserve"> overestimated.</w:t>
            </w:r>
          </w:p>
        </w:tc>
      </w:tr>
      <w:tr w:rsidR="004B4C7D" w:rsidRPr="00C24DBA" w:rsidTr="004B1A2C">
        <w:trPr>
          <w:cantSplit/>
        </w:trPr>
        <w:tc>
          <w:tcPr>
            <w:tcW w:w="904" w:type="pct"/>
          </w:tcPr>
          <w:p w:rsidR="004B4C7D" w:rsidRPr="00C24DBA" w:rsidRDefault="004B4C7D" w:rsidP="004B1A2C">
            <w:pPr>
              <w:pStyle w:val="3-BodyText"/>
              <w:keepLines/>
              <w:widowControl w:val="0"/>
              <w:numPr>
                <w:ilvl w:val="0"/>
                <w:numId w:val="0"/>
              </w:numPr>
              <w:jc w:val="left"/>
              <w:rPr>
                <w:rFonts w:ascii="Arial Narrow" w:hAnsi="Arial Narrow"/>
                <w:sz w:val="20"/>
              </w:rPr>
            </w:pPr>
            <w:r w:rsidRPr="00C24DBA">
              <w:rPr>
                <w:rFonts w:ascii="Arial Narrow" w:hAnsi="Arial Narrow"/>
                <w:sz w:val="20"/>
              </w:rPr>
              <w:t xml:space="preserve">Financial estimates: proportion patients progressing to 2L and 3L </w:t>
            </w:r>
          </w:p>
        </w:tc>
        <w:tc>
          <w:tcPr>
            <w:tcW w:w="2268" w:type="pct"/>
          </w:tcPr>
          <w:p w:rsidR="004B4C7D" w:rsidRPr="00C24DBA" w:rsidRDefault="004B4C7D" w:rsidP="004B1A2C">
            <w:pPr>
              <w:pStyle w:val="3-BodyText"/>
              <w:keepLines/>
              <w:widowControl w:val="0"/>
              <w:numPr>
                <w:ilvl w:val="0"/>
                <w:numId w:val="0"/>
              </w:numPr>
              <w:rPr>
                <w:rFonts w:ascii="Arial Narrow" w:hAnsi="Arial Narrow"/>
                <w:sz w:val="20"/>
              </w:rPr>
            </w:pPr>
            <w:r w:rsidRPr="00C24DBA">
              <w:rPr>
                <w:rFonts w:ascii="Arial Narrow" w:hAnsi="Arial Narrow"/>
                <w:sz w:val="20"/>
              </w:rPr>
              <w:t>The PBAC considered that the assumptions underpinning</w:t>
            </w:r>
            <w:r w:rsidR="009B332D" w:rsidRPr="00C24DBA">
              <w:rPr>
                <w:rFonts w:ascii="Arial Narrow" w:hAnsi="Arial Narrow"/>
                <w:sz w:val="20"/>
              </w:rPr>
              <w:t xml:space="preserve"> the</w:t>
            </w:r>
            <w:r w:rsidRPr="00C24DBA">
              <w:rPr>
                <w:rFonts w:ascii="Arial Narrow" w:hAnsi="Arial Narrow"/>
                <w:sz w:val="20"/>
              </w:rPr>
              <w:t xml:space="preserve"> financial calculations were not adequately justified, and that the utilisation of TKIs under the existing listings </w:t>
            </w:r>
            <w:r w:rsidR="009B332D" w:rsidRPr="00C24DBA">
              <w:rPr>
                <w:rFonts w:ascii="Arial Narrow" w:hAnsi="Arial Narrow"/>
                <w:sz w:val="20"/>
              </w:rPr>
              <w:t xml:space="preserve">was </w:t>
            </w:r>
            <w:r w:rsidRPr="00C24DBA">
              <w:rPr>
                <w:rFonts w:ascii="Arial Narrow" w:hAnsi="Arial Narrow"/>
                <w:sz w:val="20"/>
              </w:rPr>
              <w:t>likely overestimated. A key issue was that the resubmission assumed that 80% of patients will receive second-line (post-TKI) therapies and 60% wi</w:t>
            </w:r>
            <w:r w:rsidR="006631BD" w:rsidRPr="00C24DBA">
              <w:rPr>
                <w:rFonts w:ascii="Arial Narrow" w:hAnsi="Arial Narrow"/>
                <w:sz w:val="20"/>
              </w:rPr>
              <w:t>ll receive third-line therapies</w:t>
            </w:r>
            <w:r w:rsidRPr="00C24DBA">
              <w:rPr>
                <w:rFonts w:ascii="Arial Narrow" w:hAnsi="Arial Narrow"/>
                <w:sz w:val="20"/>
              </w:rPr>
              <w:t xml:space="preserve"> </w:t>
            </w:r>
            <w:r w:rsidRPr="00C24DBA">
              <w:rPr>
                <w:rFonts w:ascii="Arial Narrow" w:hAnsi="Arial Narrow"/>
                <w:sz w:val="20"/>
                <w:szCs w:val="20"/>
              </w:rPr>
              <w:t>(</w:t>
            </w:r>
            <w:r w:rsidR="00225709" w:rsidRPr="00C24DBA">
              <w:rPr>
                <w:rFonts w:ascii="Arial Narrow" w:hAnsi="Arial Narrow"/>
                <w:sz w:val="20"/>
                <w:szCs w:val="20"/>
              </w:rPr>
              <w:t>p</w:t>
            </w:r>
            <w:r w:rsidRPr="00C24DBA">
              <w:rPr>
                <w:rFonts w:ascii="Arial Narrow" w:hAnsi="Arial Narrow"/>
                <w:sz w:val="20"/>
                <w:szCs w:val="20"/>
              </w:rPr>
              <w:t>ara</w:t>
            </w:r>
            <w:r w:rsidR="008573EF" w:rsidRPr="00C24DBA">
              <w:rPr>
                <w:rFonts w:ascii="Arial Narrow" w:hAnsi="Arial Narrow"/>
                <w:sz w:val="20"/>
                <w:szCs w:val="20"/>
              </w:rPr>
              <w:t xml:space="preserve"> 6.56 and</w:t>
            </w:r>
            <w:r w:rsidRPr="00C24DBA">
              <w:rPr>
                <w:rFonts w:ascii="Arial Narrow" w:hAnsi="Arial Narrow"/>
                <w:sz w:val="20"/>
                <w:szCs w:val="20"/>
              </w:rPr>
              <w:t xml:space="preserve"> 7.13, March 2020 PSD)</w:t>
            </w:r>
            <w:r w:rsidRPr="00C24DBA">
              <w:rPr>
                <w:rFonts w:ascii="Arial Narrow" w:hAnsi="Arial Narrow"/>
                <w:sz w:val="20"/>
              </w:rPr>
              <w:t>.</w:t>
            </w:r>
          </w:p>
        </w:tc>
        <w:tc>
          <w:tcPr>
            <w:tcW w:w="1828" w:type="pct"/>
          </w:tcPr>
          <w:p w:rsidR="004B4C7D" w:rsidRPr="00C24DBA" w:rsidRDefault="00C240B3" w:rsidP="004B1A2C">
            <w:pPr>
              <w:keepLines/>
              <w:widowControl w:val="0"/>
              <w:rPr>
                <w:rFonts w:ascii="Arial Narrow" w:hAnsi="Arial Narrow"/>
                <w:iCs/>
                <w:sz w:val="20"/>
                <w:szCs w:val="20"/>
              </w:rPr>
            </w:pPr>
            <w:r w:rsidRPr="00C24DBA">
              <w:rPr>
                <w:rFonts w:ascii="Arial Narrow" w:hAnsi="Arial Narrow"/>
                <w:iCs/>
                <w:sz w:val="20"/>
                <w:szCs w:val="20"/>
              </w:rPr>
              <w:t>Not a</w:t>
            </w:r>
            <w:r w:rsidR="004B4C7D" w:rsidRPr="00C24DBA">
              <w:rPr>
                <w:rFonts w:ascii="Arial Narrow" w:hAnsi="Arial Narrow"/>
                <w:iCs/>
                <w:sz w:val="20"/>
                <w:szCs w:val="20"/>
              </w:rPr>
              <w:t xml:space="preserve">ddressed. </w:t>
            </w:r>
            <w:r w:rsidR="00876BFF" w:rsidRPr="00C24DBA">
              <w:rPr>
                <w:rFonts w:ascii="Arial Narrow" w:hAnsi="Arial Narrow"/>
                <w:iCs/>
                <w:sz w:val="20"/>
                <w:szCs w:val="20"/>
              </w:rPr>
              <w:t>T</w:t>
            </w:r>
            <w:r w:rsidR="004B4C7D" w:rsidRPr="00C24DBA">
              <w:rPr>
                <w:rFonts w:ascii="Arial Narrow" w:hAnsi="Arial Narrow"/>
                <w:iCs/>
                <w:sz w:val="20"/>
                <w:szCs w:val="20"/>
              </w:rPr>
              <w:t>he resubmission</w:t>
            </w:r>
            <w:r w:rsidR="00A21CBD" w:rsidRPr="00C24DBA">
              <w:rPr>
                <w:rFonts w:ascii="Arial Narrow" w:hAnsi="Arial Narrow"/>
                <w:iCs/>
                <w:sz w:val="20"/>
                <w:szCs w:val="20"/>
              </w:rPr>
              <w:t xml:space="preserve"> provided new evidence</w:t>
            </w:r>
            <w:r w:rsidR="00D33B28" w:rsidRPr="00C24DBA">
              <w:rPr>
                <w:rFonts w:ascii="Arial Narrow" w:hAnsi="Arial Narrow"/>
                <w:iCs/>
                <w:sz w:val="20"/>
                <w:szCs w:val="20"/>
              </w:rPr>
              <w:t xml:space="preserve"> (the KRAB report)</w:t>
            </w:r>
            <w:r w:rsidR="00A21CBD" w:rsidRPr="00C24DBA">
              <w:rPr>
                <w:rFonts w:ascii="Arial Narrow" w:hAnsi="Arial Narrow"/>
                <w:iCs/>
                <w:sz w:val="20"/>
                <w:szCs w:val="20"/>
              </w:rPr>
              <w:t xml:space="preserve"> to </w:t>
            </w:r>
            <w:r w:rsidR="009B332D" w:rsidRPr="00C24DBA">
              <w:rPr>
                <w:rFonts w:ascii="Arial Narrow" w:hAnsi="Arial Narrow"/>
                <w:iCs/>
                <w:sz w:val="20"/>
                <w:szCs w:val="20"/>
              </w:rPr>
              <w:t xml:space="preserve">support </w:t>
            </w:r>
            <w:r w:rsidR="00A21CBD" w:rsidRPr="00C24DBA">
              <w:rPr>
                <w:rFonts w:ascii="Arial Narrow" w:hAnsi="Arial Narrow"/>
                <w:iCs/>
                <w:sz w:val="20"/>
                <w:szCs w:val="20"/>
              </w:rPr>
              <w:t>the assumptions</w:t>
            </w:r>
            <w:r w:rsidR="00D00ADD" w:rsidRPr="00C24DBA">
              <w:rPr>
                <w:rFonts w:ascii="Arial Narrow" w:hAnsi="Arial Narrow"/>
                <w:iCs/>
                <w:sz w:val="20"/>
                <w:szCs w:val="20"/>
              </w:rPr>
              <w:t xml:space="preserve"> </w:t>
            </w:r>
            <w:r w:rsidR="009B332D" w:rsidRPr="00C24DBA">
              <w:rPr>
                <w:rFonts w:ascii="Arial Narrow" w:hAnsi="Arial Narrow"/>
                <w:iCs/>
                <w:sz w:val="20"/>
                <w:szCs w:val="20"/>
              </w:rPr>
              <w:t>used</w:t>
            </w:r>
            <w:r w:rsidRPr="00C24DBA">
              <w:rPr>
                <w:rFonts w:ascii="Arial Narrow" w:hAnsi="Arial Narrow"/>
                <w:iCs/>
                <w:sz w:val="20"/>
                <w:szCs w:val="20"/>
              </w:rPr>
              <w:t xml:space="preserve">, </w:t>
            </w:r>
            <w:r w:rsidR="00876BFF" w:rsidRPr="00C24DBA">
              <w:rPr>
                <w:rFonts w:ascii="Arial Narrow" w:hAnsi="Arial Narrow"/>
                <w:iCs/>
                <w:sz w:val="20"/>
                <w:szCs w:val="20"/>
              </w:rPr>
              <w:t xml:space="preserve">but </w:t>
            </w:r>
            <w:r w:rsidR="003E5A49" w:rsidRPr="00C24DBA">
              <w:rPr>
                <w:rFonts w:ascii="Arial Narrow" w:hAnsi="Arial Narrow"/>
                <w:iCs/>
                <w:sz w:val="20"/>
                <w:szCs w:val="20"/>
              </w:rPr>
              <w:t xml:space="preserve">the </w:t>
            </w:r>
            <w:r w:rsidR="00284DB5" w:rsidRPr="00C24DBA">
              <w:rPr>
                <w:rFonts w:ascii="Arial Narrow" w:hAnsi="Arial Narrow"/>
                <w:iCs/>
                <w:sz w:val="20"/>
                <w:szCs w:val="20"/>
              </w:rPr>
              <w:t>calculations</w:t>
            </w:r>
            <w:r w:rsidR="003E5A49" w:rsidRPr="00C24DBA">
              <w:rPr>
                <w:rFonts w:ascii="Arial Narrow" w:hAnsi="Arial Narrow"/>
                <w:iCs/>
                <w:sz w:val="20"/>
                <w:szCs w:val="20"/>
              </w:rPr>
              <w:t xml:space="preserve"> remained overestimated</w:t>
            </w:r>
            <w:r w:rsidR="00C24DBA">
              <w:rPr>
                <w:rFonts w:ascii="Arial Narrow" w:hAnsi="Arial Narrow"/>
                <w:iCs/>
                <w:sz w:val="20"/>
                <w:szCs w:val="20"/>
              </w:rPr>
              <w:t xml:space="preserve">. </w:t>
            </w:r>
          </w:p>
        </w:tc>
      </w:tr>
      <w:tr w:rsidR="004B4C7D" w:rsidRPr="00C24DBA" w:rsidTr="004B1A2C">
        <w:trPr>
          <w:cantSplit/>
          <w:trHeight w:val="3164"/>
        </w:trPr>
        <w:tc>
          <w:tcPr>
            <w:tcW w:w="904" w:type="pct"/>
          </w:tcPr>
          <w:p w:rsidR="004B4C7D" w:rsidRPr="00C24DBA" w:rsidRDefault="004B4C7D" w:rsidP="004866BB">
            <w:pPr>
              <w:pStyle w:val="3-BodyText"/>
              <w:numPr>
                <w:ilvl w:val="0"/>
                <w:numId w:val="0"/>
              </w:numPr>
              <w:ind w:left="29"/>
              <w:rPr>
                <w:rFonts w:ascii="Arial Narrow" w:hAnsi="Arial Narrow"/>
                <w:sz w:val="20"/>
              </w:rPr>
            </w:pPr>
            <w:r w:rsidRPr="00C24DBA">
              <w:rPr>
                <w:rFonts w:ascii="Arial Narrow" w:hAnsi="Arial Narrow"/>
                <w:sz w:val="20"/>
              </w:rPr>
              <w:t>Financial estimates: RSA</w:t>
            </w:r>
          </w:p>
        </w:tc>
        <w:tc>
          <w:tcPr>
            <w:tcW w:w="2268" w:type="pct"/>
          </w:tcPr>
          <w:p w:rsidR="004B4C7D" w:rsidRPr="00C24DBA" w:rsidRDefault="004B4C7D" w:rsidP="004866BB">
            <w:pPr>
              <w:pStyle w:val="3-BodyText"/>
              <w:numPr>
                <w:ilvl w:val="0"/>
                <w:numId w:val="0"/>
              </w:numPr>
              <w:rPr>
                <w:rFonts w:ascii="Arial Narrow" w:hAnsi="Arial Narrow"/>
                <w:sz w:val="20"/>
              </w:rPr>
            </w:pPr>
            <w:r w:rsidRPr="00C24DBA">
              <w:rPr>
                <w:rFonts w:ascii="Arial Narrow" w:hAnsi="Arial Narrow"/>
                <w:sz w:val="20"/>
              </w:rPr>
              <w:t xml:space="preserve">The PBAC considered that a combined RSA would be required across the proposed and existing cabozantinib indications to ensure that the offsets in the existing later-line setting (which are required for the proposed setting to be cost-effective) are realised. The PBAC also considered that a combined treatment line-agnostic listing and a weighted price across the new and existing listings would be appropriate. The PBAC considered that the combined RSA and weighted price would need to be based on more reliable estimates of utilisation under the proposed new listings and the status quo, as outlined in the ‘Estimated PBS usage &amp; financial implications’ and ‘Financial Management – Risk Sharing Arrangement’ sections above </w:t>
            </w:r>
            <w:r w:rsidRPr="00C24DBA">
              <w:rPr>
                <w:rFonts w:ascii="Arial Narrow" w:hAnsi="Arial Narrow"/>
                <w:sz w:val="20"/>
                <w:szCs w:val="20"/>
              </w:rPr>
              <w:t>(</w:t>
            </w:r>
            <w:r w:rsidR="00225709" w:rsidRPr="00C24DBA">
              <w:rPr>
                <w:rFonts w:ascii="Arial Narrow" w:hAnsi="Arial Narrow"/>
                <w:sz w:val="20"/>
                <w:szCs w:val="20"/>
              </w:rPr>
              <w:t>p</w:t>
            </w:r>
            <w:r w:rsidRPr="00C24DBA">
              <w:rPr>
                <w:rFonts w:ascii="Arial Narrow" w:hAnsi="Arial Narrow"/>
                <w:sz w:val="20"/>
                <w:szCs w:val="20"/>
              </w:rPr>
              <w:t>ara 7.14, March 2020 PSD)</w:t>
            </w:r>
            <w:r w:rsidRPr="00C24DBA">
              <w:rPr>
                <w:rFonts w:ascii="Arial Narrow" w:hAnsi="Arial Narrow"/>
                <w:sz w:val="20"/>
              </w:rPr>
              <w:t xml:space="preserve">. </w:t>
            </w:r>
          </w:p>
        </w:tc>
        <w:tc>
          <w:tcPr>
            <w:tcW w:w="1828" w:type="pct"/>
          </w:tcPr>
          <w:p w:rsidR="004B4C7D" w:rsidRPr="00C24DBA" w:rsidRDefault="004B4C7D" w:rsidP="00672428">
            <w:pPr>
              <w:rPr>
                <w:rFonts w:ascii="Arial Narrow" w:hAnsi="Arial Narrow"/>
                <w:iCs/>
                <w:sz w:val="20"/>
                <w:szCs w:val="20"/>
              </w:rPr>
            </w:pPr>
            <w:r w:rsidRPr="00C24DBA">
              <w:rPr>
                <w:rFonts w:ascii="Arial Narrow" w:hAnsi="Arial Narrow"/>
                <w:iCs/>
                <w:sz w:val="20"/>
                <w:szCs w:val="20"/>
              </w:rPr>
              <w:t>Inadequately addressed. The new RSA was proposed based on the line</w:t>
            </w:r>
            <w:r w:rsidR="00672428" w:rsidRPr="00C24DBA">
              <w:rPr>
                <w:rFonts w:ascii="Arial Narrow" w:hAnsi="Arial Narrow"/>
                <w:iCs/>
                <w:sz w:val="20"/>
                <w:szCs w:val="20"/>
              </w:rPr>
              <w:t>-</w:t>
            </w:r>
            <w:r w:rsidRPr="00C24DBA">
              <w:rPr>
                <w:rFonts w:ascii="Arial Narrow" w:hAnsi="Arial Narrow"/>
                <w:iCs/>
                <w:sz w:val="20"/>
                <w:szCs w:val="20"/>
              </w:rPr>
              <w:t>agnostic restriction. However, it appears to be based on unreliable estimates of utilisation</w:t>
            </w:r>
            <w:r w:rsidR="00C02EA4" w:rsidRPr="00C24DBA">
              <w:rPr>
                <w:rFonts w:ascii="Arial Narrow" w:hAnsi="Arial Narrow"/>
                <w:iCs/>
                <w:sz w:val="20"/>
                <w:szCs w:val="20"/>
              </w:rPr>
              <w:t xml:space="preserve"> in all settings</w:t>
            </w:r>
            <w:r w:rsidRPr="00C24DBA">
              <w:rPr>
                <w:rFonts w:ascii="Arial Narrow" w:hAnsi="Arial Narrow"/>
                <w:iCs/>
                <w:sz w:val="20"/>
                <w:szCs w:val="20"/>
              </w:rPr>
              <w:t>.</w:t>
            </w:r>
          </w:p>
        </w:tc>
      </w:tr>
    </w:tbl>
    <w:p w:rsidR="004B4C7D" w:rsidRPr="00C24DBA" w:rsidRDefault="004B4C7D" w:rsidP="004B4C7D">
      <w:pPr>
        <w:pStyle w:val="TableFigureFooter"/>
      </w:pPr>
      <w:r w:rsidRPr="00C24DBA">
        <w:t>Source: Compiled during the evaluation using 7.02 cabozantinib March 2020 Public Summary Document.</w:t>
      </w:r>
    </w:p>
    <w:p w:rsidR="004B4C7D" w:rsidRPr="00C24DBA" w:rsidRDefault="004B4C7D" w:rsidP="004B4C7D">
      <w:pPr>
        <w:pStyle w:val="TableFigureFooter"/>
      </w:pPr>
      <w:r w:rsidRPr="00C24DBA">
        <w:lastRenderedPageBreak/>
        <w:t>Abbreviations: CMA = cost-minimisation analysis;</w:t>
      </w:r>
      <w:r w:rsidR="00666D47" w:rsidRPr="00C24DBA">
        <w:t xml:space="preserve"> ESC = Economics Sub-Committee;</w:t>
      </w:r>
      <w:r w:rsidRPr="00C24DBA">
        <w:t xml:space="preserve"> </w:t>
      </w:r>
      <w:r w:rsidR="00AA3B54" w:rsidRPr="00C24DBA">
        <w:t xml:space="preserve">KRAB = Kidney CanceR Australian Registry and Biobank; </w:t>
      </w:r>
      <w:r w:rsidRPr="00C24DBA">
        <w:t xml:space="preserve">OS = overall survival; </w:t>
      </w:r>
      <w:r w:rsidR="007F0E08" w:rsidRPr="00C24DBA">
        <w:rPr>
          <w:rStyle w:val="normaltextrun"/>
          <w:color w:val="000000"/>
          <w:szCs w:val="18"/>
          <w:shd w:val="clear" w:color="auto" w:fill="FFFFFF"/>
        </w:rPr>
        <w:t xml:space="preserve">PBAC = Pharmaceutical Benefits Advisory Committee; </w:t>
      </w:r>
      <w:r w:rsidR="00350B9D" w:rsidRPr="00C24DBA">
        <w:rPr>
          <w:rStyle w:val="normaltextrun"/>
          <w:color w:val="000000"/>
          <w:szCs w:val="18"/>
          <w:shd w:val="clear" w:color="auto" w:fill="FFFFFF"/>
        </w:rPr>
        <w:t>PBS = Pharmaceutical Benefits Scheme</w:t>
      </w:r>
      <w:r w:rsidR="00350B9D" w:rsidRPr="00C24DBA">
        <w:t xml:space="preserve">; </w:t>
      </w:r>
      <w:r w:rsidRPr="00C24DBA">
        <w:t xml:space="preserve">PFS = progression-free survival; PSD = Public Summary Document; </w:t>
      </w:r>
      <w:r w:rsidR="003304C1" w:rsidRPr="00C24DBA">
        <w:rPr>
          <w:szCs w:val="18"/>
        </w:rPr>
        <w:t>RCC = renal cell carcinoma</w:t>
      </w:r>
      <w:r w:rsidR="003304C1" w:rsidRPr="00C24DBA">
        <w:t xml:space="preserve">; </w:t>
      </w:r>
      <w:r w:rsidR="00E62B7F" w:rsidRPr="00C24DBA">
        <w:t xml:space="preserve">RSA = </w:t>
      </w:r>
      <w:r w:rsidR="00E62B7F" w:rsidRPr="00C24DBA">
        <w:rPr>
          <w:rStyle w:val="normaltextrun"/>
          <w:color w:val="000000"/>
          <w:szCs w:val="18"/>
          <w:shd w:val="clear" w:color="auto" w:fill="FFFFFF"/>
        </w:rPr>
        <w:t>Risk Sharing Agreement</w:t>
      </w:r>
      <w:r w:rsidR="00E62B7F" w:rsidRPr="00C24DBA">
        <w:t xml:space="preserve">; </w:t>
      </w:r>
      <w:r w:rsidRPr="00C24DBA">
        <w:t>TKI = tyrosine kinase inhibitor;</w:t>
      </w:r>
      <w:r w:rsidR="003304C1" w:rsidRPr="00C24DBA">
        <w:t xml:space="preserve"> TOT = Time-on-treatment;</w:t>
      </w:r>
      <w:r w:rsidRPr="00C24DBA">
        <w:t xml:space="preserve"> TTD = time-to-treatment discontinuation</w:t>
      </w:r>
      <w:r w:rsidR="00305D12" w:rsidRPr="00C24DBA">
        <w:t>.</w:t>
      </w:r>
      <w:r w:rsidRPr="00C24DBA">
        <w:t xml:space="preserve"> </w:t>
      </w:r>
    </w:p>
    <w:p w:rsidR="004B4C7D" w:rsidRPr="00C24DBA" w:rsidRDefault="004B4C7D" w:rsidP="004B4C7D">
      <w:pPr>
        <w:pStyle w:val="2-SectionHeading"/>
        <w:numPr>
          <w:ilvl w:val="0"/>
          <w:numId w:val="1"/>
        </w:numPr>
      </w:pPr>
      <w:bookmarkStart w:id="10" w:name="_Toc48560944"/>
      <w:r w:rsidRPr="00C24DBA">
        <w:t>Requested listing</w:t>
      </w:r>
      <w:bookmarkEnd w:id="10"/>
    </w:p>
    <w:p w:rsidR="004B4C7D" w:rsidRPr="00C24DBA" w:rsidRDefault="004B4C7D" w:rsidP="00556889">
      <w:pPr>
        <w:pStyle w:val="3-BodyText"/>
        <w:spacing w:after="240"/>
      </w:pPr>
      <w:r w:rsidRPr="00C24DBA">
        <w:t xml:space="preserve">The </w:t>
      </w:r>
      <w:r w:rsidR="00C160E7" w:rsidRPr="00C24DBA">
        <w:t xml:space="preserve">resubmission requested a </w:t>
      </w:r>
      <w:r w:rsidR="008B081A" w:rsidRPr="00C24DBA">
        <w:t>line</w:t>
      </w:r>
      <w:r w:rsidR="00672428" w:rsidRPr="00C24DBA">
        <w:t>-</w:t>
      </w:r>
      <w:r w:rsidR="008B081A" w:rsidRPr="00C24DBA">
        <w:t>agnostic</w:t>
      </w:r>
      <w:r w:rsidR="00C160E7" w:rsidRPr="00C24DBA">
        <w:t xml:space="preserve"> restriction</w:t>
      </w:r>
      <w:r w:rsidR="008B081A" w:rsidRPr="00C24DBA">
        <w:t xml:space="preserve">, comprising use in </w:t>
      </w:r>
      <w:r w:rsidR="0052640A" w:rsidRPr="00C24DBA">
        <w:t>patients who have not been previously treated with a TKI (with intermediate to poor risk according to the IMDC criteria</w:t>
      </w:r>
      <w:r w:rsidR="00614CA6" w:rsidRPr="00C24DBA">
        <w:t xml:space="preserve">) and patients who have already received treatment with a TKI irrespective of IMDC risk classification, </w:t>
      </w:r>
      <w:r w:rsidR="008B081A" w:rsidRPr="00C24DBA">
        <w:t xml:space="preserve">as </w:t>
      </w:r>
      <w:r w:rsidRPr="00C24DBA">
        <w:t xml:space="preserve">outlined </w:t>
      </w:r>
      <w:r w:rsidR="00C160E7" w:rsidRPr="00C24DBA">
        <w:t>below</w:t>
      </w:r>
      <w:r w:rsidRPr="00C24DBA">
        <w:t>.</w:t>
      </w:r>
      <w:bookmarkStart w:id="11" w:name="_GoBack"/>
      <w:bookmarkEnd w:id="11"/>
    </w:p>
    <w:tbl>
      <w:tblPr>
        <w:tblStyle w:val="TableGrid1"/>
        <w:tblW w:w="5000" w:type="pct"/>
        <w:tblLook w:val="0620" w:firstRow="1" w:lastRow="0" w:firstColumn="0" w:lastColumn="0" w:noHBand="1" w:noVBand="1"/>
      </w:tblPr>
      <w:tblGrid>
        <w:gridCol w:w="2495"/>
        <w:gridCol w:w="833"/>
        <w:gridCol w:w="833"/>
        <w:gridCol w:w="1663"/>
        <w:gridCol w:w="1390"/>
        <w:gridCol w:w="1803"/>
      </w:tblGrid>
      <w:tr w:rsidR="00A5257A" w:rsidRPr="00C24DBA" w:rsidTr="00810D23">
        <w:trPr>
          <w:tblHeader/>
        </w:trPr>
        <w:tc>
          <w:tcPr>
            <w:tcW w:w="1383" w:type="pct"/>
          </w:tcPr>
          <w:p w:rsidR="00A5257A" w:rsidRPr="00C24DBA" w:rsidRDefault="00A5257A" w:rsidP="00AD215A">
            <w:pPr>
              <w:pStyle w:val="Table"/>
              <w:keepNext/>
              <w:keepLines/>
              <w:rPr>
                <w:rStyle w:val="SmallBold"/>
                <w:rFonts w:ascii="Arial Narrow" w:hAnsi="Arial Narrow"/>
              </w:rPr>
            </w:pPr>
            <w:r w:rsidRPr="00C24DBA">
              <w:rPr>
                <w:rStyle w:val="SmallBold"/>
                <w:rFonts w:ascii="Arial Narrow" w:hAnsi="Arial Narrow"/>
              </w:rPr>
              <w:t>Name, restriction, manner of administration, form</w:t>
            </w:r>
          </w:p>
        </w:tc>
        <w:tc>
          <w:tcPr>
            <w:tcW w:w="462" w:type="pct"/>
          </w:tcPr>
          <w:p w:rsidR="00A5257A" w:rsidRPr="00C24DBA" w:rsidRDefault="00A5257A" w:rsidP="00AD215A">
            <w:pPr>
              <w:pStyle w:val="TableCentre"/>
              <w:keepNext/>
              <w:keepLines/>
              <w:rPr>
                <w:rStyle w:val="SmallBold"/>
                <w:rFonts w:ascii="Arial Narrow" w:hAnsi="Arial Narrow"/>
              </w:rPr>
            </w:pPr>
            <w:r w:rsidRPr="00C24DBA">
              <w:rPr>
                <w:rStyle w:val="SmallBold"/>
                <w:rFonts w:ascii="Arial Narrow" w:hAnsi="Arial Narrow"/>
              </w:rPr>
              <w:t>Max qty (packs)</w:t>
            </w:r>
          </w:p>
        </w:tc>
        <w:tc>
          <w:tcPr>
            <w:tcW w:w="462" w:type="pct"/>
          </w:tcPr>
          <w:p w:rsidR="00A5257A" w:rsidRPr="00C24DBA" w:rsidRDefault="00A5257A" w:rsidP="00AD215A">
            <w:pPr>
              <w:pStyle w:val="TableCentre"/>
              <w:keepNext/>
              <w:keepLines/>
              <w:rPr>
                <w:rStyle w:val="SmallBold"/>
                <w:rFonts w:ascii="Arial Narrow" w:hAnsi="Arial Narrow"/>
              </w:rPr>
            </w:pPr>
            <w:r w:rsidRPr="00C24DBA">
              <w:rPr>
                <w:rStyle w:val="SmallBold"/>
                <w:rFonts w:ascii="Arial Narrow" w:hAnsi="Arial Narrow"/>
              </w:rPr>
              <w:t>Max qty (units)</w:t>
            </w:r>
          </w:p>
        </w:tc>
        <w:tc>
          <w:tcPr>
            <w:tcW w:w="1693" w:type="pct"/>
            <w:gridSpan w:val="2"/>
          </w:tcPr>
          <w:p w:rsidR="00A5257A" w:rsidRPr="00C24DBA" w:rsidRDefault="00A5257A" w:rsidP="00AD215A">
            <w:pPr>
              <w:pStyle w:val="TableCentre"/>
              <w:keepNext/>
              <w:keepLines/>
              <w:rPr>
                <w:rStyle w:val="SmallBold"/>
                <w:rFonts w:ascii="Arial Narrow" w:hAnsi="Arial Narrow"/>
              </w:rPr>
            </w:pPr>
            <w:r w:rsidRPr="00C24DBA">
              <w:rPr>
                <w:rStyle w:val="SmallBold"/>
                <w:rFonts w:ascii="Arial Narrow" w:hAnsi="Arial Narrow"/>
              </w:rPr>
              <w:t>Published and Effective prices</w:t>
            </w:r>
          </w:p>
          <w:p w:rsidR="00A5257A" w:rsidRPr="00C24DBA" w:rsidRDefault="00A5257A" w:rsidP="00AD215A">
            <w:pPr>
              <w:pStyle w:val="TableCentre"/>
              <w:keepNext/>
              <w:keepLines/>
              <w:rPr>
                <w:rStyle w:val="SmallBold"/>
                <w:rFonts w:ascii="Arial Narrow" w:hAnsi="Arial Narrow"/>
              </w:rPr>
            </w:pPr>
            <w:r w:rsidRPr="00C24DBA">
              <w:rPr>
                <w:rStyle w:val="SmallBold"/>
                <w:rFonts w:ascii="Arial Narrow" w:hAnsi="Arial Narrow"/>
              </w:rPr>
              <w:t>AEMP and DPMQ</w:t>
            </w:r>
          </w:p>
        </w:tc>
        <w:tc>
          <w:tcPr>
            <w:tcW w:w="1001" w:type="pct"/>
          </w:tcPr>
          <w:p w:rsidR="00A5257A" w:rsidRPr="00C24DBA" w:rsidRDefault="00A5257A" w:rsidP="00AD215A">
            <w:pPr>
              <w:pStyle w:val="TableCentre"/>
              <w:keepNext/>
              <w:keepLines/>
              <w:rPr>
                <w:rStyle w:val="SmallBold"/>
                <w:rFonts w:ascii="Arial Narrow" w:hAnsi="Arial Narrow"/>
              </w:rPr>
            </w:pPr>
            <w:r w:rsidRPr="00C24DBA">
              <w:rPr>
                <w:rStyle w:val="SmallBold"/>
                <w:rFonts w:ascii="Arial Narrow" w:hAnsi="Arial Narrow"/>
              </w:rPr>
              <w:t>Proprietary name and manufacturer</w:t>
            </w:r>
          </w:p>
        </w:tc>
      </w:tr>
      <w:tr w:rsidR="00A5257A" w:rsidRPr="00C24DBA" w:rsidTr="00810D23">
        <w:tc>
          <w:tcPr>
            <w:tcW w:w="1383" w:type="pct"/>
          </w:tcPr>
          <w:p w:rsidR="00A5257A" w:rsidRPr="00C24DBA" w:rsidRDefault="00A5257A" w:rsidP="00AD215A">
            <w:pPr>
              <w:pStyle w:val="TableLeft"/>
              <w:keepNext/>
              <w:keepLines/>
              <w:rPr>
                <w:rFonts w:ascii="Arial Narrow" w:hAnsi="Arial Narrow"/>
              </w:rPr>
            </w:pPr>
            <w:r w:rsidRPr="00C24DBA">
              <w:rPr>
                <w:rFonts w:ascii="Arial Narrow" w:hAnsi="Arial Narrow"/>
              </w:rPr>
              <w:t>CABOZANTINIB</w:t>
            </w:r>
          </w:p>
          <w:p w:rsidR="00A5257A" w:rsidRPr="00C24DBA" w:rsidRDefault="00A5257A" w:rsidP="00AD215A">
            <w:pPr>
              <w:pStyle w:val="TableLeft"/>
              <w:keepNext/>
              <w:keepLines/>
              <w:rPr>
                <w:rFonts w:ascii="Arial Narrow" w:hAnsi="Arial Narrow"/>
              </w:rPr>
            </w:pPr>
            <w:r w:rsidRPr="00C24DBA">
              <w:rPr>
                <w:rFonts w:ascii="Arial Narrow" w:hAnsi="Arial Narrow"/>
              </w:rPr>
              <w:t>Cabozantinib, 60 mg tablet, 30</w:t>
            </w:r>
          </w:p>
          <w:p w:rsidR="00A5257A" w:rsidRPr="00C24DBA" w:rsidRDefault="00A5257A" w:rsidP="00AD215A">
            <w:pPr>
              <w:pStyle w:val="TableLeft"/>
              <w:keepNext/>
              <w:keepLines/>
              <w:rPr>
                <w:rFonts w:ascii="Arial Narrow" w:hAnsi="Arial Narrow"/>
              </w:rPr>
            </w:pPr>
            <w:r w:rsidRPr="00C24DBA">
              <w:rPr>
                <w:rFonts w:ascii="Arial Narrow" w:hAnsi="Arial Narrow"/>
              </w:rPr>
              <w:t>Cabozantinib, 40 mg tablet, 30</w:t>
            </w:r>
          </w:p>
          <w:p w:rsidR="00A5257A" w:rsidRPr="00C24DBA" w:rsidRDefault="00A5257A" w:rsidP="00AD215A">
            <w:pPr>
              <w:pStyle w:val="TableLeft"/>
              <w:keepNext/>
              <w:keepLines/>
              <w:rPr>
                <w:rFonts w:ascii="Arial Narrow" w:hAnsi="Arial Narrow"/>
              </w:rPr>
            </w:pPr>
            <w:r w:rsidRPr="00C24DBA">
              <w:rPr>
                <w:rFonts w:ascii="Arial Narrow" w:hAnsi="Arial Narrow"/>
              </w:rPr>
              <w:t>Cabozantinib, 20 mg tablet, 30</w:t>
            </w:r>
          </w:p>
          <w:p w:rsidR="001B6334" w:rsidRPr="00C24DBA" w:rsidRDefault="001B6334" w:rsidP="00AD215A">
            <w:pPr>
              <w:pStyle w:val="TableLeft"/>
              <w:keepNext/>
              <w:keepLines/>
              <w:rPr>
                <w:rFonts w:ascii="Arial Narrow" w:hAnsi="Arial Narrow"/>
              </w:rPr>
            </w:pPr>
          </w:p>
        </w:tc>
        <w:tc>
          <w:tcPr>
            <w:tcW w:w="462" w:type="pct"/>
          </w:tcPr>
          <w:p w:rsidR="00A5257A" w:rsidRPr="00C24DBA" w:rsidRDefault="00A5257A" w:rsidP="00AD215A">
            <w:pPr>
              <w:pStyle w:val="TableCentre"/>
              <w:keepNext/>
              <w:keepLines/>
              <w:rPr>
                <w:rFonts w:ascii="Arial Narrow" w:hAnsi="Arial Narrow"/>
              </w:rPr>
            </w:pPr>
          </w:p>
          <w:p w:rsidR="00A5257A" w:rsidRPr="00C24DBA" w:rsidRDefault="00A5257A" w:rsidP="00AD215A">
            <w:pPr>
              <w:pStyle w:val="TableCentre"/>
              <w:keepNext/>
              <w:keepLines/>
              <w:rPr>
                <w:rFonts w:ascii="Arial Narrow" w:hAnsi="Arial Narrow"/>
              </w:rPr>
            </w:pPr>
            <w:r w:rsidRPr="00C24DBA">
              <w:rPr>
                <w:rFonts w:ascii="Arial Narrow" w:hAnsi="Arial Narrow"/>
              </w:rPr>
              <w:t>1</w:t>
            </w:r>
          </w:p>
          <w:p w:rsidR="00A5257A" w:rsidRPr="00C24DBA" w:rsidRDefault="00A5257A" w:rsidP="00AD215A">
            <w:pPr>
              <w:pStyle w:val="TableCentre"/>
              <w:keepNext/>
              <w:keepLines/>
              <w:rPr>
                <w:rFonts w:ascii="Arial Narrow" w:hAnsi="Arial Narrow"/>
              </w:rPr>
            </w:pPr>
            <w:r w:rsidRPr="00C24DBA">
              <w:rPr>
                <w:rFonts w:ascii="Arial Narrow" w:hAnsi="Arial Narrow"/>
              </w:rPr>
              <w:t>1</w:t>
            </w:r>
          </w:p>
          <w:p w:rsidR="00A5257A" w:rsidRPr="00C24DBA" w:rsidRDefault="00A5257A" w:rsidP="00AD215A">
            <w:pPr>
              <w:pStyle w:val="TableCentre"/>
              <w:keepNext/>
              <w:keepLines/>
              <w:rPr>
                <w:rFonts w:ascii="Arial Narrow" w:hAnsi="Arial Narrow"/>
              </w:rPr>
            </w:pPr>
            <w:r w:rsidRPr="00C24DBA">
              <w:rPr>
                <w:rFonts w:ascii="Arial Narrow" w:hAnsi="Arial Narrow"/>
              </w:rPr>
              <w:t>1</w:t>
            </w:r>
          </w:p>
        </w:tc>
        <w:tc>
          <w:tcPr>
            <w:tcW w:w="462" w:type="pct"/>
          </w:tcPr>
          <w:p w:rsidR="00A5257A" w:rsidRPr="00C24DBA" w:rsidRDefault="00A5257A" w:rsidP="00AD215A">
            <w:pPr>
              <w:pStyle w:val="TableCentre"/>
              <w:keepNext/>
              <w:keepLines/>
              <w:rPr>
                <w:rFonts w:ascii="Arial Narrow" w:hAnsi="Arial Narrow"/>
              </w:rPr>
            </w:pPr>
          </w:p>
          <w:p w:rsidR="00A5257A" w:rsidRPr="00C24DBA" w:rsidRDefault="00A5257A" w:rsidP="00AD215A">
            <w:pPr>
              <w:pStyle w:val="TableCentre"/>
              <w:keepNext/>
              <w:keepLines/>
              <w:rPr>
                <w:rFonts w:ascii="Arial Narrow" w:hAnsi="Arial Narrow"/>
              </w:rPr>
            </w:pPr>
            <w:r w:rsidRPr="00C24DBA">
              <w:rPr>
                <w:rFonts w:ascii="Arial Narrow" w:hAnsi="Arial Narrow"/>
              </w:rPr>
              <w:t>30</w:t>
            </w:r>
          </w:p>
          <w:p w:rsidR="00A5257A" w:rsidRPr="00C24DBA" w:rsidRDefault="00A5257A" w:rsidP="00AD215A">
            <w:pPr>
              <w:pStyle w:val="TableCentre"/>
              <w:keepNext/>
              <w:keepLines/>
              <w:rPr>
                <w:rFonts w:ascii="Arial Narrow" w:hAnsi="Arial Narrow"/>
              </w:rPr>
            </w:pPr>
            <w:r w:rsidRPr="00C24DBA">
              <w:rPr>
                <w:rFonts w:ascii="Arial Narrow" w:hAnsi="Arial Narrow"/>
              </w:rPr>
              <w:t>30</w:t>
            </w:r>
          </w:p>
          <w:p w:rsidR="00A5257A" w:rsidRPr="00C24DBA" w:rsidRDefault="00A5257A" w:rsidP="00AD215A">
            <w:pPr>
              <w:pStyle w:val="TableCentre"/>
              <w:keepNext/>
              <w:keepLines/>
              <w:rPr>
                <w:rFonts w:ascii="Arial Narrow" w:hAnsi="Arial Narrow"/>
              </w:rPr>
            </w:pPr>
            <w:r w:rsidRPr="00C24DBA">
              <w:rPr>
                <w:rFonts w:ascii="Arial Narrow" w:hAnsi="Arial Narrow"/>
              </w:rPr>
              <w:t>30</w:t>
            </w:r>
          </w:p>
        </w:tc>
        <w:tc>
          <w:tcPr>
            <w:tcW w:w="922" w:type="pct"/>
          </w:tcPr>
          <w:p w:rsidR="00A5257A" w:rsidRPr="00C24DBA" w:rsidRDefault="00A5257A" w:rsidP="00AD215A">
            <w:pPr>
              <w:pStyle w:val="TableCentre"/>
              <w:keepNext/>
              <w:keepLines/>
              <w:rPr>
                <w:rStyle w:val="SmallItalics"/>
                <w:rFonts w:ascii="Arial Narrow" w:hAnsi="Arial Narrow"/>
                <w:i w:val="0"/>
                <w:iCs/>
              </w:rPr>
            </w:pPr>
            <w:r w:rsidRPr="00C24DBA">
              <w:rPr>
                <w:rStyle w:val="SmallItalics"/>
                <w:rFonts w:ascii="Arial Narrow" w:hAnsi="Arial Narrow"/>
                <w:i w:val="0"/>
                <w:iCs/>
              </w:rPr>
              <w:t>Published AEMP</w:t>
            </w:r>
          </w:p>
          <w:p w:rsidR="00A5257A" w:rsidRPr="00C24DBA" w:rsidRDefault="00A5257A" w:rsidP="00AD215A">
            <w:pPr>
              <w:pStyle w:val="TableCentre"/>
              <w:keepNext/>
              <w:keepLines/>
              <w:rPr>
                <w:rFonts w:ascii="Arial Narrow" w:hAnsi="Arial Narrow"/>
              </w:rPr>
            </w:pPr>
            <w:r w:rsidRPr="00C24DBA">
              <w:rPr>
                <w:rFonts w:ascii="Arial Narrow" w:hAnsi="Arial Narrow"/>
              </w:rPr>
              <w:t>$9,800.00</w:t>
            </w:r>
          </w:p>
          <w:p w:rsidR="00A5257A" w:rsidRPr="00C24DBA" w:rsidRDefault="00A5257A" w:rsidP="00AD215A">
            <w:pPr>
              <w:pStyle w:val="TableCentre"/>
              <w:keepNext/>
              <w:keepLines/>
              <w:rPr>
                <w:rFonts w:ascii="Arial Narrow" w:hAnsi="Arial Narrow"/>
              </w:rPr>
            </w:pPr>
            <w:r w:rsidRPr="00C24DBA">
              <w:rPr>
                <w:rFonts w:ascii="Arial Narrow" w:hAnsi="Arial Narrow"/>
              </w:rPr>
              <w:t>Published DPMQ</w:t>
            </w:r>
          </w:p>
          <w:p w:rsidR="00A5257A" w:rsidRPr="00C24DBA" w:rsidRDefault="00A5257A" w:rsidP="00AD215A">
            <w:pPr>
              <w:pStyle w:val="TableCentre"/>
              <w:keepNext/>
              <w:keepLines/>
              <w:rPr>
                <w:rFonts w:ascii="Arial Narrow" w:hAnsi="Arial Narrow"/>
              </w:rPr>
            </w:pPr>
            <w:r w:rsidRPr="00C24DBA">
              <w:rPr>
                <w:rFonts w:ascii="Arial Narrow" w:hAnsi="Arial Narrow"/>
              </w:rPr>
              <w:t>$9,976.96</w:t>
            </w:r>
          </w:p>
        </w:tc>
        <w:tc>
          <w:tcPr>
            <w:tcW w:w="771" w:type="pct"/>
          </w:tcPr>
          <w:p w:rsidR="00A5257A" w:rsidRPr="00C24DBA" w:rsidRDefault="00A5257A" w:rsidP="00AD215A">
            <w:pPr>
              <w:pStyle w:val="TableCentre"/>
              <w:keepNext/>
              <w:keepLines/>
              <w:rPr>
                <w:rStyle w:val="SmallItalics"/>
                <w:rFonts w:ascii="Arial Narrow" w:hAnsi="Arial Narrow"/>
                <w:i w:val="0"/>
                <w:iCs/>
              </w:rPr>
            </w:pPr>
            <w:r w:rsidRPr="00C24DBA">
              <w:rPr>
                <w:rStyle w:val="SmallItalics"/>
                <w:rFonts w:ascii="Arial Narrow" w:hAnsi="Arial Narrow"/>
                <w:i w:val="0"/>
                <w:iCs/>
              </w:rPr>
              <w:t>Effective AEMP</w:t>
            </w:r>
          </w:p>
          <w:p w:rsidR="00A5257A" w:rsidRPr="00C24DBA" w:rsidRDefault="00A5257A" w:rsidP="00AD215A">
            <w:pPr>
              <w:pStyle w:val="TableCentre"/>
              <w:keepNext/>
              <w:keepLines/>
              <w:rPr>
                <w:rFonts w:ascii="Arial Narrow" w:hAnsi="Arial Narrow"/>
                <w:vertAlign w:val="superscript"/>
              </w:rPr>
            </w:pPr>
            <w:r w:rsidRPr="00C24DBA">
              <w:rPr>
                <w:rFonts w:ascii="Arial Narrow" w:hAnsi="Arial Narrow"/>
              </w:rPr>
              <w:t>$</w:t>
            </w:r>
            <w:r w:rsidR="0061241D">
              <w:rPr>
                <w:rFonts w:ascii="Arial Narrow" w:hAnsi="Arial Narrow"/>
                <w:noProof/>
                <w:color w:val="000000"/>
                <w:highlight w:val="black"/>
              </w:rPr>
              <w:t>'''''''''''''''''''''''</w:t>
            </w:r>
            <w:r w:rsidR="00614CA6" w:rsidRPr="00C24DBA">
              <w:rPr>
                <w:rFonts w:ascii="Arial Narrow" w:hAnsi="Arial Narrow"/>
              </w:rPr>
              <w:t xml:space="preserve"> </w:t>
            </w:r>
            <w:r w:rsidR="00614CA6" w:rsidRPr="00C24DBA">
              <w:rPr>
                <w:rFonts w:ascii="Arial Narrow" w:hAnsi="Arial Narrow"/>
                <w:vertAlign w:val="superscript"/>
              </w:rPr>
              <w:t>a</w:t>
            </w:r>
          </w:p>
          <w:p w:rsidR="00A5257A" w:rsidRPr="00C24DBA" w:rsidRDefault="00A5257A" w:rsidP="00AD215A">
            <w:pPr>
              <w:pStyle w:val="TableCentre"/>
              <w:keepNext/>
              <w:keepLines/>
              <w:rPr>
                <w:rFonts w:ascii="Arial Narrow" w:hAnsi="Arial Narrow"/>
              </w:rPr>
            </w:pPr>
            <w:r w:rsidRPr="00C24DBA">
              <w:rPr>
                <w:rFonts w:ascii="Arial Narrow" w:hAnsi="Arial Narrow"/>
              </w:rPr>
              <w:t>Effective DPMQ</w:t>
            </w:r>
          </w:p>
          <w:p w:rsidR="00A5257A" w:rsidRPr="00C24DBA" w:rsidRDefault="00A5257A" w:rsidP="00556889">
            <w:pPr>
              <w:pStyle w:val="TableCentre"/>
              <w:keepNext/>
              <w:keepLines/>
              <w:rPr>
                <w:rFonts w:ascii="Arial Narrow" w:hAnsi="Arial Narrow"/>
                <w:vertAlign w:val="superscript"/>
              </w:rPr>
            </w:pPr>
            <w:r w:rsidRPr="00C24DBA">
              <w:rPr>
                <w:rFonts w:ascii="Arial Narrow" w:hAnsi="Arial Narrow"/>
              </w:rPr>
              <w:t>$</w:t>
            </w:r>
            <w:r w:rsidR="0061241D">
              <w:rPr>
                <w:rFonts w:ascii="Arial Narrow" w:hAnsi="Arial Narrow"/>
                <w:noProof/>
                <w:color w:val="000000"/>
                <w:highlight w:val="black"/>
              </w:rPr>
              <w:t>''''''''''''''</w:t>
            </w:r>
            <w:r w:rsidR="00614CA6" w:rsidRPr="00C24DBA">
              <w:rPr>
                <w:rFonts w:ascii="Arial Narrow" w:hAnsi="Arial Narrow"/>
              </w:rPr>
              <w:t xml:space="preserve"> </w:t>
            </w:r>
            <w:r w:rsidR="00614CA6" w:rsidRPr="00C24DBA">
              <w:rPr>
                <w:rFonts w:ascii="Arial Narrow" w:hAnsi="Arial Narrow"/>
                <w:vertAlign w:val="superscript"/>
              </w:rPr>
              <w:t>a</w:t>
            </w:r>
          </w:p>
        </w:tc>
        <w:tc>
          <w:tcPr>
            <w:tcW w:w="1001" w:type="pct"/>
          </w:tcPr>
          <w:p w:rsidR="00A5257A" w:rsidRPr="00C24DBA" w:rsidRDefault="00A5257A" w:rsidP="00AD215A">
            <w:pPr>
              <w:pStyle w:val="TableLeft"/>
              <w:keepNext/>
              <w:keepLines/>
              <w:rPr>
                <w:rFonts w:ascii="Arial Narrow" w:hAnsi="Arial Narrow"/>
              </w:rPr>
            </w:pPr>
          </w:p>
          <w:p w:rsidR="00A5257A" w:rsidRPr="00C24DBA" w:rsidRDefault="00A5257A" w:rsidP="00AD215A">
            <w:pPr>
              <w:pStyle w:val="TableLeft"/>
              <w:keepNext/>
              <w:keepLines/>
              <w:rPr>
                <w:rFonts w:ascii="Arial Narrow" w:hAnsi="Arial Narrow"/>
              </w:rPr>
            </w:pPr>
            <w:r w:rsidRPr="00C24DBA">
              <w:rPr>
                <w:rFonts w:ascii="Arial Narrow" w:hAnsi="Arial Narrow"/>
              </w:rPr>
              <w:t>Cabometyx®</w:t>
            </w:r>
          </w:p>
          <w:p w:rsidR="00A5257A" w:rsidRPr="00C24DBA" w:rsidRDefault="00A5257A" w:rsidP="00AD215A">
            <w:pPr>
              <w:pStyle w:val="TableLeft"/>
              <w:keepNext/>
              <w:keepLines/>
              <w:rPr>
                <w:rFonts w:ascii="Arial Narrow" w:hAnsi="Arial Narrow"/>
              </w:rPr>
            </w:pPr>
            <w:r w:rsidRPr="00C24DBA">
              <w:rPr>
                <w:rFonts w:ascii="Arial Narrow" w:hAnsi="Arial Narrow"/>
              </w:rPr>
              <w:t>Ipsen Pty Ltd</w:t>
            </w:r>
          </w:p>
        </w:tc>
      </w:tr>
    </w:tbl>
    <w:tbl>
      <w:tblPr>
        <w:tblW w:w="5000" w:type="pct"/>
        <w:tblLook w:val="0000" w:firstRow="0" w:lastRow="0" w:firstColumn="0" w:lastColumn="0" w:noHBand="0" w:noVBand="0"/>
      </w:tblPr>
      <w:tblGrid>
        <w:gridCol w:w="1719"/>
        <w:gridCol w:w="7300"/>
      </w:tblGrid>
      <w:tr w:rsidR="004B4C7D" w:rsidRPr="00C24DBA" w:rsidTr="004B1A2C">
        <w:trPr>
          <w:trHeight w:val="100"/>
        </w:trPr>
        <w:tc>
          <w:tcPr>
            <w:tcW w:w="953" w:type="pct"/>
            <w:tcBorders>
              <w:top w:val="single" w:sz="4" w:space="0" w:color="auto"/>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b/>
                <w:bCs/>
                <w:color w:val="000000"/>
                <w:sz w:val="20"/>
                <w:szCs w:val="20"/>
              </w:rPr>
              <w:t xml:space="preserve">Category / Program </w:t>
            </w:r>
          </w:p>
        </w:tc>
        <w:tc>
          <w:tcPr>
            <w:tcW w:w="4047" w:type="pct"/>
            <w:tcBorders>
              <w:top w:val="single" w:sz="4" w:space="0" w:color="auto"/>
              <w:left w:val="single" w:sz="3" w:space="0" w:color="000000"/>
              <w:bottom w:val="single" w:sz="3" w:space="0" w:color="000000"/>
              <w:right w:val="single" w:sz="3" w:space="0" w:color="000000"/>
            </w:tcBorders>
            <w:shd w:val="clear" w:color="auto" w:fill="C6D9F1" w:themeFill="text2" w:themeFillTint="33"/>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color w:val="000000"/>
                <w:sz w:val="20"/>
                <w:szCs w:val="20"/>
              </w:rPr>
              <w:t>General Schedule/Section 85</w:t>
            </w:r>
          </w:p>
        </w:tc>
      </w:tr>
      <w:tr w:rsidR="004B4C7D" w:rsidRPr="00C24DBA" w:rsidTr="004B1A2C">
        <w:trPr>
          <w:trHeight w:val="58"/>
        </w:trPr>
        <w:tc>
          <w:tcPr>
            <w:tcW w:w="953"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b/>
                <w:bCs/>
                <w:color w:val="000000"/>
                <w:sz w:val="20"/>
                <w:szCs w:val="20"/>
              </w:rPr>
              <w:t>PBS Indication:</w:t>
            </w:r>
          </w:p>
        </w:tc>
        <w:tc>
          <w:tcPr>
            <w:tcW w:w="4047" w:type="pct"/>
            <w:tcBorders>
              <w:top w:val="single" w:sz="3" w:space="0" w:color="000000"/>
              <w:left w:val="single" w:sz="3" w:space="0" w:color="000000"/>
              <w:bottom w:val="single" w:sz="3" w:space="0" w:color="000000"/>
              <w:right w:val="single" w:sz="3" w:space="0" w:color="000000"/>
            </w:tcBorders>
            <w:shd w:val="clear" w:color="auto" w:fill="C6D9F1" w:themeFill="text2" w:themeFillTint="33"/>
          </w:tcPr>
          <w:p w:rsidR="004B4C7D" w:rsidRPr="00C24DBA" w:rsidRDefault="004B4C7D" w:rsidP="00AD215A">
            <w:pPr>
              <w:keepNext/>
              <w:keepLines/>
              <w:autoSpaceDE w:val="0"/>
              <w:autoSpaceDN w:val="0"/>
              <w:adjustRightInd w:val="0"/>
              <w:rPr>
                <w:rFonts w:ascii="Arial Narrow" w:hAnsi="Arial Narrow" w:cs="Calibri"/>
                <w:strike/>
                <w:sz w:val="20"/>
                <w:szCs w:val="20"/>
              </w:rPr>
            </w:pPr>
            <w:r w:rsidRPr="00C24DBA">
              <w:rPr>
                <w:rFonts w:ascii="Arial Narrow" w:hAnsi="Arial Narrow"/>
                <w:color w:val="000000" w:themeColor="text1"/>
                <w:sz w:val="20"/>
                <w:szCs w:val="20"/>
              </w:rPr>
              <w:t>Stage IV clear cell variant renal cell carcinoma (RCC)</w:t>
            </w:r>
          </w:p>
        </w:tc>
      </w:tr>
      <w:tr w:rsidR="004B4C7D" w:rsidRPr="00C24DBA" w:rsidTr="004B1A2C">
        <w:trPr>
          <w:trHeight w:val="58"/>
        </w:trPr>
        <w:tc>
          <w:tcPr>
            <w:tcW w:w="953"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b/>
                <w:bCs/>
                <w:color w:val="000000"/>
                <w:sz w:val="20"/>
                <w:szCs w:val="20"/>
              </w:rPr>
              <w:t>Treatment phase:</w:t>
            </w:r>
          </w:p>
        </w:tc>
        <w:tc>
          <w:tcPr>
            <w:tcW w:w="4047" w:type="pct"/>
            <w:tcBorders>
              <w:top w:val="single" w:sz="3" w:space="0" w:color="000000"/>
              <w:left w:val="single" w:sz="3" w:space="0" w:color="000000"/>
              <w:bottom w:val="single" w:sz="3" w:space="0" w:color="000000"/>
              <w:right w:val="single" w:sz="3" w:space="0" w:color="000000"/>
            </w:tcBorders>
            <w:shd w:val="clear" w:color="auto" w:fill="C6D9F1" w:themeFill="text2" w:themeFillTint="33"/>
          </w:tcPr>
          <w:p w:rsidR="004B4C7D" w:rsidRPr="00C24DBA" w:rsidRDefault="004B4C7D" w:rsidP="00AD215A">
            <w:pPr>
              <w:keepNext/>
              <w:keepLines/>
              <w:autoSpaceDE w:val="0"/>
              <w:autoSpaceDN w:val="0"/>
              <w:adjustRightInd w:val="0"/>
              <w:rPr>
                <w:rFonts w:ascii="Arial Narrow" w:hAnsi="Arial Narrow" w:cs="Calibri"/>
                <w:sz w:val="20"/>
                <w:szCs w:val="20"/>
                <w:highlight w:val="lightGray"/>
              </w:rPr>
            </w:pPr>
            <w:r w:rsidRPr="00C24DBA">
              <w:rPr>
                <w:rFonts w:ascii="Arial Narrow" w:hAnsi="Arial Narrow" w:cs="Calibri"/>
                <w:sz w:val="20"/>
                <w:szCs w:val="20"/>
              </w:rPr>
              <w:t>Initial</w:t>
            </w:r>
          </w:p>
        </w:tc>
      </w:tr>
      <w:tr w:rsidR="004B4C7D" w:rsidRPr="00C24DBA" w:rsidTr="004B1A2C">
        <w:trPr>
          <w:trHeight w:val="236"/>
        </w:trPr>
        <w:tc>
          <w:tcPr>
            <w:tcW w:w="953"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b/>
                <w:sz w:val="20"/>
                <w:szCs w:val="20"/>
              </w:rPr>
            </w:pPr>
            <w:r w:rsidRPr="00C24DBA">
              <w:rPr>
                <w:rFonts w:ascii="Arial Narrow" w:hAnsi="Arial Narrow" w:cs="Calibri"/>
                <w:b/>
                <w:sz w:val="20"/>
                <w:szCs w:val="20"/>
              </w:rPr>
              <w:t>Restriction:</w:t>
            </w:r>
          </w:p>
        </w:tc>
        <w:tc>
          <w:tcPr>
            <w:tcW w:w="4047" w:type="pct"/>
            <w:tcBorders>
              <w:top w:val="single" w:sz="3" w:space="0" w:color="000000"/>
              <w:left w:val="single" w:sz="3" w:space="0" w:color="000000"/>
              <w:bottom w:val="single" w:sz="3" w:space="0" w:color="000000"/>
              <w:right w:val="single" w:sz="3" w:space="0" w:color="000000"/>
            </w:tcBorders>
            <w:shd w:val="clear" w:color="auto" w:fill="C6D9F1" w:themeFill="text2" w:themeFillTint="33"/>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Authority Required (STREAMLINED)</w:t>
            </w:r>
          </w:p>
        </w:tc>
      </w:tr>
      <w:tr w:rsidR="004B4C7D" w:rsidRPr="00C24DBA" w:rsidTr="004B1A2C">
        <w:trPr>
          <w:trHeight w:val="531"/>
        </w:trPr>
        <w:tc>
          <w:tcPr>
            <w:tcW w:w="953"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Arial Narrow"/>
                <w:b/>
                <w:bCs/>
                <w:sz w:val="20"/>
                <w:szCs w:val="20"/>
              </w:rPr>
              <w:t>Clinical criteria:</w:t>
            </w:r>
          </w:p>
        </w:tc>
        <w:tc>
          <w:tcPr>
            <w:tcW w:w="4047"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C160E7">
            <w:pPr>
              <w:shd w:val="clear" w:color="auto" w:fill="C6D9F1" w:themeFill="text2" w:themeFillTint="33"/>
              <w:rPr>
                <w:rFonts w:ascii="Arial Narrow" w:hAnsi="Arial Narrow"/>
                <w:sz w:val="20"/>
                <w:szCs w:val="20"/>
              </w:rPr>
            </w:pPr>
            <w:r w:rsidRPr="00C24DBA">
              <w:rPr>
                <w:rFonts w:ascii="Arial Narrow" w:hAnsi="Arial Narrow"/>
                <w:sz w:val="20"/>
                <w:szCs w:val="20"/>
              </w:rPr>
              <w:t>The condition must be classified as intermediate to poor risk according to the International Metastatic Renal Cell Carcinoma Database Consortium (IMDC), OR</w:t>
            </w:r>
          </w:p>
          <w:p w:rsidR="004B4C7D" w:rsidRPr="00C24DBA" w:rsidRDefault="004B4C7D" w:rsidP="00C160E7">
            <w:pPr>
              <w:rPr>
                <w:rFonts w:ascii="Arial Narrow" w:hAnsi="Arial Narrow"/>
                <w:sz w:val="20"/>
                <w:szCs w:val="20"/>
              </w:rPr>
            </w:pPr>
            <w:r w:rsidRPr="00C24DBA">
              <w:rPr>
                <w:rFonts w:ascii="Arial Narrow" w:hAnsi="Arial Narrow"/>
                <w:sz w:val="20"/>
                <w:szCs w:val="20"/>
              </w:rPr>
              <w:t>Patient must have progressive disease according to the Response Evaluation Criteria in Solid Tumours (RECIST</w:t>
            </w:r>
            <w:r w:rsidR="006B6B2B" w:rsidRPr="00C24DBA">
              <w:rPr>
                <w:rFonts w:ascii="Arial Narrow" w:hAnsi="Arial Narrow"/>
                <w:sz w:val="20"/>
                <w:szCs w:val="20"/>
              </w:rPr>
              <w:t>)</w:t>
            </w:r>
            <w:r w:rsidRPr="00C24DBA">
              <w:rPr>
                <w:rFonts w:ascii="Arial Narrow" w:hAnsi="Arial Narrow"/>
                <w:sz w:val="20"/>
                <w:szCs w:val="20"/>
              </w:rPr>
              <w:t xml:space="preserve"> following prior treatment with a tyrosine kinase inhibitor, AND</w:t>
            </w:r>
          </w:p>
          <w:p w:rsidR="004B4C7D" w:rsidRPr="00C24DBA" w:rsidRDefault="004B4C7D" w:rsidP="00C160E7">
            <w:pPr>
              <w:shd w:val="clear" w:color="auto" w:fill="C6D9F1" w:themeFill="text2" w:themeFillTint="33"/>
              <w:rPr>
                <w:rFonts w:ascii="Arial Narrow" w:hAnsi="Arial Narrow"/>
                <w:sz w:val="20"/>
                <w:szCs w:val="20"/>
              </w:rPr>
            </w:pPr>
            <w:r w:rsidRPr="00C24DBA">
              <w:rPr>
                <w:rFonts w:ascii="Arial Narrow" w:hAnsi="Arial Narrow"/>
                <w:sz w:val="20"/>
                <w:szCs w:val="20"/>
              </w:rPr>
              <w:t>Patient must have a WHO performance status of 2 or less, AND</w:t>
            </w:r>
          </w:p>
          <w:p w:rsidR="004B4C7D" w:rsidRPr="00C24DBA" w:rsidRDefault="004B4C7D" w:rsidP="00C160E7">
            <w:pPr>
              <w:shd w:val="clear" w:color="auto" w:fill="C6D9F1" w:themeFill="text2" w:themeFillTint="33"/>
              <w:rPr>
                <w:rFonts w:ascii="Arial Narrow" w:hAnsi="Arial Narrow"/>
                <w:sz w:val="20"/>
                <w:szCs w:val="20"/>
              </w:rPr>
            </w:pPr>
            <w:r w:rsidRPr="00C24DBA">
              <w:rPr>
                <w:rFonts w:ascii="Arial Narrow" w:hAnsi="Arial Narrow"/>
                <w:sz w:val="20"/>
                <w:szCs w:val="20"/>
              </w:rPr>
              <w:t>The treatment must be the sole PBS-subsidised therapy for this condition.</w:t>
            </w:r>
          </w:p>
        </w:tc>
      </w:tr>
      <w:tr w:rsidR="004B4C7D" w:rsidRPr="00C24DBA" w:rsidTr="004B1A2C">
        <w:trPr>
          <w:trHeight w:val="282"/>
        </w:trPr>
        <w:tc>
          <w:tcPr>
            <w:tcW w:w="953"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Arial Narrow"/>
                <w:b/>
                <w:bCs/>
                <w:color w:val="000000"/>
                <w:sz w:val="20"/>
                <w:szCs w:val="20"/>
              </w:rPr>
              <w:t>Administrative Advice</w:t>
            </w:r>
          </w:p>
        </w:tc>
        <w:tc>
          <w:tcPr>
            <w:tcW w:w="4047" w:type="pct"/>
            <w:tcBorders>
              <w:top w:val="single" w:sz="3" w:space="0" w:color="000000"/>
              <w:left w:val="single" w:sz="3" w:space="0" w:color="000000"/>
              <w:bottom w:val="single" w:sz="3" w:space="0" w:color="000000"/>
              <w:right w:val="single" w:sz="3" w:space="0" w:color="000000"/>
            </w:tcBorders>
            <w:shd w:val="clear" w:color="auto" w:fill="C6D9F1" w:themeFill="text2" w:themeFillTint="33"/>
            <w:vAlign w:val="center"/>
          </w:tcPr>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Calibri"/>
                <w:sz w:val="20"/>
                <w:szCs w:val="20"/>
              </w:rPr>
              <w:t>No increase in the maximum number of repeats may be authorised.</w:t>
            </w:r>
          </w:p>
          <w:p w:rsidR="004B4C7D" w:rsidRPr="00C24DBA" w:rsidRDefault="004B4C7D" w:rsidP="00C160E7">
            <w:pPr>
              <w:autoSpaceDE w:val="0"/>
              <w:autoSpaceDN w:val="0"/>
              <w:adjustRightInd w:val="0"/>
              <w:rPr>
                <w:rFonts w:ascii="Arial Narrow" w:hAnsi="Arial Narrow" w:cs="Calibri"/>
                <w:sz w:val="20"/>
                <w:szCs w:val="20"/>
              </w:rPr>
            </w:pPr>
          </w:p>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Calibri"/>
                <w:sz w:val="20"/>
                <w:szCs w:val="20"/>
              </w:rPr>
              <w:t>Special Pricing Arrangements apply.</w:t>
            </w:r>
          </w:p>
          <w:p w:rsidR="004B4C7D" w:rsidRPr="00C24DBA" w:rsidRDefault="004B4C7D" w:rsidP="00C160E7">
            <w:pPr>
              <w:autoSpaceDE w:val="0"/>
              <w:autoSpaceDN w:val="0"/>
              <w:adjustRightInd w:val="0"/>
              <w:rPr>
                <w:rFonts w:ascii="Arial Narrow" w:hAnsi="Arial Narrow" w:cs="Calibri"/>
                <w:sz w:val="20"/>
                <w:szCs w:val="20"/>
              </w:rPr>
            </w:pPr>
          </w:p>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Calibri"/>
                <w:sz w:val="20"/>
                <w:szCs w:val="20"/>
              </w:rPr>
              <w:t>Response Evaluation Criteria In Solid Tumours (RECIST) is defined as follows:</w:t>
            </w:r>
          </w:p>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Calibri"/>
                <w:sz w:val="20"/>
                <w:szCs w:val="20"/>
              </w:rPr>
              <w:t>Complete response (CR) is disappearance of all target lesions</w:t>
            </w:r>
          </w:p>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Calibri"/>
                <w:sz w:val="20"/>
                <w:szCs w:val="20"/>
              </w:rPr>
              <w:t>Partial response (PR) is a 30% decrease in the sum of the longest diameter of target lesions</w:t>
            </w:r>
          </w:p>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Calibri"/>
                <w:sz w:val="20"/>
                <w:szCs w:val="20"/>
              </w:rPr>
              <w:t>Progressive disease (PD) is a 20% increase in the sum of the longest diameter of target lesions</w:t>
            </w:r>
          </w:p>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Calibri"/>
                <w:sz w:val="20"/>
                <w:szCs w:val="20"/>
              </w:rPr>
              <w:t>Stable disease (SD) is small changes that do not meet above criteria.</w:t>
            </w:r>
          </w:p>
          <w:p w:rsidR="004B4C7D" w:rsidRPr="00C24DBA" w:rsidRDefault="004B4C7D" w:rsidP="00C160E7">
            <w:pPr>
              <w:autoSpaceDE w:val="0"/>
              <w:autoSpaceDN w:val="0"/>
              <w:adjustRightInd w:val="0"/>
              <w:rPr>
                <w:rFonts w:ascii="Arial Narrow" w:hAnsi="Arial Narrow" w:cs="Calibri"/>
                <w:sz w:val="20"/>
                <w:szCs w:val="20"/>
              </w:rPr>
            </w:pPr>
          </w:p>
          <w:p w:rsidR="004B4C7D" w:rsidRPr="00C24DBA" w:rsidRDefault="004B4C7D" w:rsidP="00C160E7">
            <w:pPr>
              <w:autoSpaceDE w:val="0"/>
              <w:autoSpaceDN w:val="0"/>
              <w:adjustRightInd w:val="0"/>
              <w:rPr>
                <w:rFonts w:ascii="Arial Narrow" w:hAnsi="Arial Narrow" w:cs="Calibri"/>
                <w:sz w:val="20"/>
                <w:szCs w:val="20"/>
              </w:rPr>
            </w:pPr>
            <w:r w:rsidRPr="00C24DBA">
              <w:rPr>
                <w:rFonts w:ascii="Arial Narrow" w:hAnsi="Arial Narrow" w:cs="Calibri"/>
                <w:sz w:val="20"/>
                <w:szCs w:val="20"/>
              </w:rPr>
              <w:t>Patients who have developed intolerance to sunitinib or pazopanib of a severity necessitating permanent treatment withdrawal are eligible to receive PBS-subsidised cabozantinib.</w:t>
            </w:r>
          </w:p>
        </w:tc>
      </w:tr>
    </w:tbl>
    <w:p w:rsidR="004B4C7D" w:rsidRPr="00C24DBA" w:rsidRDefault="004B4C7D" w:rsidP="00C160E7">
      <w:pPr>
        <w:pStyle w:val="TableFigureFooter"/>
      </w:pPr>
      <w:r w:rsidRPr="00C24DBA">
        <w:t xml:space="preserve">Source: Table 1.5, p.20 of the resubmission. </w:t>
      </w:r>
    </w:p>
    <w:p w:rsidR="00614CA6" w:rsidRPr="00C24DBA" w:rsidRDefault="00614CA6" w:rsidP="00C160E7">
      <w:pPr>
        <w:pStyle w:val="TableFigureFooter"/>
      </w:pPr>
      <w:r w:rsidRPr="00C24DBA">
        <w:rPr>
          <w:vertAlign w:val="superscript"/>
        </w:rPr>
        <w:t>a</w:t>
      </w:r>
      <w:r w:rsidRPr="00C24DBA">
        <w:t xml:space="preserve"> Per Pre-PBAC response</w:t>
      </w:r>
      <w:r w:rsidR="00556889" w:rsidRPr="00C24DBA">
        <w:t>, p4</w:t>
      </w:r>
    </w:p>
    <w:p w:rsidR="004B4C7D" w:rsidRPr="00C24DBA" w:rsidRDefault="004B4C7D" w:rsidP="00C160E7">
      <w:pPr>
        <w:pStyle w:val="TableFigureFooter"/>
      </w:pPr>
      <w:r w:rsidRPr="00C24DBA">
        <w:t>Abbreviations:</w:t>
      </w:r>
      <w:r w:rsidR="001A1130" w:rsidRPr="00C24DBA">
        <w:t xml:space="preserve"> CR = complete response; IMDC =</w:t>
      </w:r>
      <w:r w:rsidRPr="00C24DBA">
        <w:t xml:space="preserve"> </w:t>
      </w:r>
      <w:r w:rsidR="001A1130" w:rsidRPr="00C24DBA">
        <w:t>International Metastatic Renal Cell Carcinoma Database Consortium</w:t>
      </w:r>
      <w:r w:rsidR="004B1A2C" w:rsidRPr="00C24DBA">
        <w:t>; PBS</w:t>
      </w:r>
      <w:r w:rsidRPr="00C24DBA">
        <w:t xml:space="preserve"> = Pharmaceutical Benefits Scheme</w:t>
      </w:r>
      <w:r w:rsidR="001A1130" w:rsidRPr="00C24DBA">
        <w:t>; PD = progressive disease; PR = partial response; RCC = renal cell carcinoma; RECIST = Response Evaluation Criteria In Solid Tumours; SD = stable disease; WHO = World Health Organization</w:t>
      </w:r>
    </w:p>
    <w:p w:rsidR="004B4C7D" w:rsidRPr="00C24DBA" w:rsidRDefault="004B4C7D" w:rsidP="00C160E7">
      <w:pPr>
        <w:pStyle w:val="TableFigureFooter"/>
        <w:spacing w:after="240"/>
        <w:contextualSpacing w:val="0"/>
        <w:rPr>
          <w:rStyle w:val="CommentReference"/>
          <w:b w:val="0"/>
          <w:szCs w:val="24"/>
        </w:rPr>
      </w:pPr>
      <w:r w:rsidRPr="00C24DBA">
        <w:t xml:space="preserve">Note: </w:t>
      </w:r>
      <w:r w:rsidR="00305D12" w:rsidRPr="00C24DBA">
        <w:t xml:space="preserve">Blue shading denotes </w:t>
      </w:r>
      <w:r w:rsidRPr="00C24DBA">
        <w:t xml:space="preserve">text </w:t>
      </w:r>
      <w:r w:rsidR="00305D12" w:rsidRPr="00C24DBA">
        <w:t xml:space="preserve">remains unchanged from </w:t>
      </w:r>
      <w:r w:rsidRPr="00C24DBA">
        <w:t xml:space="preserve">the previous </w:t>
      </w:r>
      <w:r w:rsidR="00305D12" w:rsidRPr="00C24DBA">
        <w:t>re</w:t>
      </w:r>
      <w:r w:rsidRPr="00C24DBA">
        <w:t xml:space="preserve">submission. </w:t>
      </w:r>
    </w:p>
    <w:tbl>
      <w:tblPr>
        <w:tblW w:w="5000" w:type="pct"/>
        <w:tblLook w:val="0000" w:firstRow="0" w:lastRow="0" w:firstColumn="0" w:lastColumn="0" w:noHBand="0" w:noVBand="0"/>
      </w:tblPr>
      <w:tblGrid>
        <w:gridCol w:w="1770"/>
        <w:gridCol w:w="7249"/>
      </w:tblGrid>
      <w:tr w:rsidR="004B4C7D" w:rsidRPr="00C24DBA" w:rsidTr="004B1A2C">
        <w:trPr>
          <w:trHeight w:val="100"/>
        </w:trPr>
        <w:tc>
          <w:tcPr>
            <w:tcW w:w="981" w:type="pct"/>
            <w:tcBorders>
              <w:top w:val="single" w:sz="4" w:space="0" w:color="auto"/>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b/>
                <w:bCs/>
                <w:color w:val="000000"/>
                <w:sz w:val="20"/>
                <w:szCs w:val="20"/>
              </w:rPr>
              <w:lastRenderedPageBreak/>
              <w:t xml:space="preserve">Category / Program </w:t>
            </w:r>
          </w:p>
        </w:tc>
        <w:tc>
          <w:tcPr>
            <w:tcW w:w="4019" w:type="pct"/>
            <w:tcBorders>
              <w:top w:val="single" w:sz="4" w:space="0" w:color="auto"/>
              <w:left w:val="single" w:sz="3" w:space="0" w:color="000000"/>
              <w:bottom w:val="single" w:sz="3" w:space="0" w:color="000000"/>
              <w:right w:val="single" w:sz="3" w:space="0" w:color="000000"/>
            </w:tcBorders>
            <w:shd w:val="clear" w:color="auto" w:fill="C6D9F1" w:themeFill="text2" w:themeFillTint="33"/>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color w:val="000000"/>
                <w:sz w:val="20"/>
                <w:szCs w:val="20"/>
              </w:rPr>
              <w:t>General Schedule/Section 85</w:t>
            </w:r>
          </w:p>
        </w:tc>
      </w:tr>
      <w:tr w:rsidR="004B4C7D" w:rsidRPr="00C24DBA" w:rsidTr="004B1A2C">
        <w:trPr>
          <w:trHeight w:val="58"/>
        </w:trPr>
        <w:tc>
          <w:tcPr>
            <w:tcW w:w="981"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b/>
                <w:bCs/>
                <w:color w:val="000000"/>
                <w:sz w:val="20"/>
                <w:szCs w:val="20"/>
              </w:rPr>
              <w:t>PBS Indication:</w:t>
            </w:r>
          </w:p>
        </w:tc>
        <w:tc>
          <w:tcPr>
            <w:tcW w:w="4019" w:type="pct"/>
            <w:tcBorders>
              <w:top w:val="single" w:sz="3" w:space="0" w:color="000000"/>
              <w:left w:val="single" w:sz="3" w:space="0" w:color="000000"/>
              <w:bottom w:val="single" w:sz="3" w:space="0" w:color="000000"/>
              <w:right w:val="single" w:sz="3" w:space="0" w:color="000000"/>
            </w:tcBorders>
            <w:shd w:val="clear" w:color="auto" w:fill="C6D9F1" w:themeFill="text2" w:themeFillTint="33"/>
          </w:tcPr>
          <w:p w:rsidR="004B4C7D" w:rsidRPr="00C24DBA" w:rsidRDefault="004B4C7D" w:rsidP="00AD215A">
            <w:pPr>
              <w:keepNext/>
              <w:keepLines/>
              <w:autoSpaceDE w:val="0"/>
              <w:autoSpaceDN w:val="0"/>
              <w:adjustRightInd w:val="0"/>
              <w:rPr>
                <w:rFonts w:ascii="Arial Narrow" w:hAnsi="Arial Narrow" w:cs="Calibri"/>
                <w:strike/>
                <w:sz w:val="20"/>
                <w:szCs w:val="20"/>
              </w:rPr>
            </w:pPr>
            <w:r w:rsidRPr="00C24DBA">
              <w:rPr>
                <w:rFonts w:ascii="Arial Narrow" w:hAnsi="Arial Narrow"/>
                <w:color w:val="000000" w:themeColor="text1"/>
                <w:sz w:val="20"/>
                <w:szCs w:val="20"/>
              </w:rPr>
              <w:t>Stage IV clear cell variant renal cell carcinoma (RCC)</w:t>
            </w:r>
          </w:p>
        </w:tc>
      </w:tr>
      <w:tr w:rsidR="004B4C7D" w:rsidRPr="00C24DBA" w:rsidTr="004B1A2C">
        <w:trPr>
          <w:trHeight w:val="58"/>
        </w:trPr>
        <w:tc>
          <w:tcPr>
            <w:tcW w:w="981"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b/>
                <w:bCs/>
                <w:color w:val="000000"/>
                <w:sz w:val="20"/>
                <w:szCs w:val="20"/>
              </w:rPr>
              <w:t>Treatment phase:</w:t>
            </w:r>
          </w:p>
        </w:tc>
        <w:tc>
          <w:tcPr>
            <w:tcW w:w="4019"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Continuing treatment</w:t>
            </w:r>
          </w:p>
        </w:tc>
      </w:tr>
      <w:tr w:rsidR="004B4C7D" w:rsidRPr="00C24DBA" w:rsidTr="004B1A2C">
        <w:trPr>
          <w:trHeight w:val="236"/>
        </w:trPr>
        <w:tc>
          <w:tcPr>
            <w:tcW w:w="981"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b/>
                <w:sz w:val="20"/>
                <w:szCs w:val="20"/>
              </w:rPr>
            </w:pPr>
            <w:r w:rsidRPr="00C24DBA">
              <w:rPr>
                <w:rFonts w:ascii="Arial Narrow" w:hAnsi="Arial Narrow" w:cs="Calibri"/>
                <w:b/>
                <w:sz w:val="20"/>
                <w:szCs w:val="20"/>
              </w:rPr>
              <w:t>Restriction:</w:t>
            </w:r>
          </w:p>
        </w:tc>
        <w:tc>
          <w:tcPr>
            <w:tcW w:w="4019" w:type="pct"/>
            <w:tcBorders>
              <w:top w:val="single" w:sz="3" w:space="0" w:color="000000"/>
              <w:left w:val="single" w:sz="3" w:space="0" w:color="000000"/>
              <w:bottom w:val="single" w:sz="3" w:space="0" w:color="000000"/>
              <w:right w:val="single" w:sz="3" w:space="0" w:color="000000"/>
            </w:tcBorders>
            <w:shd w:val="clear" w:color="auto" w:fill="C6D9F1" w:themeFill="text2" w:themeFillTint="33"/>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Authority Required (STREAMLINED)</w:t>
            </w:r>
          </w:p>
        </w:tc>
      </w:tr>
      <w:tr w:rsidR="004B4C7D" w:rsidRPr="00C24DBA" w:rsidTr="004B1A2C">
        <w:trPr>
          <w:trHeight w:val="531"/>
        </w:trPr>
        <w:tc>
          <w:tcPr>
            <w:tcW w:w="981" w:type="pct"/>
            <w:tcBorders>
              <w:top w:val="single" w:sz="3" w:space="0" w:color="000000"/>
              <w:left w:val="single" w:sz="3" w:space="0" w:color="000000"/>
              <w:bottom w:val="single" w:sz="3" w:space="0" w:color="000000"/>
              <w:right w:val="single" w:sz="3" w:space="0" w:color="000000"/>
            </w:tcBorders>
            <w:shd w:val="clear" w:color="000000" w:fill="FFFFFF"/>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b/>
                <w:bCs/>
                <w:sz w:val="20"/>
                <w:szCs w:val="20"/>
              </w:rPr>
              <w:t>Clinical criteria:</w:t>
            </w:r>
          </w:p>
        </w:tc>
        <w:tc>
          <w:tcPr>
            <w:tcW w:w="4019" w:type="pct"/>
            <w:tcBorders>
              <w:top w:val="single" w:sz="3" w:space="0" w:color="000000"/>
              <w:left w:val="single" w:sz="3" w:space="0" w:color="000000"/>
              <w:bottom w:val="single" w:sz="3" w:space="0" w:color="000000"/>
              <w:right w:val="single" w:sz="3" w:space="0" w:color="000000"/>
            </w:tcBorders>
            <w:shd w:val="clear" w:color="auto" w:fill="C6D9F1" w:themeFill="text2" w:themeFillTint="33"/>
          </w:tcPr>
          <w:p w:rsidR="004B4C7D" w:rsidRPr="00C24DBA" w:rsidRDefault="004B4C7D" w:rsidP="00AD215A">
            <w:pPr>
              <w:keepNext/>
              <w:keepLines/>
              <w:rPr>
                <w:rFonts w:ascii="Arial Narrow" w:hAnsi="Arial Narrow"/>
                <w:sz w:val="20"/>
                <w:szCs w:val="20"/>
              </w:rPr>
            </w:pPr>
            <w:r w:rsidRPr="00C24DBA">
              <w:rPr>
                <w:rFonts w:ascii="Arial Narrow" w:hAnsi="Arial Narrow"/>
                <w:sz w:val="20"/>
                <w:szCs w:val="20"/>
              </w:rPr>
              <w:t>Patient must have previously received PBS-subsidised treatment with this drug for this condition,</w:t>
            </w:r>
          </w:p>
          <w:p w:rsidR="004B4C7D" w:rsidRPr="00C24DBA" w:rsidRDefault="004B4C7D" w:rsidP="00AD215A">
            <w:pPr>
              <w:keepNext/>
              <w:keepLines/>
              <w:rPr>
                <w:rFonts w:ascii="Arial Narrow" w:hAnsi="Arial Narrow"/>
                <w:sz w:val="20"/>
                <w:szCs w:val="20"/>
              </w:rPr>
            </w:pPr>
            <w:r w:rsidRPr="00C24DBA">
              <w:rPr>
                <w:rFonts w:ascii="Arial Narrow" w:hAnsi="Arial Narrow"/>
                <w:sz w:val="20"/>
                <w:szCs w:val="20"/>
              </w:rPr>
              <w:t>AND</w:t>
            </w:r>
          </w:p>
          <w:p w:rsidR="004B4C7D" w:rsidRPr="00C24DBA" w:rsidRDefault="004B4C7D" w:rsidP="00AD215A">
            <w:pPr>
              <w:keepNext/>
              <w:keepLines/>
              <w:rPr>
                <w:rFonts w:ascii="Arial Narrow" w:hAnsi="Arial Narrow"/>
                <w:sz w:val="20"/>
                <w:szCs w:val="20"/>
              </w:rPr>
            </w:pPr>
          </w:p>
          <w:p w:rsidR="004B4C7D" w:rsidRPr="00C24DBA" w:rsidRDefault="004B4C7D" w:rsidP="00AD215A">
            <w:pPr>
              <w:keepNext/>
              <w:keepLines/>
              <w:rPr>
                <w:rFonts w:ascii="Arial Narrow" w:hAnsi="Arial Narrow"/>
                <w:sz w:val="20"/>
                <w:szCs w:val="20"/>
              </w:rPr>
            </w:pPr>
            <w:r w:rsidRPr="00C24DBA">
              <w:rPr>
                <w:rFonts w:ascii="Arial Narrow" w:hAnsi="Arial Narrow"/>
                <w:sz w:val="20"/>
                <w:szCs w:val="20"/>
              </w:rPr>
              <w:t>Patient must have stable or responding disease according to the Response Evaluation Criteria In Solid Tumours (RECIST) AND</w:t>
            </w:r>
          </w:p>
          <w:p w:rsidR="004B4C7D" w:rsidRPr="00C24DBA" w:rsidRDefault="004B4C7D" w:rsidP="00AD215A">
            <w:pPr>
              <w:keepNext/>
              <w:keepLines/>
              <w:rPr>
                <w:rFonts w:ascii="Arial Narrow" w:hAnsi="Arial Narrow"/>
                <w:sz w:val="20"/>
                <w:szCs w:val="20"/>
              </w:rPr>
            </w:pPr>
            <w:r w:rsidRPr="00C24DBA">
              <w:rPr>
                <w:rFonts w:ascii="Arial Narrow" w:hAnsi="Arial Narrow"/>
                <w:sz w:val="20"/>
                <w:szCs w:val="20"/>
              </w:rPr>
              <w:t>The treatment must be the sole PBS-subsidised therapy for this condition AND</w:t>
            </w:r>
          </w:p>
          <w:p w:rsidR="004B4C7D" w:rsidRPr="00C24DBA" w:rsidRDefault="004B4C7D" w:rsidP="00AD215A">
            <w:pPr>
              <w:keepNext/>
              <w:keepLines/>
              <w:rPr>
                <w:rFonts w:ascii="Arial Narrow" w:hAnsi="Arial Narrow"/>
                <w:sz w:val="20"/>
                <w:szCs w:val="20"/>
              </w:rPr>
            </w:pPr>
            <w:r w:rsidRPr="00C24DBA">
              <w:rPr>
                <w:rFonts w:ascii="Arial Narrow" w:hAnsi="Arial Narrow"/>
                <w:sz w:val="20"/>
                <w:szCs w:val="20"/>
              </w:rPr>
              <w:t>Patient must not receive PBS-subsidised treatment with this drug if progressive disease develops while on this drug.</w:t>
            </w:r>
          </w:p>
        </w:tc>
      </w:tr>
      <w:tr w:rsidR="004B4C7D" w:rsidRPr="00C24DBA" w:rsidTr="004B1A2C">
        <w:trPr>
          <w:trHeight w:val="282"/>
        </w:trPr>
        <w:tc>
          <w:tcPr>
            <w:tcW w:w="981"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Arial Narrow"/>
                <w:b/>
                <w:bCs/>
                <w:color w:val="000000"/>
                <w:sz w:val="20"/>
                <w:szCs w:val="20"/>
              </w:rPr>
              <w:t>Administrative Advice</w:t>
            </w:r>
          </w:p>
        </w:tc>
        <w:tc>
          <w:tcPr>
            <w:tcW w:w="4019" w:type="pct"/>
            <w:tcBorders>
              <w:top w:val="single" w:sz="3" w:space="0" w:color="000000"/>
              <w:left w:val="single" w:sz="3" w:space="0" w:color="000000"/>
              <w:bottom w:val="single" w:sz="3" w:space="0" w:color="000000"/>
              <w:right w:val="single" w:sz="3" w:space="0" w:color="000000"/>
            </w:tcBorders>
            <w:shd w:val="clear" w:color="auto" w:fill="C6D9F1" w:themeFill="text2" w:themeFillTint="33"/>
            <w:vAlign w:val="center"/>
          </w:tcPr>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No increase in the maximum number of repeats may be authorised.</w:t>
            </w:r>
          </w:p>
          <w:p w:rsidR="004B4C7D" w:rsidRPr="00C24DBA" w:rsidRDefault="004B4C7D" w:rsidP="00AD215A">
            <w:pPr>
              <w:keepNext/>
              <w:keepLines/>
              <w:autoSpaceDE w:val="0"/>
              <w:autoSpaceDN w:val="0"/>
              <w:adjustRightInd w:val="0"/>
              <w:rPr>
                <w:rFonts w:ascii="Arial Narrow" w:hAnsi="Arial Narrow" w:cs="Calibri"/>
                <w:sz w:val="20"/>
                <w:szCs w:val="20"/>
              </w:rPr>
            </w:pPr>
          </w:p>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Special Pricing Arrangements apply.</w:t>
            </w:r>
          </w:p>
          <w:p w:rsidR="004B4C7D" w:rsidRPr="00C24DBA" w:rsidRDefault="004B4C7D" w:rsidP="00AD215A">
            <w:pPr>
              <w:keepNext/>
              <w:keepLines/>
              <w:autoSpaceDE w:val="0"/>
              <w:autoSpaceDN w:val="0"/>
              <w:adjustRightInd w:val="0"/>
              <w:rPr>
                <w:rFonts w:ascii="Arial Narrow" w:hAnsi="Arial Narrow" w:cs="Calibri"/>
                <w:sz w:val="20"/>
                <w:szCs w:val="20"/>
              </w:rPr>
            </w:pPr>
          </w:p>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Response Evaluation Criteria In Solid Tumours (RECIST) is defined as follows:</w:t>
            </w:r>
          </w:p>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Complete response (CR) is disappearance of all target lesions</w:t>
            </w:r>
          </w:p>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Partial response (PR) is a 30% decrease in the sum of the longest diameter of target lesions</w:t>
            </w:r>
          </w:p>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Progressive disease (PD) is a 20% increase in the sum of the longest diameter of target lesions</w:t>
            </w:r>
          </w:p>
          <w:p w:rsidR="004B4C7D" w:rsidRPr="00C24DBA" w:rsidRDefault="004B4C7D" w:rsidP="00AD215A">
            <w:pPr>
              <w:keepNext/>
              <w:keepLines/>
              <w:autoSpaceDE w:val="0"/>
              <w:autoSpaceDN w:val="0"/>
              <w:adjustRightInd w:val="0"/>
              <w:rPr>
                <w:rFonts w:ascii="Arial Narrow" w:hAnsi="Arial Narrow" w:cs="Calibri"/>
                <w:sz w:val="20"/>
                <w:szCs w:val="20"/>
              </w:rPr>
            </w:pPr>
            <w:r w:rsidRPr="00C24DBA">
              <w:rPr>
                <w:rFonts w:ascii="Arial Narrow" w:hAnsi="Arial Narrow" w:cs="Calibri"/>
                <w:sz w:val="20"/>
                <w:szCs w:val="20"/>
              </w:rPr>
              <w:t>Stable disease (SD) is small changes that do not meet above criteria.</w:t>
            </w:r>
          </w:p>
        </w:tc>
      </w:tr>
    </w:tbl>
    <w:p w:rsidR="004B4C7D" w:rsidRPr="00C24DBA" w:rsidRDefault="004B4C7D" w:rsidP="00AD215A">
      <w:pPr>
        <w:pStyle w:val="TableFigureFooter"/>
        <w:keepNext/>
        <w:keepLines/>
      </w:pPr>
      <w:r w:rsidRPr="00C24DBA">
        <w:t xml:space="preserve">Source: Table 1.6, p.21 of the resubmission. </w:t>
      </w:r>
    </w:p>
    <w:p w:rsidR="002512FA" w:rsidRPr="00C24DBA" w:rsidRDefault="001A1130" w:rsidP="00AD215A">
      <w:pPr>
        <w:pStyle w:val="TableFigureFooter"/>
        <w:keepNext/>
        <w:keepLines/>
      </w:pPr>
      <w:r w:rsidRPr="00C24DBA">
        <w:t>Abbreviations: CR = complete response; PBS = Pharmaceutical Benefits Scheme; PD = progressive disease; PR = partial response; RCC = renal cell carcinoma; RECIST = Response Evaluation Criteria In Solid Tumours; SD = stable disease</w:t>
      </w:r>
    </w:p>
    <w:p w:rsidR="003C4F3E" w:rsidRPr="00C24DBA" w:rsidRDefault="003C4F3E" w:rsidP="00C160E7">
      <w:pPr>
        <w:pStyle w:val="TableFigureFooter"/>
        <w:keepNext/>
        <w:keepLines/>
        <w:spacing w:after="240"/>
        <w:contextualSpacing w:val="0"/>
      </w:pPr>
      <w:r w:rsidRPr="00C24DBA">
        <w:t xml:space="preserve">Note: Blue shading denotes text remains unchanged from the previous resubmission. </w:t>
      </w:r>
    </w:p>
    <w:p w:rsidR="008438DB" w:rsidRPr="00C24DBA" w:rsidRDefault="004B4C7D" w:rsidP="006B2961">
      <w:pPr>
        <w:pStyle w:val="3-BodyText"/>
      </w:pPr>
      <w:r w:rsidRPr="00C24DBA">
        <w:t xml:space="preserve">The resubmission requested a special pricing arrangement with an effective </w:t>
      </w:r>
      <w:r w:rsidR="008B081A" w:rsidRPr="00C24DBA">
        <w:t>approved ex-manufacturer price (</w:t>
      </w:r>
      <w:r w:rsidR="009B6F94" w:rsidRPr="00C24DBA">
        <w:t>AEMP</w:t>
      </w:r>
      <w:r w:rsidR="008B081A" w:rsidRPr="00C24DBA">
        <w:t>)</w:t>
      </w:r>
      <w:r w:rsidRPr="00C24DBA">
        <w:t xml:space="preserve"> of $</w:t>
      </w:r>
      <w:r w:rsidR="0061241D">
        <w:rPr>
          <w:noProof/>
          <w:color w:val="000000"/>
          <w:highlight w:val="black"/>
        </w:rPr>
        <w:t>''''''''''''''''</w:t>
      </w:r>
      <w:r w:rsidR="002A20B8" w:rsidRPr="00C24DBA">
        <w:t xml:space="preserve"> for all three strengths</w:t>
      </w:r>
      <w:r w:rsidR="00556889" w:rsidRPr="00C24DBA">
        <w:t xml:space="preserve">, which was </w:t>
      </w:r>
      <w:r w:rsidR="00614CA6" w:rsidRPr="00C24DBA">
        <w:t>revised to $</w:t>
      </w:r>
      <w:r w:rsidR="0061241D">
        <w:rPr>
          <w:noProof/>
          <w:color w:val="000000"/>
          <w:highlight w:val="black"/>
        </w:rPr>
        <w:t>''''''''''</w:t>
      </w:r>
      <w:r w:rsidR="002A20B8" w:rsidRPr="00C24DBA">
        <w:t xml:space="preserve"> in the pre</w:t>
      </w:r>
      <w:r w:rsidR="002A20B8" w:rsidRPr="00C24DBA">
        <w:noBreakHyphen/>
      </w:r>
      <w:r w:rsidR="00614CA6" w:rsidRPr="00C24DBA">
        <w:t>PBAC response</w:t>
      </w:r>
      <w:r w:rsidR="002A20B8" w:rsidRPr="00C24DBA">
        <w:t xml:space="preserve">. </w:t>
      </w:r>
      <w:r w:rsidRPr="00C24DBA">
        <w:t xml:space="preserve">The </w:t>
      </w:r>
      <w:r w:rsidR="00614CA6" w:rsidRPr="00C24DBA">
        <w:t xml:space="preserve">pre-PBAC response’s </w:t>
      </w:r>
      <w:r w:rsidR="000A14B3" w:rsidRPr="00C24DBA">
        <w:t xml:space="preserve">requested </w:t>
      </w:r>
      <w:r w:rsidR="002A20B8" w:rsidRPr="00C24DBA">
        <w:t>price was</w:t>
      </w:r>
      <w:r w:rsidRPr="00C24DBA">
        <w:t xml:space="preserve"> </w:t>
      </w:r>
      <w:r w:rsidR="008438DB" w:rsidRPr="00C24DBA">
        <w:t xml:space="preserve">the </w:t>
      </w:r>
      <w:r w:rsidR="008B081A" w:rsidRPr="00C24DBA">
        <w:t xml:space="preserve">result of </w:t>
      </w:r>
      <w:r w:rsidR="008438DB" w:rsidRPr="00C24DBA">
        <w:t>weighting</w:t>
      </w:r>
      <w:r w:rsidR="000A14B3" w:rsidRPr="00C24DBA">
        <w:t>:</w:t>
      </w:r>
      <w:r w:rsidR="008438DB" w:rsidRPr="00C24DBA">
        <w:t xml:space="preserve"> the proposed new listing </w:t>
      </w:r>
      <w:r w:rsidR="001074F0" w:rsidRPr="00C24DBA">
        <w:t xml:space="preserve">price </w:t>
      </w:r>
      <w:r w:rsidR="00492652" w:rsidRPr="00C24DBA">
        <w:t xml:space="preserve">obtained </w:t>
      </w:r>
      <w:r w:rsidR="008B081A" w:rsidRPr="00C24DBA">
        <w:t xml:space="preserve">from </w:t>
      </w:r>
      <w:r w:rsidR="00220E7B" w:rsidRPr="00C24DBA">
        <w:t xml:space="preserve">the </w:t>
      </w:r>
      <w:r w:rsidR="000C133B" w:rsidRPr="00C24DBA">
        <w:t>cost</w:t>
      </w:r>
      <w:r w:rsidR="00220E7B" w:rsidRPr="00C24DBA">
        <w:t xml:space="preserve">-analysis versus </w:t>
      </w:r>
      <w:r w:rsidR="000C133B" w:rsidRPr="00C24DBA">
        <w:t>sunitinib</w:t>
      </w:r>
      <w:r w:rsidR="006B6B2B" w:rsidRPr="00C24DBA">
        <w:t xml:space="preserve"> (</w:t>
      </w:r>
      <w:r w:rsidR="006B6B2B" w:rsidRPr="00C24DBA">
        <w:rPr>
          <w:iCs/>
        </w:rPr>
        <w:t>$</w:t>
      </w:r>
      <w:r w:rsidR="0061241D">
        <w:rPr>
          <w:iCs/>
          <w:noProof/>
          <w:color w:val="000000"/>
          <w:highlight w:val="black"/>
        </w:rPr>
        <w:t>''''''''''</w:t>
      </w:r>
      <w:r w:rsidR="006B6B2B" w:rsidRPr="00C24DBA">
        <w:rPr>
          <w:iCs/>
        </w:rPr>
        <w:t xml:space="preserve">; </w:t>
      </w:r>
      <w:r w:rsidR="0061241D">
        <w:rPr>
          <w:iCs/>
          <w:noProof/>
          <w:color w:val="000000"/>
          <w:highlight w:val="black"/>
        </w:rPr>
        <w:t>''''''</w:t>
      </w:r>
      <w:r w:rsidR="006B6B2B" w:rsidRPr="00C24DBA">
        <w:rPr>
          <w:iCs/>
        </w:rPr>
        <w:t>%)</w:t>
      </w:r>
      <w:r w:rsidR="000A14B3" w:rsidRPr="00C24DBA">
        <w:t>;</w:t>
      </w:r>
      <w:r w:rsidR="00492652" w:rsidRPr="00C24DBA">
        <w:t xml:space="preserve"> </w:t>
      </w:r>
      <w:r w:rsidR="001074F0" w:rsidRPr="00C24DBA">
        <w:t>and the existing listing price</w:t>
      </w:r>
      <w:r w:rsidR="00556889" w:rsidRPr="00C24DBA">
        <w:t xml:space="preserve"> ($</w:t>
      </w:r>
      <w:r w:rsidR="0061241D">
        <w:rPr>
          <w:noProof/>
          <w:color w:val="000000"/>
          <w:highlight w:val="black"/>
        </w:rPr>
        <w:t>'''''''''''</w:t>
      </w:r>
      <w:r w:rsidR="006B6B2B" w:rsidRPr="00C24DBA">
        <w:t xml:space="preserve">; </w:t>
      </w:r>
      <w:r w:rsidR="0061241D">
        <w:rPr>
          <w:noProof/>
          <w:color w:val="000000"/>
          <w:highlight w:val="black"/>
        </w:rPr>
        <w:t>'''''''''</w:t>
      </w:r>
      <w:r w:rsidR="006B6B2B" w:rsidRPr="00C24DBA">
        <w:t>%)</w:t>
      </w:r>
      <w:r w:rsidR="008438DB" w:rsidRPr="00C24DBA">
        <w:t xml:space="preserve">. </w:t>
      </w:r>
      <w:r w:rsidR="008438DB" w:rsidRPr="00C24DBA">
        <w:rPr>
          <w:iCs/>
        </w:rPr>
        <w:t xml:space="preserve">The </w:t>
      </w:r>
      <w:r w:rsidR="00614CA6" w:rsidRPr="00C24DBA">
        <w:rPr>
          <w:iCs/>
        </w:rPr>
        <w:t>cost-analysis</w:t>
      </w:r>
      <w:r w:rsidR="001074F0" w:rsidRPr="00C24DBA">
        <w:rPr>
          <w:iCs/>
        </w:rPr>
        <w:t xml:space="preserve"> </w:t>
      </w:r>
      <w:r w:rsidR="008438DB" w:rsidRPr="00C24DBA">
        <w:rPr>
          <w:iCs/>
        </w:rPr>
        <w:t>price</w:t>
      </w:r>
      <w:r w:rsidR="008B081A" w:rsidRPr="00C24DBA">
        <w:rPr>
          <w:iCs/>
        </w:rPr>
        <w:t xml:space="preserve"> </w:t>
      </w:r>
      <w:r w:rsidR="003875B1" w:rsidRPr="00C24DBA">
        <w:rPr>
          <w:iCs/>
        </w:rPr>
        <w:t xml:space="preserve">is </w:t>
      </w:r>
      <w:r w:rsidR="008438DB" w:rsidRPr="00C24DBA">
        <w:rPr>
          <w:iCs/>
        </w:rPr>
        <w:t>1</w:t>
      </w:r>
      <w:r w:rsidR="00556889" w:rsidRPr="00C24DBA">
        <w:rPr>
          <w:iCs/>
        </w:rPr>
        <w:t>6</w:t>
      </w:r>
      <w:r w:rsidR="008438DB" w:rsidRPr="00C24DBA">
        <w:rPr>
          <w:iCs/>
        </w:rPr>
        <w:t xml:space="preserve">% lower than the </w:t>
      </w:r>
      <w:r w:rsidR="008B081A" w:rsidRPr="00C24DBA">
        <w:rPr>
          <w:iCs/>
        </w:rPr>
        <w:t xml:space="preserve">price proposed in the </w:t>
      </w:r>
      <w:r w:rsidR="008438DB" w:rsidRPr="00C24DBA">
        <w:rPr>
          <w:iCs/>
        </w:rPr>
        <w:t>March 2020 resubmission ($</w:t>
      </w:r>
      <w:r w:rsidR="0061241D">
        <w:rPr>
          <w:iCs/>
          <w:noProof/>
          <w:color w:val="000000"/>
          <w:highlight w:val="black"/>
        </w:rPr>
        <w:t>''''''''''</w:t>
      </w:r>
      <w:r w:rsidR="008438DB" w:rsidRPr="00C24DBA">
        <w:rPr>
          <w:iCs/>
        </w:rPr>
        <w:t xml:space="preserve">) for </w:t>
      </w:r>
      <w:r w:rsidR="003F0420" w:rsidRPr="00C24DBA">
        <w:rPr>
          <w:iCs/>
        </w:rPr>
        <w:t xml:space="preserve">use in </w:t>
      </w:r>
      <w:r w:rsidR="008438DB" w:rsidRPr="00C24DBA">
        <w:rPr>
          <w:iCs/>
        </w:rPr>
        <w:t xml:space="preserve">the </w:t>
      </w:r>
      <w:r w:rsidR="008B081A" w:rsidRPr="00C24DBA">
        <w:rPr>
          <w:iCs/>
        </w:rPr>
        <w:t>TKI-naïve and post-immunotherapy setting (first-line)</w:t>
      </w:r>
      <w:r w:rsidR="008438DB" w:rsidRPr="00C24DBA">
        <w:rPr>
          <w:iCs/>
        </w:rPr>
        <w:t>.</w:t>
      </w:r>
    </w:p>
    <w:p w:rsidR="006947CB" w:rsidRPr="00C24DBA" w:rsidRDefault="006947CB" w:rsidP="0033544A">
      <w:pPr>
        <w:pStyle w:val="3-BodyText"/>
      </w:pPr>
      <w:r w:rsidRPr="00C24DBA">
        <w:t xml:space="preserve">The resubmission’s restriction proposed use in patients who have: </w:t>
      </w:r>
    </w:p>
    <w:p w:rsidR="006947CB" w:rsidRPr="00C24DBA" w:rsidRDefault="006947CB" w:rsidP="0033544A">
      <w:pPr>
        <w:pStyle w:val="NormalBulletList"/>
        <w:numPr>
          <w:ilvl w:val="0"/>
          <w:numId w:val="7"/>
        </w:numPr>
        <w:spacing w:after="0" w:line="240" w:lineRule="auto"/>
        <w:ind w:left="1137"/>
        <w:jc w:val="both"/>
      </w:pPr>
      <w:r w:rsidRPr="00C24DBA">
        <w:t xml:space="preserve">intermediate or poor risk according to </w:t>
      </w:r>
      <w:r w:rsidR="00C24DBA" w:rsidRPr="00C24DBA">
        <w:t>IMDC</w:t>
      </w:r>
      <w:r w:rsidRPr="00C24DBA">
        <w:t xml:space="preserve"> criteria – which is the new requested listing and allows use in patients who are either treatment-naïve or TKI-naïve post-immunotherapy</w:t>
      </w:r>
      <w:r w:rsidR="003F29D5" w:rsidRPr="00C24DBA">
        <w:t xml:space="preserve">. This would </w:t>
      </w:r>
      <w:r w:rsidR="00D52CA9" w:rsidRPr="00C24DBA">
        <w:t xml:space="preserve">allow cabozantinib to be used </w:t>
      </w:r>
      <w:r w:rsidR="003F29D5" w:rsidRPr="00C24DBA">
        <w:t>in treatment-naïve pat</w:t>
      </w:r>
      <w:r w:rsidR="00D52CA9" w:rsidRPr="00C24DBA">
        <w:t xml:space="preserve">ients </w:t>
      </w:r>
      <w:r w:rsidR="003F29D5" w:rsidRPr="00C24DBA">
        <w:t>(</w:t>
      </w:r>
      <w:r w:rsidR="004B1A2C" w:rsidRPr="00C24DBA">
        <w:t>e.g.</w:t>
      </w:r>
      <w:r w:rsidR="003F29D5" w:rsidRPr="00C24DBA">
        <w:t xml:space="preserve"> </w:t>
      </w:r>
      <w:r w:rsidR="00D52CA9" w:rsidRPr="00C24DBA">
        <w:t>who are unsuitable for immunotherapy</w:t>
      </w:r>
      <w:r w:rsidR="003F29D5" w:rsidRPr="00C24DBA">
        <w:t>)</w:t>
      </w:r>
      <w:r w:rsidR="00D52CA9" w:rsidRPr="00C24DBA">
        <w:t>, or as the first TKI in patients previously treated with immunotherapy such as nivolumab and ipilimumab (hereafter referred to as NIVO+IPI)</w:t>
      </w:r>
      <w:r w:rsidRPr="00C24DBA">
        <w:t>. The addition of this criterion is the key change compared with the existing listing; or</w:t>
      </w:r>
    </w:p>
    <w:p w:rsidR="006947CB" w:rsidRPr="00C24DBA" w:rsidRDefault="006947CB" w:rsidP="0033544A">
      <w:pPr>
        <w:pStyle w:val="NormalBulletList"/>
        <w:numPr>
          <w:ilvl w:val="0"/>
          <w:numId w:val="7"/>
        </w:numPr>
        <w:spacing w:after="120" w:line="240" w:lineRule="auto"/>
        <w:ind w:left="1134" w:hanging="357"/>
        <w:jc w:val="both"/>
      </w:pPr>
      <w:r w:rsidRPr="00C24DBA">
        <w:t>progressive disease according to the Response Evaluation Criteria in Solid Tumours (RECIST) following prior treatment with a tyrosine kinase inhibitor (TKI) – which is the existing listing.</w:t>
      </w:r>
    </w:p>
    <w:p w:rsidR="004862D4" w:rsidRDefault="00BC226B" w:rsidP="002A20B8">
      <w:pPr>
        <w:autoSpaceDE w:val="0"/>
        <w:autoSpaceDN w:val="0"/>
        <w:adjustRightInd w:val="0"/>
        <w:spacing w:after="120"/>
        <w:ind w:left="709"/>
        <w:rPr>
          <w:rFonts w:eastAsia="Calibri"/>
          <w:lang w:eastAsia="en-US"/>
        </w:rPr>
      </w:pPr>
      <w:r w:rsidRPr="00C24DBA">
        <w:rPr>
          <w:rFonts w:eastAsia="Calibri"/>
          <w:lang w:eastAsia="en-US"/>
        </w:rPr>
        <w:t>As such, t</w:t>
      </w:r>
      <w:r w:rsidR="003E2614" w:rsidRPr="00C24DBA">
        <w:rPr>
          <w:rFonts w:eastAsia="Calibri"/>
          <w:lang w:eastAsia="en-US"/>
        </w:rPr>
        <w:t xml:space="preserve">he restriction proposed by the sponsor would exclude use in patients </w:t>
      </w:r>
      <w:r w:rsidR="002A20B8" w:rsidRPr="00C24DBA">
        <w:rPr>
          <w:rFonts w:eastAsia="Calibri"/>
          <w:lang w:eastAsia="en-US"/>
        </w:rPr>
        <w:t>with</w:t>
      </w:r>
      <w:r w:rsidR="003E2614" w:rsidRPr="00C24DBA">
        <w:rPr>
          <w:rFonts w:eastAsia="Calibri"/>
          <w:lang w:eastAsia="en-US"/>
        </w:rPr>
        <w:t xml:space="preserve"> favourable risk </w:t>
      </w:r>
      <w:r w:rsidR="002A20B8" w:rsidRPr="00C24DBA">
        <w:rPr>
          <w:rFonts w:eastAsia="Calibri"/>
          <w:lang w:eastAsia="en-US"/>
        </w:rPr>
        <w:t>who</w:t>
      </w:r>
      <w:r w:rsidR="003E2614" w:rsidRPr="00C24DBA">
        <w:rPr>
          <w:rFonts w:eastAsia="Calibri"/>
          <w:lang w:eastAsia="en-US"/>
        </w:rPr>
        <w:t xml:space="preserve"> are TKI-naïve post-immunotherapy.</w:t>
      </w:r>
      <w:r w:rsidRPr="00C24DBA">
        <w:rPr>
          <w:rFonts w:eastAsia="Calibri"/>
          <w:lang w:eastAsia="en-US"/>
        </w:rPr>
        <w:t xml:space="preserve"> The PBAC considered that it </w:t>
      </w:r>
      <w:r w:rsidRPr="00C24DBA">
        <w:rPr>
          <w:rFonts w:eastAsia="Calibri"/>
          <w:lang w:eastAsia="en-US"/>
        </w:rPr>
        <w:lastRenderedPageBreak/>
        <w:t>may be simpler to state this ‘exc</w:t>
      </w:r>
      <w:r w:rsidR="0033544A" w:rsidRPr="00C24DBA">
        <w:rPr>
          <w:rFonts w:eastAsia="Calibri"/>
          <w:lang w:eastAsia="en-US"/>
        </w:rPr>
        <w:t xml:space="preserve">luded group’ in the restriction, rather than </w:t>
      </w:r>
      <w:r w:rsidRPr="00C24DBA">
        <w:rPr>
          <w:rFonts w:eastAsia="Calibri"/>
          <w:lang w:eastAsia="en-US"/>
        </w:rPr>
        <w:t>outlin</w:t>
      </w:r>
      <w:r w:rsidR="0033544A" w:rsidRPr="00C24DBA">
        <w:rPr>
          <w:rFonts w:eastAsia="Calibri"/>
          <w:lang w:eastAsia="en-US"/>
        </w:rPr>
        <w:t>ing</w:t>
      </w:r>
      <w:r w:rsidRPr="00C24DBA">
        <w:rPr>
          <w:rFonts w:eastAsia="Calibri"/>
          <w:lang w:eastAsia="en-US"/>
        </w:rPr>
        <w:t xml:space="preserve"> the two aforementioned groups</w:t>
      </w:r>
      <w:r w:rsidR="0033544A" w:rsidRPr="00C24DBA">
        <w:rPr>
          <w:rFonts w:eastAsia="Calibri"/>
          <w:lang w:eastAsia="en-US"/>
        </w:rPr>
        <w:t xml:space="preserve"> i.e. include a criterion: </w:t>
      </w:r>
    </w:p>
    <w:p w:rsidR="003E2614" w:rsidRPr="00C24DBA" w:rsidRDefault="00FB1BCE" w:rsidP="004862D4">
      <w:pPr>
        <w:pStyle w:val="NormalBulletList"/>
        <w:numPr>
          <w:ilvl w:val="0"/>
          <w:numId w:val="7"/>
        </w:numPr>
        <w:spacing w:after="120" w:line="240" w:lineRule="auto"/>
        <w:ind w:left="1134" w:hanging="357"/>
        <w:jc w:val="both"/>
      </w:pPr>
      <w:r w:rsidRPr="00FB1BCE">
        <w:rPr>
          <w:rFonts w:eastAsia="Calibri"/>
        </w:rPr>
        <w:t>The treatment must not be prescribed for a patient with favourable risk disease (IMDC score of 0) prior to use of any of: (i) pazopanib, (ii) sunitinib</w:t>
      </w:r>
      <w:r w:rsidR="0033544A" w:rsidRPr="00C24DBA">
        <w:rPr>
          <w:rFonts w:eastAsia="Calibri"/>
        </w:rPr>
        <w:t>.</w:t>
      </w:r>
      <w:r w:rsidR="00BC226B" w:rsidRPr="00C24DBA">
        <w:rPr>
          <w:rFonts w:eastAsia="Calibri"/>
        </w:rPr>
        <w:t xml:space="preserve"> </w:t>
      </w:r>
    </w:p>
    <w:p w:rsidR="003E2614" w:rsidRPr="00C24DBA" w:rsidRDefault="003E2614" w:rsidP="003E2614">
      <w:pPr>
        <w:pStyle w:val="3-BodyText"/>
      </w:pPr>
      <w:r w:rsidRPr="00C24DBA">
        <w:t xml:space="preserve">The requested restriction included the criterion: “Patients who have developed intolerance to sunitinib or pazopanib of a severity necessitating permanent treatment withdrawal are eligible to receive PBS-subsidised cabozantinib”. However, </w:t>
      </w:r>
      <w:r w:rsidR="000478ED" w:rsidRPr="00C24DBA">
        <w:t xml:space="preserve">the PBAC reiterated its </w:t>
      </w:r>
      <w:r w:rsidRPr="00C24DBA">
        <w:t>March 2020</w:t>
      </w:r>
      <w:r w:rsidR="000478ED" w:rsidRPr="00C24DBA">
        <w:t xml:space="preserve"> consideration </w:t>
      </w:r>
      <w:r w:rsidRPr="00C24DBA">
        <w:t>that this would not be appropriate to include given the likelihood of patients who have developed an intolerance to a prior TKI also having tolerability</w:t>
      </w:r>
      <w:r w:rsidR="000478ED" w:rsidRPr="00C24DBA">
        <w:t xml:space="preserve"> issues with cabozantinib (para</w:t>
      </w:r>
      <w:r w:rsidRPr="00C24DBA">
        <w:t xml:space="preserve"> 3.7, </w:t>
      </w:r>
      <w:r w:rsidR="000478ED" w:rsidRPr="00C24DBA">
        <w:rPr>
          <w:rFonts w:eastAsia="Calibri"/>
        </w:rPr>
        <w:t>cabozantinib PSD, March 2020 PBAC meeting</w:t>
      </w:r>
      <w:r w:rsidRPr="00C24DBA">
        <w:t xml:space="preserve">). </w:t>
      </w:r>
    </w:p>
    <w:p w:rsidR="003E2614" w:rsidRPr="00C24DBA" w:rsidRDefault="003E2614" w:rsidP="003E2614">
      <w:pPr>
        <w:pStyle w:val="3-BodyText"/>
      </w:pPr>
      <w:r w:rsidRPr="00C24DBA">
        <w:t xml:space="preserve">The sunitinib restriction does not allow use in patients who have progressed on pazopanib (and vice versa). </w:t>
      </w:r>
      <w:r w:rsidR="001E5823" w:rsidRPr="00C24DBA">
        <w:t>Similarly, t</w:t>
      </w:r>
      <w:r w:rsidRPr="00C24DBA">
        <w:t xml:space="preserve">he PBAC </w:t>
      </w:r>
      <w:r w:rsidR="000478ED" w:rsidRPr="00C24DBA">
        <w:t xml:space="preserve">considered that </w:t>
      </w:r>
      <w:r w:rsidRPr="00C24DBA">
        <w:t xml:space="preserve">sunitinib </w:t>
      </w:r>
      <w:r w:rsidR="001E5823" w:rsidRPr="00C24DBA">
        <w:t>and/</w:t>
      </w:r>
      <w:r w:rsidRPr="00C24DBA">
        <w:t xml:space="preserve">or pazopanib </w:t>
      </w:r>
      <w:r w:rsidR="001E5823" w:rsidRPr="00C24DBA">
        <w:t xml:space="preserve">should not </w:t>
      </w:r>
      <w:r w:rsidRPr="00C24DBA">
        <w:t xml:space="preserve">be used following progression on cabozantinib, i.e. the sunitinib </w:t>
      </w:r>
      <w:r w:rsidR="004A36D4">
        <w:t xml:space="preserve">and pazopanib </w:t>
      </w:r>
      <w:r w:rsidRPr="00C24DBA">
        <w:t>restriction</w:t>
      </w:r>
      <w:r w:rsidR="004A36D4">
        <w:t>s</w:t>
      </w:r>
      <w:r w:rsidRPr="00C24DBA">
        <w:t xml:space="preserve"> should be updated</w:t>
      </w:r>
      <w:r w:rsidR="004A36D4">
        <w:t xml:space="preserve"> to state</w:t>
      </w:r>
      <w:r w:rsidRPr="00C24DBA">
        <w:t>:</w:t>
      </w:r>
    </w:p>
    <w:p w:rsidR="001E5823" w:rsidRPr="00C24DBA" w:rsidRDefault="004A36D4" w:rsidP="004A36D4">
      <w:pPr>
        <w:pStyle w:val="NormalBulletList"/>
        <w:numPr>
          <w:ilvl w:val="0"/>
          <w:numId w:val="7"/>
        </w:numPr>
        <w:spacing w:after="120" w:line="240" w:lineRule="auto"/>
        <w:ind w:left="1134" w:hanging="357"/>
        <w:jc w:val="both"/>
      </w:pPr>
      <w:r w:rsidRPr="004A36D4">
        <w:t>PBS-subsidy does not apply to a patient who has progressive disease whilst on, or, who has recurrent disease following treatment with any of: (i) cabozantinib, (ii) pazopanib, (iii) sunitinib</w:t>
      </w:r>
      <w:r w:rsidR="001E5823" w:rsidRPr="00C24DBA">
        <w:t>.</w:t>
      </w:r>
    </w:p>
    <w:p w:rsidR="00614341" w:rsidRPr="00C24DBA" w:rsidRDefault="00614341" w:rsidP="002A20B8">
      <w:pPr>
        <w:pStyle w:val="2-SectionHeading"/>
        <w:keepNext w:val="0"/>
        <w:numPr>
          <w:ilvl w:val="0"/>
          <w:numId w:val="0"/>
        </w:numPr>
        <w:ind w:left="720"/>
        <w:outlineLvl w:val="9"/>
        <w:rPr>
          <w:b w:val="0"/>
          <w:i/>
          <w:sz w:val="24"/>
          <w:szCs w:val="24"/>
        </w:rPr>
      </w:pPr>
      <w:r w:rsidRPr="00C24DBA">
        <w:rPr>
          <w:b w:val="0"/>
          <w:i/>
          <w:sz w:val="24"/>
          <w:szCs w:val="24"/>
        </w:rPr>
        <w:t>For more detail on PBAC’s view, see section 7 PBAC outcome.</w:t>
      </w:r>
    </w:p>
    <w:p w:rsidR="004B4C7D" w:rsidRPr="00C24DBA" w:rsidRDefault="004B4C7D" w:rsidP="005065A0">
      <w:pPr>
        <w:pStyle w:val="2-SectionHeading"/>
        <w:numPr>
          <w:ilvl w:val="0"/>
          <w:numId w:val="1"/>
        </w:numPr>
      </w:pPr>
      <w:bookmarkStart w:id="12" w:name="_Toc48560945"/>
      <w:r w:rsidRPr="00C24DBA">
        <w:t>Population and disease</w:t>
      </w:r>
      <w:bookmarkEnd w:id="12"/>
    </w:p>
    <w:p w:rsidR="004B4C7D" w:rsidRPr="00C24DBA" w:rsidRDefault="004B4C7D" w:rsidP="004B4C7D">
      <w:pPr>
        <w:pStyle w:val="3-BodyText"/>
      </w:pPr>
      <w:r w:rsidRPr="00C24DBA">
        <w:t>RCC is a type of cancer originating from the lining of renal tubules of the kidney. It is the most common form of kidney cancer accounting for 80-90% of all cases. It has been estimated that the incidence of kidney cancer was 3,617 in 2018 representing 2.6% of all new cancer cases, with 1,069 deaths associated with this tumour type (Cancer Australia 2018; para 4.2, cabozantinib PSD, March 2019 PBAC meeting).</w:t>
      </w:r>
    </w:p>
    <w:p w:rsidR="004B4C7D" w:rsidRPr="00C24DBA" w:rsidRDefault="004B4C7D" w:rsidP="004B4C7D">
      <w:pPr>
        <w:pStyle w:val="3-BodyText"/>
      </w:pPr>
      <w:r w:rsidRPr="00C24DBA">
        <w:t xml:space="preserve">Cabozantinib is a TKI. The resubmission proposed that cabozantinib would be used as the first TKI, irrespective of prior immunotherapy exposure, in patients with intermediate to poor risk disease. </w:t>
      </w:r>
    </w:p>
    <w:p w:rsidR="00614341" w:rsidRPr="00C24DBA" w:rsidRDefault="00614341" w:rsidP="00B05E78">
      <w:pPr>
        <w:pStyle w:val="TableFigureFooter"/>
        <w:ind w:firstLine="720"/>
        <w:rPr>
          <w:rFonts w:asciiTheme="minorHAnsi" w:hAnsiTheme="minorHAnsi"/>
          <w:i/>
          <w:sz w:val="24"/>
          <w:szCs w:val="24"/>
        </w:rPr>
      </w:pPr>
      <w:r w:rsidRPr="00C24DBA">
        <w:rPr>
          <w:rFonts w:asciiTheme="minorHAnsi" w:hAnsiTheme="minorHAnsi"/>
          <w:i/>
          <w:sz w:val="24"/>
          <w:szCs w:val="24"/>
        </w:rPr>
        <w:t>For more detail on PBAC’s view, see section 7 PBAC outcome.</w:t>
      </w:r>
    </w:p>
    <w:p w:rsidR="004B4C7D" w:rsidRPr="00C24DBA" w:rsidRDefault="004B4C7D" w:rsidP="004B4C7D">
      <w:pPr>
        <w:pStyle w:val="2-SectionHeading"/>
        <w:numPr>
          <w:ilvl w:val="0"/>
          <w:numId w:val="1"/>
        </w:numPr>
      </w:pPr>
      <w:bookmarkStart w:id="13" w:name="_Toc48560946"/>
      <w:r w:rsidRPr="00C24DBA">
        <w:t>Comparator</w:t>
      </w:r>
      <w:bookmarkEnd w:id="13"/>
    </w:p>
    <w:p w:rsidR="00D52CA9" w:rsidRPr="00C24DBA" w:rsidRDefault="004B4C7D" w:rsidP="005526AB">
      <w:pPr>
        <w:pStyle w:val="3-BodyText"/>
        <w:rPr>
          <w:snapToGrid/>
        </w:rPr>
      </w:pPr>
      <w:bookmarkStart w:id="14" w:name="_Toc22897640"/>
      <w:r w:rsidRPr="00C24DBA">
        <w:t>The submission nominated sunitinib as the main comparator</w:t>
      </w:r>
      <w:r w:rsidR="00D52CA9" w:rsidRPr="00C24DBA">
        <w:t xml:space="preserve">. </w:t>
      </w:r>
    </w:p>
    <w:p w:rsidR="00D01F85" w:rsidRPr="00C24DBA" w:rsidRDefault="003C690D" w:rsidP="00325893">
      <w:pPr>
        <w:pStyle w:val="3-BodyText"/>
        <w:rPr>
          <w:snapToGrid/>
        </w:rPr>
      </w:pPr>
      <w:r w:rsidRPr="00C24DBA">
        <w:t xml:space="preserve">The PBAC considered sunitinib to be the appropriate comparator accepting that treatment with cabozantinib results in an improvement in PFS compared with sunitinib, and by extension pazopanib. </w:t>
      </w:r>
    </w:p>
    <w:p w:rsidR="00614341" w:rsidRPr="00C24DBA" w:rsidRDefault="00614341" w:rsidP="00614341">
      <w:pPr>
        <w:pStyle w:val="3-BodyText"/>
        <w:numPr>
          <w:ilvl w:val="0"/>
          <w:numId w:val="0"/>
        </w:numPr>
        <w:ind w:left="720"/>
        <w:rPr>
          <w:snapToGrid/>
        </w:rPr>
      </w:pPr>
      <w:r w:rsidRPr="00C24DBA">
        <w:rPr>
          <w:i/>
        </w:rPr>
        <w:t>For more detail on PBAC’s view, see section 7 PBAC outcome.</w:t>
      </w:r>
    </w:p>
    <w:p w:rsidR="004B4C7D" w:rsidRPr="00C24DBA" w:rsidRDefault="004B4C7D" w:rsidP="004B4C7D">
      <w:pPr>
        <w:pStyle w:val="2-SectionHeading"/>
        <w:numPr>
          <w:ilvl w:val="0"/>
          <w:numId w:val="1"/>
        </w:numPr>
      </w:pPr>
      <w:bookmarkStart w:id="15" w:name="_Toc48560947"/>
      <w:r w:rsidRPr="00C24DBA">
        <w:lastRenderedPageBreak/>
        <w:t>Consideration of the evidence</w:t>
      </w:r>
      <w:bookmarkEnd w:id="15"/>
    </w:p>
    <w:p w:rsidR="00614341" w:rsidRPr="00C24DBA" w:rsidRDefault="00614341" w:rsidP="00174A41">
      <w:pPr>
        <w:pStyle w:val="4-SubsectionHeading"/>
        <w:rPr>
          <w:snapToGrid w:val="0"/>
          <w:lang w:eastAsia="en-US"/>
        </w:rPr>
      </w:pPr>
      <w:bookmarkStart w:id="16" w:name="_Toc48560948"/>
      <w:r w:rsidRPr="00C24DBA">
        <w:rPr>
          <w:snapToGrid w:val="0"/>
          <w:lang w:eastAsia="en-US"/>
        </w:rPr>
        <w:t>Sponsor hearing</w:t>
      </w:r>
    </w:p>
    <w:p w:rsidR="00614341" w:rsidRPr="00C24DBA" w:rsidRDefault="00614341" w:rsidP="00614341">
      <w:pPr>
        <w:widowControl w:val="0"/>
        <w:numPr>
          <w:ilvl w:val="1"/>
          <w:numId w:val="1"/>
        </w:numPr>
        <w:spacing w:after="120"/>
        <w:jc w:val="left"/>
        <w:rPr>
          <w:rFonts w:asciiTheme="minorHAnsi" w:hAnsiTheme="minorHAnsi"/>
          <w:bCs/>
          <w:snapToGrid w:val="0"/>
          <w:lang w:eastAsia="en-US"/>
        </w:rPr>
      </w:pPr>
      <w:r w:rsidRPr="00C24DBA">
        <w:rPr>
          <w:rFonts w:asciiTheme="minorHAnsi" w:hAnsiTheme="minorHAnsi"/>
          <w:bCs/>
          <w:snapToGrid w:val="0"/>
          <w:lang w:eastAsia="en-US"/>
        </w:rPr>
        <w:t>There was no hearing for this item.</w:t>
      </w:r>
    </w:p>
    <w:p w:rsidR="00614341" w:rsidRPr="00C24DBA" w:rsidRDefault="00614341" w:rsidP="00174A41">
      <w:pPr>
        <w:pStyle w:val="4-SubsectionHeading"/>
        <w:rPr>
          <w:snapToGrid w:val="0"/>
          <w:lang w:eastAsia="en-US"/>
        </w:rPr>
      </w:pPr>
      <w:r w:rsidRPr="00C24DBA">
        <w:rPr>
          <w:snapToGrid w:val="0"/>
          <w:lang w:eastAsia="en-US"/>
        </w:rPr>
        <w:t>Consumer comments</w:t>
      </w:r>
    </w:p>
    <w:p w:rsidR="00614341" w:rsidRPr="00C24DBA" w:rsidRDefault="00614341" w:rsidP="00614341">
      <w:pPr>
        <w:widowControl w:val="0"/>
        <w:numPr>
          <w:ilvl w:val="1"/>
          <w:numId w:val="1"/>
        </w:numPr>
        <w:spacing w:after="120"/>
        <w:rPr>
          <w:rFonts w:asciiTheme="minorHAnsi" w:hAnsiTheme="minorHAnsi"/>
          <w:bCs/>
          <w:snapToGrid w:val="0"/>
          <w:lang w:eastAsia="en-US"/>
        </w:rPr>
      </w:pPr>
      <w:r w:rsidRPr="00C24DBA">
        <w:rPr>
          <w:rFonts w:asciiTheme="minorHAnsi" w:hAnsiTheme="minorHAnsi"/>
          <w:bCs/>
          <w:snapToGrid w:val="0"/>
          <w:lang w:eastAsia="en-US"/>
        </w:rPr>
        <w:t xml:space="preserve">The PBAC noted and welcomed the input from an individual and an organisation </w:t>
      </w:r>
      <w:r w:rsidR="003F29D5" w:rsidRPr="00C24DBA">
        <w:rPr>
          <w:rFonts w:asciiTheme="minorHAnsi" w:hAnsiTheme="minorHAnsi"/>
          <w:bCs/>
          <w:snapToGrid w:val="0"/>
          <w:lang w:eastAsia="en-US"/>
        </w:rPr>
        <w:t xml:space="preserve">(the Medical Oncology Group of Australia (MOGA)) </w:t>
      </w:r>
      <w:r w:rsidRPr="00C24DBA">
        <w:rPr>
          <w:rFonts w:asciiTheme="minorHAnsi" w:hAnsiTheme="minorHAnsi"/>
          <w:bCs/>
          <w:snapToGrid w:val="0"/>
          <w:lang w:eastAsia="en-US"/>
        </w:rPr>
        <w:t>via the Consumer Comments facility on the PBS website. MOGA expressed its strong support for the cabozantinib resubmission, categorising it as one of the therapies of “high priority for PBS listing” on the basis of the CABOSUN trial. The PBAC noted that the MOGA presented a European Society for Medical Oncology Magnitude of Clinical Benefit Scale (ESMO-MCBS) for cabozantinib, which was limited to 3 (out of a maximum of 5, where 5 and 4 represent the grades with substantial improvement)</w:t>
      </w:r>
      <w:r w:rsidR="006B047C" w:rsidRPr="00C24DBA">
        <w:t xml:space="preserve"> </w:t>
      </w:r>
      <w:r w:rsidR="006B047C" w:rsidRPr="00C24DBA">
        <w:rPr>
          <w:vertAlign w:val="superscript"/>
        </w:rPr>
        <w:footnoteReference w:id="1"/>
      </w:r>
      <w:r w:rsidRPr="00C24DBA">
        <w:rPr>
          <w:rFonts w:asciiTheme="minorHAnsi" w:hAnsiTheme="minorHAnsi"/>
          <w:bCs/>
          <w:snapToGrid w:val="0"/>
          <w:lang w:eastAsia="en-US"/>
        </w:rPr>
        <w:t xml:space="preserve">, based on a comparison with sunitinib. </w:t>
      </w:r>
    </w:p>
    <w:p w:rsidR="004B4C7D" w:rsidRPr="00C24DBA" w:rsidRDefault="004B4C7D" w:rsidP="004B4C7D">
      <w:pPr>
        <w:pStyle w:val="4-SubsectionHeading"/>
      </w:pPr>
      <w:r w:rsidRPr="00C24DBA">
        <w:t>Clinical studies</w:t>
      </w:r>
      <w:bookmarkEnd w:id="14"/>
      <w:bookmarkEnd w:id="16"/>
    </w:p>
    <w:p w:rsidR="0086663D" w:rsidRPr="00C24DBA" w:rsidRDefault="0086663D" w:rsidP="0086663D">
      <w:pPr>
        <w:pStyle w:val="3-BodyText"/>
      </w:pPr>
      <w:r w:rsidRPr="00C24DBA">
        <w:t xml:space="preserve">The primary clinical evidence presented for the treatment-naïve setting was the CABOSUN trial (N=157), a phase II, randomised, controlled, multi-centre, open-label, trial comparing cabozantinib with sunitinib in patients with previously untreated advanced or metastatic clear cell RCC. This was unchanged from the March 2020 resubmission. </w:t>
      </w:r>
    </w:p>
    <w:p w:rsidR="00F7307A" w:rsidRPr="00C24DBA" w:rsidRDefault="0086663D" w:rsidP="0086663D">
      <w:pPr>
        <w:pStyle w:val="3-BodyText"/>
      </w:pPr>
      <w:r w:rsidRPr="00C24DBA">
        <w:t xml:space="preserve">The resubmission also presented clinical evidence for cabozantinib used as the first TKI post-immunotherapy. There were six studies identified as evidence for cabozantinib </w:t>
      </w:r>
      <w:r w:rsidR="005526AB" w:rsidRPr="00C24DBA">
        <w:t xml:space="preserve">as </w:t>
      </w:r>
      <w:r w:rsidRPr="00C24DBA">
        <w:t xml:space="preserve">the first TKI post-immunotherapy including four </w:t>
      </w:r>
      <w:r w:rsidRPr="00C24DBA">
        <w:rPr>
          <w:bCs/>
        </w:rPr>
        <w:t>non-randomised studies (MD Anderson CC; N = 70, Taussig/Barts; N = 33, DFCI 2; N = 6, and City of Hope; N = 11), one exploratory analysis of an RCT (CheckMate214 subsequent; N = 33), and one study of unknown design (DFCI 1; N = 69)</w:t>
      </w:r>
      <w:r w:rsidRPr="00C24DBA">
        <w:t>. This was unchanged from the March 2020 resubmission.</w:t>
      </w:r>
      <w:r w:rsidR="00F7307A" w:rsidRPr="00C24DBA">
        <w:rPr>
          <w:snapToGrid/>
        </w:rPr>
        <w:t xml:space="preserve"> </w:t>
      </w:r>
    </w:p>
    <w:p w:rsidR="0086663D" w:rsidRPr="00C24DBA" w:rsidRDefault="00F7307A" w:rsidP="0086663D">
      <w:pPr>
        <w:pStyle w:val="3-BodyText"/>
      </w:pPr>
      <w:r w:rsidRPr="00C24DBA">
        <w:rPr>
          <w:snapToGrid/>
        </w:rPr>
        <w:t xml:space="preserve">Details of the included studies are provided in Table </w:t>
      </w:r>
      <w:r w:rsidR="00022511" w:rsidRPr="00C24DBA">
        <w:rPr>
          <w:snapToGrid/>
        </w:rPr>
        <w:t>3</w:t>
      </w:r>
      <w:r w:rsidRPr="00C24DBA">
        <w:rPr>
          <w:snapToGrid/>
        </w:rPr>
        <w:t xml:space="preserve">. </w:t>
      </w:r>
      <w:r w:rsidR="002A20B8" w:rsidRPr="00C24DBA">
        <w:rPr>
          <w:snapToGrid/>
        </w:rPr>
        <w:t>N</w:t>
      </w:r>
      <w:r w:rsidRPr="00C24DBA">
        <w:rPr>
          <w:snapToGrid/>
        </w:rPr>
        <w:t xml:space="preserve">o other potentially relevant studies </w:t>
      </w:r>
      <w:r w:rsidR="002A20B8" w:rsidRPr="00C24DBA">
        <w:rPr>
          <w:snapToGrid/>
        </w:rPr>
        <w:t xml:space="preserve">were </w:t>
      </w:r>
      <w:r w:rsidRPr="00C24DBA">
        <w:rPr>
          <w:snapToGrid/>
        </w:rPr>
        <w:t>identified during the evaluation.</w:t>
      </w:r>
    </w:p>
    <w:p w:rsidR="006819D9" w:rsidRPr="00C24DBA" w:rsidRDefault="006819D9" w:rsidP="004877C6">
      <w:pPr>
        <w:pStyle w:val="TableFigureHeading"/>
        <w:keepLines/>
        <w:rPr>
          <w:rStyle w:val="CommentReference"/>
          <w:b/>
          <w:szCs w:val="24"/>
        </w:rPr>
      </w:pPr>
      <w:r w:rsidRPr="00C24DBA">
        <w:rPr>
          <w:rStyle w:val="CommentReference"/>
          <w:b/>
          <w:szCs w:val="24"/>
        </w:rPr>
        <w:lastRenderedPageBreak/>
        <w:t xml:space="preserve">Table </w:t>
      </w:r>
      <w:r w:rsidR="00022511" w:rsidRPr="00C24DBA">
        <w:rPr>
          <w:rStyle w:val="CommentReference"/>
          <w:b/>
          <w:szCs w:val="24"/>
        </w:rPr>
        <w:t>3</w:t>
      </w:r>
      <w:r w:rsidRPr="00C24DBA">
        <w:rPr>
          <w:rStyle w:val="CommentReference"/>
          <w:b/>
          <w:szCs w:val="24"/>
        </w:rPr>
        <w:t>: Studies and associated reports presented in the resubmission</w:t>
      </w:r>
    </w:p>
    <w:tbl>
      <w:tblPr>
        <w:tblStyle w:val="TableGrid1"/>
        <w:tblW w:w="5000" w:type="pct"/>
        <w:shd w:val="clear" w:color="auto" w:fill="C6D9F1" w:themeFill="text2" w:themeFillTint="33"/>
        <w:tblLook w:val="04A0" w:firstRow="1" w:lastRow="0" w:firstColumn="1" w:lastColumn="0" w:noHBand="0" w:noVBand="1"/>
        <w:tblCaption w:val="Table 3: Studies and associated reports presented in the resubmission"/>
      </w:tblPr>
      <w:tblGrid>
        <w:gridCol w:w="1338"/>
        <w:gridCol w:w="5461"/>
        <w:gridCol w:w="2218"/>
      </w:tblGrid>
      <w:tr w:rsidR="006819D9" w:rsidRPr="005065A0" w:rsidTr="005065A0">
        <w:trPr>
          <w:tblHeader/>
        </w:trPr>
        <w:tc>
          <w:tcPr>
            <w:tcW w:w="742" w:type="pct"/>
            <w:shd w:val="clear" w:color="auto" w:fill="C6D9F1" w:themeFill="text2" w:themeFillTint="33"/>
          </w:tcPr>
          <w:p w:rsidR="006819D9" w:rsidRPr="005065A0" w:rsidRDefault="006819D9" w:rsidP="004877C6">
            <w:pPr>
              <w:pStyle w:val="In-tableHeading"/>
              <w:keepLines/>
              <w:rPr>
                <w:szCs w:val="20"/>
                <w:lang w:val="en-AU"/>
              </w:rPr>
            </w:pPr>
            <w:r w:rsidRPr="005065A0">
              <w:rPr>
                <w:szCs w:val="20"/>
                <w:lang w:val="en-AU"/>
              </w:rPr>
              <w:t>Trial ID</w:t>
            </w:r>
          </w:p>
          <w:p w:rsidR="006819D9" w:rsidRPr="005065A0" w:rsidRDefault="006819D9" w:rsidP="004877C6">
            <w:pPr>
              <w:pStyle w:val="In-tableHeading"/>
              <w:keepLines/>
              <w:rPr>
                <w:szCs w:val="20"/>
                <w:lang w:val="en-AU"/>
              </w:rPr>
            </w:pPr>
            <w:r w:rsidRPr="005065A0">
              <w:rPr>
                <w:szCs w:val="20"/>
                <w:lang w:val="en-AU"/>
              </w:rPr>
              <w:t>Other ID</w:t>
            </w:r>
          </w:p>
        </w:tc>
        <w:tc>
          <w:tcPr>
            <w:tcW w:w="3028" w:type="pct"/>
            <w:shd w:val="clear" w:color="auto" w:fill="C6D9F1" w:themeFill="text2" w:themeFillTint="33"/>
          </w:tcPr>
          <w:p w:rsidR="006819D9" w:rsidRPr="005065A0" w:rsidRDefault="006819D9" w:rsidP="004877C6">
            <w:pPr>
              <w:pStyle w:val="In-tableHeading"/>
              <w:keepLines/>
              <w:rPr>
                <w:szCs w:val="20"/>
                <w:lang w:val="en-AU"/>
              </w:rPr>
            </w:pPr>
            <w:r w:rsidRPr="005065A0">
              <w:rPr>
                <w:szCs w:val="20"/>
                <w:lang w:val="en-AU"/>
              </w:rPr>
              <w:t>Protocol title/ Publication title</w:t>
            </w:r>
          </w:p>
        </w:tc>
        <w:tc>
          <w:tcPr>
            <w:tcW w:w="1230" w:type="pct"/>
            <w:shd w:val="clear" w:color="auto" w:fill="C6D9F1" w:themeFill="text2" w:themeFillTint="33"/>
          </w:tcPr>
          <w:p w:rsidR="006819D9" w:rsidRPr="005065A0" w:rsidRDefault="006819D9" w:rsidP="004877C6">
            <w:pPr>
              <w:pStyle w:val="In-tableHeading"/>
              <w:keepLines/>
              <w:rPr>
                <w:szCs w:val="20"/>
                <w:lang w:val="en-AU"/>
              </w:rPr>
            </w:pPr>
            <w:r w:rsidRPr="005065A0">
              <w:rPr>
                <w:szCs w:val="20"/>
                <w:lang w:val="en-AU"/>
              </w:rPr>
              <w:t>Publication citation</w:t>
            </w:r>
          </w:p>
        </w:tc>
      </w:tr>
      <w:tr w:rsidR="006819D9" w:rsidRPr="005065A0" w:rsidTr="005065A0">
        <w:tc>
          <w:tcPr>
            <w:tcW w:w="3770" w:type="pct"/>
            <w:gridSpan w:val="2"/>
            <w:shd w:val="clear" w:color="auto" w:fill="C6D9F1" w:themeFill="text2" w:themeFillTint="33"/>
          </w:tcPr>
          <w:p w:rsidR="006819D9" w:rsidRPr="005065A0" w:rsidRDefault="006819D9" w:rsidP="004877C6">
            <w:pPr>
              <w:pStyle w:val="TableLeft"/>
              <w:keepNext/>
              <w:keepLines/>
              <w:rPr>
                <w:rFonts w:ascii="Arial Narrow" w:hAnsi="Arial Narrow"/>
                <w:b/>
                <w:iCs/>
                <w:szCs w:val="20"/>
                <w:lang w:val="en-AU"/>
              </w:rPr>
            </w:pPr>
            <w:r w:rsidRPr="005065A0">
              <w:rPr>
                <w:rFonts w:ascii="Arial Narrow" w:hAnsi="Arial Narrow"/>
                <w:b/>
                <w:iCs/>
                <w:szCs w:val="20"/>
                <w:lang w:val="en-AU"/>
              </w:rPr>
              <w:t>Treatment-naïve therapy</w:t>
            </w:r>
          </w:p>
        </w:tc>
        <w:tc>
          <w:tcPr>
            <w:tcW w:w="1230" w:type="pct"/>
            <w:shd w:val="clear" w:color="auto" w:fill="C6D9F1" w:themeFill="text2" w:themeFillTint="33"/>
          </w:tcPr>
          <w:p w:rsidR="006819D9" w:rsidRPr="005065A0" w:rsidRDefault="006819D9" w:rsidP="004877C6">
            <w:pPr>
              <w:pStyle w:val="TableLeft"/>
              <w:keepNext/>
              <w:keepLines/>
              <w:rPr>
                <w:rFonts w:ascii="Arial Narrow" w:hAnsi="Arial Narrow"/>
                <w:b/>
                <w:iCs/>
                <w:szCs w:val="20"/>
                <w:lang w:val="en-AU"/>
              </w:rPr>
            </w:pPr>
          </w:p>
        </w:tc>
      </w:tr>
      <w:tr w:rsidR="006819D9" w:rsidRPr="005065A0" w:rsidTr="005065A0">
        <w:trPr>
          <w:trHeight w:val="3901"/>
        </w:trPr>
        <w:tc>
          <w:tcPr>
            <w:tcW w:w="742" w:type="pct"/>
            <w:shd w:val="clear" w:color="auto" w:fill="C6D9F1" w:themeFill="text2" w:themeFillTint="33"/>
          </w:tcPr>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CABOSUN</w:t>
            </w:r>
          </w:p>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(NCT01835158 (A031203)</w:t>
            </w:r>
          </w:p>
        </w:tc>
        <w:tc>
          <w:tcPr>
            <w:tcW w:w="3028" w:type="pct"/>
            <w:shd w:val="clear" w:color="auto" w:fill="C6D9F1" w:themeFill="text2" w:themeFillTint="33"/>
          </w:tcPr>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Clinical study report (CSR).</w:t>
            </w:r>
          </w:p>
          <w:p w:rsidR="006819D9" w:rsidRPr="005065A0" w:rsidRDefault="006819D9" w:rsidP="004877C6">
            <w:pPr>
              <w:pStyle w:val="TableLeft"/>
              <w:keepNext/>
              <w:keepLines/>
              <w:rPr>
                <w:rFonts w:ascii="Arial Narrow" w:hAnsi="Arial Narrow"/>
                <w:szCs w:val="20"/>
                <w:lang w:val="en-AU"/>
              </w:rPr>
            </w:pPr>
          </w:p>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Choueiri, T. K., Halabi, S., Sanford, B. et al. 2016. "PR CABOzantinib versus SUNitinib (CABOSUN) as initial targeted therapy for patients with metastatic renal cell carcinoma (mRCC) of poor and intermediate risk groups: results from ALLIANCE A031203/CABOSUN trial."</w:t>
            </w:r>
          </w:p>
          <w:p w:rsidR="006819D9" w:rsidRPr="005065A0" w:rsidRDefault="006819D9" w:rsidP="004877C6">
            <w:pPr>
              <w:pStyle w:val="TableLeft"/>
              <w:keepNext/>
              <w:keepLines/>
              <w:rPr>
                <w:rFonts w:ascii="Arial Narrow" w:hAnsi="Arial Narrow"/>
                <w:szCs w:val="20"/>
                <w:lang w:val="en-AU"/>
              </w:rPr>
            </w:pPr>
          </w:p>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 xml:space="preserve">Choueiri TK, Halabi S, Sanford BL et al. 2017. "Cabozantinib Versus Sunitinib As Initial Targeted Therapy for Patients With Metastatic Renal Cell Carcinoma of Poor or Intermediate Risk: The Alliance A031203/CABOSUN Trial </w:t>
            </w:r>
          </w:p>
          <w:p w:rsidR="006819D9" w:rsidRPr="005065A0" w:rsidRDefault="006819D9" w:rsidP="004877C6">
            <w:pPr>
              <w:pStyle w:val="TableLeft"/>
              <w:keepNext/>
              <w:keepLines/>
              <w:rPr>
                <w:rFonts w:ascii="Arial Narrow" w:hAnsi="Arial Narrow"/>
                <w:szCs w:val="20"/>
                <w:lang w:val="en-AU"/>
              </w:rPr>
            </w:pPr>
          </w:p>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 xml:space="preserve">Choueiri, T. K., Hessel, C., Halabi, S. et al. 2018. "Cabozantinib versus sunitinib as initial therapy for metastatic renal cell carcinoma of intermediate or poor risk (Alliance A031203/CABOSUN randomised trial): progression-free survival by independent review and overall survival update."  </w:t>
            </w:r>
          </w:p>
        </w:tc>
        <w:tc>
          <w:tcPr>
            <w:tcW w:w="1230" w:type="pct"/>
            <w:shd w:val="clear" w:color="auto" w:fill="C6D9F1" w:themeFill="text2" w:themeFillTint="33"/>
          </w:tcPr>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 xml:space="preserve">31 July 2017 </w:t>
            </w:r>
          </w:p>
          <w:p w:rsidR="006819D9" w:rsidRPr="005065A0" w:rsidRDefault="006819D9" w:rsidP="004877C6">
            <w:pPr>
              <w:pStyle w:val="TableLeft"/>
              <w:keepNext/>
              <w:keepLines/>
              <w:rPr>
                <w:rFonts w:ascii="Arial Narrow" w:hAnsi="Arial Narrow"/>
                <w:szCs w:val="20"/>
                <w:lang w:val="en-AU"/>
              </w:rPr>
            </w:pPr>
          </w:p>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Annals of oncology. Conference: 41st European Society for Medical Oncology Congress, ESMO 2016. Denmark. 27</w:t>
            </w:r>
          </w:p>
          <w:p w:rsidR="006819D9" w:rsidRPr="005065A0" w:rsidRDefault="006819D9" w:rsidP="004877C6">
            <w:pPr>
              <w:pStyle w:val="TableLeft"/>
              <w:keepNext/>
              <w:keepLines/>
              <w:rPr>
                <w:rFonts w:ascii="Arial Narrow" w:hAnsi="Arial Narrow"/>
                <w:szCs w:val="20"/>
                <w:lang w:val="en-AU"/>
              </w:rPr>
            </w:pPr>
          </w:p>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J Clin Oncol 35 (6): 591-597</w:t>
            </w:r>
          </w:p>
          <w:p w:rsidR="006819D9" w:rsidRPr="005065A0" w:rsidRDefault="006819D9" w:rsidP="004877C6">
            <w:pPr>
              <w:pStyle w:val="TableLeft"/>
              <w:keepNext/>
              <w:keepLines/>
              <w:rPr>
                <w:rFonts w:ascii="Arial Narrow" w:hAnsi="Arial Narrow"/>
                <w:szCs w:val="20"/>
                <w:lang w:val="en-AU"/>
              </w:rPr>
            </w:pPr>
          </w:p>
          <w:p w:rsidR="006819D9" w:rsidRPr="005065A0" w:rsidRDefault="006819D9" w:rsidP="004877C6">
            <w:pPr>
              <w:pStyle w:val="TableLeft"/>
              <w:keepNext/>
              <w:keepLines/>
              <w:rPr>
                <w:rFonts w:ascii="Arial Narrow" w:hAnsi="Arial Narrow"/>
                <w:szCs w:val="20"/>
                <w:lang w:val="en-AU"/>
              </w:rPr>
            </w:pPr>
          </w:p>
          <w:p w:rsidR="006819D9" w:rsidRPr="005065A0" w:rsidRDefault="006819D9" w:rsidP="004877C6">
            <w:pPr>
              <w:pStyle w:val="TableLeft"/>
              <w:keepNext/>
              <w:keepLines/>
              <w:rPr>
                <w:rFonts w:ascii="Arial Narrow" w:hAnsi="Arial Narrow"/>
                <w:szCs w:val="20"/>
                <w:lang w:val="en-AU"/>
              </w:rPr>
            </w:pPr>
            <w:r w:rsidRPr="005065A0">
              <w:rPr>
                <w:rFonts w:ascii="Arial Narrow" w:hAnsi="Arial Narrow"/>
                <w:szCs w:val="20"/>
                <w:lang w:val="en-AU"/>
              </w:rPr>
              <w:t>European J Cancer 94:115</w:t>
            </w:r>
            <w:r w:rsidRPr="005065A0">
              <w:rPr>
                <w:rFonts w:ascii="Cambria Math" w:hAnsi="Cambria Math" w:cs="Cambria Math"/>
                <w:szCs w:val="20"/>
                <w:lang w:val="en-AU"/>
              </w:rPr>
              <w:t>‐</w:t>
            </w:r>
            <w:r w:rsidRPr="005065A0">
              <w:rPr>
                <w:rFonts w:ascii="Arial Narrow" w:hAnsi="Arial Narrow"/>
                <w:szCs w:val="20"/>
                <w:lang w:val="en-AU"/>
              </w:rPr>
              <w:t>125.</w:t>
            </w:r>
          </w:p>
        </w:tc>
      </w:tr>
      <w:tr w:rsidR="006819D9" w:rsidRPr="005065A0" w:rsidTr="005065A0">
        <w:tc>
          <w:tcPr>
            <w:tcW w:w="3770" w:type="pct"/>
            <w:gridSpan w:val="2"/>
            <w:shd w:val="clear" w:color="auto" w:fill="C6D9F1" w:themeFill="text2" w:themeFillTint="33"/>
          </w:tcPr>
          <w:p w:rsidR="006819D9" w:rsidRPr="005065A0" w:rsidRDefault="006819D9" w:rsidP="004866BB">
            <w:pPr>
              <w:pStyle w:val="TableLeft"/>
              <w:rPr>
                <w:rFonts w:ascii="Arial Narrow" w:hAnsi="Arial Narrow"/>
                <w:b/>
                <w:szCs w:val="20"/>
                <w:lang w:val="en-AU"/>
              </w:rPr>
            </w:pPr>
            <w:r w:rsidRPr="005065A0">
              <w:rPr>
                <w:rFonts w:ascii="Arial Narrow" w:hAnsi="Arial Narrow"/>
                <w:b/>
                <w:szCs w:val="20"/>
                <w:lang w:val="en-AU"/>
              </w:rPr>
              <w:t>TKI-naïve post-immunotherapy</w:t>
            </w:r>
          </w:p>
        </w:tc>
        <w:tc>
          <w:tcPr>
            <w:tcW w:w="1230" w:type="pct"/>
            <w:shd w:val="clear" w:color="auto" w:fill="C6D9F1" w:themeFill="text2" w:themeFillTint="33"/>
          </w:tcPr>
          <w:p w:rsidR="006819D9" w:rsidRPr="005065A0" w:rsidRDefault="006819D9" w:rsidP="004866BB">
            <w:pPr>
              <w:pStyle w:val="TableLeft"/>
              <w:rPr>
                <w:rFonts w:ascii="Arial Narrow" w:hAnsi="Arial Narrow"/>
                <w:b/>
                <w:szCs w:val="20"/>
                <w:lang w:val="en-AU"/>
              </w:rPr>
            </w:pPr>
          </w:p>
        </w:tc>
      </w:tr>
      <w:tr w:rsidR="006819D9" w:rsidRPr="005065A0" w:rsidTr="005065A0">
        <w:tc>
          <w:tcPr>
            <w:tcW w:w="742"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MD Anderson CC</w:t>
            </w:r>
          </w:p>
        </w:tc>
        <w:tc>
          <w:tcPr>
            <w:tcW w:w="3028"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(Shah et al. 2019) "Outcomes of patients with metastatic clear-cell renal cell carcinoma treated with second-line VEGFR-TKI after first-line immune checkpoint inhibitors.</w:t>
            </w:r>
          </w:p>
          <w:p w:rsidR="006819D9" w:rsidRPr="005065A0" w:rsidRDefault="006819D9" w:rsidP="004866BB">
            <w:pPr>
              <w:pStyle w:val="TableLeft"/>
              <w:rPr>
                <w:rFonts w:ascii="Arial Narrow" w:hAnsi="Arial Narrow"/>
                <w:szCs w:val="20"/>
                <w:lang w:val="en-AU"/>
              </w:rPr>
            </w:pPr>
          </w:p>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 xml:space="preserve">(Shah AY et al. 2018) "Outcomes of patients (pts) with metastatic clear-cell renal cell carcinoma (mCCRCC) treated with second-line (2L) vascular endothelial growth factor receptor tyrosine kinase inhibitors (VEGFR-TKI) after first-line (1L) immune checkpoint inhibitors (ICI)."  </w:t>
            </w:r>
          </w:p>
        </w:tc>
        <w:tc>
          <w:tcPr>
            <w:tcW w:w="1230"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Eur J Cancer 114:67-75.</w:t>
            </w:r>
          </w:p>
          <w:p w:rsidR="006819D9" w:rsidRPr="005065A0" w:rsidRDefault="006819D9" w:rsidP="004866BB">
            <w:pPr>
              <w:pStyle w:val="TableLeft"/>
              <w:rPr>
                <w:rFonts w:ascii="Arial Narrow" w:hAnsi="Arial Narrow"/>
                <w:szCs w:val="20"/>
                <w:lang w:val="en-AU"/>
              </w:rPr>
            </w:pPr>
          </w:p>
          <w:p w:rsidR="006B2961" w:rsidRPr="005065A0" w:rsidRDefault="006B2961" w:rsidP="004866BB">
            <w:pPr>
              <w:pStyle w:val="TableLeft"/>
              <w:rPr>
                <w:rFonts w:ascii="Arial Narrow" w:hAnsi="Arial Narrow"/>
                <w:szCs w:val="20"/>
                <w:lang w:val="en-AU"/>
              </w:rPr>
            </w:pPr>
          </w:p>
          <w:p w:rsidR="006B2961" w:rsidRPr="005065A0" w:rsidRDefault="006B2961" w:rsidP="004866BB">
            <w:pPr>
              <w:pStyle w:val="TableLeft"/>
              <w:rPr>
                <w:rFonts w:ascii="Arial Narrow" w:hAnsi="Arial Narrow"/>
                <w:szCs w:val="20"/>
                <w:lang w:val="en-AU"/>
              </w:rPr>
            </w:pPr>
          </w:p>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J Clin Oncol 36 (no.6_suppl (February 20 2018)):682-682. Poster at ASCO 2018.</w:t>
            </w:r>
          </w:p>
        </w:tc>
      </w:tr>
      <w:tr w:rsidR="006819D9" w:rsidRPr="005065A0" w:rsidTr="005065A0">
        <w:tc>
          <w:tcPr>
            <w:tcW w:w="742"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DFCI 1</w:t>
            </w:r>
          </w:p>
        </w:tc>
        <w:tc>
          <w:tcPr>
            <w:tcW w:w="3028"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 xml:space="preserve">(McGregor BA et al. 2018) "Activity of cabozantinib (cabo) after PD-1/PD-L1 immune checkpoint blockade (ICB) in metastatic clear cell renal cell carcinoma (mccRCC)." </w:t>
            </w:r>
          </w:p>
          <w:p w:rsidR="006819D9" w:rsidRPr="005065A0" w:rsidRDefault="006819D9" w:rsidP="004866BB">
            <w:pPr>
              <w:pStyle w:val="TableLeft"/>
              <w:rPr>
                <w:rFonts w:ascii="Arial Narrow" w:hAnsi="Arial Narrow"/>
                <w:szCs w:val="20"/>
                <w:lang w:val="en-AU"/>
              </w:rPr>
            </w:pPr>
          </w:p>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 xml:space="preserve">(Lalani et al. 2019) "Activity of cabozantinib after PD-1/PD-L1 immune checkpoint blockade in metastatic clear-cell renal cell carcinoma."  </w:t>
            </w:r>
          </w:p>
        </w:tc>
        <w:tc>
          <w:tcPr>
            <w:tcW w:w="1230"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European Society for Medical Oncology website, accessed 2/4/19. Poster at ESMO 2018.</w:t>
            </w:r>
          </w:p>
          <w:p w:rsidR="006819D9" w:rsidRPr="005065A0" w:rsidRDefault="006819D9" w:rsidP="004866BB">
            <w:pPr>
              <w:pStyle w:val="TableLeft"/>
              <w:rPr>
                <w:rFonts w:ascii="Arial Narrow" w:hAnsi="Arial Narrow"/>
                <w:szCs w:val="20"/>
                <w:lang w:val="en-AU"/>
              </w:rPr>
            </w:pPr>
          </w:p>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Canadian Urological Association Journal 13 (2 Supplement 2):S13. Poster at CUOS 2019.</w:t>
            </w:r>
          </w:p>
        </w:tc>
      </w:tr>
      <w:tr w:rsidR="006819D9" w:rsidRPr="005065A0" w:rsidTr="005065A0">
        <w:tc>
          <w:tcPr>
            <w:tcW w:w="742"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Taussig / Barts</w:t>
            </w:r>
          </w:p>
        </w:tc>
        <w:tc>
          <w:tcPr>
            <w:tcW w:w="3028"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 xml:space="preserve">(Barata, A, et al. 2018) "The efficacy of VEGFR TKI therapy after progression on immune combination therapy in metastatic renal cell carcinoma."  </w:t>
            </w:r>
          </w:p>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(Barata, De Liano, et al. 2018) "Clinical outcome of patients (PTS) with metastatic renal cell carcinoma (mRCC) progressing on front-line immune-oncology based combination (IO-COMBO) regimens."</w:t>
            </w:r>
          </w:p>
          <w:p w:rsidR="006819D9" w:rsidRPr="005065A0" w:rsidRDefault="006819D9" w:rsidP="004866BB">
            <w:pPr>
              <w:pStyle w:val="TableLeft"/>
              <w:rPr>
                <w:rFonts w:ascii="Arial Narrow" w:hAnsi="Arial Narrow"/>
                <w:szCs w:val="20"/>
                <w:lang w:val="en-AU"/>
              </w:rPr>
            </w:pPr>
          </w:p>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 xml:space="preserve">(Barata, Gomez de Liano, et al. 2018) "Clinical outcome of patients with metastatic Renal Cell Carcinoma (mRCC) progressing on front-line combination regimens that include checkpoint inhibitors."  </w:t>
            </w:r>
          </w:p>
        </w:tc>
        <w:tc>
          <w:tcPr>
            <w:tcW w:w="1230"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Br J Cancer 119:160-163.</w:t>
            </w:r>
          </w:p>
          <w:p w:rsidR="006819D9" w:rsidRPr="005065A0" w:rsidRDefault="006819D9" w:rsidP="004866BB">
            <w:pPr>
              <w:pStyle w:val="TableLeft"/>
              <w:rPr>
                <w:rFonts w:ascii="Arial Narrow" w:hAnsi="Arial Narrow"/>
                <w:szCs w:val="20"/>
                <w:lang w:val="en-AU"/>
              </w:rPr>
            </w:pPr>
          </w:p>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Journal of Clinical Oncology 36 (6 Supplement 1). Poster at ASCO 2018.</w:t>
            </w:r>
          </w:p>
          <w:p w:rsidR="006819D9" w:rsidRPr="005065A0" w:rsidRDefault="006819D9" w:rsidP="004866BB">
            <w:pPr>
              <w:pStyle w:val="TableLeft"/>
              <w:rPr>
                <w:rFonts w:ascii="Arial Narrow" w:hAnsi="Arial Narrow"/>
                <w:szCs w:val="20"/>
                <w:lang w:val="en-AU"/>
              </w:rPr>
            </w:pPr>
          </w:p>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Kidney Cancer 2 (Supplement 1):S10-S11</w:t>
            </w:r>
            <w:r w:rsidR="00C24DBA" w:rsidRPr="005065A0">
              <w:rPr>
                <w:rFonts w:ascii="Arial Narrow" w:hAnsi="Arial Narrow"/>
                <w:szCs w:val="20"/>
                <w:lang w:val="en-AU"/>
              </w:rPr>
              <w:t xml:space="preserve">. </w:t>
            </w:r>
            <w:r w:rsidRPr="005065A0">
              <w:rPr>
                <w:rFonts w:ascii="Arial Narrow" w:hAnsi="Arial Narrow"/>
                <w:szCs w:val="20"/>
                <w:lang w:val="en-AU"/>
              </w:rPr>
              <w:t>Poster – 16th International Kidney Cancer Symposium 2017</w:t>
            </w:r>
          </w:p>
        </w:tc>
      </w:tr>
      <w:tr w:rsidR="006819D9" w:rsidRPr="005065A0" w:rsidTr="005065A0">
        <w:tc>
          <w:tcPr>
            <w:tcW w:w="742"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DFCI 2</w:t>
            </w:r>
          </w:p>
        </w:tc>
        <w:tc>
          <w:tcPr>
            <w:tcW w:w="3028"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 xml:space="preserve">(Martini et al. 2018) "Durable clinical benefit in metastatic renal cell carcinoma patients who discontinue PD-1/PD-L1 therapy for immune-related adverse events."  </w:t>
            </w:r>
          </w:p>
        </w:tc>
        <w:tc>
          <w:tcPr>
            <w:tcW w:w="1230"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Cancer Immunology Research 6 (4):402-408.</w:t>
            </w:r>
          </w:p>
        </w:tc>
      </w:tr>
      <w:tr w:rsidR="006819D9" w:rsidRPr="005065A0" w:rsidTr="005065A0">
        <w:tc>
          <w:tcPr>
            <w:tcW w:w="742"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lastRenderedPageBreak/>
              <w:t>CheckMate214 subsequent</w:t>
            </w:r>
          </w:p>
        </w:tc>
        <w:tc>
          <w:tcPr>
            <w:tcW w:w="3028"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 xml:space="preserve">(Auvray et al. 2019) "Second-line targeted therapies after nivolumab-ipilimumab failure in metastatic renal cell carcinoma."  </w:t>
            </w:r>
          </w:p>
        </w:tc>
        <w:tc>
          <w:tcPr>
            <w:tcW w:w="1230"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European Journal of Cancer 108:33-40.</w:t>
            </w:r>
          </w:p>
        </w:tc>
      </w:tr>
      <w:tr w:rsidR="006819D9" w:rsidRPr="005065A0" w:rsidTr="005065A0">
        <w:tc>
          <w:tcPr>
            <w:tcW w:w="742"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City of Hope</w:t>
            </w:r>
          </w:p>
        </w:tc>
        <w:tc>
          <w:tcPr>
            <w:tcW w:w="3028"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 xml:space="preserve">(Dizman et al. 2019) "Targeted Therapies Following First-Line Immune Checkpoint Inhibitor Combination in Metastatic Renal Cell Carcinoma: A Single Center Experience." </w:t>
            </w:r>
          </w:p>
        </w:tc>
        <w:tc>
          <w:tcPr>
            <w:tcW w:w="1230" w:type="pct"/>
            <w:shd w:val="clear" w:color="auto" w:fill="C6D9F1" w:themeFill="text2" w:themeFillTint="33"/>
          </w:tcPr>
          <w:p w:rsidR="006819D9" w:rsidRPr="005065A0" w:rsidRDefault="006819D9" w:rsidP="004866BB">
            <w:pPr>
              <w:pStyle w:val="TableLeft"/>
              <w:rPr>
                <w:rFonts w:ascii="Arial Narrow" w:hAnsi="Arial Narrow"/>
                <w:szCs w:val="20"/>
                <w:lang w:val="en-AU"/>
              </w:rPr>
            </w:pPr>
            <w:r w:rsidRPr="005065A0">
              <w:rPr>
                <w:rFonts w:ascii="Arial Narrow" w:hAnsi="Arial Narrow"/>
                <w:szCs w:val="20"/>
                <w:lang w:val="en-AU"/>
              </w:rPr>
              <w:t>Kidney Cancer Pre-press (Pre-press):1-6.</w:t>
            </w:r>
          </w:p>
        </w:tc>
      </w:tr>
    </w:tbl>
    <w:p w:rsidR="006819D9" w:rsidRPr="00C24DBA" w:rsidRDefault="006819D9" w:rsidP="006819D9">
      <w:pPr>
        <w:pStyle w:val="TableFigureFooter"/>
      </w:pPr>
      <w:r w:rsidRPr="00C24DBA">
        <w:t xml:space="preserve">Source: Table 2.3, p.54-55 of the </w:t>
      </w:r>
      <w:r w:rsidR="001E651D" w:rsidRPr="00C24DBA">
        <w:t xml:space="preserve">March 2020 </w:t>
      </w:r>
      <w:r w:rsidRPr="00C24DBA">
        <w:t>resubmission.</w:t>
      </w:r>
    </w:p>
    <w:p w:rsidR="00E42CD5" w:rsidRPr="00C24DBA" w:rsidRDefault="00E42CD5" w:rsidP="006819D9">
      <w:pPr>
        <w:pStyle w:val="TableFigureFooter"/>
      </w:pPr>
      <w:r w:rsidRPr="00C24DBA">
        <w:t>Note: Blue shading denotes text remains unchanged from the previous resubmission.</w:t>
      </w:r>
    </w:p>
    <w:p w:rsidR="006819D9" w:rsidRPr="00C24DBA" w:rsidRDefault="006819D9" w:rsidP="006819D9">
      <w:pPr>
        <w:pStyle w:val="3-BodyText"/>
        <w:rPr>
          <w:color w:val="0066FF"/>
        </w:rPr>
      </w:pPr>
      <w:r w:rsidRPr="00C24DBA">
        <w:t xml:space="preserve">The key features of CABOSUN (which was conducted in treatment-naïve patients) and the six studies for cabozantinib in TKI-naïve patients post-immunotherapy are summarised in Table </w:t>
      </w:r>
      <w:r w:rsidR="00022511" w:rsidRPr="00C24DBA">
        <w:t>4</w:t>
      </w:r>
      <w:r w:rsidRPr="00C24DBA">
        <w:t xml:space="preserve">. </w:t>
      </w:r>
    </w:p>
    <w:p w:rsidR="006819D9" w:rsidRPr="00C24DBA" w:rsidRDefault="006819D9" w:rsidP="00AD215A">
      <w:pPr>
        <w:pStyle w:val="TableFigureHeading"/>
        <w:keepLines/>
        <w:rPr>
          <w:rStyle w:val="CommentReference"/>
          <w:b/>
          <w:szCs w:val="24"/>
        </w:rPr>
      </w:pPr>
      <w:r w:rsidRPr="00C24DBA">
        <w:rPr>
          <w:rStyle w:val="CommentReference"/>
          <w:b/>
          <w:szCs w:val="24"/>
        </w:rPr>
        <w:t xml:space="preserve">Table </w:t>
      </w:r>
      <w:r w:rsidR="00022511" w:rsidRPr="00C24DBA">
        <w:rPr>
          <w:rStyle w:val="CommentReference"/>
          <w:b/>
          <w:szCs w:val="24"/>
        </w:rPr>
        <w:t>4</w:t>
      </w:r>
      <w:r w:rsidRPr="00C24DBA">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28" w:type="dxa"/>
          <w:right w:w="28" w:type="dxa"/>
        </w:tblCellMar>
        <w:tblLook w:val="04A0" w:firstRow="1" w:lastRow="0" w:firstColumn="1" w:lastColumn="0" w:noHBand="0" w:noVBand="1"/>
      </w:tblPr>
      <w:tblGrid>
        <w:gridCol w:w="1172"/>
        <w:gridCol w:w="399"/>
        <w:gridCol w:w="858"/>
        <w:gridCol w:w="1289"/>
        <w:gridCol w:w="3293"/>
        <w:gridCol w:w="1003"/>
        <w:gridCol w:w="1003"/>
      </w:tblGrid>
      <w:tr w:rsidR="006819D9" w:rsidRPr="005065A0" w:rsidTr="005065A0">
        <w:trPr>
          <w:tblHeader/>
        </w:trPr>
        <w:tc>
          <w:tcPr>
            <w:tcW w:w="650" w:type="pct"/>
            <w:shd w:val="clear" w:color="auto" w:fill="C6D9F1" w:themeFill="text2" w:themeFillTint="33"/>
            <w:vAlign w:val="center"/>
          </w:tcPr>
          <w:p w:rsidR="006819D9" w:rsidRPr="005065A0" w:rsidRDefault="006819D9" w:rsidP="00AD215A">
            <w:pPr>
              <w:pStyle w:val="Tabletext"/>
              <w:keepNext/>
              <w:keepLines/>
              <w:widowControl w:val="0"/>
              <w:rPr>
                <w:b/>
                <w:szCs w:val="20"/>
              </w:rPr>
            </w:pPr>
            <w:r w:rsidRPr="005065A0">
              <w:rPr>
                <w:b/>
                <w:szCs w:val="20"/>
              </w:rPr>
              <w:t>Trial</w:t>
            </w:r>
          </w:p>
        </w:tc>
        <w:tc>
          <w:tcPr>
            <w:tcW w:w="221" w:type="pct"/>
            <w:shd w:val="clear" w:color="auto" w:fill="C6D9F1" w:themeFill="text2" w:themeFillTint="33"/>
            <w:vAlign w:val="center"/>
          </w:tcPr>
          <w:p w:rsidR="006819D9" w:rsidRPr="005065A0" w:rsidRDefault="006819D9" w:rsidP="00AD215A">
            <w:pPr>
              <w:pStyle w:val="Tabletext"/>
              <w:keepNext/>
              <w:keepLines/>
              <w:widowControl w:val="0"/>
              <w:jc w:val="center"/>
              <w:rPr>
                <w:b/>
                <w:szCs w:val="20"/>
              </w:rPr>
            </w:pPr>
            <w:r w:rsidRPr="005065A0">
              <w:rPr>
                <w:b/>
                <w:szCs w:val="20"/>
              </w:rPr>
              <w:t>N</w:t>
            </w:r>
          </w:p>
        </w:tc>
        <w:tc>
          <w:tcPr>
            <w:tcW w:w="476" w:type="pct"/>
            <w:shd w:val="clear" w:color="auto" w:fill="C6D9F1" w:themeFill="text2" w:themeFillTint="33"/>
            <w:vAlign w:val="center"/>
          </w:tcPr>
          <w:p w:rsidR="006819D9" w:rsidRPr="005065A0" w:rsidRDefault="006819D9" w:rsidP="00AD215A">
            <w:pPr>
              <w:pStyle w:val="Tabletext"/>
              <w:keepNext/>
              <w:keepLines/>
              <w:widowControl w:val="0"/>
              <w:jc w:val="center"/>
              <w:rPr>
                <w:b/>
                <w:szCs w:val="20"/>
              </w:rPr>
            </w:pPr>
            <w:r w:rsidRPr="005065A0">
              <w:rPr>
                <w:b/>
                <w:szCs w:val="20"/>
              </w:rPr>
              <w:t>Design/ duration</w:t>
            </w:r>
          </w:p>
        </w:tc>
        <w:tc>
          <w:tcPr>
            <w:tcW w:w="715" w:type="pct"/>
            <w:shd w:val="clear" w:color="auto" w:fill="C6D9F1" w:themeFill="text2" w:themeFillTint="33"/>
            <w:vAlign w:val="center"/>
          </w:tcPr>
          <w:p w:rsidR="006819D9" w:rsidRPr="005065A0" w:rsidRDefault="006819D9" w:rsidP="00AD215A">
            <w:pPr>
              <w:pStyle w:val="Tabletext"/>
              <w:keepNext/>
              <w:keepLines/>
              <w:widowControl w:val="0"/>
              <w:jc w:val="center"/>
              <w:rPr>
                <w:b/>
                <w:szCs w:val="20"/>
              </w:rPr>
            </w:pPr>
            <w:r w:rsidRPr="005065A0">
              <w:rPr>
                <w:b/>
                <w:szCs w:val="20"/>
              </w:rPr>
              <w:t>Risk of bias</w:t>
            </w:r>
            <w:r w:rsidRPr="005065A0">
              <w:rPr>
                <w:szCs w:val="20"/>
                <w:vertAlign w:val="superscript"/>
              </w:rPr>
              <w:t>b</w:t>
            </w:r>
          </w:p>
        </w:tc>
        <w:tc>
          <w:tcPr>
            <w:tcW w:w="1826" w:type="pct"/>
            <w:shd w:val="clear" w:color="auto" w:fill="C6D9F1" w:themeFill="text2" w:themeFillTint="33"/>
            <w:vAlign w:val="center"/>
          </w:tcPr>
          <w:p w:rsidR="006819D9" w:rsidRPr="005065A0" w:rsidRDefault="006819D9" w:rsidP="00AD215A">
            <w:pPr>
              <w:pStyle w:val="Tabletext"/>
              <w:keepNext/>
              <w:keepLines/>
              <w:widowControl w:val="0"/>
              <w:jc w:val="center"/>
              <w:rPr>
                <w:b/>
                <w:szCs w:val="20"/>
              </w:rPr>
            </w:pPr>
            <w:r w:rsidRPr="005065A0">
              <w:rPr>
                <w:b/>
                <w:szCs w:val="20"/>
              </w:rPr>
              <w:t>Patient population</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b/>
                <w:szCs w:val="20"/>
              </w:rPr>
            </w:pPr>
            <w:r w:rsidRPr="005065A0">
              <w:rPr>
                <w:b/>
                <w:szCs w:val="20"/>
              </w:rPr>
              <w:t>Outcomes</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b/>
                <w:szCs w:val="20"/>
              </w:rPr>
            </w:pPr>
            <w:r w:rsidRPr="005065A0">
              <w:rPr>
                <w:b/>
                <w:szCs w:val="20"/>
              </w:rPr>
              <w:t>Use in modelled evaluation</w:t>
            </w:r>
          </w:p>
        </w:tc>
      </w:tr>
      <w:tr w:rsidR="006819D9" w:rsidRPr="005065A0" w:rsidTr="005065A0">
        <w:tc>
          <w:tcPr>
            <w:tcW w:w="5000" w:type="pct"/>
            <w:gridSpan w:val="7"/>
            <w:shd w:val="clear" w:color="auto" w:fill="C6D9F1" w:themeFill="text2" w:themeFillTint="33"/>
            <w:vAlign w:val="center"/>
          </w:tcPr>
          <w:p w:rsidR="006819D9" w:rsidRPr="005065A0" w:rsidRDefault="006819D9" w:rsidP="00AD215A">
            <w:pPr>
              <w:pStyle w:val="Tabletext"/>
              <w:keepNext/>
              <w:keepLines/>
              <w:widowControl w:val="0"/>
              <w:rPr>
                <w:b/>
                <w:szCs w:val="20"/>
              </w:rPr>
            </w:pPr>
            <w:r w:rsidRPr="005065A0">
              <w:rPr>
                <w:b/>
                <w:szCs w:val="20"/>
              </w:rPr>
              <w:t xml:space="preserve">Cabozantinib vs sunitinib (treatment-naïve therapy) </w:t>
            </w:r>
          </w:p>
        </w:tc>
      </w:tr>
      <w:tr w:rsidR="006819D9" w:rsidRPr="005065A0" w:rsidTr="005065A0">
        <w:tc>
          <w:tcPr>
            <w:tcW w:w="650" w:type="pct"/>
            <w:shd w:val="clear" w:color="auto" w:fill="C6D9F1" w:themeFill="text2" w:themeFillTint="33"/>
            <w:vAlign w:val="center"/>
          </w:tcPr>
          <w:p w:rsidR="006819D9" w:rsidRPr="005065A0" w:rsidRDefault="006819D9" w:rsidP="00AD215A">
            <w:pPr>
              <w:pStyle w:val="Tabletext"/>
              <w:keepNext/>
              <w:keepLines/>
              <w:widowControl w:val="0"/>
              <w:rPr>
                <w:szCs w:val="20"/>
              </w:rPr>
            </w:pPr>
            <w:r w:rsidRPr="005065A0">
              <w:rPr>
                <w:szCs w:val="20"/>
              </w:rPr>
              <w:t>CABOSUN</w:t>
            </w:r>
          </w:p>
        </w:tc>
        <w:tc>
          <w:tcPr>
            <w:tcW w:w="221"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157</w:t>
            </w:r>
          </w:p>
        </w:tc>
        <w:tc>
          <w:tcPr>
            <w:tcW w:w="47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R, OL</w:t>
            </w:r>
          </w:p>
          <w:p w:rsidR="006819D9" w:rsidRPr="005065A0" w:rsidRDefault="006819D9" w:rsidP="00AD215A">
            <w:pPr>
              <w:pStyle w:val="Tabletext"/>
              <w:keepNext/>
              <w:keepLines/>
              <w:widowControl w:val="0"/>
              <w:jc w:val="center"/>
              <w:rPr>
                <w:szCs w:val="20"/>
              </w:rPr>
            </w:pPr>
            <w:r w:rsidRPr="005065A0">
              <w:rPr>
                <w:szCs w:val="20"/>
              </w:rPr>
              <w:t>25 months</w:t>
            </w:r>
          </w:p>
        </w:tc>
        <w:tc>
          <w:tcPr>
            <w:tcW w:w="715"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High risk for performance bias; moderate for remaining criteria.</w:t>
            </w:r>
          </w:p>
        </w:tc>
        <w:tc>
          <w:tcPr>
            <w:tcW w:w="1826" w:type="pct"/>
            <w:shd w:val="clear" w:color="auto" w:fill="C6D9F1" w:themeFill="text2" w:themeFillTint="33"/>
            <w:vAlign w:val="center"/>
          </w:tcPr>
          <w:p w:rsidR="006819D9" w:rsidRPr="005065A0" w:rsidRDefault="006819D9" w:rsidP="0066560B">
            <w:pPr>
              <w:pStyle w:val="Tabletext"/>
              <w:keepNext/>
              <w:keepLines/>
              <w:widowControl w:val="0"/>
              <w:jc w:val="center"/>
              <w:rPr>
                <w:szCs w:val="20"/>
              </w:rPr>
            </w:pPr>
            <w:r w:rsidRPr="005065A0">
              <w:rPr>
                <w:rFonts w:cs="Calibri"/>
                <w:szCs w:val="20"/>
              </w:rPr>
              <w:t xml:space="preserve">Previously untreated patients with </w:t>
            </w:r>
            <w:r w:rsidRPr="005065A0">
              <w:rPr>
                <w:bCs/>
                <w:szCs w:val="20"/>
              </w:rPr>
              <w:t>advanced or metastatic clear cell RCC, having intermediate to poor risk classification by I</w:t>
            </w:r>
            <w:r w:rsidR="0066560B" w:rsidRPr="005065A0">
              <w:rPr>
                <w:bCs/>
                <w:szCs w:val="20"/>
              </w:rPr>
              <w:t>M</w:t>
            </w:r>
            <w:r w:rsidRPr="005065A0">
              <w:rPr>
                <w:bCs/>
                <w:szCs w:val="20"/>
              </w:rPr>
              <w:t>DC criteria</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PFS, OS, ORR, AE</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PFS, OS, AE</w:t>
            </w:r>
          </w:p>
        </w:tc>
      </w:tr>
      <w:tr w:rsidR="006819D9" w:rsidRPr="005065A0" w:rsidTr="005065A0">
        <w:tc>
          <w:tcPr>
            <w:tcW w:w="5000" w:type="pct"/>
            <w:gridSpan w:val="7"/>
            <w:shd w:val="clear" w:color="auto" w:fill="C6D9F1" w:themeFill="text2" w:themeFillTint="33"/>
            <w:vAlign w:val="center"/>
          </w:tcPr>
          <w:p w:rsidR="006819D9" w:rsidRPr="005065A0" w:rsidRDefault="006819D9" w:rsidP="00AD215A">
            <w:pPr>
              <w:pStyle w:val="Tabletext"/>
              <w:keepNext/>
              <w:keepLines/>
              <w:widowControl w:val="0"/>
              <w:rPr>
                <w:b/>
                <w:szCs w:val="20"/>
              </w:rPr>
            </w:pPr>
            <w:r w:rsidRPr="005065A0">
              <w:rPr>
                <w:b/>
                <w:szCs w:val="20"/>
              </w:rPr>
              <w:t>Cabozantinib (TKI-naïve post-immunotherapy)</w:t>
            </w:r>
          </w:p>
        </w:tc>
      </w:tr>
      <w:tr w:rsidR="006819D9" w:rsidRPr="005065A0" w:rsidTr="005065A0">
        <w:tc>
          <w:tcPr>
            <w:tcW w:w="650" w:type="pct"/>
            <w:shd w:val="clear" w:color="auto" w:fill="C6D9F1" w:themeFill="text2" w:themeFillTint="33"/>
            <w:vAlign w:val="center"/>
          </w:tcPr>
          <w:p w:rsidR="006819D9" w:rsidRPr="005065A0" w:rsidRDefault="006819D9" w:rsidP="00AD215A">
            <w:pPr>
              <w:pStyle w:val="Tabletext"/>
              <w:keepNext/>
              <w:keepLines/>
              <w:widowControl w:val="0"/>
              <w:rPr>
                <w:szCs w:val="20"/>
              </w:rPr>
            </w:pPr>
            <w:r w:rsidRPr="005065A0">
              <w:rPr>
                <w:szCs w:val="20"/>
              </w:rPr>
              <w:t>MD Anderson CC</w:t>
            </w:r>
          </w:p>
        </w:tc>
        <w:tc>
          <w:tcPr>
            <w:tcW w:w="221"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70</w:t>
            </w:r>
          </w:p>
        </w:tc>
        <w:tc>
          <w:tcPr>
            <w:tcW w:w="47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OB</w:t>
            </w:r>
          </w:p>
        </w:tc>
        <w:tc>
          <w:tcPr>
            <w:tcW w:w="715"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Moderate</w:t>
            </w:r>
          </w:p>
        </w:tc>
        <w:tc>
          <w:tcPr>
            <w:tcW w:w="182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 xml:space="preserve">Patients with metastatic clear cell RCC who progressed after being treated with first-line immunotherapy and were subsequently treated with a second-line VEGFR-TKI </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PFS, OS, ORR</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Not used</w:t>
            </w:r>
          </w:p>
        </w:tc>
      </w:tr>
      <w:tr w:rsidR="006819D9" w:rsidRPr="005065A0" w:rsidTr="005065A0">
        <w:tc>
          <w:tcPr>
            <w:tcW w:w="650" w:type="pct"/>
            <w:shd w:val="clear" w:color="auto" w:fill="C6D9F1" w:themeFill="text2" w:themeFillTint="33"/>
            <w:vAlign w:val="center"/>
          </w:tcPr>
          <w:p w:rsidR="006819D9" w:rsidRPr="005065A0" w:rsidRDefault="006819D9" w:rsidP="00AD215A">
            <w:pPr>
              <w:pStyle w:val="Tabletext"/>
              <w:keepNext/>
              <w:keepLines/>
              <w:widowControl w:val="0"/>
              <w:rPr>
                <w:szCs w:val="20"/>
              </w:rPr>
            </w:pPr>
            <w:r w:rsidRPr="005065A0">
              <w:rPr>
                <w:szCs w:val="20"/>
              </w:rPr>
              <w:t>DFCI 1</w:t>
            </w:r>
          </w:p>
        </w:tc>
        <w:tc>
          <w:tcPr>
            <w:tcW w:w="221"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69</w:t>
            </w:r>
          </w:p>
        </w:tc>
        <w:tc>
          <w:tcPr>
            <w:tcW w:w="47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Unknown</w:t>
            </w:r>
          </w:p>
        </w:tc>
        <w:tc>
          <w:tcPr>
            <w:tcW w:w="715"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Moderate</w:t>
            </w:r>
          </w:p>
        </w:tc>
        <w:tc>
          <w:tcPr>
            <w:tcW w:w="182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Patients with metastatic clear cell RCC who received cabozantinib after progression on immunotherapy</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 xml:space="preserve">PFS </w:t>
            </w:r>
            <w:r w:rsidRPr="005065A0">
              <w:rPr>
                <w:szCs w:val="20"/>
                <w:vertAlign w:val="superscript"/>
              </w:rPr>
              <w:t>a</w:t>
            </w:r>
            <w:r w:rsidRPr="005065A0">
              <w:rPr>
                <w:szCs w:val="20"/>
              </w:rPr>
              <w:t>, OS, ORR</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Not used</w:t>
            </w:r>
          </w:p>
        </w:tc>
      </w:tr>
      <w:tr w:rsidR="006819D9" w:rsidRPr="005065A0" w:rsidTr="005065A0">
        <w:tc>
          <w:tcPr>
            <w:tcW w:w="650" w:type="pct"/>
            <w:shd w:val="clear" w:color="auto" w:fill="C6D9F1" w:themeFill="text2" w:themeFillTint="33"/>
            <w:vAlign w:val="center"/>
          </w:tcPr>
          <w:p w:rsidR="006819D9" w:rsidRPr="005065A0" w:rsidRDefault="006819D9" w:rsidP="00AD215A">
            <w:pPr>
              <w:pStyle w:val="Tabletext"/>
              <w:keepNext/>
              <w:keepLines/>
              <w:widowControl w:val="0"/>
              <w:rPr>
                <w:szCs w:val="20"/>
              </w:rPr>
            </w:pPr>
            <w:r w:rsidRPr="005065A0">
              <w:rPr>
                <w:szCs w:val="20"/>
              </w:rPr>
              <w:t>Taussig/Barts</w:t>
            </w:r>
          </w:p>
        </w:tc>
        <w:tc>
          <w:tcPr>
            <w:tcW w:w="221"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33</w:t>
            </w:r>
          </w:p>
        </w:tc>
        <w:tc>
          <w:tcPr>
            <w:tcW w:w="47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OB</w:t>
            </w:r>
          </w:p>
        </w:tc>
        <w:tc>
          <w:tcPr>
            <w:tcW w:w="715"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Moderate</w:t>
            </w:r>
          </w:p>
        </w:tc>
        <w:tc>
          <w:tcPr>
            <w:tcW w:w="1826" w:type="pct"/>
            <w:shd w:val="clear" w:color="auto" w:fill="C6D9F1" w:themeFill="text2" w:themeFillTint="33"/>
            <w:vAlign w:val="center"/>
          </w:tcPr>
          <w:p w:rsidR="006819D9" w:rsidRPr="005065A0" w:rsidRDefault="006819D9" w:rsidP="00AD215A">
            <w:pPr>
              <w:keepNext/>
              <w:keepLines/>
              <w:widowControl w:val="0"/>
              <w:jc w:val="center"/>
              <w:rPr>
                <w:rFonts w:ascii="Arial Narrow" w:hAnsi="Arial Narrow"/>
                <w:sz w:val="20"/>
                <w:szCs w:val="20"/>
              </w:rPr>
            </w:pPr>
            <w:r w:rsidRPr="005065A0">
              <w:rPr>
                <w:rFonts w:ascii="Arial Narrow" w:hAnsi="Arial Narrow"/>
                <w:sz w:val="20"/>
                <w:szCs w:val="20"/>
              </w:rPr>
              <w:t>Patients with metastatic clear cell RCC having progression</w:t>
            </w:r>
          </w:p>
          <w:p w:rsidR="006819D9" w:rsidRPr="005065A0" w:rsidRDefault="006819D9" w:rsidP="00AD215A">
            <w:pPr>
              <w:keepNext/>
              <w:keepLines/>
              <w:widowControl w:val="0"/>
              <w:jc w:val="center"/>
              <w:rPr>
                <w:rFonts w:ascii="Arial Narrow" w:hAnsi="Arial Narrow"/>
                <w:sz w:val="20"/>
                <w:szCs w:val="20"/>
              </w:rPr>
            </w:pPr>
            <w:r w:rsidRPr="005065A0">
              <w:rPr>
                <w:rFonts w:ascii="Arial Narrow" w:hAnsi="Arial Narrow"/>
                <w:sz w:val="20"/>
                <w:szCs w:val="20"/>
              </w:rPr>
              <w:t>and were subsequently treated with at least one VEGFR-TKI.</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PFS, ORR</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Not used</w:t>
            </w:r>
          </w:p>
        </w:tc>
      </w:tr>
      <w:tr w:rsidR="006819D9" w:rsidRPr="005065A0" w:rsidTr="005065A0">
        <w:tc>
          <w:tcPr>
            <w:tcW w:w="650" w:type="pct"/>
            <w:shd w:val="clear" w:color="auto" w:fill="C6D9F1" w:themeFill="text2" w:themeFillTint="33"/>
            <w:vAlign w:val="center"/>
          </w:tcPr>
          <w:p w:rsidR="006819D9" w:rsidRPr="005065A0" w:rsidRDefault="006819D9" w:rsidP="00AD215A">
            <w:pPr>
              <w:pStyle w:val="Tabletext"/>
              <w:keepNext/>
              <w:keepLines/>
              <w:widowControl w:val="0"/>
              <w:rPr>
                <w:szCs w:val="20"/>
              </w:rPr>
            </w:pPr>
            <w:r w:rsidRPr="005065A0">
              <w:rPr>
                <w:szCs w:val="20"/>
              </w:rPr>
              <w:t>DFCI 2</w:t>
            </w:r>
          </w:p>
        </w:tc>
        <w:tc>
          <w:tcPr>
            <w:tcW w:w="221"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6</w:t>
            </w:r>
          </w:p>
        </w:tc>
        <w:tc>
          <w:tcPr>
            <w:tcW w:w="47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OB</w:t>
            </w:r>
          </w:p>
        </w:tc>
        <w:tc>
          <w:tcPr>
            <w:tcW w:w="715"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Moderate</w:t>
            </w:r>
          </w:p>
        </w:tc>
        <w:tc>
          <w:tcPr>
            <w:tcW w:w="182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Patients who discontinued immunotherapy due to development of an immune-related adverse event</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ORR</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Not used</w:t>
            </w:r>
          </w:p>
        </w:tc>
      </w:tr>
      <w:tr w:rsidR="006819D9" w:rsidRPr="005065A0" w:rsidTr="005065A0">
        <w:tc>
          <w:tcPr>
            <w:tcW w:w="650" w:type="pct"/>
            <w:shd w:val="clear" w:color="auto" w:fill="C6D9F1" w:themeFill="text2" w:themeFillTint="33"/>
            <w:vAlign w:val="center"/>
          </w:tcPr>
          <w:p w:rsidR="006819D9" w:rsidRPr="005065A0" w:rsidRDefault="006819D9" w:rsidP="00AD215A">
            <w:pPr>
              <w:pStyle w:val="Tabletext"/>
              <w:keepNext/>
              <w:keepLines/>
              <w:widowControl w:val="0"/>
              <w:rPr>
                <w:szCs w:val="20"/>
              </w:rPr>
            </w:pPr>
            <w:r w:rsidRPr="005065A0">
              <w:rPr>
                <w:szCs w:val="20"/>
              </w:rPr>
              <w:t>CheckMate214 subsequent</w:t>
            </w:r>
          </w:p>
        </w:tc>
        <w:tc>
          <w:tcPr>
            <w:tcW w:w="221"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33</w:t>
            </w:r>
          </w:p>
        </w:tc>
        <w:tc>
          <w:tcPr>
            <w:tcW w:w="47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OB</w:t>
            </w:r>
          </w:p>
        </w:tc>
        <w:tc>
          <w:tcPr>
            <w:tcW w:w="715"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Moderate</w:t>
            </w:r>
          </w:p>
        </w:tc>
        <w:tc>
          <w:tcPr>
            <w:tcW w:w="182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Patients with clear cell metastatic RCC treated with immunotherapy (nivolumab+ipilimumab) as part of Checkmate214 and who received any subsequent treatment with VEGFR TKIs</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PFS, OS, ORR</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Not used</w:t>
            </w:r>
          </w:p>
        </w:tc>
      </w:tr>
      <w:tr w:rsidR="006819D9" w:rsidRPr="005065A0" w:rsidTr="005065A0">
        <w:tc>
          <w:tcPr>
            <w:tcW w:w="650" w:type="pct"/>
            <w:shd w:val="clear" w:color="auto" w:fill="C6D9F1" w:themeFill="text2" w:themeFillTint="33"/>
            <w:vAlign w:val="center"/>
          </w:tcPr>
          <w:p w:rsidR="006819D9" w:rsidRPr="005065A0" w:rsidRDefault="006819D9" w:rsidP="00AD215A">
            <w:pPr>
              <w:pStyle w:val="Tabletext"/>
              <w:keepNext/>
              <w:keepLines/>
              <w:widowControl w:val="0"/>
              <w:rPr>
                <w:szCs w:val="20"/>
              </w:rPr>
            </w:pPr>
            <w:r w:rsidRPr="005065A0">
              <w:rPr>
                <w:szCs w:val="20"/>
              </w:rPr>
              <w:t>City of Hope</w:t>
            </w:r>
          </w:p>
        </w:tc>
        <w:tc>
          <w:tcPr>
            <w:tcW w:w="221"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11</w:t>
            </w:r>
          </w:p>
        </w:tc>
        <w:tc>
          <w:tcPr>
            <w:tcW w:w="47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OB</w:t>
            </w:r>
          </w:p>
        </w:tc>
        <w:tc>
          <w:tcPr>
            <w:tcW w:w="715"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Moderate</w:t>
            </w:r>
          </w:p>
        </w:tc>
        <w:tc>
          <w:tcPr>
            <w:tcW w:w="182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Patients who received first-line combination treatment with immune checkpoint inhibitor for treatment of metastatic RCC</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PFS, OS, ORR</w:t>
            </w:r>
          </w:p>
        </w:tc>
        <w:tc>
          <w:tcPr>
            <w:tcW w:w="556" w:type="pct"/>
            <w:shd w:val="clear" w:color="auto" w:fill="C6D9F1" w:themeFill="text2" w:themeFillTint="33"/>
            <w:vAlign w:val="center"/>
          </w:tcPr>
          <w:p w:rsidR="006819D9" w:rsidRPr="005065A0" w:rsidRDefault="006819D9" w:rsidP="00AD215A">
            <w:pPr>
              <w:pStyle w:val="Tabletext"/>
              <w:keepNext/>
              <w:keepLines/>
              <w:widowControl w:val="0"/>
              <w:jc w:val="center"/>
              <w:rPr>
                <w:szCs w:val="20"/>
              </w:rPr>
            </w:pPr>
            <w:r w:rsidRPr="005065A0">
              <w:rPr>
                <w:szCs w:val="20"/>
              </w:rPr>
              <w:t>Not used</w:t>
            </w:r>
          </w:p>
        </w:tc>
      </w:tr>
    </w:tbl>
    <w:p w:rsidR="006819D9" w:rsidRPr="00C24DBA" w:rsidRDefault="006819D9" w:rsidP="005065A0">
      <w:pPr>
        <w:pStyle w:val="TableFigureFooter"/>
        <w:rPr>
          <w:sz w:val="20"/>
        </w:rPr>
      </w:pPr>
      <w:r w:rsidRPr="00C24DBA">
        <w:rPr>
          <w:szCs w:val="18"/>
        </w:rPr>
        <w:t xml:space="preserve">Source: </w:t>
      </w:r>
      <w:r w:rsidRPr="00C24DBA">
        <w:t xml:space="preserve">Table 2.3, p.5-6 of the Attachment 3 of the </w:t>
      </w:r>
      <w:r w:rsidR="00FA4CFB" w:rsidRPr="00C24DBA">
        <w:t xml:space="preserve">March 2020 </w:t>
      </w:r>
      <w:r w:rsidRPr="00C24DBA">
        <w:t>resubmission</w:t>
      </w:r>
    </w:p>
    <w:p w:rsidR="006819D9" w:rsidRPr="00C24DBA" w:rsidRDefault="006819D9" w:rsidP="005065A0">
      <w:pPr>
        <w:pStyle w:val="TableFigureFooter"/>
        <w:rPr>
          <w:szCs w:val="18"/>
        </w:rPr>
      </w:pPr>
      <w:r w:rsidRPr="00C24DBA">
        <w:rPr>
          <w:szCs w:val="18"/>
        </w:rPr>
        <w:t>Abbreviations: AE = adverse event; IM</w:t>
      </w:r>
      <w:r w:rsidR="0066560B">
        <w:rPr>
          <w:szCs w:val="18"/>
        </w:rPr>
        <w:t>D</w:t>
      </w:r>
      <w:r w:rsidRPr="00C24DBA">
        <w:rPr>
          <w:szCs w:val="18"/>
        </w:rPr>
        <w:t xml:space="preserve">C = </w:t>
      </w:r>
      <w:r w:rsidRPr="00C24DBA">
        <w:rPr>
          <w:szCs w:val="20"/>
        </w:rPr>
        <w:t>International Metastatic RCC Database Consortium</w:t>
      </w:r>
      <w:r w:rsidRPr="00C24DBA">
        <w:rPr>
          <w:szCs w:val="18"/>
        </w:rPr>
        <w:t>; OB = observational study: OL = open label; ORR = objective response rate: OS = overall survival; PFS = progression-free survival; R = randomised; RCC = renal cell carcinoma; VEGFR-TKI = vascular endothelial growth factor receptor tyrosine kinase inhibitors</w:t>
      </w:r>
    </w:p>
    <w:p w:rsidR="006819D9" w:rsidRPr="00C24DBA" w:rsidRDefault="006819D9" w:rsidP="005065A0">
      <w:pPr>
        <w:pStyle w:val="TableFigureFooter"/>
        <w:rPr>
          <w:szCs w:val="18"/>
        </w:rPr>
      </w:pPr>
      <w:r w:rsidRPr="00C24DBA">
        <w:rPr>
          <w:szCs w:val="18"/>
        </w:rPr>
        <w:t xml:space="preserve">Note: </w:t>
      </w:r>
      <w:r w:rsidRPr="00C24DBA">
        <w:rPr>
          <w:szCs w:val="18"/>
          <w:vertAlign w:val="superscript"/>
        </w:rPr>
        <w:t>a</w:t>
      </w:r>
      <w:r w:rsidRPr="00C24DBA">
        <w:rPr>
          <w:szCs w:val="18"/>
        </w:rPr>
        <w:t xml:space="preserve"> time to treatment failure</w:t>
      </w:r>
    </w:p>
    <w:p w:rsidR="006819D9" w:rsidRPr="00C24DBA" w:rsidRDefault="006819D9" w:rsidP="005065A0">
      <w:pPr>
        <w:pStyle w:val="TableFigureFooter"/>
        <w:rPr>
          <w:szCs w:val="18"/>
        </w:rPr>
      </w:pPr>
      <w:r w:rsidRPr="00C24DBA">
        <w:rPr>
          <w:szCs w:val="18"/>
          <w:vertAlign w:val="superscript"/>
        </w:rPr>
        <w:t>b</w:t>
      </w:r>
      <w:r w:rsidRPr="00C24DBA">
        <w:rPr>
          <w:szCs w:val="18"/>
        </w:rPr>
        <w:t xml:space="preserve"> Risk of bias in CABOSUN and the six studies included for TKI naïve post-immunotherapy were assessed using different systems (Cochrane for CABOSUN and ROBIN 1 for the TKI naïve post-immunotherapy studies). Due to a lack of available information on the TKI naïve post-immunotherapy studies, several domains of the risk for bias criteria were classified as “No Information” according to the Robin 1 tool. These differences in tools and data completeness confound the comparison of the risk of bias across CABOSUN and the six cohort studies.</w:t>
      </w:r>
    </w:p>
    <w:p w:rsidR="006819D9" w:rsidRPr="005065A0" w:rsidRDefault="0062571A" w:rsidP="006819D9">
      <w:pPr>
        <w:pStyle w:val="TableFigureFooter"/>
        <w:rPr>
          <w:szCs w:val="18"/>
        </w:rPr>
      </w:pPr>
      <w:r w:rsidRPr="00C24DBA">
        <w:rPr>
          <w:szCs w:val="18"/>
        </w:rPr>
        <w:lastRenderedPageBreak/>
        <w:t>Note: Blue shading denotes text remains unchanged from the previous resubmission.</w:t>
      </w:r>
    </w:p>
    <w:p w:rsidR="004B4C7D" w:rsidRPr="00C24DBA" w:rsidRDefault="004B4C7D" w:rsidP="005065A0">
      <w:pPr>
        <w:pStyle w:val="4-SubsectionHeading"/>
      </w:pPr>
      <w:bookmarkStart w:id="17" w:name="_Toc22897641"/>
      <w:bookmarkStart w:id="18" w:name="_Toc48560949"/>
      <w:r w:rsidRPr="005065A0">
        <w:t>Comparative</w:t>
      </w:r>
      <w:r w:rsidRPr="00C24DBA">
        <w:t xml:space="preserve"> effectiveness</w:t>
      </w:r>
      <w:bookmarkEnd w:id="17"/>
      <w:bookmarkEnd w:id="18"/>
    </w:p>
    <w:p w:rsidR="004B4C7D" w:rsidRPr="00C24DBA" w:rsidRDefault="004B4C7D" w:rsidP="00C37CBA">
      <w:pPr>
        <w:keepNext/>
        <w:keepLines/>
        <w:spacing w:after="240"/>
        <w:rPr>
          <w:u w:val="single"/>
        </w:rPr>
      </w:pPr>
      <w:r w:rsidRPr="00C24DBA">
        <w:rPr>
          <w:u w:val="single"/>
        </w:rPr>
        <w:t>Treatment-naive therapy</w:t>
      </w:r>
    </w:p>
    <w:p w:rsidR="004B4C7D" w:rsidRPr="00C24DBA" w:rsidRDefault="004B4C7D" w:rsidP="00C37CBA">
      <w:pPr>
        <w:pStyle w:val="3-BodyText"/>
        <w:keepNext/>
        <w:keepLines/>
        <w:rPr>
          <w:iCs/>
          <w:color w:val="0066FF"/>
        </w:rPr>
      </w:pPr>
      <w:r w:rsidRPr="00C24DBA">
        <w:rPr>
          <w:iCs/>
        </w:rPr>
        <w:t xml:space="preserve">Results for key clinical outcomes including PFS, OS, objective response rate (ORR), and safety from CABOSUN were unchanged from the March 2020 resubmission. </w:t>
      </w:r>
    </w:p>
    <w:p w:rsidR="004B4C7D" w:rsidRPr="00C24DBA" w:rsidRDefault="004B4C7D" w:rsidP="004B4C7D">
      <w:pPr>
        <w:pStyle w:val="3-BodyText"/>
        <w:rPr>
          <w:color w:val="0066FF"/>
        </w:rPr>
      </w:pPr>
      <w:r w:rsidRPr="00C24DBA">
        <w:t xml:space="preserve">The PFS results from CABOSUN are presented in Table </w:t>
      </w:r>
      <w:r w:rsidR="00022511" w:rsidRPr="00C24DBA">
        <w:t>5</w:t>
      </w:r>
      <w:r w:rsidRPr="00C24DBA">
        <w:t xml:space="preserve">. These data indicated a PFS advantage for cabozantinib with a hazard ratio (HR) of 0.48 (95% CI: 0.31, 0.74) for </w:t>
      </w:r>
      <w:r w:rsidR="0047459F" w:rsidRPr="00C24DBA">
        <w:rPr>
          <w:iCs/>
        </w:rPr>
        <w:t>Independent Radiographical Committee (</w:t>
      </w:r>
      <w:r w:rsidRPr="00C24DBA">
        <w:t>IRC</w:t>
      </w:r>
      <w:r w:rsidR="0047459F" w:rsidRPr="00C24DBA">
        <w:t xml:space="preserve">) </w:t>
      </w:r>
      <w:r w:rsidRPr="00C24DBA">
        <w:t xml:space="preserve">assessed PFS and 0.66 (95% CI: 0.46, 0.95) for investigator-assessed PFS. The PBAC previously considered that CABOSUN showed a statistically significant improvement in PFS for cabozantinib, but that the magnitude of benefit was uncertain and likely overestimated as the trial had a high risk of bias due to the open-label design, imbalances in missing data and with substantial differences in the investigator-assessed and IRC analyses of PFS (para 7.5, cabozantinib PSD, March 2019 PBAC meeting). </w:t>
      </w:r>
    </w:p>
    <w:p w:rsidR="004B4C7D" w:rsidRPr="00C24DBA" w:rsidRDefault="004B4C7D" w:rsidP="005065A0">
      <w:pPr>
        <w:pStyle w:val="TableHeading0"/>
      </w:pPr>
      <w:r w:rsidRPr="00C24DBA">
        <w:t xml:space="preserve">Table </w:t>
      </w:r>
      <w:r w:rsidR="00022511" w:rsidRPr="00C24DBA">
        <w:t>5</w:t>
      </w:r>
      <w:r w:rsidRPr="00C24DBA">
        <w:t>: Results of progression-free survival - CABOSUN</w:t>
      </w:r>
    </w:p>
    <w:tbl>
      <w:tblPr>
        <w:tblStyle w:val="TableGrid"/>
        <w:tblW w:w="5000" w:type="pct"/>
        <w:tblLook w:val="0620" w:firstRow="1" w:lastRow="0" w:firstColumn="0" w:lastColumn="0" w:noHBand="1" w:noVBand="1"/>
        <w:tblCaption w:val="Table 5: Results of progression-free survival - CABOSUN"/>
      </w:tblPr>
      <w:tblGrid>
        <w:gridCol w:w="2110"/>
        <w:gridCol w:w="846"/>
        <w:gridCol w:w="1127"/>
        <w:gridCol w:w="846"/>
        <w:gridCol w:w="1129"/>
        <w:gridCol w:w="1268"/>
        <w:gridCol w:w="705"/>
        <w:gridCol w:w="986"/>
      </w:tblGrid>
      <w:tr w:rsidR="004B4C7D" w:rsidRPr="00C24DBA" w:rsidTr="00810D23">
        <w:trPr>
          <w:tblHeader/>
        </w:trPr>
        <w:tc>
          <w:tcPr>
            <w:tcW w:w="1170" w:type="pct"/>
            <w:vMerge w:val="restart"/>
            <w:shd w:val="clear" w:color="auto" w:fill="C6D9F1" w:themeFill="text2" w:themeFillTint="33"/>
            <w:tcMar>
              <w:left w:w="28" w:type="dxa"/>
              <w:right w:w="28" w:type="dxa"/>
            </w:tcMar>
            <w:vAlign w:val="center"/>
          </w:tcPr>
          <w:p w:rsidR="004B4C7D" w:rsidRPr="00C24DBA" w:rsidRDefault="004B4C7D" w:rsidP="004866BB">
            <w:pPr>
              <w:pStyle w:val="TableText0"/>
              <w:keepLines/>
              <w:rPr>
                <w:szCs w:val="20"/>
              </w:rPr>
            </w:pPr>
          </w:p>
        </w:tc>
        <w:tc>
          <w:tcPr>
            <w:tcW w:w="1094" w:type="pct"/>
            <w:gridSpan w:val="2"/>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b/>
                <w:szCs w:val="20"/>
              </w:rPr>
            </w:pPr>
            <w:r w:rsidRPr="00C24DBA">
              <w:rPr>
                <w:b/>
                <w:szCs w:val="20"/>
              </w:rPr>
              <w:t>Cabozantinib</w:t>
            </w:r>
          </w:p>
        </w:tc>
        <w:tc>
          <w:tcPr>
            <w:tcW w:w="1095" w:type="pct"/>
            <w:gridSpan w:val="2"/>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b/>
                <w:szCs w:val="20"/>
              </w:rPr>
            </w:pPr>
            <w:r w:rsidRPr="00C24DBA">
              <w:rPr>
                <w:b/>
                <w:szCs w:val="20"/>
              </w:rPr>
              <w:t>Sunitinib</w:t>
            </w:r>
          </w:p>
        </w:tc>
        <w:tc>
          <w:tcPr>
            <w:tcW w:w="703" w:type="pct"/>
            <w:vMerge w:val="restart"/>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b/>
                <w:szCs w:val="20"/>
              </w:rPr>
            </w:pPr>
            <w:r w:rsidRPr="00C24DBA">
              <w:rPr>
                <w:rFonts w:eastAsia="Calibri" w:cs="Times New Roman"/>
                <w:b/>
                <w:szCs w:val="20"/>
              </w:rPr>
              <w:t>Difference in median, mths</w:t>
            </w:r>
          </w:p>
        </w:tc>
        <w:tc>
          <w:tcPr>
            <w:tcW w:w="391" w:type="pct"/>
            <w:vMerge w:val="restart"/>
            <w:shd w:val="clear" w:color="auto" w:fill="C6D9F1" w:themeFill="text2" w:themeFillTint="33"/>
            <w:tcMar>
              <w:left w:w="28" w:type="dxa"/>
              <w:right w:w="28" w:type="dxa"/>
            </w:tcMar>
            <w:vAlign w:val="center"/>
          </w:tcPr>
          <w:p w:rsidR="004B4C7D" w:rsidRPr="00C24DBA" w:rsidRDefault="004B4C7D" w:rsidP="004866BB">
            <w:pPr>
              <w:keepNext/>
              <w:keepLines/>
              <w:jc w:val="center"/>
              <w:rPr>
                <w:rFonts w:ascii="Arial Narrow" w:hAnsi="Arial Narrow"/>
                <w:b/>
                <w:sz w:val="20"/>
                <w:szCs w:val="20"/>
                <w:vertAlign w:val="superscript"/>
              </w:rPr>
            </w:pPr>
            <w:r w:rsidRPr="00C24DBA">
              <w:rPr>
                <w:rFonts w:ascii="Arial Narrow" w:eastAsia="Calibri" w:hAnsi="Arial Narrow" w:cs="Times New Roman"/>
                <w:b/>
                <w:sz w:val="20"/>
                <w:szCs w:val="20"/>
              </w:rPr>
              <w:t>p value</w:t>
            </w:r>
            <w:r w:rsidRPr="00C24DBA">
              <w:rPr>
                <w:rFonts w:ascii="Arial Narrow" w:eastAsia="Calibri" w:hAnsi="Arial Narrow" w:cs="Times New Roman"/>
                <w:b/>
                <w:sz w:val="20"/>
                <w:szCs w:val="20"/>
                <w:vertAlign w:val="superscript"/>
              </w:rPr>
              <w:t>a</w:t>
            </w:r>
          </w:p>
        </w:tc>
        <w:tc>
          <w:tcPr>
            <w:tcW w:w="547" w:type="pct"/>
            <w:vMerge w:val="restart"/>
            <w:shd w:val="clear" w:color="auto" w:fill="C6D9F1" w:themeFill="text2" w:themeFillTint="33"/>
            <w:tcMar>
              <w:left w:w="28" w:type="dxa"/>
              <w:right w:w="28" w:type="dxa"/>
            </w:tcMar>
            <w:vAlign w:val="center"/>
          </w:tcPr>
          <w:p w:rsidR="004B4C7D" w:rsidRPr="00C24DBA" w:rsidRDefault="004B4C7D" w:rsidP="004866BB">
            <w:pPr>
              <w:keepNext/>
              <w:keepLines/>
              <w:jc w:val="center"/>
              <w:rPr>
                <w:rFonts w:ascii="Arial Narrow" w:eastAsia="Calibri" w:hAnsi="Arial Narrow" w:cs="Times New Roman"/>
                <w:b/>
                <w:sz w:val="20"/>
                <w:szCs w:val="20"/>
              </w:rPr>
            </w:pPr>
            <w:r w:rsidRPr="00C24DBA">
              <w:rPr>
                <w:rFonts w:ascii="Arial Narrow" w:eastAsia="Calibri" w:hAnsi="Arial Narrow" w:cs="Times New Roman"/>
                <w:b/>
                <w:sz w:val="20"/>
                <w:szCs w:val="20"/>
              </w:rPr>
              <w:t>HR</w:t>
            </w:r>
          </w:p>
          <w:p w:rsidR="004B4C7D" w:rsidRPr="00C24DBA" w:rsidRDefault="004B4C7D" w:rsidP="004866BB">
            <w:pPr>
              <w:keepNext/>
              <w:keepLines/>
              <w:jc w:val="center"/>
              <w:rPr>
                <w:rFonts w:ascii="Arial Narrow" w:hAnsi="Arial Narrow"/>
                <w:b/>
                <w:sz w:val="20"/>
                <w:szCs w:val="20"/>
              </w:rPr>
            </w:pPr>
            <w:r w:rsidRPr="00C24DBA">
              <w:rPr>
                <w:rFonts w:ascii="Arial Narrow" w:eastAsia="Calibri" w:hAnsi="Arial Narrow" w:cs="Times New Roman"/>
                <w:b/>
                <w:sz w:val="20"/>
                <w:szCs w:val="20"/>
              </w:rPr>
              <w:t>(95% CI)</w:t>
            </w:r>
          </w:p>
        </w:tc>
      </w:tr>
      <w:tr w:rsidR="004B4C7D" w:rsidRPr="00C24DBA" w:rsidTr="00810D23">
        <w:trPr>
          <w:tblHeader/>
        </w:trPr>
        <w:tc>
          <w:tcPr>
            <w:tcW w:w="1170" w:type="pct"/>
            <w:vMerge/>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szCs w:val="20"/>
              </w:rPr>
            </w:pPr>
          </w:p>
        </w:tc>
        <w:tc>
          <w:tcPr>
            <w:tcW w:w="469" w:type="pct"/>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b/>
                <w:szCs w:val="20"/>
              </w:rPr>
            </w:pPr>
            <w:r w:rsidRPr="00C24DBA">
              <w:rPr>
                <w:rFonts w:eastAsia="Calibri" w:cs="Times New Roman"/>
                <w:b/>
                <w:szCs w:val="20"/>
              </w:rPr>
              <w:t>n/N (%)</w:t>
            </w:r>
          </w:p>
        </w:tc>
        <w:tc>
          <w:tcPr>
            <w:tcW w:w="625" w:type="pct"/>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rFonts w:eastAsia="Calibri" w:cs="Times New Roman"/>
                <w:b/>
                <w:szCs w:val="20"/>
              </w:rPr>
            </w:pPr>
            <w:r w:rsidRPr="00C24DBA">
              <w:rPr>
                <w:rFonts w:eastAsia="Calibri" w:cs="Times New Roman"/>
                <w:b/>
                <w:szCs w:val="20"/>
              </w:rPr>
              <w:t xml:space="preserve">Median mths </w:t>
            </w:r>
          </w:p>
          <w:p w:rsidR="004B4C7D" w:rsidRPr="00C24DBA" w:rsidRDefault="004B4C7D" w:rsidP="004866BB">
            <w:pPr>
              <w:pStyle w:val="TableText0"/>
              <w:keepLines/>
              <w:jc w:val="center"/>
              <w:rPr>
                <w:b/>
                <w:szCs w:val="20"/>
              </w:rPr>
            </w:pPr>
            <w:r w:rsidRPr="00C24DBA">
              <w:rPr>
                <w:rFonts w:eastAsia="Calibri" w:cs="Times New Roman"/>
                <w:b/>
                <w:szCs w:val="20"/>
              </w:rPr>
              <w:t>(95% CI)</w:t>
            </w:r>
          </w:p>
        </w:tc>
        <w:tc>
          <w:tcPr>
            <w:tcW w:w="469" w:type="pct"/>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b/>
                <w:szCs w:val="20"/>
              </w:rPr>
            </w:pPr>
            <w:r w:rsidRPr="00C24DBA">
              <w:rPr>
                <w:rFonts w:eastAsia="Calibri" w:cs="Times New Roman"/>
                <w:b/>
                <w:szCs w:val="20"/>
              </w:rPr>
              <w:t>n/N (%)</w:t>
            </w:r>
          </w:p>
        </w:tc>
        <w:tc>
          <w:tcPr>
            <w:tcW w:w="625" w:type="pct"/>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b/>
                <w:szCs w:val="20"/>
              </w:rPr>
            </w:pPr>
            <w:r w:rsidRPr="00C24DBA">
              <w:rPr>
                <w:rFonts w:eastAsia="Calibri" w:cs="Times New Roman"/>
                <w:b/>
                <w:szCs w:val="20"/>
              </w:rPr>
              <w:t>Median mths (95% CI)</w:t>
            </w:r>
          </w:p>
        </w:tc>
        <w:tc>
          <w:tcPr>
            <w:tcW w:w="703" w:type="pct"/>
            <w:vMerge/>
            <w:shd w:val="clear" w:color="auto" w:fill="C6D9F1" w:themeFill="text2" w:themeFillTint="33"/>
            <w:tcMar>
              <w:left w:w="28" w:type="dxa"/>
              <w:right w:w="28" w:type="dxa"/>
            </w:tcMar>
            <w:vAlign w:val="center"/>
          </w:tcPr>
          <w:p w:rsidR="004B4C7D" w:rsidRPr="00C24DBA" w:rsidRDefault="004B4C7D" w:rsidP="004866BB">
            <w:pPr>
              <w:pStyle w:val="TableText0"/>
              <w:keepLines/>
              <w:jc w:val="center"/>
              <w:rPr>
                <w:b/>
                <w:szCs w:val="20"/>
              </w:rPr>
            </w:pPr>
          </w:p>
        </w:tc>
        <w:tc>
          <w:tcPr>
            <w:tcW w:w="391" w:type="pct"/>
            <w:vMerge/>
            <w:shd w:val="clear" w:color="auto" w:fill="C6D9F1" w:themeFill="text2" w:themeFillTint="33"/>
            <w:tcMar>
              <w:left w:w="28" w:type="dxa"/>
              <w:right w:w="28" w:type="dxa"/>
            </w:tcMar>
            <w:vAlign w:val="center"/>
          </w:tcPr>
          <w:p w:rsidR="004B4C7D" w:rsidRPr="00C24DBA" w:rsidRDefault="004B4C7D" w:rsidP="004866BB">
            <w:pPr>
              <w:keepNext/>
              <w:keepLines/>
              <w:jc w:val="center"/>
              <w:rPr>
                <w:rFonts w:ascii="Arial Narrow" w:eastAsia="Calibri" w:hAnsi="Arial Narrow" w:cs="Times New Roman"/>
                <w:b/>
                <w:sz w:val="20"/>
                <w:szCs w:val="20"/>
              </w:rPr>
            </w:pPr>
          </w:p>
        </w:tc>
        <w:tc>
          <w:tcPr>
            <w:tcW w:w="547" w:type="pct"/>
            <w:vMerge/>
            <w:shd w:val="clear" w:color="auto" w:fill="C6D9F1" w:themeFill="text2" w:themeFillTint="33"/>
            <w:tcMar>
              <w:left w:w="28" w:type="dxa"/>
              <w:right w:w="28" w:type="dxa"/>
            </w:tcMar>
            <w:vAlign w:val="center"/>
          </w:tcPr>
          <w:p w:rsidR="004B4C7D" w:rsidRPr="00C24DBA" w:rsidRDefault="004B4C7D" w:rsidP="004866BB">
            <w:pPr>
              <w:keepNext/>
              <w:keepLines/>
              <w:jc w:val="center"/>
              <w:rPr>
                <w:rFonts w:ascii="Arial Narrow" w:eastAsia="Calibri" w:hAnsi="Arial Narrow" w:cs="Times New Roman"/>
                <w:b/>
                <w:sz w:val="20"/>
                <w:szCs w:val="20"/>
              </w:rPr>
            </w:pPr>
          </w:p>
        </w:tc>
      </w:tr>
      <w:tr w:rsidR="004B4C7D" w:rsidRPr="00C24DBA" w:rsidTr="00810D23">
        <w:tc>
          <w:tcPr>
            <w:tcW w:w="1170" w:type="pct"/>
            <w:shd w:val="clear" w:color="auto" w:fill="C6D9F1" w:themeFill="text2" w:themeFillTint="33"/>
            <w:tcMar>
              <w:left w:w="28" w:type="dxa"/>
              <w:right w:w="28" w:type="dxa"/>
            </w:tcMar>
          </w:tcPr>
          <w:p w:rsidR="004B4C7D" w:rsidRPr="00C24DBA" w:rsidRDefault="004B4C7D" w:rsidP="004866BB">
            <w:pPr>
              <w:keepNext/>
              <w:keepLines/>
              <w:jc w:val="left"/>
              <w:rPr>
                <w:rFonts w:ascii="Arial Narrow" w:hAnsi="Arial Narrow" w:cs="Times New Roman"/>
                <w:sz w:val="20"/>
                <w:szCs w:val="20"/>
              </w:rPr>
            </w:pPr>
            <w:r w:rsidRPr="00C24DBA">
              <w:rPr>
                <w:rFonts w:ascii="Arial Narrow" w:hAnsi="Arial Narrow" w:cs="Times New Roman"/>
                <w:sz w:val="20"/>
                <w:szCs w:val="20"/>
              </w:rPr>
              <w:t>IRC assessed-September 2016 data-cut-off.</w:t>
            </w:r>
          </w:p>
        </w:tc>
        <w:tc>
          <w:tcPr>
            <w:tcW w:w="469"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43/79 (54)</w:t>
            </w:r>
          </w:p>
        </w:tc>
        <w:tc>
          <w:tcPr>
            <w:tcW w:w="625"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sz w:val="20"/>
                <w:szCs w:val="20"/>
              </w:rPr>
              <w:t xml:space="preserve">8.6 </w:t>
            </w:r>
            <w:r w:rsidRPr="00C24DBA">
              <w:rPr>
                <w:rFonts w:ascii="Arial Narrow" w:hAnsi="Arial Narrow"/>
                <w:sz w:val="20"/>
                <w:szCs w:val="20"/>
              </w:rPr>
              <w:br/>
              <w:t>(6.8, 14.0)</w:t>
            </w:r>
          </w:p>
        </w:tc>
        <w:tc>
          <w:tcPr>
            <w:tcW w:w="469"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49/78 (63)</w:t>
            </w:r>
          </w:p>
        </w:tc>
        <w:tc>
          <w:tcPr>
            <w:tcW w:w="625"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sz w:val="20"/>
                <w:szCs w:val="20"/>
              </w:rPr>
              <w:t xml:space="preserve">5.3 </w:t>
            </w:r>
            <w:r w:rsidRPr="00C24DBA">
              <w:rPr>
                <w:rFonts w:ascii="Arial Narrow" w:hAnsi="Arial Narrow"/>
                <w:sz w:val="20"/>
                <w:szCs w:val="20"/>
              </w:rPr>
              <w:br/>
              <w:t>(3.0, 8.2)</w:t>
            </w:r>
          </w:p>
        </w:tc>
        <w:tc>
          <w:tcPr>
            <w:tcW w:w="703"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3.3</w:t>
            </w:r>
          </w:p>
        </w:tc>
        <w:tc>
          <w:tcPr>
            <w:tcW w:w="391"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b/>
                <w:sz w:val="20"/>
                <w:szCs w:val="20"/>
              </w:rPr>
            </w:pPr>
            <w:r w:rsidRPr="00C24DBA">
              <w:rPr>
                <w:rFonts w:ascii="Arial Narrow" w:hAnsi="Arial Narrow" w:cs="Times New Roman"/>
                <w:b/>
                <w:sz w:val="20"/>
                <w:szCs w:val="20"/>
              </w:rPr>
              <w:t>0.00</w:t>
            </w:r>
          </w:p>
        </w:tc>
        <w:tc>
          <w:tcPr>
            <w:tcW w:w="547"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b/>
                <w:sz w:val="20"/>
                <w:szCs w:val="20"/>
              </w:rPr>
            </w:pPr>
            <w:r w:rsidRPr="00C24DBA">
              <w:rPr>
                <w:rFonts w:ascii="Arial Narrow" w:hAnsi="Arial Narrow"/>
                <w:b/>
                <w:sz w:val="20"/>
                <w:szCs w:val="20"/>
              </w:rPr>
              <w:t xml:space="preserve">0.48 </w:t>
            </w:r>
            <w:r w:rsidRPr="00C24DBA">
              <w:rPr>
                <w:rFonts w:ascii="Arial Narrow" w:hAnsi="Arial Narrow"/>
                <w:b/>
                <w:sz w:val="20"/>
                <w:szCs w:val="20"/>
              </w:rPr>
              <w:br/>
              <w:t>(0.31, 0.74)</w:t>
            </w:r>
          </w:p>
        </w:tc>
      </w:tr>
      <w:tr w:rsidR="004B4C7D" w:rsidRPr="00C24DBA" w:rsidTr="00810D23">
        <w:tc>
          <w:tcPr>
            <w:tcW w:w="1170" w:type="pct"/>
            <w:shd w:val="clear" w:color="auto" w:fill="C6D9F1" w:themeFill="text2" w:themeFillTint="33"/>
            <w:tcMar>
              <w:left w:w="28" w:type="dxa"/>
              <w:right w:w="28" w:type="dxa"/>
            </w:tcMar>
          </w:tcPr>
          <w:p w:rsidR="004B4C7D" w:rsidRPr="00C24DBA" w:rsidRDefault="004B4C7D" w:rsidP="004866BB">
            <w:pPr>
              <w:keepNext/>
              <w:keepLines/>
              <w:jc w:val="left"/>
              <w:rPr>
                <w:rFonts w:ascii="Arial Narrow" w:hAnsi="Arial Narrow" w:cs="Times New Roman"/>
                <w:sz w:val="20"/>
                <w:szCs w:val="20"/>
              </w:rPr>
            </w:pPr>
            <w:r w:rsidRPr="00C24DBA">
              <w:rPr>
                <w:rFonts w:ascii="Arial Narrow" w:hAnsi="Arial Narrow" w:cs="Times New Roman"/>
                <w:sz w:val="20"/>
                <w:szCs w:val="20"/>
              </w:rPr>
              <w:t>Investigator assessed-April 2016 data cut-off.</w:t>
            </w:r>
          </w:p>
        </w:tc>
        <w:tc>
          <w:tcPr>
            <w:tcW w:w="469"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sz w:val="20"/>
                <w:szCs w:val="20"/>
                <w:vertAlign w:val="superscript"/>
              </w:rPr>
            </w:pPr>
            <w:r w:rsidRPr="00C24DBA">
              <w:rPr>
                <w:rFonts w:ascii="Arial Narrow" w:hAnsi="Arial Narrow" w:cs="Times New Roman"/>
                <w:sz w:val="20"/>
                <w:szCs w:val="20"/>
              </w:rPr>
              <w:t>NR</w:t>
            </w:r>
            <w:r w:rsidRPr="00C24DBA">
              <w:rPr>
                <w:rFonts w:ascii="Arial Narrow" w:hAnsi="Arial Narrow" w:cs="Times New Roman"/>
                <w:sz w:val="20"/>
                <w:szCs w:val="20"/>
                <w:vertAlign w:val="superscript"/>
              </w:rPr>
              <w:t>b</w:t>
            </w:r>
          </w:p>
        </w:tc>
        <w:tc>
          <w:tcPr>
            <w:tcW w:w="625" w:type="pct"/>
            <w:shd w:val="clear" w:color="auto" w:fill="C6D9F1" w:themeFill="text2" w:themeFillTint="33"/>
            <w:tcMar>
              <w:left w:w="28" w:type="dxa"/>
              <w:right w:w="28" w:type="dxa"/>
            </w:tcMar>
          </w:tcPr>
          <w:p w:rsidR="004B4C7D" w:rsidRPr="00C24DBA" w:rsidRDefault="004B4C7D" w:rsidP="004866BB">
            <w:pPr>
              <w:keepNext/>
              <w:keepLines/>
              <w:autoSpaceDE w:val="0"/>
              <w:autoSpaceDN w:val="0"/>
              <w:adjustRightInd w:val="0"/>
              <w:jc w:val="center"/>
              <w:rPr>
                <w:rFonts w:ascii="Arial Narrow" w:hAnsi="Arial Narrow" w:cs="Times New Roman"/>
                <w:sz w:val="20"/>
                <w:szCs w:val="20"/>
              </w:rPr>
            </w:pPr>
            <w:r w:rsidRPr="00C24DBA">
              <w:rPr>
                <w:rFonts w:ascii="Arial Narrow" w:hAnsi="Arial Narrow" w:cs="Times New Roman"/>
                <w:sz w:val="20"/>
                <w:szCs w:val="20"/>
              </w:rPr>
              <w:t xml:space="preserve">8.2 </w:t>
            </w:r>
            <w:r w:rsidRPr="00C24DBA">
              <w:rPr>
                <w:rFonts w:ascii="Arial Narrow" w:hAnsi="Arial Narrow" w:cs="Times New Roman"/>
                <w:sz w:val="20"/>
                <w:szCs w:val="20"/>
              </w:rPr>
              <w:br/>
              <w:t>(6.2, 8.8)</w:t>
            </w:r>
          </w:p>
        </w:tc>
        <w:tc>
          <w:tcPr>
            <w:tcW w:w="469"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sz w:val="20"/>
                <w:szCs w:val="20"/>
                <w:vertAlign w:val="superscript"/>
              </w:rPr>
            </w:pPr>
            <w:r w:rsidRPr="00C24DBA">
              <w:rPr>
                <w:rFonts w:ascii="Arial Narrow" w:hAnsi="Arial Narrow" w:cs="Times New Roman"/>
                <w:sz w:val="20"/>
                <w:szCs w:val="20"/>
              </w:rPr>
              <w:t>NR</w:t>
            </w:r>
            <w:r w:rsidRPr="00C24DBA">
              <w:rPr>
                <w:rFonts w:ascii="Arial Narrow" w:hAnsi="Arial Narrow" w:cs="Times New Roman"/>
                <w:sz w:val="20"/>
                <w:szCs w:val="20"/>
                <w:vertAlign w:val="superscript"/>
              </w:rPr>
              <w:t>b</w:t>
            </w:r>
          </w:p>
        </w:tc>
        <w:tc>
          <w:tcPr>
            <w:tcW w:w="625" w:type="pct"/>
            <w:shd w:val="clear" w:color="auto" w:fill="C6D9F1" w:themeFill="text2" w:themeFillTint="33"/>
            <w:tcMar>
              <w:left w:w="28" w:type="dxa"/>
              <w:right w:w="28" w:type="dxa"/>
            </w:tcMar>
          </w:tcPr>
          <w:p w:rsidR="004B4C7D" w:rsidRPr="00C24DBA" w:rsidRDefault="004B4C7D" w:rsidP="004866BB">
            <w:pPr>
              <w:keepNext/>
              <w:keepLines/>
              <w:autoSpaceDE w:val="0"/>
              <w:autoSpaceDN w:val="0"/>
              <w:adjustRightInd w:val="0"/>
              <w:jc w:val="center"/>
              <w:rPr>
                <w:rFonts w:ascii="Arial Narrow" w:hAnsi="Arial Narrow" w:cs="Times New Roman"/>
                <w:sz w:val="20"/>
                <w:szCs w:val="20"/>
              </w:rPr>
            </w:pPr>
            <w:r w:rsidRPr="00C24DBA">
              <w:rPr>
                <w:rFonts w:ascii="Arial Narrow" w:hAnsi="Arial Narrow" w:cs="Times New Roman"/>
                <w:sz w:val="20"/>
                <w:szCs w:val="20"/>
              </w:rPr>
              <w:t xml:space="preserve">5.6 </w:t>
            </w:r>
            <w:r w:rsidRPr="00C24DBA">
              <w:rPr>
                <w:rFonts w:ascii="Arial Narrow" w:hAnsi="Arial Narrow" w:cs="Times New Roman"/>
                <w:sz w:val="20"/>
                <w:szCs w:val="20"/>
              </w:rPr>
              <w:br/>
              <w:t>(3.4, 8.1)</w:t>
            </w:r>
          </w:p>
        </w:tc>
        <w:tc>
          <w:tcPr>
            <w:tcW w:w="703"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2.6</w:t>
            </w:r>
          </w:p>
        </w:tc>
        <w:tc>
          <w:tcPr>
            <w:tcW w:w="391" w:type="pct"/>
            <w:shd w:val="clear" w:color="auto" w:fill="C6D9F1" w:themeFill="text2" w:themeFillTint="33"/>
            <w:tcMar>
              <w:left w:w="28" w:type="dxa"/>
              <w:right w:w="28" w:type="dxa"/>
            </w:tcMar>
          </w:tcPr>
          <w:p w:rsidR="004B4C7D" w:rsidRPr="00C24DBA" w:rsidRDefault="004B4C7D" w:rsidP="004866BB">
            <w:pPr>
              <w:keepNext/>
              <w:keepLines/>
              <w:jc w:val="center"/>
              <w:rPr>
                <w:rFonts w:ascii="Arial Narrow" w:hAnsi="Arial Narrow" w:cs="Times New Roman"/>
                <w:b/>
                <w:sz w:val="20"/>
                <w:szCs w:val="20"/>
              </w:rPr>
            </w:pPr>
            <w:r w:rsidRPr="00C24DBA">
              <w:rPr>
                <w:rFonts w:ascii="Arial Narrow" w:hAnsi="Arial Narrow" w:cs="Times New Roman"/>
                <w:b/>
                <w:sz w:val="20"/>
                <w:szCs w:val="20"/>
              </w:rPr>
              <w:t>0.01</w:t>
            </w:r>
          </w:p>
        </w:tc>
        <w:tc>
          <w:tcPr>
            <w:tcW w:w="547" w:type="pct"/>
            <w:shd w:val="clear" w:color="auto" w:fill="C6D9F1" w:themeFill="text2" w:themeFillTint="33"/>
            <w:tcMar>
              <w:left w:w="28" w:type="dxa"/>
              <w:right w:w="28" w:type="dxa"/>
            </w:tcMar>
          </w:tcPr>
          <w:p w:rsidR="004B4C7D" w:rsidRPr="00C24DBA" w:rsidRDefault="004B4C7D" w:rsidP="004866BB">
            <w:pPr>
              <w:keepNext/>
              <w:keepLines/>
              <w:autoSpaceDE w:val="0"/>
              <w:autoSpaceDN w:val="0"/>
              <w:adjustRightInd w:val="0"/>
              <w:jc w:val="center"/>
              <w:rPr>
                <w:rFonts w:ascii="Arial Narrow" w:hAnsi="Arial Narrow" w:cs="Times New Roman"/>
                <w:b/>
                <w:sz w:val="20"/>
                <w:szCs w:val="20"/>
              </w:rPr>
            </w:pPr>
            <w:r w:rsidRPr="00C24DBA">
              <w:rPr>
                <w:rFonts w:ascii="Arial Narrow" w:hAnsi="Arial Narrow" w:cs="Times New Roman"/>
                <w:b/>
                <w:sz w:val="20"/>
                <w:szCs w:val="20"/>
              </w:rPr>
              <w:t xml:space="preserve">0.66 </w:t>
            </w:r>
            <w:r w:rsidRPr="00C24DBA">
              <w:rPr>
                <w:rFonts w:ascii="Arial Narrow" w:hAnsi="Arial Narrow" w:cs="Times New Roman"/>
                <w:b/>
                <w:sz w:val="20"/>
                <w:szCs w:val="20"/>
              </w:rPr>
              <w:br/>
              <w:t>(0.46, 0.95)</w:t>
            </w:r>
          </w:p>
        </w:tc>
      </w:tr>
    </w:tbl>
    <w:p w:rsidR="004B4C7D" w:rsidRPr="00C24DBA" w:rsidRDefault="004B4C7D" w:rsidP="005065A0">
      <w:pPr>
        <w:pStyle w:val="TableFigureFooter"/>
      </w:pPr>
      <w:r w:rsidRPr="00C24DBA">
        <w:t>Sources: Table 2.11, p.23; Table 2.12, p.24; of Attachment 3 of the resubmission.</w:t>
      </w:r>
    </w:p>
    <w:p w:rsidR="004B4C7D" w:rsidRPr="00C24DBA" w:rsidRDefault="004B4C7D" w:rsidP="005065A0">
      <w:pPr>
        <w:pStyle w:val="TableFigureFooter"/>
      </w:pPr>
      <w:r w:rsidRPr="00C24DBA">
        <w:t>Abbreviations: CI= confidence interval; HR= hazard ratio; IRC = Independent Radiographical Committee; n = number of participants with event; N = total participants in group; NR = not reported; mths = months; PFS = progression free survival.</w:t>
      </w:r>
    </w:p>
    <w:p w:rsidR="00B43234" w:rsidRPr="00C24DBA" w:rsidRDefault="004B4C7D" w:rsidP="005065A0">
      <w:pPr>
        <w:pStyle w:val="TableFigureFooter"/>
      </w:pPr>
      <w:r w:rsidRPr="00C24DBA">
        <w:t xml:space="preserve">Notes: </w:t>
      </w:r>
      <w:r w:rsidRPr="00C24DBA">
        <w:rPr>
          <w:vertAlign w:val="superscript"/>
        </w:rPr>
        <w:t xml:space="preserve">a </w:t>
      </w:r>
      <w:r w:rsidRPr="00C24DBA">
        <w:t>Log-rank p-value (stratified);</w:t>
      </w:r>
      <w:r w:rsidRPr="00C24DBA">
        <w:rPr>
          <w:vertAlign w:val="superscript"/>
        </w:rPr>
        <w:t xml:space="preserve"> b</w:t>
      </w:r>
      <w:r w:rsidRPr="00C24DBA">
        <w:t xml:space="preserve"> Total PFS events were 123; Statistical differences noted in bold.</w:t>
      </w:r>
      <w:r w:rsidR="00B43234" w:rsidRPr="00C24DBA">
        <w:t xml:space="preserve"> Blue shading denotes text remains unchanged from the previous resubmission. </w:t>
      </w:r>
    </w:p>
    <w:p w:rsidR="009B6E0A" w:rsidRPr="00C24DBA" w:rsidRDefault="009B6E0A" w:rsidP="005065A0">
      <w:pPr>
        <w:pStyle w:val="TableHeading0"/>
      </w:pPr>
      <w:r w:rsidRPr="00C24DBA">
        <w:t xml:space="preserve">Figure </w:t>
      </w:r>
      <w:r w:rsidR="004713CE" w:rsidRPr="00C24DBA">
        <w:t>1</w:t>
      </w:r>
      <w:r w:rsidRPr="00C24DBA">
        <w:t>: Kaplan-Meier Plot of PFS (IRC-determined/FDA-recommended censoring rules; ITT population)</w:t>
      </w:r>
    </w:p>
    <w:p w:rsidR="009B6E0A" w:rsidRPr="00C24DBA" w:rsidRDefault="009B6E0A" w:rsidP="009B6E0A">
      <w:r w:rsidRPr="00C24DBA">
        <w:rPr>
          <w:noProof/>
        </w:rPr>
        <w:drawing>
          <wp:inline distT="0" distB="0" distL="0" distR="0" wp14:anchorId="1AEA2849" wp14:editId="24182E18">
            <wp:extent cx="4924612" cy="2429253"/>
            <wp:effectExtent l="0" t="0" r="0" b="9525"/>
            <wp:docPr id="15" name="Picture 15" title="Figure 2: Kaplan-Meier Plot of PFS (IRC-determined/FDA-recommended censoring rules;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0828" cy="2437252"/>
                    </a:xfrm>
                    <a:prstGeom prst="rect">
                      <a:avLst/>
                    </a:prstGeom>
                  </pic:spPr>
                </pic:pic>
              </a:graphicData>
            </a:graphic>
          </wp:inline>
        </w:drawing>
      </w:r>
    </w:p>
    <w:p w:rsidR="009B6E0A" w:rsidRPr="00C24DBA" w:rsidRDefault="009B6E0A" w:rsidP="00003C3F">
      <w:pPr>
        <w:pStyle w:val="TableFooter"/>
      </w:pPr>
      <w:r w:rsidRPr="00C24DBA">
        <w:t>Source: Figure 2-14, p.25 of Attachment 3 of the resubmission.</w:t>
      </w:r>
    </w:p>
    <w:p w:rsidR="000072D0" w:rsidRPr="00C24DBA" w:rsidRDefault="000072D0" w:rsidP="009B6E0A">
      <w:pPr>
        <w:pStyle w:val="TableFooter"/>
        <w:spacing w:after="240"/>
      </w:pPr>
      <w:r w:rsidRPr="00C24DBA">
        <w:t>Note: Blue shading denotes text remains unchanged from the previous resubmission.</w:t>
      </w:r>
    </w:p>
    <w:p w:rsidR="004B4C7D" w:rsidRPr="00C24DBA" w:rsidRDefault="004B4C7D" w:rsidP="004B4C7D">
      <w:pPr>
        <w:pStyle w:val="3-BodyText"/>
      </w:pPr>
      <w:r w:rsidRPr="00C24DBA">
        <w:lastRenderedPageBreak/>
        <w:t xml:space="preserve">The OS results from CABOSUN are presented in Table </w:t>
      </w:r>
      <w:r w:rsidR="00022511" w:rsidRPr="00C24DBA">
        <w:t>6</w:t>
      </w:r>
      <w:r w:rsidRPr="00C24DBA">
        <w:t>. There was no statistically significant difference in OS for either the earlier data cut-off of September 2016 (HR=0.74; 95% CI: 0.47, 1.14) or the more recent data cut-off of July 2017 (HR=0.80; 95% CI: 0.53, 1.21). The PBAC previously noted that CABOSUN demonstrated a numerical improvement in OS for cabozantinib versus sunitinib but the difference was not statistically significant and appeared to be decreasing with additional follow-up. The PBAC concluded that “the submission’s claim that there was a trend towards improved OS was not supported by the evidence presented” (para 7.6, cabozantinib PSD, March 2019 PBAC Meeting)</w:t>
      </w:r>
      <w:r w:rsidR="00C24DBA">
        <w:t xml:space="preserve">. </w:t>
      </w:r>
    </w:p>
    <w:p w:rsidR="004B4C7D" w:rsidRPr="00C24DBA" w:rsidRDefault="004B4C7D" w:rsidP="005065A0">
      <w:pPr>
        <w:pStyle w:val="TableHeading0"/>
      </w:pPr>
      <w:r w:rsidRPr="00C24DBA">
        <w:t xml:space="preserve">Table </w:t>
      </w:r>
      <w:r w:rsidR="00022511" w:rsidRPr="00C24DBA">
        <w:t>6</w:t>
      </w:r>
      <w:r w:rsidRPr="00C24DBA">
        <w:t>: Results of overall survival - CABOSUN</w:t>
      </w:r>
    </w:p>
    <w:tbl>
      <w:tblPr>
        <w:tblStyle w:val="TableGrid"/>
        <w:tblW w:w="5000" w:type="pct"/>
        <w:tblLook w:val="04A0" w:firstRow="1" w:lastRow="0" w:firstColumn="1" w:lastColumn="0" w:noHBand="0" w:noVBand="1"/>
        <w:tblCaption w:val="Table 6: Results of overall survival - CABOSUN"/>
      </w:tblPr>
      <w:tblGrid>
        <w:gridCol w:w="1239"/>
        <w:gridCol w:w="835"/>
        <w:gridCol w:w="1201"/>
        <w:gridCol w:w="866"/>
        <w:gridCol w:w="1244"/>
        <w:gridCol w:w="1243"/>
        <w:gridCol w:w="968"/>
        <w:gridCol w:w="1421"/>
      </w:tblGrid>
      <w:tr w:rsidR="004B4C7D" w:rsidRPr="00C24DBA" w:rsidTr="005065A0">
        <w:trPr>
          <w:tblHeader/>
        </w:trPr>
        <w:tc>
          <w:tcPr>
            <w:tcW w:w="687" w:type="pct"/>
            <w:vMerge w:val="restart"/>
            <w:shd w:val="clear" w:color="auto" w:fill="C6D9F1" w:themeFill="text2" w:themeFillTint="33"/>
          </w:tcPr>
          <w:p w:rsidR="004B4C7D" w:rsidRPr="00C24DBA" w:rsidRDefault="004B4C7D" w:rsidP="004866BB">
            <w:pPr>
              <w:pStyle w:val="TableText0"/>
              <w:keepLines/>
              <w:rPr>
                <w:szCs w:val="20"/>
              </w:rPr>
            </w:pPr>
          </w:p>
        </w:tc>
        <w:tc>
          <w:tcPr>
            <w:tcW w:w="1129" w:type="pct"/>
            <w:gridSpan w:val="2"/>
            <w:shd w:val="clear" w:color="auto" w:fill="C6D9F1" w:themeFill="text2" w:themeFillTint="33"/>
          </w:tcPr>
          <w:p w:rsidR="004B4C7D" w:rsidRPr="00C24DBA" w:rsidRDefault="004B4C7D" w:rsidP="004866BB">
            <w:pPr>
              <w:pStyle w:val="TableText0"/>
              <w:keepLines/>
              <w:jc w:val="center"/>
              <w:rPr>
                <w:b/>
                <w:szCs w:val="20"/>
              </w:rPr>
            </w:pPr>
            <w:r w:rsidRPr="00C24DBA">
              <w:rPr>
                <w:b/>
                <w:szCs w:val="20"/>
              </w:rPr>
              <w:t>Cabozantinib</w:t>
            </w:r>
          </w:p>
        </w:tc>
        <w:tc>
          <w:tcPr>
            <w:tcW w:w="1169" w:type="pct"/>
            <w:gridSpan w:val="2"/>
            <w:shd w:val="clear" w:color="auto" w:fill="C6D9F1" w:themeFill="text2" w:themeFillTint="33"/>
          </w:tcPr>
          <w:p w:rsidR="004B4C7D" w:rsidRPr="00C24DBA" w:rsidRDefault="004B4C7D" w:rsidP="004866BB">
            <w:pPr>
              <w:pStyle w:val="TableText0"/>
              <w:keepLines/>
              <w:jc w:val="center"/>
              <w:rPr>
                <w:b/>
                <w:szCs w:val="20"/>
              </w:rPr>
            </w:pPr>
            <w:r w:rsidRPr="00C24DBA">
              <w:rPr>
                <w:b/>
                <w:szCs w:val="20"/>
              </w:rPr>
              <w:t>Sunitinib</w:t>
            </w:r>
          </w:p>
        </w:tc>
        <w:tc>
          <w:tcPr>
            <w:tcW w:w="689" w:type="pct"/>
            <w:vMerge w:val="restart"/>
            <w:shd w:val="clear" w:color="auto" w:fill="C6D9F1" w:themeFill="text2" w:themeFillTint="33"/>
          </w:tcPr>
          <w:p w:rsidR="004B4C7D" w:rsidRPr="00C24DBA" w:rsidRDefault="004B4C7D" w:rsidP="004866BB">
            <w:pPr>
              <w:pStyle w:val="TableText0"/>
              <w:keepLines/>
              <w:jc w:val="center"/>
              <w:rPr>
                <w:b/>
                <w:szCs w:val="20"/>
              </w:rPr>
            </w:pPr>
            <w:r w:rsidRPr="00C24DBA">
              <w:rPr>
                <w:rFonts w:eastAsia="Calibri" w:cs="Times New Roman"/>
                <w:b/>
                <w:szCs w:val="20"/>
              </w:rPr>
              <w:t>Difference in median, mths</w:t>
            </w:r>
          </w:p>
        </w:tc>
        <w:tc>
          <w:tcPr>
            <w:tcW w:w="537" w:type="pct"/>
            <w:vMerge w:val="restart"/>
            <w:shd w:val="clear" w:color="auto" w:fill="C6D9F1" w:themeFill="text2" w:themeFillTint="33"/>
          </w:tcPr>
          <w:p w:rsidR="004B4C7D" w:rsidRPr="00C24DBA" w:rsidRDefault="004B4C7D" w:rsidP="004866BB">
            <w:pPr>
              <w:keepNext/>
              <w:keepLines/>
              <w:jc w:val="center"/>
              <w:rPr>
                <w:rFonts w:ascii="Arial Narrow" w:hAnsi="Arial Narrow"/>
                <w:b/>
                <w:sz w:val="20"/>
                <w:szCs w:val="20"/>
                <w:vertAlign w:val="superscript"/>
              </w:rPr>
            </w:pPr>
            <w:r w:rsidRPr="00C24DBA">
              <w:rPr>
                <w:rFonts w:ascii="Arial Narrow" w:eastAsia="Calibri" w:hAnsi="Arial Narrow" w:cs="Times New Roman"/>
                <w:b/>
                <w:sz w:val="20"/>
                <w:szCs w:val="20"/>
              </w:rPr>
              <w:t>p value</w:t>
            </w:r>
            <w:r w:rsidRPr="00C24DBA">
              <w:rPr>
                <w:rFonts w:ascii="Arial Narrow" w:eastAsia="Calibri" w:hAnsi="Arial Narrow" w:cs="Times New Roman"/>
                <w:b/>
                <w:sz w:val="20"/>
                <w:szCs w:val="20"/>
                <w:vertAlign w:val="superscript"/>
              </w:rPr>
              <w:t>a</w:t>
            </w:r>
          </w:p>
        </w:tc>
        <w:tc>
          <w:tcPr>
            <w:tcW w:w="789" w:type="pct"/>
            <w:vMerge w:val="restart"/>
            <w:shd w:val="clear" w:color="auto" w:fill="C6D9F1" w:themeFill="text2" w:themeFillTint="33"/>
          </w:tcPr>
          <w:p w:rsidR="004B4C7D" w:rsidRPr="00C24DBA" w:rsidRDefault="004B4C7D" w:rsidP="004866BB">
            <w:pPr>
              <w:keepNext/>
              <w:keepLines/>
              <w:jc w:val="center"/>
              <w:rPr>
                <w:rFonts w:ascii="Arial Narrow" w:eastAsia="Calibri" w:hAnsi="Arial Narrow" w:cs="Times New Roman"/>
                <w:b/>
                <w:sz w:val="20"/>
                <w:szCs w:val="20"/>
              </w:rPr>
            </w:pPr>
            <w:r w:rsidRPr="00C24DBA">
              <w:rPr>
                <w:rFonts w:ascii="Arial Narrow" w:eastAsia="Calibri" w:hAnsi="Arial Narrow" w:cs="Times New Roman"/>
                <w:b/>
                <w:sz w:val="20"/>
                <w:szCs w:val="20"/>
              </w:rPr>
              <w:t>HR</w:t>
            </w:r>
          </w:p>
          <w:p w:rsidR="004B4C7D" w:rsidRPr="00C24DBA" w:rsidRDefault="004B4C7D" w:rsidP="004866BB">
            <w:pPr>
              <w:keepNext/>
              <w:keepLines/>
              <w:jc w:val="center"/>
              <w:rPr>
                <w:rFonts w:ascii="Arial Narrow" w:hAnsi="Arial Narrow"/>
                <w:b/>
                <w:sz w:val="20"/>
                <w:szCs w:val="20"/>
              </w:rPr>
            </w:pPr>
            <w:r w:rsidRPr="00C24DBA">
              <w:rPr>
                <w:rFonts w:ascii="Arial Narrow" w:eastAsia="Calibri" w:hAnsi="Arial Narrow" w:cs="Times New Roman"/>
                <w:b/>
                <w:sz w:val="20"/>
                <w:szCs w:val="20"/>
              </w:rPr>
              <w:t>(95% CI)</w:t>
            </w:r>
          </w:p>
        </w:tc>
      </w:tr>
      <w:tr w:rsidR="004B4C7D" w:rsidRPr="00C24DBA" w:rsidTr="005065A0">
        <w:trPr>
          <w:tblHeader/>
        </w:trPr>
        <w:tc>
          <w:tcPr>
            <w:tcW w:w="687" w:type="pct"/>
            <w:vMerge/>
            <w:shd w:val="clear" w:color="auto" w:fill="C6D9F1" w:themeFill="text2" w:themeFillTint="33"/>
          </w:tcPr>
          <w:p w:rsidR="004B4C7D" w:rsidRPr="00C24DBA" w:rsidRDefault="004B4C7D" w:rsidP="004866BB">
            <w:pPr>
              <w:pStyle w:val="TableText0"/>
              <w:keepLines/>
              <w:rPr>
                <w:szCs w:val="20"/>
              </w:rPr>
            </w:pPr>
          </w:p>
        </w:tc>
        <w:tc>
          <w:tcPr>
            <w:tcW w:w="463" w:type="pct"/>
            <w:shd w:val="clear" w:color="auto" w:fill="C6D9F1" w:themeFill="text2" w:themeFillTint="33"/>
          </w:tcPr>
          <w:p w:rsidR="004B4C7D" w:rsidRPr="00C24DBA" w:rsidRDefault="004B4C7D" w:rsidP="004866BB">
            <w:pPr>
              <w:pStyle w:val="TableText0"/>
              <w:keepLines/>
              <w:jc w:val="center"/>
              <w:rPr>
                <w:b/>
                <w:szCs w:val="20"/>
              </w:rPr>
            </w:pPr>
            <w:r w:rsidRPr="00C24DBA">
              <w:rPr>
                <w:rFonts w:eastAsia="Calibri" w:cs="Times New Roman"/>
                <w:b/>
                <w:szCs w:val="20"/>
              </w:rPr>
              <w:t>n/N with event (%)</w:t>
            </w:r>
          </w:p>
        </w:tc>
        <w:tc>
          <w:tcPr>
            <w:tcW w:w="666" w:type="pct"/>
            <w:shd w:val="clear" w:color="auto" w:fill="C6D9F1" w:themeFill="text2" w:themeFillTint="33"/>
          </w:tcPr>
          <w:p w:rsidR="004B4C7D" w:rsidRPr="00C24DBA" w:rsidRDefault="004B4C7D" w:rsidP="004866BB">
            <w:pPr>
              <w:pStyle w:val="TableText0"/>
              <w:keepLines/>
              <w:jc w:val="center"/>
              <w:rPr>
                <w:rFonts w:eastAsia="Calibri" w:cs="Times New Roman"/>
                <w:b/>
                <w:szCs w:val="20"/>
              </w:rPr>
            </w:pPr>
            <w:r w:rsidRPr="00C24DBA">
              <w:rPr>
                <w:rFonts w:eastAsia="Calibri" w:cs="Times New Roman"/>
                <w:b/>
                <w:szCs w:val="20"/>
              </w:rPr>
              <w:t>Median mths</w:t>
            </w:r>
          </w:p>
          <w:p w:rsidR="004B4C7D" w:rsidRPr="00C24DBA" w:rsidRDefault="004B4C7D" w:rsidP="004866BB">
            <w:pPr>
              <w:pStyle w:val="TableText0"/>
              <w:keepLines/>
              <w:jc w:val="center"/>
              <w:rPr>
                <w:b/>
                <w:szCs w:val="20"/>
              </w:rPr>
            </w:pPr>
            <w:r w:rsidRPr="00C24DBA">
              <w:rPr>
                <w:rFonts w:eastAsia="Calibri" w:cs="Times New Roman"/>
                <w:b/>
                <w:szCs w:val="20"/>
              </w:rPr>
              <w:t>(95% CI)</w:t>
            </w:r>
          </w:p>
        </w:tc>
        <w:tc>
          <w:tcPr>
            <w:tcW w:w="480" w:type="pct"/>
            <w:shd w:val="clear" w:color="auto" w:fill="C6D9F1" w:themeFill="text2" w:themeFillTint="33"/>
          </w:tcPr>
          <w:p w:rsidR="004B4C7D" w:rsidRPr="00C24DBA" w:rsidRDefault="004B4C7D" w:rsidP="004866BB">
            <w:pPr>
              <w:pStyle w:val="TableText0"/>
              <w:keepLines/>
              <w:jc w:val="center"/>
              <w:rPr>
                <w:b/>
                <w:szCs w:val="20"/>
              </w:rPr>
            </w:pPr>
            <w:r w:rsidRPr="00C24DBA">
              <w:rPr>
                <w:rFonts w:eastAsia="Calibri" w:cs="Times New Roman"/>
                <w:b/>
                <w:szCs w:val="20"/>
              </w:rPr>
              <w:t>n/N with event (%)</w:t>
            </w:r>
          </w:p>
        </w:tc>
        <w:tc>
          <w:tcPr>
            <w:tcW w:w="690" w:type="pct"/>
            <w:shd w:val="clear" w:color="auto" w:fill="C6D9F1" w:themeFill="text2" w:themeFillTint="33"/>
          </w:tcPr>
          <w:p w:rsidR="004B4C7D" w:rsidRPr="00C24DBA" w:rsidRDefault="004B4C7D" w:rsidP="004866BB">
            <w:pPr>
              <w:pStyle w:val="TableText0"/>
              <w:keepLines/>
              <w:jc w:val="center"/>
              <w:rPr>
                <w:b/>
                <w:szCs w:val="20"/>
              </w:rPr>
            </w:pPr>
            <w:r w:rsidRPr="00C24DBA">
              <w:rPr>
                <w:rFonts w:eastAsia="Calibri" w:cs="Times New Roman"/>
                <w:b/>
                <w:szCs w:val="20"/>
              </w:rPr>
              <w:t>Median mths (95% CI)</w:t>
            </w:r>
          </w:p>
        </w:tc>
        <w:tc>
          <w:tcPr>
            <w:tcW w:w="689" w:type="pct"/>
            <w:vMerge/>
            <w:shd w:val="clear" w:color="auto" w:fill="C6D9F1" w:themeFill="text2" w:themeFillTint="33"/>
          </w:tcPr>
          <w:p w:rsidR="004B4C7D" w:rsidRPr="00C24DBA" w:rsidRDefault="004B4C7D" w:rsidP="004866BB">
            <w:pPr>
              <w:pStyle w:val="TableText0"/>
              <w:keepLines/>
              <w:rPr>
                <w:b/>
                <w:szCs w:val="20"/>
              </w:rPr>
            </w:pPr>
          </w:p>
        </w:tc>
        <w:tc>
          <w:tcPr>
            <w:tcW w:w="537" w:type="pct"/>
            <w:vMerge/>
            <w:shd w:val="clear" w:color="auto" w:fill="C6D9F1" w:themeFill="text2" w:themeFillTint="33"/>
          </w:tcPr>
          <w:p w:rsidR="004B4C7D" w:rsidRPr="00C24DBA" w:rsidRDefault="004B4C7D" w:rsidP="004866BB">
            <w:pPr>
              <w:keepNext/>
              <w:keepLines/>
              <w:rPr>
                <w:rFonts w:ascii="Arial Narrow" w:eastAsia="Calibri" w:hAnsi="Arial Narrow" w:cs="Times New Roman"/>
                <w:b/>
                <w:sz w:val="20"/>
                <w:szCs w:val="20"/>
              </w:rPr>
            </w:pPr>
          </w:p>
        </w:tc>
        <w:tc>
          <w:tcPr>
            <w:tcW w:w="789" w:type="pct"/>
            <w:vMerge/>
            <w:shd w:val="clear" w:color="auto" w:fill="C6D9F1" w:themeFill="text2" w:themeFillTint="33"/>
          </w:tcPr>
          <w:p w:rsidR="004B4C7D" w:rsidRPr="00C24DBA" w:rsidRDefault="004B4C7D" w:rsidP="004866BB">
            <w:pPr>
              <w:keepNext/>
              <w:keepLines/>
              <w:rPr>
                <w:rFonts w:ascii="Arial Narrow" w:eastAsia="Calibri" w:hAnsi="Arial Narrow" w:cs="Times New Roman"/>
                <w:b/>
                <w:sz w:val="20"/>
                <w:szCs w:val="20"/>
              </w:rPr>
            </w:pPr>
          </w:p>
        </w:tc>
      </w:tr>
      <w:tr w:rsidR="004B4C7D" w:rsidRPr="00C24DBA" w:rsidTr="005065A0">
        <w:tc>
          <w:tcPr>
            <w:tcW w:w="687" w:type="pct"/>
            <w:shd w:val="clear" w:color="auto" w:fill="C6D9F1" w:themeFill="text2" w:themeFillTint="33"/>
          </w:tcPr>
          <w:p w:rsidR="004B4C7D" w:rsidRPr="00C24DBA" w:rsidRDefault="004B4C7D" w:rsidP="004866BB">
            <w:pPr>
              <w:keepNext/>
              <w:keepLines/>
              <w:jc w:val="left"/>
              <w:rPr>
                <w:rFonts w:ascii="Arial Narrow" w:hAnsi="Arial Narrow" w:cs="Times New Roman"/>
                <w:sz w:val="20"/>
                <w:szCs w:val="20"/>
              </w:rPr>
            </w:pPr>
            <w:r w:rsidRPr="00C24DBA">
              <w:rPr>
                <w:rFonts w:ascii="Arial Narrow" w:hAnsi="Arial Narrow" w:cs="Times New Roman"/>
                <w:sz w:val="20"/>
                <w:szCs w:val="20"/>
              </w:rPr>
              <w:t>September 2016 cut-off.</w:t>
            </w:r>
          </w:p>
        </w:tc>
        <w:tc>
          <w:tcPr>
            <w:tcW w:w="463"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sz w:val="20"/>
                <w:szCs w:val="20"/>
              </w:rPr>
              <w:t>38/79 (48)</w:t>
            </w:r>
          </w:p>
        </w:tc>
        <w:tc>
          <w:tcPr>
            <w:tcW w:w="666"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sz w:val="20"/>
                <w:szCs w:val="20"/>
              </w:rPr>
              <w:t xml:space="preserve">30.3 </w:t>
            </w:r>
            <w:r w:rsidRPr="00C24DBA">
              <w:rPr>
                <w:rFonts w:ascii="Arial Narrow" w:hAnsi="Arial Narrow"/>
                <w:sz w:val="20"/>
                <w:szCs w:val="20"/>
              </w:rPr>
              <w:br/>
              <w:t>(14.6, NE)</w:t>
            </w:r>
          </w:p>
        </w:tc>
        <w:tc>
          <w:tcPr>
            <w:tcW w:w="480"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sz w:val="20"/>
                <w:szCs w:val="20"/>
              </w:rPr>
              <w:t>45/78 (58)</w:t>
            </w:r>
          </w:p>
        </w:tc>
        <w:tc>
          <w:tcPr>
            <w:tcW w:w="690"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sz w:val="20"/>
                <w:szCs w:val="20"/>
              </w:rPr>
              <w:t xml:space="preserve">21.0 </w:t>
            </w:r>
            <w:r w:rsidRPr="00C24DBA">
              <w:rPr>
                <w:rFonts w:ascii="Arial Narrow" w:hAnsi="Arial Narrow"/>
                <w:sz w:val="20"/>
                <w:szCs w:val="20"/>
              </w:rPr>
              <w:br/>
              <w:t>(16.3, 27.0)</w:t>
            </w:r>
          </w:p>
        </w:tc>
        <w:tc>
          <w:tcPr>
            <w:tcW w:w="689"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9.3</w:t>
            </w:r>
          </w:p>
        </w:tc>
        <w:tc>
          <w:tcPr>
            <w:tcW w:w="537"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sz w:val="20"/>
                <w:szCs w:val="20"/>
              </w:rPr>
              <w:t>0.17</w:t>
            </w:r>
          </w:p>
        </w:tc>
        <w:tc>
          <w:tcPr>
            <w:tcW w:w="789"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sz w:val="20"/>
                <w:szCs w:val="20"/>
              </w:rPr>
              <w:t xml:space="preserve">0.74 </w:t>
            </w:r>
            <w:r w:rsidRPr="00C24DBA">
              <w:rPr>
                <w:rFonts w:ascii="Arial Narrow" w:hAnsi="Arial Narrow"/>
                <w:sz w:val="20"/>
                <w:szCs w:val="20"/>
              </w:rPr>
              <w:br/>
              <w:t>(0.47, 1.14)</w:t>
            </w:r>
          </w:p>
        </w:tc>
      </w:tr>
      <w:tr w:rsidR="004B4C7D" w:rsidRPr="00C24DBA" w:rsidTr="005065A0">
        <w:tc>
          <w:tcPr>
            <w:tcW w:w="687" w:type="pct"/>
            <w:shd w:val="clear" w:color="auto" w:fill="C6D9F1" w:themeFill="text2" w:themeFillTint="33"/>
          </w:tcPr>
          <w:p w:rsidR="004B4C7D" w:rsidRPr="00C24DBA" w:rsidRDefault="004B4C7D" w:rsidP="004866BB">
            <w:pPr>
              <w:keepNext/>
              <w:keepLines/>
              <w:jc w:val="left"/>
              <w:rPr>
                <w:rFonts w:ascii="Arial Narrow" w:hAnsi="Arial Narrow" w:cs="Times New Roman"/>
                <w:sz w:val="20"/>
                <w:szCs w:val="20"/>
              </w:rPr>
            </w:pPr>
            <w:r w:rsidRPr="00C24DBA">
              <w:rPr>
                <w:rFonts w:ascii="Arial Narrow" w:hAnsi="Arial Narrow" w:cs="Times New Roman"/>
                <w:sz w:val="20"/>
                <w:szCs w:val="20"/>
              </w:rPr>
              <w:t>July 2017 cut-off.</w:t>
            </w:r>
          </w:p>
        </w:tc>
        <w:tc>
          <w:tcPr>
            <w:tcW w:w="463"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43/79 (54)</w:t>
            </w:r>
          </w:p>
        </w:tc>
        <w:tc>
          <w:tcPr>
            <w:tcW w:w="666"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 xml:space="preserve">26.6 </w:t>
            </w:r>
            <w:r w:rsidRPr="00C24DBA">
              <w:rPr>
                <w:rFonts w:ascii="Arial Narrow" w:hAnsi="Arial Narrow" w:cs="Times New Roman"/>
                <w:sz w:val="20"/>
                <w:szCs w:val="20"/>
              </w:rPr>
              <w:br/>
              <w:t>(14.6, NE)</w:t>
            </w:r>
          </w:p>
        </w:tc>
        <w:tc>
          <w:tcPr>
            <w:tcW w:w="480"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47/78 (60)</w:t>
            </w:r>
          </w:p>
        </w:tc>
        <w:tc>
          <w:tcPr>
            <w:tcW w:w="690"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 xml:space="preserve">21.2 </w:t>
            </w:r>
            <w:r w:rsidRPr="00C24DBA">
              <w:rPr>
                <w:rFonts w:ascii="Arial Narrow" w:hAnsi="Arial Narrow" w:cs="Times New Roman"/>
                <w:sz w:val="20"/>
                <w:szCs w:val="20"/>
              </w:rPr>
              <w:br/>
              <w:t>(16.3, 27.4)</w:t>
            </w:r>
          </w:p>
        </w:tc>
        <w:tc>
          <w:tcPr>
            <w:tcW w:w="689"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5.4</w:t>
            </w:r>
          </w:p>
        </w:tc>
        <w:tc>
          <w:tcPr>
            <w:tcW w:w="537"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0.29</w:t>
            </w:r>
          </w:p>
        </w:tc>
        <w:tc>
          <w:tcPr>
            <w:tcW w:w="789" w:type="pct"/>
            <w:shd w:val="clear" w:color="auto" w:fill="C6D9F1" w:themeFill="text2" w:themeFillTint="33"/>
          </w:tcPr>
          <w:p w:rsidR="004B4C7D" w:rsidRPr="00C24DBA" w:rsidRDefault="004B4C7D" w:rsidP="004866BB">
            <w:pPr>
              <w:keepNext/>
              <w:keepLines/>
              <w:jc w:val="center"/>
              <w:rPr>
                <w:rFonts w:ascii="Arial Narrow" w:hAnsi="Arial Narrow" w:cs="Times New Roman"/>
                <w:sz w:val="20"/>
                <w:szCs w:val="20"/>
              </w:rPr>
            </w:pPr>
            <w:r w:rsidRPr="00C24DBA">
              <w:rPr>
                <w:rFonts w:ascii="Arial Narrow" w:hAnsi="Arial Narrow" w:cs="Times New Roman"/>
                <w:sz w:val="20"/>
                <w:szCs w:val="20"/>
              </w:rPr>
              <w:t xml:space="preserve">0.80 </w:t>
            </w:r>
            <w:r w:rsidRPr="00C24DBA">
              <w:rPr>
                <w:rFonts w:ascii="Arial Narrow" w:hAnsi="Arial Narrow" w:cs="Times New Roman"/>
                <w:sz w:val="20"/>
                <w:szCs w:val="20"/>
              </w:rPr>
              <w:br/>
              <w:t>(0.53,1.21)</w:t>
            </w:r>
          </w:p>
        </w:tc>
      </w:tr>
    </w:tbl>
    <w:p w:rsidR="004B4C7D" w:rsidRPr="00C24DBA" w:rsidRDefault="004B4C7D" w:rsidP="005065A0">
      <w:pPr>
        <w:pStyle w:val="TableFigureFooter"/>
      </w:pPr>
      <w:r w:rsidRPr="00C24DBA">
        <w:t>Sources: Table 2.20, p.34; Figure 2.16, p.35 of Attachment 3 of the resubmission.</w:t>
      </w:r>
    </w:p>
    <w:p w:rsidR="004B4C7D" w:rsidRPr="00C24DBA" w:rsidRDefault="004B4C7D" w:rsidP="005065A0">
      <w:pPr>
        <w:pStyle w:val="TableFigureFooter"/>
      </w:pPr>
      <w:r w:rsidRPr="00C24DBA">
        <w:t xml:space="preserve">Abbreviations: CI= confidence interval; HR= hazard ratio; </w:t>
      </w:r>
      <w:r w:rsidR="00B43234" w:rsidRPr="00C24DBA">
        <w:t xml:space="preserve">mths = months; </w:t>
      </w:r>
      <w:r w:rsidRPr="00C24DBA">
        <w:t>n = number of participants with event; N = total participants in group; NE = not estimable</w:t>
      </w:r>
      <w:r w:rsidR="00B43234" w:rsidRPr="00C24DBA">
        <w:t>.</w:t>
      </w:r>
    </w:p>
    <w:p w:rsidR="00B43234" w:rsidRPr="00C24DBA" w:rsidRDefault="004B4C7D" w:rsidP="005065A0">
      <w:pPr>
        <w:pStyle w:val="TableFigureFooter"/>
      </w:pPr>
      <w:r w:rsidRPr="00C24DBA">
        <w:t xml:space="preserve">Notes: </w:t>
      </w:r>
      <w:r w:rsidRPr="00C24DBA">
        <w:rPr>
          <w:vertAlign w:val="superscript"/>
        </w:rPr>
        <w:t xml:space="preserve">a </w:t>
      </w:r>
      <w:r w:rsidRPr="00C24DBA">
        <w:t>Log-rank p-value (stratified)</w:t>
      </w:r>
      <w:r w:rsidR="00B43234" w:rsidRPr="00C24DBA">
        <w:t xml:space="preserve">. Blue shading denotes text remains unchanged from the previous resubmission. </w:t>
      </w:r>
    </w:p>
    <w:p w:rsidR="009B6E0A" w:rsidRPr="00C24DBA" w:rsidRDefault="004713CE" w:rsidP="005065A0">
      <w:pPr>
        <w:pStyle w:val="TableHeading0"/>
      </w:pPr>
      <w:r w:rsidRPr="00C24DBA">
        <w:t>Figure 2</w:t>
      </w:r>
      <w:r w:rsidR="009B6E0A" w:rsidRPr="00C24DBA">
        <w:t>: Kaplan-Meier plot of OS in CABOSUN (July 2017; ITT population)</w:t>
      </w:r>
    </w:p>
    <w:p w:rsidR="009B6E0A" w:rsidRPr="00C24DBA" w:rsidRDefault="009B6E0A" w:rsidP="009B6E0A">
      <w:r w:rsidRPr="00C24DBA">
        <w:rPr>
          <w:noProof/>
        </w:rPr>
        <w:drawing>
          <wp:inline distT="0" distB="0" distL="0" distR="0" wp14:anchorId="4EAD23B0" wp14:editId="633EF007">
            <wp:extent cx="4613835" cy="2244918"/>
            <wp:effectExtent l="0" t="0" r="0" b="3175"/>
            <wp:docPr id="18" name="Picture 18" title="Figure 3: Kaplan-Meier plot of OS in CABOSUN (July 2017;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6579" cy="2251119"/>
                    </a:xfrm>
                    <a:prstGeom prst="rect">
                      <a:avLst/>
                    </a:prstGeom>
                  </pic:spPr>
                </pic:pic>
              </a:graphicData>
            </a:graphic>
          </wp:inline>
        </w:drawing>
      </w:r>
    </w:p>
    <w:p w:rsidR="006F46B9" w:rsidRPr="00C24DBA" w:rsidRDefault="009B6E0A" w:rsidP="005065A0">
      <w:pPr>
        <w:pStyle w:val="TableFigureFooter"/>
      </w:pPr>
      <w:r w:rsidRPr="00C24DBA">
        <w:t>Source: Figure 2-16, p.35 of Attachment 3 of the resubmission.</w:t>
      </w:r>
    </w:p>
    <w:p w:rsidR="000072D0" w:rsidRPr="00C24DBA" w:rsidRDefault="000072D0" w:rsidP="005065A0">
      <w:pPr>
        <w:pStyle w:val="TableFigureFooter"/>
      </w:pPr>
      <w:r w:rsidRPr="00C24DBA">
        <w:t>Note: Blue shading denotes text remains unchanged from the previous resubmission.</w:t>
      </w:r>
    </w:p>
    <w:p w:rsidR="004B4C7D" w:rsidRPr="00C24DBA" w:rsidRDefault="004B4C7D" w:rsidP="004B4C7D">
      <w:pPr>
        <w:pStyle w:val="3-BodyText"/>
        <w:numPr>
          <w:ilvl w:val="0"/>
          <w:numId w:val="0"/>
        </w:numPr>
        <w:rPr>
          <w:color w:val="000000" w:themeColor="text1"/>
          <w:u w:val="single"/>
        </w:rPr>
      </w:pPr>
      <w:r w:rsidRPr="00C24DBA">
        <w:rPr>
          <w:snapToGrid/>
          <w:color w:val="000000" w:themeColor="text1"/>
          <w:u w:val="single"/>
        </w:rPr>
        <w:t>TKI-naïve post-immunotherapy</w:t>
      </w:r>
    </w:p>
    <w:p w:rsidR="004B4C7D" w:rsidRPr="00C24DBA" w:rsidRDefault="004B4C7D" w:rsidP="004B4C7D">
      <w:pPr>
        <w:pStyle w:val="3-BodyText"/>
        <w:rPr>
          <w:color w:val="0066FF"/>
        </w:rPr>
      </w:pPr>
      <w:r w:rsidRPr="00C24DBA">
        <w:rPr>
          <w:iCs/>
        </w:rPr>
        <w:t xml:space="preserve">Results for </w:t>
      </w:r>
      <w:r w:rsidR="003F0420" w:rsidRPr="00C24DBA">
        <w:rPr>
          <w:iCs/>
        </w:rPr>
        <w:t xml:space="preserve">the </w:t>
      </w:r>
      <w:r w:rsidRPr="00C24DBA">
        <w:rPr>
          <w:iCs/>
        </w:rPr>
        <w:t xml:space="preserve">clinical outcomes including PFS and OS from the studies included as clinical evidence for cabozantinib used as the first TKI post-immunotherapy and as the second (or subsequent) TKI post-immunotherapy were unchanged from the March 2020 resubmission. </w:t>
      </w:r>
    </w:p>
    <w:p w:rsidR="004B4C7D" w:rsidRPr="00C24DBA" w:rsidRDefault="004B4C7D" w:rsidP="004B4C7D">
      <w:pPr>
        <w:pStyle w:val="3-BodyText"/>
        <w:rPr>
          <w:color w:val="000000" w:themeColor="text1"/>
        </w:rPr>
      </w:pPr>
      <w:r w:rsidRPr="00C24DBA">
        <w:rPr>
          <w:color w:val="000000" w:themeColor="text1"/>
        </w:rPr>
        <w:t xml:space="preserve">A summary of the PFS results for cabozantinib as the first TKI post-immunotherapy compared with its use in treatment-naïve patients (CABOSUN) is presented in Table </w:t>
      </w:r>
      <w:r w:rsidR="00022511" w:rsidRPr="00C24DBA">
        <w:rPr>
          <w:color w:val="000000" w:themeColor="text1"/>
        </w:rPr>
        <w:t>7</w:t>
      </w:r>
      <w:r w:rsidRPr="00C24DBA">
        <w:rPr>
          <w:color w:val="000000" w:themeColor="text1"/>
        </w:rPr>
        <w:t xml:space="preserve">. </w:t>
      </w:r>
    </w:p>
    <w:p w:rsidR="004B4C7D" w:rsidRPr="00C24DBA" w:rsidRDefault="009B6E0A" w:rsidP="005065A0">
      <w:pPr>
        <w:pStyle w:val="TableHeading0"/>
      </w:pPr>
      <w:r w:rsidRPr="00C24DBA">
        <w:lastRenderedPageBreak/>
        <w:t xml:space="preserve">Table </w:t>
      </w:r>
      <w:r w:rsidR="00022511" w:rsidRPr="00C24DBA">
        <w:t>7</w:t>
      </w:r>
      <w:r w:rsidR="004B4C7D" w:rsidRPr="00C24DBA">
        <w:t xml:space="preserve">: PFS with cabozantinib and other TKIs in the treatment-naïve and TKI-naive post-immunotherapy settings </w:t>
      </w:r>
    </w:p>
    <w:tbl>
      <w:tblPr>
        <w:tblStyle w:val="TableGrid"/>
        <w:tblW w:w="5000" w:type="pct"/>
        <w:shd w:val="clear" w:color="auto" w:fill="C6D9F1" w:themeFill="text2" w:themeFillTint="33"/>
        <w:tblLook w:val="04A0" w:firstRow="1" w:lastRow="0" w:firstColumn="1" w:lastColumn="0" w:noHBand="0" w:noVBand="1"/>
        <w:tblCaption w:val="Table 7: PFS with cabozantinib and other TKIs in the treatment-naïve and TKI-naive post-immunotherapy settings "/>
      </w:tblPr>
      <w:tblGrid>
        <w:gridCol w:w="2190"/>
        <w:gridCol w:w="1277"/>
        <w:gridCol w:w="1181"/>
        <w:gridCol w:w="2537"/>
        <w:gridCol w:w="1832"/>
      </w:tblGrid>
      <w:tr w:rsidR="004B4C7D" w:rsidRPr="005065A0" w:rsidTr="005065A0">
        <w:trPr>
          <w:trHeight w:val="355"/>
          <w:tblHeader/>
        </w:trPr>
        <w:tc>
          <w:tcPr>
            <w:tcW w:w="1214"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Study ID</w:t>
            </w:r>
          </w:p>
          <w:p w:rsidR="004B4C7D" w:rsidRPr="005065A0" w:rsidRDefault="004B4C7D" w:rsidP="00AD215A">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Source</w:t>
            </w:r>
          </w:p>
        </w:tc>
        <w:tc>
          <w:tcPr>
            <w:tcW w:w="708"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TKI</w:t>
            </w:r>
          </w:p>
        </w:tc>
        <w:tc>
          <w:tcPr>
            <w:tcW w:w="655"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n/N (%)</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Median PFS months (95% CI)</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PFS rate 1 year (%)</w:t>
            </w:r>
          </w:p>
        </w:tc>
      </w:tr>
      <w:tr w:rsidR="004B4C7D" w:rsidRPr="005065A0" w:rsidTr="005065A0">
        <w:trPr>
          <w:trHeight w:val="139"/>
        </w:trPr>
        <w:tc>
          <w:tcPr>
            <w:tcW w:w="5000" w:type="pct"/>
            <w:gridSpan w:val="5"/>
            <w:shd w:val="clear" w:color="auto" w:fill="C6D9F1" w:themeFill="text2" w:themeFillTint="33"/>
            <w:vAlign w:val="center"/>
          </w:tcPr>
          <w:p w:rsidR="004B4C7D" w:rsidRPr="005065A0" w:rsidRDefault="004B4C7D" w:rsidP="00AD215A">
            <w:pPr>
              <w:pStyle w:val="TableLeft"/>
              <w:keepNext/>
              <w:keepLines/>
              <w:rPr>
                <w:rStyle w:val="SmallBold"/>
                <w:rFonts w:ascii="Arial Narrow" w:hAnsi="Arial Narrow" w:cstheme="minorHAnsi"/>
                <w:szCs w:val="20"/>
              </w:rPr>
            </w:pPr>
            <w:r w:rsidRPr="005065A0">
              <w:rPr>
                <w:rStyle w:val="SmallBold"/>
                <w:rFonts w:ascii="Arial Narrow" w:hAnsi="Arial Narrow" w:cstheme="minorHAnsi"/>
                <w:szCs w:val="20"/>
              </w:rPr>
              <w:t>Treatment-naïve setting</w:t>
            </w:r>
          </w:p>
        </w:tc>
      </w:tr>
      <w:tr w:rsidR="004B4C7D" w:rsidRPr="005065A0" w:rsidTr="005065A0">
        <w:trPr>
          <w:trHeight w:val="187"/>
        </w:trPr>
        <w:tc>
          <w:tcPr>
            <w:tcW w:w="1214" w:type="pct"/>
            <w:vMerge w:val="restart"/>
            <w:shd w:val="clear" w:color="auto" w:fill="C6D9F1" w:themeFill="text2" w:themeFillTint="33"/>
          </w:tcPr>
          <w:p w:rsidR="004B4C7D" w:rsidRPr="005065A0" w:rsidRDefault="004B4C7D" w:rsidP="00AD215A">
            <w:pPr>
              <w:pStyle w:val="TableLeft"/>
              <w:keepNext/>
              <w:keepLines/>
              <w:rPr>
                <w:rStyle w:val="SmallBold"/>
                <w:rFonts w:ascii="Arial Narrow" w:hAnsi="Arial Narrow" w:cstheme="minorHAnsi"/>
                <w:b w:val="0"/>
                <w:szCs w:val="20"/>
              </w:rPr>
            </w:pPr>
            <w:r w:rsidRPr="005065A0">
              <w:rPr>
                <w:rStyle w:val="SmallBold"/>
                <w:rFonts w:ascii="Arial Narrow" w:hAnsi="Arial Narrow" w:cstheme="minorHAnsi"/>
                <w:b w:val="0"/>
                <w:szCs w:val="20"/>
              </w:rPr>
              <w:t>CABOSUN</w:t>
            </w:r>
          </w:p>
        </w:tc>
        <w:tc>
          <w:tcPr>
            <w:tcW w:w="708" w:type="pct"/>
            <w:shd w:val="clear" w:color="auto" w:fill="C6D9F1" w:themeFill="text2" w:themeFillTint="33"/>
            <w:vAlign w:val="center"/>
          </w:tcPr>
          <w:p w:rsidR="004B4C7D" w:rsidRPr="005065A0" w:rsidRDefault="004B4C7D" w:rsidP="00AD215A">
            <w:pPr>
              <w:pStyle w:val="TableLeft"/>
              <w:keepNext/>
              <w:keepLines/>
              <w:rPr>
                <w:rStyle w:val="SmallBold"/>
                <w:rFonts w:ascii="Arial Narrow" w:hAnsi="Arial Narrow" w:cstheme="minorHAnsi"/>
                <w:b w:val="0"/>
                <w:szCs w:val="20"/>
              </w:rPr>
            </w:pPr>
            <w:r w:rsidRPr="005065A0">
              <w:rPr>
                <w:rStyle w:val="SmallBold"/>
                <w:rFonts w:ascii="Arial Narrow" w:hAnsi="Arial Narrow" w:cstheme="minorHAnsi"/>
                <w:b w:val="0"/>
                <w:szCs w:val="20"/>
              </w:rPr>
              <w:t>Cabozantinib</w:t>
            </w:r>
          </w:p>
        </w:tc>
        <w:tc>
          <w:tcPr>
            <w:tcW w:w="655"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b w:val="0"/>
                <w:szCs w:val="20"/>
              </w:rPr>
            </w:pPr>
            <w:r w:rsidRPr="005065A0">
              <w:rPr>
                <w:rStyle w:val="SmallBold"/>
                <w:rFonts w:ascii="Arial Narrow" w:hAnsi="Arial Narrow" w:cstheme="minorHAnsi"/>
                <w:b w:val="0"/>
                <w:szCs w:val="20"/>
              </w:rPr>
              <w:t>43/79 (54)</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b w:val="0"/>
                <w:szCs w:val="20"/>
              </w:rPr>
            </w:pPr>
            <w:r w:rsidRPr="005065A0">
              <w:rPr>
                <w:rStyle w:val="SmallBold"/>
                <w:rFonts w:ascii="Arial Narrow" w:hAnsi="Arial Narrow" w:cstheme="minorHAnsi"/>
                <w:b w:val="0"/>
                <w:szCs w:val="20"/>
              </w:rPr>
              <w:t>8.6 (6.8, 14.0)</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b w:val="0"/>
                <w:szCs w:val="20"/>
              </w:rPr>
            </w:pPr>
            <w:r w:rsidRPr="005065A0">
              <w:rPr>
                <w:rStyle w:val="SmallBold"/>
                <w:rFonts w:ascii="Arial Narrow" w:hAnsi="Arial Narrow" w:cstheme="minorHAnsi"/>
                <w:b w:val="0"/>
                <w:szCs w:val="20"/>
              </w:rPr>
              <w:t>43</w:t>
            </w:r>
          </w:p>
        </w:tc>
      </w:tr>
      <w:tr w:rsidR="004B4C7D" w:rsidRPr="005065A0" w:rsidTr="005065A0">
        <w:trPr>
          <w:trHeight w:val="469"/>
        </w:trPr>
        <w:tc>
          <w:tcPr>
            <w:tcW w:w="1214" w:type="pct"/>
            <w:vMerge/>
            <w:shd w:val="clear" w:color="auto" w:fill="C6D9F1" w:themeFill="text2" w:themeFillTint="33"/>
            <w:vAlign w:val="center"/>
          </w:tcPr>
          <w:p w:rsidR="004B4C7D" w:rsidRPr="005065A0" w:rsidRDefault="004B4C7D" w:rsidP="00AD215A">
            <w:pPr>
              <w:pStyle w:val="TableLeft"/>
              <w:keepNext/>
              <w:keepLines/>
              <w:rPr>
                <w:rStyle w:val="SmallBold"/>
                <w:rFonts w:ascii="Arial Narrow" w:hAnsi="Arial Narrow" w:cstheme="minorHAnsi"/>
                <w:b w:val="0"/>
                <w:szCs w:val="20"/>
              </w:rPr>
            </w:pPr>
          </w:p>
        </w:tc>
        <w:tc>
          <w:tcPr>
            <w:tcW w:w="708" w:type="pct"/>
            <w:shd w:val="clear" w:color="auto" w:fill="C6D9F1" w:themeFill="text2" w:themeFillTint="33"/>
            <w:vAlign w:val="center"/>
          </w:tcPr>
          <w:p w:rsidR="004B4C7D" w:rsidRPr="005065A0" w:rsidRDefault="004B4C7D" w:rsidP="00AD215A">
            <w:pPr>
              <w:pStyle w:val="TableLeft"/>
              <w:keepNext/>
              <w:keepLines/>
              <w:rPr>
                <w:rStyle w:val="SmallBold"/>
                <w:rFonts w:ascii="Arial Narrow" w:hAnsi="Arial Narrow" w:cstheme="minorHAnsi"/>
                <w:b w:val="0"/>
                <w:szCs w:val="20"/>
              </w:rPr>
            </w:pPr>
            <w:r w:rsidRPr="005065A0">
              <w:rPr>
                <w:rStyle w:val="SmallBold"/>
                <w:rFonts w:ascii="Arial Narrow" w:hAnsi="Arial Narrow" w:cstheme="minorHAnsi"/>
                <w:b w:val="0"/>
                <w:szCs w:val="20"/>
              </w:rPr>
              <w:t>Sunitinib</w:t>
            </w:r>
          </w:p>
        </w:tc>
        <w:tc>
          <w:tcPr>
            <w:tcW w:w="655" w:type="pct"/>
            <w:shd w:val="clear" w:color="auto" w:fill="C6D9F1" w:themeFill="text2" w:themeFillTint="33"/>
          </w:tcPr>
          <w:p w:rsidR="004B4C7D" w:rsidRPr="005065A0" w:rsidRDefault="004B4C7D" w:rsidP="00AD215A">
            <w:pPr>
              <w:pStyle w:val="TableLeft"/>
              <w:keepNext/>
              <w:keepLines/>
              <w:jc w:val="center"/>
              <w:rPr>
                <w:rStyle w:val="SmallBold"/>
                <w:rFonts w:ascii="Arial Narrow" w:hAnsi="Arial Narrow" w:cstheme="minorHAnsi"/>
                <w:b w:val="0"/>
                <w:bCs/>
                <w:szCs w:val="20"/>
              </w:rPr>
            </w:pPr>
            <w:r w:rsidRPr="005065A0">
              <w:rPr>
                <w:rFonts w:ascii="Arial Narrow" w:hAnsi="Arial Narrow"/>
                <w:szCs w:val="20"/>
              </w:rPr>
              <w:t>49/78 (63)</w:t>
            </w:r>
          </w:p>
        </w:tc>
        <w:tc>
          <w:tcPr>
            <w:tcW w:w="1407" w:type="pct"/>
            <w:shd w:val="clear" w:color="auto" w:fill="C6D9F1" w:themeFill="text2" w:themeFillTint="33"/>
          </w:tcPr>
          <w:p w:rsidR="004B4C7D" w:rsidRPr="005065A0" w:rsidRDefault="004B4C7D" w:rsidP="00AD215A">
            <w:pPr>
              <w:pStyle w:val="TableLeft"/>
              <w:keepNext/>
              <w:keepLines/>
              <w:jc w:val="center"/>
              <w:rPr>
                <w:rStyle w:val="SmallBold"/>
                <w:rFonts w:ascii="Arial Narrow" w:hAnsi="Arial Narrow" w:cstheme="minorHAnsi"/>
                <w:b w:val="0"/>
                <w:bCs/>
                <w:szCs w:val="20"/>
              </w:rPr>
            </w:pPr>
            <w:r w:rsidRPr="005065A0">
              <w:rPr>
                <w:rFonts w:ascii="Arial Narrow" w:hAnsi="Arial Narrow"/>
                <w:szCs w:val="20"/>
              </w:rPr>
              <w:t>5.3 (3.0, 8.2)</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Style w:val="SmallBold"/>
                <w:rFonts w:ascii="Arial Narrow" w:hAnsi="Arial Narrow" w:cstheme="minorHAnsi"/>
                <w:b w:val="0"/>
                <w:szCs w:val="20"/>
              </w:rPr>
            </w:pPr>
            <w:r w:rsidRPr="005065A0">
              <w:rPr>
                <w:rStyle w:val="SmallBold"/>
                <w:rFonts w:ascii="Arial Narrow" w:hAnsi="Arial Narrow" w:cstheme="minorHAnsi"/>
                <w:b w:val="0"/>
                <w:szCs w:val="20"/>
              </w:rPr>
              <w:t>21</w:t>
            </w:r>
          </w:p>
        </w:tc>
      </w:tr>
      <w:tr w:rsidR="004B4C7D" w:rsidRPr="005065A0" w:rsidTr="005065A0">
        <w:trPr>
          <w:trHeight w:val="215"/>
        </w:trPr>
        <w:tc>
          <w:tcPr>
            <w:tcW w:w="5000" w:type="pct"/>
            <w:gridSpan w:val="5"/>
            <w:shd w:val="clear" w:color="auto" w:fill="C6D9F1" w:themeFill="text2" w:themeFillTint="33"/>
            <w:vAlign w:val="center"/>
          </w:tcPr>
          <w:p w:rsidR="004B4C7D" w:rsidRPr="005065A0" w:rsidRDefault="004B4C7D" w:rsidP="00AD215A">
            <w:pPr>
              <w:pStyle w:val="TableLeft"/>
              <w:keepNext/>
              <w:keepLines/>
              <w:rPr>
                <w:rStyle w:val="SmallBold"/>
                <w:rFonts w:ascii="Arial Narrow" w:hAnsi="Arial Narrow" w:cstheme="minorHAnsi"/>
                <w:szCs w:val="20"/>
              </w:rPr>
            </w:pPr>
            <w:r w:rsidRPr="005065A0">
              <w:rPr>
                <w:rStyle w:val="SmallBold"/>
                <w:rFonts w:ascii="Arial Narrow" w:hAnsi="Arial Narrow" w:cstheme="minorHAnsi"/>
                <w:szCs w:val="20"/>
              </w:rPr>
              <w:t>TKI-naïve post-immunotherapy setting</w:t>
            </w:r>
          </w:p>
        </w:tc>
      </w:tr>
      <w:tr w:rsidR="004B4C7D" w:rsidRPr="005065A0" w:rsidTr="005065A0">
        <w:trPr>
          <w:trHeight w:val="215"/>
        </w:trPr>
        <w:tc>
          <w:tcPr>
            <w:tcW w:w="5000" w:type="pct"/>
            <w:gridSpan w:val="5"/>
            <w:shd w:val="clear" w:color="auto" w:fill="C6D9F1" w:themeFill="text2" w:themeFillTint="33"/>
            <w:vAlign w:val="center"/>
          </w:tcPr>
          <w:p w:rsidR="004B4C7D" w:rsidRPr="005065A0" w:rsidRDefault="004B4C7D" w:rsidP="00AD215A">
            <w:pPr>
              <w:pStyle w:val="TableLeft"/>
              <w:keepNext/>
              <w:keepLines/>
              <w:rPr>
                <w:rStyle w:val="SmallBold"/>
                <w:rFonts w:ascii="Arial Narrow" w:hAnsi="Arial Narrow" w:cstheme="minorHAnsi"/>
                <w:szCs w:val="20"/>
              </w:rPr>
            </w:pPr>
            <w:r w:rsidRPr="005065A0">
              <w:rPr>
                <w:rStyle w:val="SmallBold"/>
                <w:rFonts w:ascii="Arial Narrow" w:hAnsi="Arial Narrow" w:cstheme="minorHAnsi"/>
                <w:szCs w:val="20"/>
              </w:rPr>
              <w:t>Cabozantinib results reported separately to other TKIs</w:t>
            </w:r>
          </w:p>
        </w:tc>
      </w:tr>
      <w:tr w:rsidR="004B4C7D" w:rsidRPr="005065A0" w:rsidTr="005065A0">
        <w:trPr>
          <w:trHeight w:val="225"/>
        </w:trPr>
        <w:tc>
          <w:tcPr>
            <w:tcW w:w="1214" w:type="pct"/>
            <w:vMerge w:val="restar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MD Anderson CC</w:t>
            </w:r>
          </w:p>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(Shah et. 2019)</w:t>
            </w: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vertAlign w:val="superscript"/>
              </w:rPr>
            </w:pPr>
            <w:r w:rsidRPr="005065A0">
              <w:rPr>
                <w:rFonts w:ascii="Arial Narrow" w:hAnsi="Arial Narrow" w:cstheme="minorHAnsi"/>
                <w:szCs w:val="20"/>
              </w:rPr>
              <w:t>TKI</w:t>
            </w:r>
            <w:r w:rsidRPr="005065A0">
              <w:rPr>
                <w:rFonts w:ascii="Arial Narrow" w:hAnsi="Arial Narrow" w:cstheme="minorHAnsi"/>
                <w:szCs w:val="20"/>
                <w:vertAlign w:val="superscript"/>
              </w:rPr>
              <w:t xml:space="preserve"> a, c</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33/70 (47)</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13.2 (10.1, -)</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53</w:t>
            </w:r>
          </w:p>
        </w:tc>
      </w:tr>
      <w:tr w:rsidR="004B4C7D" w:rsidRPr="005065A0" w:rsidTr="005065A0">
        <w:trPr>
          <w:trHeight w:val="226"/>
        </w:trPr>
        <w:tc>
          <w:tcPr>
            <w:tcW w:w="1214" w:type="pct"/>
            <w:vMerge/>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 xml:space="preserve">-/20 </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15.2 (7.9, NR)</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226"/>
        </w:trPr>
        <w:tc>
          <w:tcPr>
            <w:tcW w:w="1214" w:type="pct"/>
            <w:vMerge/>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Sunitinib</w:t>
            </w:r>
            <w:r w:rsidRPr="005065A0">
              <w:rPr>
                <w:rFonts w:ascii="Arial Narrow" w:hAnsi="Arial Narrow" w:cstheme="minorHAnsi"/>
                <w:szCs w:val="20"/>
                <w:vertAlign w:val="superscript"/>
              </w:rPr>
              <w:t xml:space="preserve"> c</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-/6</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3.6 (0.9, NA)</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w:t>
            </w:r>
          </w:p>
        </w:tc>
      </w:tr>
      <w:tr w:rsidR="004B4C7D" w:rsidRPr="005065A0" w:rsidTr="005065A0">
        <w:trPr>
          <w:trHeight w:val="226"/>
        </w:trPr>
        <w:tc>
          <w:tcPr>
            <w:tcW w:w="1214" w:type="pct"/>
            <w:vMerge/>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Pazopanib</w:t>
            </w:r>
            <w:r w:rsidRPr="005065A0">
              <w:rPr>
                <w:rFonts w:ascii="Arial Narrow" w:hAnsi="Arial Narrow" w:cstheme="minorHAnsi"/>
                <w:szCs w:val="20"/>
                <w:vertAlign w:val="superscript"/>
              </w:rPr>
              <w:t xml:space="preserve"> c</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-/19</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24.4 (6.1, NA)</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w:t>
            </w:r>
          </w:p>
        </w:tc>
      </w:tr>
      <w:tr w:rsidR="004B4C7D" w:rsidRPr="005065A0" w:rsidTr="005065A0">
        <w:trPr>
          <w:trHeight w:val="226"/>
        </w:trPr>
        <w:tc>
          <w:tcPr>
            <w:tcW w:w="1214" w:type="pct"/>
            <w:vMerge/>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Axitinib</w:t>
            </w:r>
            <w:r w:rsidRPr="005065A0">
              <w:rPr>
                <w:rFonts w:ascii="Arial Narrow" w:hAnsi="Arial Narrow" w:cstheme="minorHAnsi"/>
                <w:szCs w:val="20"/>
                <w:vertAlign w:val="superscript"/>
              </w:rPr>
              <w:t xml:space="preserve"> c</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-/25</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13.2 (8.6, NA)</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w:t>
            </w:r>
          </w:p>
        </w:tc>
      </w:tr>
      <w:tr w:rsidR="004B4C7D" w:rsidRPr="005065A0" w:rsidTr="005065A0">
        <w:trPr>
          <w:trHeight w:val="159"/>
        </w:trPr>
        <w:tc>
          <w:tcPr>
            <w:tcW w:w="1214" w:type="pct"/>
            <w:vMerge w:val="restar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DFCI 1</w:t>
            </w:r>
          </w:p>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 xml:space="preserve">(McGregor BA et al. 2018) </w:t>
            </w: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TKI</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206"/>
        </w:trPr>
        <w:tc>
          <w:tcPr>
            <w:tcW w:w="1214" w:type="pct"/>
            <w:vMerge/>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-/69</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vertAlign w:val="superscript"/>
              </w:rPr>
            </w:pPr>
            <w:r w:rsidRPr="005065A0">
              <w:rPr>
                <w:rFonts w:ascii="Arial Narrow" w:hAnsi="Arial Narrow" w:cstheme="minorHAnsi"/>
                <w:szCs w:val="20"/>
              </w:rPr>
              <w:t xml:space="preserve">6.6 (5.3, 8.5) </w:t>
            </w:r>
            <w:r w:rsidRPr="005065A0">
              <w:rPr>
                <w:rFonts w:ascii="Arial Narrow" w:hAnsi="Arial Narrow" w:cstheme="minorHAnsi"/>
                <w:szCs w:val="20"/>
                <w:vertAlign w:val="superscript"/>
              </w:rPr>
              <w:t>b</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206"/>
        </w:trPr>
        <w:tc>
          <w:tcPr>
            <w:tcW w:w="5000" w:type="pct"/>
            <w:gridSpan w:val="5"/>
            <w:shd w:val="clear" w:color="auto" w:fill="C6D9F1" w:themeFill="text2" w:themeFillTint="33"/>
          </w:tcPr>
          <w:p w:rsidR="004B4C7D" w:rsidRPr="005065A0" w:rsidRDefault="004B4C7D" w:rsidP="00AD215A">
            <w:pPr>
              <w:pStyle w:val="TableLeft"/>
              <w:keepNext/>
              <w:keepLines/>
              <w:rPr>
                <w:rFonts w:ascii="Arial Narrow" w:hAnsi="Arial Narrow" w:cstheme="minorHAnsi"/>
                <w:b/>
                <w:bCs/>
                <w:szCs w:val="20"/>
              </w:rPr>
            </w:pPr>
            <w:r w:rsidRPr="005065A0">
              <w:rPr>
                <w:rFonts w:ascii="Arial Narrow" w:hAnsi="Arial Narrow" w:cstheme="minorHAnsi"/>
                <w:b/>
                <w:bCs/>
                <w:szCs w:val="20"/>
              </w:rPr>
              <w:t>Combined T</w:t>
            </w:r>
            <w:r w:rsidRPr="005065A0">
              <w:rPr>
                <w:rFonts w:ascii="Arial Narrow" w:hAnsi="Arial Narrow"/>
                <w:b/>
                <w:bCs/>
                <w:szCs w:val="20"/>
              </w:rPr>
              <w:t>KI results reported only</w:t>
            </w:r>
          </w:p>
        </w:tc>
      </w:tr>
      <w:tr w:rsidR="004B4C7D" w:rsidRPr="005065A0" w:rsidTr="005065A0">
        <w:trPr>
          <w:trHeight w:val="187"/>
        </w:trPr>
        <w:tc>
          <w:tcPr>
            <w:tcW w:w="1214" w:type="pct"/>
            <w:vMerge w:val="restar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Taussig / Barts</w:t>
            </w:r>
          </w:p>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 xml:space="preserve">(Barata et al. 2018) </w:t>
            </w: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TKI</w:t>
            </w:r>
            <w:r w:rsidRPr="005065A0">
              <w:rPr>
                <w:rFonts w:ascii="Arial Narrow" w:hAnsi="Arial Narrow" w:cstheme="minorHAnsi"/>
                <w:szCs w:val="20"/>
                <w:vertAlign w:val="superscript"/>
              </w:rPr>
              <w:t xml:space="preserve"> a</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-/33</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6.41 (4.4, 8.4)</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93"/>
        </w:trPr>
        <w:tc>
          <w:tcPr>
            <w:tcW w:w="1214" w:type="pct"/>
            <w:vMerge/>
            <w:shd w:val="clear" w:color="auto" w:fill="C6D9F1" w:themeFill="text2" w:themeFillTint="33"/>
          </w:tcPr>
          <w:p w:rsidR="004B4C7D" w:rsidRPr="005065A0" w:rsidRDefault="004B4C7D" w:rsidP="00AD215A">
            <w:pPr>
              <w:pStyle w:val="TableLeft"/>
              <w:keepNext/>
              <w:keepLines/>
              <w:rPr>
                <w:rStyle w:val="Small"/>
                <w:rFonts w:ascii="Arial Narrow" w:hAnsi="Arial Narrow" w:cstheme="minorHAnsi"/>
                <w:szCs w:val="20"/>
              </w:rPr>
            </w:pP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-/4</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NR</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iCs/>
                <w:szCs w:val="20"/>
              </w:rPr>
            </w:pPr>
            <w:r w:rsidRPr="005065A0">
              <w:rPr>
                <w:rFonts w:ascii="Arial Narrow" w:hAnsi="Arial Narrow" w:cstheme="minorHAnsi"/>
                <w:iCs/>
                <w:szCs w:val="20"/>
              </w:rPr>
              <w:t>-</w:t>
            </w:r>
          </w:p>
        </w:tc>
      </w:tr>
      <w:tr w:rsidR="004B4C7D" w:rsidRPr="005065A0" w:rsidTr="005065A0">
        <w:trPr>
          <w:trHeight w:val="219"/>
        </w:trPr>
        <w:tc>
          <w:tcPr>
            <w:tcW w:w="1214" w:type="pct"/>
            <w:vMerge w:val="restar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CheckMate214 subsequent</w:t>
            </w:r>
          </w:p>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(Auvray et al. 2019)</w:t>
            </w: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TKI</w:t>
            </w:r>
            <w:r w:rsidRPr="005065A0">
              <w:rPr>
                <w:rFonts w:ascii="Arial Narrow" w:hAnsi="Arial Narrow" w:cstheme="minorHAnsi"/>
                <w:szCs w:val="20"/>
                <w:vertAlign w:val="superscript"/>
              </w:rPr>
              <w:t xml:space="preserve"> a</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-/33</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8 (5, 13)</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219"/>
        </w:trPr>
        <w:tc>
          <w:tcPr>
            <w:tcW w:w="1214" w:type="pct"/>
            <w:vMerge/>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-/2</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209"/>
        </w:trPr>
        <w:tc>
          <w:tcPr>
            <w:tcW w:w="1214" w:type="pct"/>
            <w:vMerge w:val="restar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City of Hope</w:t>
            </w:r>
          </w:p>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(Dizman et al. 2019)</w:t>
            </w: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TKI</w:t>
            </w:r>
            <w:r w:rsidRPr="005065A0">
              <w:rPr>
                <w:rFonts w:ascii="Arial Narrow" w:hAnsi="Arial Narrow" w:cstheme="minorHAnsi"/>
                <w:szCs w:val="20"/>
                <w:vertAlign w:val="superscript"/>
              </w:rPr>
              <w:t xml:space="preserve"> a</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-/11</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7.7 (4.6, 10.8)</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219"/>
        </w:trPr>
        <w:tc>
          <w:tcPr>
            <w:tcW w:w="1214" w:type="pct"/>
            <w:vMerge/>
            <w:shd w:val="clear" w:color="auto" w:fill="C6D9F1" w:themeFill="text2" w:themeFillTint="33"/>
          </w:tcPr>
          <w:p w:rsidR="004B4C7D" w:rsidRPr="005065A0" w:rsidRDefault="004B4C7D" w:rsidP="00AD215A">
            <w:pPr>
              <w:pStyle w:val="TableLeft"/>
              <w:keepNext/>
              <w:keepLines/>
              <w:rPr>
                <w:rStyle w:val="Small"/>
                <w:rFonts w:ascii="Arial Narrow" w:hAnsi="Arial Narrow" w:cstheme="minorHAnsi"/>
                <w:szCs w:val="20"/>
              </w:rPr>
            </w:pPr>
          </w:p>
        </w:tc>
        <w:tc>
          <w:tcPr>
            <w:tcW w:w="708" w:type="pct"/>
            <w:shd w:val="clear" w:color="auto" w:fill="C6D9F1" w:themeFill="text2" w:themeFillTint="33"/>
          </w:tcPr>
          <w:p w:rsidR="004B4C7D" w:rsidRPr="005065A0" w:rsidRDefault="004B4C7D" w:rsidP="00AD215A">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655" w:type="pct"/>
            <w:shd w:val="clear" w:color="auto" w:fill="C6D9F1" w:themeFill="text2" w:themeFillTint="33"/>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-/5</w:t>
            </w:r>
          </w:p>
        </w:tc>
        <w:tc>
          <w:tcPr>
            <w:tcW w:w="1407"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c>
          <w:tcPr>
            <w:tcW w:w="1016" w:type="pct"/>
            <w:shd w:val="clear" w:color="auto" w:fill="C6D9F1" w:themeFill="text2" w:themeFillTint="33"/>
            <w:vAlign w:val="center"/>
          </w:tcPr>
          <w:p w:rsidR="004B4C7D" w:rsidRPr="005065A0" w:rsidRDefault="004B4C7D" w:rsidP="00AD215A">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bl>
    <w:p w:rsidR="004B4C7D" w:rsidRPr="00C24DBA" w:rsidRDefault="004B4C7D" w:rsidP="005065A0">
      <w:pPr>
        <w:pStyle w:val="TableFigureFooter"/>
      </w:pPr>
      <w:r w:rsidRPr="00C24DBA">
        <w:rPr>
          <w:szCs w:val="18"/>
        </w:rPr>
        <w:t>Source: 2.39, p.99 of the</w:t>
      </w:r>
      <w:r w:rsidR="00E267DD" w:rsidRPr="00C24DBA">
        <w:rPr>
          <w:szCs w:val="18"/>
        </w:rPr>
        <w:t xml:space="preserve"> March 2020</w:t>
      </w:r>
      <w:r w:rsidRPr="00C24DBA">
        <w:rPr>
          <w:szCs w:val="18"/>
        </w:rPr>
        <w:t xml:space="preserve"> resubmission; </w:t>
      </w:r>
      <w:r w:rsidRPr="00C24DBA">
        <w:t>Table 2.11, p.23; Table 2.12, p.24 of Attachment 3 of the</w:t>
      </w:r>
      <w:r w:rsidR="00E267DD" w:rsidRPr="00C24DBA">
        <w:t xml:space="preserve"> March 2020</w:t>
      </w:r>
      <w:r w:rsidRPr="00C24DBA">
        <w:t xml:space="preserve"> resubmission; Table 3, p.72 of Shah et al. 2019</w:t>
      </w:r>
    </w:p>
    <w:p w:rsidR="004B4C7D" w:rsidRPr="00C24DBA" w:rsidRDefault="004B4C7D" w:rsidP="005065A0">
      <w:pPr>
        <w:pStyle w:val="TableFigureFooter"/>
        <w:rPr>
          <w:iCs/>
          <w:szCs w:val="18"/>
        </w:rPr>
      </w:pPr>
      <w:r w:rsidRPr="00C24DBA">
        <w:rPr>
          <w:szCs w:val="18"/>
        </w:rPr>
        <w:t>Abbreviation: CI = confidence interval; n = number of participants with event; N = total participants in group; NA = not applicable; NR = not reached; PFS = progression free survival; TKI = tyrosine</w:t>
      </w:r>
      <w:r w:rsidRPr="00C24DBA">
        <w:rPr>
          <w:iCs/>
          <w:szCs w:val="18"/>
        </w:rPr>
        <w:t xml:space="preserve">-kinase inhibitor. </w:t>
      </w:r>
    </w:p>
    <w:p w:rsidR="004B4C7D" w:rsidRPr="00C24DBA" w:rsidRDefault="004B4C7D" w:rsidP="005065A0">
      <w:pPr>
        <w:pStyle w:val="TableFigureFooter"/>
      </w:pPr>
      <w:r w:rsidRPr="00C24DBA">
        <w:rPr>
          <w:iCs/>
          <w:szCs w:val="18"/>
        </w:rPr>
        <w:t xml:space="preserve">Note: </w:t>
      </w:r>
      <w:r w:rsidRPr="00C24DBA">
        <w:rPr>
          <w:iCs/>
          <w:szCs w:val="18"/>
          <w:vertAlign w:val="superscript"/>
        </w:rPr>
        <w:t>a</w:t>
      </w:r>
      <w:r w:rsidRPr="00C24DBA">
        <w:rPr>
          <w:iCs/>
          <w:szCs w:val="18"/>
        </w:rPr>
        <w:t xml:space="preserve"> Including cabozantinib; </w:t>
      </w:r>
      <w:r w:rsidRPr="00C24DBA">
        <w:rPr>
          <w:iCs/>
          <w:szCs w:val="18"/>
          <w:vertAlign w:val="superscript"/>
        </w:rPr>
        <w:t>b</w:t>
      </w:r>
      <w:r w:rsidRPr="00C24DBA">
        <w:rPr>
          <w:szCs w:val="18"/>
          <w:vertAlign w:val="superscript"/>
        </w:rPr>
        <w:t xml:space="preserve"> </w:t>
      </w:r>
      <w:r w:rsidRPr="00C24DBA">
        <w:rPr>
          <w:szCs w:val="18"/>
        </w:rPr>
        <w:t xml:space="preserve">time to treatment failure (TTF); </w:t>
      </w:r>
      <w:r w:rsidRPr="00C24DBA">
        <w:rPr>
          <w:szCs w:val="18"/>
          <w:vertAlign w:val="superscript"/>
        </w:rPr>
        <w:t xml:space="preserve">c </w:t>
      </w:r>
      <w:r w:rsidRPr="00C24DBA">
        <w:rPr>
          <w:iCs/>
          <w:szCs w:val="18"/>
        </w:rPr>
        <w:t>Figures were retrieved during evaluation</w:t>
      </w:r>
      <w:r w:rsidR="00003C3F" w:rsidRPr="00C24DBA">
        <w:rPr>
          <w:iCs/>
          <w:szCs w:val="18"/>
        </w:rPr>
        <w:t>;</w:t>
      </w:r>
      <w:r w:rsidR="00B43234" w:rsidRPr="00C24DBA">
        <w:t xml:space="preserve"> Blue shading denotes text remains unchanged from the previous resubmission. </w:t>
      </w:r>
    </w:p>
    <w:p w:rsidR="004B4C7D" w:rsidRPr="00C24DBA" w:rsidRDefault="004B4C7D" w:rsidP="004B4C7D">
      <w:pPr>
        <w:pStyle w:val="3-BodyText"/>
        <w:rPr>
          <w:color w:val="000000" w:themeColor="text1"/>
        </w:rPr>
      </w:pPr>
      <w:r w:rsidRPr="00C24DBA">
        <w:rPr>
          <w:color w:val="000000" w:themeColor="text1"/>
        </w:rPr>
        <w:t xml:space="preserve">A summary of the OS results for the use of cabozantinib as the first TKI post-immunotherapy compared with cabozantinib in CABOSUN is presented in Table </w:t>
      </w:r>
      <w:r w:rsidR="00022511" w:rsidRPr="00C24DBA">
        <w:rPr>
          <w:color w:val="000000" w:themeColor="text1"/>
        </w:rPr>
        <w:t>8</w:t>
      </w:r>
      <w:r w:rsidRPr="00C24DBA">
        <w:rPr>
          <w:color w:val="000000" w:themeColor="text1"/>
        </w:rPr>
        <w:t xml:space="preserve">. </w:t>
      </w:r>
    </w:p>
    <w:p w:rsidR="004B4C7D" w:rsidRPr="00C24DBA" w:rsidRDefault="004B4C7D" w:rsidP="005065A0">
      <w:pPr>
        <w:pStyle w:val="TableHeading0"/>
      </w:pPr>
      <w:r w:rsidRPr="00C24DBA">
        <w:lastRenderedPageBreak/>
        <w:t xml:space="preserve">Table </w:t>
      </w:r>
      <w:r w:rsidR="00022511" w:rsidRPr="00C24DBA">
        <w:t>8</w:t>
      </w:r>
      <w:r w:rsidRPr="00C24DBA">
        <w:t xml:space="preserve">: OS with cabozantinib and other TKIs in the treatment-naive and first TKI post-immunotherapy settings </w:t>
      </w:r>
    </w:p>
    <w:tbl>
      <w:tblPr>
        <w:tblStyle w:val="TableGrid"/>
        <w:tblW w:w="5000" w:type="pct"/>
        <w:shd w:val="clear" w:color="auto" w:fill="C6D9F1" w:themeFill="text2" w:themeFillTint="33"/>
        <w:tblLook w:val="04A0" w:firstRow="1" w:lastRow="0" w:firstColumn="1" w:lastColumn="0" w:noHBand="0" w:noVBand="1"/>
        <w:tblCaption w:val="Table 8: OS with cabozantinib and other TKIs in the treatment-naive and first TKI post-immunotherapy settings "/>
      </w:tblPr>
      <w:tblGrid>
        <w:gridCol w:w="2168"/>
        <w:gridCol w:w="1239"/>
        <w:gridCol w:w="1060"/>
        <w:gridCol w:w="2496"/>
        <w:gridCol w:w="2054"/>
      </w:tblGrid>
      <w:tr w:rsidR="004B4C7D" w:rsidRPr="005065A0" w:rsidTr="005065A0">
        <w:trPr>
          <w:trHeight w:val="355"/>
          <w:tblHeader/>
        </w:trPr>
        <w:tc>
          <w:tcPr>
            <w:tcW w:w="1202" w:type="pct"/>
            <w:shd w:val="clear" w:color="auto" w:fill="C6D9F1" w:themeFill="text2" w:themeFillTint="33"/>
            <w:vAlign w:val="center"/>
          </w:tcPr>
          <w:p w:rsidR="004B4C7D" w:rsidRPr="005065A0" w:rsidRDefault="004B4C7D" w:rsidP="004877C6">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Study ID</w:t>
            </w:r>
          </w:p>
          <w:p w:rsidR="004B4C7D" w:rsidRPr="005065A0" w:rsidRDefault="004B4C7D" w:rsidP="004877C6">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Source</w:t>
            </w:r>
          </w:p>
        </w:tc>
        <w:tc>
          <w:tcPr>
            <w:tcW w:w="687" w:type="pct"/>
            <w:shd w:val="clear" w:color="auto" w:fill="C6D9F1" w:themeFill="text2" w:themeFillTint="33"/>
            <w:vAlign w:val="center"/>
          </w:tcPr>
          <w:p w:rsidR="004B4C7D" w:rsidRPr="005065A0" w:rsidRDefault="004B4C7D" w:rsidP="004877C6">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TKI</w:t>
            </w:r>
          </w:p>
        </w:tc>
        <w:tc>
          <w:tcPr>
            <w:tcW w:w="588" w:type="pct"/>
            <w:shd w:val="clear" w:color="auto" w:fill="C6D9F1" w:themeFill="text2" w:themeFillTint="33"/>
            <w:vAlign w:val="center"/>
          </w:tcPr>
          <w:p w:rsidR="004B4C7D" w:rsidRPr="005065A0" w:rsidRDefault="004B4C7D" w:rsidP="004877C6">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n</w:t>
            </w:r>
            <w:r w:rsidRPr="005065A0">
              <w:rPr>
                <w:rStyle w:val="SmallBold"/>
                <w:rFonts w:ascii="Arial Narrow" w:hAnsi="Arial Narrow"/>
                <w:szCs w:val="20"/>
              </w:rPr>
              <w:t>/N (%)</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Median OS months (95% CI)</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OS rate</w:t>
            </w:r>
          </w:p>
          <w:p w:rsidR="004B4C7D" w:rsidRPr="005065A0" w:rsidRDefault="004B4C7D" w:rsidP="004877C6">
            <w:pPr>
              <w:pStyle w:val="TableLeft"/>
              <w:keepNext/>
              <w:keepLines/>
              <w:jc w:val="center"/>
              <w:rPr>
                <w:rStyle w:val="SmallBold"/>
                <w:rFonts w:ascii="Arial Narrow" w:hAnsi="Arial Narrow" w:cstheme="minorHAnsi"/>
                <w:szCs w:val="20"/>
              </w:rPr>
            </w:pPr>
            <w:r w:rsidRPr="005065A0">
              <w:rPr>
                <w:rStyle w:val="SmallBold"/>
                <w:rFonts w:ascii="Arial Narrow" w:hAnsi="Arial Narrow" w:cstheme="minorHAnsi"/>
                <w:szCs w:val="20"/>
              </w:rPr>
              <w:t xml:space="preserve">1 year (%; </w:t>
            </w:r>
            <w:r w:rsidRPr="005065A0">
              <w:rPr>
                <w:rStyle w:val="SmallBold"/>
                <w:rFonts w:ascii="Arial Narrow" w:hAnsi="Arial Narrow"/>
                <w:szCs w:val="20"/>
              </w:rPr>
              <w:t>95% CI)</w:t>
            </w:r>
          </w:p>
        </w:tc>
      </w:tr>
      <w:tr w:rsidR="004B4C7D" w:rsidRPr="005065A0" w:rsidTr="005065A0">
        <w:trPr>
          <w:trHeight w:val="53"/>
        </w:trPr>
        <w:tc>
          <w:tcPr>
            <w:tcW w:w="5000" w:type="pct"/>
            <w:gridSpan w:val="5"/>
            <w:shd w:val="clear" w:color="auto" w:fill="C6D9F1" w:themeFill="text2" w:themeFillTint="33"/>
            <w:vAlign w:val="center"/>
          </w:tcPr>
          <w:p w:rsidR="004B4C7D" w:rsidRPr="005065A0" w:rsidRDefault="004B4C7D" w:rsidP="004877C6">
            <w:pPr>
              <w:pStyle w:val="TableLeft"/>
              <w:keepNext/>
              <w:keepLines/>
              <w:rPr>
                <w:rStyle w:val="SmallBold"/>
                <w:rFonts w:ascii="Arial Narrow" w:hAnsi="Arial Narrow" w:cstheme="minorHAnsi"/>
                <w:b w:val="0"/>
                <w:bCs/>
                <w:szCs w:val="20"/>
              </w:rPr>
            </w:pPr>
            <w:r w:rsidRPr="005065A0">
              <w:rPr>
                <w:rStyle w:val="SmallBold"/>
                <w:rFonts w:ascii="Arial Narrow" w:hAnsi="Arial Narrow" w:cstheme="minorHAnsi"/>
                <w:szCs w:val="20"/>
              </w:rPr>
              <w:t>Treatment-naïve setting</w:t>
            </w:r>
          </w:p>
        </w:tc>
      </w:tr>
      <w:tr w:rsidR="004B4C7D" w:rsidRPr="005065A0" w:rsidTr="005065A0">
        <w:trPr>
          <w:trHeight w:val="53"/>
        </w:trPr>
        <w:tc>
          <w:tcPr>
            <w:tcW w:w="1202" w:type="pct"/>
            <w:vMerge w:val="restart"/>
            <w:shd w:val="clear" w:color="auto" w:fill="C6D9F1" w:themeFill="text2" w:themeFillTint="33"/>
          </w:tcPr>
          <w:p w:rsidR="004B4C7D" w:rsidRPr="005065A0" w:rsidRDefault="004B4C7D" w:rsidP="004877C6">
            <w:pPr>
              <w:pStyle w:val="TableLeft"/>
              <w:keepNext/>
              <w:keepLines/>
              <w:rPr>
                <w:rStyle w:val="SmallBold"/>
                <w:rFonts w:ascii="Arial Narrow" w:hAnsi="Arial Narrow" w:cstheme="minorHAnsi"/>
                <w:b w:val="0"/>
                <w:szCs w:val="20"/>
              </w:rPr>
            </w:pPr>
            <w:r w:rsidRPr="005065A0">
              <w:rPr>
                <w:rStyle w:val="SmallBold"/>
                <w:rFonts w:ascii="Arial Narrow" w:hAnsi="Arial Narrow" w:cstheme="minorHAnsi"/>
                <w:b w:val="0"/>
                <w:szCs w:val="20"/>
              </w:rPr>
              <w:t>CABOSUN</w:t>
            </w:r>
          </w:p>
        </w:tc>
        <w:tc>
          <w:tcPr>
            <w:tcW w:w="687" w:type="pct"/>
            <w:shd w:val="clear" w:color="auto" w:fill="C6D9F1" w:themeFill="text2" w:themeFillTint="33"/>
            <w:vAlign w:val="center"/>
          </w:tcPr>
          <w:p w:rsidR="004B4C7D" w:rsidRPr="005065A0" w:rsidRDefault="004B4C7D" w:rsidP="004877C6">
            <w:pPr>
              <w:pStyle w:val="TableLeft"/>
              <w:keepNext/>
              <w:keepLines/>
              <w:rPr>
                <w:rStyle w:val="SmallBold"/>
                <w:rFonts w:ascii="Arial Narrow" w:hAnsi="Arial Narrow" w:cstheme="minorHAnsi"/>
                <w:b w:val="0"/>
                <w:szCs w:val="20"/>
              </w:rPr>
            </w:pPr>
            <w:r w:rsidRPr="005065A0">
              <w:rPr>
                <w:rStyle w:val="SmallBold"/>
                <w:rFonts w:ascii="Arial Narrow" w:hAnsi="Arial Narrow" w:cstheme="minorHAnsi"/>
                <w:b w:val="0"/>
                <w:szCs w:val="20"/>
              </w:rPr>
              <w:t>Cabozantinib</w:t>
            </w:r>
          </w:p>
        </w:tc>
        <w:tc>
          <w:tcPr>
            <w:tcW w:w="588" w:type="pct"/>
            <w:shd w:val="clear" w:color="auto" w:fill="C6D9F1" w:themeFill="text2" w:themeFillTint="33"/>
          </w:tcPr>
          <w:p w:rsidR="004B4C7D" w:rsidRPr="005065A0" w:rsidRDefault="004B4C7D" w:rsidP="004877C6">
            <w:pPr>
              <w:pStyle w:val="TableLeft"/>
              <w:keepNext/>
              <w:keepLines/>
              <w:jc w:val="center"/>
              <w:rPr>
                <w:rStyle w:val="SmallBold"/>
                <w:rFonts w:ascii="Arial Narrow" w:hAnsi="Arial Narrow" w:cstheme="minorHAnsi"/>
                <w:b w:val="0"/>
                <w:szCs w:val="20"/>
              </w:rPr>
            </w:pPr>
            <w:r w:rsidRPr="005065A0">
              <w:rPr>
                <w:rStyle w:val="SmallBold"/>
                <w:rFonts w:ascii="Arial Narrow" w:hAnsi="Arial Narrow" w:cstheme="minorHAnsi"/>
                <w:b w:val="0"/>
                <w:szCs w:val="20"/>
              </w:rPr>
              <w:t>3</w:t>
            </w:r>
            <w:r w:rsidRPr="005065A0">
              <w:rPr>
                <w:rStyle w:val="SmallBold"/>
                <w:rFonts w:ascii="Arial Narrow" w:hAnsi="Arial Narrow"/>
                <w:b w:val="0"/>
                <w:szCs w:val="20"/>
              </w:rPr>
              <w:t>8/79 (48)</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Style w:val="SmallBold"/>
                <w:rFonts w:ascii="Arial Narrow" w:hAnsi="Arial Narrow" w:cstheme="minorHAnsi"/>
                <w:b w:val="0"/>
                <w:szCs w:val="20"/>
              </w:rPr>
            </w:pPr>
            <w:r w:rsidRPr="005065A0">
              <w:rPr>
                <w:rStyle w:val="SmallBold"/>
                <w:rFonts w:ascii="Arial Narrow" w:hAnsi="Arial Narrow" w:cstheme="minorHAnsi"/>
                <w:b w:val="0"/>
                <w:szCs w:val="20"/>
              </w:rPr>
              <w:t>30.3 (14.6, NE)</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Style w:val="SmallBold"/>
                <w:rFonts w:ascii="Arial Narrow" w:hAnsi="Arial Narrow" w:cstheme="minorHAnsi"/>
                <w:b w:val="0"/>
                <w:szCs w:val="20"/>
              </w:rPr>
            </w:pPr>
            <w:r w:rsidRPr="005065A0">
              <w:rPr>
                <w:rStyle w:val="SmallBold"/>
                <w:rFonts w:ascii="Arial Narrow" w:hAnsi="Arial Narrow" w:cstheme="minorHAnsi"/>
                <w:b w:val="0"/>
                <w:szCs w:val="20"/>
              </w:rPr>
              <w:t>76</w:t>
            </w:r>
          </w:p>
        </w:tc>
      </w:tr>
      <w:tr w:rsidR="004B4C7D" w:rsidRPr="005065A0" w:rsidTr="005065A0">
        <w:trPr>
          <w:trHeight w:val="193"/>
        </w:trPr>
        <w:tc>
          <w:tcPr>
            <w:tcW w:w="1202" w:type="pct"/>
            <w:vMerge/>
            <w:shd w:val="clear" w:color="auto" w:fill="C6D9F1" w:themeFill="text2" w:themeFillTint="33"/>
            <w:vAlign w:val="center"/>
          </w:tcPr>
          <w:p w:rsidR="004B4C7D" w:rsidRPr="005065A0" w:rsidRDefault="004B4C7D" w:rsidP="004877C6">
            <w:pPr>
              <w:pStyle w:val="TableLeft"/>
              <w:keepNext/>
              <w:keepLines/>
              <w:rPr>
                <w:rStyle w:val="SmallBold"/>
                <w:rFonts w:ascii="Arial Narrow" w:hAnsi="Arial Narrow" w:cstheme="minorHAnsi"/>
                <w:b w:val="0"/>
                <w:szCs w:val="20"/>
              </w:rPr>
            </w:pPr>
          </w:p>
        </w:tc>
        <w:tc>
          <w:tcPr>
            <w:tcW w:w="687" w:type="pct"/>
            <w:shd w:val="clear" w:color="auto" w:fill="C6D9F1" w:themeFill="text2" w:themeFillTint="33"/>
            <w:vAlign w:val="center"/>
          </w:tcPr>
          <w:p w:rsidR="004B4C7D" w:rsidRPr="005065A0" w:rsidRDefault="004B4C7D" w:rsidP="004877C6">
            <w:pPr>
              <w:pStyle w:val="TableLeft"/>
              <w:keepNext/>
              <w:keepLines/>
              <w:rPr>
                <w:rStyle w:val="SmallBold"/>
                <w:rFonts w:ascii="Arial Narrow" w:hAnsi="Arial Narrow" w:cstheme="minorHAnsi"/>
                <w:b w:val="0"/>
                <w:szCs w:val="20"/>
              </w:rPr>
            </w:pPr>
            <w:r w:rsidRPr="005065A0">
              <w:rPr>
                <w:rStyle w:val="SmallBold"/>
                <w:rFonts w:ascii="Arial Narrow" w:hAnsi="Arial Narrow" w:cstheme="minorHAnsi"/>
                <w:b w:val="0"/>
                <w:szCs w:val="20"/>
              </w:rPr>
              <w:t>Sunitinib</w:t>
            </w:r>
          </w:p>
        </w:tc>
        <w:tc>
          <w:tcPr>
            <w:tcW w:w="588" w:type="pct"/>
            <w:shd w:val="clear" w:color="auto" w:fill="C6D9F1" w:themeFill="text2" w:themeFillTint="33"/>
          </w:tcPr>
          <w:p w:rsidR="004B4C7D" w:rsidRPr="005065A0" w:rsidRDefault="004B4C7D" w:rsidP="004877C6">
            <w:pPr>
              <w:pStyle w:val="TableLeft"/>
              <w:keepNext/>
              <w:keepLines/>
              <w:jc w:val="center"/>
              <w:rPr>
                <w:rStyle w:val="SmallBold"/>
                <w:rFonts w:ascii="Arial Narrow" w:hAnsi="Arial Narrow" w:cstheme="minorHAnsi"/>
                <w:b w:val="0"/>
                <w:bCs/>
                <w:szCs w:val="20"/>
              </w:rPr>
            </w:pPr>
            <w:r w:rsidRPr="005065A0">
              <w:rPr>
                <w:rFonts w:ascii="Arial Narrow" w:hAnsi="Arial Narrow"/>
                <w:szCs w:val="20"/>
              </w:rPr>
              <w:t>45/78 (58)</w:t>
            </w:r>
          </w:p>
        </w:tc>
        <w:tc>
          <w:tcPr>
            <w:tcW w:w="1384" w:type="pct"/>
            <w:shd w:val="clear" w:color="auto" w:fill="C6D9F1" w:themeFill="text2" w:themeFillTint="33"/>
          </w:tcPr>
          <w:p w:rsidR="004B4C7D" w:rsidRPr="005065A0" w:rsidRDefault="004B4C7D" w:rsidP="004877C6">
            <w:pPr>
              <w:pStyle w:val="TableLeft"/>
              <w:keepNext/>
              <w:keepLines/>
              <w:jc w:val="center"/>
              <w:rPr>
                <w:rStyle w:val="SmallBold"/>
                <w:rFonts w:ascii="Arial Narrow" w:hAnsi="Arial Narrow" w:cstheme="minorHAnsi"/>
                <w:b w:val="0"/>
                <w:bCs/>
                <w:szCs w:val="20"/>
              </w:rPr>
            </w:pPr>
            <w:r w:rsidRPr="005065A0">
              <w:rPr>
                <w:rFonts w:ascii="Arial Narrow" w:hAnsi="Arial Narrow"/>
                <w:szCs w:val="20"/>
              </w:rPr>
              <w:t>21.0 (16.3, 27.0)</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Style w:val="SmallBold"/>
                <w:rFonts w:ascii="Arial Narrow" w:hAnsi="Arial Narrow" w:cstheme="minorHAnsi"/>
                <w:b w:val="0"/>
                <w:szCs w:val="20"/>
              </w:rPr>
            </w:pPr>
            <w:r w:rsidRPr="005065A0">
              <w:rPr>
                <w:rStyle w:val="SmallBold"/>
                <w:rFonts w:ascii="Arial Narrow" w:hAnsi="Arial Narrow" w:cstheme="minorHAnsi"/>
                <w:b w:val="0"/>
                <w:szCs w:val="20"/>
              </w:rPr>
              <w:t>69</w:t>
            </w:r>
          </w:p>
        </w:tc>
      </w:tr>
      <w:tr w:rsidR="004B4C7D" w:rsidRPr="005065A0" w:rsidTr="005065A0">
        <w:trPr>
          <w:trHeight w:val="53"/>
        </w:trPr>
        <w:tc>
          <w:tcPr>
            <w:tcW w:w="5000" w:type="pct"/>
            <w:gridSpan w:val="5"/>
            <w:shd w:val="clear" w:color="auto" w:fill="C6D9F1" w:themeFill="text2" w:themeFillTint="33"/>
            <w:vAlign w:val="center"/>
          </w:tcPr>
          <w:p w:rsidR="004B4C7D" w:rsidRPr="005065A0" w:rsidRDefault="004B4C7D" w:rsidP="004877C6">
            <w:pPr>
              <w:pStyle w:val="TableLeft"/>
              <w:keepNext/>
              <w:keepLines/>
              <w:rPr>
                <w:rStyle w:val="SmallBold"/>
                <w:rFonts w:ascii="Arial Narrow" w:hAnsi="Arial Narrow" w:cstheme="minorHAnsi"/>
                <w:szCs w:val="20"/>
              </w:rPr>
            </w:pPr>
            <w:r w:rsidRPr="005065A0">
              <w:rPr>
                <w:rStyle w:val="SmallBold"/>
                <w:rFonts w:ascii="Arial Narrow" w:hAnsi="Arial Narrow" w:cstheme="minorHAnsi"/>
                <w:szCs w:val="20"/>
              </w:rPr>
              <w:t>TKI-naïve post-immunotherapy setting</w:t>
            </w:r>
          </w:p>
        </w:tc>
      </w:tr>
      <w:tr w:rsidR="004B4C7D" w:rsidRPr="005065A0" w:rsidTr="005065A0">
        <w:trPr>
          <w:trHeight w:val="53"/>
        </w:trPr>
        <w:tc>
          <w:tcPr>
            <w:tcW w:w="5000" w:type="pct"/>
            <w:gridSpan w:val="5"/>
            <w:shd w:val="clear" w:color="auto" w:fill="C6D9F1" w:themeFill="text2" w:themeFillTint="33"/>
            <w:vAlign w:val="center"/>
          </w:tcPr>
          <w:p w:rsidR="004B4C7D" w:rsidRPr="005065A0" w:rsidRDefault="004B4C7D" w:rsidP="004877C6">
            <w:pPr>
              <w:pStyle w:val="TableLeft"/>
              <w:keepNext/>
              <w:keepLines/>
              <w:rPr>
                <w:rStyle w:val="SmallBold"/>
                <w:rFonts w:ascii="Arial Narrow" w:hAnsi="Arial Narrow" w:cstheme="minorHAnsi"/>
                <w:b w:val="0"/>
                <w:bCs/>
                <w:szCs w:val="20"/>
              </w:rPr>
            </w:pPr>
            <w:r w:rsidRPr="005065A0">
              <w:rPr>
                <w:rStyle w:val="SmallBold"/>
                <w:rFonts w:ascii="Arial Narrow" w:hAnsi="Arial Narrow" w:cstheme="minorHAnsi"/>
                <w:szCs w:val="20"/>
              </w:rPr>
              <w:t>Cabozantinib results reported separately to other TKIs</w:t>
            </w:r>
          </w:p>
        </w:tc>
      </w:tr>
      <w:tr w:rsidR="004B4C7D" w:rsidRPr="005065A0" w:rsidTr="005065A0">
        <w:trPr>
          <w:trHeight w:val="225"/>
        </w:trPr>
        <w:tc>
          <w:tcPr>
            <w:tcW w:w="1202" w:type="pct"/>
            <w:vMerge w:val="restar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MD Anderson CC</w:t>
            </w:r>
          </w:p>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(Shah et. 2019)</w:t>
            </w: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vertAlign w:val="superscript"/>
              </w:rPr>
            </w:pPr>
            <w:r w:rsidRPr="005065A0">
              <w:rPr>
                <w:rFonts w:ascii="Arial Narrow" w:hAnsi="Arial Narrow" w:cstheme="minorHAnsi"/>
                <w:szCs w:val="20"/>
              </w:rPr>
              <w:t xml:space="preserve">TKI </w:t>
            </w:r>
            <w:r w:rsidRPr="005065A0">
              <w:rPr>
                <w:rFonts w:ascii="Arial Narrow" w:hAnsi="Arial Narrow" w:cstheme="minorHAnsi"/>
                <w:szCs w:val="20"/>
                <w:vertAlign w:val="superscript"/>
              </w:rPr>
              <w:t>a,</w:t>
            </w:r>
            <w:r w:rsidRPr="005065A0">
              <w:rPr>
                <w:rFonts w:ascii="Arial Narrow" w:hAnsi="Arial Narrow" w:cstheme="minorHAnsi"/>
                <w:iCs/>
                <w:szCs w:val="20"/>
                <w:vertAlign w:val="superscript"/>
              </w:rPr>
              <w:t xml:space="preserve"> b</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 xml:space="preserve">22/70 </w:t>
            </w:r>
            <w:r w:rsidRPr="005065A0">
              <w:rPr>
                <w:rFonts w:ascii="Arial Narrow" w:hAnsi="Arial Narrow"/>
                <w:iCs/>
                <w:szCs w:val="20"/>
              </w:rPr>
              <w:t>(31)</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NR</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80 (70, 90)</w:t>
            </w:r>
          </w:p>
        </w:tc>
      </w:tr>
      <w:tr w:rsidR="004B4C7D" w:rsidRPr="005065A0" w:rsidTr="005065A0">
        <w:trPr>
          <w:trHeight w:val="226"/>
        </w:trPr>
        <w:tc>
          <w:tcPr>
            <w:tcW w:w="1202" w:type="pct"/>
            <w:vMerge/>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-/20</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NR</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74 (54, 100)</w:t>
            </w:r>
          </w:p>
        </w:tc>
      </w:tr>
      <w:tr w:rsidR="004B4C7D" w:rsidRPr="005065A0" w:rsidTr="005065A0">
        <w:trPr>
          <w:trHeight w:val="226"/>
        </w:trPr>
        <w:tc>
          <w:tcPr>
            <w:tcW w:w="1202" w:type="pct"/>
            <w:vMerge/>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iCs/>
                <w:szCs w:val="20"/>
              </w:rPr>
              <w:t>Sunitinib</w:t>
            </w:r>
            <w:r w:rsidRPr="005065A0">
              <w:rPr>
                <w:rFonts w:ascii="Arial Narrow" w:hAnsi="Arial Narrow" w:cstheme="minorHAnsi"/>
                <w:iCs/>
                <w:szCs w:val="20"/>
                <w:vertAlign w:val="superscript"/>
              </w:rPr>
              <w:t>b</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-/6</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NR</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33 (11, 100)</w:t>
            </w:r>
          </w:p>
        </w:tc>
      </w:tr>
      <w:tr w:rsidR="004B4C7D" w:rsidRPr="005065A0" w:rsidTr="005065A0">
        <w:trPr>
          <w:trHeight w:val="226"/>
        </w:trPr>
        <w:tc>
          <w:tcPr>
            <w:tcW w:w="1202" w:type="pct"/>
            <w:vMerge/>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iCs/>
                <w:szCs w:val="20"/>
              </w:rPr>
              <w:t>Pazopanib</w:t>
            </w:r>
            <w:r w:rsidRPr="005065A0">
              <w:rPr>
                <w:rFonts w:ascii="Arial Narrow" w:hAnsi="Arial Narrow" w:cstheme="minorHAnsi"/>
                <w:iCs/>
                <w:szCs w:val="20"/>
                <w:vertAlign w:val="superscript"/>
              </w:rPr>
              <w:t>b</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-/19</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NR</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89 (75, 100)</w:t>
            </w:r>
          </w:p>
        </w:tc>
      </w:tr>
      <w:tr w:rsidR="004B4C7D" w:rsidRPr="005065A0" w:rsidTr="005065A0">
        <w:trPr>
          <w:trHeight w:val="226"/>
        </w:trPr>
        <w:tc>
          <w:tcPr>
            <w:tcW w:w="1202" w:type="pct"/>
            <w:vMerge/>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iCs/>
                <w:szCs w:val="20"/>
              </w:rPr>
              <w:t>Axitinib</w:t>
            </w:r>
            <w:r w:rsidRPr="005065A0">
              <w:rPr>
                <w:rFonts w:ascii="Arial Narrow" w:hAnsi="Arial Narrow" w:cstheme="minorHAnsi"/>
                <w:iCs/>
                <w:szCs w:val="20"/>
                <w:vertAlign w:val="superscript"/>
              </w:rPr>
              <w:t>b</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-/25</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NR</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87 (74, 100)</w:t>
            </w:r>
          </w:p>
        </w:tc>
      </w:tr>
      <w:tr w:rsidR="004B4C7D" w:rsidRPr="005065A0" w:rsidTr="005065A0">
        <w:trPr>
          <w:trHeight w:val="159"/>
        </w:trPr>
        <w:tc>
          <w:tcPr>
            <w:tcW w:w="1202" w:type="pct"/>
            <w:vMerge w:val="restar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DFCI 1</w:t>
            </w:r>
          </w:p>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 xml:space="preserve">(McGregor BA et al. 2018) </w:t>
            </w: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TKI</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206"/>
        </w:trPr>
        <w:tc>
          <w:tcPr>
            <w:tcW w:w="1202" w:type="pct"/>
            <w:vMerge/>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-/69</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 xml:space="preserve">53 </w:t>
            </w:r>
            <w:r w:rsidRPr="005065A0">
              <w:rPr>
                <w:rFonts w:ascii="Arial Narrow" w:hAnsi="Arial Narrow" w:cstheme="minorHAnsi"/>
                <w:iCs/>
                <w:szCs w:val="20"/>
              </w:rPr>
              <w:t>(37, 66)</w:t>
            </w:r>
            <w:r w:rsidRPr="005065A0">
              <w:rPr>
                <w:rFonts w:ascii="Arial Narrow" w:hAnsi="Arial Narrow" w:cstheme="minorHAnsi"/>
                <w:iCs/>
                <w:szCs w:val="20"/>
                <w:vertAlign w:val="superscript"/>
              </w:rPr>
              <w:t xml:space="preserve"> b</w:t>
            </w:r>
          </w:p>
        </w:tc>
      </w:tr>
      <w:tr w:rsidR="004B4C7D" w:rsidRPr="005065A0" w:rsidTr="005065A0">
        <w:trPr>
          <w:trHeight w:val="219"/>
        </w:trPr>
        <w:tc>
          <w:tcPr>
            <w:tcW w:w="5000" w:type="pct"/>
            <w:gridSpan w:val="5"/>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b/>
                <w:bCs/>
                <w:szCs w:val="20"/>
              </w:rPr>
              <w:t>Combined T</w:t>
            </w:r>
            <w:r w:rsidRPr="005065A0">
              <w:rPr>
                <w:rFonts w:ascii="Arial Narrow" w:hAnsi="Arial Narrow"/>
                <w:b/>
                <w:bCs/>
                <w:szCs w:val="20"/>
              </w:rPr>
              <w:t>KI results reported only</w:t>
            </w:r>
          </w:p>
        </w:tc>
      </w:tr>
      <w:tr w:rsidR="004B4C7D" w:rsidRPr="005065A0" w:rsidTr="005065A0">
        <w:trPr>
          <w:trHeight w:val="219"/>
        </w:trPr>
        <w:tc>
          <w:tcPr>
            <w:tcW w:w="1202" w:type="pct"/>
            <w:vMerge w:val="restar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CheckMate214 subsequent</w:t>
            </w:r>
          </w:p>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(Auvray et al. 2019)</w:t>
            </w: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TKI</w:t>
            </w:r>
            <w:r w:rsidRPr="005065A0">
              <w:rPr>
                <w:rFonts w:ascii="Arial Narrow" w:hAnsi="Arial Narrow" w:cstheme="minorHAnsi"/>
                <w:szCs w:val="20"/>
                <w:vertAlign w:val="superscript"/>
              </w:rPr>
              <w:t xml:space="preserve"> a</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-/33</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13.0 (8.0, NR)</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54</w:t>
            </w:r>
          </w:p>
        </w:tc>
      </w:tr>
      <w:tr w:rsidR="004B4C7D" w:rsidRPr="005065A0" w:rsidTr="005065A0">
        <w:trPr>
          <w:trHeight w:val="219"/>
        </w:trPr>
        <w:tc>
          <w:tcPr>
            <w:tcW w:w="1202" w:type="pct"/>
            <w:vMerge/>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w:t>
            </w:r>
            <w:r w:rsidRPr="005065A0">
              <w:rPr>
                <w:rFonts w:ascii="Arial Narrow" w:hAnsi="Arial Narrow"/>
                <w:szCs w:val="20"/>
              </w:rPr>
              <w:t>2</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w:t>
            </w:r>
          </w:p>
        </w:tc>
      </w:tr>
      <w:tr w:rsidR="004B4C7D" w:rsidRPr="005065A0" w:rsidTr="005065A0">
        <w:trPr>
          <w:trHeight w:val="209"/>
        </w:trPr>
        <w:tc>
          <w:tcPr>
            <w:tcW w:w="1202" w:type="pct"/>
            <w:vMerge w:val="restar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City of Hope</w:t>
            </w:r>
          </w:p>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(Dizman et al. 2019)</w:t>
            </w: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TKI</w:t>
            </w:r>
            <w:r w:rsidRPr="005065A0">
              <w:rPr>
                <w:rFonts w:ascii="Arial Narrow" w:hAnsi="Arial Narrow" w:cstheme="minorHAnsi"/>
                <w:szCs w:val="20"/>
                <w:vertAlign w:val="superscript"/>
              </w:rPr>
              <w:t xml:space="preserve"> a</w:t>
            </w:r>
          </w:p>
        </w:tc>
        <w:tc>
          <w:tcPr>
            <w:tcW w:w="588" w:type="pct"/>
            <w:shd w:val="clear" w:color="auto" w:fill="C6D9F1" w:themeFill="text2" w:themeFillTint="33"/>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6/11</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szCs w:val="20"/>
              </w:rPr>
            </w:pPr>
            <w:r w:rsidRPr="005065A0">
              <w:rPr>
                <w:rFonts w:ascii="Arial Narrow" w:hAnsi="Arial Narrow" w:cstheme="minorHAnsi"/>
                <w:szCs w:val="20"/>
              </w:rPr>
              <w:t>22.7 (10.9, 4.3)</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Fonts w:ascii="Arial Narrow" w:hAnsi="Arial Narrow" w:cstheme="minorHAnsi"/>
                <w:iCs/>
                <w:szCs w:val="20"/>
              </w:rPr>
            </w:pPr>
            <w:r w:rsidRPr="005065A0">
              <w:rPr>
                <w:rFonts w:ascii="Arial Narrow" w:hAnsi="Arial Narrow" w:cstheme="minorHAnsi"/>
                <w:iCs/>
                <w:szCs w:val="20"/>
              </w:rPr>
              <w:t>36</w:t>
            </w:r>
            <w:r w:rsidRPr="005065A0">
              <w:rPr>
                <w:rFonts w:ascii="Arial Narrow" w:hAnsi="Arial Narrow" w:cstheme="minorHAnsi"/>
                <w:iCs/>
                <w:szCs w:val="20"/>
                <w:vertAlign w:val="superscript"/>
              </w:rPr>
              <w:t>b</w:t>
            </w:r>
          </w:p>
        </w:tc>
      </w:tr>
      <w:tr w:rsidR="004B4C7D" w:rsidRPr="005065A0" w:rsidTr="005065A0">
        <w:trPr>
          <w:trHeight w:val="219"/>
        </w:trPr>
        <w:tc>
          <w:tcPr>
            <w:tcW w:w="1202" w:type="pct"/>
            <w:vMerge/>
            <w:shd w:val="clear" w:color="auto" w:fill="C6D9F1" w:themeFill="text2" w:themeFillTint="33"/>
          </w:tcPr>
          <w:p w:rsidR="004B4C7D" w:rsidRPr="005065A0" w:rsidRDefault="004B4C7D" w:rsidP="004877C6">
            <w:pPr>
              <w:pStyle w:val="TableLeft"/>
              <w:keepNext/>
              <w:keepLines/>
              <w:rPr>
                <w:rStyle w:val="Small"/>
                <w:rFonts w:ascii="Arial Narrow" w:hAnsi="Arial Narrow" w:cstheme="minorHAnsi"/>
                <w:szCs w:val="20"/>
              </w:rPr>
            </w:pPr>
          </w:p>
        </w:tc>
        <w:tc>
          <w:tcPr>
            <w:tcW w:w="687" w:type="pct"/>
            <w:shd w:val="clear" w:color="auto" w:fill="C6D9F1" w:themeFill="text2" w:themeFillTint="33"/>
          </w:tcPr>
          <w:p w:rsidR="004B4C7D" w:rsidRPr="005065A0" w:rsidRDefault="004B4C7D" w:rsidP="004877C6">
            <w:pPr>
              <w:pStyle w:val="TableLeft"/>
              <w:keepNext/>
              <w:keepLines/>
              <w:rPr>
                <w:rFonts w:ascii="Arial Narrow" w:hAnsi="Arial Narrow" w:cstheme="minorHAnsi"/>
                <w:szCs w:val="20"/>
              </w:rPr>
            </w:pPr>
            <w:r w:rsidRPr="005065A0">
              <w:rPr>
                <w:rFonts w:ascii="Arial Narrow" w:hAnsi="Arial Narrow" w:cstheme="minorHAnsi"/>
                <w:szCs w:val="20"/>
              </w:rPr>
              <w:t>Cabozantinib</w:t>
            </w:r>
          </w:p>
        </w:tc>
        <w:tc>
          <w:tcPr>
            <w:tcW w:w="588" w:type="pct"/>
            <w:shd w:val="clear" w:color="auto" w:fill="C6D9F1" w:themeFill="text2" w:themeFillTint="33"/>
          </w:tcPr>
          <w:p w:rsidR="004B4C7D" w:rsidRPr="005065A0" w:rsidRDefault="004B4C7D" w:rsidP="004877C6">
            <w:pPr>
              <w:pStyle w:val="TableLeft"/>
              <w:keepNext/>
              <w:keepLines/>
              <w:jc w:val="center"/>
              <w:rPr>
                <w:rStyle w:val="Small"/>
                <w:rFonts w:ascii="Arial Narrow" w:hAnsi="Arial Narrow" w:cstheme="minorHAnsi"/>
                <w:szCs w:val="20"/>
              </w:rPr>
            </w:pPr>
            <w:r w:rsidRPr="005065A0">
              <w:rPr>
                <w:rStyle w:val="Small"/>
                <w:rFonts w:ascii="Arial Narrow" w:hAnsi="Arial Narrow" w:cstheme="minorHAnsi"/>
                <w:szCs w:val="20"/>
              </w:rPr>
              <w:t>-</w:t>
            </w:r>
            <w:r w:rsidRPr="005065A0">
              <w:rPr>
                <w:rStyle w:val="Small"/>
                <w:rFonts w:ascii="Arial Narrow" w:hAnsi="Arial Narrow"/>
                <w:szCs w:val="20"/>
              </w:rPr>
              <w:t>/5</w:t>
            </w:r>
          </w:p>
        </w:tc>
        <w:tc>
          <w:tcPr>
            <w:tcW w:w="1384" w:type="pct"/>
            <w:shd w:val="clear" w:color="auto" w:fill="C6D9F1" w:themeFill="text2" w:themeFillTint="33"/>
            <w:vAlign w:val="center"/>
          </w:tcPr>
          <w:p w:rsidR="004B4C7D" w:rsidRPr="005065A0" w:rsidRDefault="004B4C7D" w:rsidP="004877C6">
            <w:pPr>
              <w:pStyle w:val="TableLeft"/>
              <w:keepNext/>
              <w:keepLines/>
              <w:jc w:val="center"/>
              <w:rPr>
                <w:rStyle w:val="Small"/>
                <w:rFonts w:ascii="Arial Narrow" w:hAnsi="Arial Narrow" w:cstheme="minorHAnsi"/>
                <w:szCs w:val="20"/>
              </w:rPr>
            </w:pPr>
            <w:r w:rsidRPr="005065A0">
              <w:rPr>
                <w:rStyle w:val="Small"/>
                <w:rFonts w:ascii="Arial Narrow" w:hAnsi="Arial Narrow" w:cstheme="minorHAnsi"/>
                <w:szCs w:val="20"/>
              </w:rPr>
              <w:t>-</w:t>
            </w:r>
          </w:p>
        </w:tc>
        <w:tc>
          <w:tcPr>
            <w:tcW w:w="1139" w:type="pct"/>
            <w:shd w:val="clear" w:color="auto" w:fill="C6D9F1" w:themeFill="text2" w:themeFillTint="33"/>
            <w:vAlign w:val="center"/>
          </w:tcPr>
          <w:p w:rsidR="004B4C7D" w:rsidRPr="005065A0" w:rsidRDefault="004B4C7D" w:rsidP="004877C6">
            <w:pPr>
              <w:pStyle w:val="TableLeft"/>
              <w:keepNext/>
              <w:keepLines/>
              <w:jc w:val="center"/>
              <w:rPr>
                <w:rStyle w:val="Small"/>
                <w:rFonts w:ascii="Arial Narrow" w:hAnsi="Arial Narrow" w:cstheme="minorHAnsi"/>
                <w:szCs w:val="20"/>
              </w:rPr>
            </w:pPr>
            <w:r w:rsidRPr="005065A0">
              <w:rPr>
                <w:rStyle w:val="Small"/>
                <w:rFonts w:ascii="Arial Narrow" w:hAnsi="Arial Narrow" w:cstheme="minorHAnsi"/>
                <w:szCs w:val="20"/>
              </w:rPr>
              <w:t>-</w:t>
            </w:r>
          </w:p>
        </w:tc>
      </w:tr>
    </w:tbl>
    <w:p w:rsidR="004B4C7D" w:rsidRPr="00C24DBA" w:rsidRDefault="004B4C7D" w:rsidP="005065A0">
      <w:pPr>
        <w:pStyle w:val="TableFigureFooter"/>
      </w:pPr>
      <w:r w:rsidRPr="00C24DBA">
        <w:rPr>
          <w:szCs w:val="18"/>
        </w:rPr>
        <w:t xml:space="preserve">Source: 2.39, p.99 of the </w:t>
      </w:r>
      <w:r w:rsidR="00FC3BB9" w:rsidRPr="00C24DBA">
        <w:rPr>
          <w:szCs w:val="18"/>
        </w:rPr>
        <w:t xml:space="preserve">March 2020 </w:t>
      </w:r>
      <w:r w:rsidRPr="00C24DBA">
        <w:rPr>
          <w:szCs w:val="18"/>
        </w:rPr>
        <w:t xml:space="preserve">resubmission; Table 2.20, p.34; </w:t>
      </w:r>
      <w:r w:rsidRPr="00C24DBA">
        <w:t>Table 2.20, p.34 of Attachment 3 of the</w:t>
      </w:r>
      <w:r w:rsidR="00FC3BB9" w:rsidRPr="00C24DBA">
        <w:t xml:space="preserve"> March 2020</w:t>
      </w:r>
      <w:r w:rsidRPr="00C24DBA">
        <w:t xml:space="preserve"> resubmission; Table 3, p.72 of Shah et al. 2019</w:t>
      </w:r>
    </w:p>
    <w:p w:rsidR="004B4C7D" w:rsidRPr="00C24DBA" w:rsidRDefault="004B4C7D" w:rsidP="005065A0">
      <w:pPr>
        <w:pStyle w:val="TableFigureFooter"/>
        <w:rPr>
          <w:szCs w:val="18"/>
        </w:rPr>
      </w:pPr>
      <w:r w:rsidRPr="00C24DBA">
        <w:rPr>
          <w:szCs w:val="18"/>
        </w:rPr>
        <w:t>Abbreviation: CI = confidence interval; n = number of participants with event; N = total participants in group; NA = not applicable; NR = not reached; OS = overall survival; TKI = tyrosine</w:t>
      </w:r>
      <w:r w:rsidRPr="00C24DBA">
        <w:rPr>
          <w:iCs/>
          <w:szCs w:val="18"/>
        </w:rPr>
        <w:t xml:space="preserve">-kinase inhibitor. </w:t>
      </w:r>
    </w:p>
    <w:p w:rsidR="00CC10EC" w:rsidRPr="00C24DBA" w:rsidRDefault="004B4C7D" w:rsidP="005065A0">
      <w:pPr>
        <w:pStyle w:val="TableFigureFooter"/>
      </w:pPr>
      <w:r w:rsidRPr="00C24DBA">
        <w:rPr>
          <w:iCs/>
          <w:szCs w:val="18"/>
        </w:rPr>
        <w:t xml:space="preserve">Note: </w:t>
      </w:r>
      <w:r w:rsidRPr="00C24DBA">
        <w:rPr>
          <w:iCs/>
          <w:szCs w:val="18"/>
          <w:vertAlign w:val="superscript"/>
        </w:rPr>
        <w:t>a</w:t>
      </w:r>
      <w:r w:rsidRPr="00C24DBA">
        <w:rPr>
          <w:iCs/>
          <w:szCs w:val="18"/>
        </w:rPr>
        <w:t xml:space="preserve"> Including cabozantinib; </w:t>
      </w:r>
      <w:r w:rsidRPr="00C24DBA">
        <w:rPr>
          <w:iCs/>
          <w:szCs w:val="18"/>
          <w:vertAlign w:val="superscript"/>
        </w:rPr>
        <w:t>b</w:t>
      </w:r>
      <w:r w:rsidRPr="00C24DBA">
        <w:rPr>
          <w:iCs/>
          <w:szCs w:val="18"/>
        </w:rPr>
        <w:t xml:space="preserve"> Figures were retrieved during evaluation</w:t>
      </w:r>
      <w:r w:rsidR="00003C3F" w:rsidRPr="00C24DBA">
        <w:rPr>
          <w:iCs/>
          <w:szCs w:val="18"/>
        </w:rPr>
        <w:t>;</w:t>
      </w:r>
      <w:r w:rsidR="00CC10EC" w:rsidRPr="00C24DBA">
        <w:rPr>
          <w:iCs/>
          <w:szCs w:val="18"/>
        </w:rPr>
        <w:t xml:space="preserve"> </w:t>
      </w:r>
      <w:r w:rsidR="00CC10EC" w:rsidRPr="00C24DBA">
        <w:t xml:space="preserve">Blue shading denotes text remains unchanged from the previous resubmission. </w:t>
      </w:r>
    </w:p>
    <w:p w:rsidR="004B4C7D" w:rsidRPr="00C24DBA" w:rsidRDefault="004B4C7D" w:rsidP="00887E66">
      <w:pPr>
        <w:pStyle w:val="4-SubsectionHeading"/>
        <w:keepNext w:val="0"/>
      </w:pPr>
      <w:bookmarkStart w:id="19" w:name="_Toc22897642"/>
      <w:bookmarkStart w:id="20" w:name="_Toc48560950"/>
      <w:r w:rsidRPr="00C24DBA">
        <w:t>Comparative harms</w:t>
      </w:r>
      <w:bookmarkEnd w:id="19"/>
      <w:bookmarkEnd w:id="20"/>
    </w:p>
    <w:p w:rsidR="00C37CBA" w:rsidRPr="00C24DBA" w:rsidRDefault="00C37CBA" w:rsidP="00C37CBA">
      <w:pPr>
        <w:pStyle w:val="ListParagraph"/>
        <w:numPr>
          <w:ilvl w:val="1"/>
          <w:numId w:val="1"/>
        </w:numPr>
        <w:spacing w:after="160"/>
      </w:pPr>
      <w:bookmarkStart w:id="21" w:name="_Toc22897644"/>
      <w:r w:rsidRPr="00C24DBA">
        <w:t>No new data on comparative harms were provided in the resubmission. Overall the PBAC previously considered that cabozantinib and sunitinib appear to have broadly comparable overall safety profiles (para 7.7, cabozantinib PSD, March 2019 PBAC Meeting).</w:t>
      </w:r>
    </w:p>
    <w:p w:rsidR="004B4C7D" w:rsidRPr="00C24DBA" w:rsidRDefault="004B4C7D" w:rsidP="008E1C32">
      <w:pPr>
        <w:pStyle w:val="Heading2"/>
        <w:keepNext/>
        <w:keepLines/>
        <w:spacing w:after="120"/>
      </w:pPr>
      <w:bookmarkStart w:id="22" w:name="_Toc371170708"/>
      <w:bookmarkStart w:id="23" w:name="_Toc536002944"/>
      <w:bookmarkStart w:id="24" w:name="_Toc536023496"/>
      <w:bookmarkStart w:id="25" w:name="_Toc29800771"/>
      <w:bookmarkStart w:id="26" w:name="_Toc48560951"/>
      <w:r w:rsidRPr="00C24DBA">
        <w:t>Benefits/harms</w:t>
      </w:r>
      <w:bookmarkEnd w:id="22"/>
      <w:bookmarkEnd w:id="23"/>
      <w:bookmarkEnd w:id="24"/>
      <w:bookmarkEnd w:id="25"/>
      <w:bookmarkEnd w:id="26"/>
    </w:p>
    <w:p w:rsidR="004B4C7D" w:rsidRPr="00C24DBA" w:rsidRDefault="008E1C32" w:rsidP="008B7741">
      <w:pPr>
        <w:pStyle w:val="3-BodyText"/>
      </w:pPr>
      <w:r w:rsidRPr="00C24DBA">
        <w:rPr>
          <w:iCs/>
        </w:rPr>
        <w:t>O</w:t>
      </w:r>
      <w:r w:rsidR="00197B48" w:rsidRPr="00C24DBA">
        <w:t>n the basis of the direct evidence presented by the resubmission, for every 100 patients treated with cabozantinib in comparison with sunitinib in the treatment-naïve setting approximately 22 additional patients will be progression-free at 12 months.</w:t>
      </w:r>
    </w:p>
    <w:p w:rsidR="004B4C7D" w:rsidRPr="00C24DBA" w:rsidRDefault="004B4C7D" w:rsidP="004877C6">
      <w:pPr>
        <w:pStyle w:val="4-SubsectionHeading"/>
        <w:keepLines/>
      </w:pPr>
      <w:bookmarkStart w:id="27" w:name="_Toc48560952"/>
      <w:r w:rsidRPr="00C24DBA">
        <w:t>Clinical claim</w:t>
      </w:r>
      <w:bookmarkEnd w:id="21"/>
      <w:bookmarkEnd w:id="27"/>
    </w:p>
    <w:p w:rsidR="00510331" w:rsidRPr="00C24DBA" w:rsidRDefault="00510331" w:rsidP="00325893">
      <w:pPr>
        <w:pStyle w:val="3-BodyText"/>
        <w:rPr>
          <w:color w:val="0066FF"/>
        </w:rPr>
      </w:pPr>
      <w:r w:rsidRPr="00C24DBA">
        <w:t xml:space="preserve">For patients who are naïve to treatment with a TKI irrespective of prior treatment with immunotherapy, the resubmission maintained the clinical claim of superior efficacy for PFS and ORR and comparable safety relative to sunitinib </w:t>
      </w:r>
      <w:r w:rsidR="00F40442" w:rsidRPr="00C24DBA">
        <w:t>(unchanged from</w:t>
      </w:r>
      <w:r w:rsidRPr="00C24DBA">
        <w:t xml:space="preserve"> the March 2020 resubmission</w:t>
      </w:r>
      <w:r w:rsidR="00F40442" w:rsidRPr="00C24DBA">
        <w:t>)</w:t>
      </w:r>
      <w:r w:rsidRPr="00C24DBA">
        <w:t xml:space="preserve">. However, the resubmission changed the clinical claim for OS outcomes to be that OS outcomes for cabozantinib are similar to sunitinib. </w:t>
      </w:r>
    </w:p>
    <w:p w:rsidR="00510331" w:rsidRPr="00C24DBA" w:rsidRDefault="00510331" w:rsidP="00325893">
      <w:pPr>
        <w:pStyle w:val="3-BodyText"/>
        <w:rPr>
          <w:rFonts w:cs="Calibri"/>
          <w:iCs/>
          <w:snapToGrid/>
        </w:rPr>
      </w:pPr>
      <w:r w:rsidRPr="00C24DBA">
        <w:t>In the first TKI post-immunotherapy setting, the resubmission described cabozantinib as significantly superior in PFS and ORR, with a similar OS to sunitinib</w:t>
      </w:r>
      <w:r w:rsidRPr="00C24DBA">
        <w:rPr>
          <w:iCs/>
        </w:rPr>
        <w:t xml:space="preserve"> </w:t>
      </w:r>
      <w:r w:rsidRPr="00C24DBA">
        <w:t xml:space="preserve">(i.e. the same </w:t>
      </w:r>
      <w:r w:rsidRPr="00C24DBA">
        <w:lastRenderedPageBreak/>
        <w:t xml:space="preserve">clinical claim as in the treatment-naïve setting). </w:t>
      </w:r>
      <w:r w:rsidR="006813C0" w:rsidRPr="00C24DBA">
        <w:t>T</w:t>
      </w:r>
      <w:r w:rsidR="006813C0" w:rsidRPr="00C24DBA">
        <w:rPr>
          <w:iCs/>
        </w:rPr>
        <w:t>he resubmission acknowledged the PBAC’s view that “…in the absence of a translational study to support the clinical benefit of cabozantinib across the different setting</w:t>
      </w:r>
      <w:r w:rsidR="00F40442" w:rsidRPr="00C24DBA">
        <w:rPr>
          <w:iCs/>
        </w:rPr>
        <w:t>s</w:t>
      </w:r>
      <w:r w:rsidR="006813C0" w:rsidRPr="00C24DBA">
        <w:rPr>
          <w:iCs/>
        </w:rPr>
        <w:t>, it remained unclear as to whether cabozantinib post-immunotherapy would result in the same benefit as in the treatment naïve setting” (</w:t>
      </w:r>
      <w:r w:rsidR="00CC6495" w:rsidRPr="00C24DBA">
        <w:rPr>
          <w:iCs/>
        </w:rPr>
        <w:t xml:space="preserve">para </w:t>
      </w:r>
      <w:r w:rsidR="006813C0" w:rsidRPr="00C24DBA">
        <w:rPr>
          <w:iCs/>
        </w:rPr>
        <w:t>6.30, cabozantinib</w:t>
      </w:r>
      <w:r w:rsidR="00A107E0" w:rsidRPr="00C24DBA">
        <w:rPr>
          <w:iCs/>
        </w:rPr>
        <w:t xml:space="preserve"> PSD</w:t>
      </w:r>
      <w:r w:rsidR="006813C0" w:rsidRPr="00C24DBA">
        <w:rPr>
          <w:iCs/>
        </w:rPr>
        <w:t xml:space="preserve">, March 2020 PBAC meeting). The resubmission stated that as there is equally limited prospective evidence for the other available TKIs in this setting, cabozantinib </w:t>
      </w:r>
      <w:r w:rsidR="00F40442" w:rsidRPr="00C24DBA">
        <w:rPr>
          <w:iCs/>
        </w:rPr>
        <w:t>was</w:t>
      </w:r>
      <w:r w:rsidR="006813C0" w:rsidRPr="00C24DBA">
        <w:rPr>
          <w:iCs/>
        </w:rPr>
        <w:t xml:space="preserve"> assumed to be equivalent to sunitinib, with a different but broadly comparable safety profile. </w:t>
      </w:r>
    </w:p>
    <w:p w:rsidR="00C92DA0" w:rsidRPr="00C24DBA" w:rsidRDefault="002E4816" w:rsidP="00C37CBA">
      <w:pPr>
        <w:pStyle w:val="3-BodyText"/>
        <w:rPr>
          <w:snapToGrid/>
        </w:rPr>
      </w:pPr>
      <w:r w:rsidRPr="00C24DBA">
        <w:rPr>
          <w:snapToGrid/>
        </w:rPr>
        <w:t>The PBAC consider</w:t>
      </w:r>
      <w:r w:rsidR="00C37CBA" w:rsidRPr="00C24DBA">
        <w:rPr>
          <w:snapToGrid/>
        </w:rPr>
        <w:t>ed</w:t>
      </w:r>
      <w:r w:rsidRPr="00C24DBA">
        <w:rPr>
          <w:snapToGrid/>
        </w:rPr>
        <w:t xml:space="preserve"> that the clinical claim </w:t>
      </w:r>
      <w:r w:rsidR="00C37CBA" w:rsidRPr="00C24DBA">
        <w:rPr>
          <w:snapToGrid/>
        </w:rPr>
        <w:t xml:space="preserve">of </w:t>
      </w:r>
      <w:r w:rsidR="00C37CBA" w:rsidRPr="00C24DBA">
        <w:rPr>
          <w:rFonts w:cs="Calibri"/>
          <w:iCs/>
          <w:snapToGrid/>
        </w:rPr>
        <w:t xml:space="preserve">superior efficacy for PFS was </w:t>
      </w:r>
      <w:r w:rsidRPr="00C24DBA">
        <w:rPr>
          <w:snapToGrid/>
        </w:rPr>
        <w:t>adequately supported by the evidence presented but considered the magnitude was uncertain and likely overestimated.</w:t>
      </w:r>
      <w:r w:rsidR="00C37CBA" w:rsidRPr="00C24DBA">
        <w:rPr>
          <w:snapToGrid/>
        </w:rPr>
        <w:t xml:space="preserve"> </w:t>
      </w:r>
      <w:r w:rsidR="00C92DA0" w:rsidRPr="00C24DBA">
        <w:rPr>
          <w:snapToGrid/>
        </w:rPr>
        <w:t>The PBAC considered that</w:t>
      </w:r>
      <w:r w:rsidRPr="00C24DBA">
        <w:rPr>
          <w:snapToGrid/>
        </w:rPr>
        <w:t xml:space="preserve"> cabozantinib </w:t>
      </w:r>
      <w:r w:rsidR="00187B91" w:rsidRPr="00C24DBA">
        <w:rPr>
          <w:snapToGrid/>
        </w:rPr>
        <w:t xml:space="preserve">was </w:t>
      </w:r>
      <w:r w:rsidR="00C92DA0" w:rsidRPr="00C24DBA">
        <w:rPr>
          <w:snapToGrid/>
        </w:rPr>
        <w:t>non-inferior</w:t>
      </w:r>
      <w:r w:rsidR="00187B91" w:rsidRPr="00C24DBA">
        <w:rPr>
          <w:snapToGrid/>
        </w:rPr>
        <w:t xml:space="preserve"> to </w:t>
      </w:r>
      <w:r w:rsidRPr="00C24DBA">
        <w:rPr>
          <w:snapToGrid/>
        </w:rPr>
        <w:t>sunitinib in terms of overall survival</w:t>
      </w:r>
      <w:r w:rsidR="00C24DBA">
        <w:rPr>
          <w:snapToGrid/>
        </w:rPr>
        <w:t xml:space="preserve">. </w:t>
      </w:r>
    </w:p>
    <w:p w:rsidR="00C92DA0" w:rsidRPr="00C24DBA" w:rsidRDefault="00C92DA0" w:rsidP="00C92DA0">
      <w:pPr>
        <w:pStyle w:val="3-BodyText"/>
        <w:rPr>
          <w:rFonts w:cs="Calibri"/>
          <w:iCs/>
          <w:snapToGrid/>
        </w:rPr>
      </w:pPr>
      <w:r w:rsidRPr="00C24DBA">
        <w:rPr>
          <w:rFonts w:cs="Calibri"/>
          <w:iCs/>
          <w:snapToGrid/>
        </w:rPr>
        <w:t>The PBAC considered that the claim of non-inferior</w:t>
      </w:r>
      <w:r w:rsidR="002E4816" w:rsidRPr="00C24DBA">
        <w:rPr>
          <w:rFonts w:cs="Calibri"/>
          <w:iCs/>
          <w:snapToGrid/>
        </w:rPr>
        <w:t xml:space="preserve"> (different but broadly comparable)</w:t>
      </w:r>
      <w:r w:rsidRPr="00C24DBA">
        <w:rPr>
          <w:rFonts w:cs="Calibri"/>
          <w:iCs/>
          <w:snapToGrid/>
        </w:rPr>
        <w:t xml:space="preserve"> comparative safety was reasonable.</w:t>
      </w:r>
    </w:p>
    <w:p w:rsidR="004B4C7D" w:rsidRPr="00C24DBA" w:rsidRDefault="004B4C7D" w:rsidP="004B4C7D">
      <w:pPr>
        <w:pStyle w:val="4-SubsectionHeading"/>
      </w:pPr>
      <w:bookmarkStart w:id="28" w:name="_Toc22897645"/>
      <w:bookmarkStart w:id="29" w:name="_Toc48560953"/>
      <w:r w:rsidRPr="00C24DBA">
        <w:t>Economic analysis</w:t>
      </w:r>
      <w:bookmarkEnd w:id="28"/>
      <w:bookmarkEnd w:id="29"/>
      <w:r w:rsidRPr="00C24DBA">
        <w:t xml:space="preserve"> </w:t>
      </w:r>
    </w:p>
    <w:p w:rsidR="00600554" w:rsidRPr="00C24DBA" w:rsidRDefault="001C3D96" w:rsidP="003C690D">
      <w:pPr>
        <w:pStyle w:val="3-BodyText"/>
        <w:rPr>
          <w:rStyle w:val="normaltextrun"/>
          <w:b/>
          <w:bCs/>
          <w:color w:val="0066FF"/>
        </w:rPr>
      </w:pPr>
      <w:r w:rsidRPr="00C24DBA">
        <w:t xml:space="preserve">The resubmission presented a </w:t>
      </w:r>
      <w:r w:rsidR="0052640A" w:rsidRPr="00C24DBA">
        <w:t>cost-analysis</w:t>
      </w:r>
      <w:r w:rsidRPr="00C24DBA">
        <w:t xml:space="preserve"> comparing cabozantinib with sunitinib. This </w:t>
      </w:r>
      <w:r w:rsidR="00C23DAA" w:rsidRPr="00C24DBA">
        <w:t>differed</w:t>
      </w:r>
      <w:r w:rsidRPr="00C24DBA">
        <w:t xml:space="preserve"> from the March 2020 resubmission in which a cost-utility analysis was presented. </w:t>
      </w:r>
      <w:r w:rsidR="003C690D" w:rsidRPr="00C24DBA">
        <w:t>The resubmission referred to the economic analysis as a cost-minimisation analysis (CMA), however it relied on a difference in PFS and associated differences in treatment duration and time on post-progression therapy</w:t>
      </w:r>
      <w:r w:rsidR="00D01450" w:rsidRPr="00C24DBA">
        <w:t>. T</w:t>
      </w:r>
      <w:r w:rsidR="003C690D" w:rsidRPr="00C24DBA">
        <w:t xml:space="preserve">hus </w:t>
      </w:r>
      <w:r w:rsidR="00D01450" w:rsidRPr="00C24DBA">
        <w:t xml:space="preserve">the type of analysis </w:t>
      </w:r>
      <w:r w:rsidR="003C690D" w:rsidRPr="00C24DBA">
        <w:t xml:space="preserve">may be better classified as a cost-analysis. </w:t>
      </w:r>
      <w:r w:rsidR="00CC7677" w:rsidRPr="00C24DBA">
        <w:rPr>
          <w:iCs/>
        </w:rPr>
        <w:t xml:space="preserve">The </w:t>
      </w:r>
      <w:r w:rsidR="00C23DAA" w:rsidRPr="00C24DBA">
        <w:rPr>
          <w:iCs/>
        </w:rPr>
        <w:t>use</w:t>
      </w:r>
      <w:r w:rsidR="00CC7677" w:rsidRPr="00C24DBA">
        <w:rPr>
          <w:iCs/>
        </w:rPr>
        <w:t xml:space="preserve"> of </w:t>
      </w:r>
      <w:r w:rsidR="00F40442" w:rsidRPr="00C24DBA">
        <w:rPr>
          <w:iCs/>
        </w:rPr>
        <w:t xml:space="preserve">a </w:t>
      </w:r>
      <w:r w:rsidR="0052640A" w:rsidRPr="00C24DBA">
        <w:rPr>
          <w:iCs/>
        </w:rPr>
        <w:t>cost-analysis</w:t>
      </w:r>
      <w:r w:rsidR="00CC7677" w:rsidRPr="00C24DBA">
        <w:rPr>
          <w:iCs/>
        </w:rPr>
        <w:t xml:space="preserve"> was consistent with the PBAC’s advice that </w:t>
      </w:r>
      <w:r w:rsidR="00CC7677" w:rsidRPr="00C24DBA">
        <w:rPr>
          <w:bCs/>
        </w:rPr>
        <w:t xml:space="preserve">“a CMA would be appropriate given the uncertain and likely small increase in PFS, the absence of a demonstrated OS benefit or improvement in quality of life, and the uncertain applicability of the clinical data and economic model to the TKI-naive post-immunotherapy setting” </w:t>
      </w:r>
      <w:r w:rsidR="00CC7677" w:rsidRPr="00C24DBA">
        <w:rPr>
          <w:bCs/>
          <w:iCs/>
        </w:rPr>
        <w:t>(</w:t>
      </w:r>
      <w:r w:rsidR="007963E2" w:rsidRPr="00C24DBA">
        <w:rPr>
          <w:bCs/>
          <w:iCs/>
        </w:rPr>
        <w:t xml:space="preserve">para </w:t>
      </w:r>
      <w:r w:rsidR="00CC7677" w:rsidRPr="00C24DBA">
        <w:rPr>
          <w:bCs/>
          <w:iCs/>
        </w:rPr>
        <w:t>7.8, cabozantinib PSD, March 2020 PBAC Meeting).</w:t>
      </w:r>
      <w:r w:rsidR="00600554" w:rsidRPr="00C24DBA">
        <w:rPr>
          <w:bCs/>
          <w:iCs/>
        </w:rPr>
        <w:t xml:space="preserve"> </w:t>
      </w:r>
      <w:r w:rsidR="00600554" w:rsidRPr="00C24DBA">
        <w:rPr>
          <w:rStyle w:val="normaltextrun"/>
          <w:rFonts w:cs="Calibri"/>
          <w:color w:val="000000"/>
          <w:shd w:val="clear" w:color="auto" w:fill="FFFFFF"/>
        </w:rPr>
        <w:t xml:space="preserve">The key components of the analysis as presented in the resubmission are summarised in Table </w:t>
      </w:r>
      <w:r w:rsidR="004713CE" w:rsidRPr="00C24DBA">
        <w:rPr>
          <w:rStyle w:val="normaltextrun"/>
          <w:rFonts w:cs="Calibri"/>
          <w:color w:val="000000"/>
          <w:shd w:val="clear" w:color="auto" w:fill="FFFFFF"/>
        </w:rPr>
        <w:t>9</w:t>
      </w:r>
      <w:r w:rsidR="00600554" w:rsidRPr="00C24DBA">
        <w:rPr>
          <w:rStyle w:val="normaltextrun"/>
          <w:rFonts w:cs="Calibri"/>
          <w:color w:val="000000"/>
          <w:shd w:val="clear" w:color="auto" w:fill="FFFFFF"/>
        </w:rPr>
        <w:t>.</w:t>
      </w:r>
    </w:p>
    <w:p w:rsidR="00E44180" w:rsidRPr="005065A0" w:rsidRDefault="00E44180" w:rsidP="005065A0">
      <w:pPr>
        <w:pStyle w:val="TableHeading0"/>
        <w:rPr>
          <w:rStyle w:val="CommentReference"/>
          <w:b/>
        </w:rPr>
      </w:pPr>
      <w:r w:rsidRPr="005065A0">
        <w:rPr>
          <w:rStyle w:val="CommentReference"/>
          <w:b/>
        </w:rPr>
        <w:lastRenderedPageBreak/>
        <w:t xml:space="preserve">Table </w:t>
      </w:r>
      <w:r w:rsidR="004713CE" w:rsidRPr="005065A0">
        <w:rPr>
          <w:rStyle w:val="CommentReference"/>
          <w:b/>
        </w:rPr>
        <w:t>9</w:t>
      </w:r>
      <w:r w:rsidRPr="005065A0">
        <w:rPr>
          <w:rStyle w:val="CommentReference"/>
          <w:b/>
        </w:rPr>
        <w:t>: Key components and assumptions of the cost-analysis</w:t>
      </w:r>
    </w:p>
    <w:tbl>
      <w:tblPr>
        <w:tblStyle w:val="TableGrid"/>
        <w:tblW w:w="5000" w:type="pct"/>
        <w:tblLook w:val="0620" w:firstRow="1" w:lastRow="0" w:firstColumn="0" w:lastColumn="0" w:noHBand="1" w:noVBand="1"/>
        <w:tblCaption w:val="Table 9: Key components and assumptions of the cost-analysis"/>
      </w:tblPr>
      <w:tblGrid>
        <w:gridCol w:w="2546"/>
        <w:gridCol w:w="6471"/>
      </w:tblGrid>
      <w:tr w:rsidR="00E44180" w:rsidRPr="00C24DBA" w:rsidTr="00810D23">
        <w:trPr>
          <w:tblHeader/>
        </w:trPr>
        <w:tc>
          <w:tcPr>
            <w:tcW w:w="1412" w:type="pct"/>
          </w:tcPr>
          <w:p w:rsidR="00E44180" w:rsidRPr="00C24DBA" w:rsidRDefault="00E44180" w:rsidP="004877C6">
            <w:pPr>
              <w:keepNext/>
              <w:keepLines/>
              <w:rPr>
                <w:rFonts w:ascii="Arial Narrow" w:hAnsi="Arial Narrow"/>
                <w:b/>
                <w:sz w:val="20"/>
                <w:szCs w:val="28"/>
              </w:rPr>
            </w:pPr>
            <w:r w:rsidRPr="00C24DBA">
              <w:rPr>
                <w:rFonts w:ascii="Arial Narrow" w:hAnsi="Arial Narrow"/>
                <w:b/>
                <w:sz w:val="20"/>
                <w:szCs w:val="28"/>
              </w:rPr>
              <w:t>Component</w:t>
            </w:r>
          </w:p>
        </w:tc>
        <w:tc>
          <w:tcPr>
            <w:tcW w:w="3588" w:type="pct"/>
          </w:tcPr>
          <w:p w:rsidR="00E44180" w:rsidRPr="00C24DBA" w:rsidRDefault="00E44180" w:rsidP="004877C6">
            <w:pPr>
              <w:keepNext/>
              <w:keepLines/>
              <w:rPr>
                <w:rFonts w:ascii="Arial Narrow" w:hAnsi="Arial Narrow"/>
                <w:b/>
                <w:sz w:val="20"/>
                <w:szCs w:val="28"/>
              </w:rPr>
            </w:pPr>
            <w:r w:rsidRPr="00C24DBA">
              <w:rPr>
                <w:rFonts w:ascii="Arial Narrow" w:hAnsi="Arial Narrow"/>
                <w:b/>
                <w:sz w:val="20"/>
                <w:szCs w:val="28"/>
              </w:rPr>
              <w:t>Description</w:t>
            </w:r>
          </w:p>
        </w:tc>
      </w:tr>
      <w:tr w:rsidR="00E44180" w:rsidRPr="00C24DBA" w:rsidTr="00810D23">
        <w:tc>
          <w:tcPr>
            <w:tcW w:w="1412" w:type="pct"/>
          </w:tcPr>
          <w:p w:rsidR="00E44180" w:rsidRPr="00C24DBA" w:rsidRDefault="00E44180" w:rsidP="004877C6">
            <w:pPr>
              <w:keepNext/>
              <w:keepLines/>
              <w:jc w:val="left"/>
              <w:rPr>
                <w:rFonts w:ascii="Arial Narrow" w:hAnsi="Arial Narrow"/>
                <w:sz w:val="20"/>
                <w:szCs w:val="28"/>
              </w:rPr>
            </w:pPr>
            <w:r w:rsidRPr="00C24DBA">
              <w:rPr>
                <w:rFonts w:ascii="Arial Narrow" w:hAnsi="Arial Narrow"/>
                <w:sz w:val="20"/>
                <w:szCs w:val="28"/>
              </w:rPr>
              <w:t>Therapeutic claim: effectiveness</w:t>
            </w:r>
          </w:p>
        </w:tc>
        <w:tc>
          <w:tcPr>
            <w:tcW w:w="3588"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 xml:space="preserve">Non-inferior with respect to </w:t>
            </w:r>
            <w:r w:rsidR="00CC10EC" w:rsidRPr="00C24DBA">
              <w:rPr>
                <w:rFonts w:ascii="Arial Narrow" w:hAnsi="Arial Narrow"/>
                <w:sz w:val="20"/>
                <w:szCs w:val="28"/>
              </w:rPr>
              <w:t>OS</w:t>
            </w:r>
          </w:p>
        </w:tc>
      </w:tr>
      <w:tr w:rsidR="00E44180" w:rsidRPr="00C24DBA" w:rsidTr="00810D23">
        <w:tc>
          <w:tcPr>
            <w:tcW w:w="1412" w:type="pct"/>
          </w:tcPr>
          <w:p w:rsidR="00E44180" w:rsidRPr="00C24DBA" w:rsidRDefault="00E44180" w:rsidP="004877C6">
            <w:pPr>
              <w:keepNext/>
              <w:keepLines/>
              <w:jc w:val="left"/>
              <w:rPr>
                <w:rFonts w:ascii="Arial Narrow" w:hAnsi="Arial Narrow"/>
                <w:sz w:val="20"/>
                <w:szCs w:val="28"/>
              </w:rPr>
            </w:pPr>
            <w:r w:rsidRPr="00C24DBA">
              <w:rPr>
                <w:rFonts w:ascii="Arial Narrow" w:hAnsi="Arial Narrow"/>
                <w:sz w:val="20"/>
                <w:szCs w:val="28"/>
              </w:rPr>
              <w:t>Therapeutic claim: safety</w:t>
            </w:r>
          </w:p>
        </w:tc>
        <w:tc>
          <w:tcPr>
            <w:tcW w:w="3588"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Non-inferior</w:t>
            </w:r>
          </w:p>
        </w:tc>
      </w:tr>
      <w:tr w:rsidR="00E44180" w:rsidRPr="00C24DBA" w:rsidTr="00810D23">
        <w:tc>
          <w:tcPr>
            <w:tcW w:w="1412" w:type="pct"/>
          </w:tcPr>
          <w:p w:rsidR="00E44180" w:rsidRPr="00C24DBA" w:rsidRDefault="00E44180" w:rsidP="004877C6">
            <w:pPr>
              <w:keepNext/>
              <w:keepLines/>
              <w:jc w:val="left"/>
              <w:rPr>
                <w:rFonts w:ascii="Arial Narrow" w:hAnsi="Arial Narrow"/>
                <w:sz w:val="20"/>
                <w:szCs w:val="28"/>
              </w:rPr>
            </w:pPr>
            <w:r w:rsidRPr="00C24DBA">
              <w:rPr>
                <w:rFonts w:ascii="Arial Narrow" w:hAnsi="Arial Narrow"/>
                <w:sz w:val="20"/>
                <w:szCs w:val="28"/>
              </w:rPr>
              <w:t>Evidence base</w:t>
            </w:r>
          </w:p>
        </w:tc>
        <w:tc>
          <w:tcPr>
            <w:tcW w:w="3588"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CABOSUN</w:t>
            </w:r>
          </w:p>
        </w:tc>
      </w:tr>
      <w:tr w:rsidR="00E44180" w:rsidRPr="00C24DBA" w:rsidTr="00810D23">
        <w:trPr>
          <w:trHeight w:val="70"/>
        </w:trPr>
        <w:tc>
          <w:tcPr>
            <w:tcW w:w="1412"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Equi-effective doses</w:t>
            </w:r>
          </w:p>
        </w:tc>
        <w:tc>
          <w:tcPr>
            <w:tcW w:w="3588"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Average dose from CABOSUN: cabozantinib 49.4 mg is equivalent to 43.7 mg sunitinib</w:t>
            </w:r>
            <w:r w:rsidR="00DF2F27" w:rsidRPr="00C24DBA">
              <w:rPr>
                <w:rFonts w:ascii="Arial Narrow" w:hAnsi="Arial Narrow"/>
                <w:sz w:val="20"/>
                <w:szCs w:val="28"/>
              </w:rPr>
              <w:t>.</w:t>
            </w:r>
            <w:r w:rsidRPr="00C24DBA">
              <w:rPr>
                <w:rFonts w:ascii="Arial Narrow" w:hAnsi="Arial Narrow"/>
                <w:sz w:val="20"/>
                <w:szCs w:val="28"/>
              </w:rPr>
              <w:t xml:space="preserve"> </w:t>
            </w:r>
          </w:p>
        </w:tc>
      </w:tr>
      <w:tr w:rsidR="00E44180" w:rsidRPr="00C24DBA" w:rsidTr="00810D23">
        <w:trPr>
          <w:trHeight w:val="70"/>
        </w:trPr>
        <w:tc>
          <w:tcPr>
            <w:tcW w:w="1412"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Mean duration of treatment</w:t>
            </w:r>
            <w:r w:rsidR="00992C74">
              <w:rPr>
                <w:rFonts w:ascii="Arial Narrow" w:hAnsi="Arial Narrow"/>
                <w:sz w:val="20"/>
                <w:szCs w:val="28"/>
              </w:rPr>
              <w:t>*</w:t>
            </w:r>
          </w:p>
        </w:tc>
        <w:tc>
          <w:tcPr>
            <w:tcW w:w="3588" w:type="pct"/>
          </w:tcPr>
          <w:p w:rsidR="00E44180" w:rsidRPr="0026726D" w:rsidRDefault="00E44180" w:rsidP="004877C6">
            <w:pPr>
              <w:pStyle w:val="Default"/>
              <w:keepNext/>
              <w:keepLines/>
              <w:rPr>
                <w:rFonts w:ascii="Arial Narrow" w:hAnsi="Arial Narrow"/>
                <w:iCs/>
                <w:sz w:val="20"/>
                <w:szCs w:val="20"/>
                <w:lang w:val="en-AU"/>
              </w:rPr>
            </w:pPr>
            <w:r w:rsidRPr="00C24DBA">
              <w:rPr>
                <w:rFonts w:ascii="Arial Narrow" w:hAnsi="Arial Narrow"/>
                <w:iCs/>
                <w:sz w:val="20"/>
                <w:szCs w:val="20"/>
                <w:lang w:val="en-AU"/>
              </w:rPr>
              <w:t xml:space="preserve">Inputs depend </w:t>
            </w:r>
            <w:r w:rsidRPr="0026726D">
              <w:rPr>
                <w:rFonts w:ascii="Arial Narrow" w:hAnsi="Arial Narrow"/>
                <w:iCs/>
                <w:sz w:val="20"/>
                <w:szCs w:val="20"/>
                <w:lang w:val="en-AU"/>
              </w:rPr>
              <w:t>on the estimates of mean duration from the economic model contained in the March 2020 resubmission:</w:t>
            </w:r>
          </w:p>
          <w:p w:rsidR="00E44180" w:rsidRPr="0026726D" w:rsidRDefault="00E44180" w:rsidP="004877C6">
            <w:pPr>
              <w:pStyle w:val="Default"/>
              <w:keepNext/>
              <w:keepLines/>
              <w:rPr>
                <w:rFonts w:ascii="Arial Narrow" w:hAnsi="Arial Narrow"/>
                <w:iCs/>
                <w:sz w:val="20"/>
                <w:szCs w:val="20"/>
                <w:lang w:val="en-AU"/>
              </w:rPr>
            </w:pPr>
            <w:r w:rsidRPr="0026726D">
              <w:rPr>
                <w:rFonts w:ascii="Arial Narrow" w:hAnsi="Arial Narrow"/>
                <w:iCs/>
                <w:sz w:val="20"/>
                <w:szCs w:val="20"/>
                <w:lang w:val="en-AU"/>
              </w:rPr>
              <w:t>TOT: Cabozantinib 12.6 months, sunitinib 7.2 months</w:t>
            </w:r>
          </w:p>
          <w:p w:rsidR="002A4DA7" w:rsidRPr="0026726D" w:rsidRDefault="002A4DA7" w:rsidP="004877C6">
            <w:pPr>
              <w:pStyle w:val="Default"/>
              <w:keepNext/>
              <w:keepLines/>
              <w:rPr>
                <w:rFonts w:ascii="Arial Narrow" w:hAnsi="Arial Narrow"/>
                <w:iCs/>
                <w:sz w:val="20"/>
                <w:szCs w:val="20"/>
                <w:lang w:val="en-AU"/>
              </w:rPr>
            </w:pPr>
            <w:r w:rsidRPr="0026726D">
              <w:rPr>
                <w:rFonts w:ascii="Arial Narrow" w:hAnsi="Arial Narrow"/>
                <w:iCs/>
                <w:sz w:val="20"/>
                <w:szCs w:val="20"/>
                <w:lang w:val="en-AU"/>
              </w:rPr>
              <w:t>(PFS but not on treatment: Cabozantinib 3.8 months, sunitinib 1.5 months)</w:t>
            </w:r>
          </w:p>
          <w:p w:rsidR="00E44180" w:rsidRPr="0026726D" w:rsidRDefault="00E44180" w:rsidP="004877C6">
            <w:pPr>
              <w:pStyle w:val="Default"/>
              <w:keepNext/>
              <w:keepLines/>
              <w:rPr>
                <w:rFonts w:ascii="Arial Narrow" w:hAnsi="Arial Narrow"/>
                <w:iCs/>
                <w:sz w:val="20"/>
                <w:szCs w:val="20"/>
                <w:lang w:val="en-AU"/>
              </w:rPr>
            </w:pPr>
            <w:r w:rsidRPr="0026726D">
              <w:rPr>
                <w:rFonts w:ascii="Arial Narrow" w:hAnsi="Arial Narrow"/>
                <w:iCs/>
                <w:sz w:val="20"/>
                <w:szCs w:val="20"/>
                <w:lang w:val="en-AU"/>
              </w:rPr>
              <w:t>Post progression</w:t>
            </w:r>
            <w:r w:rsidR="00FA5D0F" w:rsidRPr="0026726D">
              <w:rPr>
                <w:rFonts w:ascii="Arial Narrow" w:hAnsi="Arial Narrow"/>
                <w:iCs/>
                <w:sz w:val="20"/>
                <w:szCs w:val="20"/>
                <w:lang w:val="en-AU"/>
              </w:rPr>
              <w:t xml:space="preserve"> TOT</w:t>
            </w:r>
            <w:r w:rsidRPr="0026726D">
              <w:rPr>
                <w:rFonts w:ascii="Arial Narrow" w:hAnsi="Arial Narrow"/>
                <w:iCs/>
                <w:sz w:val="20"/>
                <w:szCs w:val="20"/>
                <w:lang w:val="en-AU"/>
              </w:rPr>
              <w:t>: Cabozantinib 16.8 months, sunitinib 24.5 months</w:t>
            </w:r>
          </w:p>
          <w:p w:rsidR="00E44180" w:rsidRPr="00C24DBA" w:rsidRDefault="00E44180" w:rsidP="004877C6">
            <w:pPr>
              <w:pStyle w:val="Default"/>
              <w:keepNext/>
              <w:keepLines/>
              <w:rPr>
                <w:rFonts w:ascii="Arial Narrow" w:hAnsi="Arial Narrow"/>
                <w:iCs/>
                <w:sz w:val="20"/>
                <w:szCs w:val="20"/>
                <w:lang w:val="en-AU"/>
              </w:rPr>
            </w:pPr>
            <w:r w:rsidRPr="0026726D">
              <w:rPr>
                <w:rFonts w:ascii="Arial Narrow" w:hAnsi="Arial Narrow"/>
                <w:iCs/>
                <w:sz w:val="20"/>
                <w:szCs w:val="20"/>
                <w:lang w:val="en-AU"/>
              </w:rPr>
              <w:t>OS: 33.2 months for both drugs based on OS for sunitinib</w:t>
            </w:r>
          </w:p>
        </w:tc>
      </w:tr>
      <w:tr w:rsidR="00E44180" w:rsidRPr="00C24DBA" w:rsidTr="00810D23">
        <w:trPr>
          <w:trHeight w:val="70"/>
        </w:trPr>
        <w:tc>
          <w:tcPr>
            <w:tcW w:w="1412"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Direct medicine costs</w:t>
            </w:r>
          </w:p>
        </w:tc>
        <w:tc>
          <w:tcPr>
            <w:tcW w:w="3588"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Drug costs (sunitinib and cabozantinib)</w:t>
            </w:r>
          </w:p>
        </w:tc>
      </w:tr>
      <w:tr w:rsidR="00E44180" w:rsidRPr="00C24DBA" w:rsidTr="00810D23">
        <w:tc>
          <w:tcPr>
            <w:tcW w:w="1412" w:type="pct"/>
          </w:tcPr>
          <w:p w:rsidR="00E44180" w:rsidRPr="00C24DBA" w:rsidRDefault="00E44180" w:rsidP="004877C6">
            <w:pPr>
              <w:keepNext/>
              <w:keepLines/>
              <w:rPr>
                <w:rFonts w:ascii="Arial Narrow" w:hAnsi="Arial Narrow"/>
                <w:sz w:val="20"/>
                <w:szCs w:val="28"/>
              </w:rPr>
            </w:pPr>
            <w:r w:rsidRPr="00C24DBA">
              <w:rPr>
                <w:rFonts w:ascii="Arial Narrow" w:hAnsi="Arial Narrow"/>
                <w:sz w:val="20"/>
                <w:szCs w:val="28"/>
              </w:rPr>
              <w:t>Other costs or cost offsets</w:t>
            </w:r>
          </w:p>
        </w:tc>
        <w:tc>
          <w:tcPr>
            <w:tcW w:w="3588" w:type="pct"/>
          </w:tcPr>
          <w:p w:rsidR="00E44180" w:rsidRPr="00C24DBA" w:rsidRDefault="00E44180" w:rsidP="003268E2">
            <w:pPr>
              <w:keepNext/>
              <w:keepLines/>
              <w:rPr>
                <w:rFonts w:ascii="Arial Narrow" w:hAnsi="Arial Narrow"/>
                <w:sz w:val="20"/>
                <w:szCs w:val="28"/>
              </w:rPr>
            </w:pPr>
            <w:r w:rsidRPr="00C24DBA">
              <w:rPr>
                <w:rFonts w:ascii="Arial Narrow" w:hAnsi="Arial Narrow"/>
                <w:sz w:val="20"/>
                <w:szCs w:val="28"/>
              </w:rPr>
              <w:t xml:space="preserve">Post-progression of $2,470 per cycle (6.49, cabozantinib </w:t>
            </w:r>
            <w:r w:rsidR="003268E2">
              <w:rPr>
                <w:rFonts w:ascii="Arial Narrow" w:hAnsi="Arial Narrow"/>
                <w:sz w:val="20"/>
                <w:szCs w:val="28"/>
              </w:rPr>
              <w:t>PSD</w:t>
            </w:r>
            <w:r w:rsidRPr="00C24DBA">
              <w:rPr>
                <w:rFonts w:ascii="Arial Narrow" w:hAnsi="Arial Narrow"/>
                <w:sz w:val="20"/>
                <w:szCs w:val="28"/>
              </w:rPr>
              <w:t>, March 2020 PBAC Meeting) regardless of treatment group.</w:t>
            </w:r>
            <w:r w:rsidR="00D01450" w:rsidRPr="00C24DBA">
              <w:rPr>
                <w:rFonts w:ascii="Arial Narrow" w:hAnsi="Arial Narrow"/>
                <w:sz w:val="20"/>
                <w:szCs w:val="28"/>
              </w:rPr>
              <w:t xml:space="preserve"> This was based on the resubmission’s estimates of the effective price of therapies used post-progression.</w:t>
            </w:r>
          </w:p>
        </w:tc>
      </w:tr>
    </w:tbl>
    <w:p w:rsidR="00E44180" w:rsidRPr="00C24DBA" w:rsidRDefault="00E44180" w:rsidP="005065A0">
      <w:pPr>
        <w:pStyle w:val="TableFigureFooter"/>
      </w:pPr>
      <w:r w:rsidRPr="00C24DBA">
        <w:t>Source: Table 3-1, p26 of the resubmission</w:t>
      </w:r>
      <w:r w:rsidR="001371E8" w:rsidRPr="00C24DBA">
        <w:t>; compiled during the evaluation</w:t>
      </w:r>
    </w:p>
    <w:p w:rsidR="00E44180" w:rsidRDefault="00E44180" w:rsidP="005065A0">
      <w:pPr>
        <w:pStyle w:val="TableFigureFooter"/>
      </w:pPr>
      <w:r w:rsidRPr="00C24DBA">
        <w:t>Abbreviations: AEMP = approved ex-manufacturer price; ECOG = Eastern Cooperative Oncology Group; IMDC = International Metastatic Renal Cell Carcinoma Database Consortium criteria; RCC = renal cell carcinoma; TKI = Tyrosine-kinase inhibitor; TOT = time on treatment</w:t>
      </w:r>
    </w:p>
    <w:p w:rsidR="00992C74" w:rsidRPr="00992C74" w:rsidRDefault="00992C74" w:rsidP="005065A0">
      <w:pPr>
        <w:pStyle w:val="TableFigureFooter"/>
      </w:pPr>
      <w:r>
        <w:rPr>
          <w:vertAlign w:val="superscript"/>
        </w:rPr>
        <w:t>*</w:t>
      </w:r>
      <w:r>
        <w:t xml:space="preserve"> </w:t>
      </w:r>
      <w:r w:rsidRPr="00992C74">
        <w:rPr>
          <w:i/>
        </w:rPr>
        <w:t>Note that the mean duration of treatment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p w:rsidR="00872B09" w:rsidRPr="0026726D" w:rsidRDefault="00B41496" w:rsidP="004B4C7D">
      <w:pPr>
        <w:pStyle w:val="3-BodyText"/>
        <w:rPr>
          <w:b/>
          <w:bCs/>
          <w:color w:val="0066FF"/>
        </w:rPr>
      </w:pPr>
      <w:r w:rsidRPr="00C24DBA">
        <w:t xml:space="preserve">The resubmission </w:t>
      </w:r>
      <w:r w:rsidRPr="0026726D">
        <w:t xml:space="preserve">estimated that using cabozantinib 49.4 mg daily for </w:t>
      </w:r>
      <w:r w:rsidR="008D2E72" w:rsidRPr="0026726D">
        <w:t>12.6 months</w:t>
      </w:r>
      <w:r w:rsidR="00992C74" w:rsidRPr="0026726D">
        <w:rPr>
          <w:rStyle w:val="FootnoteReference"/>
        </w:rPr>
        <w:footnoteReference w:id="2"/>
      </w:r>
      <w:r w:rsidR="008D2E72" w:rsidRPr="0026726D">
        <w:t xml:space="preserve"> was equivalent to 43</w:t>
      </w:r>
      <w:r w:rsidRPr="0026726D">
        <w:t>.7 mg daily (4 of 6-week treatment cycle) sunitinib for 7.2 months</w:t>
      </w:r>
      <w:r w:rsidR="00992C74" w:rsidRPr="0026726D">
        <w:rPr>
          <w:vertAlign w:val="superscript"/>
        </w:rPr>
        <w:t>2</w:t>
      </w:r>
      <w:r w:rsidRPr="0026726D">
        <w:t xml:space="preserve"> in achieving a similar OS outcome (33.2 months based on</w:t>
      </w:r>
      <w:r w:rsidR="00923065" w:rsidRPr="0026726D">
        <w:t xml:space="preserve"> OS for</w:t>
      </w:r>
      <w:r w:rsidRPr="0026726D">
        <w:t xml:space="preserve"> sunitinib). The average daily doses were </w:t>
      </w:r>
      <w:r w:rsidR="00440858" w:rsidRPr="0026726D">
        <w:t>based on the</w:t>
      </w:r>
      <w:r w:rsidRPr="0026726D">
        <w:t xml:space="preserve"> CABOSUN</w:t>
      </w:r>
      <w:r w:rsidR="00440858" w:rsidRPr="0026726D">
        <w:t xml:space="preserve"> trial.</w:t>
      </w:r>
      <w:r w:rsidR="00923065" w:rsidRPr="0026726D">
        <w:t xml:space="preserve"> T</w:t>
      </w:r>
      <w:r w:rsidRPr="0026726D">
        <w:t xml:space="preserve">he duration of treatment was based on the extrapolated </w:t>
      </w:r>
      <w:r w:rsidR="00CC1952" w:rsidRPr="0026726D">
        <w:t>time on treatment (</w:t>
      </w:r>
      <w:r w:rsidRPr="0026726D">
        <w:t>TOT</w:t>
      </w:r>
      <w:r w:rsidR="00CC1952" w:rsidRPr="0026726D">
        <w:t>)</w:t>
      </w:r>
      <w:r w:rsidRPr="0026726D">
        <w:t xml:space="preserve"> estimates from the economic model presented in the March 2020 resubmission over a time horizon of 7.5 years based on the CABOSUN data.</w:t>
      </w:r>
      <w:r w:rsidR="008341EB" w:rsidRPr="0026726D">
        <w:t xml:space="preserve"> </w:t>
      </w:r>
      <w:r w:rsidR="00DF2F27" w:rsidRPr="0026726D">
        <w:t>Use of t</w:t>
      </w:r>
      <w:r w:rsidR="000A1997" w:rsidRPr="0026726D">
        <w:t xml:space="preserve">he extrapolated data from the economic model </w:t>
      </w:r>
      <w:r w:rsidR="00117171" w:rsidRPr="0026726D">
        <w:t>address</w:t>
      </w:r>
      <w:r w:rsidR="003C690D" w:rsidRPr="0026726D">
        <w:t>ed</w:t>
      </w:r>
      <w:r w:rsidR="000A1997" w:rsidRPr="0026726D">
        <w:t xml:space="preserve"> the PBAC’s </w:t>
      </w:r>
      <w:r w:rsidR="00F40442" w:rsidRPr="0026726D">
        <w:t>previous advice</w:t>
      </w:r>
      <w:r w:rsidR="000A1997" w:rsidRPr="0026726D">
        <w:t xml:space="preserve"> </w:t>
      </w:r>
      <w:r w:rsidR="00DF2F27" w:rsidRPr="0026726D">
        <w:t xml:space="preserve">regarding the comparison of time on treatment </w:t>
      </w:r>
      <w:r w:rsidR="000A1997" w:rsidRPr="0026726D">
        <w:t>(para</w:t>
      </w:r>
      <w:r w:rsidR="00923065" w:rsidRPr="0026726D">
        <w:t>s</w:t>
      </w:r>
      <w:r w:rsidR="000A1997" w:rsidRPr="0026726D">
        <w:t xml:space="preserve"> </w:t>
      </w:r>
      <w:r w:rsidR="000A1997" w:rsidRPr="0026726D">
        <w:rPr>
          <w:bCs/>
          <w:iCs/>
        </w:rPr>
        <w:t>7.9</w:t>
      </w:r>
      <w:r w:rsidR="00923065" w:rsidRPr="0026726D">
        <w:rPr>
          <w:bCs/>
          <w:iCs/>
        </w:rPr>
        <w:t xml:space="preserve"> and 7.12</w:t>
      </w:r>
      <w:r w:rsidR="000A1997" w:rsidRPr="0026726D">
        <w:rPr>
          <w:bCs/>
          <w:iCs/>
        </w:rPr>
        <w:t>, cabozantinib PSD, March 2020 PBAC meeting</w:t>
      </w:r>
      <w:r w:rsidR="000A1997" w:rsidRPr="0026726D">
        <w:rPr>
          <w:rFonts w:ascii="Calibri" w:hAnsi="Calibri"/>
        </w:rPr>
        <w:t>).</w:t>
      </w:r>
      <w:r w:rsidR="00872B09" w:rsidRPr="0026726D">
        <w:t xml:space="preserve"> </w:t>
      </w:r>
    </w:p>
    <w:p w:rsidR="00F04810" w:rsidRPr="0026726D" w:rsidRDefault="002A4DA7" w:rsidP="004B4C7D">
      <w:pPr>
        <w:pStyle w:val="3-BodyText"/>
        <w:rPr>
          <w:b/>
          <w:bCs/>
          <w:color w:val="0066FF"/>
        </w:rPr>
      </w:pPr>
      <w:r w:rsidRPr="0026726D">
        <w:t xml:space="preserve">The duration of treatment was based on time on treatment (extrapolated from trial data), which was shorter than PFS. The period of time in which patients were </w:t>
      </w:r>
      <w:r w:rsidR="00CC1952" w:rsidRPr="0026726D">
        <w:t xml:space="preserve">assumed to be </w:t>
      </w:r>
      <w:r w:rsidRPr="0026726D">
        <w:t xml:space="preserve">progression-free but not on any treatment </w:t>
      </w:r>
      <w:r w:rsidR="00CC1952" w:rsidRPr="0026726D">
        <w:t xml:space="preserve">(i.e. the difference between PFS and time on treatment) </w:t>
      </w:r>
      <w:r w:rsidRPr="0026726D">
        <w:t>was longer in the cabozantinib arm than the sunitinib arm (3.8 months</w:t>
      </w:r>
      <w:r w:rsidR="00992C74" w:rsidRPr="0026726D">
        <w:rPr>
          <w:vertAlign w:val="superscript"/>
        </w:rPr>
        <w:t>2</w:t>
      </w:r>
      <w:r w:rsidRPr="0026726D">
        <w:t xml:space="preserve"> versus 1.5 months</w:t>
      </w:r>
      <w:r w:rsidR="00992C74" w:rsidRPr="0026726D">
        <w:rPr>
          <w:vertAlign w:val="superscript"/>
        </w:rPr>
        <w:t>2</w:t>
      </w:r>
      <w:r w:rsidRPr="0026726D">
        <w:t xml:space="preserve">). </w:t>
      </w:r>
      <w:r w:rsidRPr="0026726D">
        <w:rPr>
          <w:iCs/>
        </w:rPr>
        <w:t>While d</w:t>
      </w:r>
      <w:r w:rsidR="00FA5D0F" w:rsidRPr="0026726D">
        <w:rPr>
          <w:iCs/>
        </w:rPr>
        <w:t>ata on time to next treatment following treatment cessation were not provided in the submission</w:t>
      </w:r>
      <w:r w:rsidRPr="0026726D">
        <w:rPr>
          <w:iCs/>
        </w:rPr>
        <w:t>, t</w:t>
      </w:r>
      <w:r w:rsidRPr="0026726D">
        <w:t>he evaluation considered this approach was reasonable as both PFS and time on treatment were extrapolated from the CABOSUN trial</w:t>
      </w:r>
      <w:r w:rsidR="00C24DBA" w:rsidRPr="0026726D">
        <w:t xml:space="preserve">. </w:t>
      </w:r>
    </w:p>
    <w:p w:rsidR="00F31C0C" w:rsidRPr="00C24DBA" w:rsidRDefault="00D85841" w:rsidP="00BD5B3E">
      <w:pPr>
        <w:pStyle w:val="3-BodyText"/>
        <w:rPr>
          <w:b/>
          <w:bCs/>
          <w:color w:val="0066FF"/>
        </w:rPr>
      </w:pPr>
      <w:r w:rsidRPr="0026726D">
        <w:t>The resubmission applied cost offsets based on a shorter duration</w:t>
      </w:r>
      <w:r w:rsidRPr="00C24DBA">
        <w:t xml:space="preserve"> of post-progression treatment for </w:t>
      </w:r>
      <w:r w:rsidRPr="0026726D">
        <w:t>cabozantinib</w:t>
      </w:r>
      <w:r w:rsidR="00B61EA3" w:rsidRPr="0026726D">
        <w:t xml:space="preserve"> (16.8 months</w:t>
      </w:r>
      <w:r w:rsidR="00992C74" w:rsidRPr="0026726D">
        <w:rPr>
          <w:vertAlign w:val="superscript"/>
        </w:rPr>
        <w:t>2</w:t>
      </w:r>
      <w:r w:rsidR="00B61EA3" w:rsidRPr="0026726D">
        <w:t>)</w:t>
      </w:r>
      <w:r w:rsidRPr="0026726D">
        <w:t xml:space="preserve"> than sunitinib</w:t>
      </w:r>
      <w:r w:rsidR="00B61EA3" w:rsidRPr="0026726D">
        <w:t xml:space="preserve"> (24.5 months</w:t>
      </w:r>
      <w:r w:rsidR="00992C74" w:rsidRPr="0026726D">
        <w:rPr>
          <w:vertAlign w:val="superscript"/>
        </w:rPr>
        <w:t>2</w:t>
      </w:r>
      <w:r w:rsidR="00B61EA3" w:rsidRPr="0026726D">
        <w:t>)</w:t>
      </w:r>
      <w:r w:rsidRPr="0026726D">
        <w:t>, reflecting</w:t>
      </w:r>
      <w:r w:rsidRPr="00C24DBA">
        <w:t xml:space="preserve"> </w:t>
      </w:r>
      <w:r w:rsidR="0008093C" w:rsidRPr="00C24DBA">
        <w:lastRenderedPageBreak/>
        <w:t xml:space="preserve">that cabozantinib-treated patients spend </w:t>
      </w:r>
      <w:r w:rsidRPr="00C24DBA">
        <w:t>longer in the progression free period than sunitinib patients</w:t>
      </w:r>
      <w:r w:rsidR="00F31C0C" w:rsidRPr="00C24DBA">
        <w:t xml:space="preserve">. </w:t>
      </w:r>
      <w:r w:rsidR="0008093C" w:rsidRPr="00C24DBA">
        <w:rPr>
          <w:iCs/>
        </w:rPr>
        <w:t>This approach</w:t>
      </w:r>
      <w:r w:rsidR="00F31C0C" w:rsidRPr="00C24DBA">
        <w:rPr>
          <w:iCs/>
        </w:rPr>
        <w:t xml:space="preserve"> assumes a superior PFS outcome for cabozantinib compared with sunitinib, within the envelope of the same OS outcome. This was consistent with the </w:t>
      </w:r>
      <w:r w:rsidR="0008093C" w:rsidRPr="00C24DBA">
        <w:rPr>
          <w:iCs/>
        </w:rPr>
        <w:t xml:space="preserve">clinical </w:t>
      </w:r>
      <w:r w:rsidR="00F31C0C" w:rsidRPr="00C24DBA">
        <w:rPr>
          <w:iCs/>
        </w:rPr>
        <w:t xml:space="preserve">evidence </w:t>
      </w:r>
      <w:r w:rsidR="0008093C" w:rsidRPr="00C24DBA">
        <w:rPr>
          <w:iCs/>
        </w:rPr>
        <w:t>presented</w:t>
      </w:r>
      <w:r w:rsidR="00F31C0C" w:rsidRPr="00C24DBA">
        <w:rPr>
          <w:iCs/>
        </w:rPr>
        <w:t xml:space="preserve"> and the PBAC’s previous view that there was no difference in OS outcomes (7.4, cabozantinib </w:t>
      </w:r>
      <w:r w:rsidR="00785459" w:rsidRPr="00C24DBA">
        <w:rPr>
          <w:iCs/>
        </w:rPr>
        <w:t>PSD</w:t>
      </w:r>
      <w:r w:rsidR="00F31C0C" w:rsidRPr="00C24DBA">
        <w:rPr>
          <w:iCs/>
        </w:rPr>
        <w:t>, March 2020 PBAC meeting).</w:t>
      </w:r>
    </w:p>
    <w:p w:rsidR="0094171E" w:rsidRPr="00C24DBA" w:rsidRDefault="00F31C0C" w:rsidP="00BD5B3E">
      <w:pPr>
        <w:pStyle w:val="3-BodyText"/>
        <w:rPr>
          <w:b/>
          <w:bCs/>
          <w:color w:val="0066FF"/>
        </w:rPr>
      </w:pPr>
      <w:r w:rsidRPr="00C24DBA">
        <w:t xml:space="preserve">The resubmission applied </w:t>
      </w:r>
      <w:r w:rsidR="0008093C" w:rsidRPr="00C24DBA">
        <w:t>a</w:t>
      </w:r>
      <w:r w:rsidR="00D85841" w:rsidRPr="00C24DBA">
        <w:t xml:space="preserve"> cost per cycle </w:t>
      </w:r>
      <w:r w:rsidR="0008093C" w:rsidRPr="00C24DBA">
        <w:t xml:space="preserve">for </w:t>
      </w:r>
      <w:r w:rsidR="00D85841" w:rsidRPr="00C24DBA">
        <w:t>post-progression treatment of $2,470</w:t>
      </w:r>
      <w:r w:rsidR="0008093C" w:rsidRPr="00C24DBA">
        <w:t xml:space="preserve">, which was consistent with </w:t>
      </w:r>
      <w:r w:rsidR="00D85841" w:rsidRPr="00C24DBA">
        <w:t xml:space="preserve">the ESC’s preferred scenario at the March 2020 meeting (para 6.49, cabozantinib PSD, March 2020 PBAC meeting). </w:t>
      </w:r>
      <w:r w:rsidR="00D85841" w:rsidRPr="00C24DBA">
        <w:rPr>
          <w:iCs/>
        </w:rPr>
        <w:t xml:space="preserve">The resubmission did not </w:t>
      </w:r>
      <w:r w:rsidRPr="00C24DBA">
        <w:rPr>
          <w:iCs/>
        </w:rPr>
        <w:t>provide any additional justification for the choice of the cost of post-progression therapy, even though the PBAC previously consi</w:t>
      </w:r>
      <w:r w:rsidR="00D85841" w:rsidRPr="00C24DBA">
        <w:rPr>
          <w:iCs/>
        </w:rPr>
        <w:t>d</w:t>
      </w:r>
      <w:r w:rsidRPr="00C24DBA">
        <w:rPr>
          <w:iCs/>
        </w:rPr>
        <w:t>ered that th</w:t>
      </w:r>
      <w:r w:rsidR="0008093C" w:rsidRPr="00C24DBA">
        <w:rPr>
          <w:iCs/>
        </w:rPr>
        <w:t>e</w:t>
      </w:r>
      <w:r w:rsidRPr="00C24DBA">
        <w:rPr>
          <w:iCs/>
        </w:rPr>
        <w:t>se costs were inadequately justified (</w:t>
      </w:r>
      <w:r w:rsidR="00D65113" w:rsidRPr="00C24DBA">
        <w:rPr>
          <w:bCs/>
          <w:iCs/>
        </w:rPr>
        <w:t>para 7.10, cabozantinib PSD, March 2020 PBAC Meeting</w:t>
      </w:r>
      <w:r w:rsidRPr="00C24DBA">
        <w:rPr>
          <w:iCs/>
        </w:rPr>
        <w:t>).</w:t>
      </w:r>
      <w:r w:rsidR="0094171E" w:rsidRPr="00C24DBA">
        <w:rPr>
          <w:iCs/>
        </w:rPr>
        <w:t xml:space="preserve"> </w:t>
      </w:r>
    </w:p>
    <w:p w:rsidR="004B02DF" w:rsidRPr="00C24DBA" w:rsidRDefault="004B02DF" w:rsidP="00EE6B11">
      <w:pPr>
        <w:pStyle w:val="3-BodyText"/>
        <w:rPr>
          <w:b/>
          <w:bCs/>
          <w:color w:val="0066FF"/>
        </w:rPr>
      </w:pPr>
      <w:r w:rsidRPr="00C24DBA">
        <w:rPr>
          <w:iCs/>
        </w:rPr>
        <w:t xml:space="preserve">The estimated total post-progression costs reflect </w:t>
      </w:r>
      <w:r w:rsidR="0094171E" w:rsidRPr="00C24DBA">
        <w:rPr>
          <w:iCs/>
        </w:rPr>
        <w:t xml:space="preserve">treatment in </w:t>
      </w:r>
      <w:r w:rsidRPr="00C24DBA">
        <w:rPr>
          <w:iCs/>
        </w:rPr>
        <w:t>the TKI-naïve setting (as per CABOSUN)</w:t>
      </w:r>
      <w:r w:rsidR="00CC1952" w:rsidRPr="00C24DBA">
        <w:rPr>
          <w:iCs/>
        </w:rPr>
        <w:t xml:space="preserve">. </w:t>
      </w:r>
      <w:r w:rsidR="008E2C65" w:rsidRPr="00C24DBA">
        <w:rPr>
          <w:iCs/>
        </w:rPr>
        <w:t>The evaluation considered that the use of p</w:t>
      </w:r>
      <w:r w:rsidR="0094171E" w:rsidRPr="00C24DBA">
        <w:rPr>
          <w:iCs/>
        </w:rPr>
        <w:t xml:space="preserve">ost-progression therapy </w:t>
      </w:r>
      <w:r w:rsidRPr="00C24DBA">
        <w:rPr>
          <w:iCs/>
        </w:rPr>
        <w:t xml:space="preserve">in the post-IO setting is unclear and may be of a different duration than in the TKI-naïve setting. </w:t>
      </w:r>
    </w:p>
    <w:p w:rsidR="0008093C" w:rsidRPr="00C24DBA" w:rsidRDefault="0008093C" w:rsidP="0008093C">
      <w:pPr>
        <w:pStyle w:val="3-BodyText"/>
        <w:rPr>
          <w:rStyle w:val="eop"/>
          <w:b/>
          <w:bCs/>
          <w:color w:val="0066FF"/>
        </w:rPr>
      </w:pPr>
      <w:r w:rsidRPr="00C24DBA">
        <w:rPr>
          <w:rStyle w:val="eop"/>
          <w:rFonts w:cs="Calibri"/>
          <w:iCs/>
        </w:rPr>
        <w:t xml:space="preserve">The resubmission requested that the listing of cabozantinib be considered under the pricing arrangements outlined in Clause 5.7 of the Department of Health and Medicines Australia Strategic Agreement. Specifically, the resubmission requested </w:t>
      </w:r>
      <w:r w:rsidR="00F42151">
        <w:rPr>
          <w:rStyle w:val="eop"/>
          <w:rFonts w:cs="Calibri"/>
          <w:iCs/>
        </w:rPr>
        <w:t>a price adjustment for</w:t>
      </w:r>
      <w:r w:rsidR="00F42151" w:rsidRPr="00C24DBA">
        <w:rPr>
          <w:rStyle w:val="eop"/>
          <w:rFonts w:cs="Calibri"/>
          <w:iCs/>
        </w:rPr>
        <w:t xml:space="preserve"> </w:t>
      </w:r>
      <w:r w:rsidRPr="00C24DBA">
        <w:rPr>
          <w:rStyle w:val="eop"/>
          <w:rFonts w:cs="Calibri"/>
          <w:iCs/>
        </w:rPr>
        <w:t>cabozantinib</w:t>
      </w:r>
      <w:r w:rsidR="004D1701">
        <w:rPr>
          <w:rStyle w:val="eop"/>
          <w:rFonts w:cs="Calibri"/>
          <w:iCs/>
        </w:rPr>
        <w:t>,</w:t>
      </w:r>
      <w:r w:rsidR="00F42151">
        <w:rPr>
          <w:rStyle w:val="eop"/>
          <w:rFonts w:cs="Calibri"/>
          <w:iCs/>
        </w:rPr>
        <w:t xml:space="preserve"> where the </w:t>
      </w:r>
      <w:r w:rsidRPr="00C24DBA">
        <w:rPr>
          <w:rStyle w:val="eop"/>
          <w:rFonts w:cs="Calibri"/>
          <w:iCs/>
        </w:rPr>
        <w:t>statutory price reductions that have been applied to the proposed comparator, sunitinib (of 5% at 5 years and 10% at 10 years)</w:t>
      </w:r>
      <w:r w:rsidR="00F42151">
        <w:rPr>
          <w:rStyle w:val="eop"/>
          <w:rFonts w:cs="Calibri"/>
          <w:iCs/>
        </w:rPr>
        <w:t>, are not used to calculate the price of cabozantinib</w:t>
      </w:r>
      <w:r w:rsidRPr="00C24DBA">
        <w:rPr>
          <w:rStyle w:val="eop"/>
          <w:rFonts w:cs="Calibri"/>
          <w:iCs/>
        </w:rPr>
        <w:t xml:space="preserve">. The resubmission applied the ‘pre-statutory price reduction’ comparator price in the base case. </w:t>
      </w:r>
      <w:r w:rsidR="00367C5A">
        <w:rPr>
          <w:rStyle w:val="eop"/>
          <w:rFonts w:cs="Calibri"/>
          <w:iCs/>
        </w:rPr>
        <w:t xml:space="preserve">Clause 5.7 is </w:t>
      </w:r>
      <w:r w:rsidR="00164332">
        <w:rPr>
          <w:rStyle w:val="eop"/>
          <w:rFonts w:cs="Calibri"/>
          <w:iCs/>
        </w:rPr>
        <w:t xml:space="preserve">only </w:t>
      </w:r>
      <w:r w:rsidR="00367C5A">
        <w:rPr>
          <w:rStyle w:val="eop"/>
          <w:rFonts w:cs="Calibri"/>
          <w:iCs/>
        </w:rPr>
        <w:t xml:space="preserve">applicable where </w:t>
      </w:r>
      <w:r w:rsidR="00B77FD8">
        <w:rPr>
          <w:rStyle w:val="eop"/>
          <w:rFonts w:cs="Calibri"/>
          <w:iCs/>
        </w:rPr>
        <w:t>a</w:t>
      </w:r>
      <w:r w:rsidR="00367C5A">
        <w:rPr>
          <w:rStyle w:val="eop"/>
          <w:rFonts w:cs="Calibri"/>
          <w:iCs/>
        </w:rPr>
        <w:t xml:space="preserve"> drug</w:t>
      </w:r>
      <w:r w:rsidR="00164332">
        <w:rPr>
          <w:rStyle w:val="eop"/>
          <w:rFonts w:cs="Calibri"/>
          <w:iCs/>
        </w:rPr>
        <w:t xml:space="preserve"> in F1</w:t>
      </w:r>
      <w:r w:rsidR="00367C5A">
        <w:rPr>
          <w:rStyle w:val="eop"/>
          <w:rFonts w:cs="Calibri"/>
          <w:iCs/>
        </w:rPr>
        <w:t xml:space="preserve"> is listed on a cost-minimisation basis with a medicine on the F1 formulary. </w:t>
      </w:r>
      <w:r w:rsidRPr="00C24DBA">
        <w:rPr>
          <w:rStyle w:val="eop"/>
          <w:rFonts w:cs="Calibri"/>
        </w:rPr>
        <w:t>The application of Clause 5.7 of the Strategic Agreement is determined by the Minister (or Delegate)</w:t>
      </w:r>
      <w:r w:rsidR="003C690D" w:rsidRPr="00C24DBA">
        <w:rPr>
          <w:rStyle w:val="eop"/>
          <w:rFonts w:cs="Calibri"/>
        </w:rPr>
        <w:t>, and is not a matter for the PBAC</w:t>
      </w:r>
      <w:r w:rsidRPr="00C24DBA">
        <w:rPr>
          <w:rStyle w:val="eop"/>
          <w:rFonts w:cs="Calibri"/>
        </w:rPr>
        <w:t>.</w:t>
      </w:r>
      <w:r w:rsidR="00367C5A">
        <w:rPr>
          <w:rStyle w:val="eop"/>
          <w:rFonts w:cs="Calibri"/>
        </w:rPr>
        <w:t xml:space="preserve"> </w:t>
      </w:r>
    </w:p>
    <w:p w:rsidR="00C96C0C" w:rsidRPr="00C24DBA" w:rsidRDefault="00C96C0C" w:rsidP="00D52C1D">
      <w:pPr>
        <w:pStyle w:val="3-BodyText"/>
        <w:rPr>
          <w:iCs/>
        </w:rPr>
      </w:pPr>
      <w:r w:rsidRPr="00C24DBA">
        <w:t xml:space="preserve">During evaluation, a number of </w:t>
      </w:r>
      <w:r w:rsidR="00B37C5D" w:rsidRPr="00C24DBA">
        <w:t xml:space="preserve">issues </w:t>
      </w:r>
      <w:r w:rsidRPr="00C24DBA">
        <w:t xml:space="preserve">were noted </w:t>
      </w:r>
      <w:r w:rsidR="00923065" w:rsidRPr="00C24DBA">
        <w:t>with</w:t>
      </w:r>
      <w:r w:rsidRPr="00C24DBA">
        <w:t xml:space="preserve"> the </w:t>
      </w:r>
      <w:r w:rsidR="00923065" w:rsidRPr="00C24DBA">
        <w:t>cost-analysis</w:t>
      </w:r>
      <w:r w:rsidRPr="00C24DBA">
        <w:t xml:space="preserve"> calculation:</w:t>
      </w:r>
    </w:p>
    <w:p w:rsidR="00C96C0C" w:rsidRPr="00C24DBA" w:rsidRDefault="00C96C0C" w:rsidP="007A5CBF">
      <w:pPr>
        <w:pStyle w:val="3-BodyText"/>
        <w:numPr>
          <w:ilvl w:val="0"/>
          <w:numId w:val="11"/>
        </w:numPr>
        <w:spacing w:after="0"/>
        <w:ind w:left="1077" w:hanging="357"/>
        <w:rPr>
          <w:iCs/>
        </w:rPr>
      </w:pPr>
      <w:r w:rsidRPr="00C24DBA">
        <w:t>In</w:t>
      </w:r>
      <w:r w:rsidRPr="00C24DBA">
        <w:rPr>
          <w:iCs/>
        </w:rPr>
        <w:t xml:space="preserve"> applying post-progression costs, the resubmission did not adjust for the proportion of patients who received therapy following progression</w:t>
      </w:r>
      <w:r w:rsidR="00514D79" w:rsidRPr="00C24DBA">
        <w:rPr>
          <w:iCs/>
        </w:rPr>
        <w:t xml:space="preserve">. This effectively assumed that all patients who progressed received subsequent therapy, whereas the evaluation noted that 85% of patients in CABOSUN (the pivotal trial) were treated post-progression. </w:t>
      </w:r>
    </w:p>
    <w:p w:rsidR="00C96C0C" w:rsidRPr="00C24DBA" w:rsidRDefault="00C96C0C" w:rsidP="007A5CBF">
      <w:pPr>
        <w:pStyle w:val="3-BodyText"/>
        <w:numPr>
          <w:ilvl w:val="0"/>
          <w:numId w:val="11"/>
        </w:numPr>
        <w:rPr>
          <w:iCs/>
        </w:rPr>
      </w:pPr>
      <w:r w:rsidRPr="00C24DBA">
        <w:rPr>
          <w:iCs/>
        </w:rPr>
        <w:t>The post-progression cost per cycle in the sunitinib arm was divided by the number of days per month</w:t>
      </w:r>
      <w:r w:rsidR="00915A8C" w:rsidRPr="00C24DBA">
        <w:rPr>
          <w:iCs/>
        </w:rPr>
        <w:t xml:space="preserve"> (30.44)</w:t>
      </w:r>
      <w:r w:rsidRPr="00C24DBA">
        <w:rPr>
          <w:iCs/>
        </w:rPr>
        <w:t xml:space="preserve">, rather than by the </w:t>
      </w:r>
      <w:r w:rsidR="00915A8C" w:rsidRPr="00C24DBA">
        <w:rPr>
          <w:iCs/>
        </w:rPr>
        <w:t>cycle length (28 days)</w:t>
      </w:r>
      <w:r w:rsidRPr="00C24DBA">
        <w:rPr>
          <w:iCs/>
        </w:rPr>
        <w:t xml:space="preserve">. </w:t>
      </w:r>
    </w:p>
    <w:p w:rsidR="00C96C0C" w:rsidRPr="00C24DBA" w:rsidRDefault="00C96C0C" w:rsidP="00C96C0C">
      <w:pPr>
        <w:pStyle w:val="3-BodyText"/>
        <w:numPr>
          <w:ilvl w:val="0"/>
          <w:numId w:val="0"/>
        </w:numPr>
        <w:ind w:left="720"/>
        <w:rPr>
          <w:iCs/>
        </w:rPr>
      </w:pPr>
      <w:r w:rsidRPr="00C24DBA">
        <w:rPr>
          <w:iCs/>
        </w:rPr>
        <w:t xml:space="preserve">The </w:t>
      </w:r>
      <w:r w:rsidR="00B67FC8">
        <w:rPr>
          <w:iCs/>
        </w:rPr>
        <w:t>Pre-Sub-Committee-Response (</w:t>
      </w:r>
      <w:r w:rsidRPr="00C24DBA">
        <w:rPr>
          <w:iCs/>
        </w:rPr>
        <w:t>PSCR</w:t>
      </w:r>
      <w:r w:rsidR="00B67FC8">
        <w:rPr>
          <w:iCs/>
        </w:rPr>
        <w:t>)</w:t>
      </w:r>
      <w:r w:rsidRPr="00C24DBA">
        <w:rPr>
          <w:iCs/>
        </w:rPr>
        <w:t xml:space="preserve"> stated that it reviewed the methodological adjustments and concurred with the change</w:t>
      </w:r>
      <w:r w:rsidR="0032377C" w:rsidRPr="00C24DBA">
        <w:rPr>
          <w:iCs/>
        </w:rPr>
        <w:t>s</w:t>
      </w:r>
      <w:r w:rsidR="00B05E78" w:rsidRPr="00C24DBA">
        <w:rPr>
          <w:iCs/>
        </w:rPr>
        <w:t>, and the pre-PBAC response appeared to incorporate these changes</w:t>
      </w:r>
      <w:r w:rsidRPr="00C24DBA">
        <w:rPr>
          <w:iCs/>
        </w:rPr>
        <w:t>.</w:t>
      </w:r>
      <w:r w:rsidR="009C7C0E" w:rsidRPr="00C24DBA">
        <w:rPr>
          <w:iCs/>
        </w:rPr>
        <w:t xml:space="preserve"> </w:t>
      </w:r>
      <w:r w:rsidR="006B2B0A" w:rsidRPr="00C24DBA">
        <w:rPr>
          <w:iCs/>
        </w:rPr>
        <w:t>The pre-PBAC response quoted an AEMP of $</w:t>
      </w:r>
      <w:r w:rsidR="0061241D">
        <w:rPr>
          <w:iCs/>
          <w:noProof/>
          <w:color w:val="000000"/>
          <w:highlight w:val="black"/>
        </w:rPr>
        <w:t>''''''''''''''''</w:t>
      </w:r>
      <w:r w:rsidR="006B2B0A" w:rsidRPr="00C24DBA">
        <w:rPr>
          <w:iCs/>
        </w:rPr>
        <w:t>, equivalent to $</w:t>
      </w:r>
      <w:r w:rsidR="0061241D">
        <w:rPr>
          <w:iCs/>
          <w:noProof/>
          <w:color w:val="000000"/>
          <w:highlight w:val="black"/>
        </w:rPr>
        <w:t>'''''''''''''</w:t>
      </w:r>
      <w:r w:rsidR="006B2B0A" w:rsidRPr="00C24DBA">
        <w:rPr>
          <w:iCs/>
        </w:rPr>
        <w:t xml:space="preserve"> per day, compared to a cost per day (at the AEMP level) for sunitinib of $</w:t>
      </w:r>
      <w:r w:rsidR="0061241D">
        <w:rPr>
          <w:iCs/>
          <w:noProof/>
          <w:color w:val="000000"/>
          <w:highlight w:val="black"/>
        </w:rPr>
        <w:t>''''''''''''</w:t>
      </w:r>
      <w:r w:rsidR="006B2B0A" w:rsidRPr="00C24DBA">
        <w:rPr>
          <w:iCs/>
        </w:rPr>
        <w:t>.</w:t>
      </w:r>
    </w:p>
    <w:p w:rsidR="0005438E" w:rsidRPr="00C24DBA" w:rsidRDefault="00C96C0C" w:rsidP="009E4EAD">
      <w:pPr>
        <w:pStyle w:val="3-BodyText"/>
        <w:rPr>
          <w:iCs/>
        </w:rPr>
      </w:pPr>
      <w:r w:rsidRPr="00C24DBA">
        <w:lastRenderedPageBreak/>
        <w:t xml:space="preserve">The </w:t>
      </w:r>
      <w:r w:rsidR="006B2B0A" w:rsidRPr="00C24DBA">
        <w:t>cost-analysis inputs</w:t>
      </w:r>
      <w:r w:rsidRPr="00C24DBA">
        <w:t xml:space="preserve"> are presented in Table 1</w:t>
      </w:r>
      <w:r w:rsidR="004713CE" w:rsidRPr="00C24DBA">
        <w:t>0</w:t>
      </w:r>
      <w:r w:rsidRPr="00C24DBA">
        <w:t xml:space="preserve">. </w:t>
      </w:r>
    </w:p>
    <w:p w:rsidR="0005438E" w:rsidRPr="005065A0" w:rsidRDefault="0005438E" w:rsidP="005065A0">
      <w:pPr>
        <w:pStyle w:val="TableHeading0"/>
        <w:rPr>
          <w:rStyle w:val="CommentReference"/>
          <w:b/>
          <w:szCs w:val="22"/>
        </w:rPr>
      </w:pPr>
      <w:r w:rsidRPr="005065A0">
        <w:rPr>
          <w:rStyle w:val="CommentReference"/>
          <w:b/>
          <w:szCs w:val="22"/>
        </w:rPr>
        <w:t xml:space="preserve">Table </w:t>
      </w:r>
      <w:r w:rsidR="0094171E" w:rsidRPr="005065A0">
        <w:rPr>
          <w:rStyle w:val="CommentReference"/>
          <w:b/>
          <w:szCs w:val="22"/>
        </w:rPr>
        <w:t>1</w:t>
      </w:r>
      <w:r w:rsidR="004713CE" w:rsidRPr="005065A0">
        <w:rPr>
          <w:rStyle w:val="CommentReference"/>
          <w:b/>
          <w:szCs w:val="22"/>
        </w:rPr>
        <w:t>0</w:t>
      </w:r>
      <w:r w:rsidRPr="005065A0">
        <w:rPr>
          <w:rStyle w:val="CommentReference"/>
          <w:b/>
          <w:szCs w:val="22"/>
        </w:rPr>
        <w:t xml:space="preserve">: </w:t>
      </w:r>
      <w:r w:rsidR="00282A03" w:rsidRPr="005065A0">
        <w:rPr>
          <w:rStyle w:val="CommentReference"/>
          <w:b/>
          <w:szCs w:val="22"/>
        </w:rPr>
        <w:t>C</w:t>
      </w:r>
      <w:r w:rsidR="00C37CBA" w:rsidRPr="005065A0">
        <w:rPr>
          <w:rStyle w:val="CommentReference"/>
          <w:b/>
          <w:szCs w:val="22"/>
        </w:rPr>
        <w:t>ost-analysis</w:t>
      </w:r>
      <w:r w:rsidRPr="005065A0">
        <w:rPr>
          <w:rStyle w:val="CommentReference"/>
          <w:b/>
          <w:szCs w:val="22"/>
        </w:rPr>
        <w:t xml:space="preserve"> </w:t>
      </w:r>
      <w:r w:rsidR="00282A03" w:rsidRPr="005065A0">
        <w:rPr>
          <w:rStyle w:val="CommentReference"/>
          <w:b/>
          <w:szCs w:val="22"/>
        </w:rPr>
        <w:t xml:space="preserve">inputs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127"/>
        <w:gridCol w:w="2359"/>
      </w:tblGrid>
      <w:tr w:rsidR="0005438E" w:rsidRPr="00C24DBA" w:rsidTr="006B2B0A">
        <w:tc>
          <w:tcPr>
            <w:tcW w:w="4531" w:type="dxa"/>
          </w:tcPr>
          <w:p w:rsidR="0005438E" w:rsidRPr="00C24DBA" w:rsidRDefault="0005438E" w:rsidP="004877C6">
            <w:pPr>
              <w:pStyle w:val="In-tableHeading"/>
              <w:keepLines/>
              <w:widowControl w:val="0"/>
              <w:rPr>
                <w:lang w:val="en-AU"/>
              </w:rPr>
            </w:pPr>
            <w:r w:rsidRPr="00C24DBA">
              <w:rPr>
                <w:lang w:val="en-AU"/>
              </w:rPr>
              <w:t>Component</w:t>
            </w:r>
          </w:p>
        </w:tc>
        <w:tc>
          <w:tcPr>
            <w:tcW w:w="2127" w:type="dxa"/>
          </w:tcPr>
          <w:p w:rsidR="0005438E" w:rsidRPr="00C24DBA" w:rsidRDefault="0005438E" w:rsidP="004877C6">
            <w:pPr>
              <w:pStyle w:val="In-tableHeading"/>
              <w:keepLines/>
              <w:widowControl w:val="0"/>
              <w:jc w:val="center"/>
              <w:rPr>
                <w:lang w:val="en-AU"/>
              </w:rPr>
            </w:pPr>
            <w:r w:rsidRPr="00C24DBA">
              <w:rPr>
                <w:lang w:val="en-AU"/>
              </w:rPr>
              <w:t>Cabozantinib</w:t>
            </w:r>
          </w:p>
        </w:tc>
        <w:tc>
          <w:tcPr>
            <w:tcW w:w="2359" w:type="dxa"/>
          </w:tcPr>
          <w:p w:rsidR="0005438E" w:rsidRPr="00C24DBA" w:rsidRDefault="0005438E" w:rsidP="004877C6">
            <w:pPr>
              <w:pStyle w:val="In-tableHeading"/>
              <w:keepLines/>
              <w:widowControl w:val="0"/>
              <w:jc w:val="center"/>
              <w:rPr>
                <w:lang w:val="en-AU"/>
              </w:rPr>
            </w:pPr>
            <w:r w:rsidRPr="00C24DBA">
              <w:rPr>
                <w:lang w:val="en-AU"/>
              </w:rPr>
              <w:t>Sunitinib</w:t>
            </w:r>
          </w:p>
        </w:tc>
      </w:tr>
      <w:tr w:rsidR="0005438E" w:rsidRPr="00C24DBA" w:rsidTr="00EE6B11">
        <w:tc>
          <w:tcPr>
            <w:tcW w:w="9017" w:type="dxa"/>
            <w:gridSpan w:val="3"/>
          </w:tcPr>
          <w:p w:rsidR="0005438E" w:rsidRPr="00C24DBA" w:rsidRDefault="0005438E" w:rsidP="004877C6">
            <w:pPr>
              <w:pStyle w:val="TableText0"/>
              <w:keepLines/>
              <w:widowControl w:val="0"/>
              <w:rPr>
                <w:b/>
              </w:rPr>
            </w:pPr>
            <w:r w:rsidRPr="00C24DBA">
              <w:rPr>
                <w:b/>
              </w:rPr>
              <w:t>Medicine costs</w:t>
            </w:r>
          </w:p>
        </w:tc>
      </w:tr>
      <w:tr w:rsidR="008D2E72" w:rsidRPr="00C24DBA" w:rsidTr="006B2B0A">
        <w:tc>
          <w:tcPr>
            <w:tcW w:w="4531" w:type="dxa"/>
          </w:tcPr>
          <w:p w:rsidR="008D2E72" w:rsidRPr="00C24DBA" w:rsidRDefault="008D2E72" w:rsidP="002E1F24">
            <w:pPr>
              <w:pStyle w:val="TableText0"/>
              <w:keepLines/>
              <w:widowControl w:val="0"/>
            </w:pPr>
            <w:r>
              <w:t xml:space="preserve">Average dose (per day that treatment is actually received) </w:t>
            </w:r>
          </w:p>
        </w:tc>
        <w:tc>
          <w:tcPr>
            <w:tcW w:w="2127" w:type="dxa"/>
          </w:tcPr>
          <w:p w:rsidR="008D2E72" w:rsidRPr="00C24DBA" w:rsidRDefault="008D2E72" w:rsidP="004877C6">
            <w:pPr>
              <w:pStyle w:val="TableText0"/>
              <w:keepLines/>
              <w:widowControl w:val="0"/>
              <w:jc w:val="center"/>
            </w:pPr>
            <w:r w:rsidRPr="008D2E72">
              <w:t>49.4 mg</w:t>
            </w:r>
          </w:p>
        </w:tc>
        <w:tc>
          <w:tcPr>
            <w:tcW w:w="2359" w:type="dxa"/>
          </w:tcPr>
          <w:p w:rsidR="008D2E72" w:rsidRPr="00C24DBA" w:rsidRDefault="008D2E72" w:rsidP="00A94608">
            <w:pPr>
              <w:pStyle w:val="TableText0"/>
              <w:keepLines/>
              <w:widowControl w:val="0"/>
              <w:jc w:val="center"/>
            </w:pPr>
            <w:r>
              <w:t>43.7 mg</w:t>
            </w:r>
          </w:p>
        </w:tc>
      </w:tr>
      <w:tr w:rsidR="0005438E" w:rsidRPr="00C24DBA" w:rsidTr="006B2B0A">
        <w:tc>
          <w:tcPr>
            <w:tcW w:w="4531" w:type="dxa"/>
          </w:tcPr>
          <w:p w:rsidR="0005438E" w:rsidRPr="00C24DBA" w:rsidRDefault="0005438E" w:rsidP="002E1F24">
            <w:pPr>
              <w:pStyle w:val="TableText0"/>
              <w:keepLines/>
              <w:widowControl w:val="0"/>
            </w:pPr>
            <w:r w:rsidRPr="00C24DBA">
              <w:t>Cost per day</w:t>
            </w:r>
          </w:p>
        </w:tc>
        <w:tc>
          <w:tcPr>
            <w:tcW w:w="2127" w:type="dxa"/>
          </w:tcPr>
          <w:p w:rsidR="0005438E" w:rsidRPr="0026726D" w:rsidRDefault="0005438E" w:rsidP="004877C6">
            <w:pPr>
              <w:pStyle w:val="TableText0"/>
              <w:keepLines/>
              <w:widowControl w:val="0"/>
              <w:jc w:val="center"/>
            </w:pPr>
            <w:r w:rsidRPr="0026726D">
              <w:t>-</w:t>
            </w:r>
          </w:p>
        </w:tc>
        <w:tc>
          <w:tcPr>
            <w:tcW w:w="2359" w:type="dxa"/>
          </w:tcPr>
          <w:p w:rsidR="0005438E" w:rsidRPr="0026726D" w:rsidRDefault="002E1F24" w:rsidP="00A94608">
            <w:pPr>
              <w:pStyle w:val="TableText0"/>
              <w:keepLines/>
              <w:widowControl w:val="0"/>
              <w:jc w:val="center"/>
            </w:pPr>
            <w:r w:rsidRPr="0026726D">
              <w:t>Cost for 28 days divided by 42 to accoun</w:t>
            </w:r>
            <w:r w:rsidR="00980481" w:rsidRPr="0026726D">
              <w:t xml:space="preserve">t for </w:t>
            </w:r>
            <w:r w:rsidR="006B2B0A" w:rsidRPr="0026726D">
              <w:t xml:space="preserve">regime of </w:t>
            </w:r>
            <w:r w:rsidR="00980481" w:rsidRPr="0026726D">
              <w:t xml:space="preserve">4 weeks on, 2 weeks off </w:t>
            </w:r>
          </w:p>
        </w:tc>
      </w:tr>
      <w:tr w:rsidR="0005438E" w:rsidRPr="00C24DBA" w:rsidTr="006B2B0A">
        <w:tc>
          <w:tcPr>
            <w:tcW w:w="4531" w:type="dxa"/>
          </w:tcPr>
          <w:p w:rsidR="0005438E" w:rsidRPr="00C24DBA" w:rsidRDefault="0005438E" w:rsidP="004877C6">
            <w:pPr>
              <w:pStyle w:val="TableText0"/>
              <w:keepLines/>
              <w:widowControl w:val="0"/>
            </w:pPr>
            <w:r w:rsidRPr="00C24DBA">
              <w:t>Treatment duration</w:t>
            </w:r>
            <w:r w:rsidR="00992C74">
              <w:t>*</w:t>
            </w:r>
          </w:p>
        </w:tc>
        <w:tc>
          <w:tcPr>
            <w:tcW w:w="2127" w:type="dxa"/>
          </w:tcPr>
          <w:p w:rsidR="0005438E" w:rsidRPr="0026726D" w:rsidRDefault="0005438E" w:rsidP="004877C6">
            <w:pPr>
              <w:pStyle w:val="TableText0"/>
              <w:keepLines/>
              <w:widowControl w:val="0"/>
              <w:jc w:val="center"/>
              <w:rPr>
                <w:bCs w:val="0"/>
              </w:rPr>
            </w:pPr>
            <w:r w:rsidRPr="0026726D">
              <w:rPr>
                <w:bCs w:val="0"/>
              </w:rPr>
              <w:t>383.20 day</w:t>
            </w:r>
            <w:r w:rsidR="005B720F" w:rsidRPr="0026726D">
              <w:rPr>
                <w:bCs w:val="0"/>
              </w:rPr>
              <w:t>s</w:t>
            </w:r>
          </w:p>
          <w:p w:rsidR="008D2E72" w:rsidRPr="0026726D" w:rsidRDefault="008D2E72" w:rsidP="004877C6">
            <w:pPr>
              <w:pStyle w:val="TableText0"/>
              <w:keepLines/>
              <w:widowControl w:val="0"/>
              <w:jc w:val="center"/>
              <w:rPr>
                <w:bCs w:val="0"/>
              </w:rPr>
            </w:pPr>
            <w:r w:rsidRPr="0026726D">
              <w:rPr>
                <w:bCs w:val="0"/>
              </w:rPr>
              <w:t>(12.6 months)</w:t>
            </w:r>
          </w:p>
        </w:tc>
        <w:tc>
          <w:tcPr>
            <w:tcW w:w="2359" w:type="dxa"/>
          </w:tcPr>
          <w:p w:rsidR="0005438E" w:rsidRPr="0026726D" w:rsidRDefault="0005438E" w:rsidP="004877C6">
            <w:pPr>
              <w:pStyle w:val="TableText0"/>
              <w:keepLines/>
              <w:widowControl w:val="0"/>
              <w:jc w:val="center"/>
            </w:pPr>
            <w:r w:rsidRPr="0026726D">
              <w:t>220.50 days</w:t>
            </w:r>
          </w:p>
          <w:p w:rsidR="008D2E72" w:rsidRPr="0026726D" w:rsidRDefault="008D2E72" w:rsidP="004877C6">
            <w:pPr>
              <w:pStyle w:val="TableText0"/>
              <w:keepLines/>
              <w:widowControl w:val="0"/>
              <w:jc w:val="center"/>
            </w:pPr>
            <w:r w:rsidRPr="0026726D">
              <w:t>(7.2 months)</w:t>
            </w:r>
          </w:p>
        </w:tc>
      </w:tr>
      <w:tr w:rsidR="0005438E" w:rsidRPr="00C24DBA" w:rsidTr="00EE6B11">
        <w:tc>
          <w:tcPr>
            <w:tcW w:w="9017" w:type="dxa"/>
            <w:gridSpan w:val="3"/>
          </w:tcPr>
          <w:p w:rsidR="0005438E" w:rsidRPr="0026726D" w:rsidRDefault="0005438E" w:rsidP="004877C6">
            <w:pPr>
              <w:pStyle w:val="TableText0"/>
              <w:keepLines/>
              <w:widowControl w:val="0"/>
              <w:rPr>
                <w:b/>
              </w:rPr>
            </w:pPr>
            <w:r w:rsidRPr="0026726D">
              <w:rPr>
                <w:b/>
              </w:rPr>
              <w:t>Cost offsets</w:t>
            </w:r>
          </w:p>
        </w:tc>
      </w:tr>
      <w:tr w:rsidR="0005438E" w:rsidRPr="00C24DBA" w:rsidTr="006B2B0A">
        <w:tc>
          <w:tcPr>
            <w:tcW w:w="4531" w:type="dxa"/>
          </w:tcPr>
          <w:p w:rsidR="0005438E" w:rsidRPr="00C24DBA" w:rsidRDefault="0005438E" w:rsidP="006B2B0A">
            <w:pPr>
              <w:pStyle w:val="TableText0"/>
              <w:keepLines/>
              <w:widowControl w:val="0"/>
              <w:rPr>
                <w:vertAlign w:val="superscript"/>
              </w:rPr>
            </w:pPr>
            <w:r w:rsidRPr="00C24DBA">
              <w:t xml:space="preserve">Post-progression cost per </w:t>
            </w:r>
            <w:r w:rsidR="006B2B0A" w:rsidRPr="00C24DBA">
              <w:t xml:space="preserve">28-days </w:t>
            </w:r>
          </w:p>
        </w:tc>
        <w:tc>
          <w:tcPr>
            <w:tcW w:w="2127" w:type="dxa"/>
          </w:tcPr>
          <w:p w:rsidR="0005438E" w:rsidRPr="0026726D" w:rsidRDefault="0005438E" w:rsidP="004877C6">
            <w:pPr>
              <w:pStyle w:val="TableText0"/>
              <w:keepLines/>
              <w:widowControl w:val="0"/>
              <w:jc w:val="center"/>
            </w:pPr>
            <w:r w:rsidRPr="0026726D">
              <w:t>$2,470.00</w:t>
            </w:r>
          </w:p>
        </w:tc>
        <w:tc>
          <w:tcPr>
            <w:tcW w:w="2359" w:type="dxa"/>
          </w:tcPr>
          <w:p w:rsidR="0005438E" w:rsidRPr="0026726D" w:rsidRDefault="0005438E" w:rsidP="004877C6">
            <w:pPr>
              <w:pStyle w:val="TableText0"/>
              <w:keepLines/>
              <w:widowControl w:val="0"/>
              <w:jc w:val="center"/>
            </w:pPr>
            <w:r w:rsidRPr="0026726D">
              <w:t>$2,470.00</w:t>
            </w:r>
          </w:p>
        </w:tc>
      </w:tr>
      <w:tr w:rsidR="0005438E" w:rsidRPr="00C24DBA" w:rsidTr="006B2B0A">
        <w:tc>
          <w:tcPr>
            <w:tcW w:w="4531" w:type="dxa"/>
          </w:tcPr>
          <w:p w:rsidR="0005438E" w:rsidRPr="00C24DBA" w:rsidRDefault="008D2E72" w:rsidP="008D2E72">
            <w:pPr>
              <w:pStyle w:val="TableText0"/>
              <w:keepLines/>
              <w:widowControl w:val="0"/>
            </w:pPr>
            <w:r>
              <w:t>Post-progression t</w:t>
            </w:r>
            <w:r w:rsidR="0005438E" w:rsidRPr="00C24DBA">
              <w:t>reatment duration</w:t>
            </w:r>
            <w:r w:rsidR="00992C74">
              <w:t>*</w:t>
            </w:r>
          </w:p>
        </w:tc>
        <w:tc>
          <w:tcPr>
            <w:tcW w:w="2127" w:type="dxa"/>
          </w:tcPr>
          <w:p w:rsidR="0005438E" w:rsidRPr="0026726D" w:rsidRDefault="0005438E" w:rsidP="004877C6">
            <w:pPr>
              <w:pStyle w:val="TableText0"/>
              <w:keepLines/>
              <w:widowControl w:val="0"/>
              <w:jc w:val="center"/>
            </w:pPr>
            <w:r w:rsidRPr="0026726D">
              <w:t>16.8 months</w:t>
            </w:r>
          </w:p>
        </w:tc>
        <w:tc>
          <w:tcPr>
            <w:tcW w:w="2359" w:type="dxa"/>
          </w:tcPr>
          <w:p w:rsidR="0005438E" w:rsidRPr="0026726D" w:rsidRDefault="0005438E" w:rsidP="004877C6">
            <w:pPr>
              <w:pStyle w:val="TableText0"/>
              <w:keepLines/>
              <w:widowControl w:val="0"/>
              <w:jc w:val="center"/>
            </w:pPr>
            <w:r w:rsidRPr="0026726D">
              <w:t>24.5 months</w:t>
            </w:r>
          </w:p>
        </w:tc>
      </w:tr>
      <w:tr w:rsidR="0005438E" w:rsidRPr="00C24DBA" w:rsidTr="006B2B0A">
        <w:tc>
          <w:tcPr>
            <w:tcW w:w="4531" w:type="dxa"/>
          </w:tcPr>
          <w:p w:rsidR="0005438E" w:rsidRPr="00C24DBA" w:rsidRDefault="00980481" w:rsidP="00980481">
            <w:pPr>
              <w:pStyle w:val="TableText0"/>
              <w:keepLines/>
              <w:widowControl w:val="0"/>
            </w:pPr>
            <w:r w:rsidRPr="00C24DBA">
              <w:t>Proportion of patients requiring post-progress</w:t>
            </w:r>
            <w:r w:rsidR="006B2B0A" w:rsidRPr="00C24DBA">
              <w:t>ion</w:t>
            </w:r>
            <w:r w:rsidRPr="00C24DBA">
              <w:t xml:space="preserve"> therapy</w:t>
            </w:r>
          </w:p>
        </w:tc>
        <w:tc>
          <w:tcPr>
            <w:tcW w:w="2127" w:type="dxa"/>
          </w:tcPr>
          <w:p w:rsidR="0005438E" w:rsidRPr="00C24DBA" w:rsidRDefault="00980481" w:rsidP="00A94608">
            <w:pPr>
              <w:jc w:val="center"/>
            </w:pPr>
            <w:r w:rsidRPr="00C24DBA">
              <w:rPr>
                <w:rFonts w:ascii="Arial Narrow" w:eastAsiaTheme="majorEastAsia" w:hAnsi="Arial Narrow" w:cstheme="majorBidi"/>
                <w:bCs/>
                <w:sz w:val="20"/>
              </w:rPr>
              <w:t>85%</w:t>
            </w:r>
          </w:p>
        </w:tc>
        <w:tc>
          <w:tcPr>
            <w:tcW w:w="2359" w:type="dxa"/>
          </w:tcPr>
          <w:p w:rsidR="0005438E" w:rsidRPr="00C24DBA" w:rsidRDefault="00980481" w:rsidP="004877C6">
            <w:pPr>
              <w:pStyle w:val="TableText0"/>
              <w:keepLines/>
              <w:widowControl w:val="0"/>
              <w:jc w:val="center"/>
            </w:pPr>
            <w:r w:rsidRPr="00C24DBA">
              <w:t>85%</w:t>
            </w:r>
          </w:p>
        </w:tc>
      </w:tr>
    </w:tbl>
    <w:p w:rsidR="0005438E" w:rsidRDefault="0005438E" w:rsidP="005065A0">
      <w:pPr>
        <w:pStyle w:val="TableFigureFooter"/>
      </w:pPr>
      <w:r w:rsidRPr="00C24DBA">
        <w:t>Source: Table 3-2, p</w:t>
      </w:r>
      <w:r w:rsidR="00CC6565" w:rsidRPr="00C24DBA">
        <w:t xml:space="preserve">29 of the resubmission; Section 3 - Economic model (Cabozantinib vs </w:t>
      </w:r>
      <w:r w:rsidR="00064477" w:rsidRPr="00C24DBA">
        <w:t>Sunitinib</w:t>
      </w:r>
      <w:r w:rsidR="00CC6565" w:rsidRPr="00C24DBA">
        <w:t>) - (CMA)</w:t>
      </w:r>
    </w:p>
    <w:p w:rsidR="00887E66" w:rsidRDefault="00887E66" w:rsidP="005065A0">
      <w:pPr>
        <w:pStyle w:val="TableFigureFooter"/>
      </w:pPr>
      <w:r>
        <w:t>Note: the first two rows (average dose and cost per day) are used to calculate the ‘cost per day’.</w:t>
      </w:r>
    </w:p>
    <w:p w:rsidR="00992C74" w:rsidRPr="00C24DBA" w:rsidRDefault="00992C74" w:rsidP="005065A0">
      <w:pPr>
        <w:pStyle w:val="TableFigureFooter"/>
      </w:pPr>
      <w:r>
        <w:t>*</w:t>
      </w:r>
      <w:r w:rsidRPr="00992C74">
        <w:rPr>
          <w:i/>
        </w:rPr>
        <w:t>Note that the mean duration of treatment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p w:rsidR="00752963" w:rsidRPr="00C24DBA" w:rsidRDefault="00752963" w:rsidP="00980481">
      <w:pPr>
        <w:pStyle w:val="3-BodyText"/>
      </w:pPr>
      <w:r w:rsidRPr="00C24DBA">
        <w:t xml:space="preserve">The PBAC noted that there </w:t>
      </w:r>
      <w:r w:rsidR="00F96DE3" w:rsidRPr="00C24DBA">
        <w:t>were uncertainties regarding</w:t>
      </w:r>
      <w:r w:rsidRPr="00C24DBA">
        <w:t xml:space="preserve"> the proportion of patients who require post-progression treatment and the cost of post</w:t>
      </w:r>
      <w:r w:rsidRPr="00C24DBA">
        <w:noBreakHyphen/>
        <w:t xml:space="preserve">progression treatment, but overall accepted that the analysis adequately demonstrated that cabozantinib is cost-effective if the cost per day </w:t>
      </w:r>
      <w:r w:rsidRPr="00C24DBA">
        <w:rPr>
          <w:snapToGrid/>
        </w:rPr>
        <w:t>for cabozantinib that is no higher than the average cost per day for sunitinib</w:t>
      </w:r>
      <w:r w:rsidRPr="00C24DBA">
        <w:t xml:space="preserve">. </w:t>
      </w:r>
    </w:p>
    <w:p w:rsidR="004B4C7D" w:rsidRPr="00C24DBA" w:rsidRDefault="004B4C7D" w:rsidP="004B4C7D">
      <w:pPr>
        <w:pStyle w:val="4-SubsectionHeading"/>
      </w:pPr>
      <w:bookmarkStart w:id="30" w:name="_Toc22897646"/>
      <w:bookmarkStart w:id="31" w:name="_Toc48560954"/>
      <w:r w:rsidRPr="00C24DBA">
        <w:t>Drug cost/patient/course</w:t>
      </w:r>
      <w:r w:rsidR="00A85438" w:rsidRPr="00C24DBA">
        <w:t xml:space="preserve"> $</w:t>
      </w:r>
      <w:bookmarkEnd w:id="30"/>
      <w:bookmarkEnd w:id="31"/>
      <w:r w:rsidR="0061241D">
        <w:rPr>
          <w:noProof/>
          <w:color w:val="000000"/>
          <w:highlight w:val="black"/>
        </w:rPr>
        <w:t>'''''''''''''</w:t>
      </w:r>
      <w:r w:rsidR="008B2039" w:rsidRPr="00C24DBA">
        <w:t xml:space="preserve"> (using price proposed in pre-PBAC response)</w:t>
      </w:r>
    </w:p>
    <w:p w:rsidR="008932BF" w:rsidRPr="00C24DBA" w:rsidRDefault="008932BF" w:rsidP="005420FF">
      <w:pPr>
        <w:pStyle w:val="3-BodyText"/>
        <w:rPr>
          <w:color w:val="FF0000"/>
        </w:rPr>
      </w:pPr>
      <w:r w:rsidRPr="00C24DBA">
        <w:t xml:space="preserve">The average time on </w:t>
      </w:r>
      <w:r w:rsidRPr="0026726D">
        <w:t xml:space="preserve">treatment estimated from the model </w:t>
      </w:r>
      <w:r w:rsidR="00DD347F" w:rsidRPr="0026726D">
        <w:t xml:space="preserve">presented in the March 2020 resubmission </w:t>
      </w:r>
      <w:r w:rsidRPr="0026726D">
        <w:t>was 12.6 months</w:t>
      </w:r>
      <w:r w:rsidR="00992C74" w:rsidRPr="0026726D">
        <w:rPr>
          <w:rStyle w:val="FootnoteReference"/>
        </w:rPr>
        <w:footnoteReference w:id="3"/>
      </w:r>
      <w:r w:rsidRPr="0026726D">
        <w:t xml:space="preserve"> for cabozantinib and 7.2 months</w:t>
      </w:r>
      <w:r w:rsidR="00992C74" w:rsidRPr="0026726D">
        <w:rPr>
          <w:vertAlign w:val="superscript"/>
        </w:rPr>
        <w:t>3</w:t>
      </w:r>
      <w:r w:rsidRPr="0026726D">
        <w:t xml:space="preserve"> for sunitinib. Based on the resubmission’s estimates, the drug cost/patient/course</w:t>
      </w:r>
      <w:r w:rsidRPr="00C24DBA">
        <w:t xml:space="preserve"> for cabozantinib was estimated to be $</w:t>
      </w:r>
      <w:r w:rsidR="0061241D">
        <w:rPr>
          <w:noProof/>
          <w:color w:val="000000"/>
          <w:highlight w:val="black"/>
        </w:rPr>
        <w:t>'''''''''''''</w:t>
      </w:r>
      <w:r w:rsidR="00E56B31" w:rsidRPr="00C24DBA">
        <w:t xml:space="preserve"> (using the indication-specific price). </w:t>
      </w:r>
      <w:r w:rsidRPr="00C24DBA">
        <w:t xml:space="preserve">The drug cost per patient are summarised </w:t>
      </w:r>
      <w:r w:rsidR="00552195" w:rsidRPr="00C24DBA">
        <w:t xml:space="preserve">in </w:t>
      </w:r>
      <w:r w:rsidR="00DD347F" w:rsidRPr="00C24DBA">
        <w:t xml:space="preserve">Table </w:t>
      </w:r>
      <w:r w:rsidR="00B161B4" w:rsidRPr="00C24DBA">
        <w:t>1</w:t>
      </w:r>
      <w:r w:rsidR="004713CE" w:rsidRPr="00C24DBA">
        <w:t>1</w:t>
      </w:r>
      <w:r w:rsidRPr="00C24DBA">
        <w:t xml:space="preserve">. </w:t>
      </w:r>
      <w:r w:rsidR="005420FF" w:rsidRPr="00C24DBA">
        <w:t>The drug costs for cabozantinib are based on the price</w:t>
      </w:r>
      <w:r w:rsidR="003316A0" w:rsidRPr="00C24DBA">
        <w:t xml:space="preserve"> proposed in the pre-PBAC response</w:t>
      </w:r>
      <w:r w:rsidR="005420FF" w:rsidRPr="00C24DBA">
        <w:t xml:space="preserve">. </w:t>
      </w:r>
    </w:p>
    <w:p w:rsidR="008932BF" w:rsidRPr="00C24DBA" w:rsidRDefault="008932BF" w:rsidP="005065A0">
      <w:pPr>
        <w:pStyle w:val="TableHeading0"/>
      </w:pPr>
      <w:r w:rsidRPr="00C24DBA">
        <w:rPr>
          <w:rStyle w:val="CommentReference"/>
          <w:b/>
          <w:szCs w:val="22"/>
        </w:rPr>
        <w:lastRenderedPageBreak/>
        <w:t xml:space="preserve">Table </w:t>
      </w:r>
      <w:r w:rsidR="00B161B4" w:rsidRPr="00C24DBA">
        <w:rPr>
          <w:rStyle w:val="CommentReference"/>
          <w:b/>
          <w:szCs w:val="22"/>
        </w:rPr>
        <w:t>1</w:t>
      </w:r>
      <w:r w:rsidR="004713CE" w:rsidRPr="00C24DBA">
        <w:rPr>
          <w:rStyle w:val="CommentReference"/>
          <w:b/>
          <w:szCs w:val="22"/>
        </w:rPr>
        <w:t>1</w:t>
      </w:r>
      <w:r w:rsidRPr="00C24DBA">
        <w:rPr>
          <w:rStyle w:val="CommentReference"/>
          <w:b/>
          <w:szCs w:val="22"/>
        </w:rPr>
        <w:t xml:space="preserve">: Drug cost per patient for cabozantinib and sunitinib </w:t>
      </w:r>
    </w:p>
    <w:tbl>
      <w:tblPr>
        <w:tblStyle w:val="TableGrid1"/>
        <w:tblW w:w="5000" w:type="pct"/>
        <w:tblLook w:val="0620" w:firstRow="1" w:lastRow="0" w:firstColumn="0" w:lastColumn="0" w:noHBand="1" w:noVBand="1"/>
        <w:tblCaption w:val="Table 11: Drug cost per patient for cabozantinib and sunitinib "/>
      </w:tblPr>
      <w:tblGrid>
        <w:gridCol w:w="2284"/>
        <w:gridCol w:w="1286"/>
        <w:gridCol w:w="1019"/>
        <w:gridCol w:w="1145"/>
        <w:gridCol w:w="1282"/>
        <w:gridCol w:w="1008"/>
        <w:gridCol w:w="993"/>
      </w:tblGrid>
      <w:tr w:rsidR="003E4D4F" w:rsidRPr="005065A0" w:rsidTr="00810D23">
        <w:trPr>
          <w:tblHeader/>
        </w:trPr>
        <w:tc>
          <w:tcPr>
            <w:tcW w:w="1268" w:type="pct"/>
          </w:tcPr>
          <w:p w:rsidR="008932BF" w:rsidRPr="005065A0" w:rsidRDefault="008932BF" w:rsidP="00302AFE">
            <w:pPr>
              <w:pStyle w:val="In-tableHeading"/>
              <w:keepLines/>
              <w:widowControl w:val="0"/>
              <w:jc w:val="center"/>
              <w:rPr>
                <w:szCs w:val="20"/>
                <w:lang w:val="en-AU"/>
              </w:rPr>
            </w:pPr>
          </w:p>
        </w:tc>
        <w:tc>
          <w:tcPr>
            <w:tcW w:w="1908" w:type="pct"/>
            <w:gridSpan w:val="3"/>
            <w:hideMark/>
          </w:tcPr>
          <w:p w:rsidR="008932BF" w:rsidRPr="005065A0" w:rsidRDefault="008932BF" w:rsidP="00302AFE">
            <w:pPr>
              <w:keepNext/>
              <w:keepLines/>
              <w:widowControl w:val="0"/>
              <w:jc w:val="center"/>
              <w:rPr>
                <w:rFonts w:ascii="Arial Narrow" w:hAnsi="Arial Narrow"/>
                <w:b/>
                <w:bCs/>
                <w:sz w:val="20"/>
                <w:szCs w:val="20"/>
                <w:lang w:val="en-AU"/>
              </w:rPr>
            </w:pPr>
            <w:r w:rsidRPr="005065A0">
              <w:rPr>
                <w:rFonts w:ascii="Arial Narrow" w:hAnsi="Arial Narrow"/>
                <w:b/>
                <w:bCs/>
                <w:sz w:val="20"/>
                <w:szCs w:val="20"/>
                <w:lang w:val="en-AU"/>
              </w:rPr>
              <w:t>Cabozantinib</w:t>
            </w:r>
          </w:p>
        </w:tc>
        <w:tc>
          <w:tcPr>
            <w:tcW w:w="1824" w:type="pct"/>
            <w:gridSpan w:val="3"/>
            <w:hideMark/>
          </w:tcPr>
          <w:p w:rsidR="008932BF" w:rsidRPr="005065A0" w:rsidRDefault="008932BF" w:rsidP="00302AFE">
            <w:pPr>
              <w:keepNext/>
              <w:keepLines/>
              <w:widowControl w:val="0"/>
              <w:jc w:val="center"/>
              <w:rPr>
                <w:rFonts w:ascii="Arial Narrow" w:hAnsi="Arial Narrow"/>
                <w:b/>
                <w:bCs/>
                <w:sz w:val="20"/>
                <w:szCs w:val="20"/>
                <w:lang w:val="en-AU"/>
              </w:rPr>
            </w:pPr>
            <w:r w:rsidRPr="005065A0">
              <w:rPr>
                <w:rFonts w:ascii="Arial Narrow" w:hAnsi="Arial Narrow"/>
                <w:b/>
                <w:bCs/>
                <w:sz w:val="20"/>
                <w:szCs w:val="20"/>
                <w:lang w:val="en-AU"/>
              </w:rPr>
              <w:t>Sunitinib</w:t>
            </w:r>
          </w:p>
        </w:tc>
      </w:tr>
      <w:tr w:rsidR="00BA49E3" w:rsidRPr="005065A0" w:rsidTr="00810D23">
        <w:tc>
          <w:tcPr>
            <w:tcW w:w="1268" w:type="pct"/>
          </w:tcPr>
          <w:p w:rsidR="008932BF" w:rsidRPr="005065A0" w:rsidRDefault="008932BF" w:rsidP="00302AFE">
            <w:pPr>
              <w:pStyle w:val="In-tableHeading"/>
              <w:keepLines/>
              <w:widowControl w:val="0"/>
              <w:jc w:val="center"/>
              <w:rPr>
                <w:bCs/>
                <w:szCs w:val="20"/>
                <w:lang w:val="en-AU"/>
              </w:rPr>
            </w:pPr>
          </w:p>
        </w:tc>
        <w:tc>
          <w:tcPr>
            <w:tcW w:w="715" w:type="pct"/>
            <w:tcBorders>
              <w:right w:val="single" w:sz="4" w:space="0" w:color="auto"/>
            </w:tcBorders>
            <w:hideMark/>
          </w:tcPr>
          <w:p w:rsidR="008932BF" w:rsidRPr="005065A0" w:rsidRDefault="008932BF" w:rsidP="00302AFE">
            <w:pPr>
              <w:pStyle w:val="In-tableHeading"/>
              <w:keepLines/>
              <w:widowControl w:val="0"/>
              <w:jc w:val="center"/>
              <w:rPr>
                <w:szCs w:val="20"/>
                <w:lang w:val="en-AU"/>
              </w:rPr>
            </w:pPr>
            <w:r w:rsidRPr="005065A0">
              <w:rPr>
                <w:szCs w:val="20"/>
                <w:lang w:val="en-AU"/>
              </w:rPr>
              <w:t>Trial dose and duration</w:t>
            </w:r>
          </w:p>
        </w:tc>
        <w:tc>
          <w:tcPr>
            <w:tcW w:w="557" w:type="pct"/>
            <w:tcBorders>
              <w:left w:val="single" w:sz="4" w:space="0" w:color="auto"/>
              <w:right w:val="single" w:sz="4" w:space="0" w:color="auto"/>
            </w:tcBorders>
            <w:hideMark/>
          </w:tcPr>
          <w:p w:rsidR="008932BF" w:rsidRPr="005065A0" w:rsidRDefault="00C37CBA" w:rsidP="00302AFE">
            <w:pPr>
              <w:pStyle w:val="In-tableHeading"/>
              <w:keepLines/>
              <w:widowControl w:val="0"/>
              <w:jc w:val="center"/>
              <w:rPr>
                <w:szCs w:val="20"/>
                <w:vertAlign w:val="superscript"/>
                <w:lang w:val="en-AU"/>
              </w:rPr>
            </w:pPr>
            <w:r w:rsidRPr="005065A0">
              <w:rPr>
                <w:szCs w:val="20"/>
                <w:lang w:val="en-AU"/>
              </w:rPr>
              <w:t>Cost-analysis</w:t>
            </w:r>
          </w:p>
        </w:tc>
        <w:tc>
          <w:tcPr>
            <w:tcW w:w="636" w:type="pct"/>
            <w:tcBorders>
              <w:left w:val="single" w:sz="4" w:space="0" w:color="auto"/>
            </w:tcBorders>
            <w:hideMark/>
          </w:tcPr>
          <w:p w:rsidR="008932BF" w:rsidRPr="005065A0" w:rsidRDefault="008932BF" w:rsidP="00302AFE">
            <w:pPr>
              <w:keepNext/>
              <w:keepLines/>
              <w:widowControl w:val="0"/>
              <w:jc w:val="center"/>
              <w:rPr>
                <w:rFonts w:ascii="Arial Narrow" w:hAnsi="Arial Narrow"/>
                <w:b/>
                <w:bCs/>
                <w:sz w:val="20"/>
                <w:szCs w:val="20"/>
                <w:lang w:val="en-AU"/>
              </w:rPr>
            </w:pPr>
            <w:r w:rsidRPr="005065A0">
              <w:rPr>
                <w:rFonts w:ascii="Arial Narrow" w:hAnsi="Arial Narrow"/>
                <w:b/>
                <w:bCs/>
                <w:sz w:val="20"/>
                <w:szCs w:val="20"/>
                <w:lang w:val="en-AU"/>
              </w:rPr>
              <w:t>Financial estimate</w:t>
            </w:r>
          </w:p>
        </w:tc>
        <w:tc>
          <w:tcPr>
            <w:tcW w:w="712" w:type="pct"/>
            <w:hideMark/>
          </w:tcPr>
          <w:p w:rsidR="008932BF" w:rsidRPr="005065A0" w:rsidRDefault="008932BF" w:rsidP="00302AFE">
            <w:pPr>
              <w:pStyle w:val="In-tableHeading"/>
              <w:keepLines/>
              <w:widowControl w:val="0"/>
              <w:jc w:val="center"/>
              <w:rPr>
                <w:bCs/>
                <w:szCs w:val="20"/>
                <w:lang w:val="en-AU"/>
              </w:rPr>
            </w:pPr>
            <w:r w:rsidRPr="005065A0">
              <w:rPr>
                <w:szCs w:val="20"/>
                <w:lang w:val="en-AU"/>
              </w:rPr>
              <w:t>Trial dose and duration</w:t>
            </w:r>
          </w:p>
        </w:tc>
        <w:tc>
          <w:tcPr>
            <w:tcW w:w="560" w:type="pct"/>
            <w:hideMark/>
          </w:tcPr>
          <w:p w:rsidR="008932BF" w:rsidRPr="005065A0" w:rsidRDefault="00C37CBA" w:rsidP="00302AFE">
            <w:pPr>
              <w:pStyle w:val="In-tableHeading"/>
              <w:keepLines/>
              <w:widowControl w:val="0"/>
              <w:jc w:val="center"/>
              <w:rPr>
                <w:szCs w:val="20"/>
                <w:lang w:val="en-AU"/>
              </w:rPr>
            </w:pPr>
            <w:r w:rsidRPr="005065A0">
              <w:rPr>
                <w:szCs w:val="20"/>
                <w:lang w:val="en-AU"/>
              </w:rPr>
              <w:t>Cost-analysis</w:t>
            </w:r>
          </w:p>
        </w:tc>
        <w:tc>
          <w:tcPr>
            <w:tcW w:w="552" w:type="pct"/>
            <w:hideMark/>
          </w:tcPr>
          <w:p w:rsidR="008932BF" w:rsidRPr="005065A0" w:rsidRDefault="008932BF" w:rsidP="00302AFE">
            <w:pPr>
              <w:pStyle w:val="In-tableHeading"/>
              <w:keepLines/>
              <w:widowControl w:val="0"/>
              <w:jc w:val="center"/>
              <w:rPr>
                <w:szCs w:val="20"/>
                <w:lang w:val="en-AU"/>
              </w:rPr>
            </w:pPr>
            <w:r w:rsidRPr="005065A0">
              <w:rPr>
                <w:szCs w:val="20"/>
                <w:lang w:val="en-AU"/>
              </w:rPr>
              <w:t>Financial estimates</w:t>
            </w:r>
          </w:p>
        </w:tc>
      </w:tr>
      <w:tr w:rsidR="00EA7ABC" w:rsidRPr="005065A0" w:rsidTr="00810D23">
        <w:tc>
          <w:tcPr>
            <w:tcW w:w="1268" w:type="pct"/>
            <w:hideMark/>
          </w:tcPr>
          <w:p w:rsidR="00EA7ABC" w:rsidRPr="005065A0" w:rsidRDefault="00EA7ABC" w:rsidP="00302AFE">
            <w:pPr>
              <w:pStyle w:val="TableText0"/>
              <w:keepLines/>
              <w:widowControl w:val="0"/>
              <w:rPr>
                <w:szCs w:val="20"/>
                <w:lang w:val="en-AU"/>
              </w:rPr>
            </w:pPr>
            <w:r w:rsidRPr="005065A0">
              <w:rPr>
                <w:szCs w:val="20"/>
                <w:lang w:val="en-AU"/>
              </w:rPr>
              <w:t>Mean dose (mg/day)</w:t>
            </w:r>
          </w:p>
        </w:tc>
        <w:tc>
          <w:tcPr>
            <w:tcW w:w="715" w:type="pct"/>
            <w:tcBorders>
              <w:right w:val="single" w:sz="4" w:space="0" w:color="auto"/>
            </w:tcBorders>
            <w:hideMark/>
          </w:tcPr>
          <w:p w:rsidR="00EA7ABC" w:rsidRPr="005065A0" w:rsidRDefault="00EA7ABC" w:rsidP="00302AFE">
            <w:pPr>
              <w:pStyle w:val="TableText0"/>
              <w:keepLines/>
              <w:widowControl w:val="0"/>
              <w:jc w:val="center"/>
              <w:rPr>
                <w:szCs w:val="20"/>
                <w:lang w:val="en-AU"/>
              </w:rPr>
            </w:pPr>
            <w:r w:rsidRPr="005065A0">
              <w:rPr>
                <w:szCs w:val="20"/>
                <w:lang w:val="en-AU"/>
              </w:rPr>
              <w:t>49.4</w:t>
            </w:r>
          </w:p>
        </w:tc>
        <w:tc>
          <w:tcPr>
            <w:tcW w:w="557" w:type="pct"/>
            <w:tcBorders>
              <w:left w:val="single" w:sz="4" w:space="0" w:color="auto"/>
              <w:right w:val="single" w:sz="4" w:space="0" w:color="auto"/>
            </w:tcBorders>
          </w:tcPr>
          <w:p w:rsidR="00EA7ABC" w:rsidRPr="005065A0" w:rsidRDefault="00EA7ABC" w:rsidP="00302AFE">
            <w:pPr>
              <w:pStyle w:val="TableText0"/>
              <w:keepLines/>
              <w:widowControl w:val="0"/>
              <w:jc w:val="center"/>
              <w:rPr>
                <w:szCs w:val="20"/>
                <w:lang w:val="en-AU"/>
              </w:rPr>
            </w:pPr>
            <w:r w:rsidRPr="005065A0">
              <w:rPr>
                <w:szCs w:val="20"/>
                <w:lang w:val="en-AU"/>
              </w:rPr>
              <w:t>49.4</w:t>
            </w:r>
          </w:p>
        </w:tc>
        <w:tc>
          <w:tcPr>
            <w:tcW w:w="636" w:type="pct"/>
            <w:tcBorders>
              <w:left w:val="single" w:sz="4" w:space="0" w:color="auto"/>
            </w:tcBorders>
          </w:tcPr>
          <w:p w:rsidR="00EA7ABC" w:rsidRPr="005065A0" w:rsidRDefault="00894315" w:rsidP="00302AFE">
            <w:pPr>
              <w:pStyle w:val="TableText0"/>
              <w:keepLines/>
              <w:widowControl w:val="0"/>
              <w:jc w:val="center"/>
              <w:rPr>
                <w:szCs w:val="20"/>
                <w:lang w:val="en-AU"/>
              </w:rPr>
            </w:pPr>
            <w:r w:rsidRPr="005065A0">
              <w:rPr>
                <w:szCs w:val="20"/>
                <w:lang w:val="en-AU"/>
              </w:rPr>
              <w:t>42.0</w:t>
            </w:r>
          </w:p>
        </w:tc>
        <w:tc>
          <w:tcPr>
            <w:tcW w:w="712" w:type="pct"/>
            <w:hideMark/>
          </w:tcPr>
          <w:p w:rsidR="00EA7ABC" w:rsidRPr="005065A0" w:rsidRDefault="00EA7ABC" w:rsidP="00302AFE">
            <w:pPr>
              <w:pStyle w:val="TableText0"/>
              <w:keepLines/>
              <w:widowControl w:val="0"/>
              <w:jc w:val="center"/>
              <w:rPr>
                <w:szCs w:val="20"/>
                <w:lang w:val="en-AU"/>
              </w:rPr>
            </w:pPr>
            <w:r w:rsidRPr="005065A0">
              <w:rPr>
                <w:szCs w:val="20"/>
                <w:lang w:val="en-AU"/>
              </w:rPr>
              <w:t>43.7</w:t>
            </w:r>
          </w:p>
        </w:tc>
        <w:tc>
          <w:tcPr>
            <w:tcW w:w="560" w:type="pct"/>
            <w:hideMark/>
          </w:tcPr>
          <w:p w:rsidR="00EA7ABC" w:rsidRPr="005065A0" w:rsidRDefault="00EA7ABC" w:rsidP="00302AFE">
            <w:pPr>
              <w:pStyle w:val="TableText0"/>
              <w:keepLines/>
              <w:widowControl w:val="0"/>
              <w:jc w:val="center"/>
              <w:rPr>
                <w:szCs w:val="20"/>
                <w:lang w:val="en-AU"/>
              </w:rPr>
            </w:pPr>
            <w:r w:rsidRPr="005065A0">
              <w:rPr>
                <w:szCs w:val="20"/>
                <w:lang w:val="en-AU"/>
              </w:rPr>
              <w:t>43.7</w:t>
            </w:r>
          </w:p>
        </w:tc>
        <w:tc>
          <w:tcPr>
            <w:tcW w:w="552" w:type="pct"/>
            <w:hideMark/>
          </w:tcPr>
          <w:p w:rsidR="00EA7ABC" w:rsidRPr="005065A0" w:rsidRDefault="00EA7ABC" w:rsidP="00302AFE">
            <w:pPr>
              <w:pStyle w:val="TableText0"/>
              <w:keepLines/>
              <w:widowControl w:val="0"/>
              <w:jc w:val="center"/>
              <w:rPr>
                <w:szCs w:val="20"/>
                <w:vertAlign w:val="superscript"/>
                <w:lang w:val="en-AU"/>
              </w:rPr>
            </w:pPr>
            <w:r w:rsidRPr="005065A0">
              <w:rPr>
                <w:szCs w:val="20"/>
                <w:lang w:val="en-AU"/>
              </w:rPr>
              <w:t>36.</w:t>
            </w:r>
            <w:r w:rsidR="00894315" w:rsidRPr="005065A0">
              <w:rPr>
                <w:szCs w:val="20"/>
                <w:lang w:val="en-AU"/>
              </w:rPr>
              <w:t>6</w:t>
            </w:r>
          </w:p>
        </w:tc>
      </w:tr>
      <w:tr w:rsidR="00BA49E3" w:rsidRPr="005065A0" w:rsidTr="00810D23">
        <w:tc>
          <w:tcPr>
            <w:tcW w:w="1268" w:type="pct"/>
            <w:hideMark/>
          </w:tcPr>
          <w:p w:rsidR="007B2438" w:rsidRPr="005065A0" w:rsidRDefault="007B2438" w:rsidP="00302AFE">
            <w:pPr>
              <w:pStyle w:val="TableText0"/>
              <w:keepLines/>
              <w:widowControl w:val="0"/>
              <w:rPr>
                <w:szCs w:val="20"/>
                <w:lang w:val="en-AU"/>
              </w:rPr>
            </w:pPr>
            <w:r w:rsidRPr="005065A0">
              <w:rPr>
                <w:szCs w:val="20"/>
                <w:lang w:val="en-AU"/>
              </w:rPr>
              <w:t>Mean duration (months)</w:t>
            </w:r>
            <w:r w:rsidR="00992C74">
              <w:rPr>
                <w:szCs w:val="20"/>
                <w:lang w:val="en-AU"/>
              </w:rPr>
              <w:t>*</w:t>
            </w:r>
          </w:p>
        </w:tc>
        <w:tc>
          <w:tcPr>
            <w:tcW w:w="715" w:type="pct"/>
            <w:hideMark/>
          </w:tcPr>
          <w:p w:rsidR="007B2438" w:rsidRPr="0026726D" w:rsidRDefault="007B2438" w:rsidP="00302AFE">
            <w:pPr>
              <w:pStyle w:val="TableText0"/>
              <w:keepLines/>
              <w:widowControl w:val="0"/>
              <w:jc w:val="center"/>
              <w:rPr>
                <w:szCs w:val="20"/>
                <w:vertAlign w:val="superscript"/>
                <w:lang w:val="en-AU"/>
              </w:rPr>
            </w:pPr>
            <w:r w:rsidRPr="0026726D">
              <w:rPr>
                <w:szCs w:val="20"/>
                <w:lang w:val="en-AU"/>
              </w:rPr>
              <w:t>9.4</w:t>
            </w:r>
            <w:r w:rsidR="008739F7" w:rsidRPr="0026726D">
              <w:rPr>
                <w:szCs w:val="20"/>
                <w:lang w:val="en-AU"/>
              </w:rPr>
              <w:t xml:space="preserve"> </w:t>
            </w:r>
            <w:r w:rsidR="008739F7" w:rsidRPr="0026726D">
              <w:rPr>
                <w:szCs w:val="20"/>
                <w:vertAlign w:val="superscript"/>
                <w:lang w:val="en-AU"/>
              </w:rPr>
              <w:t>b</w:t>
            </w:r>
          </w:p>
        </w:tc>
        <w:tc>
          <w:tcPr>
            <w:tcW w:w="557" w:type="pct"/>
            <w:tcBorders>
              <w:right w:val="single" w:sz="4" w:space="0" w:color="auto"/>
            </w:tcBorders>
          </w:tcPr>
          <w:p w:rsidR="007B2438" w:rsidRPr="0026726D" w:rsidRDefault="007B2438" w:rsidP="00302AFE">
            <w:pPr>
              <w:pStyle w:val="TableText0"/>
              <w:keepLines/>
              <w:widowControl w:val="0"/>
              <w:jc w:val="center"/>
              <w:rPr>
                <w:szCs w:val="20"/>
                <w:lang w:val="en-AU"/>
              </w:rPr>
            </w:pPr>
            <w:r w:rsidRPr="0026726D">
              <w:rPr>
                <w:szCs w:val="20"/>
                <w:lang w:val="en-AU"/>
              </w:rPr>
              <w:t>12.6</w:t>
            </w:r>
          </w:p>
        </w:tc>
        <w:tc>
          <w:tcPr>
            <w:tcW w:w="636" w:type="pct"/>
            <w:tcBorders>
              <w:left w:val="single" w:sz="4" w:space="0" w:color="auto"/>
            </w:tcBorders>
            <w:hideMark/>
          </w:tcPr>
          <w:p w:rsidR="007B2438" w:rsidRPr="0026726D" w:rsidRDefault="007B2438" w:rsidP="00302AFE">
            <w:pPr>
              <w:pStyle w:val="TableText0"/>
              <w:keepLines/>
              <w:widowControl w:val="0"/>
              <w:jc w:val="center"/>
              <w:rPr>
                <w:bCs w:val="0"/>
                <w:szCs w:val="20"/>
                <w:lang w:val="en-AU"/>
              </w:rPr>
            </w:pPr>
            <w:r w:rsidRPr="0026726D">
              <w:rPr>
                <w:bCs w:val="0"/>
                <w:szCs w:val="20"/>
                <w:lang w:val="en-AU"/>
              </w:rPr>
              <w:t>13.0</w:t>
            </w:r>
          </w:p>
        </w:tc>
        <w:tc>
          <w:tcPr>
            <w:tcW w:w="712" w:type="pct"/>
            <w:hideMark/>
          </w:tcPr>
          <w:p w:rsidR="007B2438" w:rsidRPr="0026726D" w:rsidRDefault="007B2438" w:rsidP="00302AFE">
            <w:pPr>
              <w:pStyle w:val="TableText0"/>
              <w:keepLines/>
              <w:widowControl w:val="0"/>
              <w:jc w:val="center"/>
              <w:rPr>
                <w:szCs w:val="20"/>
                <w:vertAlign w:val="superscript"/>
                <w:lang w:val="en-AU"/>
              </w:rPr>
            </w:pPr>
            <w:r w:rsidRPr="0026726D">
              <w:rPr>
                <w:szCs w:val="20"/>
                <w:lang w:val="en-AU"/>
              </w:rPr>
              <w:t>5.7</w:t>
            </w:r>
            <w:r w:rsidR="008739F7" w:rsidRPr="0026726D">
              <w:rPr>
                <w:szCs w:val="20"/>
                <w:lang w:val="en-AU"/>
              </w:rPr>
              <w:t xml:space="preserve"> </w:t>
            </w:r>
            <w:r w:rsidR="008739F7" w:rsidRPr="0026726D">
              <w:rPr>
                <w:szCs w:val="20"/>
                <w:vertAlign w:val="superscript"/>
                <w:lang w:val="en-AU"/>
              </w:rPr>
              <w:t>b</w:t>
            </w:r>
          </w:p>
        </w:tc>
        <w:tc>
          <w:tcPr>
            <w:tcW w:w="560" w:type="pct"/>
            <w:hideMark/>
          </w:tcPr>
          <w:p w:rsidR="007B2438" w:rsidRPr="0026726D" w:rsidRDefault="007B2438" w:rsidP="00302AFE">
            <w:pPr>
              <w:pStyle w:val="TableText0"/>
              <w:keepLines/>
              <w:widowControl w:val="0"/>
              <w:jc w:val="center"/>
              <w:rPr>
                <w:szCs w:val="20"/>
                <w:lang w:val="en-AU"/>
              </w:rPr>
            </w:pPr>
            <w:r w:rsidRPr="0026726D">
              <w:rPr>
                <w:szCs w:val="20"/>
                <w:lang w:val="en-AU"/>
              </w:rPr>
              <w:t>7.2</w:t>
            </w:r>
          </w:p>
        </w:tc>
        <w:tc>
          <w:tcPr>
            <w:tcW w:w="552" w:type="pct"/>
            <w:hideMark/>
          </w:tcPr>
          <w:p w:rsidR="007B2438" w:rsidRPr="0026726D" w:rsidRDefault="007B2438" w:rsidP="00302AFE">
            <w:pPr>
              <w:pStyle w:val="TableText0"/>
              <w:keepLines/>
              <w:widowControl w:val="0"/>
              <w:jc w:val="center"/>
              <w:rPr>
                <w:szCs w:val="20"/>
                <w:lang w:val="en-AU"/>
              </w:rPr>
            </w:pPr>
            <w:r w:rsidRPr="0026726D">
              <w:rPr>
                <w:szCs w:val="20"/>
                <w:lang w:val="en-AU"/>
              </w:rPr>
              <w:t>7</w:t>
            </w:r>
            <w:r w:rsidR="00001B0C" w:rsidRPr="0026726D">
              <w:rPr>
                <w:szCs w:val="20"/>
                <w:lang w:val="en-AU"/>
              </w:rPr>
              <w:t>.0</w:t>
            </w:r>
          </w:p>
        </w:tc>
      </w:tr>
      <w:tr w:rsidR="00BA49E3" w:rsidRPr="005065A0" w:rsidTr="00810D23">
        <w:tc>
          <w:tcPr>
            <w:tcW w:w="1268" w:type="pct"/>
            <w:hideMark/>
          </w:tcPr>
          <w:p w:rsidR="00103BFD" w:rsidRPr="005065A0" w:rsidRDefault="00103BFD" w:rsidP="00302AFE">
            <w:pPr>
              <w:pStyle w:val="TableText0"/>
              <w:keepLines/>
              <w:widowControl w:val="0"/>
              <w:rPr>
                <w:szCs w:val="20"/>
                <w:lang w:val="en-AU"/>
              </w:rPr>
            </w:pPr>
            <w:r w:rsidRPr="005065A0">
              <w:rPr>
                <w:szCs w:val="20"/>
                <w:lang w:val="en-AU"/>
              </w:rPr>
              <w:t xml:space="preserve">Cost per patient for </w:t>
            </w:r>
            <w:r w:rsidR="00DD347F" w:rsidRPr="005065A0">
              <w:rPr>
                <w:szCs w:val="20"/>
                <w:lang w:val="en-AU"/>
              </w:rPr>
              <w:t>30</w:t>
            </w:r>
            <w:r w:rsidR="00B721D9" w:rsidRPr="005065A0">
              <w:rPr>
                <w:szCs w:val="20"/>
                <w:lang w:val="en-AU"/>
              </w:rPr>
              <w:t>-</w:t>
            </w:r>
            <w:r w:rsidRPr="005065A0">
              <w:rPr>
                <w:szCs w:val="20"/>
                <w:lang w:val="en-AU"/>
              </w:rPr>
              <w:t xml:space="preserve">day supply </w:t>
            </w:r>
            <w:r w:rsidR="00202A5A" w:rsidRPr="005065A0">
              <w:rPr>
                <w:szCs w:val="20"/>
                <w:lang w:val="en-AU"/>
              </w:rPr>
              <w:t>(cabozantinib) and 28</w:t>
            </w:r>
            <w:r w:rsidR="006644ED" w:rsidRPr="005065A0">
              <w:rPr>
                <w:szCs w:val="20"/>
                <w:lang w:val="en-AU"/>
              </w:rPr>
              <w:t>-</w:t>
            </w:r>
            <w:r w:rsidR="00202A5A" w:rsidRPr="005065A0">
              <w:rPr>
                <w:szCs w:val="20"/>
                <w:lang w:val="en-AU"/>
              </w:rPr>
              <w:t>day supply (</w:t>
            </w:r>
            <w:r w:rsidR="001522C8" w:rsidRPr="005065A0">
              <w:rPr>
                <w:szCs w:val="20"/>
                <w:lang w:val="en-AU"/>
              </w:rPr>
              <w:t>sunitinib)</w:t>
            </w:r>
          </w:p>
        </w:tc>
        <w:tc>
          <w:tcPr>
            <w:tcW w:w="715" w:type="pct"/>
            <w:tcBorders>
              <w:right w:val="single" w:sz="4" w:space="0" w:color="auto"/>
            </w:tcBorders>
            <w:vAlign w:val="center"/>
          </w:tcPr>
          <w:p w:rsidR="00103BFD" w:rsidRPr="005065A0" w:rsidRDefault="00103BFD" w:rsidP="003316A0">
            <w:pPr>
              <w:pStyle w:val="TableText0"/>
              <w:keepLines/>
              <w:widowControl w:val="0"/>
              <w:jc w:val="center"/>
              <w:rPr>
                <w:szCs w:val="20"/>
                <w:lang w:val="en-AU"/>
              </w:rPr>
            </w:pPr>
            <w:r w:rsidRPr="005065A0">
              <w:rPr>
                <w:szCs w:val="20"/>
                <w:lang w:val="en-AU"/>
              </w:rPr>
              <w:t>$</w:t>
            </w:r>
            <w:r w:rsidR="0061241D">
              <w:rPr>
                <w:noProof/>
                <w:color w:val="000000"/>
                <w:szCs w:val="20"/>
                <w:highlight w:val="black"/>
                <w:lang w:val="en-AU"/>
              </w:rPr>
              <w:t>''''''''''''''</w:t>
            </w:r>
            <w:r w:rsidR="00CD0E3D" w:rsidRPr="005065A0">
              <w:rPr>
                <w:szCs w:val="20"/>
                <w:lang w:val="en-AU"/>
              </w:rPr>
              <w:t xml:space="preserve"> (weighted price)</w:t>
            </w:r>
          </w:p>
        </w:tc>
        <w:tc>
          <w:tcPr>
            <w:tcW w:w="557" w:type="pct"/>
            <w:tcBorders>
              <w:right w:val="single" w:sz="4" w:space="0" w:color="auto"/>
            </w:tcBorders>
            <w:vAlign w:val="center"/>
          </w:tcPr>
          <w:p w:rsidR="00103BFD" w:rsidRPr="005065A0" w:rsidRDefault="00103BFD" w:rsidP="003316A0">
            <w:pPr>
              <w:pStyle w:val="TableText0"/>
              <w:keepLines/>
              <w:widowControl w:val="0"/>
              <w:jc w:val="center"/>
              <w:rPr>
                <w:szCs w:val="20"/>
                <w:lang w:val="en-AU"/>
              </w:rPr>
            </w:pPr>
            <w:r w:rsidRPr="005065A0">
              <w:rPr>
                <w:szCs w:val="20"/>
                <w:lang w:val="en-AU"/>
              </w:rPr>
              <w:t>$</w:t>
            </w:r>
            <w:r w:rsidR="0061241D">
              <w:rPr>
                <w:noProof/>
                <w:color w:val="000000"/>
                <w:szCs w:val="20"/>
                <w:highlight w:val="black"/>
                <w:lang w:val="en-AU"/>
              </w:rPr>
              <w:t>''''''''''''''</w:t>
            </w:r>
            <w:r w:rsidR="00E1496F" w:rsidRPr="005065A0">
              <w:rPr>
                <w:szCs w:val="20"/>
                <w:lang w:val="en-AU"/>
              </w:rPr>
              <w:t xml:space="preserve"> (indication-specific)</w:t>
            </w:r>
          </w:p>
        </w:tc>
        <w:tc>
          <w:tcPr>
            <w:tcW w:w="636" w:type="pct"/>
            <w:tcBorders>
              <w:left w:val="single" w:sz="4" w:space="0" w:color="auto"/>
            </w:tcBorders>
            <w:vAlign w:val="center"/>
          </w:tcPr>
          <w:p w:rsidR="00103BFD" w:rsidRPr="005065A0" w:rsidRDefault="003316A0" w:rsidP="003316A0">
            <w:pPr>
              <w:pStyle w:val="TableText0"/>
              <w:keepLines/>
              <w:widowControl w:val="0"/>
              <w:jc w:val="center"/>
              <w:rPr>
                <w:szCs w:val="20"/>
                <w:lang w:val="en-AU"/>
              </w:rPr>
            </w:pPr>
            <w:r w:rsidRPr="005065A0">
              <w:rPr>
                <w:szCs w:val="20"/>
                <w:lang w:val="en-AU"/>
              </w:rPr>
              <w:t>$</w:t>
            </w:r>
            <w:r w:rsidR="0061241D">
              <w:rPr>
                <w:noProof/>
                <w:color w:val="000000"/>
                <w:szCs w:val="20"/>
                <w:highlight w:val="black"/>
                <w:lang w:val="en-AU"/>
              </w:rPr>
              <w:t xml:space="preserve">''''''''''''' </w:t>
            </w:r>
            <w:r w:rsidR="00E1496F" w:rsidRPr="005065A0">
              <w:rPr>
                <w:szCs w:val="20"/>
                <w:lang w:val="en-AU"/>
              </w:rPr>
              <w:t>(weighted price)</w:t>
            </w:r>
          </w:p>
        </w:tc>
        <w:tc>
          <w:tcPr>
            <w:tcW w:w="712" w:type="pct"/>
            <w:tcBorders>
              <w:right w:val="single" w:sz="4" w:space="0" w:color="auto"/>
            </w:tcBorders>
            <w:vAlign w:val="center"/>
          </w:tcPr>
          <w:p w:rsidR="00103BFD" w:rsidRPr="00FB3D70" w:rsidRDefault="00103BFD" w:rsidP="00302AFE">
            <w:pPr>
              <w:pStyle w:val="TableText0"/>
              <w:keepLines/>
              <w:widowControl w:val="0"/>
              <w:jc w:val="center"/>
              <w:rPr>
                <w:szCs w:val="20"/>
                <w:lang w:val="en-AU"/>
              </w:rPr>
            </w:pPr>
            <w:r w:rsidRPr="00FB3D70">
              <w:rPr>
                <w:rFonts w:cs="Calibri"/>
                <w:szCs w:val="20"/>
                <w:lang w:val="en-AU"/>
              </w:rPr>
              <w:t>$</w:t>
            </w:r>
            <w:r w:rsidR="0061241D">
              <w:rPr>
                <w:rFonts w:cs="Calibri"/>
                <w:noProof/>
                <w:color w:val="000000"/>
                <w:szCs w:val="20"/>
                <w:highlight w:val="black"/>
                <w:lang w:val="en-AU"/>
              </w:rPr>
              <w:t>''''''''''''</w:t>
            </w:r>
          </w:p>
        </w:tc>
        <w:tc>
          <w:tcPr>
            <w:tcW w:w="560" w:type="pct"/>
            <w:tcBorders>
              <w:left w:val="single" w:sz="4" w:space="0" w:color="auto"/>
            </w:tcBorders>
            <w:vAlign w:val="center"/>
          </w:tcPr>
          <w:p w:rsidR="00103BFD" w:rsidRPr="00FB3D70" w:rsidRDefault="00103BFD" w:rsidP="00302AFE">
            <w:pPr>
              <w:pStyle w:val="TableText0"/>
              <w:keepLines/>
              <w:widowControl w:val="0"/>
              <w:jc w:val="center"/>
              <w:rPr>
                <w:szCs w:val="20"/>
                <w:lang w:val="en-AU"/>
              </w:rPr>
            </w:pPr>
            <w:r w:rsidRPr="00FB3D70">
              <w:rPr>
                <w:rFonts w:cs="Calibri"/>
                <w:szCs w:val="20"/>
                <w:lang w:val="en-AU"/>
              </w:rPr>
              <w:t>$</w:t>
            </w:r>
            <w:r w:rsidR="0061241D">
              <w:rPr>
                <w:rFonts w:cs="Calibri"/>
                <w:noProof/>
                <w:color w:val="000000"/>
                <w:szCs w:val="20"/>
                <w:highlight w:val="black"/>
                <w:lang w:val="en-AU"/>
              </w:rPr>
              <w:t>''''''''''''</w:t>
            </w:r>
          </w:p>
        </w:tc>
        <w:tc>
          <w:tcPr>
            <w:tcW w:w="552" w:type="pct"/>
            <w:vAlign w:val="center"/>
          </w:tcPr>
          <w:p w:rsidR="00103BFD" w:rsidRPr="00FB3D70" w:rsidRDefault="00103BFD" w:rsidP="00302AFE">
            <w:pPr>
              <w:pStyle w:val="TableText0"/>
              <w:keepLines/>
              <w:widowControl w:val="0"/>
              <w:jc w:val="center"/>
              <w:rPr>
                <w:szCs w:val="20"/>
                <w:lang w:val="en-AU"/>
              </w:rPr>
            </w:pPr>
            <w:r w:rsidRPr="00FB3D70">
              <w:rPr>
                <w:rFonts w:cs="Calibri"/>
                <w:szCs w:val="20"/>
                <w:lang w:val="en-AU"/>
              </w:rPr>
              <w:t>$</w:t>
            </w:r>
            <w:r w:rsidR="0061241D">
              <w:rPr>
                <w:rFonts w:cs="Calibri"/>
                <w:noProof/>
                <w:color w:val="000000"/>
                <w:szCs w:val="20"/>
                <w:highlight w:val="black"/>
                <w:lang w:val="en-AU"/>
              </w:rPr>
              <w:t>''''''''''''''</w:t>
            </w:r>
            <w:r w:rsidR="004C7899" w:rsidRPr="00FB3D70">
              <w:rPr>
                <w:rFonts w:cs="Calibri"/>
                <w:szCs w:val="20"/>
                <w:vertAlign w:val="superscript"/>
                <w:lang w:val="en-AU"/>
              </w:rPr>
              <w:t xml:space="preserve"> a</w:t>
            </w:r>
            <w:r w:rsidR="008A06C3" w:rsidRPr="00FB3D70">
              <w:rPr>
                <w:rFonts w:cs="Calibri"/>
                <w:szCs w:val="20"/>
                <w:lang w:val="en-AU"/>
              </w:rPr>
              <w:t xml:space="preserve"> </w:t>
            </w:r>
          </w:p>
        </w:tc>
      </w:tr>
      <w:tr w:rsidR="00BA49E3" w:rsidRPr="005065A0" w:rsidTr="00810D23">
        <w:trPr>
          <w:trHeight w:val="455"/>
        </w:trPr>
        <w:tc>
          <w:tcPr>
            <w:tcW w:w="1268" w:type="pct"/>
            <w:vMerge w:val="restart"/>
            <w:hideMark/>
          </w:tcPr>
          <w:p w:rsidR="00BA49E3" w:rsidRPr="005065A0" w:rsidRDefault="00BA49E3" w:rsidP="00302AFE">
            <w:pPr>
              <w:pStyle w:val="TableText0"/>
              <w:keepLines/>
              <w:widowControl w:val="0"/>
              <w:rPr>
                <w:szCs w:val="20"/>
                <w:lang w:val="en-AU"/>
              </w:rPr>
            </w:pPr>
            <w:r w:rsidRPr="005065A0">
              <w:rPr>
                <w:szCs w:val="20"/>
                <w:lang w:val="en-AU"/>
              </w:rPr>
              <w:t>Adjustments to drug cost</w:t>
            </w:r>
          </w:p>
        </w:tc>
        <w:tc>
          <w:tcPr>
            <w:tcW w:w="715" w:type="pct"/>
            <w:vMerge w:val="restart"/>
            <w:hideMark/>
          </w:tcPr>
          <w:p w:rsidR="00BA49E3" w:rsidRPr="005065A0" w:rsidRDefault="00BA49E3" w:rsidP="00302AFE">
            <w:pPr>
              <w:pStyle w:val="TableText0"/>
              <w:keepLines/>
              <w:widowControl w:val="0"/>
              <w:jc w:val="center"/>
              <w:rPr>
                <w:szCs w:val="20"/>
                <w:lang w:val="en-AU"/>
              </w:rPr>
            </w:pPr>
            <w:r w:rsidRPr="005065A0">
              <w:rPr>
                <w:szCs w:val="20"/>
                <w:lang w:val="en-AU"/>
              </w:rPr>
              <w:t>Treatment interruption: 2.67%</w:t>
            </w:r>
          </w:p>
        </w:tc>
        <w:tc>
          <w:tcPr>
            <w:tcW w:w="557" w:type="pct"/>
            <w:vMerge w:val="restart"/>
          </w:tcPr>
          <w:p w:rsidR="00BA49E3" w:rsidRPr="005065A0" w:rsidRDefault="00BA49E3" w:rsidP="00302AFE">
            <w:pPr>
              <w:pStyle w:val="TableText0"/>
              <w:keepLines/>
              <w:widowControl w:val="0"/>
              <w:jc w:val="center"/>
              <w:rPr>
                <w:szCs w:val="20"/>
                <w:lang w:val="en-AU"/>
              </w:rPr>
            </w:pPr>
            <w:r w:rsidRPr="005065A0">
              <w:rPr>
                <w:szCs w:val="20"/>
                <w:lang w:val="en-AU"/>
              </w:rPr>
              <w:t>-</w:t>
            </w:r>
          </w:p>
        </w:tc>
        <w:tc>
          <w:tcPr>
            <w:tcW w:w="636" w:type="pct"/>
            <w:vMerge w:val="restart"/>
            <w:hideMark/>
          </w:tcPr>
          <w:p w:rsidR="00BA49E3" w:rsidRPr="005065A0" w:rsidRDefault="00BA49E3" w:rsidP="00302AFE">
            <w:pPr>
              <w:pStyle w:val="TableText0"/>
              <w:keepLines/>
              <w:widowControl w:val="0"/>
              <w:jc w:val="center"/>
              <w:rPr>
                <w:szCs w:val="20"/>
                <w:lang w:val="en-AU"/>
              </w:rPr>
            </w:pPr>
            <w:r w:rsidRPr="005065A0">
              <w:rPr>
                <w:szCs w:val="20"/>
                <w:lang w:val="en-AU"/>
              </w:rPr>
              <w:t>-</w:t>
            </w:r>
          </w:p>
        </w:tc>
        <w:tc>
          <w:tcPr>
            <w:tcW w:w="712" w:type="pct"/>
            <w:tcBorders>
              <w:bottom w:val="single" w:sz="4" w:space="0" w:color="auto"/>
            </w:tcBorders>
            <w:hideMark/>
          </w:tcPr>
          <w:p w:rsidR="00BA49E3" w:rsidRPr="00FB3D70" w:rsidRDefault="00BA49E3" w:rsidP="00302AFE">
            <w:pPr>
              <w:pStyle w:val="TableText0"/>
              <w:keepLines/>
              <w:widowControl w:val="0"/>
              <w:jc w:val="center"/>
              <w:rPr>
                <w:szCs w:val="20"/>
                <w:lang w:val="en-AU"/>
              </w:rPr>
            </w:pPr>
            <w:r w:rsidRPr="00FB3D70">
              <w:rPr>
                <w:szCs w:val="20"/>
                <w:lang w:val="en-AU"/>
              </w:rPr>
              <w:t>Treatment interruptions: 0.06%</w:t>
            </w:r>
          </w:p>
        </w:tc>
        <w:tc>
          <w:tcPr>
            <w:tcW w:w="1112" w:type="pct"/>
            <w:gridSpan w:val="2"/>
            <w:tcBorders>
              <w:bottom w:val="single" w:sz="4" w:space="0" w:color="auto"/>
            </w:tcBorders>
          </w:tcPr>
          <w:p w:rsidR="00BA49E3" w:rsidRPr="00FB3D70" w:rsidRDefault="00BA49E3" w:rsidP="00302AFE">
            <w:pPr>
              <w:pStyle w:val="TableText0"/>
              <w:keepLines/>
              <w:widowControl w:val="0"/>
              <w:jc w:val="center"/>
              <w:rPr>
                <w:szCs w:val="20"/>
                <w:lang w:val="en-AU"/>
              </w:rPr>
            </w:pPr>
            <w:r w:rsidRPr="00FB3D70">
              <w:rPr>
                <w:szCs w:val="20"/>
                <w:lang w:val="en-AU"/>
              </w:rPr>
              <w:t>-</w:t>
            </w:r>
          </w:p>
        </w:tc>
      </w:tr>
      <w:tr w:rsidR="00BA49E3" w:rsidRPr="005065A0" w:rsidTr="00810D23">
        <w:trPr>
          <w:trHeight w:val="308"/>
        </w:trPr>
        <w:tc>
          <w:tcPr>
            <w:tcW w:w="1268" w:type="pct"/>
            <w:vMerge/>
          </w:tcPr>
          <w:p w:rsidR="00BA49E3" w:rsidRPr="005065A0" w:rsidRDefault="00BA49E3" w:rsidP="00302AFE">
            <w:pPr>
              <w:pStyle w:val="TableText0"/>
              <w:keepLines/>
              <w:widowControl w:val="0"/>
              <w:rPr>
                <w:szCs w:val="20"/>
                <w:lang w:val="en-AU"/>
              </w:rPr>
            </w:pPr>
          </w:p>
        </w:tc>
        <w:tc>
          <w:tcPr>
            <w:tcW w:w="715" w:type="pct"/>
            <w:vMerge/>
            <w:tcBorders>
              <w:bottom w:val="single" w:sz="4" w:space="0" w:color="auto"/>
            </w:tcBorders>
          </w:tcPr>
          <w:p w:rsidR="00BA49E3" w:rsidRPr="005065A0" w:rsidRDefault="00BA49E3" w:rsidP="00302AFE">
            <w:pPr>
              <w:pStyle w:val="TableText0"/>
              <w:keepLines/>
              <w:widowControl w:val="0"/>
              <w:jc w:val="center"/>
              <w:rPr>
                <w:szCs w:val="20"/>
                <w:lang w:val="en-AU"/>
              </w:rPr>
            </w:pPr>
          </w:p>
        </w:tc>
        <w:tc>
          <w:tcPr>
            <w:tcW w:w="557" w:type="pct"/>
            <w:vMerge/>
            <w:tcBorders>
              <w:bottom w:val="single" w:sz="4" w:space="0" w:color="auto"/>
            </w:tcBorders>
          </w:tcPr>
          <w:p w:rsidR="00BA49E3" w:rsidRPr="005065A0" w:rsidRDefault="00BA49E3" w:rsidP="00302AFE">
            <w:pPr>
              <w:pStyle w:val="TableText0"/>
              <w:keepLines/>
              <w:widowControl w:val="0"/>
              <w:jc w:val="center"/>
              <w:rPr>
                <w:szCs w:val="20"/>
                <w:lang w:val="en-AU"/>
              </w:rPr>
            </w:pPr>
          </w:p>
        </w:tc>
        <w:tc>
          <w:tcPr>
            <w:tcW w:w="636" w:type="pct"/>
            <w:vMerge/>
            <w:tcBorders>
              <w:bottom w:val="single" w:sz="4" w:space="0" w:color="auto"/>
            </w:tcBorders>
          </w:tcPr>
          <w:p w:rsidR="00BA49E3" w:rsidRPr="005065A0" w:rsidRDefault="00BA49E3" w:rsidP="00302AFE">
            <w:pPr>
              <w:pStyle w:val="TableText0"/>
              <w:keepLines/>
              <w:widowControl w:val="0"/>
              <w:jc w:val="center"/>
              <w:rPr>
                <w:szCs w:val="20"/>
                <w:lang w:val="en-AU"/>
              </w:rPr>
            </w:pPr>
          </w:p>
        </w:tc>
        <w:tc>
          <w:tcPr>
            <w:tcW w:w="1824" w:type="pct"/>
            <w:gridSpan w:val="3"/>
            <w:tcBorders>
              <w:top w:val="single" w:sz="4" w:space="0" w:color="auto"/>
            </w:tcBorders>
          </w:tcPr>
          <w:p w:rsidR="00BA49E3" w:rsidRPr="00FB3D70" w:rsidDel="00BA49E3" w:rsidRDefault="00BA49E3" w:rsidP="00302AFE">
            <w:pPr>
              <w:pStyle w:val="TableText0"/>
              <w:keepLines/>
              <w:widowControl w:val="0"/>
              <w:jc w:val="center"/>
              <w:rPr>
                <w:szCs w:val="20"/>
                <w:lang w:val="en-AU"/>
              </w:rPr>
            </w:pPr>
            <w:r w:rsidRPr="00FB3D70">
              <w:rPr>
                <w:szCs w:val="20"/>
                <w:lang w:val="en-AU"/>
              </w:rPr>
              <w:t>Dosing schedule: 4 weeks on, 2 weeks off every 6 weeks</w:t>
            </w:r>
          </w:p>
        </w:tc>
      </w:tr>
      <w:tr w:rsidR="003316A0" w:rsidRPr="005065A0" w:rsidTr="00810D23">
        <w:tc>
          <w:tcPr>
            <w:tcW w:w="1268" w:type="pct"/>
            <w:tcBorders>
              <w:right w:val="single" w:sz="4" w:space="0" w:color="auto"/>
            </w:tcBorders>
            <w:hideMark/>
          </w:tcPr>
          <w:p w:rsidR="003316A0" w:rsidRPr="005065A0" w:rsidRDefault="003316A0" w:rsidP="003316A0">
            <w:pPr>
              <w:pStyle w:val="TableText0"/>
              <w:keepLines/>
              <w:widowControl w:val="0"/>
              <w:rPr>
                <w:szCs w:val="20"/>
                <w:lang w:val="en-AU"/>
              </w:rPr>
            </w:pPr>
            <w:r w:rsidRPr="005065A0">
              <w:rPr>
                <w:szCs w:val="20"/>
                <w:lang w:val="en-AU"/>
              </w:rPr>
              <w:t>Adjusted cost/patient/month</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6A0" w:rsidRPr="0061241D" w:rsidRDefault="0061241D" w:rsidP="003316A0">
            <w:pPr>
              <w:pStyle w:val="TableText0"/>
              <w:keepLines/>
              <w:widowControl w:val="0"/>
              <w:jc w:val="center"/>
              <w:rPr>
                <w:szCs w:val="20"/>
                <w:highlight w:val="black"/>
                <w:lang w:val="en-AU"/>
              </w:rPr>
            </w:pPr>
            <w:r>
              <w:rPr>
                <w:rFonts w:cs="Arial"/>
                <w:noProof/>
                <w:color w:val="000000"/>
                <w:szCs w:val="20"/>
                <w:highlight w:val="black"/>
                <w:lang w:val="en-AU"/>
              </w:rPr>
              <w:t>'''''''''''''''</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3316A0" w:rsidRPr="0061241D" w:rsidRDefault="0061241D" w:rsidP="003316A0">
            <w:pPr>
              <w:pStyle w:val="TableText0"/>
              <w:keepLines/>
              <w:widowControl w:val="0"/>
              <w:jc w:val="center"/>
              <w:rPr>
                <w:szCs w:val="20"/>
                <w:highlight w:val="black"/>
                <w:lang w:val="en-AU"/>
              </w:rPr>
            </w:pPr>
            <w:r>
              <w:rPr>
                <w:rFonts w:cs="Arial"/>
                <w:noProof/>
                <w:color w:val="000000"/>
                <w:szCs w:val="20"/>
                <w:highlight w:val="black"/>
                <w:lang w:val="en-AU"/>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6A0" w:rsidRPr="0061241D" w:rsidRDefault="0061241D" w:rsidP="003316A0">
            <w:pPr>
              <w:pStyle w:val="TableText0"/>
              <w:keepLines/>
              <w:widowControl w:val="0"/>
              <w:jc w:val="center"/>
              <w:rPr>
                <w:szCs w:val="20"/>
                <w:highlight w:val="black"/>
                <w:lang w:val="en-AU"/>
              </w:rPr>
            </w:pPr>
            <w:r>
              <w:rPr>
                <w:rFonts w:cs="Arial"/>
                <w:noProof/>
                <w:color w:val="000000"/>
                <w:szCs w:val="20"/>
                <w:highlight w:val="black"/>
                <w:lang w:val="en-AU"/>
              </w:rPr>
              <w:t>''''''''''''''''''</w:t>
            </w:r>
          </w:p>
        </w:tc>
        <w:tc>
          <w:tcPr>
            <w:tcW w:w="712" w:type="pct"/>
            <w:tcBorders>
              <w:left w:val="single" w:sz="4" w:space="0" w:color="auto"/>
            </w:tcBorders>
            <w:vAlign w:val="center"/>
            <w:hideMark/>
          </w:tcPr>
          <w:p w:rsidR="003316A0" w:rsidRPr="00FB3D70" w:rsidRDefault="003316A0" w:rsidP="003316A0">
            <w:pPr>
              <w:pStyle w:val="TableText0"/>
              <w:keepLines/>
              <w:widowControl w:val="0"/>
              <w:jc w:val="center"/>
              <w:rPr>
                <w:szCs w:val="20"/>
                <w:lang w:val="en-AU"/>
              </w:rPr>
            </w:pPr>
            <w:r w:rsidRPr="00FB3D70">
              <w:rPr>
                <w:rFonts w:cs="Calibri"/>
                <w:szCs w:val="20"/>
                <w:lang w:val="en-AU"/>
              </w:rPr>
              <w:t>$</w:t>
            </w:r>
            <w:r w:rsidR="0061241D">
              <w:rPr>
                <w:rFonts w:cs="Calibri"/>
                <w:noProof/>
                <w:color w:val="000000"/>
                <w:szCs w:val="20"/>
                <w:highlight w:val="black"/>
                <w:lang w:val="en-AU"/>
              </w:rPr>
              <w:t>'''''''''''''</w:t>
            </w:r>
          </w:p>
        </w:tc>
        <w:tc>
          <w:tcPr>
            <w:tcW w:w="560" w:type="pct"/>
            <w:vAlign w:val="center"/>
          </w:tcPr>
          <w:p w:rsidR="003316A0" w:rsidRPr="00FB3D70" w:rsidRDefault="003316A0" w:rsidP="003316A0">
            <w:pPr>
              <w:pStyle w:val="TableText0"/>
              <w:keepLines/>
              <w:widowControl w:val="0"/>
              <w:jc w:val="center"/>
              <w:rPr>
                <w:szCs w:val="20"/>
                <w:lang w:val="en-AU"/>
              </w:rPr>
            </w:pPr>
            <w:r w:rsidRPr="00FB3D70">
              <w:rPr>
                <w:rFonts w:cs="Calibri"/>
                <w:szCs w:val="20"/>
                <w:lang w:val="en-AU"/>
              </w:rPr>
              <w:t>$</w:t>
            </w:r>
            <w:r w:rsidR="0061241D">
              <w:rPr>
                <w:rFonts w:cs="Calibri"/>
                <w:noProof/>
                <w:color w:val="000000"/>
                <w:szCs w:val="20"/>
                <w:highlight w:val="black"/>
                <w:lang w:val="en-AU"/>
              </w:rPr>
              <w:t>''''''''''''</w:t>
            </w:r>
          </w:p>
        </w:tc>
        <w:tc>
          <w:tcPr>
            <w:tcW w:w="552" w:type="pct"/>
            <w:vAlign w:val="center"/>
            <w:hideMark/>
          </w:tcPr>
          <w:p w:rsidR="003316A0" w:rsidRPr="00FB3D70" w:rsidRDefault="003316A0" w:rsidP="003316A0">
            <w:pPr>
              <w:pStyle w:val="TableText0"/>
              <w:keepLines/>
              <w:widowControl w:val="0"/>
              <w:jc w:val="center"/>
              <w:rPr>
                <w:szCs w:val="20"/>
                <w:lang w:val="en-AU"/>
              </w:rPr>
            </w:pPr>
            <w:r w:rsidRPr="00FB3D70">
              <w:rPr>
                <w:rFonts w:cs="Calibri"/>
                <w:szCs w:val="20"/>
                <w:lang w:val="en-AU"/>
              </w:rPr>
              <w:t>$</w:t>
            </w:r>
            <w:r w:rsidR="0061241D">
              <w:rPr>
                <w:rFonts w:cs="Calibri"/>
                <w:noProof/>
                <w:color w:val="000000"/>
                <w:szCs w:val="20"/>
                <w:highlight w:val="black"/>
                <w:lang w:val="en-AU"/>
              </w:rPr>
              <w:t>''''''''''''</w:t>
            </w:r>
          </w:p>
        </w:tc>
      </w:tr>
      <w:tr w:rsidR="003316A0" w:rsidRPr="005065A0" w:rsidTr="00810D23">
        <w:tc>
          <w:tcPr>
            <w:tcW w:w="1268" w:type="pct"/>
            <w:tcBorders>
              <w:right w:val="single" w:sz="4" w:space="0" w:color="auto"/>
            </w:tcBorders>
            <w:hideMark/>
          </w:tcPr>
          <w:p w:rsidR="003316A0" w:rsidRPr="005065A0" w:rsidRDefault="003316A0" w:rsidP="003316A0">
            <w:pPr>
              <w:pStyle w:val="TableText0"/>
              <w:keepLines/>
              <w:widowControl w:val="0"/>
              <w:rPr>
                <w:szCs w:val="20"/>
                <w:lang w:val="en-AU"/>
              </w:rPr>
            </w:pPr>
            <w:r w:rsidRPr="005065A0">
              <w:rPr>
                <w:szCs w:val="20"/>
                <w:lang w:val="en-AU"/>
              </w:rPr>
              <w:t>Cost/patient/course</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6A0" w:rsidRPr="0061241D" w:rsidRDefault="0061241D" w:rsidP="003316A0">
            <w:pPr>
              <w:pStyle w:val="TableText0"/>
              <w:keepLines/>
              <w:widowControl w:val="0"/>
              <w:jc w:val="center"/>
              <w:rPr>
                <w:szCs w:val="20"/>
                <w:highlight w:val="black"/>
                <w:vertAlign w:val="superscript"/>
                <w:lang w:val="en-AU"/>
              </w:rPr>
            </w:pPr>
            <w:r>
              <w:rPr>
                <w:rFonts w:cs="Arial"/>
                <w:noProof/>
                <w:color w:val="000000"/>
                <w:szCs w:val="20"/>
                <w:highlight w:val="black"/>
                <w:lang w:val="en-AU"/>
              </w:rPr>
              <w:t>'''''''''''''''''''''</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6A0" w:rsidRPr="0061241D" w:rsidRDefault="0061241D" w:rsidP="003316A0">
            <w:pPr>
              <w:pStyle w:val="TableText0"/>
              <w:keepLines/>
              <w:widowControl w:val="0"/>
              <w:jc w:val="center"/>
              <w:rPr>
                <w:szCs w:val="20"/>
                <w:highlight w:val="black"/>
                <w:lang w:val="en-AU"/>
              </w:rPr>
            </w:pPr>
            <w:r>
              <w:rPr>
                <w:rFonts w:cs="Arial"/>
                <w:noProof/>
                <w:color w:val="000000"/>
                <w:szCs w:val="20"/>
                <w:highlight w:val="black"/>
                <w:lang w:val="en-AU"/>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6A0" w:rsidRPr="0061241D" w:rsidRDefault="0061241D" w:rsidP="003316A0">
            <w:pPr>
              <w:pStyle w:val="TableText0"/>
              <w:keepLines/>
              <w:widowControl w:val="0"/>
              <w:jc w:val="center"/>
              <w:rPr>
                <w:szCs w:val="20"/>
                <w:highlight w:val="black"/>
                <w:lang w:val="en-AU"/>
              </w:rPr>
            </w:pPr>
            <w:r>
              <w:rPr>
                <w:rFonts w:cs="Arial"/>
                <w:noProof/>
                <w:color w:val="000000"/>
                <w:szCs w:val="20"/>
                <w:highlight w:val="black"/>
                <w:lang w:val="en-AU"/>
              </w:rPr>
              <w:t>''''''''''''''''''</w:t>
            </w:r>
          </w:p>
        </w:tc>
        <w:tc>
          <w:tcPr>
            <w:tcW w:w="712" w:type="pct"/>
            <w:tcBorders>
              <w:left w:val="single" w:sz="4" w:space="0" w:color="auto"/>
            </w:tcBorders>
            <w:vAlign w:val="center"/>
          </w:tcPr>
          <w:p w:rsidR="003316A0" w:rsidRPr="00FB3D70" w:rsidRDefault="003316A0" w:rsidP="003316A0">
            <w:pPr>
              <w:pStyle w:val="TableText0"/>
              <w:keepLines/>
              <w:widowControl w:val="0"/>
              <w:jc w:val="center"/>
              <w:rPr>
                <w:szCs w:val="20"/>
                <w:lang w:val="en-AU"/>
              </w:rPr>
            </w:pPr>
            <w:r w:rsidRPr="00FB3D70">
              <w:rPr>
                <w:rFonts w:cs="Calibri"/>
                <w:szCs w:val="20"/>
                <w:lang w:val="en-AU"/>
              </w:rPr>
              <w:t>$</w:t>
            </w:r>
            <w:r w:rsidR="0061241D">
              <w:rPr>
                <w:rFonts w:cs="Calibri"/>
                <w:noProof/>
                <w:color w:val="000000"/>
                <w:szCs w:val="20"/>
                <w:highlight w:val="black"/>
                <w:lang w:val="en-AU"/>
              </w:rPr>
              <w:t>''''''''''''''''''</w:t>
            </w:r>
          </w:p>
        </w:tc>
        <w:tc>
          <w:tcPr>
            <w:tcW w:w="560" w:type="pct"/>
            <w:vAlign w:val="center"/>
          </w:tcPr>
          <w:p w:rsidR="003316A0" w:rsidRPr="00FB3D70" w:rsidRDefault="003316A0" w:rsidP="003316A0">
            <w:pPr>
              <w:pStyle w:val="TableText0"/>
              <w:keepLines/>
              <w:widowControl w:val="0"/>
              <w:jc w:val="center"/>
              <w:rPr>
                <w:szCs w:val="20"/>
                <w:lang w:val="en-AU"/>
              </w:rPr>
            </w:pPr>
            <w:r w:rsidRPr="00FB3D70">
              <w:rPr>
                <w:szCs w:val="20"/>
                <w:lang w:val="en-AU"/>
              </w:rPr>
              <w:t>$</w:t>
            </w:r>
            <w:r w:rsidR="0061241D">
              <w:rPr>
                <w:noProof/>
                <w:color w:val="000000"/>
                <w:szCs w:val="20"/>
                <w:highlight w:val="black"/>
                <w:lang w:val="en-AU"/>
              </w:rPr>
              <w:t>''''''''''''''''</w:t>
            </w:r>
          </w:p>
        </w:tc>
        <w:tc>
          <w:tcPr>
            <w:tcW w:w="552" w:type="pct"/>
            <w:vAlign w:val="center"/>
            <w:hideMark/>
          </w:tcPr>
          <w:p w:rsidR="003316A0" w:rsidRPr="00FB3D70" w:rsidRDefault="003316A0" w:rsidP="003316A0">
            <w:pPr>
              <w:pStyle w:val="TableText0"/>
              <w:keepLines/>
              <w:widowControl w:val="0"/>
              <w:jc w:val="center"/>
              <w:rPr>
                <w:szCs w:val="20"/>
                <w:lang w:val="en-AU"/>
              </w:rPr>
            </w:pPr>
            <w:r w:rsidRPr="00FB3D70">
              <w:rPr>
                <w:rFonts w:cs="Calibri"/>
                <w:szCs w:val="20"/>
                <w:lang w:val="en-AU"/>
              </w:rPr>
              <w:t>$</w:t>
            </w:r>
            <w:r w:rsidR="0061241D">
              <w:rPr>
                <w:rFonts w:cs="Calibri"/>
                <w:noProof/>
                <w:color w:val="000000"/>
                <w:szCs w:val="20"/>
                <w:highlight w:val="black"/>
                <w:lang w:val="en-AU"/>
              </w:rPr>
              <w:t>'''''''''''''''</w:t>
            </w:r>
          </w:p>
        </w:tc>
      </w:tr>
    </w:tbl>
    <w:p w:rsidR="003A041E" w:rsidRPr="00C24DBA" w:rsidRDefault="008932BF" w:rsidP="00302AFE">
      <w:pPr>
        <w:pStyle w:val="TableFigureFooter"/>
        <w:keepNext/>
        <w:keepLines/>
        <w:spacing w:after="0"/>
      </w:pPr>
      <w:r w:rsidRPr="00C24DBA">
        <w:t xml:space="preserve">Source: </w:t>
      </w:r>
      <w:r w:rsidR="003A041E" w:rsidRPr="00C24DBA">
        <w:t>Developed during the evaluation</w:t>
      </w:r>
    </w:p>
    <w:p w:rsidR="004C7899" w:rsidRPr="00C24DBA" w:rsidRDefault="004C7899" w:rsidP="00302AFE">
      <w:pPr>
        <w:pStyle w:val="TableFigureFooter"/>
        <w:keepNext/>
        <w:keepLines/>
      </w:pPr>
      <w:r w:rsidRPr="00C24DBA">
        <w:t xml:space="preserve">Note: </w:t>
      </w:r>
      <w:r w:rsidRPr="00C24DBA">
        <w:rPr>
          <w:vertAlign w:val="superscript"/>
        </w:rPr>
        <w:t xml:space="preserve">a </w:t>
      </w:r>
      <w:r w:rsidRPr="00C24DBA">
        <w:t>This was obtained from the expected dose based on number of different packs of sunitinib in Year 1</w:t>
      </w:r>
      <w:r w:rsidR="00C02734" w:rsidRPr="00C24DBA">
        <w:t>-6</w:t>
      </w:r>
      <w:r w:rsidRPr="00C24DBA">
        <w:t xml:space="preserve"> from the financial model of the resubmission. The mean dose per day in the financial estimates was 36.5 mg which resulted in the cost of $</w:t>
      </w:r>
      <w:r w:rsidR="0061241D">
        <w:rPr>
          <w:noProof/>
          <w:color w:val="000000"/>
          <w:highlight w:val="black"/>
        </w:rPr>
        <w:t>''''''''''''''</w:t>
      </w:r>
      <w:r w:rsidRPr="00FB3D70">
        <w:t xml:space="preserve"> </w:t>
      </w:r>
      <w:r w:rsidRPr="00C24DBA">
        <w:t>per 28-day</w:t>
      </w:r>
      <w:r w:rsidR="00B95BF0" w:rsidRPr="00C24DBA">
        <w:t xml:space="preserve"> supply</w:t>
      </w:r>
      <w:r w:rsidRPr="00C24DBA">
        <w:t>.</w:t>
      </w:r>
    </w:p>
    <w:p w:rsidR="008739F7" w:rsidRDefault="008739F7" w:rsidP="00302AFE">
      <w:pPr>
        <w:pStyle w:val="TableFigureFooter"/>
        <w:keepNext/>
        <w:keepLines/>
      </w:pPr>
      <w:r w:rsidRPr="00C24DBA">
        <w:rPr>
          <w:vertAlign w:val="superscript"/>
        </w:rPr>
        <w:t>b</w:t>
      </w:r>
      <w:r w:rsidRPr="00C24DBA">
        <w:t xml:space="preserve"> Truncated means from CABOSUN</w:t>
      </w:r>
    </w:p>
    <w:p w:rsidR="00992C74" w:rsidRPr="00C24DBA" w:rsidRDefault="00992C74" w:rsidP="00302AFE">
      <w:pPr>
        <w:pStyle w:val="TableFigureFooter"/>
        <w:keepNext/>
        <w:keepLines/>
        <w:rPr>
          <w:snapToGrid/>
          <w:color w:val="0066FF"/>
        </w:rPr>
      </w:pPr>
      <w:r>
        <w:t>*</w:t>
      </w:r>
      <w:r w:rsidRPr="00992C74">
        <w:t xml:space="preserve"> </w:t>
      </w:r>
      <w:r w:rsidRPr="00992C74">
        <w:rPr>
          <w:i/>
        </w:rPr>
        <w:t>Note that the mean duration of treatment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p w:rsidR="00001B0C" w:rsidRPr="00C24DBA" w:rsidRDefault="00A85438" w:rsidP="008932BF">
      <w:pPr>
        <w:pStyle w:val="3-BodyText"/>
        <w:rPr>
          <w:snapToGrid/>
          <w:color w:val="0066FF"/>
        </w:rPr>
      </w:pPr>
      <w:r w:rsidRPr="00C24DBA">
        <w:rPr>
          <w:snapToGrid/>
        </w:rPr>
        <w:t xml:space="preserve">The </w:t>
      </w:r>
      <w:r w:rsidR="00B95BF0" w:rsidRPr="00C24DBA">
        <w:rPr>
          <w:snapToGrid/>
        </w:rPr>
        <w:t xml:space="preserve">cabozantinib </w:t>
      </w:r>
      <w:r w:rsidRPr="00C24DBA">
        <w:rPr>
          <w:snapToGrid/>
        </w:rPr>
        <w:t xml:space="preserve">cost per patient </w:t>
      </w:r>
      <w:r w:rsidR="00B95BF0" w:rsidRPr="00C24DBA">
        <w:rPr>
          <w:snapToGrid/>
        </w:rPr>
        <w:t xml:space="preserve">in the </w:t>
      </w:r>
      <w:r w:rsidR="00B36F91" w:rsidRPr="00C24DBA">
        <w:rPr>
          <w:snapToGrid/>
        </w:rPr>
        <w:t>cost-analysis</w:t>
      </w:r>
      <w:r w:rsidR="00B95BF0" w:rsidRPr="00C24DBA">
        <w:rPr>
          <w:snapToGrid/>
        </w:rPr>
        <w:t xml:space="preserve"> was </w:t>
      </w:r>
      <w:r w:rsidR="00321019" w:rsidRPr="00C24DBA">
        <w:rPr>
          <w:snapToGrid/>
        </w:rPr>
        <w:t xml:space="preserve">an indication-specific price </w:t>
      </w:r>
      <w:r w:rsidR="00B95BF0" w:rsidRPr="00C24DBA">
        <w:rPr>
          <w:snapToGrid/>
        </w:rPr>
        <w:t>for the first-line setting, which</w:t>
      </w:r>
      <w:r w:rsidR="00321019" w:rsidRPr="00C24DBA">
        <w:rPr>
          <w:snapToGrid/>
        </w:rPr>
        <w:t xml:space="preserve"> was</w:t>
      </w:r>
      <w:r w:rsidR="00DD347F" w:rsidRPr="00C24DBA">
        <w:rPr>
          <w:snapToGrid/>
        </w:rPr>
        <w:t xml:space="preserve"> lower</w:t>
      </w:r>
      <w:r w:rsidRPr="00C24DBA">
        <w:rPr>
          <w:snapToGrid/>
        </w:rPr>
        <w:t xml:space="preserve"> than the weighted price</w:t>
      </w:r>
      <w:r w:rsidR="00321019" w:rsidRPr="00C24DBA">
        <w:rPr>
          <w:snapToGrid/>
        </w:rPr>
        <w:t xml:space="preserve"> proposed across the whole line-agnostic listing</w:t>
      </w:r>
      <w:r w:rsidRPr="00C24DBA">
        <w:rPr>
          <w:snapToGrid/>
        </w:rPr>
        <w:t>. This resulted in</w:t>
      </w:r>
      <w:r w:rsidR="003316A0" w:rsidRPr="00C24DBA">
        <w:rPr>
          <w:snapToGrid/>
        </w:rPr>
        <w:t xml:space="preserve"> a</w:t>
      </w:r>
      <w:r w:rsidRPr="00C24DBA">
        <w:rPr>
          <w:snapToGrid/>
        </w:rPr>
        <w:t xml:space="preserve"> lower cost per patient in the economic </w:t>
      </w:r>
      <w:r w:rsidR="003316A0" w:rsidRPr="00C24DBA">
        <w:rPr>
          <w:snapToGrid/>
        </w:rPr>
        <w:t xml:space="preserve">analysis </w:t>
      </w:r>
      <w:r w:rsidRPr="00C24DBA">
        <w:rPr>
          <w:snapToGrid/>
        </w:rPr>
        <w:t>compared with the financial estimate</w:t>
      </w:r>
      <w:r w:rsidR="00C73E53" w:rsidRPr="00C24DBA">
        <w:rPr>
          <w:snapToGrid/>
        </w:rPr>
        <w:t>s</w:t>
      </w:r>
      <w:r w:rsidR="004B67A6" w:rsidRPr="00C24DBA">
        <w:rPr>
          <w:snapToGrid/>
        </w:rPr>
        <w:t xml:space="preserve"> for cabozantinib</w:t>
      </w:r>
      <w:r w:rsidRPr="00C24DBA">
        <w:rPr>
          <w:snapToGrid/>
        </w:rPr>
        <w:t xml:space="preserve">. </w:t>
      </w:r>
      <w:r w:rsidR="00C87E04" w:rsidRPr="00C24DBA">
        <w:rPr>
          <w:snapToGrid/>
        </w:rPr>
        <w:t>The higher cost of sunitinib in the economic model</w:t>
      </w:r>
      <w:r w:rsidR="00887FC3" w:rsidRPr="00C24DBA">
        <w:rPr>
          <w:snapToGrid/>
        </w:rPr>
        <w:t xml:space="preserve"> </w:t>
      </w:r>
      <w:r w:rsidR="00E56B31" w:rsidRPr="00C24DBA">
        <w:rPr>
          <w:snapToGrid/>
        </w:rPr>
        <w:t>compared to</w:t>
      </w:r>
      <w:r w:rsidR="00887FC3" w:rsidRPr="00C24DBA">
        <w:rPr>
          <w:snapToGrid/>
        </w:rPr>
        <w:t xml:space="preserve"> the financial estimate</w:t>
      </w:r>
      <w:r w:rsidR="00E1496F" w:rsidRPr="00C24DBA">
        <w:rPr>
          <w:snapToGrid/>
        </w:rPr>
        <w:t>s</w:t>
      </w:r>
      <w:r w:rsidR="00C87E04" w:rsidRPr="00C24DBA">
        <w:rPr>
          <w:snapToGrid/>
        </w:rPr>
        <w:t xml:space="preserve"> was due to the </w:t>
      </w:r>
      <w:r w:rsidR="00B161B4" w:rsidRPr="00C24DBA">
        <w:rPr>
          <w:snapToGrid/>
        </w:rPr>
        <w:t xml:space="preserve">application of </w:t>
      </w:r>
      <w:r w:rsidR="00C87E04" w:rsidRPr="00C24DBA">
        <w:rPr>
          <w:snapToGrid/>
        </w:rPr>
        <w:t xml:space="preserve">Clause 5.7 in the model. </w:t>
      </w:r>
    </w:p>
    <w:p w:rsidR="004B4C7D" w:rsidRPr="00C24DBA" w:rsidRDefault="004B4C7D" w:rsidP="004B4C7D">
      <w:pPr>
        <w:pStyle w:val="4-SubsectionHeading"/>
      </w:pPr>
      <w:bookmarkStart w:id="32" w:name="_Toc22897647"/>
      <w:bookmarkStart w:id="33" w:name="_Toc48560955"/>
      <w:r w:rsidRPr="00C24DBA">
        <w:t>Estimated PBS usage &amp; financial implications</w:t>
      </w:r>
      <w:bookmarkEnd w:id="32"/>
      <w:bookmarkEnd w:id="33"/>
    </w:p>
    <w:p w:rsidR="00B95BF0" w:rsidRPr="00C24DBA" w:rsidRDefault="004B4C7D" w:rsidP="00033224">
      <w:pPr>
        <w:pStyle w:val="3-BodyText"/>
        <w:rPr>
          <w:color w:val="0066FF"/>
        </w:rPr>
      </w:pPr>
      <w:r w:rsidRPr="00C24DBA">
        <w:t xml:space="preserve">This </w:t>
      </w:r>
      <w:r w:rsidR="000F37EF" w:rsidRPr="00C24DBA">
        <w:t>re</w:t>
      </w:r>
      <w:r w:rsidR="00F55D3B" w:rsidRPr="00C24DBA">
        <w:t>submission was not</w:t>
      </w:r>
      <w:r w:rsidR="00B95BF0" w:rsidRPr="00C24DBA">
        <w:t xml:space="preserve"> considered by</w:t>
      </w:r>
      <w:r w:rsidR="006644ED" w:rsidRPr="00C24DBA">
        <w:t xml:space="preserve"> </w:t>
      </w:r>
      <w:r w:rsidRPr="00C24DBA">
        <w:t>DUSC</w:t>
      </w:r>
      <w:r w:rsidR="00B95BF0" w:rsidRPr="00C24DBA">
        <w:t>.</w:t>
      </w:r>
      <w:r w:rsidR="00BD566B" w:rsidRPr="00C24DBA">
        <w:rPr>
          <w:color w:val="0070C0"/>
        </w:rPr>
        <w:t xml:space="preserve"> </w:t>
      </w:r>
      <w:r w:rsidR="00BD566B" w:rsidRPr="00C24DBA">
        <w:t>The resubmission used a mixed epidemiological and market share approach.</w:t>
      </w:r>
    </w:p>
    <w:p w:rsidR="00B95BF0" w:rsidRPr="00C24DBA" w:rsidRDefault="00B95BF0" w:rsidP="004C6E6D">
      <w:pPr>
        <w:pStyle w:val="3-BodyText"/>
      </w:pPr>
      <w:r w:rsidRPr="00C24DBA">
        <w:t xml:space="preserve">As part of estimating </w:t>
      </w:r>
      <w:r w:rsidR="000F6997" w:rsidRPr="00C24DBA">
        <w:t xml:space="preserve">the </w:t>
      </w:r>
      <w:r w:rsidRPr="00C24DBA">
        <w:t xml:space="preserve">combined utilisation across the </w:t>
      </w:r>
      <w:r w:rsidR="00200EB2" w:rsidRPr="00C24DBA">
        <w:t>TKI naïve (</w:t>
      </w:r>
      <w:r w:rsidRPr="00C24DBA">
        <w:t>new</w:t>
      </w:r>
      <w:r w:rsidR="00200EB2" w:rsidRPr="00C24DBA">
        <w:t xml:space="preserve">) </w:t>
      </w:r>
      <w:r w:rsidRPr="00C24DBA">
        <w:t>and</w:t>
      </w:r>
      <w:r w:rsidR="00200EB2" w:rsidRPr="00C24DBA">
        <w:t xml:space="preserve"> post-TKI (</w:t>
      </w:r>
      <w:r w:rsidRPr="00C24DBA">
        <w:t>existing</w:t>
      </w:r>
      <w:r w:rsidR="00200EB2" w:rsidRPr="00C24DBA">
        <w:t>)</w:t>
      </w:r>
      <w:r w:rsidRPr="00C24DBA">
        <w:t xml:space="preserve"> listings, the resubmission re-estimated the utilisation of cabozantinib in the </w:t>
      </w:r>
      <w:r w:rsidR="00200EB2" w:rsidRPr="00C24DBA">
        <w:t>post-TKI setting</w:t>
      </w:r>
      <w:r w:rsidRPr="00C24DBA">
        <w:t xml:space="preserve">, which </w:t>
      </w:r>
      <w:r w:rsidR="0024347B" w:rsidRPr="00C24DBA">
        <w:t>was</w:t>
      </w:r>
      <w:r w:rsidRPr="00C24DBA">
        <w:t xml:space="preserve"> referred to as the ‘status quo’</w:t>
      </w:r>
      <w:r w:rsidR="004C6E6D" w:rsidRPr="00C24DBA">
        <w:t xml:space="preserve"> (i.e. the resubmission re-estimated the use of cabozantinib, sunitinib, and pazopanib assuming no change to the current cabozantinib post-TKI listing)</w:t>
      </w:r>
      <w:r w:rsidRPr="00C24DBA">
        <w:t xml:space="preserve">. The resubmission’s re-estimates of the status quo led to higher estimates of the current utilisation of cabozantinib than have been agreed under the </w:t>
      </w:r>
      <w:r w:rsidR="00CB6592" w:rsidRPr="00C24DBA">
        <w:t>current</w:t>
      </w:r>
      <w:r w:rsidRPr="00C24DBA">
        <w:t xml:space="preserve"> RSA. </w:t>
      </w:r>
      <w:r w:rsidR="004C6E6D" w:rsidRPr="00C24DBA">
        <w:t xml:space="preserve">The ESC noted that these high ‘status quo’ estimates were then used as a basis to estimate the utilisation of cabozantinib for the proposed new listing i.e. the use of cabozantinib in TKI-naïve patients (i.e. first-line treatment-naive patients and second-line patients following NIVO+IPI), and </w:t>
      </w:r>
      <w:r w:rsidR="00E0515C" w:rsidRPr="00C24DBA">
        <w:t xml:space="preserve">also to estimate </w:t>
      </w:r>
      <w:r w:rsidR="004C6E6D" w:rsidRPr="00C24DBA">
        <w:t xml:space="preserve">the </w:t>
      </w:r>
      <w:r w:rsidR="00E0515C" w:rsidRPr="00C24DBA">
        <w:t xml:space="preserve">impact on </w:t>
      </w:r>
      <w:r w:rsidR="004C6E6D" w:rsidRPr="00C24DBA">
        <w:t xml:space="preserve">use in patients following a TKI (i.e. second-line patients following a first-line TKI, and third-line patients following NIVO+IPI as well as a TKI). </w:t>
      </w:r>
      <w:r w:rsidR="00535AC2" w:rsidRPr="00C24DBA">
        <w:t xml:space="preserve">The ESC reiterated the PBAC’s previous consideration that changes to the treatment algorithm (e.g. the listing of NIVO+IPI in the first-line setting) may reduce, rather than </w:t>
      </w:r>
      <w:r w:rsidR="00535AC2" w:rsidRPr="00C24DBA">
        <w:lastRenderedPageBreak/>
        <w:t xml:space="preserve">increase, the size of the specific patient population in which cabozantinib is currently listed (paragraphs 7.2 and 7.5, cabozantinib PBAC Minutes, November 2019). The pre-PBAC response adjusted a number of parameters in the financial estimates, which resulted in closer alignment of the ‘status quo’ cabozantinib script numbers (i.e. utilisation assuming no change to the current post-TKI listing) and those agreed for cabozantinib post-TKI use under the existing RSA. </w:t>
      </w:r>
    </w:p>
    <w:p w:rsidR="00083385" w:rsidRPr="00C24DBA" w:rsidRDefault="00AE3E09" w:rsidP="004B4C7D">
      <w:pPr>
        <w:pStyle w:val="3-BodyText"/>
        <w:rPr>
          <w:color w:val="0066FF"/>
        </w:rPr>
      </w:pPr>
      <w:r w:rsidRPr="00C24DBA">
        <w:t xml:space="preserve">The data sources used to estimate the expected use of cabozantinib are summarised in Table </w:t>
      </w:r>
      <w:r w:rsidR="00B161B4" w:rsidRPr="00C24DBA">
        <w:t>1</w:t>
      </w:r>
      <w:r w:rsidR="004713CE" w:rsidRPr="00C24DBA">
        <w:t>2</w:t>
      </w:r>
      <w:r w:rsidR="000F6997" w:rsidRPr="00C24DBA">
        <w:t xml:space="preserve">, and are </w:t>
      </w:r>
      <w:r w:rsidRPr="00C24DBA">
        <w:rPr>
          <w:iCs/>
        </w:rPr>
        <w:t>largely unchanged</w:t>
      </w:r>
      <w:r w:rsidR="000F6997" w:rsidRPr="00C24DBA">
        <w:rPr>
          <w:iCs/>
        </w:rPr>
        <w:t xml:space="preserve"> compared with the previous submission</w:t>
      </w:r>
      <w:r w:rsidRPr="00C24DBA">
        <w:rPr>
          <w:iCs/>
        </w:rPr>
        <w:t>.</w:t>
      </w:r>
      <w:r w:rsidRPr="00C24DBA">
        <w:t xml:space="preserve"> </w:t>
      </w:r>
    </w:p>
    <w:p w:rsidR="00E67A3B" w:rsidRPr="00C24DBA" w:rsidRDefault="00E67A3B" w:rsidP="005065A0">
      <w:pPr>
        <w:pStyle w:val="TableHeading0"/>
        <w:rPr>
          <w:rStyle w:val="CommentReference"/>
          <w:b/>
          <w:szCs w:val="24"/>
        </w:rPr>
      </w:pPr>
      <w:r w:rsidRPr="00C24DBA">
        <w:rPr>
          <w:rStyle w:val="CommentReference"/>
          <w:b/>
          <w:szCs w:val="24"/>
        </w:rPr>
        <w:t xml:space="preserve">Table </w:t>
      </w:r>
      <w:r w:rsidR="00B161B4" w:rsidRPr="00C24DBA">
        <w:rPr>
          <w:rStyle w:val="CommentReference"/>
          <w:b/>
          <w:szCs w:val="24"/>
        </w:rPr>
        <w:t>1</w:t>
      </w:r>
      <w:r w:rsidR="004713CE" w:rsidRPr="00C24DBA">
        <w:rPr>
          <w:rStyle w:val="CommentReference"/>
          <w:b/>
          <w:szCs w:val="24"/>
        </w:rPr>
        <w:t>2</w:t>
      </w:r>
      <w:r w:rsidRPr="00C24DBA">
        <w:rPr>
          <w:rStyle w:val="CommentReference"/>
          <w:b/>
          <w:szCs w:val="24"/>
        </w:rPr>
        <w:t xml:space="preserve">: </w:t>
      </w:r>
      <w:r w:rsidR="00E2158B" w:rsidRPr="00C24DBA">
        <w:rPr>
          <w:rStyle w:val="CommentReference"/>
          <w:b/>
          <w:szCs w:val="24"/>
        </w:rPr>
        <w:t>Key inputs for financial estimates</w:t>
      </w:r>
      <w:r w:rsidR="00E2158B" w:rsidRPr="00C24DBA" w:rsidDel="00E2158B">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3668"/>
        <w:gridCol w:w="3636"/>
      </w:tblGrid>
      <w:tr w:rsidR="00C14DD9" w:rsidRPr="005065A0" w:rsidTr="005065A0">
        <w:trPr>
          <w:cantSplit/>
          <w:tblHeader/>
        </w:trPr>
        <w:tc>
          <w:tcPr>
            <w:tcW w:w="950" w:type="pct"/>
            <w:shd w:val="clear" w:color="auto" w:fill="auto"/>
            <w:vAlign w:val="center"/>
          </w:tcPr>
          <w:p w:rsidR="00AF01B9" w:rsidRPr="005065A0" w:rsidRDefault="00AF01B9" w:rsidP="001B6334">
            <w:pPr>
              <w:pStyle w:val="In-tableHeading"/>
              <w:widowControl w:val="0"/>
              <w:rPr>
                <w:szCs w:val="20"/>
                <w:lang w:val="en-AU"/>
              </w:rPr>
            </w:pPr>
            <w:r w:rsidRPr="005065A0">
              <w:rPr>
                <w:szCs w:val="20"/>
                <w:lang w:val="en-AU"/>
              </w:rPr>
              <w:t>Parameter</w:t>
            </w:r>
          </w:p>
        </w:tc>
        <w:tc>
          <w:tcPr>
            <w:tcW w:w="2034" w:type="pct"/>
            <w:shd w:val="clear" w:color="auto" w:fill="auto"/>
            <w:vAlign w:val="center"/>
          </w:tcPr>
          <w:p w:rsidR="00AF01B9" w:rsidRPr="005065A0" w:rsidRDefault="00AF01B9" w:rsidP="001B6334">
            <w:pPr>
              <w:pStyle w:val="In-tableHeading"/>
              <w:widowControl w:val="0"/>
              <w:rPr>
                <w:szCs w:val="20"/>
                <w:lang w:val="en-AU"/>
              </w:rPr>
            </w:pPr>
            <w:r w:rsidRPr="005065A0">
              <w:rPr>
                <w:szCs w:val="20"/>
                <w:lang w:val="en-AU"/>
              </w:rPr>
              <w:t>Value applied and source</w:t>
            </w:r>
          </w:p>
        </w:tc>
        <w:tc>
          <w:tcPr>
            <w:tcW w:w="2016" w:type="pct"/>
            <w:shd w:val="clear" w:color="auto" w:fill="auto"/>
            <w:vAlign w:val="center"/>
          </w:tcPr>
          <w:p w:rsidR="00AF01B9" w:rsidRPr="005065A0" w:rsidRDefault="00AF01B9" w:rsidP="001B6334">
            <w:pPr>
              <w:pStyle w:val="In-tableHeading"/>
              <w:widowControl w:val="0"/>
              <w:rPr>
                <w:szCs w:val="20"/>
                <w:lang w:val="en-AU"/>
              </w:rPr>
            </w:pPr>
            <w:r w:rsidRPr="005065A0">
              <w:rPr>
                <w:szCs w:val="20"/>
                <w:lang w:val="en-AU"/>
              </w:rPr>
              <w:t>Comment</w:t>
            </w:r>
          </w:p>
        </w:tc>
      </w:tr>
      <w:tr w:rsidR="00C14DD9" w:rsidRPr="005065A0" w:rsidTr="005065A0">
        <w:trPr>
          <w:cantSplit/>
        </w:trPr>
        <w:tc>
          <w:tcPr>
            <w:tcW w:w="5000" w:type="pct"/>
            <w:gridSpan w:val="3"/>
            <w:shd w:val="clear" w:color="auto" w:fill="auto"/>
            <w:vAlign w:val="center"/>
          </w:tcPr>
          <w:p w:rsidR="00640A64" w:rsidRPr="005065A0" w:rsidRDefault="00640A64" w:rsidP="001B6334">
            <w:pPr>
              <w:pStyle w:val="TableText0"/>
              <w:widowControl w:val="0"/>
              <w:rPr>
                <w:b/>
                <w:szCs w:val="20"/>
              </w:rPr>
            </w:pPr>
            <w:r w:rsidRPr="005065A0">
              <w:rPr>
                <w:b/>
                <w:szCs w:val="20"/>
              </w:rPr>
              <w:t>Eligible patients</w:t>
            </w:r>
          </w:p>
        </w:tc>
      </w:tr>
      <w:tr w:rsidR="00C14DD9" w:rsidRPr="005065A0" w:rsidTr="005065A0">
        <w:trPr>
          <w:cantSplit/>
        </w:trPr>
        <w:tc>
          <w:tcPr>
            <w:tcW w:w="950" w:type="pct"/>
            <w:shd w:val="clear" w:color="auto" w:fill="auto"/>
            <w:vAlign w:val="center"/>
          </w:tcPr>
          <w:p w:rsidR="00AF01B9" w:rsidRPr="005065A0" w:rsidRDefault="005450BB" w:rsidP="001B6334">
            <w:pPr>
              <w:pStyle w:val="TableText0"/>
              <w:widowControl w:val="0"/>
              <w:rPr>
                <w:szCs w:val="20"/>
              </w:rPr>
            </w:pPr>
            <w:r w:rsidRPr="005065A0">
              <w:rPr>
                <w:szCs w:val="20"/>
              </w:rPr>
              <w:t>T</w:t>
            </w:r>
            <w:r w:rsidR="00AF01B9" w:rsidRPr="005065A0">
              <w:rPr>
                <w:szCs w:val="20"/>
              </w:rPr>
              <w:t>reatment-naïve eligible population</w:t>
            </w:r>
          </w:p>
        </w:tc>
        <w:tc>
          <w:tcPr>
            <w:tcW w:w="2034" w:type="pct"/>
            <w:shd w:val="clear" w:color="auto" w:fill="auto"/>
            <w:vAlign w:val="center"/>
          </w:tcPr>
          <w:p w:rsidR="00AF01B9" w:rsidRPr="005065A0" w:rsidRDefault="00B0394F" w:rsidP="004E2C18">
            <w:pPr>
              <w:pStyle w:val="TableText0"/>
              <w:widowControl w:val="0"/>
              <w:rPr>
                <w:szCs w:val="20"/>
              </w:rPr>
            </w:pPr>
            <w:r w:rsidRPr="005065A0">
              <w:rPr>
                <w:iCs/>
                <w:szCs w:val="20"/>
              </w:rPr>
              <w:t>14.2 per 100</w:t>
            </w:r>
            <w:r w:rsidR="00707AA0" w:rsidRPr="005065A0">
              <w:rPr>
                <w:iCs/>
                <w:szCs w:val="20"/>
              </w:rPr>
              <w:t xml:space="preserve">,000 kidney cancer </w:t>
            </w:r>
            <w:r w:rsidR="009422A9" w:rsidRPr="005065A0">
              <w:rPr>
                <w:iCs/>
                <w:szCs w:val="20"/>
              </w:rPr>
              <w:t>incidences</w:t>
            </w:r>
            <w:r w:rsidR="00707AA0" w:rsidRPr="005065A0">
              <w:rPr>
                <w:iCs/>
                <w:szCs w:val="20"/>
              </w:rPr>
              <w:t xml:space="preserve">; </w:t>
            </w:r>
            <w:r w:rsidR="00B32410" w:rsidRPr="005065A0">
              <w:rPr>
                <w:iCs/>
                <w:szCs w:val="20"/>
              </w:rPr>
              <w:t>AIHW and National Mortality Database</w:t>
            </w:r>
            <w:r w:rsidR="00CE4295" w:rsidRPr="005065A0">
              <w:rPr>
                <w:iCs/>
                <w:szCs w:val="20"/>
              </w:rPr>
              <w:t>; of the</w:t>
            </w:r>
            <w:r w:rsidR="004E2C18" w:rsidRPr="005065A0">
              <w:rPr>
                <w:iCs/>
                <w:szCs w:val="20"/>
              </w:rPr>
              <w:t>se</w:t>
            </w:r>
            <w:r w:rsidR="00CE4295" w:rsidRPr="005065A0">
              <w:rPr>
                <w:iCs/>
                <w:szCs w:val="20"/>
              </w:rPr>
              <w:t xml:space="preserve">, 90% </w:t>
            </w:r>
            <w:r w:rsidR="00503503" w:rsidRPr="005065A0">
              <w:rPr>
                <w:iCs/>
                <w:szCs w:val="20"/>
              </w:rPr>
              <w:t>is</w:t>
            </w:r>
            <w:r w:rsidR="00CE4295" w:rsidRPr="005065A0">
              <w:rPr>
                <w:iCs/>
                <w:szCs w:val="20"/>
              </w:rPr>
              <w:t xml:space="preserve"> RCC</w:t>
            </w:r>
            <w:r w:rsidR="009422A9" w:rsidRPr="005065A0">
              <w:rPr>
                <w:iCs/>
                <w:szCs w:val="20"/>
              </w:rPr>
              <w:t xml:space="preserve">; </w:t>
            </w:r>
            <w:r w:rsidR="005D4976" w:rsidRPr="005065A0">
              <w:rPr>
                <w:iCs/>
                <w:szCs w:val="20"/>
              </w:rPr>
              <w:t>unsourced</w:t>
            </w:r>
            <w:r w:rsidR="00FA7449" w:rsidRPr="005065A0">
              <w:rPr>
                <w:iCs/>
                <w:szCs w:val="20"/>
              </w:rPr>
              <w:t xml:space="preserve">; </w:t>
            </w:r>
            <w:r w:rsidR="00EE29BB" w:rsidRPr="005065A0">
              <w:rPr>
                <w:iCs/>
                <w:szCs w:val="20"/>
              </w:rPr>
              <w:t xml:space="preserve">of RCC, </w:t>
            </w:r>
            <w:r w:rsidR="00503503" w:rsidRPr="005065A0">
              <w:rPr>
                <w:iCs/>
                <w:szCs w:val="20"/>
              </w:rPr>
              <w:t xml:space="preserve">30% is Stage IV; unsourced; </w:t>
            </w:r>
            <w:r w:rsidR="00FD0169" w:rsidRPr="005065A0">
              <w:rPr>
                <w:iCs/>
                <w:szCs w:val="20"/>
              </w:rPr>
              <w:t xml:space="preserve">23% </w:t>
            </w:r>
            <w:r w:rsidR="00243D16" w:rsidRPr="005065A0">
              <w:rPr>
                <w:iCs/>
                <w:szCs w:val="20"/>
              </w:rPr>
              <w:t>of early stage progresses to Stage IV</w:t>
            </w:r>
            <w:r w:rsidR="00C24DBA" w:rsidRPr="005065A0">
              <w:rPr>
                <w:iCs/>
                <w:szCs w:val="20"/>
              </w:rPr>
              <w:t xml:space="preserve">. </w:t>
            </w:r>
          </w:p>
        </w:tc>
        <w:tc>
          <w:tcPr>
            <w:tcW w:w="2016" w:type="pct"/>
            <w:shd w:val="clear" w:color="auto" w:fill="auto"/>
            <w:vAlign w:val="center"/>
          </w:tcPr>
          <w:p w:rsidR="00AF01B9" w:rsidRPr="005065A0" w:rsidRDefault="00191917" w:rsidP="00785459">
            <w:pPr>
              <w:pStyle w:val="TableText0"/>
              <w:widowControl w:val="0"/>
              <w:rPr>
                <w:szCs w:val="20"/>
              </w:rPr>
            </w:pPr>
            <w:r w:rsidRPr="005065A0">
              <w:rPr>
                <w:iCs/>
                <w:szCs w:val="20"/>
              </w:rPr>
              <w:t>The ESC considered this was l</w:t>
            </w:r>
            <w:r w:rsidR="00AF01B9" w:rsidRPr="005065A0">
              <w:rPr>
                <w:szCs w:val="20"/>
              </w:rPr>
              <w:t>ikely overestimated</w:t>
            </w:r>
            <w:r w:rsidRPr="005065A0">
              <w:rPr>
                <w:szCs w:val="20"/>
              </w:rPr>
              <w:t xml:space="preserve"> per the PBAC’s previous comments</w:t>
            </w:r>
            <w:r w:rsidR="007B71ED" w:rsidRPr="005065A0">
              <w:rPr>
                <w:iCs/>
                <w:szCs w:val="20"/>
              </w:rPr>
              <w:t xml:space="preserve"> (7.12, cabozantinib </w:t>
            </w:r>
            <w:r w:rsidR="00785459" w:rsidRPr="005065A0">
              <w:rPr>
                <w:iCs/>
                <w:szCs w:val="20"/>
              </w:rPr>
              <w:t>PSD</w:t>
            </w:r>
            <w:r w:rsidR="007B71ED" w:rsidRPr="005065A0">
              <w:rPr>
                <w:iCs/>
                <w:szCs w:val="20"/>
              </w:rPr>
              <w:t>, March 2020 PBAC Meeting)</w:t>
            </w:r>
            <w:r w:rsidRPr="005065A0">
              <w:rPr>
                <w:iCs/>
                <w:szCs w:val="20"/>
              </w:rPr>
              <w:t xml:space="preserve">. The pre-PBAC response’s revisions to the number of treated 1L patients addressed this issue. </w:t>
            </w:r>
          </w:p>
        </w:tc>
      </w:tr>
      <w:tr w:rsidR="00C14DD9" w:rsidRPr="005065A0" w:rsidTr="005065A0">
        <w:trPr>
          <w:cantSplit/>
        </w:trPr>
        <w:tc>
          <w:tcPr>
            <w:tcW w:w="950" w:type="pct"/>
            <w:shd w:val="clear" w:color="auto" w:fill="auto"/>
            <w:vAlign w:val="center"/>
          </w:tcPr>
          <w:p w:rsidR="00851A73" w:rsidRPr="005065A0" w:rsidRDefault="00851A73" w:rsidP="001B6334">
            <w:pPr>
              <w:pStyle w:val="TableText0"/>
              <w:widowControl w:val="0"/>
              <w:rPr>
                <w:szCs w:val="20"/>
              </w:rPr>
            </w:pPr>
            <w:r w:rsidRPr="005065A0">
              <w:rPr>
                <w:szCs w:val="20"/>
              </w:rPr>
              <w:t>Number treated 1L patients</w:t>
            </w:r>
          </w:p>
        </w:tc>
        <w:tc>
          <w:tcPr>
            <w:tcW w:w="2034" w:type="pct"/>
            <w:shd w:val="clear" w:color="auto" w:fill="auto"/>
            <w:vAlign w:val="center"/>
          </w:tcPr>
          <w:p w:rsidR="005462FB" w:rsidRPr="005065A0" w:rsidRDefault="005462FB" w:rsidP="001B6334">
            <w:pPr>
              <w:pStyle w:val="TableText0"/>
              <w:widowControl w:val="0"/>
              <w:rPr>
                <w:szCs w:val="20"/>
              </w:rPr>
            </w:pPr>
            <w:r w:rsidRPr="005065A0">
              <w:rPr>
                <w:szCs w:val="20"/>
              </w:rPr>
              <w:t>76% of the treatment-naïve eligible population</w:t>
            </w:r>
            <w:r w:rsidR="00B00B59" w:rsidRPr="005065A0">
              <w:rPr>
                <w:szCs w:val="20"/>
              </w:rPr>
              <w:t xml:space="preserve"> i.e.</w:t>
            </w:r>
          </w:p>
          <w:p w:rsidR="00851A73" w:rsidRPr="005065A0" w:rsidRDefault="00851A73" w:rsidP="001B6334">
            <w:pPr>
              <w:pStyle w:val="TableText0"/>
              <w:widowControl w:val="0"/>
              <w:rPr>
                <w:szCs w:val="20"/>
              </w:rPr>
            </w:pPr>
            <w:r w:rsidRPr="005065A0">
              <w:rPr>
                <w:szCs w:val="20"/>
              </w:rPr>
              <w:t>Year 1: 1,183</w:t>
            </w:r>
            <w:r w:rsidR="00C871DA" w:rsidRPr="005065A0">
              <w:rPr>
                <w:szCs w:val="20"/>
              </w:rPr>
              <w:t xml:space="preserve"> increasing to 1,276 in Year 6.</w:t>
            </w:r>
          </w:p>
          <w:p w:rsidR="00B00B59" w:rsidRPr="005065A0" w:rsidRDefault="00B00B59" w:rsidP="001B6334">
            <w:pPr>
              <w:pStyle w:val="TableText0"/>
              <w:widowControl w:val="0"/>
              <w:rPr>
                <w:szCs w:val="20"/>
              </w:rPr>
            </w:pPr>
            <w:r w:rsidRPr="005065A0">
              <w:rPr>
                <w:szCs w:val="20"/>
              </w:rPr>
              <w:t xml:space="preserve">The resubmission </w:t>
            </w:r>
            <w:r w:rsidR="00C871DA" w:rsidRPr="005065A0">
              <w:rPr>
                <w:szCs w:val="20"/>
              </w:rPr>
              <w:t xml:space="preserve">stated </w:t>
            </w:r>
            <w:r w:rsidRPr="005065A0">
              <w:rPr>
                <w:szCs w:val="20"/>
              </w:rPr>
              <w:t xml:space="preserve">that the 76% was estimated based on the DUSC data. </w:t>
            </w:r>
          </w:p>
          <w:p w:rsidR="00C96763" w:rsidRPr="005065A0" w:rsidRDefault="00C96763" w:rsidP="001B6334">
            <w:pPr>
              <w:pStyle w:val="TableText0"/>
              <w:widowControl w:val="0"/>
              <w:rPr>
                <w:szCs w:val="20"/>
              </w:rPr>
            </w:pPr>
          </w:p>
          <w:p w:rsidR="007275AB" w:rsidRPr="005065A0" w:rsidRDefault="00C871DA" w:rsidP="007275AB">
            <w:pPr>
              <w:pStyle w:val="TableText0"/>
              <w:widowControl w:val="0"/>
              <w:rPr>
                <w:szCs w:val="20"/>
              </w:rPr>
            </w:pPr>
            <w:r w:rsidRPr="005065A0">
              <w:rPr>
                <w:szCs w:val="20"/>
              </w:rPr>
              <w:t>The p</w:t>
            </w:r>
            <w:r w:rsidR="007275AB" w:rsidRPr="005065A0">
              <w:rPr>
                <w:szCs w:val="20"/>
              </w:rPr>
              <w:t>re-PBAC response revised this to:</w:t>
            </w:r>
          </w:p>
          <w:p w:rsidR="007275AB" w:rsidRPr="005065A0" w:rsidRDefault="007275AB" w:rsidP="007275AB">
            <w:pPr>
              <w:pStyle w:val="TableText0"/>
              <w:widowControl w:val="0"/>
              <w:rPr>
                <w:szCs w:val="20"/>
              </w:rPr>
            </w:pPr>
            <w:r w:rsidRPr="005065A0">
              <w:rPr>
                <w:szCs w:val="20"/>
              </w:rPr>
              <w:t>Year 1: 1,043 increasing by 4.2% per year, based on DUSC data</w:t>
            </w:r>
          </w:p>
        </w:tc>
        <w:tc>
          <w:tcPr>
            <w:tcW w:w="2016" w:type="pct"/>
            <w:shd w:val="clear" w:color="auto" w:fill="auto"/>
            <w:vAlign w:val="center"/>
          </w:tcPr>
          <w:p w:rsidR="00851A73" w:rsidRPr="005065A0" w:rsidRDefault="00C871DA" w:rsidP="001B6334">
            <w:pPr>
              <w:pStyle w:val="TableText0"/>
              <w:widowControl w:val="0"/>
              <w:rPr>
                <w:szCs w:val="20"/>
              </w:rPr>
            </w:pPr>
            <w:r w:rsidRPr="005065A0">
              <w:rPr>
                <w:iCs/>
                <w:szCs w:val="20"/>
              </w:rPr>
              <w:t xml:space="preserve">The </w:t>
            </w:r>
            <w:r w:rsidR="007275AB" w:rsidRPr="005065A0">
              <w:rPr>
                <w:iCs/>
                <w:szCs w:val="20"/>
              </w:rPr>
              <w:t>ESC considered the resubmission’s estimates were l</w:t>
            </w:r>
            <w:r w:rsidR="00851A73" w:rsidRPr="005065A0">
              <w:rPr>
                <w:iCs/>
                <w:szCs w:val="20"/>
              </w:rPr>
              <w:t>ikely overestimated</w:t>
            </w:r>
            <w:r w:rsidR="007275AB" w:rsidRPr="005065A0">
              <w:rPr>
                <w:iCs/>
                <w:szCs w:val="20"/>
              </w:rPr>
              <w:t>, noting they were h</w:t>
            </w:r>
            <w:r w:rsidR="00F079A4" w:rsidRPr="005065A0">
              <w:rPr>
                <w:iCs/>
                <w:szCs w:val="20"/>
              </w:rPr>
              <w:t>igher than</w:t>
            </w:r>
            <w:r w:rsidR="00851A73" w:rsidRPr="005065A0">
              <w:rPr>
                <w:iCs/>
                <w:szCs w:val="20"/>
              </w:rPr>
              <w:t xml:space="preserve"> </w:t>
            </w:r>
            <w:r w:rsidR="007275AB" w:rsidRPr="005065A0">
              <w:rPr>
                <w:iCs/>
                <w:szCs w:val="20"/>
              </w:rPr>
              <w:t xml:space="preserve">estimated from </w:t>
            </w:r>
            <w:r w:rsidR="00851A73" w:rsidRPr="005065A0">
              <w:rPr>
                <w:iCs/>
                <w:szCs w:val="20"/>
              </w:rPr>
              <w:t>the DUSC</w:t>
            </w:r>
            <w:r w:rsidR="006644D7" w:rsidRPr="005065A0">
              <w:rPr>
                <w:iCs/>
                <w:szCs w:val="20"/>
              </w:rPr>
              <w:t xml:space="preserve"> </w:t>
            </w:r>
            <w:r w:rsidR="007275AB" w:rsidRPr="005065A0">
              <w:rPr>
                <w:iCs/>
                <w:szCs w:val="20"/>
              </w:rPr>
              <w:t>data</w:t>
            </w:r>
            <w:r w:rsidR="006644D7" w:rsidRPr="005065A0">
              <w:rPr>
                <w:iCs/>
                <w:szCs w:val="20"/>
              </w:rPr>
              <w:t xml:space="preserve"> (</w:t>
            </w:r>
            <w:r w:rsidR="00851A73" w:rsidRPr="005065A0">
              <w:rPr>
                <w:iCs/>
                <w:szCs w:val="20"/>
              </w:rPr>
              <w:t>973</w:t>
            </w:r>
            <w:r w:rsidR="006644D7" w:rsidRPr="005065A0">
              <w:rPr>
                <w:iCs/>
                <w:szCs w:val="20"/>
              </w:rPr>
              <w:t xml:space="preserve"> in 2018, </w:t>
            </w:r>
            <w:r w:rsidR="00851A73" w:rsidRPr="005065A0">
              <w:rPr>
                <w:iCs/>
                <w:szCs w:val="20"/>
              </w:rPr>
              <w:t>961 in 201</w:t>
            </w:r>
            <w:r w:rsidR="006644D7" w:rsidRPr="005065A0">
              <w:rPr>
                <w:iCs/>
                <w:szCs w:val="20"/>
              </w:rPr>
              <w:t xml:space="preserve">9, and </w:t>
            </w:r>
            <w:r w:rsidR="00F079A4" w:rsidRPr="005065A0">
              <w:rPr>
                <w:szCs w:val="20"/>
              </w:rPr>
              <w:t xml:space="preserve">937 </w:t>
            </w:r>
            <w:r w:rsidR="006644D7" w:rsidRPr="005065A0">
              <w:rPr>
                <w:szCs w:val="20"/>
              </w:rPr>
              <w:t>from Q</w:t>
            </w:r>
            <w:r w:rsidR="00F079A4" w:rsidRPr="005065A0">
              <w:rPr>
                <w:szCs w:val="20"/>
              </w:rPr>
              <w:t>1 2019 to Q1 2020</w:t>
            </w:r>
            <w:r w:rsidR="006644D7" w:rsidRPr="005065A0">
              <w:rPr>
                <w:szCs w:val="20"/>
              </w:rPr>
              <w:t>; after listing NIVO+IPI).</w:t>
            </w:r>
            <w:r w:rsidR="007275AB" w:rsidRPr="005065A0">
              <w:rPr>
                <w:szCs w:val="20"/>
              </w:rPr>
              <w:t xml:space="preserve"> </w:t>
            </w:r>
          </w:p>
          <w:p w:rsidR="007275AB" w:rsidRPr="005065A0" w:rsidRDefault="007275AB" w:rsidP="007275AB">
            <w:pPr>
              <w:pStyle w:val="TableText0"/>
              <w:widowControl w:val="0"/>
              <w:rPr>
                <w:szCs w:val="20"/>
              </w:rPr>
            </w:pPr>
            <w:r w:rsidRPr="005065A0">
              <w:rPr>
                <w:szCs w:val="20"/>
              </w:rPr>
              <w:t>To address this, the pre-PBAC response based the number of patients treated on the DUSC data, increasing by 4.2% per year based on growth in the number of patients initiating PBS 1L RCC treatment.</w:t>
            </w:r>
          </w:p>
        </w:tc>
      </w:tr>
      <w:tr w:rsidR="00C14DD9" w:rsidRPr="005065A0" w:rsidTr="005065A0">
        <w:trPr>
          <w:cantSplit/>
        </w:trPr>
        <w:tc>
          <w:tcPr>
            <w:tcW w:w="5000" w:type="pct"/>
            <w:gridSpan w:val="3"/>
            <w:shd w:val="clear" w:color="auto" w:fill="auto"/>
            <w:vAlign w:val="center"/>
          </w:tcPr>
          <w:p w:rsidR="00BB3C48" w:rsidRPr="005065A0" w:rsidRDefault="00BB3C48" w:rsidP="006F66E7">
            <w:pPr>
              <w:pStyle w:val="TableText0"/>
              <w:keepNext w:val="0"/>
              <w:widowControl w:val="0"/>
              <w:rPr>
                <w:b/>
                <w:szCs w:val="20"/>
              </w:rPr>
            </w:pPr>
            <w:r w:rsidRPr="005065A0">
              <w:rPr>
                <w:b/>
                <w:szCs w:val="20"/>
              </w:rPr>
              <w:t>Duration of treatment (months)</w:t>
            </w:r>
          </w:p>
        </w:tc>
      </w:tr>
      <w:tr w:rsidR="00C14DD9" w:rsidRPr="005065A0" w:rsidTr="005065A0">
        <w:trPr>
          <w:cantSplit/>
        </w:trPr>
        <w:tc>
          <w:tcPr>
            <w:tcW w:w="950"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TKI-naïve cabozantinib</w:t>
            </w:r>
          </w:p>
        </w:tc>
        <w:tc>
          <w:tcPr>
            <w:tcW w:w="2034"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 xml:space="preserve">13; Mean TOT of cabozantinib of the economic model from the March 2020 resubmission. </w:t>
            </w:r>
          </w:p>
        </w:tc>
        <w:tc>
          <w:tcPr>
            <w:tcW w:w="2016" w:type="pct"/>
            <w:shd w:val="clear" w:color="auto" w:fill="auto"/>
            <w:vAlign w:val="center"/>
          </w:tcPr>
          <w:p w:rsidR="00BB3C48" w:rsidRPr="005065A0" w:rsidRDefault="00BB3C48" w:rsidP="006F66E7">
            <w:pPr>
              <w:pStyle w:val="TableText0"/>
              <w:keepNext w:val="0"/>
              <w:widowControl w:val="0"/>
              <w:rPr>
                <w:szCs w:val="20"/>
              </w:rPr>
            </w:pPr>
            <w:r w:rsidRPr="005065A0">
              <w:rPr>
                <w:iCs/>
                <w:szCs w:val="20"/>
              </w:rPr>
              <w:t>Reasonable</w:t>
            </w:r>
          </w:p>
        </w:tc>
      </w:tr>
      <w:tr w:rsidR="00C14DD9" w:rsidRPr="005065A0" w:rsidTr="005065A0">
        <w:trPr>
          <w:cantSplit/>
        </w:trPr>
        <w:tc>
          <w:tcPr>
            <w:tcW w:w="950"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TKI-naïve post-IO cabozantinib</w:t>
            </w:r>
          </w:p>
        </w:tc>
        <w:tc>
          <w:tcPr>
            <w:tcW w:w="2034"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 xml:space="preserve">13; Mean TOT of cabozantinib (i.e. TKI-naïve) of the economic model from the March 2020 resubmission. </w:t>
            </w:r>
            <w:r w:rsidR="007275AB" w:rsidRPr="005065A0">
              <w:rPr>
                <w:szCs w:val="20"/>
              </w:rPr>
              <w:t>Adjusted to 12 months in the pre-PBAC response.</w:t>
            </w:r>
          </w:p>
        </w:tc>
        <w:tc>
          <w:tcPr>
            <w:tcW w:w="2016" w:type="pct"/>
            <w:shd w:val="clear" w:color="auto" w:fill="auto"/>
            <w:vAlign w:val="center"/>
          </w:tcPr>
          <w:p w:rsidR="00BB3C48" w:rsidRPr="005065A0" w:rsidRDefault="00191917" w:rsidP="007275AB">
            <w:pPr>
              <w:pStyle w:val="TableText0"/>
              <w:keepNext w:val="0"/>
              <w:widowControl w:val="0"/>
              <w:rPr>
                <w:szCs w:val="20"/>
              </w:rPr>
            </w:pPr>
            <w:r w:rsidRPr="005065A0">
              <w:rPr>
                <w:iCs/>
                <w:szCs w:val="20"/>
              </w:rPr>
              <w:t xml:space="preserve">The </w:t>
            </w:r>
            <w:r w:rsidR="007275AB" w:rsidRPr="005065A0">
              <w:rPr>
                <w:iCs/>
                <w:szCs w:val="20"/>
              </w:rPr>
              <w:t>ESC considered 13 months m</w:t>
            </w:r>
            <w:r w:rsidR="00BB3C48" w:rsidRPr="005065A0">
              <w:rPr>
                <w:iCs/>
                <w:szCs w:val="20"/>
              </w:rPr>
              <w:t>ight be overly long given that patients already had 16 months of treatment with NIVO+IPI (see below for NIVO+IPI duration of treatment).</w:t>
            </w:r>
          </w:p>
        </w:tc>
      </w:tr>
      <w:tr w:rsidR="00C14DD9" w:rsidRPr="005065A0" w:rsidTr="005065A0">
        <w:trPr>
          <w:cantSplit/>
        </w:trPr>
        <w:tc>
          <w:tcPr>
            <w:tcW w:w="950"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Post-TKI cabozantinib</w:t>
            </w:r>
          </w:p>
        </w:tc>
        <w:tc>
          <w:tcPr>
            <w:tcW w:w="2034"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9; PBS 10% sample</w:t>
            </w:r>
          </w:p>
        </w:tc>
        <w:tc>
          <w:tcPr>
            <w:tcW w:w="2016" w:type="pct"/>
            <w:shd w:val="clear" w:color="auto" w:fill="auto"/>
            <w:vAlign w:val="center"/>
          </w:tcPr>
          <w:p w:rsidR="00BB3C48" w:rsidRPr="005065A0" w:rsidRDefault="00BB3C48" w:rsidP="006F66E7">
            <w:pPr>
              <w:pStyle w:val="TableText0"/>
              <w:keepNext w:val="0"/>
              <w:widowControl w:val="0"/>
              <w:rPr>
                <w:szCs w:val="20"/>
              </w:rPr>
            </w:pPr>
            <w:r w:rsidRPr="005065A0">
              <w:rPr>
                <w:iCs/>
                <w:szCs w:val="20"/>
              </w:rPr>
              <w:t>Reasonable</w:t>
            </w:r>
          </w:p>
        </w:tc>
      </w:tr>
      <w:tr w:rsidR="00C14DD9" w:rsidRPr="005065A0" w:rsidTr="005065A0">
        <w:trPr>
          <w:cantSplit/>
        </w:trPr>
        <w:tc>
          <w:tcPr>
            <w:tcW w:w="950"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Post-IO &amp; TKI cabozantinib</w:t>
            </w:r>
          </w:p>
        </w:tc>
        <w:tc>
          <w:tcPr>
            <w:tcW w:w="2034"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9; PBS 10% sample</w:t>
            </w:r>
            <w:r w:rsidR="007275AB" w:rsidRPr="005065A0">
              <w:rPr>
                <w:szCs w:val="20"/>
              </w:rPr>
              <w:t>; Adjusted to 8 months in the pre-PBAC response</w:t>
            </w:r>
          </w:p>
        </w:tc>
        <w:tc>
          <w:tcPr>
            <w:tcW w:w="2016" w:type="pct"/>
            <w:shd w:val="clear" w:color="auto" w:fill="auto"/>
            <w:vAlign w:val="center"/>
          </w:tcPr>
          <w:p w:rsidR="00BB3C48" w:rsidRPr="005065A0" w:rsidRDefault="00191917" w:rsidP="007275AB">
            <w:pPr>
              <w:pStyle w:val="TableText0"/>
              <w:keepNext w:val="0"/>
              <w:widowControl w:val="0"/>
              <w:rPr>
                <w:szCs w:val="20"/>
              </w:rPr>
            </w:pPr>
            <w:r w:rsidRPr="005065A0">
              <w:rPr>
                <w:iCs/>
                <w:szCs w:val="20"/>
              </w:rPr>
              <w:t xml:space="preserve">The </w:t>
            </w:r>
            <w:r w:rsidR="007275AB" w:rsidRPr="005065A0">
              <w:rPr>
                <w:iCs/>
                <w:szCs w:val="20"/>
              </w:rPr>
              <w:t>ESC considered 9 months m</w:t>
            </w:r>
            <w:r w:rsidR="00BB3C48" w:rsidRPr="005065A0">
              <w:rPr>
                <w:iCs/>
                <w:szCs w:val="20"/>
              </w:rPr>
              <w:t>ight be overly long given that patients already had 16 and 7 months of treatment with NIVO+IPI and sunitinib/pazopanib respectively.</w:t>
            </w:r>
          </w:p>
        </w:tc>
      </w:tr>
      <w:tr w:rsidR="00C14DD9" w:rsidRPr="005065A0" w:rsidTr="005065A0">
        <w:trPr>
          <w:cantSplit/>
        </w:trPr>
        <w:tc>
          <w:tcPr>
            <w:tcW w:w="950"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NIVO+IPI</w:t>
            </w:r>
          </w:p>
        </w:tc>
        <w:tc>
          <w:tcPr>
            <w:tcW w:w="2034"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16; Calculated from the average number of treatment cycles of NIVO+IPI reported in PSD (Nov. PBAC 2017).</w:t>
            </w:r>
          </w:p>
          <w:p w:rsidR="00BB3C48" w:rsidRPr="005065A0" w:rsidRDefault="00BB3C48" w:rsidP="006F66E7">
            <w:pPr>
              <w:pStyle w:val="TableText0"/>
              <w:keepNext w:val="0"/>
              <w:widowControl w:val="0"/>
              <w:rPr>
                <w:szCs w:val="20"/>
              </w:rPr>
            </w:pPr>
            <w:r w:rsidRPr="005065A0">
              <w:rPr>
                <w:szCs w:val="20"/>
              </w:rPr>
              <w:t xml:space="preserve">30% assumed to discontinue after 2 months of treatment. </w:t>
            </w:r>
          </w:p>
        </w:tc>
        <w:tc>
          <w:tcPr>
            <w:tcW w:w="2016" w:type="pct"/>
            <w:shd w:val="clear" w:color="auto" w:fill="auto"/>
            <w:vAlign w:val="center"/>
          </w:tcPr>
          <w:p w:rsidR="00BB3C48" w:rsidRPr="005065A0" w:rsidRDefault="00BB3C48" w:rsidP="006F66E7">
            <w:pPr>
              <w:pStyle w:val="TableText0"/>
              <w:keepNext w:val="0"/>
              <w:widowControl w:val="0"/>
              <w:rPr>
                <w:szCs w:val="20"/>
              </w:rPr>
            </w:pPr>
          </w:p>
        </w:tc>
      </w:tr>
      <w:tr w:rsidR="00C14DD9" w:rsidRPr="005065A0" w:rsidTr="005065A0">
        <w:trPr>
          <w:cantSplit/>
        </w:trPr>
        <w:tc>
          <w:tcPr>
            <w:tcW w:w="950"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TKI-naïve sunitinib/pazopanib</w:t>
            </w:r>
          </w:p>
        </w:tc>
        <w:tc>
          <w:tcPr>
            <w:tcW w:w="2034"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 xml:space="preserve">7; Mean TOT of sunitinib in the economic model from the March 2020 resubmission. </w:t>
            </w:r>
          </w:p>
        </w:tc>
        <w:tc>
          <w:tcPr>
            <w:tcW w:w="2016" w:type="pct"/>
            <w:shd w:val="clear" w:color="auto" w:fill="auto"/>
            <w:vAlign w:val="center"/>
          </w:tcPr>
          <w:p w:rsidR="00BB3C48" w:rsidRPr="005065A0" w:rsidRDefault="00BB3C48" w:rsidP="006F66E7">
            <w:pPr>
              <w:pStyle w:val="TableText0"/>
              <w:keepNext w:val="0"/>
              <w:widowControl w:val="0"/>
              <w:rPr>
                <w:szCs w:val="20"/>
              </w:rPr>
            </w:pPr>
            <w:r w:rsidRPr="005065A0">
              <w:rPr>
                <w:iCs/>
                <w:szCs w:val="20"/>
              </w:rPr>
              <w:t>Reasonable</w:t>
            </w:r>
          </w:p>
        </w:tc>
      </w:tr>
      <w:tr w:rsidR="00C14DD9" w:rsidRPr="005065A0" w:rsidTr="005065A0">
        <w:trPr>
          <w:cantSplit/>
        </w:trPr>
        <w:tc>
          <w:tcPr>
            <w:tcW w:w="950"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Post-IO sunitinib/pazopanib</w:t>
            </w:r>
          </w:p>
        </w:tc>
        <w:tc>
          <w:tcPr>
            <w:tcW w:w="2034" w:type="pct"/>
            <w:shd w:val="clear" w:color="auto" w:fill="auto"/>
            <w:vAlign w:val="center"/>
          </w:tcPr>
          <w:p w:rsidR="00BB3C48" w:rsidRPr="005065A0" w:rsidRDefault="00BB3C48" w:rsidP="006F66E7">
            <w:pPr>
              <w:pStyle w:val="TableText0"/>
              <w:keepNext w:val="0"/>
              <w:widowControl w:val="0"/>
              <w:rPr>
                <w:szCs w:val="20"/>
              </w:rPr>
            </w:pPr>
            <w:r w:rsidRPr="005065A0">
              <w:rPr>
                <w:szCs w:val="20"/>
              </w:rPr>
              <w:t xml:space="preserve">7; Mean TOT of sunitinib in the economic model from the March 2020 resubmission. </w:t>
            </w:r>
            <w:r w:rsidR="007275AB" w:rsidRPr="005065A0">
              <w:rPr>
                <w:szCs w:val="20"/>
              </w:rPr>
              <w:t>Adjusted to 6 months in the pre-PBAC response.</w:t>
            </w:r>
          </w:p>
        </w:tc>
        <w:tc>
          <w:tcPr>
            <w:tcW w:w="2016" w:type="pct"/>
            <w:shd w:val="clear" w:color="auto" w:fill="auto"/>
            <w:vAlign w:val="center"/>
          </w:tcPr>
          <w:p w:rsidR="00BB3C48" w:rsidRPr="005065A0" w:rsidRDefault="00BB3C48" w:rsidP="006F66E7">
            <w:pPr>
              <w:pStyle w:val="TableText0"/>
              <w:keepNext w:val="0"/>
              <w:widowControl w:val="0"/>
              <w:rPr>
                <w:szCs w:val="20"/>
              </w:rPr>
            </w:pPr>
            <w:r w:rsidRPr="005065A0">
              <w:rPr>
                <w:iCs/>
                <w:szCs w:val="20"/>
              </w:rPr>
              <w:t xml:space="preserve">Inadequately justified </w:t>
            </w:r>
          </w:p>
        </w:tc>
      </w:tr>
      <w:tr w:rsidR="00C14DD9" w:rsidRPr="005065A0" w:rsidTr="005065A0">
        <w:trPr>
          <w:cantSplit/>
        </w:trPr>
        <w:tc>
          <w:tcPr>
            <w:tcW w:w="5000" w:type="pct"/>
            <w:gridSpan w:val="3"/>
            <w:shd w:val="clear" w:color="auto" w:fill="auto"/>
            <w:vAlign w:val="center"/>
          </w:tcPr>
          <w:p w:rsidR="00640A64" w:rsidRPr="005065A0" w:rsidRDefault="00F26A19" w:rsidP="00FC3EE7">
            <w:pPr>
              <w:pStyle w:val="TableText0"/>
              <w:keepLines/>
              <w:widowControl w:val="0"/>
              <w:rPr>
                <w:b/>
                <w:iCs/>
                <w:szCs w:val="20"/>
              </w:rPr>
            </w:pPr>
            <w:r w:rsidRPr="005065A0">
              <w:rPr>
                <w:b/>
                <w:szCs w:val="20"/>
              </w:rPr>
              <w:lastRenderedPageBreak/>
              <w:t>Market share: 1L</w:t>
            </w:r>
          </w:p>
        </w:tc>
      </w:tr>
      <w:tr w:rsidR="00C14DD9" w:rsidRPr="005065A0" w:rsidTr="005065A0">
        <w:trPr>
          <w:cantSplit/>
        </w:trPr>
        <w:tc>
          <w:tcPr>
            <w:tcW w:w="950" w:type="pct"/>
            <w:shd w:val="clear" w:color="auto" w:fill="auto"/>
            <w:vAlign w:val="center"/>
          </w:tcPr>
          <w:p w:rsidR="00F26A19" w:rsidRPr="005065A0" w:rsidRDefault="00703E89" w:rsidP="00FC3EE7">
            <w:pPr>
              <w:pStyle w:val="TableText0"/>
              <w:keepLines/>
              <w:widowControl w:val="0"/>
              <w:rPr>
                <w:szCs w:val="20"/>
              </w:rPr>
            </w:pPr>
            <w:r w:rsidRPr="005065A0">
              <w:rPr>
                <w:szCs w:val="20"/>
              </w:rPr>
              <w:t>C</w:t>
            </w:r>
            <w:r w:rsidR="00F26A19" w:rsidRPr="005065A0">
              <w:rPr>
                <w:szCs w:val="20"/>
              </w:rPr>
              <w:t>abozantinib</w:t>
            </w:r>
          </w:p>
        </w:tc>
        <w:tc>
          <w:tcPr>
            <w:tcW w:w="2034" w:type="pct"/>
            <w:shd w:val="clear" w:color="auto" w:fill="auto"/>
            <w:vAlign w:val="center"/>
          </w:tcPr>
          <w:p w:rsidR="00F26A19" w:rsidRPr="005065A0" w:rsidRDefault="00F26A19" w:rsidP="00FC3EE7">
            <w:pPr>
              <w:pStyle w:val="TableText0"/>
              <w:keepLines/>
              <w:widowControl w:val="0"/>
              <w:rPr>
                <w:szCs w:val="20"/>
              </w:rPr>
            </w:pPr>
            <w:r w:rsidRPr="005065A0">
              <w:rPr>
                <w:szCs w:val="20"/>
              </w:rPr>
              <w:t>10%; Assumption that cabozantinib will take all intermediate to poor risk patients who are IO-inappropriate: 10%</w:t>
            </w:r>
          </w:p>
        </w:tc>
        <w:tc>
          <w:tcPr>
            <w:tcW w:w="2016" w:type="pct"/>
            <w:shd w:val="clear" w:color="auto" w:fill="auto"/>
            <w:vAlign w:val="center"/>
          </w:tcPr>
          <w:p w:rsidR="00F26A19" w:rsidRPr="005065A0" w:rsidRDefault="00B449AD" w:rsidP="00C871DA">
            <w:pPr>
              <w:pStyle w:val="TableText0"/>
              <w:keepLines/>
              <w:widowControl w:val="0"/>
              <w:rPr>
                <w:iCs/>
                <w:szCs w:val="20"/>
              </w:rPr>
            </w:pPr>
            <w:r w:rsidRPr="005065A0">
              <w:rPr>
                <w:iCs/>
                <w:szCs w:val="20"/>
              </w:rPr>
              <w:t>The ESC considered this a</w:t>
            </w:r>
            <w:r w:rsidR="000D46D1" w:rsidRPr="005065A0">
              <w:rPr>
                <w:iCs/>
                <w:szCs w:val="20"/>
              </w:rPr>
              <w:t>ppear</w:t>
            </w:r>
            <w:r w:rsidR="00C871DA" w:rsidRPr="005065A0">
              <w:rPr>
                <w:iCs/>
                <w:szCs w:val="20"/>
              </w:rPr>
              <w:t>ed</w:t>
            </w:r>
            <w:r w:rsidR="000D46D1" w:rsidRPr="005065A0">
              <w:rPr>
                <w:iCs/>
                <w:szCs w:val="20"/>
              </w:rPr>
              <w:t xml:space="preserve"> low in comparison to the assumed 57% market share for sunitinib/pazopanib</w:t>
            </w:r>
            <w:r w:rsidR="00C96763" w:rsidRPr="005065A0">
              <w:rPr>
                <w:iCs/>
                <w:szCs w:val="20"/>
              </w:rPr>
              <w:t xml:space="preserve">, </w:t>
            </w:r>
            <w:r w:rsidRPr="005065A0">
              <w:rPr>
                <w:iCs/>
                <w:szCs w:val="20"/>
              </w:rPr>
              <w:t>and was i</w:t>
            </w:r>
            <w:r w:rsidR="009D2F76" w:rsidRPr="005065A0">
              <w:rPr>
                <w:iCs/>
                <w:szCs w:val="20"/>
              </w:rPr>
              <w:t>nadequately justified.</w:t>
            </w:r>
          </w:p>
        </w:tc>
      </w:tr>
      <w:tr w:rsidR="00C14DD9" w:rsidRPr="005065A0" w:rsidTr="005065A0">
        <w:trPr>
          <w:cantSplit/>
        </w:trPr>
        <w:tc>
          <w:tcPr>
            <w:tcW w:w="950" w:type="pct"/>
            <w:shd w:val="clear" w:color="auto" w:fill="auto"/>
            <w:vAlign w:val="center"/>
          </w:tcPr>
          <w:p w:rsidR="00F26A19" w:rsidRPr="005065A0" w:rsidRDefault="00F26A19" w:rsidP="006F66E7">
            <w:pPr>
              <w:pStyle w:val="TableText0"/>
              <w:keepNext w:val="0"/>
              <w:widowControl w:val="0"/>
              <w:rPr>
                <w:szCs w:val="20"/>
              </w:rPr>
            </w:pPr>
            <w:r w:rsidRPr="005065A0">
              <w:rPr>
                <w:szCs w:val="20"/>
              </w:rPr>
              <w:t>NIVO+IPI</w:t>
            </w:r>
          </w:p>
        </w:tc>
        <w:tc>
          <w:tcPr>
            <w:tcW w:w="2034" w:type="pct"/>
            <w:shd w:val="clear" w:color="auto" w:fill="auto"/>
            <w:vAlign w:val="center"/>
          </w:tcPr>
          <w:p w:rsidR="00F26A19" w:rsidRPr="005065A0" w:rsidRDefault="00F26A19" w:rsidP="00200EB2">
            <w:pPr>
              <w:pStyle w:val="TableText0"/>
              <w:keepNext w:val="0"/>
              <w:widowControl w:val="0"/>
              <w:rPr>
                <w:szCs w:val="20"/>
              </w:rPr>
            </w:pPr>
            <w:r w:rsidRPr="005065A0">
              <w:rPr>
                <w:szCs w:val="20"/>
              </w:rPr>
              <w:t xml:space="preserve">33%; </w:t>
            </w:r>
            <w:r w:rsidR="00200EB2" w:rsidRPr="005065A0">
              <w:rPr>
                <w:rFonts w:eastAsia="Calibri"/>
                <w:szCs w:val="20"/>
              </w:rPr>
              <w:t xml:space="preserve">Based on DUSC data from 2019. </w:t>
            </w:r>
          </w:p>
        </w:tc>
        <w:tc>
          <w:tcPr>
            <w:tcW w:w="2016" w:type="pct"/>
            <w:shd w:val="clear" w:color="auto" w:fill="auto"/>
            <w:vAlign w:val="center"/>
          </w:tcPr>
          <w:p w:rsidR="00F26A19" w:rsidRPr="005065A0" w:rsidRDefault="00191917" w:rsidP="00191917">
            <w:pPr>
              <w:pStyle w:val="CommentText"/>
              <w:rPr>
                <w:rFonts w:ascii="Arial Narrow" w:hAnsi="Arial Narrow"/>
                <w:iCs/>
                <w:szCs w:val="20"/>
              </w:rPr>
            </w:pPr>
            <w:r w:rsidRPr="005065A0">
              <w:rPr>
                <w:rFonts w:ascii="Arial Narrow" w:hAnsi="Arial Narrow"/>
                <w:iCs/>
                <w:szCs w:val="20"/>
              </w:rPr>
              <w:t>The ESC and PBAC considered this a</w:t>
            </w:r>
            <w:r w:rsidR="00200EB2" w:rsidRPr="005065A0">
              <w:rPr>
                <w:rFonts w:ascii="Arial Narrow" w:hAnsi="Arial Narrow"/>
                <w:iCs/>
                <w:szCs w:val="20"/>
              </w:rPr>
              <w:t>ppear</w:t>
            </w:r>
            <w:r w:rsidRPr="005065A0">
              <w:rPr>
                <w:rFonts w:ascii="Arial Narrow" w:hAnsi="Arial Narrow"/>
                <w:iCs/>
                <w:szCs w:val="20"/>
              </w:rPr>
              <w:t>ed</w:t>
            </w:r>
            <w:r w:rsidR="00200EB2" w:rsidRPr="005065A0">
              <w:rPr>
                <w:rFonts w:ascii="Arial Narrow" w:hAnsi="Arial Narrow"/>
                <w:iCs/>
                <w:szCs w:val="20"/>
              </w:rPr>
              <w:t xml:space="preserve"> low. </w:t>
            </w:r>
            <w:r w:rsidR="00200EB2" w:rsidRPr="005065A0">
              <w:rPr>
                <w:rFonts w:ascii="Arial Narrow" w:eastAsia="Calibri" w:hAnsi="Arial Narrow"/>
                <w:szCs w:val="20"/>
              </w:rPr>
              <w:t>NIVO+IPI was only listed on 1 March 2019. Would increase to 38% if the first quarter of 2019 was excluded.</w:t>
            </w:r>
            <w:r w:rsidR="00B449AD" w:rsidRPr="005065A0">
              <w:rPr>
                <w:rFonts w:ascii="Arial Narrow" w:eastAsia="Calibri" w:hAnsi="Arial Narrow"/>
                <w:szCs w:val="20"/>
              </w:rPr>
              <w:t xml:space="preserve"> The PBAC considered that the low market share likely reflects its recent listing, and that usage would likely increase over time.</w:t>
            </w:r>
          </w:p>
        </w:tc>
      </w:tr>
      <w:tr w:rsidR="00C14DD9" w:rsidRPr="005065A0" w:rsidTr="005065A0">
        <w:trPr>
          <w:cantSplit/>
        </w:trPr>
        <w:tc>
          <w:tcPr>
            <w:tcW w:w="950" w:type="pct"/>
            <w:shd w:val="clear" w:color="auto" w:fill="auto"/>
            <w:vAlign w:val="center"/>
          </w:tcPr>
          <w:p w:rsidR="00F26A19" w:rsidRPr="005065A0" w:rsidRDefault="00F26A19" w:rsidP="006F66E7">
            <w:pPr>
              <w:pStyle w:val="TableText0"/>
              <w:keepNext w:val="0"/>
              <w:widowControl w:val="0"/>
              <w:rPr>
                <w:szCs w:val="20"/>
              </w:rPr>
            </w:pPr>
            <w:r w:rsidRPr="005065A0">
              <w:rPr>
                <w:szCs w:val="20"/>
              </w:rPr>
              <w:t>Sunitinib/pazopanib</w:t>
            </w:r>
          </w:p>
        </w:tc>
        <w:tc>
          <w:tcPr>
            <w:tcW w:w="2034" w:type="pct"/>
            <w:shd w:val="clear" w:color="auto" w:fill="auto"/>
            <w:vAlign w:val="center"/>
          </w:tcPr>
          <w:p w:rsidR="00F26A19" w:rsidRPr="005065A0" w:rsidRDefault="00F26A19" w:rsidP="006F66E7">
            <w:pPr>
              <w:pStyle w:val="TableText0"/>
              <w:keepNext w:val="0"/>
              <w:widowControl w:val="0"/>
              <w:rPr>
                <w:szCs w:val="20"/>
              </w:rPr>
            </w:pPr>
            <w:r w:rsidRPr="005065A0">
              <w:rPr>
                <w:szCs w:val="20"/>
              </w:rPr>
              <w:t>57%: The rest of the 1L market share</w:t>
            </w:r>
          </w:p>
        </w:tc>
        <w:tc>
          <w:tcPr>
            <w:tcW w:w="2016" w:type="pct"/>
            <w:shd w:val="clear" w:color="auto" w:fill="auto"/>
            <w:vAlign w:val="center"/>
          </w:tcPr>
          <w:p w:rsidR="00F26A19" w:rsidRPr="005065A0" w:rsidRDefault="00191917" w:rsidP="00C96763">
            <w:pPr>
              <w:pStyle w:val="TableText0"/>
              <w:keepNext w:val="0"/>
              <w:widowControl w:val="0"/>
              <w:rPr>
                <w:iCs/>
                <w:szCs w:val="20"/>
              </w:rPr>
            </w:pPr>
            <w:r w:rsidRPr="005065A0">
              <w:rPr>
                <w:iCs/>
                <w:szCs w:val="20"/>
              </w:rPr>
              <w:t>The ESC and PBAC considered this a</w:t>
            </w:r>
            <w:r w:rsidR="009D2F76" w:rsidRPr="005065A0">
              <w:rPr>
                <w:iCs/>
                <w:szCs w:val="20"/>
              </w:rPr>
              <w:t>ppear</w:t>
            </w:r>
            <w:r w:rsidRPr="005065A0">
              <w:rPr>
                <w:iCs/>
                <w:szCs w:val="20"/>
              </w:rPr>
              <w:t>ed</w:t>
            </w:r>
            <w:r w:rsidR="00200EB2" w:rsidRPr="005065A0">
              <w:rPr>
                <w:iCs/>
                <w:szCs w:val="20"/>
              </w:rPr>
              <w:t xml:space="preserve"> implausibly</w:t>
            </w:r>
            <w:r w:rsidR="009D2F76" w:rsidRPr="005065A0">
              <w:rPr>
                <w:iCs/>
                <w:szCs w:val="20"/>
              </w:rPr>
              <w:t xml:space="preserve"> high</w:t>
            </w:r>
            <w:r w:rsidR="00200EB2" w:rsidRPr="005065A0">
              <w:rPr>
                <w:iCs/>
                <w:szCs w:val="20"/>
              </w:rPr>
              <w:t xml:space="preserve"> compared with 10% market share of cabozantinib in this setting</w:t>
            </w:r>
            <w:r w:rsidR="00C96763" w:rsidRPr="005065A0">
              <w:rPr>
                <w:iCs/>
                <w:szCs w:val="20"/>
              </w:rPr>
              <w:t>, reflecting</w:t>
            </w:r>
            <w:r w:rsidR="00200EB2" w:rsidRPr="005065A0">
              <w:rPr>
                <w:iCs/>
                <w:szCs w:val="20"/>
              </w:rPr>
              <w:t xml:space="preserve"> the potential underestimation of NIVO+IPI use.</w:t>
            </w:r>
            <w:r w:rsidR="009D2F76" w:rsidRPr="005065A0">
              <w:rPr>
                <w:iCs/>
                <w:szCs w:val="20"/>
              </w:rPr>
              <w:t xml:space="preserve"> I</w:t>
            </w:r>
            <w:r w:rsidR="00361A73" w:rsidRPr="005065A0">
              <w:rPr>
                <w:iCs/>
                <w:szCs w:val="20"/>
              </w:rPr>
              <w:t xml:space="preserve">nadequately justified by the </w:t>
            </w:r>
            <w:r w:rsidR="0040379A" w:rsidRPr="005065A0">
              <w:rPr>
                <w:iCs/>
                <w:szCs w:val="20"/>
              </w:rPr>
              <w:t>re</w:t>
            </w:r>
            <w:r w:rsidR="00F04081" w:rsidRPr="005065A0">
              <w:rPr>
                <w:iCs/>
                <w:szCs w:val="20"/>
              </w:rPr>
              <w:t>submission.</w:t>
            </w:r>
            <w:r w:rsidR="00B84209" w:rsidRPr="005065A0">
              <w:rPr>
                <w:iCs/>
                <w:szCs w:val="20"/>
              </w:rPr>
              <w:t xml:space="preserve"> Significantly higher than in the previous submission where all patients who were intermediate-to-poor risk who were unsuitable for immunotherapy were assumed to receive cabozantinib. </w:t>
            </w:r>
          </w:p>
        </w:tc>
      </w:tr>
      <w:tr w:rsidR="00C14DD9" w:rsidRPr="005065A0" w:rsidTr="005065A0">
        <w:trPr>
          <w:cantSplit/>
        </w:trPr>
        <w:tc>
          <w:tcPr>
            <w:tcW w:w="5000" w:type="pct"/>
            <w:gridSpan w:val="3"/>
            <w:shd w:val="clear" w:color="auto" w:fill="auto"/>
            <w:vAlign w:val="center"/>
          </w:tcPr>
          <w:p w:rsidR="00BE1167" w:rsidRPr="005065A0" w:rsidRDefault="00BE1167" w:rsidP="006F66E7">
            <w:pPr>
              <w:pStyle w:val="TableText0"/>
              <w:keepNext w:val="0"/>
              <w:widowControl w:val="0"/>
              <w:rPr>
                <w:b/>
                <w:iCs/>
                <w:szCs w:val="20"/>
              </w:rPr>
            </w:pPr>
            <w:r w:rsidRPr="005065A0">
              <w:rPr>
                <w:b/>
                <w:szCs w:val="20"/>
              </w:rPr>
              <w:t>Market share: Post-IO</w:t>
            </w:r>
          </w:p>
        </w:tc>
      </w:tr>
      <w:tr w:rsidR="00C14DD9" w:rsidRPr="005065A0" w:rsidTr="005065A0">
        <w:trPr>
          <w:cantSplit/>
        </w:trPr>
        <w:tc>
          <w:tcPr>
            <w:tcW w:w="950" w:type="pct"/>
            <w:shd w:val="clear" w:color="auto" w:fill="auto"/>
            <w:vAlign w:val="center"/>
          </w:tcPr>
          <w:p w:rsidR="008651D5" w:rsidRPr="005065A0" w:rsidRDefault="00703E89" w:rsidP="006F66E7">
            <w:pPr>
              <w:pStyle w:val="TableText0"/>
              <w:keepNext w:val="0"/>
              <w:widowControl w:val="0"/>
              <w:rPr>
                <w:szCs w:val="20"/>
              </w:rPr>
            </w:pPr>
            <w:r w:rsidRPr="005065A0">
              <w:rPr>
                <w:szCs w:val="20"/>
              </w:rPr>
              <w:t>C</w:t>
            </w:r>
            <w:r w:rsidR="008651D5" w:rsidRPr="005065A0">
              <w:rPr>
                <w:szCs w:val="20"/>
              </w:rPr>
              <w:t>abozantinib</w:t>
            </w:r>
          </w:p>
        </w:tc>
        <w:tc>
          <w:tcPr>
            <w:tcW w:w="2034" w:type="pct"/>
            <w:shd w:val="clear" w:color="auto" w:fill="auto"/>
            <w:vAlign w:val="center"/>
          </w:tcPr>
          <w:p w:rsidR="008651D5" w:rsidRPr="005065A0" w:rsidRDefault="008651D5" w:rsidP="006F66E7">
            <w:pPr>
              <w:pStyle w:val="TableText0"/>
              <w:keepNext w:val="0"/>
              <w:widowControl w:val="0"/>
              <w:rPr>
                <w:szCs w:val="20"/>
              </w:rPr>
            </w:pPr>
            <w:r w:rsidRPr="005065A0">
              <w:rPr>
                <w:szCs w:val="20"/>
              </w:rPr>
              <w:t>50%; Assumption that cabozantinib will substitute current use of sunitinib/pazopanib post-IO</w:t>
            </w:r>
          </w:p>
        </w:tc>
        <w:tc>
          <w:tcPr>
            <w:tcW w:w="2016" w:type="pct"/>
            <w:vMerge w:val="restart"/>
            <w:shd w:val="clear" w:color="auto" w:fill="auto"/>
            <w:vAlign w:val="center"/>
          </w:tcPr>
          <w:p w:rsidR="008651D5" w:rsidRPr="005065A0" w:rsidRDefault="007F5F05" w:rsidP="006F66E7">
            <w:pPr>
              <w:pStyle w:val="TableText0"/>
              <w:keepNext w:val="0"/>
              <w:widowControl w:val="0"/>
              <w:rPr>
                <w:iCs/>
                <w:szCs w:val="20"/>
              </w:rPr>
            </w:pPr>
            <w:r w:rsidRPr="005065A0">
              <w:rPr>
                <w:iCs/>
                <w:szCs w:val="20"/>
              </w:rPr>
              <w:t>I</w:t>
            </w:r>
            <w:r w:rsidR="000A0319" w:rsidRPr="005065A0">
              <w:rPr>
                <w:iCs/>
                <w:szCs w:val="20"/>
              </w:rPr>
              <w:t>nadequately justi</w:t>
            </w:r>
            <w:r w:rsidRPr="005065A0">
              <w:rPr>
                <w:iCs/>
                <w:szCs w:val="20"/>
              </w:rPr>
              <w:t xml:space="preserve">fied </w:t>
            </w:r>
          </w:p>
          <w:p w:rsidR="008651D5" w:rsidRPr="005065A0" w:rsidRDefault="008651D5" w:rsidP="006F66E7">
            <w:pPr>
              <w:pStyle w:val="TableText0"/>
              <w:keepNext w:val="0"/>
              <w:widowControl w:val="0"/>
              <w:rPr>
                <w:iCs/>
                <w:szCs w:val="20"/>
              </w:rPr>
            </w:pPr>
          </w:p>
        </w:tc>
      </w:tr>
      <w:tr w:rsidR="00C14DD9" w:rsidRPr="005065A0" w:rsidTr="005065A0">
        <w:trPr>
          <w:cantSplit/>
        </w:trPr>
        <w:tc>
          <w:tcPr>
            <w:tcW w:w="950" w:type="pct"/>
            <w:shd w:val="clear" w:color="auto" w:fill="auto"/>
            <w:vAlign w:val="center"/>
          </w:tcPr>
          <w:p w:rsidR="008651D5" w:rsidRPr="005065A0" w:rsidRDefault="008651D5" w:rsidP="006F66E7">
            <w:pPr>
              <w:pStyle w:val="TableText0"/>
              <w:keepNext w:val="0"/>
              <w:widowControl w:val="0"/>
              <w:rPr>
                <w:szCs w:val="20"/>
              </w:rPr>
            </w:pPr>
            <w:r w:rsidRPr="005065A0">
              <w:rPr>
                <w:szCs w:val="20"/>
              </w:rPr>
              <w:t>Sunitinib/pazopanib</w:t>
            </w:r>
          </w:p>
        </w:tc>
        <w:tc>
          <w:tcPr>
            <w:tcW w:w="2034" w:type="pct"/>
            <w:shd w:val="clear" w:color="auto" w:fill="auto"/>
            <w:vAlign w:val="center"/>
          </w:tcPr>
          <w:p w:rsidR="008651D5" w:rsidRPr="005065A0" w:rsidRDefault="008651D5" w:rsidP="006F66E7">
            <w:pPr>
              <w:pStyle w:val="TableText0"/>
              <w:keepNext w:val="0"/>
              <w:widowControl w:val="0"/>
              <w:rPr>
                <w:szCs w:val="20"/>
              </w:rPr>
            </w:pPr>
            <w:r w:rsidRPr="005065A0">
              <w:rPr>
                <w:szCs w:val="20"/>
              </w:rPr>
              <w:t>50% (70%/30%); Assumption based on the opinions expressed within sponsor’s advisory board meeting.</w:t>
            </w:r>
          </w:p>
        </w:tc>
        <w:tc>
          <w:tcPr>
            <w:tcW w:w="2016" w:type="pct"/>
            <w:vMerge/>
            <w:shd w:val="clear" w:color="auto" w:fill="auto"/>
            <w:vAlign w:val="center"/>
          </w:tcPr>
          <w:p w:rsidR="008651D5" w:rsidRPr="005065A0" w:rsidRDefault="008651D5" w:rsidP="006F66E7">
            <w:pPr>
              <w:pStyle w:val="TableText0"/>
              <w:keepNext w:val="0"/>
              <w:widowControl w:val="0"/>
              <w:rPr>
                <w:iCs/>
                <w:szCs w:val="20"/>
              </w:rPr>
            </w:pPr>
          </w:p>
        </w:tc>
      </w:tr>
      <w:tr w:rsidR="00C14DD9" w:rsidRPr="005065A0" w:rsidTr="005065A0">
        <w:trPr>
          <w:cantSplit/>
        </w:trPr>
        <w:tc>
          <w:tcPr>
            <w:tcW w:w="5000" w:type="pct"/>
            <w:gridSpan w:val="3"/>
            <w:shd w:val="clear" w:color="auto" w:fill="auto"/>
            <w:vAlign w:val="center"/>
          </w:tcPr>
          <w:p w:rsidR="0011581B" w:rsidRPr="005065A0" w:rsidRDefault="0011581B" w:rsidP="002116FF">
            <w:pPr>
              <w:pStyle w:val="TableText0"/>
              <w:keepNext w:val="0"/>
              <w:widowControl w:val="0"/>
              <w:rPr>
                <w:b/>
                <w:iCs/>
                <w:szCs w:val="20"/>
              </w:rPr>
            </w:pPr>
            <w:r w:rsidRPr="005065A0">
              <w:rPr>
                <w:b/>
                <w:szCs w:val="20"/>
              </w:rPr>
              <w:t xml:space="preserve">Market share: Post-TKI </w:t>
            </w:r>
            <w:r w:rsidRPr="005065A0">
              <w:rPr>
                <w:b/>
                <w:iCs/>
                <w:szCs w:val="20"/>
              </w:rPr>
              <w:t>i.e. in the resubmission post sunitinib/pazopanib</w:t>
            </w:r>
            <w:r w:rsidR="000A0331" w:rsidRPr="005065A0">
              <w:rPr>
                <w:b/>
                <w:iCs/>
                <w:szCs w:val="20"/>
              </w:rPr>
              <w:t xml:space="preserve"> </w:t>
            </w:r>
          </w:p>
        </w:tc>
      </w:tr>
      <w:tr w:rsidR="00C14DD9" w:rsidRPr="005065A0" w:rsidTr="005065A0">
        <w:trPr>
          <w:cantSplit/>
        </w:trPr>
        <w:tc>
          <w:tcPr>
            <w:tcW w:w="950" w:type="pct"/>
            <w:shd w:val="clear" w:color="auto" w:fill="auto"/>
            <w:vAlign w:val="center"/>
          </w:tcPr>
          <w:p w:rsidR="0011581B" w:rsidRPr="005065A0" w:rsidRDefault="000A3B0E" w:rsidP="006F66E7">
            <w:pPr>
              <w:pStyle w:val="TableText0"/>
              <w:keepNext w:val="0"/>
              <w:widowControl w:val="0"/>
              <w:rPr>
                <w:szCs w:val="20"/>
              </w:rPr>
            </w:pPr>
            <w:r w:rsidRPr="005065A0">
              <w:rPr>
                <w:szCs w:val="20"/>
              </w:rPr>
              <w:t>C</w:t>
            </w:r>
            <w:r w:rsidR="0011581B" w:rsidRPr="005065A0">
              <w:rPr>
                <w:szCs w:val="20"/>
              </w:rPr>
              <w:t>abozantinib</w:t>
            </w:r>
          </w:p>
        </w:tc>
        <w:tc>
          <w:tcPr>
            <w:tcW w:w="2034" w:type="pct"/>
            <w:shd w:val="clear" w:color="auto" w:fill="auto"/>
            <w:vAlign w:val="center"/>
          </w:tcPr>
          <w:p w:rsidR="0011581B" w:rsidRPr="005065A0" w:rsidRDefault="0011581B" w:rsidP="003268E2">
            <w:pPr>
              <w:pStyle w:val="TableText0"/>
              <w:keepNext w:val="0"/>
              <w:widowControl w:val="0"/>
              <w:rPr>
                <w:szCs w:val="20"/>
              </w:rPr>
            </w:pPr>
            <w:r w:rsidRPr="005065A0">
              <w:rPr>
                <w:szCs w:val="20"/>
              </w:rPr>
              <w:t xml:space="preserve">40%; Assumption. </w:t>
            </w:r>
            <w:r w:rsidRPr="005065A0">
              <w:rPr>
                <w:iCs/>
                <w:szCs w:val="20"/>
              </w:rPr>
              <w:t xml:space="preserve">The </w:t>
            </w:r>
            <w:r w:rsidR="003268E2">
              <w:rPr>
                <w:noProof/>
                <w:color w:val="000000"/>
                <w:highlight w:val="black"/>
              </w:rPr>
              <w:t>'''''''</w:t>
            </w:r>
            <w:r w:rsidRPr="005065A0">
              <w:rPr>
                <w:iCs/>
                <w:szCs w:val="20"/>
              </w:rPr>
              <w:t xml:space="preserve">% of post-TKI market was the agreed cap for cabozantinib post-TKI RSA (7.11, cabozantinib </w:t>
            </w:r>
            <w:r w:rsidR="003268E2">
              <w:rPr>
                <w:iCs/>
                <w:szCs w:val="20"/>
              </w:rPr>
              <w:t>PSD</w:t>
            </w:r>
            <w:r w:rsidRPr="005065A0">
              <w:rPr>
                <w:iCs/>
                <w:szCs w:val="20"/>
              </w:rPr>
              <w:t>, December 2017 PBAC Meeting)</w:t>
            </w:r>
          </w:p>
        </w:tc>
        <w:tc>
          <w:tcPr>
            <w:tcW w:w="2016" w:type="pct"/>
            <w:shd w:val="clear" w:color="auto" w:fill="auto"/>
            <w:vAlign w:val="center"/>
          </w:tcPr>
          <w:p w:rsidR="0011581B" w:rsidRPr="005065A0" w:rsidRDefault="00191917" w:rsidP="00B449AD">
            <w:pPr>
              <w:pStyle w:val="TableText0"/>
              <w:keepNext w:val="0"/>
              <w:widowControl w:val="0"/>
              <w:rPr>
                <w:iCs/>
                <w:szCs w:val="20"/>
              </w:rPr>
            </w:pPr>
            <w:r w:rsidRPr="005065A0">
              <w:rPr>
                <w:iCs/>
                <w:szCs w:val="20"/>
              </w:rPr>
              <w:t xml:space="preserve">The </w:t>
            </w:r>
            <w:r w:rsidR="00B449AD" w:rsidRPr="005065A0">
              <w:rPr>
                <w:iCs/>
                <w:szCs w:val="20"/>
              </w:rPr>
              <w:t>ESC considered this was l</w:t>
            </w:r>
            <w:r w:rsidR="00041ED9" w:rsidRPr="005065A0">
              <w:rPr>
                <w:iCs/>
                <w:szCs w:val="20"/>
              </w:rPr>
              <w:t>ikely o</w:t>
            </w:r>
            <w:r w:rsidR="0011581B" w:rsidRPr="005065A0">
              <w:rPr>
                <w:iCs/>
                <w:szCs w:val="20"/>
              </w:rPr>
              <w:t xml:space="preserve">verestimated. </w:t>
            </w:r>
            <w:r w:rsidR="00112FAF" w:rsidRPr="005065A0">
              <w:rPr>
                <w:iCs/>
                <w:szCs w:val="20"/>
              </w:rPr>
              <w:t xml:space="preserve">The economic model in the previous submission assumed that </w:t>
            </w:r>
            <w:r w:rsidR="0011581B" w:rsidRPr="005065A0">
              <w:rPr>
                <w:iCs/>
                <w:szCs w:val="20"/>
              </w:rPr>
              <w:t xml:space="preserve">16% of patients received cabozantinib after TKI (sunitinib) (Table 14, cabozantinib </w:t>
            </w:r>
            <w:r w:rsidR="003D20A3" w:rsidRPr="005065A0">
              <w:rPr>
                <w:iCs/>
                <w:szCs w:val="20"/>
              </w:rPr>
              <w:t>PSD</w:t>
            </w:r>
            <w:r w:rsidR="0011581B" w:rsidRPr="005065A0">
              <w:rPr>
                <w:iCs/>
                <w:szCs w:val="20"/>
              </w:rPr>
              <w:t>, March 2020 PBAC Meeting)</w:t>
            </w:r>
            <w:r w:rsidR="00112FAF" w:rsidRPr="005065A0">
              <w:rPr>
                <w:iCs/>
                <w:szCs w:val="20"/>
              </w:rPr>
              <w:t>, though a number of issues were identified with this approach</w:t>
            </w:r>
            <w:r w:rsidR="0011581B" w:rsidRPr="005065A0">
              <w:rPr>
                <w:iCs/>
                <w:szCs w:val="20"/>
              </w:rPr>
              <w:t>.</w:t>
            </w:r>
          </w:p>
        </w:tc>
      </w:tr>
      <w:tr w:rsidR="00C14DD9" w:rsidRPr="005065A0" w:rsidTr="005065A0">
        <w:trPr>
          <w:cantSplit/>
        </w:trPr>
        <w:tc>
          <w:tcPr>
            <w:tcW w:w="5000" w:type="pct"/>
            <w:gridSpan w:val="3"/>
            <w:shd w:val="clear" w:color="auto" w:fill="auto"/>
            <w:vAlign w:val="center"/>
          </w:tcPr>
          <w:p w:rsidR="0011581B" w:rsidRPr="005065A0" w:rsidRDefault="0011581B" w:rsidP="002116FF">
            <w:pPr>
              <w:pStyle w:val="TableText0"/>
              <w:keepNext w:val="0"/>
              <w:widowControl w:val="0"/>
              <w:rPr>
                <w:b/>
                <w:iCs/>
                <w:szCs w:val="20"/>
              </w:rPr>
            </w:pPr>
            <w:r w:rsidRPr="005065A0">
              <w:rPr>
                <w:b/>
                <w:szCs w:val="20"/>
              </w:rPr>
              <w:t xml:space="preserve">Market share: Post-IO &amp; TKI </w:t>
            </w:r>
            <w:r w:rsidRPr="005065A0">
              <w:rPr>
                <w:b/>
                <w:iCs/>
                <w:szCs w:val="20"/>
              </w:rPr>
              <w:t>i.e. in the resubmission post NIVO+IPI, then sunitinib/pazopanib</w:t>
            </w:r>
            <w:r w:rsidR="000A0331" w:rsidRPr="005065A0">
              <w:rPr>
                <w:b/>
                <w:iCs/>
                <w:szCs w:val="20"/>
              </w:rPr>
              <w:t xml:space="preserve"> </w:t>
            </w:r>
          </w:p>
        </w:tc>
      </w:tr>
      <w:tr w:rsidR="00C14DD9" w:rsidRPr="005065A0" w:rsidTr="005065A0">
        <w:trPr>
          <w:cantSplit/>
        </w:trPr>
        <w:tc>
          <w:tcPr>
            <w:tcW w:w="950" w:type="pct"/>
            <w:shd w:val="clear" w:color="auto" w:fill="auto"/>
            <w:vAlign w:val="center"/>
          </w:tcPr>
          <w:p w:rsidR="0011581B" w:rsidRPr="005065A0" w:rsidRDefault="00703E89" w:rsidP="006F66E7">
            <w:pPr>
              <w:pStyle w:val="TableText0"/>
              <w:keepNext w:val="0"/>
              <w:widowControl w:val="0"/>
              <w:rPr>
                <w:szCs w:val="20"/>
              </w:rPr>
            </w:pPr>
            <w:r w:rsidRPr="005065A0">
              <w:rPr>
                <w:szCs w:val="20"/>
              </w:rPr>
              <w:t>C</w:t>
            </w:r>
            <w:r w:rsidR="0011581B" w:rsidRPr="005065A0">
              <w:rPr>
                <w:szCs w:val="20"/>
              </w:rPr>
              <w:t>abozantinib</w:t>
            </w:r>
          </w:p>
        </w:tc>
        <w:tc>
          <w:tcPr>
            <w:tcW w:w="2034" w:type="pct"/>
            <w:shd w:val="clear" w:color="auto" w:fill="auto"/>
            <w:vAlign w:val="center"/>
          </w:tcPr>
          <w:p w:rsidR="007275AB" w:rsidRPr="005065A0" w:rsidRDefault="0011581B" w:rsidP="006F66E7">
            <w:pPr>
              <w:pStyle w:val="TableText0"/>
              <w:keepNext w:val="0"/>
              <w:widowControl w:val="0"/>
              <w:rPr>
                <w:szCs w:val="20"/>
              </w:rPr>
            </w:pPr>
            <w:r w:rsidRPr="005065A0">
              <w:rPr>
                <w:szCs w:val="20"/>
              </w:rPr>
              <w:t>90%; 10% PBS analysis of patients receiving NIVO+IPI</w:t>
            </w:r>
            <w:r w:rsidR="007275AB" w:rsidRPr="005065A0">
              <w:rPr>
                <w:szCs w:val="20"/>
              </w:rPr>
              <w:t>.</w:t>
            </w:r>
          </w:p>
          <w:p w:rsidR="0011581B" w:rsidRPr="005065A0" w:rsidRDefault="007275AB" w:rsidP="006F66E7">
            <w:pPr>
              <w:pStyle w:val="TableText0"/>
              <w:keepNext w:val="0"/>
              <w:widowControl w:val="0"/>
              <w:rPr>
                <w:szCs w:val="20"/>
              </w:rPr>
            </w:pPr>
            <w:r w:rsidRPr="005065A0">
              <w:rPr>
                <w:szCs w:val="20"/>
              </w:rPr>
              <w:t>Adjusted to 58% in the pre-PBAC response</w:t>
            </w:r>
            <w:r w:rsidR="00C24DBA" w:rsidRPr="005065A0">
              <w:rPr>
                <w:szCs w:val="20"/>
              </w:rPr>
              <w:t xml:space="preserve">. </w:t>
            </w:r>
          </w:p>
        </w:tc>
        <w:tc>
          <w:tcPr>
            <w:tcW w:w="2016" w:type="pct"/>
            <w:shd w:val="clear" w:color="auto" w:fill="auto"/>
            <w:vAlign w:val="center"/>
          </w:tcPr>
          <w:p w:rsidR="0011581B" w:rsidRPr="005065A0" w:rsidRDefault="00191917" w:rsidP="007275AB">
            <w:pPr>
              <w:pStyle w:val="TableText0"/>
              <w:keepNext w:val="0"/>
              <w:widowControl w:val="0"/>
              <w:rPr>
                <w:iCs/>
                <w:szCs w:val="20"/>
              </w:rPr>
            </w:pPr>
            <w:r w:rsidRPr="005065A0">
              <w:rPr>
                <w:iCs/>
                <w:szCs w:val="20"/>
              </w:rPr>
              <w:t xml:space="preserve">The </w:t>
            </w:r>
            <w:r w:rsidR="007275AB" w:rsidRPr="005065A0">
              <w:rPr>
                <w:iCs/>
                <w:szCs w:val="20"/>
              </w:rPr>
              <w:t>ESC considered 90% was l</w:t>
            </w:r>
            <w:r w:rsidR="00777138" w:rsidRPr="005065A0">
              <w:rPr>
                <w:iCs/>
                <w:szCs w:val="20"/>
              </w:rPr>
              <w:t>ikely o</w:t>
            </w:r>
            <w:r w:rsidR="0011581B" w:rsidRPr="005065A0">
              <w:rPr>
                <w:iCs/>
                <w:szCs w:val="20"/>
              </w:rPr>
              <w:t>verestimated</w:t>
            </w:r>
            <w:r w:rsidR="007275AB" w:rsidRPr="005065A0">
              <w:rPr>
                <w:iCs/>
                <w:szCs w:val="20"/>
              </w:rPr>
              <w:t xml:space="preserve"> and i</w:t>
            </w:r>
            <w:r w:rsidR="001B788B" w:rsidRPr="005065A0">
              <w:rPr>
                <w:iCs/>
                <w:szCs w:val="20"/>
              </w:rPr>
              <w:t xml:space="preserve">nadequately supported by evidence. </w:t>
            </w:r>
            <w:r w:rsidR="0011581B" w:rsidRPr="005065A0">
              <w:rPr>
                <w:iCs/>
                <w:szCs w:val="20"/>
              </w:rPr>
              <w:t xml:space="preserve">Several treatments are PBS listed for this setting. </w:t>
            </w:r>
            <w:r w:rsidR="00F04081" w:rsidRPr="005065A0">
              <w:rPr>
                <w:rFonts w:eastAsia="Calibri"/>
                <w:szCs w:val="20"/>
              </w:rPr>
              <w:t>Overestimating this parameter increases the weighted price.</w:t>
            </w:r>
          </w:p>
        </w:tc>
      </w:tr>
      <w:tr w:rsidR="00C14DD9" w:rsidRPr="005065A0" w:rsidTr="005065A0">
        <w:trPr>
          <w:cantSplit/>
        </w:trPr>
        <w:tc>
          <w:tcPr>
            <w:tcW w:w="5000" w:type="pct"/>
            <w:gridSpan w:val="3"/>
            <w:shd w:val="clear" w:color="auto" w:fill="auto"/>
            <w:vAlign w:val="center"/>
          </w:tcPr>
          <w:p w:rsidR="000E3051" w:rsidRPr="005065A0" w:rsidRDefault="000E3051" w:rsidP="006F66E7">
            <w:pPr>
              <w:pStyle w:val="TableText0"/>
              <w:keepNext w:val="0"/>
              <w:widowControl w:val="0"/>
              <w:rPr>
                <w:b/>
                <w:iCs/>
                <w:szCs w:val="20"/>
              </w:rPr>
            </w:pPr>
            <w:r w:rsidRPr="005065A0">
              <w:rPr>
                <w:b/>
                <w:iCs/>
                <w:szCs w:val="20"/>
              </w:rPr>
              <w:t xml:space="preserve">Progressed patients </w:t>
            </w:r>
          </w:p>
        </w:tc>
      </w:tr>
      <w:tr w:rsidR="00C14DD9" w:rsidRPr="005065A0" w:rsidTr="005065A0">
        <w:trPr>
          <w:cantSplit/>
        </w:trPr>
        <w:tc>
          <w:tcPr>
            <w:tcW w:w="950" w:type="pct"/>
            <w:shd w:val="clear" w:color="auto" w:fill="auto"/>
            <w:vAlign w:val="center"/>
          </w:tcPr>
          <w:p w:rsidR="000E3051" w:rsidRPr="005065A0" w:rsidRDefault="000E3051" w:rsidP="006F66E7">
            <w:pPr>
              <w:pStyle w:val="TableText0"/>
              <w:keepNext w:val="0"/>
              <w:widowControl w:val="0"/>
              <w:rPr>
                <w:szCs w:val="20"/>
              </w:rPr>
            </w:pPr>
            <w:r w:rsidRPr="005065A0">
              <w:rPr>
                <w:szCs w:val="20"/>
              </w:rPr>
              <w:t>1L patients who progress to 2L</w:t>
            </w:r>
          </w:p>
        </w:tc>
        <w:tc>
          <w:tcPr>
            <w:tcW w:w="2034" w:type="pct"/>
            <w:shd w:val="clear" w:color="auto" w:fill="auto"/>
            <w:vAlign w:val="center"/>
          </w:tcPr>
          <w:p w:rsidR="000E3051" w:rsidRPr="005065A0" w:rsidRDefault="000E3051" w:rsidP="006F66E7">
            <w:pPr>
              <w:pStyle w:val="TableText0"/>
              <w:keepNext w:val="0"/>
              <w:widowControl w:val="0"/>
              <w:rPr>
                <w:szCs w:val="20"/>
              </w:rPr>
            </w:pPr>
            <w:r w:rsidRPr="005065A0">
              <w:rPr>
                <w:szCs w:val="20"/>
              </w:rPr>
              <w:t xml:space="preserve">77%; KRAB report. </w:t>
            </w:r>
            <w:r w:rsidR="001B788B" w:rsidRPr="005065A0">
              <w:rPr>
                <w:iCs/>
                <w:szCs w:val="20"/>
              </w:rPr>
              <w:t>A</w:t>
            </w:r>
            <w:r w:rsidRPr="005065A0">
              <w:rPr>
                <w:iCs/>
                <w:szCs w:val="20"/>
              </w:rPr>
              <w:t>ligns with the assumed 85% of patients who were treated in the first line setting receiving a second-line treatment (assumptions used to derive the nivolumab monotherapy RSA, per the RCC March 2017 PSD for nivolumab, paragraph 6.47).</w:t>
            </w:r>
          </w:p>
        </w:tc>
        <w:tc>
          <w:tcPr>
            <w:tcW w:w="2016" w:type="pct"/>
            <w:shd w:val="clear" w:color="auto" w:fill="auto"/>
            <w:vAlign w:val="center"/>
          </w:tcPr>
          <w:p w:rsidR="000E3051" w:rsidRPr="005065A0" w:rsidRDefault="00191917" w:rsidP="00C96763">
            <w:pPr>
              <w:pStyle w:val="TableText0"/>
              <w:keepNext w:val="0"/>
              <w:widowControl w:val="0"/>
              <w:rPr>
                <w:iCs/>
                <w:szCs w:val="20"/>
              </w:rPr>
            </w:pPr>
            <w:r w:rsidRPr="005065A0">
              <w:rPr>
                <w:iCs/>
                <w:szCs w:val="20"/>
              </w:rPr>
              <w:t>The ESC and PBAC considered this r</w:t>
            </w:r>
            <w:r w:rsidR="00FE266C" w:rsidRPr="005065A0">
              <w:rPr>
                <w:iCs/>
                <w:szCs w:val="20"/>
              </w:rPr>
              <w:t>emain</w:t>
            </w:r>
            <w:r w:rsidR="00F2358F" w:rsidRPr="005065A0">
              <w:rPr>
                <w:iCs/>
                <w:szCs w:val="20"/>
              </w:rPr>
              <w:t>ed</w:t>
            </w:r>
            <w:r w:rsidR="00FE266C" w:rsidRPr="005065A0">
              <w:rPr>
                <w:iCs/>
                <w:szCs w:val="20"/>
              </w:rPr>
              <w:t xml:space="preserve"> overly high </w:t>
            </w:r>
            <w:r w:rsidR="00C96763" w:rsidRPr="005065A0">
              <w:rPr>
                <w:iCs/>
                <w:szCs w:val="20"/>
              </w:rPr>
              <w:t xml:space="preserve">and remained largely unchanged </w:t>
            </w:r>
            <w:r w:rsidR="00FE266C" w:rsidRPr="005065A0">
              <w:rPr>
                <w:iCs/>
                <w:szCs w:val="20"/>
              </w:rPr>
              <w:t xml:space="preserve">compared with the </w:t>
            </w:r>
            <w:r w:rsidR="00DD3F90" w:rsidRPr="005065A0">
              <w:rPr>
                <w:iCs/>
                <w:szCs w:val="20"/>
              </w:rPr>
              <w:t>March 2020 resubmission (80%)</w:t>
            </w:r>
            <w:r w:rsidR="00086B50" w:rsidRPr="005065A0">
              <w:rPr>
                <w:iCs/>
                <w:szCs w:val="20"/>
              </w:rPr>
              <w:t>.</w:t>
            </w:r>
            <w:r w:rsidR="00DD3F90" w:rsidRPr="005065A0">
              <w:rPr>
                <w:iCs/>
                <w:szCs w:val="20"/>
              </w:rPr>
              <w:t xml:space="preserve"> </w:t>
            </w:r>
            <w:r w:rsidR="00F04081" w:rsidRPr="005065A0">
              <w:rPr>
                <w:rFonts w:eastAsia="Calibri"/>
                <w:szCs w:val="20"/>
              </w:rPr>
              <w:t xml:space="preserve">KRAB report may lack applicability e.g. 11% received NIVO+IPI 1L (using data commencing Jan 2017), versus 33% in </w:t>
            </w:r>
            <w:r w:rsidR="00C96763" w:rsidRPr="005065A0">
              <w:rPr>
                <w:rFonts w:eastAsia="Calibri"/>
                <w:szCs w:val="20"/>
              </w:rPr>
              <w:t>the DUSC data.</w:t>
            </w:r>
            <w:r w:rsidR="00F04081" w:rsidRPr="005065A0">
              <w:rPr>
                <w:rFonts w:eastAsia="Calibri"/>
                <w:szCs w:val="20"/>
              </w:rPr>
              <w:t xml:space="preserve"> </w:t>
            </w:r>
          </w:p>
        </w:tc>
      </w:tr>
      <w:tr w:rsidR="00C14DD9" w:rsidRPr="005065A0" w:rsidTr="005065A0">
        <w:trPr>
          <w:cantSplit/>
        </w:trPr>
        <w:tc>
          <w:tcPr>
            <w:tcW w:w="950" w:type="pct"/>
            <w:shd w:val="clear" w:color="auto" w:fill="auto"/>
            <w:vAlign w:val="center"/>
          </w:tcPr>
          <w:p w:rsidR="000E3051" w:rsidRPr="005065A0" w:rsidRDefault="000E3051" w:rsidP="006F66E7">
            <w:pPr>
              <w:pStyle w:val="TableText0"/>
              <w:keepNext w:val="0"/>
              <w:widowControl w:val="0"/>
              <w:rPr>
                <w:szCs w:val="20"/>
              </w:rPr>
            </w:pPr>
            <w:r w:rsidRPr="005065A0">
              <w:rPr>
                <w:szCs w:val="20"/>
              </w:rPr>
              <w:t>2L patients who progress to 3L</w:t>
            </w:r>
          </w:p>
        </w:tc>
        <w:tc>
          <w:tcPr>
            <w:tcW w:w="2034" w:type="pct"/>
            <w:shd w:val="clear" w:color="auto" w:fill="auto"/>
            <w:vAlign w:val="center"/>
          </w:tcPr>
          <w:p w:rsidR="000E3051" w:rsidRPr="005065A0" w:rsidRDefault="000E3051" w:rsidP="006F66E7">
            <w:pPr>
              <w:pStyle w:val="TableText0"/>
              <w:keepNext w:val="0"/>
              <w:widowControl w:val="0"/>
              <w:rPr>
                <w:szCs w:val="20"/>
              </w:rPr>
            </w:pPr>
            <w:r w:rsidRPr="005065A0">
              <w:rPr>
                <w:szCs w:val="20"/>
              </w:rPr>
              <w:t>64%; KRAB report</w:t>
            </w:r>
          </w:p>
        </w:tc>
        <w:tc>
          <w:tcPr>
            <w:tcW w:w="2016" w:type="pct"/>
            <w:shd w:val="clear" w:color="auto" w:fill="auto"/>
            <w:vAlign w:val="center"/>
          </w:tcPr>
          <w:p w:rsidR="000E3051" w:rsidRPr="005065A0" w:rsidRDefault="00191917" w:rsidP="00191917">
            <w:pPr>
              <w:pStyle w:val="TableText0"/>
              <w:keepNext w:val="0"/>
              <w:widowControl w:val="0"/>
              <w:rPr>
                <w:iCs/>
                <w:szCs w:val="20"/>
              </w:rPr>
            </w:pPr>
            <w:r w:rsidRPr="005065A0">
              <w:rPr>
                <w:iCs/>
                <w:szCs w:val="20"/>
              </w:rPr>
              <w:t>The ESC and PBAC considered this r</w:t>
            </w:r>
            <w:r w:rsidR="00F2358F" w:rsidRPr="005065A0">
              <w:rPr>
                <w:iCs/>
                <w:szCs w:val="20"/>
              </w:rPr>
              <w:t xml:space="preserve">emained overly high compared with the March </w:t>
            </w:r>
            <w:r w:rsidR="00C321B9" w:rsidRPr="005065A0">
              <w:rPr>
                <w:iCs/>
                <w:szCs w:val="20"/>
              </w:rPr>
              <w:t>2020 resubmission (60%)</w:t>
            </w:r>
            <w:r w:rsidR="00086B50" w:rsidRPr="005065A0">
              <w:rPr>
                <w:iCs/>
                <w:szCs w:val="20"/>
              </w:rPr>
              <w:t>.</w:t>
            </w:r>
            <w:r w:rsidR="00584DF5" w:rsidRPr="005065A0">
              <w:rPr>
                <w:iCs/>
                <w:szCs w:val="20"/>
              </w:rPr>
              <w:t xml:space="preserve"> Likely overestimated per comment above.</w:t>
            </w:r>
          </w:p>
        </w:tc>
      </w:tr>
    </w:tbl>
    <w:p w:rsidR="00A62E4E" w:rsidRPr="00C24DBA" w:rsidRDefault="00A62E4E" w:rsidP="00A62E4E">
      <w:pPr>
        <w:pStyle w:val="TableFigureFooter"/>
      </w:pPr>
      <w:r w:rsidRPr="00C24DBA">
        <w:lastRenderedPageBreak/>
        <w:t>Source: Developed based on Table 4-1 p31; Table 4-2 p35; Table 4-9 p43; Table 4-10 p43; Attachment 4 - Epidemiology model.xlsx; Section 4 cost and utilisation model.xlsx</w:t>
      </w:r>
    </w:p>
    <w:p w:rsidR="00A62E4E" w:rsidRPr="00C24DBA" w:rsidRDefault="00A62E4E" w:rsidP="000F6997">
      <w:pPr>
        <w:pStyle w:val="TableFigureFooter"/>
        <w:spacing w:after="240"/>
      </w:pPr>
      <w:r w:rsidRPr="00C24DBA">
        <w:t xml:space="preserve">Abbreviations: </w:t>
      </w:r>
      <w:r w:rsidRPr="00C24DBA">
        <w:rPr>
          <w:rStyle w:val="normaltextrun"/>
          <w:color w:val="000000"/>
          <w:szCs w:val="18"/>
          <w:shd w:val="clear" w:color="auto" w:fill="FFFFFF"/>
        </w:rPr>
        <w:t>1L = first-line; 2L = second-line</w:t>
      </w:r>
      <w:r w:rsidR="0044060A" w:rsidRPr="00C24DBA">
        <w:rPr>
          <w:rStyle w:val="normaltextrun"/>
          <w:rFonts w:cs="Browallia New"/>
          <w:color w:val="000000"/>
          <w:shd w:val="clear" w:color="auto" w:fill="FFFFFF"/>
          <w:lang w:bidi="th-TH"/>
        </w:rPr>
        <w:t xml:space="preserve">; 3L </w:t>
      </w:r>
      <w:r w:rsidR="00B15D30" w:rsidRPr="00C24DBA">
        <w:rPr>
          <w:rStyle w:val="normaltextrun"/>
          <w:rFonts w:cs="Browallia New"/>
          <w:color w:val="000000"/>
          <w:shd w:val="clear" w:color="auto" w:fill="FFFFFF"/>
          <w:lang w:bidi="th-TH"/>
        </w:rPr>
        <w:t>= third-line;</w:t>
      </w:r>
      <w:r w:rsidRPr="00C24DBA">
        <w:rPr>
          <w:rStyle w:val="normaltextrun"/>
          <w:color w:val="000000"/>
          <w:szCs w:val="18"/>
          <w:shd w:val="clear" w:color="auto" w:fill="FFFFFF"/>
        </w:rPr>
        <w:t xml:space="preserve"> ABS = Australian Bureau of Statistics; </w:t>
      </w:r>
      <w:r w:rsidRPr="00C24DBA">
        <w:rPr>
          <w:szCs w:val="18"/>
        </w:rPr>
        <w:t>AEMP =</w:t>
      </w:r>
      <w:r w:rsidRPr="00C24DBA">
        <w:t xml:space="preserve"> </w:t>
      </w:r>
      <w:r w:rsidRPr="00C24DBA">
        <w:rPr>
          <w:szCs w:val="18"/>
        </w:rPr>
        <w:t>approved ex-manufacturer price;</w:t>
      </w:r>
      <w:r w:rsidRPr="00C24DBA">
        <w:rPr>
          <w:rStyle w:val="normaltextrun"/>
          <w:color w:val="000000"/>
          <w:szCs w:val="18"/>
          <w:shd w:val="clear" w:color="auto" w:fill="FFFFFF"/>
        </w:rPr>
        <w:t xml:space="preserve"> AIHW = Australian Institute of Health and Welfare; DUSC = Drug Utilisation Sub Committee; IO = immunotherapy; KRAB = </w:t>
      </w:r>
      <w:r w:rsidRPr="00C24DBA">
        <w:t>Kidney CanceR Australian Registry and Biobank</w:t>
      </w:r>
      <w:r w:rsidRPr="00C24DBA">
        <w:rPr>
          <w:rStyle w:val="normaltextrun"/>
          <w:color w:val="000000"/>
          <w:szCs w:val="18"/>
          <w:shd w:val="clear" w:color="auto" w:fill="FFFFFF"/>
        </w:rPr>
        <w:t>; MBS = Medicare Benefits Scheme; NIVO+IPI = nivolumab+ipilimumab;</w:t>
      </w:r>
      <w:r w:rsidR="00375990" w:rsidRPr="00C24DBA">
        <w:rPr>
          <w:rStyle w:val="normaltextrun"/>
          <w:color w:val="000000"/>
          <w:szCs w:val="18"/>
          <w:shd w:val="clear" w:color="auto" w:fill="FFFFFF"/>
        </w:rPr>
        <w:t xml:space="preserve"> PBAC = Pharmaceutical Benefits Advisory Committee;</w:t>
      </w:r>
      <w:r w:rsidRPr="00C24DBA">
        <w:rPr>
          <w:rStyle w:val="normaltextrun"/>
          <w:color w:val="000000"/>
          <w:szCs w:val="18"/>
          <w:shd w:val="clear" w:color="auto" w:fill="FFFFFF"/>
        </w:rPr>
        <w:t xml:space="preserve"> PBS = Pharmaceutical Benefits Scheme; PFS = progression free survival; PSD = Public Summary Document; RCC = renal cell carcinoma; RPBS = Repatriation Pharmaceutical Benefits Scheme; RSA = Risk Sharing Agreement; TKI = tyrosine kinase inhibitor; TOT = time on treatment </w:t>
      </w:r>
    </w:p>
    <w:p w:rsidR="00C45D0C" w:rsidRPr="00C24DBA" w:rsidRDefault="008739F7" w:rsidP="00C45D0C">
      <w:pPr>
        <w:pStyle w:val="3-BodyText"/>
        <w:rPr>
          <w:color w:val="0066FF"/>
        </w:rPr>
      </w:pPr>
      <w:r w:rsidRPr="00C24DBA">
        <w:t>T</w:t>
      </w:r>
      <w:r w:rsidR="00C45D0C" w:rsidRPr="00C24DBA">
        <w:t xml:space="preserve">he ESC </w:t>
      </w:r>
      <w:r w:rsidR="00D66BD5" w:rsidRPr="00C24DBA">
        <w:t xml:space="preserve">considered </w:t>
      </w:r>
      <w:r w:rsidR="00C45D0C" w:rsidRPr="00C24DBA">
        <w:t>t</w:t>
      </w:r>
      <w:r w:rsidR="001B69B4" w:rsidRPr="00C24DBA">
        <w:t xml:space="preserve">he use of all </w:t>
      </w:r>
      <w:r w:rsidR="00DF7921" w:rsidRPr="00C24DBA">
        <w:t xml:space="preserve">treatments </w:t>
      </w:r>
      <w:r w:rsidR="001B69B4" w:rsidRPr="00C24DBA">
        <w:t xml:space="preserve">was likely </w:t>
      </w:r>
      <w:r w:rsidR="00C45D0C" w:rsidRPr="00C24DBA">
        <w:t xml:space="preserve">substantially </w:t>
      </w:r>
      <w:r w:rsidR="001B69B4" w:rsidRPr="00C24DBA">
        <w:t>overestimated</w:t>
      </w:r>
      <w:r w:rsidR="00C45D0C" w:rsidRPr="00C24DBA">
        <w:t xml:space="preserve"> due to:</w:t>
      </w:r>
    </w:p>
    <w:p w:rsidR="00C45D0C" w:rsidRPr="00C24DBA" w:rsidRDefault="001B69B4" w:rsidP="007A5CBF">
      <w:pPr>
        <w:pStyle w:val="3-BodyText"/>
        <w:numPr>
          <w:ilvl w:val="0"/>
          <w:numId w:val="12"/>
        </w:numPr>
        <w:rPr>
          <w:color w:val="0066FF"/>
        </w:rPr>
      </w:pPr>
      <w:r w:rsidRPr="00C24DBA">
        <w:t>the number of patients starting first-line treatment</w:t>
      </w:r>
      <w:r w:rsidR="00C45D0C" w:rsidRPr="00C24DBA">
        <w:t xml:space="preserve"> </w:t>
      </w:r>
      <w:r w:rsidR="00412136" w:rsidRPr="00C24DBA">
        <w:t xml:space="preserve">was </w:t>
      </w:r>
      <w:r w:rsidR="00C45D0C" w:rsidRPr="00C24DBA">
        <w:t>overestimated</w:t>
      </w:r>
      <w:r w:rsidRPr="00C24DBA">
        <w:t xml:space="preserve">. </w:t>
      </w:r>
      <w:r w:rsidR="00DF7921" w:rsidRPr="00C24DBA">
        <w:t xml:space="preserve">The resubmission continued to apply assumptions in the financial estimates which the PBAC had noted were likely to result in an overestimate of the treated population including: the proportion of patients with RCC and the proportion diagnosed with stage IV disease were higher than those available elsewhere in the literature; and that assuming 23% of early stage patients progress to stage IV results in double-counted patients (Table 19 and para 6.54, cabozantinib </w:t>
      </w:r>
      <w:r w:rsidR="003268E2">
        <w:t>PSD</w:t>
      </w:r>
      <w:r w:rsidR="00DF7921" w:rsidRPr="00C24DBA">
        <w:t xml:space="preserve">, March 2020 PBAC Meeting). The ESC </w:t>
      </w:r>
      <w:r w:rsidR="00C96763" w:rsidRPr="00C24DBA">
        <w:t>further</w:t>
      </w:r>
      <w:r w:rsidR="00DF7921" w:rsidRPr="00C24DBA">
        <w:t xml:space="preserve"> </w:t>
      </w:r>
      <w:r w:rsidR="00E0515C" w:rsidRPr="00C24DBA">
        <w:t>considered</w:t>
      </w:r>
      <w:r w:rsidR="00873168" w:rsidRPr="00C24DBA">
        <w:t xml:space="preserve"> </w:t>
      </w:r>
      <w:r w:rsidR="00DF7921" w:rsidRPr="00C24DBA">
        <w:t xml:space="preserve">that the approach used to estimate the TKI-naïve eligible population appeared unnecessarily complex given that data estimating the number of patients starting RCC treatment had </w:t>
      </w:r>
      <w:r w:rsidR="00412136" w:rsidRPr="00C24DBA">
        <w:t xml:space="preserve">already </w:t>
      </w:r>
      <w:r w:rsidR="00DF7921" w:rsidRPr="00C24DBA">
        <w:t xml:space="preserve">been provided by the DUSC Secretariat. </w:t>
      </w:r>
      <w:r w:rsidR="00D66BD5" w:rsidRPr="00C24DBA">
        <w:t>To address this, the pre-PBAC response adjusted its estimate of the number of patients starting first-line treatment to be based the data provided by the DUSC Secretariat. The pre-PBAC response applied a growth rate of 4.2% per year based on growth in the number of patients initiating PBS-subs</w:t>
      </w:r>
      <w:r w:rsidR="00E0515C" w:rsidRPr="00C24DBA">
        <w:t>i</w:t>
      </w:r>
      <w:r w:rsidR="00D66BD5" w:rsidRPr="00C24DBA">
        <w:t>dised first-line RCC treatment.</w:t>
      </w:r>
      <w:r w:rsidR="004A5F69" w:rsidRPr="00C24DBA">
        <w:t xml:space="preserve"> </w:t>
      </w:r>
      <w:r w:rsidR="00836DFE" w:rsidRPr="00C24DBA">
        <w:t>The PBAC considered this was reasonable.</w:t>
      </w:r>
    </w:p>
    <w:p w:rsidR="004F4240" w:rsidRPr="00C24DBA" w:rsidRDefault="001B69B4" w:rsidP="00B05E78">
      <w:pPr>
        <w:pStyle w:val="ListParagraph"/>
        <w:numPr>
          <w:ilvl w:val="0"/>
          <w:numId w:val="12"/>
        </w:numPr>
        <w:rPr>
          <w:color w:val="0066FF"/>
        </w:rPr>
      </w:pPr>
      <w:r w:rsidRPr="00C24DBA">
        <w:t xml:space="preserve">the likely overestimated proportions of patients receiving second-line and third-line treatment. </w:t>
      </w:r>
      <w:r w:rsidR="00873168" w:rsidRPr="00C24DBA">
        <w:t>The resubmission assumed that 77% of patients receiving first-line treatment will receive second-line treatment and 64% of patients receiving second-line treatment will receive third-line treatment based on the Kidney CanceR Australian Registry and Biobank (KRAB) report. T</w:t>
      </w:r>
      <w:r w:rsidR="00873168" w:rsidRPr="00C24DBA">
        <w:rPr>
          <w:bCs/>
          <w:iCs/>
        </w:rPr>
        <w:t xml:space="preserve">he applicability of the KRAB report to the PBS setting was unclear. </w:t>
      </w:r>
      <w:r w:rsidR="00B05E78" w:rsidRPr="00C24DBA">
        <w:rPr>
          <w:bCs/>
          <w:iCs/>
        </w:rPr>
        <w:t>In particular</w:t>
      </w:r>
      <w:r w:rsidR="00873168" w:rsidRPr="00C24DBA">
        <w:rPr>
          <w:bCs/>
          <w:iCs/>
        </w:rPr>
        <w:t xml:space="preserve">, the report included retrospective data from 1 January 2017 which was prior to the listing of NIVO+IPI on 1 March 2019. While </w:t>
      </w:r>
      <w:r w:rsidR="007E672B" w:rsidRPr="00C24DBA">
        <w:rPr>
          <w:bCs/>
          <w:iCs/>
        </w:rPr>
        <w:t xml:space="preserve">the resubmission assumed that </w:t>
      </w:r>
      <w:r w:rsidR="00873168" w:rsidRPr="00C24DBA">
        <w:rPr>
          <w:bCs/>
          <w:iCs/>
        </w:rPr>
        <w:t xml:space="preserve">33% of patients receive NIVO+IPI as first-line treatment (based on data from the DUSC), only 11% of patients received NIVO+IPI as first-line treatment in the KRAB report. </w:t>
      </w:r>
      <w:r w:rsidR="00873168" w:rsidRPr="00C24DBA">
        <w:t>If a higher proportion of patients receive NIVO+IPI (as assumed by the resubmission), a lower proportion would be expected to progress to second-line treatment than in the KRAB report given the higher efficacy of NIVO+IPI compared with other drugs used in the first-line setting.</w:t>
      </w:r>
      <w:r w:rsidR="00873168" w:rsidRPr="00C24DBA">
        <w:rPr>
          <w:iCs/>
        </w:rPr>
        <w:t xml:space="preserve"> Overall, the </w:t>
      </w:r>
      <w:r w:rsidR="007E672B" w:rsidRPr="00C24DBA">
        <w:rPr>
          <w:iCs/>
        </w:rPr>
        <w:t xml:space="preserve">ESC and the PBAC considered that the </w:t>
      </w:r>
      <w:r w:rsidR="00873168" w:rsidRPr="00C24DBA">
        <w:rPr>
          <w:iCs/>
        </w:rPr>
        <w:t>application of these estimates from the KRAB report likely overestimated the number of patients progressing to later-line cabozantinib. The estimates of 77% and 64% were</w:t>
      </w:r>
      <w:r w:rsidR="00B05E78" w:rsidRPr="00C24DBA">
        <w:rPr>
          <w:iCs/>
        </w:rPr>
        <w:t xml:space="preserve"> very similar to those applied in the March 2020 resubmission (80% and 64% in second and third-line, respectively), which the PBAC previously </w:t>
      </w:r>
      <w:r w:rsidR="00B05E78" w:rsidRPr="00C24DBA">
        <w:rPr>
          <w:iCs/>
        </w:rPr>
        <w:lastRenderedPageBreak/>
        <w:t>identified as being uncertain and resulting in overestimates of use.</w:t>
      </w:r>
      <w:r w:rsidR="00873168" w:rsidRPr="00C24DBA">
        <w:rPr>
          <w:iCs/>
        </w:rPr>
        <w:t xml:space="preserve"> </w:t>
      </w:r>
      <w:r w:rsidR="00B449AD" w:rsidRPr="00C24DBA">
        <w:t xml:space="preserve">The PBAC </w:t>
      </w:r>
      <w:r w:rsidR="00C96763" w:rsidRPr="00C24DBA">
        <w:t xml:space="preserve">agreed with the ESC </w:t>
      </w:r>
      <w:r w:rsidR="00276069" w:rsidRPr="00C24DBA">
        <w:t>that</w:t>
      </w:r>
      <w:r w:rsidR="00B449AD" w:rsidRPr="00C24DBA">
        <w:t xml:space="preserve"> these proportions were overestimated. </w:t>
      </w:r>
    </w:p>
    <w:p w:rsidR="001B69B4" w:rsidRPr="00C24DBA" w:rsidRDefault="00432D4C" w:rsidP="007275AB">
      <w:pPr>
        <w:pStyle w:val="3-BodyText"/>
        <w:rPr>
          <w:color w:val="0066FF"/>
        </w:rPr>
      </w:pPr>
      <w:r w:rsidRPr="00C24DBA">
        <w:t xml:space="preserve">The ESC </w:t>
      </w:r>
      <w:r w:rsidR="00276069" w:rsidRPr="00C24DBA">
        <w:t xml:space="preserve">considered that </w:t>
      </w:r>
      <w:r w:rsidRPr="00C24DBA">
        <w:t xml:space="preserve">the use of cabozantinib </w:t>
      </w:r>
      <w:r w:rsidR="002116FF" w:rsidRPr="00C24DBA">
        <w:t>post-</w:t>
      </w:r>
      <w:r w:rsidRPr="00C24DBA">
        <w:t>TKI, both for the status quo and new listing</w:t>
      </w:r>
      <w:r w:rsidR="00DC199C" w:rsidRPr="00C24DBA">
        <w:t xml:space="preserve"> scenario</w:t>
      </w:r>
      <w:r w:rsidRPr="00C24DBA">
        <w:t>, w</w:t>
      </w:r>
      <w:r w:rsidR="000D46D1" w:rsidRPr="00C24DBA">
        <w:t>as</w:t>
      </w:r>
      <w:r w:rsidR="001B69B4" w:rsidRPr="00C24DBA">
        <w:t xml:space="preserve"> </w:t>
      </w:r>
      <w:r w:rsidR="006F66E7" w:rsidRPr="00C24DBA">
        <w:t xml:space="preserve">likely </w:t>
      </w:r>
      <w:r w:rsidR="00DC199C" w:rsidRPr="00C24DBA">
        <w:t xml:space="preserve">further </w:t>
      </w:r>
      <w:r w:rsidR="001B69B4" w:rsidRPr="00C24DBA">
        <w:t>overestimated</w:t>
      </w:r>
      <w:r w:rsidR="00000938" w:rsidRPr="00C24DBA">
        <w:t xml:space="preserve">, in particular </w:t>
      </w:r>
      <w:r w:rsidRPr="00C24DBA">
        <w:t>due to overestimating the</w:t>
      </w:r>
      <w:r w:rsidR="001B69B4" w:rsidRPr="00C24DBA">
        <w:t xml:space="preserve"> market share of cabozantinib </w:t>
      </w:r>
      <w:r w:rsidR="00000938" w:rsidRPr="00C24DBA">
        <w:t>post-IO and post-TKI (90%).</w:t>
      </w:r>
      <w:r w:rsidR="001B69B4" w:rsidRPr="00C24DBA">
        <w:t xml:space="preserve"> There was no evidence for such </w:t>
      </w:r>
      <w:r w:rsidR="002116FF" w:rsidRPr="00C24DBA">
        <w:t>high use of cabozantinib in th</w:t>
      </w:r>
      <w:r w:rsidR="00000938" w:rsidRPr="00C24DBA">
        <w:t>is</w:t>
      </w:r>
      <w:r w:rsidR="002116FF" w:rsidRPr="00C24DBA">
        <w:t xml:space="preserve"> </w:t>
      </w:r>
      <w:r w:rsidR="001B69B4" w:rsidRPr="00C24DBA">
        <w:t xml:space="preserve">setting. </w:t>
      </w:r>
      <w:r w:rsidR="007275AB" w:rsidRPr="00C24DBA">
        <w:t xml:space="preserve">To address this, the pre-PBAC response adjusted the proportion of patients receiving cabozantinib in the </w:t>
      </w:r>
      <w:r w:rsidR="00D66BD5" w:rsidRPr="00C24DBA">
        <w:t>post-IO and post-TKI (third-line)</w:t>
      </w:r>
      <w:r w:rsidR="007275AB" w:rsidRPr="00C24DBA">
        <w:t xml:space="preserve"> setting from 90% to 58%. No basis was provided for the revised figure, though the pre-PBAC response argue</w:t>
      </w:r>
      <w:r w:rsidR="00D66BD5" w:rsidRPr="00C24DBA">
        <w:t>d</w:t>
      </w:r>
      <w:r w:rsidR="007275AB" w:rsidRPr="00C24DBA">
        <w:t xml:space="preserve"> that a high market share was selected on the basis of superior clinical data from METEOR, compared to the remaining treatment options available for patients (i.e. axitinib, everolimus or sorafenib).</w:t>
      </w:r>
    </w:p>
    <w:p w:rsidR="00B80CE6" w:rsidRPr="00C24DBA" w:rsidRDefault="00432D4C" w:rsidP="00534D5F">
      <w:pPr>
        <w:pStyle w:val="3-BodyText"/>
        <w:rPr>
          <w:color w:val="0066FF"/>
        </w:rPr>
      </w:pPr>
      <w:r w:rsidRPr="00C24DBA">
        <w:t xml:space="preserve">The ESC noted the </w:t>
      </w:r>
      <w:r w:rsidR="00403302" w:rsidRPr="00C24DBA">
        <w:t xml:space="preserve">proportion of </w:t>
      </w:r>
      <w:r w:rsidRPr="00C24DBA">
        <w:t xml:space="preserve">use of cabozantinib in </w:t>
      </w:r>
      <w:r w:rsidR="00825255" w:rsidRPr="00C24DBA">
        <w:t xml:space="preserve">the (lower priced) </w:t>
      </w:r>
      <w:r w:rsidRPr="00C24DBA">
        <w:t>TKI</w:t>
      </w:r>
      <w:r w:rsidR="000D46D1" w:rsidRPr="00C24DBA">
        <w:t>-</w:t>
      </w:r>
      <w:r w:rsidRPr="00C24DBA">
        <w:t xml:space="preserve">naïve </w:t>
      </w:r>
      <w:r w:rsidR="00825255" w:rsidRPr="00C24DBA">
        <w:t xml:space="preserve">setting </w:t>
      </w:r>
      <w:r w:rsidR="004855CF" w:rsidRPr="00C24DBA">
        <w:t>was likely underestimated</w:t>
      </w:r>
      <w:r w:rsidRPr="00C24DBA">
        <w:t xml:space="preserve"> </w:t>
      </w:r>
      <w:r w:rsidR="00403302" w:rsidRPr="00C24DBA">
        <w:t xml:space="preserve">(although not the </w:t>
      </w:r>
      <w:r w:rsidR="00A62C07" w:rsidRPr="00C24DBA">
        <w:t>number of scripts</w:t>
      </w:r>
      <w:r w:rsidR="00403302" w:rsidRPr="00C24DBA">
        <w:t xml:space="preserve"> for the reasons outlined above) </w:t>
      </w:r>
      <w:r w:rsidRPr="00C24DBA">
        <w:t>due to</w:t>
      </w:r>
      <w:r w:rsidR="00825255" w:rsidRPr="00C24DBA">
        <w:t xml:space="preserve"> the following assumptions regarding market share</w:t>
      </w:r>
      <w:r w:rsidRPr="00C24DBA">
        <w:t>:</w:t>
      </w:r>
    </w:p>
    <w:p w:rsidR="004855CF" w:rsidRPr="00C24DBA" w:rsidRDefault="000D46D1" w:rsidP="007A5CBF">
      <w:pPr>
        <w:pStyle w:val="3-BodyText"/>
        <w:numPr>
          <w:ilvl w:val="0"/>
          <w:numId w:val="12"/>
        </w:numPr>
        <w:spacing w:after="0"/>
        <w:rPr>
          <w:iCs/>
        </w:rPr>
      </w:pPr>
      <w:r w:rsidRPr="00C24DBA">
        <w:rPr>
          <w:iCs/>
        </w:rPr>
        <w:t xml:space="preserve">first-line </w:t>
      </w:r>
      <w:r w:rsidR="004855CF" w:rsidRPr="00C24DBA">
        <w:rPr>
          <w:iCs/>
        </w:rPr>
        <w:t>treatment</w:t>
      </w:r>
      <w:r w:rsidR="00825255" w:rsidRPr="00C24DBA">
        <w:rPr>
          <w:iCs/>
        </w:rPr>
        <w:t>-</w:t>
      </w:r>
      <w:r w:rsidR="004855CF" w:rsidRPr="00C24DBA">
        <w:rPr>
          <w:iCs/>
        </w:rPr>
        <w:t xml:space="preserve">naïve patients: 10% market share for cabozantinib. This appears low in comparison to the assumed 57% market share for </w:t>
      </w:r>
      <w:r w:rsidRPr="00C24DBA">
        <w:rPr>
          <w:iCs/>
        </w:rPr>
        <w:t>sunitinib/pazopanib</w:t>
      </w:r>
      <w:r w:rsidR="007E672B" w:rsidRPr="00C24DBA">
        <w:rPr>
          <w:iCs/>
        </w:rPr>
        <w:t xml:space="preserve">. The ESC and PBAC considered that the resubmission’s estimate that sunitinib/pazopanib would have a 57% share of the first-line </w:t>
      </w:r>
      <w:r w:rsidR="007A5CBF" w:rsidRPr="00C24DBA">
        <w:rPr>
          <w:iCs/>
        </w:rPr>
        <w:t xml:space="preserve">(treatment-naïve) </w:t>
      </w:r>
      <w:r w:rsidR="007E672B" w:rsidRPr="00C24DBA">
        <w:rPr>
          <w:iCs/>
        </w:rPr>
        <w:t>market was</w:t>
      </w:r>
      <w:r w:rsidR="007E672B" w:rsidRPr="00C24DBA">
        <w:t xml:space="preserve"> </w:t>
      </w:r>
      <w:r w:rsidR="007E672B" w:rsidRPr="00C24DBA">
        <w:rPr>
          <w:iCs/>
        </w:rPr>
        <w:t xml:space="preserve">implausibly high </w:t>
      </w:r>
      <w:r w:rsidR="007A5CBF" w:rsidRPr="00C24DBA">
        <w:rPr>
          <w:iCs/>
        </w:rPr>
        <w:t>and reflected</w:t>
      </w:r>
      <w:r w:rsidR="007E672B" w:rsidRPr="00C24DBA">
        <w:rPr>
          <w:iCs/>
        </w:rPr>
        <w:t xml:space="preserve"> the potential underestimation of NIVO+IPI use. </w:t>
      </w:r>
      <w:r w:rsidR="007A5CBF" w:rsidRPr="00C24DBA">
        <w:rPr>
          <w:iCs/>
        </w:rPr>
        <w:t>The estimate of 57% was s</w:t>
      </w:r>
      <w:r w:rsidR="007E672B" w:rsidRPr="00C24DBA">
        <w:rPr>
          <w:iCs/>
        </w:rPr>
        <w:t>ignificantly higher than in the previous submission where all patients who were intermediate-to-poor risk who were unsuitable for immunotherapy were assumed to receive cabozantinib</w:t>
      </w:r>
      <w:r w:rsidR="004855CF" w:rsidRPr="00C24DBA">
        <w:rPr>
          <w:iCs/>
        </w:rPr>
        <w:t>.</w:t>
      </w:r>
    </w:p>
    <w:p w:rsidR="004855CF" w:rsidRPr="00C24DBA" w:rsidRDefault="00825255" w:rsidP="007A5CBF">
      <w:pPr>
        <w:pStyle w:val="3-BodyText"/>
        <w:numPr>
          <w:ilvl w:val="0"/>
          <w:numId w:val="12"/>
        </w:numPr>
        <w:rPr>
          <w:iCs/>
        </w:rPr>
      </w:pPr>
      <w:r w:rsidRPr="00C24DBA">
        <w:rPr>
          <w:iCs/>
        </w:rPr>
        <w:t>second-line</w:t>
      </w:r>
      <w:r w:rsidR="004855CF" w:rsidRPr="00C24DBA">
        <w:rPr>
          <w:iCs/>
        </w:rPr>
        <w:t xml:space="preserve"> following </w:t>
      </w:r>
      <w:r w:rsidR="000D46D1" w:rsidRPr="00C24DBA">
        <w:rPr>
          <w:iCs/>
        </w:rPr>
        <w:t>NIVO+IPI</w:t>
      </w:r>
      <w:r w:rsidR="004855CF" w:rsidRPr="00C24DBA">
        <w:rPr>
          <w:iCs/>
        </w:rPr>
        <w:t xml:space="preserve">: 33% market share for </w:t>
      </w:r>
      <w:r w:rsidRPr="00C24DBA">
        <w:rPr>
          <w:iCs/>
        </w:rPr>
        <w:t>first-line</w:t>
      </w:r>
      <w:r w:rsidR="004855CF" w:rsidRPr="00C24DBA">
        <w:rPr>
          <w:iCs/>
        </w:rPr>
        <w:t xml:space="preserve"> </w:t>
      </w:r>
      <w:r w:rsidR="000D46D1" w:rsidRPr="00C24DBA">
        <w:rPr>
          <w:iCs/>
        </w:rPr>
        <w:t>NIVO+IPI</w:t>
      </w:r>
      <w:r w:rsidR="00403302" w:rsidRPr="00C24DBA">
        <w:rPr>
          <w:iCs/>
        </w:rPr>
        <w:t xml:space="preserve">. </w:t>
      </w:r>
      <w:r w:rsidR="005C4305" w:rsidRPr="00C24DBA">
        <w:t>The ESC</w:t>
      </w:r>
      <w:r w:rsidR="007E672B" w:rsidRPr="00C24DBA">
        <w:t xml:space="preserve"> and PBAC</w:t>
      </w:r>
      <w:r w:rsidR="005C4305" w:rsidRPr="00C24DBA">
        <w:t xml:space="preserve"> considered that the market share of NIVO+IPI was underestimated as the DUSC utilisation data </w:t>
      </w:r>
      <w:r w:rsidR="005C4305" w:rsidRPr="00C24DBA">
        <w:rPr>
          <w:iCs/>
        </w:rPr>
        <w:t>likely reflects its recent listing, which will likely increase over time.</w:t>
      </w:r>
      <w:r w:rsidR="00403302" w:rsidRPr="00C24DBA">
        <w:rPr>
          <w:iCs/>
        </w:rPr>
        <w:t xml:space="preserve"> Underestimating the </w:t>
      </w:r>
      <w:r w:rsidRPr="00C24DBA">
        <w:rPr>
          <w:iCs/>
        </w:rPr>
        <w:t>first-line</w:t>
      </w:r>
      <w:r w:rsidR="00403302" w:rsidRPr="00C24DBA">
        <w:rPr>
          <w:iCs/>
        </w:rPr>
        <w:t xml:space="preserve"> use of </w:t>
      </w:r>
      <w:r w:rsidR="000D46D1" w:rsidRPr="00C24DBA">
        <w:rPr>
          <w:iCs/>
        </w:rPr>
        <w:t xml:space="preserve">NIVO+IPI </w:t>
      </w:r>
      <w:r w:rsidR="00403302" w:rsidRPr="00C24DBA">
        <w:rPr>
          <w:iCs/>
        </w:rPr>
        <w:t xml:space="preserve">results in the </w:t>
      </w:r>
      <w:r w:rsidRPr="00C24DBA">
        <w:rPr>
          <w:iCs/>
        </w:rPr>
        <w:t xml:space="preserve">relative </w:t>
      </w:r>
      <w:r w:rsidR="00403302" w:rsidRPr="00C24DBA">
        <w:rPr>
          <w:iCs/>
        </w:rPr>
        <w:t xml:space="preserve">use of </w:t>
      </w:r>
      <w:r w:rsidRPr="00C24DBA">
        <w:rPr>
          <w:iCs/>
        </w:rPr>
        <w:t>second-line post-immunotherapy</w:t>
      </w:r>
      <w:r w:rsidR="00403302" w:rsidRPr="00C24DBA">
        <w:rPr>
          <w:iCs/>
        </w:rPr>
        <w:t xml:space="preserve"> cabozantinib being underestimated.</w:t>
      </w:r>
      <w:r w:rsidR="007E672B" w:rsidRPr="00C24DBA">
        <w:rPr>
          <w:iCs/>
        </w:rPr>
        <w:t xml:space="preserve"> </w:t>
      </w:r>
    </w:p>
    <w:p w:rsidR="00B84209" w:rsidRPr="00C24DBA" w:rsidRDefault="00E37835" w:rsidP="00B84209">
      <w:pPr>
        <w:pStyle w:val="3-BodyText"/>
        <w:rPr>
          <w:iCs/>
        </w:rPr>
      </w:pPr>
      <w:r w:rsidRPr="00C24DBA">
        <w:t>T</w:t>
      </w:r>
      <w:r w:rsidR="00B84209" w:rsidRPr="00C24DBA">
        <w:rPr>
          <w:iCs/>
        </w:rPr>
        <w:t>he ESC considered that the assumption that the market share and uptake of cabozantinib would be the same for all six years of the financial estimates lacks face validity.</w:t>
      </w:r>
    </w:p>
    <w:p w:rsidR="0024347B" w:rsidRPr="00C24DBA" w:rsidRDefault="0024347B" w:rsidP="0024347B">
      <w:pPr>
        <w:pStyle w:val="3-BodyText"/>
        <w:numPr>
          <w:ilvl w:val="0"/>
          <w:numId w:val="0"/>
        </w:numPr>
        <w:rPr>
          <w:u w:val="single"/>
        </w:rPr>
      </w:pPr>
      <w:r w:rsidRPr="00C24DBA">
        <w:rPr>
          <w:u w:val="single"/>
        </w:rPr>
        <w:t>Weighted price</w:t>
      </w:r>
      <w:r w:rsidR="00211FCE" w:rsidRPr="00C24DBA">
        <w:rPr>
          <w:u w:val="single"/>
        </w:rPr>
        <w:t xml:space="preserve"> for line-agnostic listing</w:t>
      </w:r>
    </w:p>
    <w:p w:rsidR="007F45E4" w:rsidRPr="00C24DBA" w:rsidRDefault="00FF17EE" w:rsidP="00C03656">
      <w:pPr>
        <w:pStyle w:val="3-BodyText"/>
        <w:rPr>
          <w:color w:val="0066FF"/>
        </w:rPr>
      </w:pPr>
      <w:r w:rsidRPr="00C24DBA">
        <w:t>The</w:t>
      </w:r>
      <w:r w:rsidR="007F45E4" w:rsidRPr="00C24DBA">
        <w:t xml:space="preserve"> </w:t>
      </w:r>
      <w:r w:rsidR="007F45E4" w:rsidRPr="00FB3D70">
        <w:t>resubmission estimated a</w:t>
      </w:r>
      <w:r w:rsidRPr="00FB3D70">
        <w:t xml:space="preserve"> weighted effective price for a line-agnostic listing </w:t>
      </w:r>
      <w:r w:rsidR="007F45E4" w:rsidRPr="00FB3D70">
        <w:t>of</w:t>
      </w:r>
      <w:r w:rsidRPr="00FB3D70">
        <w:t xml:space="preserve"> $</w:t>
      </w:r>
      <w:r w:rsidR="0061241D">
        <w:rPr>
          <w:noProof/>
          <w:color w:val="000000"/>
          <w:highlight w:val="black"/>
        </w:rPr>
        <w:t>''''''''''''''''</w:t>
      </w:r>
      <w:r w:rsidR="00211FCE" w:rsidRPr="00FB3D70">
        <w:t xml:space="preserve"> (AEMP)</w:t>
      </w:r>
      <w:r w:rsidRPr="00FB3D70">
        <w:t>.</w:t>
      </w:r>
      <w:r w:rsidR="00316D68" w:rsidRPr="00FB3D70">
        <w:t xml:space="preserve"> This was based </w:t>
      </w:r>
      <w:r w:rsidR="00211FCE" w:rsidRPr="00FB3D70">
        <w:t>on the resubmission’s estimates that</w:t>
      </w:r>
      <w:r w:rsidR="00316D68" w:rsidRPr="00FB3D70">
        <w:t xml:space="preserve"> </w:t>
      </w:r>
      <w:r w:rsidR="0061241D">
        <w:rPr>
          <w:noProof/>
          <w:color w:val="000000"/>
          <w:highlight w:val="black"/>
        </w:rPr>
        <w:t>'''''''''</w:t>
      </w:r>
      <w:r w:rsidR="00316D68" w:rsidRPr="00FB3D70">
        <w:t xml:space="preserve">% of </w:t>
      </w:r>
      <w:r w:rsidR="00211FCE" w:rsidRPr="00FB3D70">
        <w:t xml:space="preserve">cabozantinib </w:t>
      </w:r>
      <w:r w:rsidR="00316D68" w:rsidRPr="00FB3D70">
        <w:t xml:space="preserve">scripts </w:t>
      </w:r>
      <w:r w:rsidR="00211FCE" w:rsidRPr="00FB3D70">
        <w:t xml:space="preserve">will be used in the </w:t>
      </w:r>
      <w:r w:rsidR="00316D68" w:rsidRPr="00FB3D70">
        <w:t>TKI</w:t>
      </w:r>
      <w:r w:rsidR="00211FCE" w:rsidRPr="00FB3D70">
        <w:t>-</w:t>
      </w:r>
      <w:r w:rsidR="00316D68" w:rsidRPr="00FB3D70">
        <w:t xml:space="preserve">naive </w:t>
      </w:r>
      <w:r w:rsidR="00211FCE" w:rsidRPr="00FB3D70">
        <w:t xml:space="preserve">setting </w:t>
      </w:r>
      <w:r w:rsidR="00316D68" w:rsidRPr="00FB3D70">
        <w:t>(</w:t>
      </w:r>
      <w:r w:rsidR="0072056C" w:rsidRPr="00FB3D70">
        <w:t>based on the cost-analysis versus sunitinib</w:t>
      </w:r>
      <w:r w:rsidR="00316D68" w:rsidRPr="00FB3D70">
        <w:t xml:space="preserve">; </w:t>
      </w:r>
      <w:r w:rsidR="00316D68" w:rsidRPr="00FB3D70">
        <w:rPr>
          <w:bCs/>
          <w:iCs/>
        </w:rPr>
        <w:t>$</w:t>
      </w:r>
      <w:r w:rsidR="0061241D">
        <w:rPr>
          <w:bCs/>
          <w:iCs/>
          <w:noProof/>
          <w:color w:val="000000"/>
          <w:highlight w:val="black"/>
        </w:rPr>
        <w:t>''''''''''''''''</w:t>
      </w:r>
      <w:r w:rsidR="00316D68" w:rsidRPr="00FB3D70">
        <w:t xml:space="preserve">) and </w:t>
      </w:r>
      <w:r w:rsidR="0061241D">
        <w:rPr>
          <w:noProof/>
          <w:color w:val="000000"/>
          <w:highlight w:val="black"/>
        </w:rPr>
        <w:t>'''''''''</w:t>
      </w:r>
      <w:r w:rsidR="00316D68" w:rsidRPr="00FB3D70">
        <w:t xml:space="preserve">% </w:t>
      </w:r>
      <w:r w:rsidR="00211FCE" w:rsidRPr="00FB3D70">
        <w:t xml:space="preserve">in the </w:t>
      </w:r>
      <w:r w:rsidR="00316D68" w:rsidRPr="00FB3D70">
        <w:t xml:space="preserve">post-TKI </w:t>
      </w:r>
      <w:r w:rsidR="00211FCE" w:rsidRPr="00FB3D70">
        <w:t xml:space="preserve">setting </w:t>
      </w:r>
      <w:r w:rsidR="00316D68" w:rsidRPr="00FB3D70">
        <w:t>(current price; $</w:t>
      </w:r>
      <w:r w:rsidR="0061241D">
        <w:rPr>
          <w:noProof/>
          <w:color w:val="000000"/>
          <w:highlight w:val="black"/>
        </w:rPr>
        <w:t>'''''''''''''''''</w:t>
      </w:r>
      <w:r w:rsidR="00316D68" w:rsidRPr="00FB3D70">
        <w:t>). The proportion of use in each setting</w:t>
      </w:r>
      <w:r w:rsidR="00316D68" w:rsidRPr="00C24DBA">
        <w:t xml:space="preserve"> was calculated </w:t>
      </w:r>
      <w:r w:rsidR="00F84404" w:rsidRPr="00C24DBA">
        <w:t>using the number of scripts in Year 6</w:t>
      </w:r>
      <w:r w:rsidR="00211FCE" w:rsidRPr="00C24DBA">
        <w:t>,</w:t>
      </w:r>
      <w:r w:rsidR="00B142F7" w:rsidRPr="00C24DBA">
        <w:t xml:space="preserve"> </w:t>
      </w:r>
      <w:r w:rsidR="00316D68" w:rsidRPr="00C24DBA">
        <w:t>although</w:t>
      </w:r>
      <w:r w:rsidR="00703AE0" w:rsidRPr="00C24DBA">
        <w:t xml:space="preserve"> this ratio was the same in every year of the f</w:t>
      </w:r>
      <w:r w:rsidR="001A5484" w:rsidRPr="00C24DBA">
        <w:t>inancial</w:t>
      </w:r>
      <w:r w:rsidR="00703AE0" w:rsidRPr="00C24DBA">
        <w:t xml:space="preserve"> estimates</w:t>
      </w:r>
      <w:r w:rsidR="00F84404" w:rsidRPr="00C24DBA">
        <w:t>.</w:t>
      </w:r>
      <w:r w:rsidR="00105BC7" w:rsidRPr="00C24DBA">
        <w:t xml:space="preserve"> </w:t>
      </w:r>
      <w:r w:rsidR="00503DE0" w:rsidRPr="00C24DBA">
        <w:t>Overall, the</w:t>
      </w:r>
      <w:r w:rsidR="007F45E4" w:rsidRPr="00C24DBA">
        <w:t xml:space="preserve"> ESC considered that the</w:t>
      </w:r>
      <w:r w:rsidR="00503DE0" w:rsidRPr="00C24DBA">
        <w:t xml:space="preserve"> weighted price was overestimated due to overestimation of use of cabozantinib in the higher price</w:t>
      </w:r>
      <w:r w:rsidR="00AB54C6" w:rsidRPr="00C24DBA">
        <w:t>d</w:t>
      </w:r>
      <w:r w:rsidR="00316D68" w:rsidRPr="00C24DBA">
        <w:t xml:space="preserve"> post-TKI</w:t>
      </w:r>
      <w:r w:rsidR="00503DE0" w:rsidRPr="00C24DBA">
        <w:t xml:space="preserve"> setting</w:t>
      </w:r>
      <w:r w:rsidR="00105BC7" w:rsidRPr="00C24DBA">
        <w:t xml:space="preserve">. </w:t>
      </w:r>
    </w:p>
    <w:p w:rsidR="0093489D" w:rsidRPr="00C24DBA" w:rsidRDefault="007F45E4" w:rsidP="00C03656">
      <w:pPr>
        <w:pStyle w:val="3-BodyText"/>
        <w:rPr>
          <w:color w:val="0066FF"/>
        </w:rPr>
      </w:pPr>
      <w:r w:rsidRPr="00C24DBA">
        <w:lastRenderedPageBreak/>
        <w:t xml:space="preserve">The pre-PBAC response adjusted a number of parameters (as outlined above), which resulted in a weighted effective </w:t>
      </w:r>
      <w:r w:rsidR="00B139FA" w:rsidRPr="00C24DBA">
        <w:t xml:space="preserve">AEMP </w:t>
      </w:r>
      <w:r w:rsidRPr="00C24DBA">
        <w:t>of $</w:t>
      </w:r>
      <w:r w:rsidR="0061241D">
        <w:rPr>
          <w:noProof/>
          <w:color w:val="000000"/>
          <w:highlight w:val="black"/>
        </w:rPr>
        <w:t>''''''''''</w:t>
      </w:r>
      <w:r w:rsidRPr="00C24DBA">
        <w:t xml:space="preserve"> based on </w:t>
      </w:r>
      <w:r w:rsidR="0061241D">
        <w:rPr>
          <w:noProof/>
          <w:color w:val="000000"/>
          <w:highlight w:val="black"/>
        </w:rPr>
        <w:t>'''''</w:t>
      </w:r>
      <w:r w:rsidRPr="00C24DBA">
        <w:t>% of cabozantinib scripts being used in the TKI-naive setting (</w:t>
      </w:r>
      <w:r w:rsidR="00B139FA" w:rsidRPr="00C24DBA">
        <w:t xml:space="preserve">based on the </w:t>
      </w:r>
      <w:r w:rsidRPr="00C24DBA">
        <w:t>cost-</w:t>
      </w:r>
      <w:r w:rsidR="00B139FA" w:rsidRPr="00C24DBA">
        <w:t xml:space="preserve">analysis versus sunitinib, which the pre-PBAC response stated resulted </w:t>
      </w:r>
      <w:r w:rsidRPr="00C24DBA">
        <w:t xml:space="preserve">cabozantinib </w:t>
      </w:r>
      <w:r w:rsidR="00B139FA" w:rsidRPr="00C24DBA">
        <w:t>AEMP</w:t>
      </w:r>
      <w:r w:rsidRPr="00C24DBA">
        <w:t xml:space="preserve">; </w:t>
      </w:r>
      <w:r w:rsidRPr="00C24DBA">
        <w:rPr>
          <w:bCs/>
          <w:iCs/>
        </w:rPr>
        <w:t>$</w:t>
      </w:r>
      <w:r w:rsidR="0061241D">
        <w:rPr>
          <w:bCs/>
          <w:iCs/>
          <w:noProof/>
          <w:color w:val="000000"/>
          <w:highlight w:val="black"/>
        </w:rPr>
        <w:t>''''''''''</w:t>
      </w:r>
      <w:r w:rsidRPr="00C24DBA">
        <w:t xml:space="preserve">) and </w:t>
      </w:r>
      <w:r w:rsidR="0061241D">
        <w:rPr>
          <w:noProof/>
          <w:color w:val="000000"/>
          <w:highlight w:val="black"/>
        </w:rPr>
        <w:t>'''''</w:t>
      </w:r>
      <w:r w:rsidRPr="00C24DBA">
        <w:t xml:space="preserve">% in the post-TKI setting (current </w:t>
      </w:r>
      <w:r w:rsidR="00B139FA" w:rsidRPr="00C24DBA">
        <w:t>AEMP</w:t>
      </w:r>
      <w:r w:rsidRPr="00C24DBA">
        <w:t>; $</w:t>
      </w:r>
      <w:r w:rsidR="0061241D">
        <w:rPr>
          <w:noProof/>
          <w:color w:val="000000"/>
          <w:highlight w:val="black"/>
        </w:rPr>
        <w:t>''''''''''</w:t>
      </w:r>
      <w:r w:rsidRPr="00C24DBA">
        <w:t>).</w:t>
      </w:r>
    </w:p>
    <w:p w:rsidR="0024347B" w:rsidRPr="00C24DBA" w:rsidRDefault="0024347B" w:rsidP="00812979">
      <w:pPr>
        <w:pStyle w:val="3-BodyText"/>
        <w:keepNext/>
        <w:keepLines/>
        <w:numPr>
          <w:ilvl w:val="0"/>
          <w:numId w:val="0"/>
        </w:numPr>
        <w:rPr>
          <w:u w:val="single"/>
        </w:rPr>
      </w:pPr>
      <w:r w:rsidRPr="00C24DBA">
        <w:rPr>
          <w:u w:val="single"/>
        </w:rPr>
        <w:t>Impact on utilisation</w:t>
      </w:r>
    </w:p>
    <w:p w:rsidR="0024347B" w:rsidRPr="00C24DBA" w:rsidRDefault="0024347B" w:rsidP="0024347B">
      <w:pPr>
        <w:pStyle w:val="3-BodyText"/>
      </w:pPr>
      <w:r w:rsidRPr="00C24DBA">
        <w:t>The estimated use and financial implications of the new listing using the resubmission’s estimated effective prices are presented in Table 1</w:t>
      </w:r>
      <w:r w:rsidR="004713CE" w:rsidRPr="00C24DBA">
        <w:t>3</w:t>
      </w:r>
      <w:r w:rsidRPr="00C24DBA">
        <w:t xml:space="preserve">. </w:t>
      </w:r>
      <w:r w:rsidR="00276069" w:rsidRPr="00C24DBA">
        <w:t>This is based on the estimates proposed in the resubmission and does not reflect the changes proposed in the pre-PBAC response</w:t>
      </w:r>
      <w:r w:rsidR="0029349B" w:rsidRPr="00C24DBA">
        <w:t xml:space="preserve"> or the changes proposed by the PBAC</w:t>
      </w:r>
      <w:r w:rsidR="00276069" w:rsidRPr="00C24DBA">
        <w:t>.</w:t>
      </w:r>
    </w:p>
    <w:p w:rsidR="004B4C7D" w:rsidRPr="00C24DBA" w:rsidRDefault="004B4C7D" w:rsidP="005065A0">
      <w:pPr>
        <w:pStyle w:val="TableHeading0"/>
      </w:pPr>
      <w:r w:rsidRPr="00C24DBA">
        <w:rPr>
          <w:rStyle w:val="CommentReference"/>
          <w:b/>
          <w:szCs w:val="24"/>
        </w:rPr>
        <w:t xml:space="preserve">Table </w:t>
      </w:r>
      <w:r w:rsidR="00581BE5" w:rsidRPr="00C24DBA">
        <w:rPr>
          <w:rStyle w:val="CommentReference"/>
          <w:b/>
          <w:szCs w:val="24"/>
        </w:rPr>
        <w:t>1</w:t>
      </w:r>
      <w:r w:rsidR="004713CE" w:rsidRPr="00C24DBA">
        <w:rPr>
          <w:rStyle w:val="CommentReference"/>
          <w:b/>
          <w:szCs w:val="24"/>
        </w:rPr>
        <w:t>3</w:t>
      </w:r>
      <w:r w:rsidRPr="00C24DBA">
        <w:rPr>
          <w:rStyle w:val="CommentReference"/>
          <w:b/>
          <w:szCs w:val="24"/>
        </w:rPr>
        <w:t>: Estimated use and financial implications</w:t>
      </w:r>
      <w:r w:rsidR="00A93B00" w:rsidRPr="00C24DBA">
        <w:rPr>
          <w:rStyle w:val="CommentReference"/>
          <w:b/>
          <w:szCs w:val="24"/>
        </w:rPr>
        <w:t xml:space="preserve"> </w:t>
      </w:r>
      <w:r w:rsidR="00672428" w:rsidRPr="00C24DBA">
        <w:rPr>
          <w:rStyle w:val="CommentReference"/>
          <w:b/>
          <w:szCs w:val="24"/>
        </w:rPr>
        <w:t>(</w:t>
      </w:r>
      <w:r w:rsidR="00A93B00" w:rsidRPr="00C24DBA">
        <w:rPr>
          <w:rStyle w:val="CommentReference"/>
          <w:b/>
          <w:szCs w:val="24"/>
        </w:rPr>
        <w:t>line</w:t>
      </w:r>
      <w:r w:rsidR="00672428" w:rsidRPr="00C24DBA">
        <w:rPr>
          <w:rStyle w:val="CommentReference"/>
          <w:b/>
          <w:szCs w:val="24"/>
        </w:rPr>
        <w:t>-agnostic listing)</w:t>
      </w:r>
      <w:r w:rsidR="0029349B" w:rsidRPr="00C24DBA">
        <w:rPr>
          <w:rStyle w:val="CommentReference"/>
          <w:b/>
          <w:szCs w:val="24"/>
        </w:rPr>
        <w:t xml:space="preserve"> based on resubmission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4B4C7D" w:rsidRPr="005065A0" w:rsidTr="00683BB3">
        <w:trPr>
          <w:tblHeader/>
        </w:trPr>
        <w:tc>
          <w:tcPr>
            <w:tcW w:w="1116" w:type="pct"/>
            <w:shd w:val="clear" w:color="auto" w:fill="auto"/>
            <w:vAlign w:val="center"/>
          </w:tcPr>
          <w:p w:rsidR="004B4C7D" w:rsidRPr="005065A0" w:rsidRDefault="004B4C7D" w:rsidP="004866BB">
            <w:pPr>
              <w:pStyle w:val="In-tableHeading"/>
              <w:jc w:val="center"/>
              <w:rPr>
                <w:szCs w:val="20"/>
                <w:lang w:val="en-AU"/>
              </w:rPr>
            </w:pPr>
          </w:p>
        </w:tc>
        <w:tc>
          <w:tcPr>
            <w:tcW w:w="647" w:type="pct"/>
            <w:shd w:val="clear" w:color="auto" w:fill="auto"/>
            <w:vAlign w:val="center"/>
          </w:tcPr>
          <w:p w:rsidR="004B4C7D" w:rsidRPr="005065A0" w:rsidRDefault="004B4C7D" w:rsidP="004866BB">
            <w:pPr>
              <w:pStyle w:val="In-tableHeading"/>
              <w:jc w:val="center"/>
              <w:rPr>
                <w:szCs w:val="20"/>
                <w:lang w:val="en-AU"/>
              </w:rPr>
            </w:pPr>
            <w:r w:rsidRPr="005065A0">
              <w:rPr>
                <w:szCs w:val="20"/>
                <w:lang w:val="en-AU"/>
              </w:rPr>
              <w:t>Year 1</w:t>
            </w:r>
          </w:p>
        </w:tc>
        <w:tc>
          <w:tcPr>
            <w:tcW w:w="647" w:type="pct"/>
            <w:shd w:val="clear" w:color="auto" w:fill="auto"/>
            <w:vAlign w:val="center"/>
          </w:tcPr>
          <w:p w:rsidR="004B4C7D" w:rsidRPr="005065A0" w:rsidRDefault="004B4C7D" w:rsidP="004866BB">
            <w:pPr>
              <w:pStyle w:val="In-tableHeading"/>
              <w:jc w:val="center"/>
              <w:rPr>
                <w:szCs w:val="20"/>
                <w:lang w:val="en-AU"/>
              </w:rPr>
            </w:pPr>
            <w:r w:rsidRPr="005065A0">
              <w:rPr>
                <w:szCs w:val="20"/>
                <w:lang w:val="en-AU"/>
              </w:rPr>
              <w:t>Year 2</w:t>
            </w:r>
          </w:p>
        </w:tc>
        <w:tc>
          <w:tcPr>
            <w:tcW w:w="647" w:type="pct"/>
            <w:shd w:val="clear" w:color="auto" w:fill="auto"/>
            <w:vAlign w:val="center"/>
          </w:tcPr>
          <w:p w:rsidR="004B4C7D" w:rsidRPr="005065A0" w:rsidRDefault="004B4C7D" w:rsidP="004866BB">
            <w:pPr>
              <w:pStyle w:val="In-tableHeading"/>
              <w:jc w:val="center"/>
              <w:rPr>
                <w:szCs w:val="20"/>
                <w:lang w:val="en-AU"/>
              </w:rPr>
            </w:pPr>
            <w:r w:rsidRPr="005065A0">
              <w:rPr>
                <w:szCs w:val="20"/>
                <w:lang w:val="en-AU"/>
              </w:rPr>
              <w:t>Year 3</w:t>
            </w:r>
          </w:p>
        </w:tc>
        <w:tc>
          <w:tcPr>
            <w:tcW w:w="647" w:type="pct"/>
            <w:shd w:val="clear" w:color="auto" w:fill="auto"/>
            <w:vAlign w:val="center"/>
          </w:tcPr>
          <w:p w:rsidR="004B4C7D" w:rsidRPr="005065A0" w:rsidRDefault="004B4C7D" w:rsidP="004866BB">
            <w:pPr>
              <w:pStyle w:val="In-tableHeading"/>
              <w:jc w:val="center"/>
              <w:rPr>
                <w:szCs w:val="20"/>
                <w:lang w:val="en-AU"/>
              </w:rPr>
            </w:pPr>
            <w:r w:rsidRPr="005065A0">
              <w:rPr>
                <w:szCs w:val="20"/>
                <w:lang w:val="en-AU"/>
              </w:rPr>
              <w:t>Year 4</w:t>
            </w:r>
          </w:p>
        </w:tc>
        <w:tc>
          <w:tcPr>
            <w:tcW w:w="647" w:type="pct"/>
            <w:shd w:val="clear" w:color="auto" w:fill="auto"/>
            <w:vAlign w:val="center"/>
          </w:tcPr>
          <w:p w:rsidR="004B4C7D" w:rsidRPr="005065A0" w:rsidRDefault="004B4C7D" w:rsidP="004866BB">
            <w:pPr>
              <w:pStyle w:val="In-tableHeading"/>
              <w:jc w:val="center"/>
              <w:rPr>
                <w:szCs w:val="20"/>
                <w:lang w:val="en-AU"/>
              </w:rPr>
            </w:pPr>
            <w:r w:rsidRPr="005065A0">
              <w:rPr>
                <w:szCs w:val="20"/>
                <w:lang w:val="en-AU"/>
              </w:rPr>
              <w:t>Year 5</w:t>
            </w:r>
          </w:p>
        </w:tc>
        <w:tc>
          <w:tcPr>
            <w:tcW w:w="649" w:type="pct"/>
          </w:tcPr>
          <w:p w:rsidR="004B4C7D" w:rsidRPr="005065A0" w:rsidRDefault="004B4C7D" w:rsidP="004866BB">
            <w:pPr>
              <w:pStyle w:val="In-tableHeading"/>
              <w:jc w:val="center"/>
              <w:rPr>
                <w:szCs w:val="20"/>
                <w:lang w:val="en-AU"/>
              </w:rPr>
            </w:pPr>
            <w:r w:rsidRPr="005065A0">
              <w:rPr>
                <w:szCs w:val="20"/>
                <w:lang w:val="en-AU"/>
              </w:rPr>
              <w:t>Year 6</w:t>
            </w:r>
          </w:p>
        </w:tc>
      </w:tr>
      <w:tr w:rsidR="000A2797" w:rsidRPr="005065A0" w:rsidTr="004866BB">
        <w:tc>
          <w:tcPr>
            <w:tcW w:w="5000" w:type="pct"/>
            <w:gridSpan w:val="7"/>
            <w:shd w:val="clear" w:color="auto" w:fill="auto"/>
            <w:vAlign w:val="center"/>
          </w:tcPr>
          <w:p w:rsidR="000A2797" w:rsidRPr="005065A0" w:rsidRDefault="000A2797" w:rsidP="004866BB">
            <w:pPr>
              <w:pStyle w:val="In-tableHeading"/>
              <w:rPr>
                <w:bCs/>
                <w:color w:val="000000"/>
                <w:szCs w:val="20"/>
                <w:lang w:val="en-AU"/>
              </w:rPr>
            </w:pPr>
            <w:r w:rsidRPr="005065A0">
              <w:rPr>
                <w:bCs/>
                <w:color w:val="000000"/>
                <w:szCs w:val="20"/>
                <w:lang w:val="en-AU"/>
              </w:rPr>
              <w:t>NEW LISTING</w:t>
            </w:r>
            <w:r w:rsidR="002116FF" w:rsidRPr="005065A0">
              <w:rPr>
                <w:bCs/>
                <w:color w:val="000000"/>
                <w:szCs w:val="20"/>
                <w:lang w:val="en-AU"/>
              </w:rPr>
              <w:t>: TKI-</w:t>
            </w:r>
            <w:r w:rsidR="00C24DBA" w:rsidRPr="005065A0">
              <w:rPr>
                <w:bCs/>
                <w:color w:val="000000"/>
                <w:szCs w:val="20"/>
                <w:lang w:val="en-AU"/>
              </w:rPr>
              <w:t>naïve</w:t>
            </w:r>
          </w:p>
        </w:tc>
      </w:tr>
      <w:tr w:rsidR="004B4C7D" w:rsidRPr="005065A0" w:rsidTr="004866BB">
        <w:tc>
          <w:tcPr>
            <w:tcW w:w="5000" w:type="pct"/>
            <w:gridSpan w:val="7"/>
            <w:shd w:val="clear" w:color="auto" w:fill="auto"/>
            <w:vAlign w:val="center"/>
          </w:tcPr>
          <w:p w:rsidR="004B4C7D" w:rsidRPr="005065A0" w:rsidRDefault="004B4C7D" w:rsidP="00DE25B3">
            <w:pPr>
              <w:pStyle w:val="In-tableHeading"/>
              <w:rPr>
                <w:bCs/>
                <w:color w:val="000000"/>
                <w:szCs w:val="20"/>
                <w:lang w:val="en-AU"/>
              </w:rPr>
            </w:pPr>
            <w:r w:rsidRPr="005065A0">
              <w:rPr>
                <w:bCs/>
                <w:color w:val="000000"/>
                <w:szCs w:val="20"/>
                <w:lang w:val="en-AU"/>
              </w:rPr>
              <w:t>Estimated extent of use</w:t>
            </w:r>
            <w:r w:rsidR="00B84209" w:rsidRPr="005065A0">
              <w:rPr>
                <w:bCs/>
                <w:color w:val="000000"/>
                <w:szCs w:val="20"/>
                <w:lang w:val="en-AU"/>
              </w:rPr>
              <w:t xml:space="preserve"> (TKI-naïve)</w:t>
            </w:r>
          </w:p>
        </w:tc>
      </w:tr>
      <w:tr w:rsidR="00683BB3" w:rsidRPr="005065A0" w:rsidTr="007361F4">
        <w:tc>
          <w:tcPr>
            <w:tcW w:w="1116" w:type="pct"/>
            <w:shd w:val="clear" w:color="auto" w:fill="auto"/>
            <w:vAlign w:val="center"/>
          </w:tcPr>
          <w:p w:rsidR="00683BB3" w:rsidRPr="005065A0" w:rsidRDefault="00683BB3" w:rsidP="00683BB3">
            <w:pPr>
              <w:pStyle w:val="TableText0"/>
              <w:rPr>
                <w:szCs w:val="20"/>
              </w:rPr>
            </w:pPr>
            <w:r w:rsidRPr="005065A0">
              <w:rPr>
                <w:szCs w:val="20"/>
              </w:rPr>
              <w:t>Number of patients treated</w:t>
            </w:r>
          </w:p>
        </w:tc>
        <w:tc>
          <w:tcPr>
            <w:tcW w:w="647" w:type="pct"/>
            <w:shd w:val="clear" w:color="auto" w:fill="auto"/>
            <w:vAlign w:val="center"/>
          </w:tcPr>
          <w:p w:rsidR="00683BB3" w:rsidRPr="00C20FE3" w:rsidRDefault="0061241D" w:rsidP="00683BB3">
            <w:pPr>
              <w:pStyle w:val="TableText0"/>
              <w:jc w:val="center"/>
              <w:rPr>
                <w:color w:val="000000"/>
                <w:szCs w:val="20"/>
                <w:vertAlign w:val="superscript"/>
              </w:rPr>
            </w:pPr>
            <w:r>
              <w:rPr>
                <w:noProof/>
                <w:color w:val="000000"/>
                <w:szCs w:val="20"/>
                <w:highlight w:val="black"/>
              </w:rPr>
              <w:t>'''''''''</w:t>
            </w:r>
            <w:r w:rsidR="00C20FE3">
              <w:rPr>
                <w:szCs w:val="20"/>
                <w:vertAlign w:val="superscript"/>
              </w:rPr>
              <w:t>1</w:t>
            </w:r>
          </w:p>
        </w:tc>
        <w:tc>
          <w:tcPr>
            <w:tcW w:w="647" w:type="pct"/>
            <w:shd w:val="clear" w:color="auto" w:fill="auto"/>
            <w:vAlign w:val="center"/>
          </w:tcPr>
          <w:p w:rsidR="00683BB3" w:rsidRPr="005065A0" w:rsidRDefault="0061241D" w:rsidP="00683BB3">
            <w:pPr>
              <w:pStyle w:val="TableText0"/>
              <w:jc w:val="center"/>
              <w:rPr>
                <w:color w:val="000000"/>
                <w:szCs w:val="20"/>
              </w:rPr>
            </w:pPr>
            <w:r>
              <w:rPr>
                <w:noProof/>
                <w:color w:val="000000"/>
                <w:szCs w:val="20"/>
                <w:highlight w:val="black"/>
              </w:rPr>
              <w:t>'''''''''</w:t>
            </w:r>
            <w:r w:rsidR="00C20FE3">
              <w:rPr>
                <w:szCs w:val="20"/>
                <w:vertAlign w:val="superscript"/>
              </w:rPr>
              <w:t>1</w:t>
            </w:r>
          </w:p>
        </w:tc>
        <w:tc>
          <w:tcPr>
            <w:tcW w:w="647" w:type="pct"/>
            <w:shd w:val="clear" w:color="auto" w:fill="auto"/>
            <w:vAlign w:val="center"/>
          </w:tcPr>
          <w:p w:rsidR="00683BB3" w:rsidRPr="005065A0" w:rsidRDefault="0061241D" w:rsidP="00683BB3">
            <w:pPr>
              <w:pStyle w:val="TableText0"/>
              <w:jc w:val="center"/>
              <w:rPr>
                <w:color w:val="000000"/>
                <w:szCs w:val="20"/>
              </w:rPr>
            </w:pPr>
            <w:r>
              <w:rPr>
                <w:noProof/>
                <w:color w:val="000000"/>
                <w:szCs w:val="20"/>
                <w:highlight w:val="black"/>
              </w:rPr>
              <w:t>''''''''</w:t>
            </w:r>
            <w:r w:rsidR="00C20FE3">
              <w:rPr>
                <w:szCs w:val="20"/>
                <w:vertAlign w:val="superscript"/>
              </w:rPr>
              <w:t>1</w:t>
            </w:r>
          </w:p>
        </w:tc>
        <w:tc>
          <w:tcPr>
            <w:tcW w:w="647" w:type="pct"/>
            <w:shd w:val="clear" w:color="auto" w:fill="auto"/>
            <w:vAlign w:val="center"/>
          </w:tcPr>
          <w:p w:rsidR="00683BB3" w:rsidRPr="005065A0" w:rsidRDefault="0061241D" w:rsidP="00683BB3">
            <w:pPr>
              <w:pStyle w:val="TableText0"/>
              <w:jc w:val="center"/>
              <w:rPr>
                <w:color w:val="000000"/>
                <w:szCs w:val="20"/>
              </w:rPr>
            </w:pPr>
            <w:r>
              <w:rPr>
                <w:noProof/>
                <w:color w:val="000000"/>
                <w:szCs w:val="20"/>
                <w:highlight w:val="black"/>
              </w:rPr>
              <w:t>'''''''''</w:t>
            </w:r>
            <w:r w:rsidR="00C20FE3">
              <w:rPr>
                <w:szCs w:val="20"/>
                <w:vertAlign w:val="superscript"/>
              </w:rPr>
              <w:t>1</w:t>
            </w:r>
          </w:p>
        </w:tc>
        <w:tc>
          <w:tcPr>
            <w:tcW w:w="647" w:type="pct"/>
            <w:shd w:val="clear" w:color="auto" w:fill="auto"/>
            <w:vAlign w:val="center"/>
          </w:tcPr>
          <w:p w:rsidR="00683BB3" w:rsidRPr="005065A0" w:rsidRDefault="0061241D" w:rsidP="00683BB3">
            <w:pPr>
              <w:pStyle w:val="TableText0"/>
              <w:jc w:val="center"/>
              <w:rPr>
                <w:color w:val="000000"/>
                <w:szCs w:val="20"/>
              </w:rPr>
            </w:pPr>
            <w:r>
              <w:rPr>
                <w:noProof/>
                <w:color w:val="000000"/>
                <w:szCs w:val="20"/>
                <w:highlight w:val="black"/>
              </w:rPr>
              <w:t>'''''''''</w:t>
            </w:r>
            <w:r w:rsidR="00C20FE3">
              <w:rPr>
                <w:szCs w:val="20"/>
                <w:vertAlign w:val="superscript"/>
              </w:rPr>
              <w:t>1</w:t>
            </w:r>
          </w:p>
        </w:tc>
        <w:tc>
          <w:tcPr>
            <w:tcW w:w="649" w:type="pct"/>
            <w:vAlign w:val="center"/>
          </w:tcPr>
          <w:p w:rsidR="00683BB3" w:rsidRPr="005065A0" w:rsidRDefault="0061241D" w:rsidP="00683BB3">
            <w:pPr>
              <w:pStyle w:val="TableText0"/>
              <w:jc w:val="center"/>
              <w:rPr>
                <w:color w:val="000000"/>
                <w:szCs w:val="20"/>
              </w:rPr>
            </w:pPr>
            <w:r>
              <w:rPr>
                <w:noProof/>
                <w:color w:val="000000"/>
                <w:szCs w:val="20"/>
                <w:highlight w:val="black"/>
              </w:rPr>
              <w:t>'''''''''</w:t>
            </w:r>
            <w:r w:rsidR="00C20FE3">
              <w:rPr>
                <w:szCs w:val="20"/>
                <w:vertAlign w:val="superscript"/>
              </w:rPr>
              <w:t>1</w:t>
            </w:r>
          </w:p>
        </w:tc>
      </w:tr>
      <w:tr w:rsidR="000C3848" w:rsidRPr="005065A0" w:rsidTr="00683BB3">
        <w:tc>
          <w:tcPr>
            <w:tcW w:w="1116" w:type="pct"/>
            <w:shd w:val="clear" w:color="auto" w:fill="auto"/>
            <w:vAlign w:val="center"/>
          </w:tcPr>
          <w:p w:rsidR="000C3848" w:rsidRPr="005065A0" w:rsidRDefault="000C3848" w:rsidP="000C3848">
            <w:pPr>
              <w:pStyle w:val="TableText0"/>
              <w:rPr>
                <w:szCs w:val="20"/>
              </w:rPr>
            </w:pPr>
            <w:r w:rsidRPr="005065A0">
              <w:rPr>
                <w:szCs w:val="20"/>
              </w:rPr>
              <w:t>Number of scripts dispensed</w:t>
            </w:r>
          </w:p>
        </w:tc>
        <w:tc>
          <w:tcPr>
            <w:tcW w:w="647" w:type="pct"/>
            <w:shd w:val="clear" w:color="auto" w:fill="auto"/>
            <w:vAlign w:val="center"/>
          </w:tcPr>
          <w:p w:rsidR="000C3848" w:rsidRPr="00C20FE3" w:rsidRDefault="0061241D" w:rsidP="000C3848">
            <w:pPr>
              <w:pStyle w:val="TableText0"/>
              <w:jc w:val="center"/>
              <w:rPr>
                <w:color w:val="000000"/>
                <w:szCs w:val="20"/>
                <w:vertAlign w:val="superscript"/>
              </w:rPr>
            </w:pPr>
            <w:r>
              <w:rPr>
                <w:rFonts w:cs="Arial"/>
                <w:noProof/>
                <w:color w:val="000000"/>
                <w:szCs w:val="20"/>
                <w:highlight w:val="black"/>
              </w:rPr>
              <w:t>'''''''''''''''</w:t>
            </w:r>
            <w:r w:rsidR="00C20FE3">
              <w:rPr>
                <w:rFonts w:cs="Arial"/>
                <w:color w:val="000000"/>
                <w:szCs w:val="20"/>
                <w:vertAlign w:val="superscript"/>
              </w:rPr>
              <w:t>2</w:t>
            </w:r>
          </w:p>
        </w:tc>
        <w:tc>
          <w:tcPr>
            <w:tcW w:w="647" w:type="pct"/>
            <w:shd w:val="clear" w:color="auto" w:fill="auto"/>
            <w:vAlign w:val="center"/>
          </w:tcPr>
          <w:p w:rsidR="000C3848" w:rsidRPr="005065A0" w:rsidRDefault="0061241D" w:rsidP="000C3848">
            <w:pPr>
              <w:pStyle w:val="TableText0"/>
              <w:jc w:val="center"/>
              <w:rPr>
                <w:color w:val="000000"/>
                <w:szCs w:val="20"/>
              </w:rPr>
            </w:pPr>
            <w:r>
              <w:rPr>
                <w:rFonts w:cs="Arial"/>
                <w:noProof/>
                <w:color w:val="000000"/>
                <w:szCs w:val="20"/>
                <w:highlight w:val="black"/>
              </w:rPr>
              <w:t>''''''''''''</w:t>
            </w:r>
            <w:r w:rsidR="00C20FE3">
              <w:rPr>
                <w:rFonts w:cs="Arial"/>
                <w:color w:val="000000"/>
                <w:szCs w:val="20"/>
                <w:vertAlign w:val="superscript"/>
              </w:rPr>
              <w:t>2</w:t>
            </w:r>
          </w:p>
        </w:tc>
        <w:tc>
          <w:tcPr>
            <w:tcW w:w="647" w:type="pct"/>
            <w:shd w:val="clear" w:color="auto" w:fill="auto"/>
            <w:vAlign w:val="center"/>
          </w:tcPr>
          <w:p w:rsidR="000C3848" w:rsidRPr="005065A0" w:rsidRDefault="0061241D" w:rsidP="000C3848">
            <w:pPr>
              <w:pStyle w:val="TableText0"/>
              <w:jc w:val="center"/>
              <w:rPr>
                <w:color w:val="000000"/>
                <w:szCs w:val="20"/>
              </w:rPr>
            </w:pPr>
            <w:r>
              <w:rPr>
                <w:rFonts w:cs="Arial"/>
                <w:noProof/>
                <w:color w:val="000000"/>
                <w:szCs w:val="20"/>
                <w:highlight w:val="black"/>
              </w:rPr>
              <w:t>''''''''''''''</w:t>
            </w:r>
            <w:r w:rsidR="00C20FE3">
              <w:rPr>
                <w:rFonts w:cs="Arial"/>
                <w:color w:val="000000"/>
                <w:szCs w:val="20"/>
                <w:vertAlign w:val="superscript"/>
              </w:rPr>
              <w:t>2</w:t>
            </w:r>
          </w:p>
        </w:tc>
        <w:tc>
          <w:tcPr>
            <w:tcW w:w="647" w:type="pct"/>
            <w:shd w:val="clear" w:color="auto" w:fill="auto"/>
            <w:vAlign w:val="center"/>
          </w:tcPr>
          <w:p w:rsidR="000C3848" w:rsidRPr="005065A0" w:rsidRDefault="0061241D" w:rsidP="000C3848">
            <w:pPr>
              <w:pStyle w:val="TableText0"/>
              <w:jc w:val="center"/>
              <w:rPr>
                <w:color w:val="000000"/>
                <w:szCs w:val="20"/>
              </w:rPr>
            </w:pPr>
            <w:r>
              <w:rPr>
                <w:rFonts w:cs="Arial"/>
                <w:noProof/>
                <w:color w:val="000000"/>
                <w:szCs w:val="20"/>
                <w:highlight w:val="black"/>
              </w:rPr>
              <w:t>''''''''''''''</w:t>
            </w:r>
            <w:r w:rsidR="00C20FE3">
              <w:rPr>
                <w:rFonts w:cs="Arial"/>
                <w:color w:val="000000"/>
                <w:szCs w:val="20"/>
                <w:vertAlign w:val="superscript"/>
              </w:rPr>
              <w:t>2</w:t>
            </w:r>
          </w:p>
        </w:tc>
        <w:tc>
          <w:tcPr>
            <w:tcW w:w="647" w:type="pct"/>
            <w:shd w:val="clear" w:color="auto" w:fill="auto"/>
            <w:vAlign w:val="center"/>
          </w:tcPr>
          <w:p w:rsidR="000C3848" w:rsidRPr="005065A0" w:rsidRDefault="0061241D" w:rsidP="000C3848">
            <w:pPr>
              <w:pStyle w:val="TableText0"/>
              <w:jc w:val="center"/>
              <w:rPr>
                <w:color w:val="000000"/>
                <w:szCs w:val="20"/>
              </w:rPr>
            </w:pPr>
            <w:r>
              <w:rPr>
                <w:rFonts w:cs="Arial"/>
                <w:noProof/>
                <w:color w:val="000000"/>
                <w:szCs w:val="20"/>
                <w:highlight w:val="black"/>
              </w:rPr>
              <w:t>''''''''''''</w:t>
            </w:r>
            <w:r w:rsidR="00C20FE3">
              <w:rPr>
                <w:rFonts w:cs="Arial"/>
                <w:color w:val="000000"/>
                <w:szCs w:val="20"/>
                <w:vertAlign w:val="superscript"/>
              </w:rPr>
              <w:t>2</w:t>
            </w:r>
          </w:p>
        </w:tc>
        <w:tc>
          <w:tcPr>
            <w:tcW w:w="649" w:type="pct"/>
            <w:vAlign w:val="center"/>
          </w:tcPr>
          <w:p w:rsidR="000C3848" w:rsidRPr="005065A0" w:rsidRDefault="0061241D" w:rsidP="000C3848">
            <w:pPr>
              <w:pStyle w:val="TableText0"/>
              <w:jc w:val="center"/>
              <w:rPr>
                <w:color w:val="000000"/>
                <w:szCs w:val="20"/>
              </w:rPr>
            </w:pPr>
            <w:r>
              <w:rPr>
                <w:rFonts w:cs="Arial"/>
                <w:noProof/>
                <w:color w:val="000000"/>
                <w:szCs w:val="20"/>
                <w:highlight w:val="black"/>
              </w:rPr>
              <w:t>'''''''''''''</w:t>
            </w:r>
            <w:r w:rsidR="00C20FE3">
              <w:rPr>
                <w:rFonts w:cs="Arial"/>
                <w:color w:val="000000"/>
                <w:szCs w:val="20"/>
                <w:vertAlign w:val="superscript"/>
              </w:rPr>
              <w:t>2</w:t>
            </w:r>
          </w:p>
        </w:tc>
      </w:tr>
      <w:tr w:rsidR="004B4C7D" w:rsidRPr="005065A0" w:rsidTr="004866BB">
        <w:tc>
          <w:tcPr>
            <w:tcW w:w="5000" w:type="pct"/>
            <w:gridSpan w:val="7"/>
            <w:shd w:val="clear" w:color="auto" w:fill="auto"/>
            <w:vAlign w:val="center"/>
          </w:tcPr>
          <w:p w:rsidR="004B4C7D" w:rsidRPr="005065A0" w:rsidRDefault="004B4C7D" w:rsidP="00B84209">
            <w:pPr>
              <w:pStyle w:val="In-tableHeading"/>
              <w:rPr>
                <w:szCs w:val="20"/>
                <w:lang w:val="en-AU"/>
              </w:rPr>
            </w:pPr>
            <w:r w:rsidRPr="005065A0">
              <w:rPr>
                <w:szCs w:val="20"/>
                <w:lang w:val="en-AU"/>
              </w:rPr>
              <w:t xml:space="preserve">Estimated financial implications of </w:t>
            </w:r>
            <w:r w:rsidR="006E60DC" w:rsidRPr="005065A0">
              <w:rPr>
                <w:szCs w:val="20"/>
                <w:lang w:val="en-AU"/>
              </w:rPr>
              <w:t>cabozantinib</w:t>
            </w:r>
            <w:r w:rsidR="00B84209" w:rsidRPr="005065A0">
              <w:rPr>
                <w:szCs w:val="20"/>
                <w:lang w:val="en-AU"/>
              </w:rPr>
              <w:t xml:space="preserve"> (TKI-naïve)</w:t>
            </w:r>
          </w:p>
        </w:tc>
      </w:tr>
      <w:tr w:rsidR="00FC556A" w:rsidRPr="005065A0" w:rsidTr="000A2797">
        <w:tc>
          <w:tcPr>
            <w:tcW w:w="1116" w:type="pct"/>
            <w:tcBorders>
              <w:bottom w:val="single" w:sz="8" w:space="0" w:color="auto"/>
            </w:tcBorders>
            <w:shd w:val="clear" w:color="auto" w:fill="auto"/>
            <w:vAlign w:val="center"/>
          </w:tcPr>
          <w:p w:rsidR="00FC556A" w:rsidRPr="005065A0" w:rsidRDefault="00FC556A" w:rsidP="00FC556A">
            <w:pPr>
              <w:pStyle w:val="TableText0"/>
              <w:rPr>
                <w:szCs w:val="20"/>
              </w:rPr>
            </w:pPr>
            <w:r w:rsidRPr="005065A0">
              <w:rPr>
                <w:szCs w:val="20"/>
              </w:rPr>
              <w:t>Cost to PBS/RPBS less copayments</w:t>
            </w:r>
          </w:p>
        </w:tc>
        <w:tc>
          <w:tcPr>
            <w:tcW w:w="647" w:type="pct"/>
            <w:tcBorders>
              <w:bottom w:val="single" w:sz="8" w:space="0" w:color="auto"/>
            </w:tcBorders>
            <w:shd w:val="clear" w:color="auto" w:fill="auto"/>
            <w:vAlign w:val="center"/>
          </w:tcPr>
          <w:p w:rsidR="00FC556A" w:rsidRPr="005065A0" w:rsidRDefault="0061241D" w:rsidP="00FC556A">
            <w:pPr>
              <w:pStyle w:val="TableText0"/>
              <w:jc w:val="center"/>
              <w:rPr>
                <w:szCs w:val="20"/>
              </w:rPr>
            </w:pPr>
            <w:r>
              <w:rPr>
                <w:rFonts w:cs="Arial"/>
                <w:noProof/>
                <w:color w:val="000000"/>
                <w:szCs w:val="20"/>
                <w:highlight w:val="black"/>
              </w:rPr>
              <w:t xml:space="preserve">''''''''''''''''''''''''''''' </w:t>
            </w:r>
            <w:r w:rsidR="00C20FE3">
              <w:rPr>
                <w:rFonts w:cs="Arial"/>
                <w:szCs w:val="20"/>
                <w:vertAlign w:val="superscript"/>
              </w:rPr>
              <w:t>3</w:t>
            </w:r>
          </w:p>
        </w:tc>
        <w:tc>
          <w:tcPr>
            <w:tcW w:w="647" w:type="pct"/>
            <w:tcBorders>
              <w:bottom w:val="single" w:sz="8" w:space="0" w:color="auto"/>
            </w:tcBorders>
            <w:shd w:val="clear" w:color="auto" w:fill="auto"/>
            <w:vAlign w:val="center"/>
          </w:tcPr>
          <w:p w:rsidR="00FC556A" w:rsidRPr="005065A0" w:rsidRDefault="0061241D" w:rsidP="00C20FE3">
            <w:pPr>
              <w:pStyle w:val="TableText0"/>
              <w:jc w:val="center"/>
              <w:rPr>
                <w:szCs w:val="20"/>
              </w:rPr>
            </w:pPr>
            <w:r>
              <w:rPr>
                <w:rFonts w:cs="Arial"/>
                <w:noProof/>
                <w:color w:val="000000"/>
                <w:szCs w:val="20"/>
                <w:highlight w:val="black"/>
              </w:rPr>
              <w:t>''''''''''''''''''''''''''''''</w:t>
            </w:r>
            <w:r w:rsidR="00C20FE3">
              <w:rPr>
                <w:rFonts w:cs="Arial"/>
                <w:szCs w:val="20"/>
                <w:vertAlign w:val="superscript"/>
              </w:rPr>
              <w:t>4</w:t>
            </w:r>
          </w:p>
        </w:tc>
        <w:tc>
          <w:tcPr>
            <w:tcW w:w="647" w:type="pct"/>
            <w:tcBorders>
              <w:bottom w:val="single" w:sz="8" w:space="0" w:color="auto"/>
            </w:tcBorders>
            <w:shd w:val="clear" w:color="auto" w:fill="auto"/>
            <w:vAlign w:val="center"/>
          </w:tcPr>
          <w:p w:rsidR="00FC556A" w:rsidRPr="005065A0" w:rsidRDefault="0061241D" w:rsidP="00FC556A">
            <w:pPr>
              <w:pStyle w:val="TableText0"/>
              <w:jc w:val="center"/>
              <w:rPr>
                <w:szCs w:val="20"/>
              </w:rPr>
            </w:pPr>
            <w:r>
              <w:rPr>
                <w:rFonts w:cs="Arial"/>
                <w:noProof/>
                <w:color w:val="000000"/>
                <w:szCs w:val="20"/>
                <w:highlight w:val="black"/>
              </w:rPr>
              <w:t>'''''''''''''''''''''''''''''''</w:t>
            </w:r>
            <w:r w:rsidR="00C20FE3" w:rsidRPr="00C20FE3">
              <w:rPr>
                <w:rFonts w:cs="Arial"/>
                <w:szCs w:val="20"/>
                <w:vertAlign w:val="superscript"/>
              </w:rPr>
              <w:t>4</w:t>
            </w:r>
          </w:p>
        </w:tc>
        <w:tc>
          <w:tcPr>
            <w:tcW w:w="647" w:type="pct"/>
            <w:tcBorders>
              <w:bottom w:val="single" w:sz="8" w:space="0" w:color="auto"/>
            </w:tcBorders>
            <w:shd w:val="clear" w:color="auto" w:fill="auto"/>
            <w:vAlign w:val="center"/>
          </w:tcPr>
          <w:p w:rsidR="00FC556A" w:rsidRPr="005065A0" w:rsidRDefault="0061241D" w:rsidP="00FC556A">
            <w:pPr>
              <w:pStyle w:val="TableText0"/>
              <w:jc w:val="center"/>
              <w:rPr>
                <w:szCs w:val="20"/>
              </w:rPr>
            </w:pPr>
            <w:r>
              <w:rPr>
                <w:rFonts w:cs="Arial"/>
                <w:noProof/>
                <w:color w:val="000000"/>
                <w:szCs w:val="20"/>
                <w:highlight w:val="black"/>
              </w:rPr>
              <w:t>''''''''''''''''''''''''''''''</w:t>
            </w:r>
            <w:r w:rsidR="00C20FE3" w:rsidRPr="00C20FE3">
              <w:rPr>
                <w:rFonts w:cs="Arial"/>
                <w:szCs w:val="20"/>
                <w:vertAlign w:val="superscript"/>
              </w:rPr>
              <w:t>4</w:t>
            </w:r>
          </w:p>
        </w:tc>
        <w:tc>
          <w:tcPr>
            <w:tcW w:w="647" w:type="pct"/>
            <w:tcBorders>
              <w:bottom w:val="single" w:sz="8" w:space="0" w:color="auto"/>
            </w:tcBorders>
            <w:shd w:val="clear" w:color="auto" w:fill="auto"/>
            <w:vAlign w:val="center"/>
          </w:tcPr>
          <w:p w:rsidR="00FC556A" w:rsidRPr="005065A0" w:rsidRDefault="0061241D" w:rsidP="00FC556A">
            <w:pPr>
              <w:pStyle w:val="TableText0"/>
              <w:jc w:val="center"/>
              <w:rPr>
                <w:szCs w:val="20"/>
              </w:rPr>
            </w:pPr>
            <w:r>
              <w:rPr>
                <w:rFonts w:cs="Arial"/>
                <w:noProof/>
                <w:color w:val="000000"/>
                <w:szCs w:val="20"/>
                <w:highlight w:val="black"/>
              </w:rPr>
              <w:t>''''''''''''''''''''''''''''''</w:t>
            </w:r>
            <w:r w:rsidR="00C20FE3" w:rsidRPr="00C20FE3">
              <w:rPr>
                <w:rFonts w:cs="Arial"/>
                <w:szCs w:val="20"/>
                <w:vertAlign w:val="superscript"/>
              </w:rPr>
              <w:t>4</w:t>
            </w:r>
          </w:p>
        </w:tc>
        <w:tc>
          <w:tcPr>
            <w:tcW w:w="649" w:type="pct"/>
            <w:tcBorders>
              <w:bottom w:val="single" w:sz="8" w:space="0" w:color="auto"/>
            </w:tcBorders>
            <w:vAlign w:val="center"/>
          </w:tcPr>
          <w:p w:rsidR="00FC556A" w:rsidRPr="005065A0" w:rsidRDefault="0061241D" w:rsidP="00FC556A">
            <w:pPr>
              <w:pStyle w:val="TableText0"/>
              <w:jc w:val="center"/>
              <w:rPr>
                <w:szCs w:val="20"/>
              </w:rPr>
            </w:pPr>
            <w:r>
              <w:rPr>
                <w:rFonts w:cs="Arial"/>
                <w:noProof/>
                <w:color w:val="000000"/>
                <w:szCs w:val="20"/>
                <w:highlight w:val="black"/>
              </w:rPr>
              <w:t>'''''''''''''''''''''''''''</w:t>
            </w:r>
            <w:r w:rsidR="00C20FE3" w:rsidRPr="00C20FE3">
              <w:rPr>
                <w:rFonts w:cs="Arial"/>
                <w:szCs w:val="20"/>
                <w:vertAlign w:val="superscript"/>
              </w:rPr>
              <w:t>4</w:t>
            </w:r>
          </w:p>
        </w:tc>
      </w:tr>
      <w:tr w:rsidR="000A2797" w:rsidRPr="005065A0" w:rsidTr="000A2797">
        <w:tc>
          <w:tcPr>
            <w:tcW w:w="5000" w:type="pct"/>
            <w:gridSpan w:val="7"/>
            <w:tcBorders>
              <w:top w:val="single" w:sz="8" w:space="0" w:color="auto"/>
            </w:tcBorders>
            <w:shd w:val="clear" w:color="auto" w:fill="auto"/>
            <w:vAlign w:val="center"/>
          </w:tcPr>
          <w:p w:rsidR="000A2797" w:rsidRPr="005065A0" w:rsidRDefault="002116FF" w:rsidP="000A2797">
            <w:pPr>
              <w:pStyle w:val="TableText0"/>
              <w:rPr>
                <w:rFonts w:cs="Arial"/>
                <w:b/>
                <w:szCs w:val="20"/>
              </w:rPr>
            </w:pPr>
            <w:r w:rsidRPr="005065A0">
              <w:rPr>
                <w:rFonts w:cs="Arial"/>
                <w:b/>
                <w:szCs w:val="20"/>
              </w:rPr>
              <w:t>Post-TKI setting</w:t>
            </w:r>
          </w:p>
        </w:tc>
      </w:tr>
      <w:tr w:rsidR="000A2797" w:rsidRPr="005065A0" w:rsidTr="000A2797">
        <w:tc>
          <w:tcPr>
            <w:tcW w:w="5000" w:type="pct"/>
            <w:gridSpan w:val="7"/>
            <w:shd w:val="clear" w:color="auto" w:fill="auto"/>
            <w:vAlign w:val="center"/>
          </w:tcPr>
          <w:p w:rsidR="000A2797" w:rsidRPr="005065A0" w:rsidRDefault="000A2797" w:rsidP="000A2797">
            <w:pPr>
              <w:pStyle w:val="TableText0"/>
              <w:rPr>
                <w:rFonts w:cs="Arial"/>
                <w:b/>
                <w:szCs w:val="20"/>
              </w:rPr>
            </w:pPr>
            <w:r w:rsidRPr="005065A0">
              <w:rPr>
                <w:rFonts w:cs="Arial"/>
                <w:b/>
                <w:szCs w:val="20"/>
              </w:rPr>
              <w:t>Reductions in the number of scripts</w:t>
            </w:r>
          </w:p>
        </w:tc>
      </w:tr>
      <w:tr w:rsidR="00440A3F" w:rsidRPr="005065A0" w:rsidTr="001769FA">
        <w:tc>
          <w:tcPr>
            <w:tcW w:w="1116" w:type="pct"/>
            <w:shd w:val="clear" w:color="auto" w:fill="auto"/>
            <w:vAlign w:val="center"/>
          </w:tcPr>
          <w:p w:rsidR="00440A3F" w:rsidRPr="005065A0" w:rsidRDefault="00440A3F" w:rsidP="00440A3F">
            <w:pPr>
              <w:pStyle w:val="TableText0"/>
              <w:rPr>
                <w:szCs w:val="20"/>
              </w:rPr>
            </w:pPr>
            <w:r w:rsidRPr="005065A0">
              <w:rPr>
                <w:szCs w:val="20"/>
              </w:rPr>
              <w:t>Sunitinib/pazopanib</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440A3F" w:rsidRPr="005065A0" w:rsidRDefault="00440A3F" w:rsidP="00440A3F">
            <w:pPr>
              <w:pStyle w:val="TableText0"/>
              <w:jc w:val="center"/>
              <w:rPr>
                <w:rFonts w:cs="Arial"/>
                <w:szCs w:val="20"/>
              </w:rPr>
            </w:pPr>
            <w:r w:rsidRPr="005065A0">
              <w:rPr>
                <w:rFonts w:cs="Arial"/>
                <w:color w:val="000000"/>
                <w:szCs w:val="20"/>
              </w:rPr>
              <w:t>-</w:t>
            </w:r>
            <w:r w:rsidR="0061241D">
              <w:rPr>
                <w:rFonts w:cs="Arial"/>
                <w:noProof/>
                <w:color w:val="000000"/>
                <w:szCs w:val="20"/>
                <w:highlight w:val="black"/>
              </w:rPr>
              <w:t>''''''''''''''</w:t>
            </w:r>
            <w:r w:rsidR="00C20FE3">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000000" w:fill="FFFFFF"/>
            <w:vAlign w:val="center"/>
          </w:tcPr>
          <w:p w:rsidR="00440A3F" w:rsidRPr="005065A0" w:rsidRDefault="00440A3F" w:rsidP="00440A3F">
            <w:pPr>
              <w:pStyle w:val="TableText0"/>
              <w:jc w:val="center"/>
              <w:rPr>
                <w:rFonts w:cs="Arial"/>
                <w:szCs w:val="20"/>
              </w:rPr>
            </w:pPr>
            <w:r w:rsidRPr="005065A0">
              <w:rPr>
                <w:rFonts w:cs="Arial"/>
                <w:color w:val="000000"/>
                <w:szCs w:val="20"/>
              </w:rPr>
              <w:t>-</w:t>
            </w:r>
            <w:r w:rsidR="0061241D">
              <w:rPr>
                <w:rFonts w:cs="Arial"/>
                <w:noProof/>
                <w:color w:val="000000"/>
                <w:szCs w:val="20"/>
                <w:highlight w:val="black"/>
              </w:rPr>
              <w:t xml:space="preserve">'''''''''''''' </w:t>
            </w:r>
            <w:r w:rsidR="00C20FE3">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000000" w:fill="FFFFFF"/>
            <w:vAlign w:val="center"/>
          </w:tcPr>
          <w:p w:rsidR="00440A3F" w:rsidRPr="005065A0" w:rsidRDefault="00440A3F" w:rsidP="00440A3F">
            <w:pPr>
              <w:pStyle w:val="TableText0"/>
              <w:jc w:val="center"/>
              <w:rPr>
                <w:rFonts w:cs="Arial"/>
                <w:szCs w:val="20"/>
              </w:rPr>
            </w:pPr>
            <w:r w:rsidRPr="005065A0">
              <w:rPr>
                <w:rFonts w:cs="Arial"/>
                <w:color w:val="000000"/>
                <w:szCs w:val="20"/>
              </w:rPr>
              <w:t>-</w:t>
            </w:r>
            <w:r w:rsidR="0061241D">
              <w:rPr>
                <w:rFonts w:cs="Arial"/>
                <w:noProof/>
                <w:color w:val="000000"/>
                <w:szCs w:val="20"/>
                <w:highlight w:val="black"/>
              </w:rPr>
              <w:t xml:space="preserve">''''''''''''' </w:t>
            </w:r>
            <w:r w:rsidR="00C20FE3">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000000" w:fill="FFFFFF"/>
            <w:vAlign w:val="center"/>
          </w:tcPr>
          <w:p w:rsidR="00440A3F" w:rsidRPr="005065A0" w:rsidRDefault="00440A3F" w:rsidP="00440A3F">
            <w:pPr>
              <w:pStyle w:val="TableText0"/>
              <w:jc w:val="center"/>
              <w:rPr>
                <w:rFonts w:cs="Arial"/>
                <w:szCs w:val="20"/>
              </w:rPr>
            </w:pPr>
            <w:r w:rsidRPr="005065A0">
              <w:rPr>
                <w:rFonts w:cs="Arial"/>
                <w:color w:val="000000"/>
                <w:szCs w:val="20"/>
              </w:rPr>
              <w:t>-</w:t>
            </w:r>
            <w:r w:rsidR="0061241D">
              <w:rPr>
                <w:rFonts w:cs="Arial"/>
                <w:noProof/>
                <w:color w:val="000000"/>
                <w:szCs w:val="20"/>
                <w:highlight w:val="black"/>
              </w:rPr>
              <w:t xml:space="preserve">'''''''''''' </w:t>
            </w:r>
            <w:r w:rsidR="00C20FE3">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000000" w:fill="FFFFFF"/>
            <w:vAlign w:val="center"/>
          </w:tcPr>
          <w:p w:rsidR="00440A3F" w:rsidRPr="005065A0" w:rsidRDefault="00440A3F" w:rsidP="00440A3F">
            <w:pPr>
              <w:pStyle w:val="TableText0"/>
              <w:jc w:val="center"/>
              <w:rPr>
                <w:rFonts w:cs="Arial"/>
                <w:szCs w:val="20"/>
              </w:rPr>
            </w:pPr>
            <w:r w:rsidRPr="005065A0">
              <w:rPr>
                <w:rFonts w:cs="Arial"/>
                <w:color w:val="000000"/>
                <w:szCs w:val="20"/>
              </w:rPr>
              <w:t>-</w:t>
            </w:r>
            <w:r w:rsidR="0061241D">
              <w:rPr>
                <w:rFonts w:cs="Arial"/>
                <w:noProof/>
                <w:color w:val="000000"/>
                <w:szCs w:val="20"/>
                <w:highlight w:val="black"/>
              </w:rPr>
              <w:t xml:space="preserve">'''''''''''' </w:t>
            </w:r>
            <w:r w:rsidR="00C20FE3">
              <w:rPr>
                <w:rFonts w:cs="Arial"/>
                <w:color w:val="000000"/>
                <w:szCs w:val="20"/>
                <w:vertAlign w:val="superscript"/>
              </w:rPr>
              <w:t>2</w:t>
            </w:r>
          </w:p>
        </w:tc>
        <w:tc>
          <w:tcPr>
            <w:tcW w:w="649" w:type="pct"/>
            <w:tcBorders>
              <w:top w:val="single" w:sz="4" w:space="0" w:color="auto"/>
              <w:left w:val="nil"/>
              <w:bottom w:val="single" w:sz="4" w:space="0" w:color="auto"/>
              <w:right w:val="single" w:sz="4" w:space="0" w:color="auto"/>
            </w:tcBorders>
            <w:shd w:val="clear" w:color="000000" w:fill="FFFFFF"/>
            <w:vAlign w:val="center"/>
          </w:tcPr>
          <w:p w:rsidR="00440A3F" w:rsidRPr="005065A0" w:rsidRDefault="00440A3F" w:rsidP="00440A3F">
            <w:pPr>
              <w:pStyle w:val="TableText0"/>
              <w:jc w:val="center"/>
              <w:rPr>
                <w:rFonts w:cs="Arial"/>
                <w:szCs w:val="20"/>
              </w:rPr>
            </w:pPr>
            <w:r w:rsidRPr="005065A0">
              <w:rPr>
                <w:rFonts w:cs="Arial"/>
                <w:color w:val="000000"/>
                <w:szCs w:val="20"/>
              </w:rPr>
              <w:t>-</w:t>
            </w:r>
            <w:r w:rsidR="0061241D">
              <w:rPr>
                <w:rFonts w:cs="Arial"/>
                <w:noProof/>
                <w:color w:val="000000"/>
                <w:szCs w:val="20"/>
                <w:highlight w:val="black"/>
              </w:rPr>
              <w:t xml:space="preserve">'''''''''''''' </w:t>
            </w:r>
            <w:r w:rsidR="00C20FE3">
              <w:rPr>
                <w:rFonts w:cs="Arial"/>
                <w:color w:val="000000"/>
                <w:szCs w:val="20"/>
                <w:vertAlign w:val="superscript"/>
              </w:rPr>
              <w:t>2</w:t>
            </w:r>
          </w:p>
        </w:tc>
      </w:tr>
      <w:tr w:rsidR="00A93B00" w:rsidRPr="005065A0" w:rsidTr="00440A3F">
        <w:tc>
          <w:tcPr>
            <w:tcW w:w="1116" w:type="pct"/>
            <w:shd w:val="clear" w:color="auto" w:fill="auto"/>
            <w:vAlign w:val="center"/>
          </w:tcPr>
          <w:p w:rsidR="00A93B00" w:rsidRPr="005065A0" w:rsidRDefault="00A93B00" w:rsidP="00A93B00">
            <w:pPr>
              <w:pStyle w:val="TableText0"/>
              <w:rPr>
                <w:szCs w:val="20"/>
              </w:rPr>
            </w:pPr>
            <w:r w:rsidRPr="005065A0">
              <w:rPr>
                <w:szCs w:val="20"/>
              </w:rPr>
              <w:t>Cabozantinib</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93B00" w:rsidRPr="00C20FE3" w:rsidRDefault="00A93B00" w:rsidP="00A93B00">
            <w:pPr>
              <w:pStyle w:val="TableText0"/>
              <w:jc w:val="center"/>
              <w:rPr>
                <w:rFonts w:cs="Arial"/>
                <w:szCs w:val="20"/>
                <w:vertAlign w:val="superscript"/>
              </w:rPr>
            </w:pPr>
            <w:r w:rsidRPr="005065A0">
              <w:rPr>
                <w:rFonts w:cs="Arial"/>
                <w:szCs w:val="20"/>
              </w:rPr>
              <w:t>-</w:t>
            </w:r>
            <w:r w:rsidR="0061241D">
              <w:rPr>
                <w:rFonts w:cs="Arial"/>
                <w:noProof/>
                <w:color w:val="000000"/>
                <w:szCs w:val="20"/>
                <w:highlight w:val="black"/>
              </w:rPr>
              <w:t>'''''''''</w:t>
            </w:r>
            <w:r w:rsidR="00C20FE3">
              <w:rPr>
                <w:rFonts w:cs="Arial"/>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rsidR="00A93B00" w:rsidRPr="005065A0" w:rsidRDefault="00A93B00" w:rsidP="00A93B00">
            <w:pPr>
              <w:pStyle w:val="TableText0"/>
              <w:jc w:val="center"/>
              <w:rPr>
                <w:rFonts w:cs="Arial"/>
                <w:szCs w:val="20"/>
              </w:rPr>
            </w:pPr>
            <w:r w:rsidRPr="005065A0">
              <w:rPr>
                <w:rFonts w:cs="Arial"/>
                <w:iCs/>
                <w:color w:val="000000"/>
                <w:szCs w:val="20"/>
              </w:rPr>
              <w:t>-</w:t>
            </w:r>
            <w:r w:rsidR="0061241D">
              <w:rPr>
                <w:rFonts w:cs="Arial"/>
                <w:iCs/>
                <w:noProof/>
                <w:color w:val="000000"/>
                <w:szCs w:val="20"/>
                <w:highlight w:val="black"/>
              </w:rPr>
              <w:t>''''''''''''''</w:t>
            </w:r>
            <w:r w:rsidR="00C20FE3">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rsidR="00A93B00" w:rsidRPr="005065A0" w:rsidRDefault="00A93B00" w:rsidP="00A93B00">
            <w:pPr>
              <w:pStyle w:val="TableText0"/>
              <w:jc w:val="center"/>
              <w:rPr>
                <w:rFonts w:cs="Arial"/>
                <w:szCs w:val="20"/>
              </w:rPr>
            </w:pPr>
            <w:r w:rsidRPr="005065A0">
              <w:rPr>
                <w:rFonts w:cs="Arial"/>
                <w:iCs/>
                <w:color w:val="000000"/>
                <w:szCs w:val="20"/>
              </w:rPr>
              <w:t>-</w:t>
            </w:r>
            <w:r w:rsidR="0061241D">
              <w:rPr>
                <w:rFonts w:cs="Arial"/>
                <w:iCs/>
                <w:noProof/>
                <w:color w:val="000000"/>
                <w:szCs w:val="20"/>
                <w:highlight w:val="black"/>
              </w:rPr>
              <w:t>''''''''''''</w:t>
            </w:r>
            <w:r w:rsidR="00C20FE3">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rsidR="00A93B00" w:rsidRPr="005065A0" w:rsidRDefault="00A93B00" w:rsidP="00A93B00">
            <w:pPr>
              <w:pStyle w:val="TableText0"/>
              <w:jc w:val="center"/>
              <w:rPr>
                <w:rFonts w:cs="Arial"/>
                <w:szCs w:val="20"/>
              </w:rPr>
            </w:pPr>
            <w:r w:rsidRPr="005065A0">
              <w:rPr>
                <w:rFonts w:cs="Arial"/>
                <w:iCs/>
                <w:color w:val="000000"/>
                <w:szCs w:val="20"/>
              </w:rPr>
              <w:t>-</w:t>
            </w:r>
            <w:r w:rsidR="0061241D">
              <w:rPr>
                <w:rFonts w:cs="Arial"/>
                <w:iCs/>
                <w:noProof/>
                <w:color w:val="000000"/>
                <w:szCs w:val="20"/>
                <w:highlight w:val="black"/>
              </w:rPr>
              <w:t>'''''''''''''</w:t>
            </w:r>
            <w:r w:rsidR="00C20FE3">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vAlign w:val="center"/>
          </w:tcPr>
          <w:p w:rsidR="00A93B00" w:rsidRPr="005065A0" w:rsidRDefault="00A93B00" w:rsidP="00A93B00">
            <w:pPr>
              <w:pStyle w:val="TableText0"/>
              <w:jc w:val="center"/>
              <w:rPr>
                <w:rFonts w:cs="Arial"/>
                <w:szCs w:val="20"/>
              </w:rPr>
            </w:pPr>
            <w:r w:rsidRPr="005065A0">
              <w:rPr>
                <w:rFonts w:cs="Arial"/>
                <w:iCs/>
                <w:color w:val="000000"/>
                <w:szCs w:val="20"/>
              </w:rPr>
              <w:t>-</w:t>
            </w:r>
            <w:r w:rsidR="0061241D">
              <w:rPr>
                <w:rFonts w:cs="Arial"/>
                <w:iCs/>
                <w:noProof/>
                <w:color w:val="000000"/>
                <w:szCs w:val="20"/>
                <w:highlight w:val="black"/>
              </w:rPr>
              <w:t>'''''''''''''</w:t>
            </w:r>
            <w:r w:rsidR="00C20FE3">
              <w:rPr>
                <w:rFonts w:cs="Arial"/>
                <w:color w:val="000000"/>
                <w:szCs w:val="20"/>
                <w:vertAlign w:val="superscript"/>
              </w:rPr>
              <w:t>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A93B00" w:rsidRPr="005065A0" w:rsidRDefault="00A93B00" w:rsidP="00A93B00">
            <w:pPr>
              <w:pStyle w:val="TableText0"/>
              <w:jc w:val="center"/>
              <w:rPr>
                <w:rFonts w:cs="Arial"/>
                <w:szCs w:val="20"/>
              </w:rPr>
            </w:pPr>
            <w:r w:rsidRPr="005065A0">
              <w:rPr>
                <w:rFonts w:cs="Arial"/>
                <w:iCs/>
                <w:color w:val="000000"/>
                <w:szCs w:val="20"/>
              </w:rPr>
              <w:t>-</w:t>
            </w:r>
            <w:r w:rsidR="0061241D">
              <w:rPr>
                <w:rFonts w:cs="Arial"/>
                <w:iCs/>
                <w:noProof/>
                <w:color w:val="000000"/>
                <w:szCs w:val="20"/>
                <w:highlight w:val="black"/>
              </w:rPr>
              <w:t>''''''''''''''</w:t>
            </w:r>
            <w:r w:rsidR="00C20FE3">
              <w:rPr>
                <w:rFonts w:cs="Arial"/>
                <w:color w:val="000000"/>
                <w:szCs w:val="20"/>
                <w:vertAlign w:val="superscript"/>
              </w:rPr>
              <w:t>2</w:t>
            </w:r>
          </w:p>
        </w:tc>
      </w:tr>
      <w:tr w:rsidR="004B4C7D" w:rsidRPr="005065A0" w:rsidTr="004866BB">
        <w:tc>
          <w:tcPr>
            <w:tcW w:w="5000" w:type="pct"/>
            <w:gridSpan w:val="7"/>
            <w:shd w:val="clear" w:color="auto" w:fill="auto"/>
            <w:vAlign w:val="center"/>
          </w:tcPr>
          <w:p w:rsidR="004B4C7D" w:rsidRPr="005065A0" w:rsidRDefault="004B4C7D" w:rsidP="000A2797">
            <w:pPr>
              <w:pStyle w:val="TableText0"/>
              <w:rPr>
                <w:b/>
                <w:szCs w:val="20"/>
              </w:rPr>
            </w:pPr>
            <w:r w:rsidRPr="005065A0">
              <w:rPr>
                <w:b/>
                <w:szCs w:val="20"/>
              </w:rPr>
              <w:t xml:space="preserve">Estimated </w:t>
            </w:r>
            <w:r w:rsidR="00271DA8" w:rsidRPr="005065A0">
              <w:rPr>
                <w:b/>
                <w:szCs w:val="20"/>
              </w:rPr>
              <w:t xml:space="preserve">financial implications for </w:t>
            </w:r>
            <w:r w:rsidR="00CD4498" w:rsidRPr="005065A0">
              <w:rPr>
                <w:b/>
                <w:szCs w:val="20"/>
              </w:rPr>
              <w:t xml:space="preserve">reduced use of sunitinib, pazopanib and cabozantinib </w:t>
            </w:r>
          </w:p>
        </w:tc>
      </w:tr>
      <w:tr w:rsidR="00CD4498" w:rsidRPr="005065A0" w:rsidTr="00CD4498">
        <w:tc>
          <w:tcPr>
            <w:tcW w:w="1116" w:type="pct"/>
            <w:shd w:val="clear" w:color="auto" w:fill="auto"/>
            <w:vAlign w:val="center"/>
          </w:tcPr>
          <w:p w:rsidR="00CD4498" w:rsidRPr="005065A0" w:rsidRDefault="00CD4498" w:rsidP="00CD4498">
            <w:pPr>
              <w:pStyle w:val="TableText0"/>
              <w:rPr>
                <w:szCs w:val="20"/>
              </w:rPr>
            </w:pPr>
            <w:r w:rsidRPr="005065A0">
              <w:rPr>
                <w:szCs w:val="20"/>
              </w:rPr>
              <w:t>Offset due to reduced use of sunitinib and pazopanib</w:t>
            </w:r>
          </w:p>
        </w:tc>
        <w:tc>
          <w:tcPr>
            <w:tcW w:w="647" w:type="pct"/>
            <w:shd w:val="clear" w:color="auto" w:fill="auto"/>
            <w:vAlign w:val="center"/>
          </w:tcPr>
          <w:p w:rsidR="00CD4498" w:rsidRPr="00C20FE3" w:rsidRDefault="00CD4498" w:rsidP="00CD4498">
            <w:pPr>
              <w:pStyle w:val="TableText0"/>
              <w:jc w:val="center"/>
              <w:rPr>
                <w:szCs w:val="20"/>
                <w:highlight w:val="yellow"/>
                <w:vertAlign w:val="superscript"/>
              </w:rPr>
            </w:pPr>
            <w:r w:rsidRPr="005065A0">
              <w:rPr>
                <w:szCs w:val="20"/>
              </w:rPr>
              <w:t>$</w:t>
            </w:r>
            <w:r w:rsidR="0061241D">
              <w:rPr>
                <w:noProof/>
                <w:color w:val="000000"/>
                <w:szCs w:val="20"/>
                <w:highlight w:val="black"/>
              </w:rPr>
              <w:t>''''''''''''''''''''''''</w:t>
            </w:r>
            <w:r w:rsidR="00C20FE3">
              <w:rPr>
                <w:szCs w:val="20"/>
                <w:vertAlign w:val="superscript"/>
              </w:rPr>
              <w:t>3</w:t>
            </w:r>
          </w:p>
        </w:tc>
        <w:tc>
          <w:tcPr>
            <w:tcW w:w="647" w:type="pct"/>
            <w:shd w:val="clear" w:color="auto" w:fill="auto"/>
            <w:vAlign w:val="center"/>
          </w:tcPr>
          <w:p w:rsidR="00CD4498" w:rsidRPr="005065A0" w:rsidRDefault="00CD4498" w:rsidP="00CD4498">
            <w:pPr>
              <w:pStyle w:val="TableText0"/>
              <w:jc w:val="center"/>
              <w:rPr>
                <w:szCs w:val="20"/>
                <w:highlight w:val="yellow"/>
              </w:rPr>
            </w:pPr>
            <w:r w:rsidRPr="005065A0">
              <w:rPr>
                <w:szCs w:val="20"/>
              </w:rPr>
              <w:t>$</w:t>
            </w:r>
            <w:r w:rsidR="0061241D">
              <w:rPr>
                <w:noProof/>
                <w:color w:val="000000"/>
                <w:szCs w:val="20"/>
                <w:highlight w:val="black"/>
              </w:rPr>
              <w:t>''''''''''''''''''''''</w:t>
            </w:r>
            <w:r w:rsidR="00C20FE3">
              <w:rPr>
                <w:szCs w:val="20"/>
                <w:vertAlign w:val="superscript"/>
              </w:rPr>
              <w:t>3</w:t>
            </w:r>
          </w:p>
        </w:tc>
        <w:tc>
          <w:tcPr>
            <w:tcW w:w="647" w:type="pct"/>
            <w:shd w:val="clear" w:color="auto" w:fill="auto"/>
            <w:vAlign w:val="center"/>
          </w:tcPr>
          <w:p w:rsidR="00CD4498" w:rsidRPr="005065A0" w:rsidRDefault="00CD4498" w:rsidP="00CD4498">
            <w:pPr>
              <w:pStyle w:val="TableText0"/>
              <w:jc w:val="center"/>
              <w:rPr>
                <w:szCs w:val="20"/>
                <w:highlight w:val="yellow"/>
              </w:rPr>
            </w:pPr>
            <w:r w:rsidRPr="005065A0">
              <w:rPr>
                <w:szCs w:val="20"/>
              </w:rPr>
              <w:t>$</w:t>
            </w:r>
            <w:r w:rsidR="0061241D">
              <w:rPr>
                <w:noProof/>
                <w:color w:val="000000"/>
                <w:szCs w:val="20"/>
                <w:highlight w:val="black"/>
              </w:rPr>
              <w:t>''''''''''''''''''''''''''</w:t>
            </w:r>
            <w:r w:rsidR="00C20FE3">
              <w:rPr>
                <w:szCs w:val="20"/>
                <w:vertAlign w:val="superscript"/>
              </w:rPr>
              <w:t>3</w:t>
            </w:r>
          </w:p>
        </w:tc>
        <w:tc>
          <w:tcPr>
            <w:tcW w:w="647" w:type="pct"/>
            <w:shd w:val="clear" w:color="auto" w:fill="auto"/>
            <w:vAlign w:val="center"/>
          </w:tcPr>
          <w:p w:rsidR="00CD4498" w:rsidRPr="005065A0" w:rsidRDefault="00CD4498" w:rsidP="00CD4498">
            <w:pPr>
              <w:pStyle w:val="TableText0"/>
              <w:jc w:val="center"/>
              <w:rPr>
                <w:szCs w:val="20"/>
                <w:highlight w:val="yellow"/>
              </w:rPr>
            </w:pPr>
            <w:r w:rsidRPr="005065A0">
              <w:rPr>
                <w:szCs w:val="20"/>
              </w:rPr>
              <w:t>$</w:t>
            </w:r>
            <w:r w:rsidR="0061241D">
              <w:rPr>
                <w:noProof/>
                <w:color w:val="000000"/>
                <w:szCs w:val="20"/>
                <w:highlight w:val="black"/>
              </w:rPr>
              <w:t>'''''''''''''''''''''''''</w:t>
            </w:r>
            <w:r w:rsidR="00C20FE3">
              <w:rPr>
                <w:szCs w:val="20"/>
                <w:vertAlign w:val="superscript"/>
              </w:rPr>
              <w:t>3</w:t>
            </w:r>
          </w:p>
        </w:tc>
        <w:tc>
          <w:tcPr>
            <w:tcW w:w="647" w:type="pct"/>
            <w:shd w:val="clear" w:color="auto" w:fill="auto"/>
            <w:vAlign w:val="center"/>
          </w:tcPr>
          <w:p w:rsidR="00CD4498" w:rsidRPr="005065A0" w:rsidRDefault="00CD4498" w:rsidP="00CD4498">
            <w:pPr>
              <w:pStyle w:val="TableText0"/>
              <w:jc w:val="center"/>
              <w:rPr>
                <w:szCs w:val="20"/>
                <w:highlight w:val="yellow"/>
              </w:rPr>
            </w:pPr>
            <w:r w:rsidRPr="005065A0">
              <w:rPr>
                <w:szCs w:val="20"/>
              </w:rPr>
              <w:t>$</w:t>
            </w:r>
            <w:r w:rsidR="0061241D">
              <w:rPr>
                <w:noProof/>
                <w:color w:val="000000"/>
                <w:szCs w:val="20"/>
                <w:highlight w:val="black"/>
              </w:rPr>
              <w:t>'''''''''''''''''''''''</w:t>
            </w:r>
            <w:r w:rsidR="00C20FE3">
              <w:rPr>
                <w:szCs w:val="20"/>
                <w:vertAlign w:val="superscript"/>
              </w:rPr>
              <w:t>3</w:t>
            </w:r>
          </w:p>
        </w:tc>
        <w:tc>
          <w:tcPr>
            <w:tcW w:w="649" w:type="pct"/>
            <w:vAlign w:val="center"/>
          </w:tcPr>
          <w:p w:rsidR="00CD4498" w:rsidRPr="005065A0" w:rsidRDefault="00CD4498" w:rsidP="00CD4498">
            <w:pPr>
              <w:pStyle w:val="TableText0"/>
              <w:jc w:val="center"/>
              <w:rPr>
                <w:szCs w:val="20"/>
                <w:highlight w:val="yellow"/>
              </w:rPr>
            </w:pPr>
            <w:r w:rsidRPr="005065A0">
              <w:rPr>
                <w:szCs w:val="20"/>
              </w:rPr>
              <w:t>$</w:t>
            </w:r>
            <w:r w:rsidR="0061241D">
              <w:rPr>
                <w:noProof/>
                <w:color w:val="000000"/>
                <w:szCs w:val="20"/>
                <w:highlight w:val="black"/>
              </w:rPr>
              <w:t>'''''''''''''''''''''''''</w:t>
            </w:r>
            <w:r w:rsidR="00C20FE3">
              <w:rPr>
                <w:szCs w:val="20"/>
                <w:vertAlign w:val="superscript"/>
              </w:rPr>
              <w:t>3</w:t>
            </w:r>
          </w:p>
        </w:tc>
      </w:tr>
      <w:tr w:rsidR="00282074" w:rsidRPr="005065A0" w:rsidTr="007361F4">
        <w:tc>
          <w:tcPr>
            <w:tcW w:w="1116" w:type="pct"/>
            <w:shd w:val="clear" w:color="auto" w:fill="auto"/>
            <w:vAlign w:val="center"/>
          </w:tcPr>
          <w:p w:rsidR="00282074" w:rsidRPr="005065A0" w:rsidRDefault="00E96ED0" w:rsidP="002116FF">
            <w:pPr>
              <w:pStyle w:val="TableText0"/>
              <w:rPr>
                <w:szCs w:val="20"/>
              </w:rPr>
            </w:pPr>
            <w:r w:rsidRPr="005065A0">
              <w:rPr>
                <w:szCs w:val="20"/>
              </w:rPr>
              <w:t xml:space="preserve">Offset </w:t>
            </w:r>
            <w:r w:rsidR="0008737F" w:rsidRPr="005065A0">
              <w:rPr>
                <w:szCs w:val="20"/>
              </w:rPr>
              <w:t xml:space="preserve">for </w:t>
            </w:r>
            <w:r w:rsidRPr="005065A0">
              <w:rPr>
                <w:szCs w:val="20"/>
              </w:rPr>
              <w:t>c</w:t>
            </w:r>
            <w:r w:rsidR="002116FF" w:rsidRPr="005065A0">
              <w:rPr>
                <w:szCs w:val="20"/>
              </w:rPr>
              <w:t>abozantinib (reduced use post-TKI)</w:t>
            </w:r>
          </w:p>
        </w:tc>
        <w:tc>
          <w:tcPr>
            <w:tcW w:w="647" w:type="pct"/>
            <w:shd w:val="clear" w:color="auto" w:fill="auto"/>
            <w:vAlign w:val="center"/>
          </w:tcPr>
          <w:p w:rsidR="00282074" w:rsidRPr="005065A0" w:rsidRDefault="00282074" w:rsidP="00282074">
            <w:pPr>
              <w:pStyle w:val="TableText0"/>
              <w:jc w:val="center"/>
              <w:rPr>
                <w:rFonts w:cs="Arial"/>
                <w:iCs/>
                <w:color w:val="000000"/>
                <w:szCs w:val="20"/>
              </w:rPr>
            </w:pPr>
            <w:r w:rsidRPr="005065A0">
              <w:rPr>
                <w:rFonts w:cs="Arial"/>
                <w:iCs/>
                <w:color w:val="000000"/>
                <w:szCs w:val="20"/>
              </w:rPr>
              <w:t>$</w:t>
            </w:r>
            <w:r w:rsidR="0061241D">
              <w:rPr>
                <w:rFonts w:cs="Arial"/>
                <w:iCs/>
                <w:noProof/>
                <w:color w:val="000000"/>
                <w:szCs w:val="20"/>
                <w:highlight w:val="black"/>
              </w:rPr>
              <w:t>''''''''''''''''''''''</w:t>
            </w:r>
            <w:r w:rsidRPr="005065A0">
              <w:rPr>
                <w:rFonts w:cs="Arial"/>
                <w:iCs/>
                <w:color w:val="000000"/>
                <w:szCs w:val="20"/>
              </w:rPr>
              <w:t xml:space="preserve"> </w:t>
            </w:r>
            <w:r w:rsidR="00C20FE3">
              <w:rPr>
                <w:szCs w:val="20"/>
                <w:vertAlign w:val="superscript"/>
              </w:rPr>
              <w:t>3</w:t>
            </w:r>
          </w:p>
        </w:tc>
        <w:tc>
          <w:tcPr>
            <w:tcW w:w="647" w:type="pct"/>
            <w:shd w:val="clear" w:color="auto" w:fill="auto"/>
            <w:vAlign w:val="center"/>
          </w:tcPr>
          <w:p w:rsidR="00282074" w:rsidRPr="005065A0" w:rsidRDefault="00282074" w:rsidP="00282074">
            <w:pPr>
              <w:pStyle w:val="TableText0"/>
              <w:jc w:val="center"/>
              <w:rPr>
                <w:rFonts w:cs="Arial"/>
                <w:iCs/>
                <w:color w:val="000000"/>
                <w:szCs w:val="20"/>
              </w:rPr>
            </w:pPr>
            <w:r w:rsidRPr="005065A0">
              <w:rPr>
                <w:rFonts w:cs="Arial"/>
                <w:iCs/>
                <w:color w:val="000000"/>
                <w:szCs w:val="20"/>
              </w:rPr>
              <w:t>$</w:t>
            </w:r>
            <w:r w:rsidR="0061241D">
              <w:rPr>
                <w:rFonts w:cs="Arial"/>
                <w:iCs/>
                <w:noProof/>
                <w:color w:val="000000"/>
                <w:szCs w:val="20"/>
                <w:highlight w:val="black"/>
              </w:rPr>
              <w:t xml:space="preserve">'''''''''''''''''''''' </w:t>
            </w:r>
            <w:r w:rsidR="00C20FE3">
              <w:rPr>
                <w:szCs w:val="20"/>
                <w:vertAlign w:val="superscript"/>
              </w:rPr>
              <w:t>3</w:t>
            </w:r>
          </w:p>
        </w:tc>
        <w:tc>
          <w:tcPr>
            <w:tcW w:w="647" w:type="pct"/>
            <w:shd w:val="clear" w:color="auto" w:fill="auto"/>
            <w:vAlign w:val="center"/>
          </w:tcPr>
          <w:p w:rsidR="00282074" w:rsidRPr="005065A0" w:rsidRDefault="00282074" w:rsidP="00282074">
            <w:pPr>
              <w:pStyle w:val="TableText0"/>
              <w:jc w:val="center"/>
              <w:rPr>
                <w:rFonts w:cs="Arial"/>
                <w:iCs/>
                <w:color w:val="000000"/>
                <w:szCs w:val="20"/>
              </w:rPr>
            </w:pPr>
            <w:r w:rsidRPr="005065A0">
              <w:rPr>
                <w:rFonts w:cs="Arial"/>
                <w:iCs/>
                <w:color w:val="000000"/>
                <w:szCs w:val="20"/>
              </w:rPr>
              <w:t>$</w:t>
            </w:r>
            <w:r w:rsidR="0061241D">
              <w:rPr>
                <w:rFonts w:cs="Arial"/>
                <w:iCs/>
                <w:noProof/>
                <w:color w:val="000000"/>
                <w:szCs w:val="20"/>
                <w:highlight w:val="black"/>
              </w:rPr>
              <w:t xml:space="preserve">'''''''''''''''''''''' </w:t>
            </w:r>
            <w:r w:rsidR="00C20FE3">
              <w:rPr>
                <w:szCs w:val="20"/>
                <w:vertAlign w:val="superscript"/>
              </w:rPr>
              <w:t>3</w:t>
            </w:r>
          </w:p>
        </w:tc>
        <w:tc>
          <w:tcPr>
            <w:tcW w:w="647" w:type="pct"/>
            <w:shd w:val="clear" w:color="auto" w:fill="auto"/>
            <w:vAlign w:val="center"/>
          </w:tcPr>
          <w:p w:rsidR="00282074" w:rsidRPr="005065A0" w:rsidRDefault="00282074" w:rsidP="00282074">
            <w:pPr>
              <w:pStyle w:val="TableText0"/>
              <w:jc w:val="center"/>
              <w:rPr>
                <w:rFonts w:cs="Arial"/>
                <w:iCs/>
                <w:color w:val="000000"/>
                <w:szCs w:val="20"/>
              </w:rPr>
            </w:pPr>
            <w:r w:rsidRPr="005065A0">
              <w:rPr>
                <w:rFonts w:cs="Arial"/>
                <w:iCs/>
                <w:color w:val="000000"/>
                <w:szCs w:val="20"/>
              </w:rPr>
              <w:t>$</w:t>
            </w:r>
            <w:r w:rsidR="0061241D">
              <w:rPr>
                <w:rFonts w:cs="Arial"/>
                <w:iCs/>
                <w:noProof/>
                <w:color w:val="000000"/>
                <w:szCs w:val="20"/>
                <w:highlight w:val="black"/>
              </w:rPr>
              <w:t xml:space="preserve">''''''''''''''''''''''''' </w:t>
            </w:r>
            <w:r w:rsidR="00C20FE3">
              <w:rPr>
                <w:szCs w:val="20"/>
                <w:vertAlign w:val="superscript"/>
              </w:rPr>
              <w:t>3</w:t>
            </w:r>
          </w:p>
        </w:tc>
        <w:tc>
          <w:tcPr>
            <w:tcW w:w="647" w:type="pct"/>
            <w:shd w:val="clear" w:color="auto" w:fill="auto"/>
            <w:vAlign w:val="center"/>
          </w:tcPr>
          <w:p w:rsidR="00282074" w:rsidRPr="005065A0" w:rsidRDefault="00282074" w:rsidP="00282074">
            <w:pPr>
              <w:pStyle w:val="TableText0"/>
              <w:jc w:val="center"/>
              <w:rPr>
                <w:rFonts w:cs="Arial"/>
                <w:iCs/>
                <w:color w:val="000000"/>
                <w:szCs w:val="20"/>
              </w:rPr>
            </w:pPr>
            <w:r w:rsidRPr="005065A0">
              <w:rPr>
                <w:rFonts w:cs="Arial"/>
                <w:iCs/>
                <w:color w:val="000000"/>
                <w:szCs w:val="20"/>
              </w:rPr>
              <w:t>$</w:t>
            </w:r>
            <w:r w:rsidR="0061241D">
              <w:rPr>
                <w:rFonts w:cs="Arial"/>
                <w:iCs/>
                <w:noProof/>
                <w:color w:val="000000"/>
                <w:szCs w:val="20"/>
                <w:highlight w:val="black"/>
              </w:rPr>
              <w:t xml:space="preserve">''''''''''''''''''''''''' </w:t>
            </w:r>
            <w:r w:rsidR="00C20FE3">
              <w:rPr>
                <w:szCs w:val="20"/>
                <w:vertAlign w:val="superscript"/>
              </w:rPr>
              <w:t>3</w:t>
            </w:r>
          </w:p>
        </w:tc>
        <w:tc>
          <w:tcPr>
            <w:tcW w:w="649" w:type="pct"/>
            <w:vAlign w:val="center"/>
          </w:tcPr>
          <w:p w:rsidR="00282074" w:rsidRPr="005065A0" w:rsidRDefault="00282074" w:rsidP="00282074">
            <w:pPr>
              <w:pStyle w:val="TableText0"/>
              <w:jc w:val="center"/>
              <w:rPr>
                <w:rFonts w:cs="Arial"/>
                <w:iCs/>
                <w:color w:val="000000"/>
                <w:szCs w:val="20"/>
              </w:rPr>
            </w:pPr>
            <w:r w:rsidRPr="005065A0">
              <w:rPr>
                <w:rFonts w:cs="Arial"/>
                <w:iCs/>
                <w:color w:val="000000"/>
                <w:szCs w:val="20"/>
              </w:rPr>
              <w:t>$</w:t>
            </w:r>
            <w:r w:rsidR="0061241D">
              <w:rPr>
                <w:rFonts w:cs="Arial"/>
                <w:iCs/>
                <w:noProof/>
                <w:color w:val="000000"/>
                <w:szCs w:val="20"/>
                <w:highlight w:val="black"/>
              </w:rPr>
              <w:t>'''''''''''''''''''''''</w:t>
            </w:r>
            <w:r w:rsidR="00C20FE3">
              <w:rPr>
                <w:szCs w:val="20"/>
                <w:vertAlign w:val="superscript"/>
              </w:rPr>
              <w:t>3</w:t>
            </w:r>
            <w:r w:rsidRPr="005065A0">
              <w:rPr>
                <w:rFonts w:cs="Arial"/>
                <w:iCs/>
                <w:color w:val="000000"/>
                <w:szCs w:val="20"/>
              </w:rPr>
              <w:t xml:space="preserve"> </w:t>
            </w:r>
          </w:p>
        </w:tc>
      </w:tr>
      <w:tr w:rsidR="0008737F" w:rsidRPr="005065A0" w:rsidTr="000A2797">
        <w:tc>
          <w:tcPr>
            <w:tcW w:w="1116" w:type="pct"/>
            <w:tcBorders>
              <w:bottom w:val="single" w:sz="8" w:space="0" w:color="auto"/>
            </w:tcBorders>
            <w:shd w:val="clear" w:color="auto" w:fill="auto"/>
            <w:vAlign w:val="center"/>
          </w:tcPr>
          <w:p w:rsidR="0008737F" w:rsidRPr="005065A0" w:rsidRDefault="0008737F" w:rsidP="0008737F">
            <w:pPr>
              <w:pStyle w:val="TableText0"/>
              <w:rPr>
                <w:szCs w:val="20"/>
              </w:rPr>
            </w:pPr>
            <w:r w:rsidRPr="005065A0">
              <w:rPr>
                <w:szCs w:val="20"/>
              </w:rPr>
              <w:t>Total PBS/RPBS offset less copayments</w:t>
            </w:r>
          </w:p>
        </w:tc>
        <w:tc>
          <w:tcPr>
            <w:tcW w:w="647" w:type="pct"/>
            <w:tcBorders>
              <w:bottom w:val="single" w:sz="8" w:space="0" w:color="auto"/>
            </w:tcBorders>
            <w:shd w:val="clear" w:color="auto" w:fill="auto"/>
            <w:vAlign w:val="center"/>
          </w:tcPr>
          <w:p w:rsidR="0008737F" w:rsidRPr="005065A0" w:rsidRDefault="0008737F" w:rsidP="0008737F">
            <w:pPr>
              <w:pStyle w:val="TableText0"/>
              <w:jc w:val="center"/>
              <w:rPr>
                <w:rFonts w:cs="Arial"/>
                <w:iCs/>
                <w:color w:val="000000"/>
                <w:szCs w:val="20"/>
              </w:rPr>
            </w:pPr>
            <w:r w:rsidRPr="005065A0">
              <w:rPr>
                <w:rFonts w:cs="Arial"/>
                <w:color w:val="000000"/>
                <w:szCs w:val="20"/>
              </w:rPr>
              <w:t>$</w:t>
            </w:r>
            <w:r w:rsidR="0061241D">
              <w:rPr>
                <w:rFonts w:cs="Arial"/>
                <w:noProof/>
                <w:color w:val="000000"/>
                <w:szCs w:val="20"/>
                <w:highlight w:val="black"/>
              </w:rPr>
              <w:t>''''''''''''''''''''''</w:t>
            </w:r>
            <w:r w:rsidRPr="005065A0">
              <w:rPr>
                <w:rFonts w:cs="Arial"/>
                <w:color w:val="000000"/>
                <w:szCs w:val="20"/>
              </w:rPr>
              <w:t xml:space="preserve"> </w:t>
            </w:r>
            <w:r w:rsidR="00C20FE3">
              <w:rPr>
                <w:szCs w:val="20"/>
                <w:vertAlign w:val="superscript"/>
              </w:rPr>
              <w:t>3</w:t>
            </w:r>
          </w:p>
        </w:tc>
        <w:tc>
          <w:tcPr>
            <w:tcW w:w="647" w:type="pct"/>
            <w:tcBorders>
              <w:bottom w:val="single" w:sz="8" w:space="0" w:color="auto"/>
            </w:tcBorders>
            <w:shd w:val="clear" w:color="auto" w:fill="auto"/>
            <w:vAlign w:val="center"/>
          </w:tcPr>
          <w:p w:rsidR="0008737F" w:rsidRPr="005065A0" w:rsidRDefault="0008737F" w:rsidP="0008737F">
            <w:pPr>
              <w:pStyle w:val="TableText0"/>
              <w:jc w:val="center"/>
              <w:rPr>
                <w:rFonts w:cs="Arial"/>
                <w:iCs/>
                <w:color w:val="000000"/>
                <w:szCs w:val="20"/>
              </w:rPr>
            </w:pPr>
            <w:r w:rsidRPr="005065A0">
              <w:rPr>
                <w:rFonts w:cs="Arial"/>
                <w:color w:val="000000"/>
                <w:szCs w:val="20"/>
              </w:rPr>
              <w:t>$</w:t>
            </w:r>
            <w:r w:rsidR="0061241D">
              <w:rPr>
                <w:rFonts w:cs="Arial"/>
                <w:noProof/>
                <w:color w:val="000000"/>
                <w:szCs w:val="20"/>
                <w:highlight w:val="black"/>
              </w:rPr>
              <w:t>''''''''''''''''''''''''''''</w:t>
            </w:r>
            <w:r w:rsidR="00C20FE3">
              <w:rPr>
                <w:rFonts w:cs="Arial"/>
                <w:color w:val="000000"/>
                <w:szCs w:val="20"/>
                <w:vertAlign w:val="superscript"/>
              </w:rPr>
              <w:t>4</w:t>
            </w:r>
            <w:r w:rsidRPr="005065A0">
              <w:rPr>
                <w:rFonts w:cs="Arial"/>
                <w:color w:val="000000"/>
                <w:szCs w:val="20"/>
              </w:rPr>
              <w:t xml:space="preserve"> </w:t>
            </w:r>
          </w:p>
        </w:tc>
        <w:tc>
          <w:tcPr>
            <w:tcW w:w="647" w:type="pct"/>
            <w:tcBorders>
              <w:bottom w:val="single" w:sz="8" w:space="0" w:color="auto"/>
            </w:tcBorders>
            <w:shd w:val="clear" w:color="auto" w:fill="auto"/>
            <w:vAlign w:val="center"/>
          </w:tcPr>
          <w:p w:rsidR="0008737F" w:rsidRPr="005065A0" w:rsidRDefault="0008737F" w:rsidP="0008737F">
            <w:pPr>
              <w:pStyle w:val="TableText0"/>
              <w:jc w:val="center"/>
              <w:rPr>
                <w:rFonts w:cs="Arial"/>
                <w:iCs/>
                <w:color w:val="000000"/>
                <w:szCs w:val="20"/>
              </w:rPr>
            </w:pPr>
            <w:r w:rsidRPr="005065A0">
              <w:rPr>
                <w:rFonts w:cs="Arial"/>
                <w:color w:val="000000"/>
                <w:szCs w:val="20"/>
              </w:rPr>
              <w:t>$</w:t>
            </w:r>
            <w:r w:rsidR="0061241D">
              <w:rPr>
                <w:rFonts w:cs="Arial"/>
                <w:noProof/>
                <w:color w:val="000000"/>
                <w:szCs w:val="20"/>
                <w:highlight w:val="black"/>
              </w:rPr>
              <w:t>'''''''''''''''''''''''''</w:t>
            </w:r>
            <w:r w:rsidR="00C20FE3">
              <w:rPr>
                <w:rFonts w:cs="Arial"/>
                <w:color w:val="000000"/>
                <w:szCs w:val="20"/>
                <w:vertAlign w:val="superscript"/>
              </w:rPr>
              <w:t>4</w:t>
            </w:r>
            <w:r w:rsidRPr="005065A0">
              <w:rPr>
                <w:rFonts w:cs="Arial"/>
                <w:color w:val="000000"/>
                <w:szCs w:val="20"/>
              </w:rPr>
              <w:t xml:space="preserve"> </w:t>
            </w:r>
          </w:p>
        </w:tc>
        <w:tc>
          <w:tcPr>
            <w:tcW w:w="647" w:type="pct"/>
            <w:tcBorders>
              <w:bottom w:val="single" w:sz="8" w:space="0" w:color="auto"/>
            </w:tcBorders>
            <w:shd w:val="clear" w:color="auto" w:fill="auto"/>
            <w:vAlign w:val="center"/>
          </w:tcPr>
          <w:p w:rsidR="0008737F" w:rsidRPr="005065A0" w:rsidRDefault="0008737F" w:rsidP="0008737F">
            <w:pPr>
              <w:pStyle w:val="TableText0"/>
              <w:jc w:val="center"/>
              <w:rPr>
                <w:rFonts w:cs="Arial"/>
                <w:iCs/>
                <w:color w:val="000000"/>
                <w:szCs w:val="20"/>
              </w:rPr>
            </w:pPr>
            <w:r w:rsidRPr="005065A0">
              <w:rPr>
                <w:rFonts w:cs="Arial"/>
                <w:color w:val="000000"/>
                <w:szCs w:val="20"/>
              </w:rPr>
              <w:t>$</w:t>
            </w:r>
            <w:r w:rsidR="0061241D">
              <w:rPr>
                <w:rFonts w:cs="Arial"/>
                <w:noProof/>
                <w:color w:val="000000"/>
                <w:szCs w:val="20"/>
                <w:highlight w:val="black"/>
              </w:rPr>
              <w:t>''''''''''''''''''''''''''''</w:t>
            </w:r>
            <w:r w:rsidR="00C20FE3">
              <w:rPr>
                <w:rFonts w:cs="Arial"/>
                <w:color w:val="000000"/>
                <w:szCs w:val="20"/>
                <w:vertAlign w:val="superscript"/>
              </w:rPr>
              <w:t>4</w:t>
            </w:r>
            <w:r w:rsidRPr="005065A0">
              <w:rPr>
                <w:rFonts w:cs="Arial"/>
                <w:color w:val="000000"/>
                <w:szCs w:val="20"/>
              </w:rPr>
              <w:t xml:space="preserve"> </w:t>
            </w:r>
          </w:p>
        </w:tc>
        <w:tc>
          <w:tcPr>
            <w:tcW w:w="647" w:type="pct"/>
            <w:tcBorders>
              <w:bottom w:val="single" w:sz="8" w:space="0" w:color="auto"/>
            </w:tcBorders>
            <w:shd w:val="clear" w:color="auto" w:fill="auto"/>
            <w:vAlign w:val="center"/>
          </w:tcPr>
          <w:p w:rsidR="0008737F" w:rsidRPr="005065A0" w:rsidRDefault="0008737F" w:rsidP="0008737F">
            <w:pPr>
              <w:pStyle w:val="TableText0"/>
              <w:jc w:val="center"/>
              <w:rPr>
                <w:rFonts w:cs="Arial"/>
                <w:iCs/>
                <w:color w:val="000000"/>
                <w:szCs w:val="20"/>
              </w:rPr>
            </w:pPr>
            <w:r w:rsidRPr="005065A0">
              <w:rPr>
                <w:rFonts w:cs="Arial"/>
                <w:color w:val="000000"/>
                <w:szCs w:val="20"/>
              </w:rPr>
              <w:t>$</w:t>
            </w:r>
            <w:r w:rsidR="0061241D">
              <w:rPr>
                <w:rFonts w:cs="Arial"/>
                <w:noProof/>
                <w:color w:val="000000"/>
                <w:szCs w:val="20"/>
                <w:highlight w:val="black"/>
              </w:rPr>
              <w:t>''''''''''''''''''''''''''''</w:t>
            </w:r>
            <w:r w:rsidR="00C20FE3">
              <w:rPr>
                <w:rFonts w:cs="Arial"/>
                <w:color w:val="000000"/>
                <w:szCs w:val="20"/>
                <w:vertAlign w:val="superscript"/>
              </w:rPr>
              <w:t>4</w:t>
            </w:r>
            <w:r w:rsidRPr="005065A0">
              <w:rPr>
                <w:rFonts w:cs="Arial"/>
                <w:color w:val="000000"/>
                <w:szCs w:val="20"/>
              </w:rPr>
              <w:t xml:space="preserve"> </w:t>
            </w:r>
          </w:p>
        </w:tc>
        <w:tc>
          <w:tcPr>
            <w:tcW w:w="649" w:type="pct"/>
            <w:tcBorders>
              <w:bottom w:val="single" w:sz="8" w:space="0" w:color="auto"/>
            </w:tcBorders>
            <w:vAlign w:val="center"/>
          </w:tcPr>
          <w:p w:rsidR="0008737F" w:rsidRPr="005065A0" w:rsidRDefault="0008737F" w:rsidP="0008737F">
            <w:pPr>
              <w:pStyle w:val="TableText0"/>
              <w:jc w:val="center"/>
              <w:rPr>
                <w:rFonts w:cs="Arial"/>
                <w:iCs/>
                <w:color w:val="000000"/>
                <w:szCs w:val="20"/>
              </w:rPr>
            </w:pPr>
            <w:r w:rsidRPr="005065A0">
              <w:rPr>
                <w:rFonts w:cs="Arial"/>
                <w:color w:val="000000"/>
                <w:szCs w:val="20"/>
              </w:rPr>
              <w:t>$</w:t>
            </w:r>
            <w:r w:rsidR="0061241D">
              <w:rPr>
                <w:rFonts w:cs="Arial"/>
                <w:noProof/>
                <w:color w:val="000000"/>
                <w:szCs w:val="20"/>
                <w:highlight w:val="black"/>
              </w:rPr>
              <w:t>''''''''''''''''''''''''''''</w:t>
            </w:r>
            <w:r w:rsidR="00C20FE3">
              <w:rPr>
                <w:rFonts w:cs="Arial"/>
                <w:color w:val="000000"/>
                <w:szCs w:val="20"/>
                <w:vertAlign w:val="superscript"/>
              </w:rPr>
              <w:t>4</w:t>
            </w:r>
            <w:r w:rsidRPr="005065A0">
              <w:rPr>
                <w:rFonts w:cs="Arial"/>
                <w:color w:val="000000"/>
                <w:szCs w:val="20"/>
              </w:rPr>
              <w:t xml:space="preserve"> </w:t>
            </w:r>
          </w:p>
        </w:tc>
      </w:tr>
      <w:tr w:rsidR="000A2797" w:rsidRPr="005065A0" w:rsidTr="000A2797">
        <w:tc>
          <w:tcPr>
            <w:tcW w:w="5000" w:type="pct"/>
            <w:gridSpan w:val="7"/>
            <w:tcBorders>
              <w:top w:val="single" w:sz="8" w:space="0" w:color="auto"/>
            </w:tcBorders>
            <w:shd w:val="clear" w:color="auto" w:fill="auto"/>
            <w:vAlign w:val="center"/>
          </w:tcPr>
          <w:p w:rsidR="000A2797" w:rsidRPr="005065A0" w:rsidRDefault="000A2797" w:rsidP="000A2797">
            <w:pPr>
              <w:pStyle w:val="TableText0"/>
              <w:rPr>
                <w:rFonts w:cs="Arial"/>
                <w:b/>
                <w:color w:val="000000"/>
                <w:szCs w:val="20"/>
              </w:rPr>
            </w:pPr>
            <w:r w:rsidRPr="005065A0">
              <w:rPr>
                <w:b/>
                <w:szCs w:val="20"/>
              </w:rPr>
              <w:t>Net financial implications – cabozantinib only</w:t>
            </w:r>
          </w:p>
        </w:tc>
      </w:tr>
      <w:tr w:rsidR="00A93B00" w:rsidRPr="005065A0" w:rsidTr="00A93B00">
        <w:tc>
          <w:tcPr>
            <w:tcW w:w="1116" w:type="pct"/>
            <w:tcBorders>
              <w:bottom w:val="single" w:sz="8" w:space="0" w:color="auto"/>
              <w:right w:val="single" w:sz="4" w:space="0" w:color="auto"/>
            </w:tcBorders>
            <w:shd w:val="clear" w:color="auto" w:fill="auto"/>
            <w:vAlign w:val="center"/>
          </w:tcPr>
          <w:p w:rsidR="00A93B00" w:rsidRPr="005065A0" w:rsidRDefault="00A93B00" w:rsidP="00A93B00">
            <w:pPr>
              <w:pStyle w:val="TableText0"/>
              <w:rPr>
                <w:szCs w:val="20"/>
              </w:rPr>
            </w:pPr>
            <w:r w:rsidRPr="005065A0">
              <w:rPr>
                <w:szCs w:val="20"/>
              </w:rPr>
              <w:t xml:space="preserve">Total PBS/RPBS – cabozantinib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93B00" w:rsidRPr="005065A0" w:rsidRDefault="00A93B00" w:rsidP="00A93B00">
            <w:pPr>
              <w:pStyle w:val="TableText0"/>
              <w:jc w:val="center"/>
              <w:rPr>
                <w:rFonts w:cs="Arial"/>
                <w:color w:val="000000"/>
                <w:szCs w:val="20"/>
              </w:rPr>
            </w:pPr>
            <w:r w:rsidRPr="005065A0">
              <w:rPr>
                <w:rFonts w:cs="Arial"/>
                <w:color w:val="000000"/>
                <w:szCs w:val="20"/>
              </w:rPr>
              <w:t>$</w:t>
            </w:r>
            <w:r w:rsidR="0061241D">
              <w:rPr>
                <w:rFonts w:cs="Arial"/>
                <w:noProof/>
                <w:color w:val="000000"/>
                <w:szCs w:val="20"/>
                <w:highlight w:val="black"/>
              </w:rPr>
              <w:t>'''''''''''''''''''''''</w:t>
            </w:r>
            <w:r w:rsidR="00C20FE3">
              <w:rPr>
                <w:rFonts w:cs="Arial"/>
                <w:color w:val="00000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93B00" w:rsidRPr="005065A0" w:rsidRDefault="00A93B00" w:rsidP="00C20FE3">
            <w:pPr>
              <w:pStyle w:val="TableText0"/>
              <w:jc w:val="center"/>
              <w:rPr>
                <w:rFonts w:cs="Arial"/>
                <w:color w:val="000000"/>
                <w:szCs w:val="20"/>
              </w:rPr>
            </w:pPr>
            <w:r w:rsidRPr="005065A0">
              <w:rPr>
                <w:rFonts w:cs="Arial"/>
                <w:color w:val="000000"/>
                <w:szCs w:val="20"/>
              </w:rPr>
              <w:t>$</w:t>
            </w:r>
            <w:r w:rsidR="0061241D">
              <w:rPr>
                <w:rFonts w:cs="Arial"/>
                <w:noProof/>
                <w:color w:val="000000"/>
                <w:szCs w:val="20"/>
                <w:highlight w:val="black"/>
              </w:rPr>
              <w:t>'''''''''''''''''''''''</w:t>
            </w:r>
            <w:r w:rsidRPr="005065A0">
              <w:rPr>
                <w:rFonts w:cs="Arial"/>
                <w:color w:val="000000"/>
                <w:szCs w:val="20"/>
              </w:rPr>
              <w:t xml:space="preserve"> </w:t>
            </w:r>
            <w:r w:rsidR="00C20FE3">
              <w:rPr>
                <w:rFonts w:cs="Arial"/>
                <w:color w:val="00000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93B00" w:rsidRPr="005065A0" w:rsidRDefault="00A93B00" w:rsidP="00C20FE3">
            <w:pPr>
              <w:pStyle w:val="TableText0"/>
              <w:jc w:val="center"/>
              <w:rPr>
                <w:rFonts w:cs="Arial"/>
                <w:color w:val="000000"/>
                <w:szCs w:val="20"/>
              </w:rPr>
            </w:pPr>
            <w:r w:rsidRPr="005065A0">
              <w:rPr>
                <w:rFonts w:cs="Arial"/>
                <w:color w:val="000000"/>
                <w:szCs w:val="20"/>
              </w:rPr>
              <w:t>$</w:t>
            </w:r>
            <w:r w:rsidR="0061241D">
              <w:rPr>
                <w:rFonts w:cs="Arial"/>
                <w:noProof/>
                <w:color w:val="000000"/>
                <w:szCs w:val="20"/>
                <w:highlight w:val="black"/>
              </w:rPr>
              <w:t>''''''''''''''''''''''''''</w:t>
            </w:r>
            <w:r w:rsidR="00C20FE3">
              <w:rPr>
                <w:rFonts w:cs="Arial"/>
                <w:color w:val="00000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93B00" w:rsidRPr="005065A0" w:rsidRDefault="0061241D" w:rsidP="00C20FE3">
            <w:pPr>
              <w:pStyle w:val="TableText0"/>
              <w:jc w:val="center"/>
              <w:rPr>
                <w:rFonts w:cs="Arial"/>
                <w:color w:val="000000"/>
                <w:szCs w:val="20"/>
              </w:rPr>
            </w:pPr>
            <w:r>
              <w:rPr>
                <w:rFonts w:cs="Arial"/>
                <w:noProof/>
                <w:color w:val="000000"/>
                <w:szCs w:val="20"/>
                <w:highlight w:val="black"/>
              </w:rPr>
              <w:t>''''''''''''''''''''''''''</w:t>
            </w:r>
            <w:r w:rsidR="00C20FE3">
              <w:rPr>
                <w:rFonts w:cs="Arial"/>
                <w:color w:val="00000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93B00" w:rsidRPr="005065A0" w:rsidRDefault="0061241D" w:rsidP="00A93B00">
            <w:pPr>
              <w:pStyle w:val="TableText0"/>
              <w:jc w:val="center"/>
              <w:rPr>
                <w:rFonts w:cs="Arial"/>
                <w:color w:val="000000"/>
                <w:szCs w:val="20"/>
              </w:rPr>
            </w:pPr>
            <w:r>
              <w:rPr>
                <w:rFonts w:cs="Arial"/>
                <w:noProof/>
                <w:color w:val="000000"/>
                <w:szCs w:val="20"/>
                <w:highlight w:val="black"/>
              </w:rPr>
              <w:t xml:space="preserve">''''''''''''''''''''''''''''' </w:t>
            </w:r>
            <w:r w:rsidR="00C20FE3">
              <w:rPr>
                <w:rFonts w:cs="Arial"/>
                <w:color w:val="000000"/>
                <w:szCs w:val="20"/>
                <w:vertAlign w:val="superscript"/>
              </w:rPr>
              <w:t>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A93B00" w:rsidRPr="005065A0" w:rsidRDefault="0061241D" w:rsidP="00A93B00">
            <w:pPr>
              <w:pStyle w:val="TableText0"/>
              <w:jc w:val="center"/>
              <w:rPr>
                <w:rFonts w:cs="Arial"/>
                <w:color w:val="000000"/>
                <w:szCs w:val="20"/>
              </w:rPr>
            </w:pPr>
            <w:r>
              <w:rPr>
                <w:rFonts w:cs="Arial"/>
                <w:noProof/>
                <w:color w:val="000000"/>
                <w:szCs w:val="20"/>
                <w:highlight w:val="black"/>
              </w:rPr>
              <w:t>'''''''''''''''''''''''''''''</w:t>
            </w:r>
            <w:r w:rsidR="00C20FE3">
              <w:rPr>
                <w:rFonts w:cs="Arial"/>
                <w:color w:val="000000"/>
                <w:szCs w:val="20"/>
                <w:vertAlign w:val="superscript"/>
              </w:rPr>
              <w:t>3</w:t>
            </w:r>
            <w:r w:rsidR="00A93B00" w:rsidRPr="005065A0">
              <w:rPr>
                <w:rFonts w:cs="Arial"/>
                <w:color w:val="000000"/>
                <w:szCs w:val="20"/>
              </w:rPr>
              <w:t xml:space="preserve"> </w:t>
            </w:r>
          </w:p>
        </w:tc>
      </w:tr>
      <w:tr w:rsidR="004B4C7D" w:rsidRPr="005065A0" w:rsidTr="000A2797">
        <w:tc>
          <w:tcPr>
            <w:tcW w:w="5000" w:type="pct"/>
            <w:gridSpan w:val="7"/>
            <w:tcBorders>
              <w:top w:val="single" w:sz="8" w:space="0" w:color="auto"/>
            </w:tcBorders>
            <w:shd w:val="clear" w:color="auto" w:fill="auto"/>
            <w:vAlign w:val="center"/>
          </w:tcPr>
          <w:p w:rsidR="004B4C7D" w:rsidRPr="005065A0" w:rsidRDefault="004B4C7D" w:rsidP="004866BB">
            <w:pPr>
              <w:pStyle w:val="In-tableHeading"/>
              <w:rPr>
                <w:szCs w:val="20"/>
                <w:lang w:val="en-AU"/>
              </w:rPr>
            </w:pPr>
            <w:r w:rsidRPr="005065A0">
              <w:rPr>
                <w:szCs w:val="20"/>
                <w:lang w:val="en-AU"/>
              </w:rPr>
              <w:t>Net financial implications</w:t>
            </w:r>
            <w:r w:rsidR="000A2797" w:rsidRPr="005065A0">
              <w:rPr>
                <w:szCs w:val="20"/>
                <w:lang w:val="en-AU"/>
              </w:rPr>
              <w:t xml:space="preserve"> (also including offsets for sunitinib/pazopanib)</w:t>
            </w:r>
            <w:r w:rsidRPr="005065A0">
              <w:rPr>
                <w:color w:val="4BACC6" w:themeColor="accent5"/>
                <w:szCs w:val="20"/>
                <w:lang w:val="en-AU"/>
              </w:rPr>
              <w:t xml:space="preserve"> </w:t>
            </w:r>
          </w:p>
        </w:tc>
      </w:tr>
      <w:tr w:rsidR="00F01BF8" w:rsidRPr="005065A0" w:rsidTr="007361F4">
        <w:tc>
          <w:tcPr>
            <w:tcW w:w="1116" w:type="pct"/>
            <w:shd w:val="clear" w:color="auto" w:fill="auto"/>
            <w:vAlign w:val="center"/>
          </w:tcPr>
          <w:p w:rsidR="00F01BF8" w:rsidRPr="005065A0" w:rsidRDefault="00F01BF8" w:rsidP="00F01BF8">
            <w:pPr>
              <w:pStyle w:val="TableText0"/>
              <w:rPr>
                <w:szCs w:val="20"/>
              </w:rPr>
            </w:pPr>
            <w:r w:rsidRPr="005065A0">
              <w:rPr>
                <w:szCs w:val="20"/>
              </w:rPr>
              <w:t>Net cost to PBS/RPBS</w:t>
            </w:r>
          </w:p>
        </w:tc>
        <w:tc>
          <w:tcPr>
            <w:tcW w:w="647" w:type="pct"/>
            <w:shd w:val="clear" w:color="auto" w:fill="auto"/>
          </w:tcPr>
          <w:p w:rsidR="00F01BF8" w:rsidRPr="005065A0" w:rsidRDefault="0061241D" w:rsidP="00F01BF8">
            <w:pPr>
              <w:pStyle w:val="TableText0"/>
              <w:jc w:val="center"/>
              <w:rPr>
                <w:szCs w:val="20"/>
              </w:rPr>
            </w:pPr>
            <w:r>
              <w:rPr>
                <w:rFonts w:cs="Calibri"/>
                <w:noProof/>
                <w:color w:val="000000"/>
                <w:szCs w:val="20"/>
                <w:highlight w:val="black"/>
              </w:rPr>
              <w:t>''''''''''''''''''''''''</w:t>
            </w:r>
            <w:r w:rsidR="00C20FE3">
              <w:rPr>
                <w:rFonts w:cs="Arial"/>
                <w:color w:val="000000"/>
                <w:szCs w:val="20"/>
                <w:vertAlign w:val="superscript"/>
              </w:rPr>
              <w:t>3</w:t>
            </w:r>
          </w:p>
        </w:tc>
        <w:tc>
          <w:tcPr>
            <w:tcW w:w="647" w:type="pct"/>
            <w:shd w:val="clear" w:color="auto" w:fill="auto"/>
          </w:tcPr>
          <w:p w:rsidR="00F01BF8" w:rsidRPr="005065A0" w:rsidRDefault="0061241D" w:rsidP="00F01BF8">
            <w:pPr>
              <w:pStyle w:val="TableText0"/>
              <w:jc w:val="center"/>
              <w:rPr>
                <w:szCs w:val="20"/>
              </w:rPr>
            </w:pPr>
            <w:r>
              <w:rPr>
                <w:rFonts w:cs="Calibri"/>
                <w:noProof/>
                <w:color w:val="000000"/>
                <w:szCs w:val="20"/>
                <w:highlight w:val="black"/>
              </w:rPr>
              <w:t>'''''''''''''''''''''''''''</w:t>
            </w:r>
            <w:r w:rsidR="00C20FE3">
              <w:rPr>
                <w:rFonts w:cs="Arial"/>
                <w:color w:val="000000"/>
                <w:szCs w:val="20"/>
                <w:vertAlign w:val="superscript"/>
              </w:rPr>
              <w:t>3</w:t>
            </w:r>
          </w:p>
        </w:tc>
        <w:tc>
          <w:tcPr>
            <w:tcW w:w="647" w:type="pct"/>
            <w:shd w:val="clear" w:color="auto" w:fill="auto"/>
          </w:tcPr>
          <w:p w:rsidR="00F01BF8" w:rsidRPr="005065A0" w:rsidRDefault="0061241D" w:rsidP="00F01BF8">
            <w:pPr>
              <w:pStyle w:val="TableText0"/>
              <w:jc w:val="center"/>
              <w:rPr>
                <w:szCs w:val="20"/>
              </w:rPr>
            </w:pPr>
            <w:r>
              <w:rPr>
                <w:rFonts w:cs="Calibri"/>
                <w:noProof/>
                <w:color w:val="000000"/>
                <w:szCs w:val="20"/>
                <w:highlight w:val="black"/>
              </w:rPr>
              <w:t>'''''''''''''''''''''''''''</w:t>
            </w:r>
            <w:r w:rsidR="00C20FE3">
              <w:rPr>
                <w:rFonts w:cs="Arial"/>
                <w:color w:val="000000"/>
                <w:szCs w:val="20"/>
                <w:vertAlign w:val="superscript"/>
              </w:rPr>
              <w:t>3</w:t>
            </w:r>
          </w:p>
        </w:tc>
        <w:tc>
          <w:tcPr>
            <w:tcW w:w="647" w:type="pct"/>
            <w:shd w:val="clear" w:color="auto" w:fill="auto"/>
          </w:tcPr>
          <w:p w:rsidR="00F01BF8" w:rsidRPr="005065A0" w:rsidRDefault="0061241D" w:rsidP="00F01BF8">
            <w:pPr>
              <w:pStyle w:val="TableText0"/>
              <w:jc w:val="center"/>
              <w:rPr>
                <w:szCs w:val="20"/>
              </w:rPr>
            </w:pPr>
            <w:r>
              <w:rPr>
                <w:rFonts w:cs="Calibri"/>
                <w:noProof/>
                <w:color w:val="000000"/>
                <w:szCs w:val="20"/>
                <w:highlight w:val="black"/>
              </w:rPr>
              <w:t>''''''''''''''''''''''''</w:t>
            </w:r>
            <w:r w:rsidR="00C20FE3">
              <w:rPr>
                <w:rFonts w:cs="Arial"/>
                <w:color w:val="000000"/>
                <w:szCs w:val="20"/>
                <w:vertAlign w:val="superscript"/>
              </w:rPr>
              <w:t>3</w:t>
            </w:r>
          </w:p>
        </w:tc>
        <w:tc>
          <w:tcPr>
            <w:tcW w:w="647" w:type="pct"/>
            <w:shd w:val="clear" w:color="auto" w:fill="auto"/>
          </w:tcPr>
          <w:p w:rsidR="00F01BF8" w:rsidRPr="005065A0" w:rsidRDefault="0061241D" w:rsidP="00F01BF8">
            <w:pPr>
              <w:pStyle w:val="TableText0"/>
              <w:jc w:val="center"/>
              <w:rPr>
                <w:szCs w:val="20"/>
              </w:rPr>
            </w:pPr>
            <w:r>
              <w:rPr>
                <w:rFonts w:cs="Calibri"/>
                <w:noProof/>
                <w:color w:val="000000"/>
                <w:szCs w:val="20"/>
                <w:highlight w:val="black"/>
              </w:rPr>
              <w:t>'''''''''''''''''''''''''</w:t>
            </w:r>
            <w:r w:rsidR="00C20FE3">
              <w:rPr>
                <w:rFonts w:cs="Arial"/>
                <w:color w:val="000000"/>
                <w:szCs w:val="20"/>
                <w:vertAlign w:val="superscript"/>
              </w:rPr>
              <w:t>3</w:t>
            </w:r>
          </w:p>
        </w:tc>
        <w:tc>
          <w:tcPr>
            <w:tcW w:w="649" w:type="pct"/>
          </w:tcPr>
          <w:p w:rsidR="00F01BF8" w:rsidRPr="005065A0" w:rsidRDefault="0061241D" w:rsidP="00F01BF8">
            <w:pPr>
              <w:pStyle w:val="TableText0"/>
              <w:jc w:val="center"/>
              <w:rPr>
                <w:szCs w:val="20"/>
              </w:rPr>
            </w:pPr>
            <w:r>
              <w:rPr>
                <w:rFonts w:cs="Calibri"/>
                <w:noProof/>
                <w:color w:val="000000"/>
                <w:szCs w:val="20"/>
                <w:highlight w:val="black"/>
              </w:rPr>
              <w:t>''''''''''''''''''''''''</w:t>
            </w:r>
            <w:r w:rsidR="00C20FE3">
              <w:rPr>
                <w:rFonts w:cs="Arial"/>
                <w:color w:val="000000"/>
                <w:szCs w:val="20"/>
                <w:vertAlign w:val="superscript"/>
              </w:rPr>
              <w:t>3</w:t>
            </w:r>
          </w:p>
        </w:tc>
      </w:tr>
      <w:tr w:rsidR="00FC556A" w:rsidRPr="005065A0" w:rsidTr="007361F4">
        <w:trPr>
          <w:trHeight w:val="241"/>
        </w:trPr>
        <w:tc>
          <w:tcPr>
            <w:tcW w:w="1116" w:type="pct"/>
            <w:shd w:val="clear" w:color="auto" w:fill="auto"/>
            <w:vAlign w:val="center"/>
          </w:tcPr>
          <w:p w:rsidR="00FC556A" w:rsidRPr="005065A0" w:rsidRDefault="00FC556A" w:rsidP="00FC556A">
            <w:pPr>
              <w:pStyle w:val="TableText0"/>
              <w:rPr>
                <w:szCs w:val="20"/>
              </w:rPr>
            </w:pPr>
            <w:r w:rsidRPr="005065A0">
              <w:rPr>
                <w:szCs w:val="20"/>
              </w:rPr>
              <w:t>Net cost to MBS</w:t>
            </w:r>
          </w:p>
        </w:tc>
        <w:tc>
          <w:tcPr>
            <w:tcW w:w="647" w:type="pct"/>
            <w:shd w:val="clear" w:color="auto" w:fill="auto"/>
          </w:tcPr>
          <w:p w:rsidR="00FC556A" w:rsidRPr="005065A0" w:rsidRDefault="0061241D" w:rsidP="00FC556A">
            <w:pPr>
              <w:pStyle w:val="TableText0"/>
              <w:jc w:val="center"/>
              <w:rPr>
                <w:szCs w:val="20"/>
              </w:rPr>
            </w:pPr>
            <w:r>
              <w:rPr>
                <w:rStyle w:val="Small"/>
                <w:rFonts w:ascii="Arial Narrow" w:hAnsi="Arial Narrow"/>
                <w:noProof/>
                <w:color w:val="000000"/>
                <w:szCs w:val="20"/>
                <w:highlight w:val="black"/>
              </w:rPr>
              <w:t>'''''''''''''''''''''''</w:t>
            </w:r>
            <w:r w:rsidR="00C20FE3">
              <w:rPr>
                <w:rFonts w:cs="Arial"/>
                <w:color w:val="000000"/>
                <w:szCs w:val="20"/>
                <w:vertAlign w:val="superscript"/>
              </w:rPr>
              <w:t>3</w:t>
            </w:r>
          </w:p>
        </w:tc>
        <w:tc>
          <w:tcPr>
            <w:tcW w:w="647" w:type="pct"/>
            <w:shd w:val="clear" w:color="auto" w:fill="auto"/>
          </w:tcPr>
          <w:p w:rsidR="00FC556A" w:rsidRPr="005065A0" w:rsidRDefault="0061241D" w:rsidP="00FC556A">
            <w:pPr>
              <w:pStyle w:val="TableText0"/>
              <w:jc w:val="center"/>
              <w:rPr>
                <w:szCs w:val="20"/>
              </w:rPr>
            </w:pPr>
            <w:r>
              <w:rPr>
                <w:rStyle w:val="Small"/>
                <w:rFonts w:ascii="Arial Narrow" w:hAnsi="Arial Narrow"/>
                <w:noProof/>
                <w:color w:val="000000"/>
                <w:szCs w:val="20"/>
                <w:highlight w:val="black"/>
              </w:rPr>
              <w:t>'''''''''''''''''''''''''</w:t>
            </w:r>
            <w:r w:rsidR="00C20FE3">
              <w:rPr>
                <w:rFonts w:cs="Arial"/>
                <w:color w:val="000000"/>
                <w:szCs w:val="20"/>
                <w:vertAlign w:val="superscript"/>
              </w:rPr>
              <w:t>3</w:t>
            </w:r>
          </w:p>
        </w:tc>
        <w:tc>
          <w:tcPr>
            <w:tcW w:w="647" w:type="pct"/>
            <w:shd w:val="clear" w:color="auto" w:fill="auto"/>
          </w:tcPr>
          <w:p w:rsidR="00FC556A" w:rsidRPr="005065A0" w:rsidRDefault="0061241D" w:rsidP="00FC556A">
            <w:pPr>
              <w:pStyle w:val="TableText0"/>
              <w:jc w:val="center"/>
              <w:rPr>
                <w:szCs w:val="20"/>
              </w:rPr>
            </w:pPr>
            <w:r>
              <w:rPr>
                <w:rStyle w:val="Small"/>
                <w:rFonts w:ascii="Arial Narrow" w:hAnsi="Arial Narrow"/>
                <w:noProof/>
                <w:color w:val="000000"/>
                <w:szCs w:val="20"/>
                <w:highlight w:val="black"/>
              </w:rPr>
              <w:t>'''''''''''''''''''''''''''''</w:t>
            </w:r>
            <w:r w:rsidR="00C20FE3">
              <w:rPr>
                <w:rFonts w:cs="Arial"/>
                <w:color w:val="000000"/>
                <w:szCs w:val="20"/>
                <w:vertAlign w:val="superscript"/>
              </w:rPr>
              <w:t>3</w:t>
            </w:r>
          </w:p>
        </w:tc>
        <w:tc>
          <w:tcPr>
            <w:tcW w:w="647" w:type="pct"/>
            <w:shd w:val="clear" w:color="auto" w:fill="auto"/>
          </w:tcPr>
          <w:p w:rsidR="00FC556A" w:rsidRPr="005065A0" w:rsidRDefault="0061241D" w:rsidP="00FC556A">
            <w:pPr>
              <w:pStyle w:val="TableText0"/>
              <w:jc w:val="center"/>
              <w:rPr>
                <w:szCs w:val="20"/>
              </w:rPr>
            </w:pPr>
            <w:r>
              <w:rPr>
                <w:rStyle w:val="Small"/>
                <w:rFonts w:ascii="Arial Narrow" w:hAnsi="Arial Narrow"/>
                <w:noProof/>
                <w:color w:val="000000"/>
                <w:szCs w:val="20"/>
                <w:highlight w:val="black"/>
              </w:rPr>
              <w:t>''''''''''''''''''''''''''</w:t>
            </w:r>
            <w:r w:rsidR="00C20FE3">
              <w:rPr>
                <w:rFonts w:cs="Arial"/>
                <w:color w:val="000000"/>
                <w:szCs w:val="20"/>
                <w:vertAlign w:val="superscript"/>
              </w:rPr>
              <w:t>3</w:t>
            </w:r>
          </w:p>
        </w:tc>
        <w:tc>
          <w:tcPr>
            <w:tcW w:w="647" w:type="pct"/>
            <w:shd w:val="clear" w:color="auto" w:fill="auto"/>
          </w:tcPr>
          <w:p w:rsidR="00FC556A" w:rsidRPr="005065A0" w:rsidRDefault="0061241D" w:rsidP="00FC556A">
            <w:pPr>
              <w:pStyle w:val="TableText0"/>
              <w:jc w:val="center"/>
              <w:rPr>
                <w:szCs w:val="20"/>
              </w:rPr>
            </w:pPr>
            <w:r>
              <w:rPr>
                <w:rStyle w:val="Small"/>
                <w:rFonts w:ascii="Arial Narrow" w:hAnsi="Arial Narrow"/>
                <w:noProof/>
                <w:color w:val="000000"/>
                <w:szCs w:val="20"/>
                <w:highlight w:val="black"/>
              </w:rPr>
              <w:t>'''''''''''''''''''''''''''</w:t>
            </w:r>
            <w:r w:rsidR="00C20FE3">
              <w:rPr>
                <w:rFonts w:cs="Arial"/>
                <w:color w:val="000000"/>
                <w:szCs w:val="20"/>
                <w:vertAlign w:val="superscript"/>
              </w:rPr>
              <w:t>3</w:t>
            </w:r>
          </w:p>
        </w:tc>
        <w:tc>
          <w:tcPr>
            <w:tcW w:w="649" w:type="pct"/>
          </w:tcPr>
          <w:p w:rsidR="00FC556A" w:rsidRPr="005065A0" w:rsidRDefault="0061241D" w:rsidP="00FC556A">
            <w:pPr>
              <w:pStyle w:val="TableText0"/>
              <w:jc w:val="center"/>
              <w:rPr>
                <w:szCs w:val="20"/>
              </w:rPr>
            </w:pPr>
            <w:r>
              <w:rPr>
                <w:rStyle w:val="Small"/>
                <w:rFonts w:ascii="Arial Narrow" w:hAnsi="Arial Narrow"/>
                <w:noProof/>
                <w:color w:val="000000"/>
                <w:szCs w:val="20"/>
                <w:highlight w:val="black"/>
              </w:rPr>
              <w:t>'''''''''''''''''''''''''</w:t>
            </w:r>
            <w:r w:rsidR="00C20FE3">
              <w:rPr>
                <w:rFonts w:cs="Arial"/>
                <w:color w:val="000000"/>
                <w:szCs w:val="20"/>
                <w:vertAlign w:val="superscript"/>
              </w:rPr>
              <w:t>3</w:t>
            </w:r>
          </w:p>
        </w:tc>
      </w:tr>
      <w:tr w:rsidR="00FF4E9F" w:rsidRPr="005065A0" w:rsidTr="000A2797">
        <w:tc>
          <w:tcPr>
            <w:tcW w:w="1116" w:type="pct"/>
            <w:tcBorders>
              <w:bottom w:val="single" w:sz="8" w:space="0" w:color="auto"/>
            </w:tcBorders>
            <w:shd w:val="clear" w:color="auto" w:fill="auto"/>
            <w:vAlign w:val="center"/>
          </w:tcPr>
          <w:p w:rsidR="00FF4E9F" w:rsidRPr="005065A0" w:rsidRDefault="006E60DC" w:rsidP="00FF4E9F">
            <w:pPr>
              <w:pStyle w:val="TableText0"/>
              <w:rPr>
                <w:szCs w:val="20"/>
              </w:rPr>
            </w:pPr>
            <w:r w:rsidRPr="005065A0">
              <w:rPr>
                <w:szCs w:val="20"/>
              </w:rPr>
              <w:t>Net cost to PBS/RPBS/MBS</w:t>
            </w:r>
          </w:p>
        </w:tc>
        <w:tc>
          <w:tcPr>
            <w:tcW w:w="647" w:type="pct"/>
            <w:tcBorders>
              <w:bottom w:val="single" w:sz="8" w:space="0" w:color="auto"/>
            </w:tcBorders>
            <w:shd w:val="clear" w:color="auto" w:fill="auto"/>
            <w:vAlign w:val="center"/>
          </w:tcPr>
          <w:p w:rsidR="00FF4E9F" w:rsidRPr="005065A0" w:rsidRDefault="0061241D" w:rsidP="00FF4E9F">
            <w:pPr>
              <w:pStyle w:val="TableText0"/>
              <w:jc w:val="center"/>
              <w:rPr>
                <w:szCs w:val="20"/>
              </w:rPr>
            </w:pPr>
            <w:r>
              <w:rPr>
                <w:rFonts w:cs="Arial"/>
                <w:noProof/>
                <w:color w:val="000000"/>
                <w:szCs w:val="20"/>
                <w:highlight w:val="black"/>
              </w:rPr>
              <w:t>'''''''''''''''''''''''''''''</w:t>
            </w:r>
            <w:r w:rsidR="00C20FE3">
              <w:rPr>
                <w:rFonts w:cs="Arial"/>
                <w:color w:val="000000"/>
                <w:szCs w:val="20"/>
                <w:vertAlign w:val="superscript"/>
              </w:rPr>
              <w:t>3</w:t>
            </w:r>
          </w:p>
        </w:tc>
        <w:tc>
          <w:tcPr>
            <w:tcW w:w="647" w:type="pct"/>
            <w:tcBorders>
              <w:bottom w:val="single" w:sz="8" w:space="0" w:color="auto"/>
            </w:tcBorders>
            <w:shd w:val="clear" w:color="auto" w:fill="auto"/>
            <w:vAlign w:val="center"/>
          </w:tcPr>
          <w:p w:rsidR="00FF4E9F" w:rsidRPr="005065A0" w:rsidRDefault="0061241D" w:rsidP="00FF4E9F">
            <w:pPr>
              <w:pStyle w:val="TableText0"/>
              <w:jc w:val="center"/>
              <w:rPr>
                <w:szCs w:val="20"/>
              </w:rPr>
            </w:pPr>
            <w:r>
              <w:rPr>
                <w:rFonts w:cs="Arial"/>
                <w:noProof/>
                <w:color w:val="000000"/>
                <w:szCs w:val="20"/>
                <w:highlight w:val="black"/>
              </w:rPr>
              <w:t>'''''''''''''''''''''''''</w:t>
            </w:r>
            <w:r w:rsidR="00C20FE3">
              <w:rPr>
                <w:rFonts w:cs="Arial"/>
                <w:color w:val="000000"/>
                <w:szCs w:val="20"/>
                <w:vertAlign w:val="superscript"/>
              </w:rPr>
              <w:t>3</w:t>
            </w:r>
          </w:p>
        </w:tc>
        <w:tc>
          <w:tcPr>
            <w:tcW w:w="647" w:type="pct"/>
            <w:tcBorders>
              <w:bottom w:val="single" w:sz="8" w:space="0" w:color="auto"/>
            </w:tcBorders>
            <w:shd w:val="clear" w:color="auto" w:fill="auto"/>
            <w:vAlign w:val="center"/>
          </w:tcPr>
          <w:p w:rsidR="00FF4E9F" w:rsidRPr="005065A0" w:rsidRDefault="0061241D" w:rsidP="00FF4E9F">
            <w:pPr>
              <w:pStyle w:val="TableText0"/>
              <w:jc w:val="center"/>
              <w:rPr>
                <w:szCs w:val="20"/>
              </w:rPr>
            </w:pPr>
            <w:r>
              <w:rPr>
                <w:rFonts w:cs="Arial"/>
                <w:noProof/>
                <w:color w:val="000000"/>
                <w:szCs w:val="20"/>
                <w:highlight w:val="black"/>
              </w:rPr>
              <w:t>'''''''''''''''''''''''''</w:t>
            </w:r>
            <w:r w:rsidR="00C20FE3">
              <w:rPr>
                <w:rFonts w:cs="Arial"/>
                <w:color w:val="000000"/>
                <w:szCs w:val="20"/>
                <w:vertAlign w:val="superscript"/>
              </w:rPr>
              <w:t>3</w:t>
            </w:r>
          </w:p>
        </w:tc>
        <w:tc>
          <w:tcPr>
            <w:tcW w:w="647" w:type="pct"/>
            <w:tcBorders>
              <w:bottom w:val="single" w:sz="8" w:space="0" w:color="auto"/>
            </w:tcBorders>
            <w:shd w:val="clear" w:color="auto" w:fill="auto"/>
            <w:vAlign w:val="center"/>
          </w:tcPr>
          <w:p w:rsidR="00FF4E9F" w:rsidRPr="005065A0" w:rsidRDefault="0061241D" w:rsidP="00FF4E9F">
            <w:pPr>
              <w:pStyle w:val="TableText0"/>
              <w:jc w:val="center"/>
              <w:rPr>
                <w:szCs w:val="20"/>
              </w:rPr>
            </w:pPr>
            <w:r>
              <w:rPr>
                <w:rFonts w:cs="Arial"/>
                <w:noProof/>
                <w:color w:val="000000"/>
                <w:szCs w:val="20"/>
                <w:highlight w:val="black"/>
              </w:rPr>
              <w:t>'''''''''''''''''''''''''</w:t>
            </w:r>
            <w:r w:rsidR="00C20FE3">
              <w:rPr>
                <w:rFonts w:cs="Arial"/>
                <w:color w:val="000000"/>
                <w:szCs w:val="20"/>
                <w:vertAlign w:val="superscript"/>
              </w:rPr>
              <w:t>3</w:t>
            </w:r>
          </w:p>
        </w:tc>
        <w:tc>
          <w:tcPr>
            <w:tcW w:w="647" w:type="pct"/>
            <w:tcBorders>
              <w:bottom w:val="single" w:sz="8" w:space="0" w:color="auto"/>
            </w:tcBorders>
            <w:shd w:val="clear" w:color="auto" w:fill="auto"/>
            <w:vAlign w:val="center"/>
          </w:tcPr>
          <w:p w:rsidR="00FF4E9F" w:rsidRPr="005065A0" w:rsidRDefault="0061241D" w:rsidP="00FF4E9F">
            <w:pPr>
              <w:pStyle w:val="TableText0"/>
              <w:jc w:val="center"/>
              <w:rPr>
                <w:szCs w:val="20"/>
              </w:rPr>
            </w:pPr>
            <w:r>
              <w:rPr>
                <w:rFonts w:cs="Arial"/>
                <w:noProof/>
                <w:color w:val="000000"/>
                <w:szCs w:val="20"/>
                <w:highlight w:val="black"/>
              </w:rPr>
              <w:t>'''''''''''''''''''''''''</w:t>
            </w:r>
            <w:r w:rsidR="00C20FE3">
              <w:rPr>
                <w:rFonts w:cs="Arial"/>
                <w:color w:val="000000"/>
                <w:szCs w:val="20"/>
                <w:vertAlign w:val="superscript"/>
              </w:rPr>
              <w:t>3</w:t>
            </w:r>
          </w:p>
        </w:tc>
        <w:tc>
          <w:tcPr>
            <w:tcW w:w="649" w:type="pct"/>
            <w:tcBorders>
              <w:bottom w:val="single" w:sz="8" w:space="0" w:color="auto"/>
            </w:tcBorders>
            <w:vAlign w:val="center"/>
          </w:tcPr>
          <w:p w:rsidR="00FF4E9F" w:rsidRPr="005065A0" w:rsidRDefault="0061241D" w:rsidP="00FF4E9F">
            <w:pPr>
              <w:pStyle w:val="TableText0"/>
              <w:jc w:val="center"/>
              <w:rPr>
                <w:szCs w:val="20"/>
              </w:rPr>
            </w:pPr>
            <w:r>
              <w:rPr>
                <w:rFonts w:cs="Arial"/>
                <w:noProof/>
                <w:color w:val="000000"/>
                <w:szCs w:val="20"/>
                <w:highlight w:val="black"/>
              </w:rPr>
              <w:t>''''''''''''''''''''''''''''</w:t>
            </w:r>
            <w:r w:rsidR="00C20FE3">
              <w:rPr>
                <w:rFonts w:cs="Arial"/>
                <w:color w:val="000000"/>
                <w:szCs w:val="20"/>
                <w:vertAlign w:val="superscript"/>
              </w:rPr>
              <w:t>3</w:t>
            </w:r>
          </w:p>
        </w:tc>
      </w:tr>
      <w:tr w:rsidR="004B4C7D" w:rsidRPr="005065A0" w:rsidTr="000A2797">
        <w:tc>
          <w:tcPr>
            <w:tcW w:w="5000" w:type="pct"/>
            <w:gridSpan w:val="7"/>
            <w:tcBorders>
              <w:top w:val="single" w:sz="8" w:space="0" w:color="auto"/>
            </w:tcBorders>
            <w:shd w:val="clear" w:color="auto" w:fill="B8CCE4" w:themeFill="accent1" w:themeFillTint="66"/>
            <w:vAlign w:val="center"/>
          </w:tcPr>
          <w:p w:rsidR="004B4C7D" w:rsidRPr="005065A0" w:rsidRDefault="004B4C7D" w:rsidP="004866BB">
            <w:pPr>
              <w:pStyle w:val="In-tableHeading"/>
              <w:rPr>
                <w:szCs w:val="20"/>
                <w:lang w:val="en-AU"/>
              </w:rPr>
            </w:pPr>
            <w:r w:rsidRPr="005065A0">
              <w:rPr>
                <w:szCs w:val="20"/>
                <w:lang w:val="en-AU"/>
              </w:rPr>
              <w:t>Previous</w:t>
            </w:r>
            <w:r w:rsidR="0001128F" w:rsidRPr="005065A0">
              <w:rPr>
                <w:szCs w:val="20"/>
                <w:lang w:val="en-AU"/>
              </w:rPr>
              <w:t xml:space="preserve"> March 2020 resubmission</w:t>
            </w:r>
          </w:p>
        </w:tc>
      </w:tr>
      <w:tr w:rsidR="003A1EA4" w:rsidRPr="005065A0" w:rsidTr="000A2797">
        <w:tc>
          <w:tcPr>
            <w:tcW w:w="1116" w:type="pct"/>
            <w:tcBorders>
              <w:bottom w:val="single" w:sz="8" w:space="0" w:color="auto"/>
            </w:tcBorders>
            <w:shd w:val="clear" w:color="auto" w:fill="B8CCE4" w:themeFill="accent1" w:themeFillTint="66"/>
            <w:vAlign w:val="center"/>
          </w:tcPr>
          <w:p w:rsidR="003A1EA4" w:rsidRPr="005065A0" w:rsidRDefault="003A1EA4" w:rsidP="003A1EA4">
            <w:pPr>
              <w:pStyle w:val="TableText0"/>
              <w:rPr>
                <w:szCs w:val="20"/>
              </w:rPr>
            </w:pPr>
            <w:r w:rsidRPr="005065A0">
              <w:rPr>
                <w:szCs w:val="20"/>
              </w:rPr>
              <w:t>Net cost to PBS/RPBS</w:t>
            </w:r>
          </w:p>
        </w:tc>
        <w:tc>
          <w:tcPr>
            <w:tcW w:w="647" w:type="pct"/>
            <w:tcBorders>
              <w:bottom w:val="single" w:sz="8" w:space="0" w:color="auto"/>
            </w:tcBorders>
            <w:shd w:val="clear" w:color="auto" w:fill="B8CCE4" w:themeFill="accent1" w:themeFillTint="66"/>
          </w:tcPr>
          <w:p w:rsidR="003A1EA4" w:rsidRPr="005065A0" w:rsidRDefault="0061241D" w:rsidP="003A1EA4">
            <w:pPr>
              <w:pStyle w:val="TableText0"/>
              <w:jc w:val="center"/>
              <w:rPr>
                <w:szCs w:val="20"/>
              </w:rPr>
            </w:pPr>
            <w:r>
              <w:rPr>
                <w:noProof/>
                <w:color w:val="000000"/>
                <w:szCs w:val="20"/>
                <w:highlight w:val="black"/>
              </w:rPr>
              <w:t>''''''''''''''''''''''''</w:t>
            </w:r>
            <w:r w:rsidR="00C20FE3">
              <w:rPr>
                <w:rFonts w:cs="Arial"/>
                <w:color w:val="000000"/>
                <w:szCs w:val="20"/>
                <w:vertAlign w:val="superscript"/>
              </w:rPr>
              <w:t>3</w:t>
            </w:r>
          </w:p>
        </w:tc>
        <w:tc>
          <w:tcPr>
            <w:tcW w:w="647" w:type="pct"/>
            <w:tcBorders>
              <w:bottom w:val="single" w:sz="8" w:space="0" w:color="auto"/>
            </w:tcBorders>
            <w:shd w:val="clear" w:color="auto" w:fill="B8CCE4" w:themeFill="accent1" w:themeFillTint="66"/>
          </w:tcPr>
          <w:p w:rsidR="003A1EA4" w:rsidRPr="005065A0" w:rsidRDefault="0061241D" w:rsidP="003A1EA4">
            <w:pPr>
              <w:pStyle w:val="TableText0"/>
              <w:jc w:val="center"/>
              <w:rPr>
                <w:szCs w:val="20"/>
              </w:rPr>
            </w:pPr>
            <w:r>
              <w:rPr>
                <w:noProof/>
                <w:color w:val="000000"/>
                <w:szCs w:val="20"/>
                <w:highlight w:val="black"/>
              </w:rPr>
              <w:t>'''''''''''''''''''''''''''''</w:t>
            </w:r>
            <w:r w:rsidR="00C20FE3">
              <w:rPr>
                <w:rFonts w:cs="Arial"/>
                <w:color w:val="000000"/>
                <w:szCs w:val="20"/>
                <w:vertAlign w:val="superscript"/>
              </w:rPr>
              <w:t>3</w:t>
            </w:r>
          </w:p>
        </w:tc>
        <w:tc>
          <w:tcPr>
            <w:tcW w:w="647" w:type="pct"/>
            <w:tcBorders>
              <w:bottom w:val="single" w:sz="8" w:space="0" w:color="auto"/>
            </w:tcBorders>
            <w:shd w:val="clear" w:color="auto" w:fill="B8CCE4" w:themeFill="accent1" w:themeFillTint="66"/>
          </w:tcPr>
          <w:p w:rsidR="003A1EA4" w:rsidRPr="00C20FE3" w:rsidRDefault="003A1EA4" w:rsidP="003A1EA4">
            <w:pPr>
              <w:pStyle w:val="TableText0"/>
              <w:jc w:val="center"/>
              <w:rPr>
                <w:szCs w:val="20"/>
                <w:vertAlign w:val="superscript"/>
              </w:rPr>
            </w:pPr>
            <w:r w:rsidRPr="005065A0">
              <w:rPr>
                <w:szCs w:val="20"/>
              </w:rPr>
              <w:t>-</w:t>
            </w:r>
            <w:r w:rsidR="0061241D">
              <w:rPr>
                <w:noProof/>
                <w:color w:val="000000"/>
                <w:szCs w:val="20"/>
                <w:highlight w:val="black"/>
              </w:rPr>
              <w:t>'''''''''''''''''''''''</w:t>
            </w:r>
            <w:r w:rsidR="00C20FE3">
              <w:rPr>
                <w:szCs w:val="20"/>
                <w:vertAlign w:val="superscript"/>
              </w:rPr>
              <w:t>5</w:t>
            </w:r>
          </w:p>
        </w:tc>
        <w:tc>
          <w:tcPr>
            <w:tcW w:w="647" w:type="pct"/>
            <w:tcBorders>
              <w:bottom w:val="single" w:sz="8" w:space="0" w:color="auto"/>
            </w:tcBorders>
            <w:shd w:val="clear" w:color="auto" w:fill="B8CCE4" w:themeFill="accent1" w:themeFillTint="66"/>
          </w:tcPr>
          <w:p w:rsidR="003A1EA4" w:rsidRPr="005065A0" w:rsidRDefault="003A1EA4" w:rsidP="003A1EA4">
            <w:pPr>
              <w:pStyle w:val="TableText0"/>
              <w:jc w:val="center"/>
              <w:rPr>
                <w:szCs w:val="20"/>
              </w:rPr>
            </w:pPr>
            <w:r w:rsidRPr="005065A0">
              <w:rPr>
                <w:szCs w:val="20"/>
              </w:rPr>
              <w:t>-</w:t>
            </w:r>
            <w:r w:rsidR="0061241D">
              <w:rPr>
                <w:noProof/>
                <w:color w:val="000000"/>
                <w:szCs w:val="20"/>
                <w:highlight w:val="black"/>
              </w:rPr>
              <w:t>'''''''''''''''''''''</w:t>
            </w:r>
            <w:r w:rsidR="00C20FE3">
              <w:rPr>
                <w:szCs w:val="20"/>
                <w:vertAlign w:val="superscript"/>
              </w:rPr>
              <w:t>5</w:t>
            </w:r>
          </w:p>
        </w:tc>
        <w:tc>
          <w:tcPr>
            <w:tcW w:w="647" w:type="pct"/>
            <w:tcBorders>
              <w:bottom w:val="single" w:sz="8" w:space="0" w:color="auto"/>
            </w:tcBorders>
            <w:shd w:val="clear" w:color="auto" w:fill="B8CCE4" w:themeFill="accent1" w:themeFillTint="66"/>
          </w:tcPr>
          <w:p w:rsidR="003A1EA4" w:rsidRPr="005065A0" w:rsidRDefault="003A1EA4" w:rsidP="003A1EA4">
            <w:pPr>
              <w:pStyle w:val="TableText0"/>
              <w:jc w:val="center"/>
              <w:rPr>
                <w:szCs w:val="20"/>
              </w:rPr>
            </w:pPr>
            <w:r w:rsidRPr="005065A0">
              <w:rPr>
                <w:szCs w:val="20"/>
              </w:rPr>
              <w:t>-</w:t>
            </w:r>
            <w:r w:rsidR="0061241D">
              <w:rPr>
                <w:noProof/>
                <w:color w:val="000000"/>
                <w:szCs w:val="20"/>
                <w:highlight w:val="black"/>
              </w:rPr>
              <w:t>'''''''''''''''''''''</w:t>
            </w:r>
            <w:r w:rsidR="00C20FE3">
              <w:rPr>
                <w:szCs w:val="20"/>
                <w:vertAlign w:val="superscript"/>
              </w:rPr>
              <w:t>5</w:t>
            </w:r>
          </w:p>
        </w:tc>
        <w:tc>
          <w:tcPr>
            <w:tcW w:w="649" w:type="pct"/>
            <w:tcBorders>
              <w:bottom w:val="single" w:sz="8" w:space="0" w:color="auto"/>
            </w:tcBorders>
            <w:shd w:val="clear" w:color="auto" w:fill="B8CCE4" w:themeFill="accent1" w:themeFillTint="66"/>
          </w:tcPr>
          <w:p w:rsidR="003A1EA4" w:rsidRPr="005065A0" w:rsidRDefault="003A1EA4" w:rsidP="003A1EA4">
            <w:pPr>
              <w:pStyle w:val="TableText0"/>
              <w:jc w:val="center"/>
              <w:rPr>
                <w:szCs w:val="20"/>
              </w:rPr>
            </w:pPr>
            <w:r w:rsidRPr="005065A0">
              <w:rPr>
                <w:szCs w:val="20"/>
              </w:rPr>
              <w:t>-</w:t>
            </w:r>
            <w:r w:rsidR="0061241D">
              <w:rPr>
                <w:noProof/>
                <w:color w:val="000000"/>
                <w:szCs w:val="20"/>
                <w:highlight w:val="black"/>
              </w:rPr>
              <w:t>''''''''''''''''''''''</w:t>
            </w:r>
            <w:r w:rsidR="00C20FE3">
              <w:rPr>
                <w:szCs w:val="20"/>
                <w:vertAlign w:val="superscript"/>
              </w:rPr>
              <w:t>5</w:t>
            </w:r>
          </w:p>
        </w:tc>
      </w:tr>
    </w:tbl>
    <w:p w:rsidR="00405A9B" w:rsidRPr="00C24DBA" w:rsidRDefault="004B4C7D" w:rsidP="005065A0">
      <w:pPr>
        <w:pStyle w:val="TableFigureFooter"/>
      </w:pPr>
      <w:r w:rsidRPr="00C24DBA">
        <w:t xml:space="preserve">Source: </w:t>
      </w:r>
      <w:r w:rsidR="0074224F" w:rsidRPr="00C24DBA">
        <w:t>Section 4 cost and utilisation model.xlsx of the November 2020 resubmission; Excel spreadsheet</w:t>
      </w:r>
      <w:r w:rsidR="00573FED" w:rsidRPr="00C24DBA">
        <w:t>; Table 20, caboza</w:t>
      </w:r>
      <w:r w:rsidR="00935B54" w:rsidRPr="00C24DBA">
        <w:t>n</w:t>
      </w:r>
      <w:r w:rsidR="00573FED" w:rsidRPr="00C24DBA">
        <w:t xml:space="preserve">tinib </w:t>
      </w:r>
      <w:r w:rsidR="003268E2">
        <w:t>PSD</w:t>
      </w:r>
      <w:r w:rsidR="00573FED" w:rsidRPr="00C24DBA">
        <w:t>, PBAC Meeting 2020</w:t>
      </w:r>
      <w:r w:rsidR="00063061" w:rsidRPr="00C24DBA">
        <w:t>.</w:t>
      </w:r>
    </w:p>
    <w:p w:rsidR="004B4C7D" w:rsidRDefault="00634651" w:rsidP="005065A0">
      <w:pPr>
        <w:pStyle w:val="TableFigureFooter"/>
        <w:rPr>
          <w:rStyle w:val="normaltextrun"/>
          <w:color w:val="000000"/>
          <w:szCs w:val="18"/>
          <w:shd w:val="clear" w:color="auto" w:fill="FFFFFF"/>
        </w:rPr>
      </w:pPr>
      <w:r w:rsidRPr="00C24DBA">
        <w:t>Abbreviations: MBS = Medicare Benefits Scheme;</w:t>
      </w:r>
      <w:r w:rsidRPr="00C24DBA">
        <w:rPr>
          <w:rStyle w:val="normaltextrun"/>
          <w:b/>
          <w:szCs w:val="18"/>
        </w:rPr>
        <w:t xml:space="preserve"> </w:t>
      </w:r>
      <w:r w:rsidR="00405A9B" w:rsidRPr="00C20FE3">
        <w:rPr>
          <w:rStyle w:val="normaltextrun"/>
          <w:color w:val="000000"/>
          <w:szCs w:val="18"/>
          <w:shd w:val="clear" w:color="auto" w:fill="FFFFFF"/>
        </w:rPr>
        <w:t>PBS = Pharmaceutical Benefits Scheme; RPBS = Repatriation Pharmaceutical Benefits Scheme</w:t>
      </w:r>
    </w:p>
    <w:p w:rsidR="00C20FE3" w:rsidRDefault="00C20FE3" w:rsidP="005065A0">
      <w:pPr>
        <w:pStyle w:val="TableFigureFooter"/>
        <w:rPr>
          <w:i/>
        </w:rPr>
      </w:pPr>
      <w:r w:rsidRPr="009868C4">
        <w:rPr>
          <w:i/>
        </w:rPr>
        <w:t>The redacted values correspond to the following ranges</w:t>
      </w:r>
      <w:r>
        <w:rPr>
          <w:i/>
        </w:rPr>
        <w:t>:</w:t>
      </w:r>
    </w:p>
    <w:p w:rsidR="00C20FE3" w:rsidRDefault="00C20FE3" w:rsidP="005065A0">
      <w:pPr>
        <w:pStyle w:val="TableFigureFooter"/>
        <w:rPr>
          <w:i/>
        </w:rPr>
      </w:pPr>
      <w:r>
        <w:rPr>
          <w:i/>
          <w:vertAlign w:val="superscript"/>
        </w:rPr>
        <w:t xml:space="preserve">1 </w:t>
      </w:r>
      <w:r>
        <w:rPr>
          <w:i/>
        </w:rPr>
        <w:t>&lt; 500</w:t>
      </w:r>
    </w:p>
    <w:p w:rsidR="00C20FE3" w:rsidRDefault="00C20FE3" w:rsidP="005065A0">
      <w:pPr>
        <w:pStyle w:val="TableFigureFooter"/>
        <w:rPr>
          <w:rStyle w:val="normaltextrun"/>
          <w:i/>
          <w:color w:val="000000"/>
          <w:szCs w:val="18"/>
          <w:shd w:val="clear" w:color="auto" w:fill="FFFFFF"/>
        </w:rPr>
      </w:pPr>
      <w:r w:rsidRPr="00C20FE3">
        <w:rPr>
          <w:rStyle w:val="normaltextrun"/>
          <w:i/>
          <w:color w:val="000000"/>
          <w:szCs w:val="18"/>
          <w:shd w:val="clear" w:color="auto" w:fill="FFFFFF"/>
          <w:vertAlign w:val="superscript"/>
        </w:rPr>
        <w:t>2</w:t>
      </w:r>
      <w:r>
        <w:rPr>
          <w:rStyle w:val="normaltextrun"/>
          <w:i/>
          <w:color w:val="000000"/>
          <w:szCs w:val="18"/>
          <w:shd w:val="clear" w:color="auto" w:fill="FFFFFF"/>
          <w:vertAlign w:val="superscript"/>
        </w:rPr>
        <w:t xml:space="preserve"> </w:t>
      </w:r>
      <w:r w:rsidRPr="00C20FE3">
        <w:rPr>
          <w:rStyle w:val="normaltextrun"/>
          <w:i/>
          <w:color w:val="000000"/>
          <w:szCs w:val="18"/>
          <w:shd w:val="clear" w:color="auto" w:fill="FFFFFF"/>
        </w:rPr>
        <w:t xml:space="preserve">500 </w:t>
      </w:r>
      <w:r>
        <w:rPr>
          <w:rStyle w:val="normaltextrun"/>
          <w:i/>
          <w:color w:val="000000"/>
          <w:szCs w:val="18"/>
          <w:shd w:val="clear" w:color="auto" w:fill="FFFFFF"/>
        </w:rPr>
        <w:t>to &lt; 5,000</w:t>
      </w:r>
    </w:p>
    <w:p w:rsidR="00C20FE3" w:rsidRDefault="00C20FE3" w:rsidP="005065A0">
      <w:pPr>
        <w:pStyle w:val="TableFigureFooter"/>
        <w:rPr>
          <w:rStyle w:val="normaltextrun"/>
          <w:i/>
          <w:color w:val="000000"/>
          <w:szCs w:val="18"/>
          <w:shd w:val="clear" w:color="auto" w:fill="FFFFFF"/>
        </w:rPr>
      </w:pPr>
      <w:r>
        <w:rPr>
          <w:rStyle w:val="normaltextrun"/>
          <w:i/>
          <w:color w:val="000000"/>
          <w:szCs w:val="18"/>
          <w:shd w:val="clear" w:color="auto" w:fill="FFFFFF"/>
          <w:vertAlign w:val="superscript"/>
        </w:rPr>
        <w:t>3</w:t>
      </w:r>
      <w:r>
        <w:rPr>
          <w:rStyle w:val="normaltextrun"/>
          <w:i/>
          <w:color w:val="000000"/>
          <w:szCs w:val="18"/>
          <w:shd w:val="clear" w:color="auto" w:fill="FFFFFF"/>
        </w:rPr>
        <w:t xml:space="preserve"> </w:t>
      </w:r>
      <w:r w:rsidRPr="00C20FE3">
        <w:rPr>
          <w:rStyle w:val="normaltextrun"/>
          <w:i/>
          <w:color w:val="000000"/>
          <w:szCs w:val="18"/>
          <w:shd w:val="clear" w:color="auto" w:fill="FFFFFF"/>
        </w:rPr>
        <w:t>$0 to &lt; $10 million</w:t>
      </w:r>
    </w:p>
    <w:p w:rsidR="00C20FE3" w:rsidRDefault="00C20FE3" w:rsidP="005065A0">
      <w:pPr>
        <w:pStyle w:val="TableFigureFooter"/>
        <w:rPr>
          <w:rStyle w:val="normaltextrun"/>
          <w:i/>
          <w:color w:val="000000"/>
          <w:szCs w:val="18"/>
          <w:shd w:val="clear" w:color="auto" w:fill="FFFFFF"/>
        </w:rPr>
      </w:pPr>
      <w:r>
        <w:rPr>
          <w:rStyle w:val="normaltextrun"/>
          <w:i/>
          <w:color w:val="000000"/>
          <w:szCs w:val="18"/>
          <w:shd w:val="clear" w:color="auto" w:fill="FFFFFF"/>
          <w:vertAlign w:val="superscript"/>
        </w:rPr>
        <w:t>4</w:t>
      </w:r>
      <w:r>
        <w:rPr>
          <w:rStyle w:val="normaltextrun"/>
          <w:i/>
          <w:color w:val="000000"/>
          <w:szCs w:val="18"/>
          <w:shd w:val="clear" w:color="auto" w:fill="FFFFFF"/>
        </w:rPr>
        <w:t xml:space="preserve"> </w:t>
      </w:r>
      <w:r w:rsidRPr="00C20FE3">
        <w:rPr>
          <w:rStyle w:val="normaltextrun"/>
          <w:i/>
          <w:color w:val="000000"/>
          <w:szCs w:val="18"/>
          <w:shd w:val="clear" w:color="auto" w:fill="FFFFFF"/>
        </w:rPr>
        <w:t>$10 million to &lt; $20 million</w:t>
      </w:r>
    </w:p>
    <w:p w:rsidR="00C20FE3" w:rsidRPr="00C20FE3" w:rsidRDefault="00C20FE3" w:rsidP="005065A0">
      <w:pPr>
        <w:pStyle w:val="TableFigureFooter"/>
        <w:rPr>
          <w:rStyle w:val="normaltextrun"/>
          <w:i/>
          <w:color w:val="000000"/>
          <w:szCs w:val="18"/>
          <w:shd w:val="clear" w:color="auto" w:fill="FFFFFF"/>
        </w:rPr>
      </w:pPr>
      <w:r>
        <w:rPr>
          <w:rStyle w:val="normaltextrun"/>
          <w:i/>
          <w:color w:val="000000"/>
          <w:szCs w:val="18"/>
          <w:shd w:val="clear" w:color="auto" w:fill="FFFFFF"/>
          <w:vertAlign w:val="superscript"/>
        </w:rPr>
        <w:lastRenderedPageBreak/>
        <w:t>5</w:t>
      </w:r>
      <w:r>
        <w:rPr>
          <w:rStyle w:val="normaltextrun"/>
          <w:i/>
          <w:color w:val="000000"/>
          <w:szCs w:val="18"/>
          <w:shd w:val="clear" w:color="auto" w:fill="FFFFFF"/>
        </w:rPr>
        <w:t xml:space="preserve"> net c</w:t>
      </w:r>
      <w:r w:rsidR="00B67FC8">
        <w:rPr>
          <w:rStyle w:val="normaltextrun"/>
          <w:i/>
          <w:color w:val="000000"/>
          <w:szCs w:val="18"/>
          <w:shd w:val="clear" w:color="auto" w:fill="FFFFFF"/>
        </w:rPr>
        <w:t>o</w:t>
      </w:r>
      <w:r>
        <w:rPr>
          <w:rStyle w:val="normaltextrun"/>
          <w:i/>
          <w:color w:val="000000"/>
          <w:szCs w:val="18"/>
          <w:shd w:val="clear" w:color="auto" w:fill="FFFFFF"/>
        </w:rPr>
        <w:t>st saving</w:t>
      </w:r>
    </w:p>
    <w:p w:rsidR="004B4C7D" w:rsidRDefault="004B4C7D" w:rsidP="00935015">
      <w:pPr>
        <w:pStyle w:val="3-BodyText"/>
      </w:pPr>
      <w:r w:rsidRPr="00C24DBA">
        <w:t xml:space="preserve">The cost to the PBS/RPBS of listing </w:t>
      </w:r>
      <w:r w:rsidR="00DD4B77" w:rsidRPr="00C24DBA">
        <w:t>cabozantinib</w:t>
      </w:r>
      <w:r w:rsidR="00A93B00" w:rsidRPr="00C24DBA">
        <w:t xml:space="preserve"> in the </w:t>
      </w:r>
      <w:r w:rsidR="002B603B" w:rsidRPr="00C24DBA">
        <w:t>TKI-</w:t>
      </w:r>
      <w:r w:rsidR="008D63C6" w:rsidRPr="00C24DBA">
        <w:t>naïve</w:t>
      </w:r>
      <w:r w:rsidR="002B603B" w:rsidRPr="00C24DBA">
        <w:t xml:space="preserve"> setting</w:t>
      </w:r>
      <w:r w:rsidR="00A93B00" w:rsidRPr="00C24DBA">
        <w:t xml:space="preserve"> (without offsets) </w:t>
      </w:r>
      <w:r w:rsidRPr="00C24DBA">
        <w:t xml:space="preserve">was estimated to be </w:t>
      </w:r>
      <w:r w:rsidR="00935015" w:rsidRPr="00935015">
        <w:t>$10 million to &lt; $20 million</w:t>
      </w:r>
      <w:r w:rsidRPr="00C24DBA">
        <w:t xml:space="preserve"> in Year 6, and a total of </w:t>
      </w:r>
      <w:r w:rsidR="00935015" w:rsidRPr="00935015">
        <w:t>$80 million to &lt; $90 million</w:t>
      </w:r>
      <w:r w:rsidR="00935015">
        <w:t xml:space="preserve"> </w:t>
      </w:r>
      <w:r w:rsidRPr="00C24DBA">
        <w:t>in the first 6 years of listing</w:t>
      </w:r>
      <w:r w:rsidR="00A93B00" w:rsidRPr="00C24DBA">
        <w:t>.</w:t>
      </w:r>
      <w:r w:rsidRPr="00C24DBA">
        <w:rPr>
          <w:color w:val="3366FF"/>
        </w:rPr>
        <w:t xml:space="preserve"> </w:t>
      </w:r>
      <w:r w:rsidR="001E3AFE" w:rsidRPr="00C24DBA">
        <w:t xml:space="preserve">The ESC considered the estimates presented in the </w:t>
      </w:r>
      <w:r w:rsidR="002B603B" w:rsidRPr="00C24DBA">
        <w:t>re</w:t>
      </w:r>
      <w:r w:rsidR="001E3AFE" w:rsidRPr="00C24DBA">
        <w:t>submission were not reliable.</w:t>
      </w:r>
      <w:r w:rsidR="00F716C4" w:rsidRPr="00C24DBA">
        <w:t xml:space="preserve"> The adjustments in the pre-PBAC response resulted in a cost (without offsets) of </w:t>
      </w:r>
      <w:r w:rsidR="00935015" w:rsidRPr="00935015">
        <w:t>$10 million to &lt; $20 million</w:t>
      </w:r>
      <w:r w:rsidR="00935015" w:rsidRPr="00C24DBA" w:rsidDel="00935015">
        <w:t xml:space="preserve"> </w:t>
      </w:r>
      <w:r w:rsidR="00F716C4" w:rsidRPr="00C24DBA">
        <w:t xml:space="preserve">in Year 6, and a total of </w:t>
      </w:r>
      <w:r w:rsidR="00935015" w:rsidRPr="00935015">
        <w:t>$70 million to &lt; $80 million</w:t>
      </w:r>
      <w:r w:rsidR="00935015">
        <w:t xml:space="preserve"> </w:t>
      </w:r>
      <w:r w:rsidR="00F716C4" w:rsidRPr="00C24DBA">
        <w:t>in the first 6 years of listing.</w:t>
      </w:r>
      <w:r w:rsidR="007C6DEF" w:rsidRPr="00C24DBA">
        <w:t xml:space="preserve"> These were based on the resubmission’s estimated effective price of other therapies and the application of Clause 5.7 of the Strategic Agreement</w:t>
      </w:r>
      <w:r w:rsidR="00B139FA" w:rsidRPr="00C24DBA">
        <w:t xml:space="preserve"> in the cost-analysis</w:t>
      </w:r>
      <w:r w:rsidR="007C6DEF" w:rsidRPr="00C24DBA">
        <w:t>.</w:t>
      </w:r>
    </w:p>
    <w:p w:rsidR="009231F9" w:rsidRPr="00C24DBA" w:rsidRDefault="009231F9" w:rsidP="007C6DEF">
      <w:pPr>
        <w:pStyle w:val="3-BodyText"/>
      </w:pPr>
      <w:r w:rsidRPr="00FB175C">
        <w:t xml:space="preserve">The impact is higher than what would normally be expected with a </w:t>
      </w:r>
      <w:r>
        <w:t>cost-minimisation analysis</w:t>
      </w:r>
      <w:r w:rsidRPr="00FB175C">
        <w:t>, noting that patients treated with ca</w:t>
      </w:r>
      <w:r>
        <w:t>bozantinib may spend less time o</w:t>
      </w:r>
      <w:r w:rsidRPr="00FB175C">
        <w:t>n post-progression treatment than those treated with sunitinib</w:t>
      </w:r>
      <w:r>
        <w:t xml:space="preserve"> (and thus was a cost-analysis approach, rather than a cost-minimisation approach)</w:t>
      </w:r>
      <w:r w:rsidRPr="00FB175C">
        <w:t xml:space="preserve">. Further, the estimates are based on the weighted price of cabozantinib (which is higher than the </w:t>
      </w:r>
      <w:r>
        <w:t>indication-specific price in the TKI-naïve setting</w:t>
      </w:r>
      <w:r w:rsidRPr="00FB175C">
        <w:t>)</w:t>
      </w:r>
      <w:r>
        <w:t>, and the financial offsets only account for reductions in sunitinib and pazopanib and do not account for any potential reductions in other therapies (such as nivolumab monotherapy and axitinib)</w:t>
      </w:r>
      <w:r w:rsidRPr="00FB175C">
        <w:t xml:space="preserve">. </w:t>
      </w:r>
    </w:p>
    <w:p w:rsidR="004B4C7D" w:rsidRPr="00C24DBA" w:rsidRDefault="004B4C7D" w:rsidP="004B4C7D">
      <w:pPr>
        <w:pStyle w:val="4-SubsectionHeading"/>
      </w:pPr>
      <w:bookmarkStart w:id="34" w:name="_Toc22897649"/>
      <w:bookmarkStart w:id="35" w:name="_Toc48560957"/>
      <w:r w:rsidRPr="00C24DBA">
        <w:t>Financial Management – Risk Sharing Arrangements</w:t>
      </w:r>
      <w:bookmarkEnd w:id="34"/>
      <w:bookmarkEnd w:id="35"/>
    </w:p>
    <w:p w:rsidR="00355D64" w:rsidRPr="00C24DBA" w:rsidRDefault="00355D64" w:rsidP="00AB4580">
      <w:pPr>
        <w:pStyle w:val="3-BodyText"/>
        <w:rPr>
          <w:color w:val="0066FF"/>
        </w:rPr>
      </w:pPr>
      <w:r w:rsidRPr="00C24DBA">
        <w:t>The resubmission proposed a</w:t>
      </w:r>
      <w:r w:rsidR="00186927" w:rsidRPr="00C24DBA">
        <w:t>n</w:t>
      </w:r>
      <w:r w:rsidRPr="00C24DBA">
        <w:t xml:space="preserve"> RSA based on a line-agnostic listing and a weighted price acros</w:t>
      </w:r>
      <w:r w:rsidR="00393C9A" w:rsidRPr="00C24DBA">
        <w:t xml:space="preserve">s the </w:t>
      </w:r>
      <w:r w:rsidR="002116FF" w:rsidRPr="00C24DBA">
        <w:t>TKI-naïve and post-TKI settings</w:t>
      </w:r>
      <w:r w:rsidR="00393C9A" w:rsidRPr="00C24DBA">
        <w:t xml:space="preserve">. </w:t>
      </w:r>
      <w:r w:rsidR="00AB4580" w:rsidRPr="00C24DBA">
        <w:t xml:space="preserve">The proposed RSA cap was based on the </w:t>
      </w:r>
      <w:r w:rsidR="007C6DEF" w:rsidRPr="00C24DBA">
        <w:t xml:space="preserve">proposed </w:t>
      </w:r>
      <w:r w:rsidR="00AB4580" w:rsidRPr="00C24DBA">
        <w:t>weighted price of cabozantinib</w:t>
      </w:r>
      <w:r w:rsidR="00CE6E89" w:rsidRPr="00C24DBA">
        <w:t>, the resubmission’s revised estimates of the status quo</w:t>
      </w:r>
      <w:r w:rsidR="00AB4580" w:rsidRPr="00C24DBA">
        <w:t xml:space="preserve"> </w:t>
      </w:r>
      <w:r w:rsidR="00CE6E89" w:rsidRPr="00C24DBA">
        <w:t>(which</w:t>
      </w:r>
      <w:r w:rsidR="00191917" w:rsidRPr="00C24DBA">
        <w:t xml:space="preserve"> were revised in the pre-PBAC response to more closely align with the script numbers agreed for cabozantinib post-TKI use under the existing RSA</w:t>
      </w:r>
      <w:r w:rsidR="007C6DEF" w:rsidRPr="00C24DBA">
        <w:t xml:space="preserve"> </w:t>
      </w:r>
      <w:r w:rsidR="00CE6E89" w:rsidRPr="00C24DBA">
        <w:t xml:space="preserve">as shown in the first two rows of the table below), </w:t>
      </w:r>
      <w:r w:rsidR="00AB4580" w:rsidRPr="00C24DBA">
        <w:t xml:space="preserve">and </w:t>
      </w:r>
      <w:r w:rsidR="00186927" w:rsidRPr="00C24DBA">
        <w:t xml:space="preserve">an </w:t>
      </w:r>
      <w:r w:rsidR="00AB4580" w:rsidRPr="00C24DBA">
        <w:t>estimated number of scripts for a line-agnostic listing.</w:t>
      </w:r>
      <w:r w:rsidR="00D610E7" w:rsidRPr="00C24DBA">
        <w:t xml:space="preserve"> The rebate above the proposed cap would be </w:t>
      </w:r>
      <w:r w:rsidR="0061241D">
        <w:rPr>
          <w:noProof/>
          <w:color w:val="000000"/>
          <w:highlight w:val="black"/>
        </w:rPr>
        <w:t>''''''''</w:t>
      </w:r>
      <w:r w:rsidR="00D610E7" w:rsidRPr="00C24DBA">
        <w:t xml:space="preserve">%. </w:t>
      </w:r>
      <w:r w:rsidR="00F57791" w:rsidRPr="00C24DBA">
        <w:t xml:space="preserve">A summary of the proposed RSA is presented in Table </w:t>
      </w:r>
      <w:r w:rsidR="00BA73C3" w:rsidRPr="00C24DBA">
        <w:t>1</w:t>
      </w:r>
      <w:r w:rsidR="004713CE" w:rsidRPr="00C24DBA">
        <w:t>4</w:t>
      </w:r>
      <w:r w:rsidR="00F57791" w:rsidRPr="00C24DBA">
        <w:t>.</w:t>
      </w:r>
      <w:r w:rsidR="00F716C4" w:rsidRPr="00C24DBA">
        <w:t xml:space="preserve"> The table also present</w:t>
      </w:r>
      <w:r w:rsidR="00C871DA" w:rsidRPr="00C24DBA">
        <w:t>s</w:t>
      </w:r>
      <w:r w:rsidR="00F716C4" w:rsidRPr="00C24DBA">
        <w:t xml:space="preserve"> the </w:t>
      </w:r>
      <w:r w:rsidR="007C6DEF" w:rsidRPr="00C24DBA">
        <w:t xml:space="preserve">RSA </w:t>
      </w:r>
      <w:r w:rsidR="00F716C4" w:rsidRPr="00C24DBA">
        <w:t>cap proposed in the pre-PBAC response.</w:t>
      </w:r>
    </w:p>
    <w:p w:rsidR="00F57791" w:rsidRPr="00C24DBA" w:rsidRDefault="00F57791" w:rsidP="005065A0">
      <w:pPr>
        <w:pStyle w:val="TableHeading0"/>
      </w:pPr>
      <w:r w:rsidRPr="00C24DBA">
        <w:lastRenderedPageBreak/>
        <w:t xml:space="preserve">Table </w:t>
      </w:r>
      <w:r w:rsidR="00186927" w:rsidRPr="00C24DBA">
        <w:t>1</w:t>
      </w:r>
      <w:r w:rsidR="004713CE" w:rsidRPr="00C24DBA">
        <w:t>4</w:t>
      </w:r>
      <w:r w:rsidRPr="00C24DBA">
        <w:t>:  Proposed combined RSA for a line</w:t>
      </w:r>
      <w:r w:rsidR="00672428" w:rsidRPr="00C24DBA">
        <w:t>-</w:t>
      </w:r>
      <w:r w:rsidRPr="00C24DBA">
        <w:t>agnostic listing for cabozantinib</w:t>
      </w:r>
    </w:p>
    <w:tbl>
      <w:tblPr>
        <w:tblStyle w:val="TableGrid"/>
        <w:tblW w:w="5000" w:type="pct"/>
        <w:tblCellMar>
          <w:left w:w="28" w:type="dxa"/>
          <w:right w:w="28" w:type="dxa"/>
        </w:tblCellMar>
        <w:tblLook w:val="0620" w:firstRow="1" w:lastRow="0" w:firstColumn="0" w:lastColumn="0" w:noHBand="1" w:noVBand="1"/>
        <w:tblCaption w:val="Table 14:  Proposed combined RSA for a line-agnostic listing for cabozantinib"/>
      </w:tblPr>
      <w:tblGrid>
        <w:gridCol w:w="2483"/>
        <w:gridCol w:w="1100"/>
        <w:gridCol w:w="1100"/>
        <w:gridCol w:w="1101"/>
        <w:gridCol w:w="1101"/>
        <w:gridCol w:w="1101"/>
        <w:gridCol w:w="1031"/>
      </w:tblGrid>
      <w:tr w:rsidR="00F57791" w:rsidRPr="005065A0" w:rsidTr="00810D23">
        <w:trPr>
          <w:tblHeader/>
        </w:trPr>
        <w:tc>
          <w:tcPr>
            <w:tcW w:w="1383" w:type="pct"/>
          </w:tcPr>
          <w:p w:rsidR="00F57791" w:rsidRPr="005065A0" w:rsidRDefault="00F57791" w:rsidP="0009132F">
            <w:pPr>
              <w:keepNext/>
              <w:keepLines/>
              <w:rPr>
                <w:rFonts w:ascii="Arial Narrow" w:hAnsi="Arial Narrow"/>
                <w:b/>
                <w:sz w:val="20"/>
                <w:szCs w:val="20"/>
              </w:rPr>
            </w:pPr>
            <w:r w:rsidRPr="005065A0">
              <w:rPr>
                <w:rFonts w:ascii="Arial Narrow" w:hAnsi="Arial Narrow"/>
                <w:b/>
                <w:sz w:val="20"/>
                <w:szCs w:val="20"/>
              </w:rPr>
              <w:t>Year</w:t>
            </w:r>
          </w:p>
        </w:tc>
        <w:tc>
          <w:tcPr>
            <w:tcW w:w="616" w:type="pct"/>
            <w:vAlign w:val="center"/>
          </w:tcPr>
          <w:p w:rsidR="00F57791" w:rsidRPr="005065A0" w:rsidRDefault="00F57791" w:rsidP="0009132F">
            <w:pPr>
              <w:keepNext/>
              <w:keepLines/>
              <w:jc w:val="center"/>
              <w:rPr>
                <w:rFonts w:ascii="Arial Narrow" w:hAnsi="Arial Narrow"/>
                <w:b/>
                <w:sz w:val="20"/>
                <w:szCs w:val="20"/>
              </w:rPr>
            </w:pPr>
            <w:r w:rsidRPr="005065A0">
              <w:rPr>
                <w:rFonts w:ascii="Arial Narrow" w:hAnsi="Arial Narrow"/>
                <w:b/>
                <w:sz w:val="20"/>
                <w:szCs w:val="20"/>
              </w:rPr>
              <w:t>Year 1</w:t>
            </w:r>
          </w:p>
        </w:tc>
        <w:tc>
          <w:tcPr>
            <w:tcW w:w="616" w:type="pct"/>
            <w:vAlign w:val="center"/>
          </w:tcPr>
          <w:p w:rsidR="00F57791" w:rsidRPr="005065A0" w:rsidRDefault="00F57791" w:rsidP="0009132F">
            <w:pPr>
              <w:keepNext/>
              <w:keepLines/>
              <w:jc w:val="center"/>
              <w:rPr>
                <w:rFonts w:ascii="Arial Narrow" w:hAnsi="Arial Narrow"/>
                <w:b/>
                <w:sz w:val="20"/>
                <w:szCs w:val="20"/>
              </w:rPr>
            </w:pPr>
            <w:r w:rsidRPr="005065A0">
              <w:rPr>
                <w:rFonts w:ascii="Arial Narrow" w:hAnsi="Arial Narrow"/>
                <w:b/>
                <w:sz w:val="20"/>
                <w:szCs w:val="20"/>
              </w:rPr>
              <w:t>Year 2</w:t>
            </w:r>
          </w:p>
        </w:tc>
        <w:tc>
          <w:tcPr>
            <w:tcW w:w="616" w:type="pct"/>
            <w:vAlign w:val="center"/>
          </w:tcPr>
          <w:p w:rsidR="00F57791" w:rsidRPr="005065A0" w:rsidRDefault="00F57791" w:rsidP="0009132F">
            <w:pPr>
              <w:keepNext/>
              <w:keepLines/>
              <w:jc w:val="center"/>
              <w:rPr>
                <w:rFonts w:ascii="Arial Narrow" w:hAnsi="Arial Narrow"/>
                <w:b/>
                <w:sz w:val="20"/>
                <w:szCs w:val="20"/>
              </w:rPr>
            </w:pPr>
            <w:r w:rsidRPr="005065A0">
              <w:rPr>
                <w:rFonts w:ascii="Arial Narrow" w:hAnsi="Arial Narrow"/>
                <w:b/>
                <w:sz w:val="20"/>
                <w:szCs w:val="20"/>
              </w:rPr>
              <w:t>Year 3</w:t>
            </w:r>
          </w:p>
        </w:tc>
        <w:tc>
          <w:tcPr>
            <w:tcW w:w="616" w:type="pct"/>
            <w:vAlign w:val="center"/>
          </w:tcPr>
          <w:p w:rsidR="00F57791" w:rsidRPr="005065A0" w:rsidRDefault="00F57791" w:rsidP="0009132F">
            <w:pPr>
              <w:keepNext/>
              <w:keepLines/>
              <w:jc w:val="center"/>
              <w:rPr>
                <w:rFonts w:ascii="Arial Narrow" w:hAnsi="Arial Narrow"/>
                <w:b/>
                <w:sz w:val="20"/>
                <w:szCs w:val="20"/>
              </w:rPr>
            </w:pPr>
            <w:r w:rsidRPr="005065A0">
              <w:rPr>
                <w:rFonts w:ascii="Arial Narrow" w:hAnsi="Arial Narrow"/>
                <w:b/>
                <w:sz w:val="20"/>
                <w:szCs w:val="20"/>
              </w:rPr>
              <w:t>Year 4</w:t>
            </w:r>
          </w:p>
        </w:tc>
        <w:tc>
          <w:tcPr>
            <w:tcW w:w="616" w:type="pct"/>
            <w:vAlign w:val="center"/>
          </w:tcPr>
          <w:p w:rsidR="00F57791" w:rsidRPr="005065A0" w:rsidRDefault="00F57791" w:rsidP="0009132F">
            <w:pPr>
              <w:keepNext/>
              <w:keepLines/>
              <w:jc w:val="center"/>
              <w:rPr>
                <w:rFonts w:ascii="Arial Narrow" w:hAnsi="Arial Narrow"/>
                <w:b/>
                <w:sz w:val="20"/>
                <w:szCs w:val="20"/>
              </w:rPr>
            </w:pPr>
            <w:r w:rsidRPr="005065A0">
              <w:rPr>
                <w:rFonts w:ascii="Arial Narrow" w:hAnsi="Arial Narrow"/>
                <w:b/>
                <w:sz w:val="20"/>
                <w:szCs w:val="20"/>
              </w:rPr>
              <w:t>Year 5</w:t>
            </w:r>
          </w:p>
        </w:tc>
        <w:tc>
          <w:tcPr>
            <w:tcW w:w="539" w:type="pct"/>
            <w:vAlign w:val="center"/>
          </w:tcPr>
          <w:p w:rsidR="00F57791" w:rsidRPr="005065A0" w:rsidRDefault="00F57791" w:rsidP="0009132F">
            <w:pPr>
              <w:keepNext/>
              <w:keepLines/>
              <w:jc w:val="center"/>
              <w:rPr>
                <w:rFonts w:ascii="Arial Narrow" w:hAnsi="Arial Narrow"/>
                <w:b/>
                <w:sz w:val="20"/>
                <w:szCs w:val="20"/>
              </w:rPr>
            </w:pPr>
            <w:r w:rsidRPr="005065A0">
              <w:rPr>
                <w:rFonts w:ascii="Arial Narrow" w:hAnsi="Arial Narrow"/>
                <w:b/>
                <w:sz w:val="20"/>
                <w:szCs w:val="20"/>
              </w:rPr>
              <w:t>Year 6</w:t>
            </w:r>
          </w:p>
        </w:tc>
      </w:tr>
      <w:tr w:rsidR="00AD5082" w:rsidRPr="005065A0" w:rsidTr="00810D23">
        <w:tc>
          <w:tcPr>
            <w:tcW w:w="1383" w:type="pct"/>
          </w:tcPr>
          <w:p w:rsidR="00AD5082" w:rsidRPr="005065A0" w:rsidRDefault="00BD2B25" w:rsidP="00BD2B25">
            <w:pPr>
              <w:keepNext/>
              <w:keepLines/>
              <w:rPr>
                <w:rFonts w:ascii="Arial Narrow" w:hAnsi="Arial Narrow"/>
                <w:sz w:val="20"/>
                <w:szCs w:val="20"/>
              </w:rPr>
            </w:pPr>
            <w:r w:rsidRPr="005065A0">
              <w:rPr>
                <w:rFonts w:ascii="Arial Narrow" w:hAnsi="Arial Narrow"/>
                <w:sz w:val="20"/>
                <w:szCs w:val="20"/>
              </w:rPr>
              <w:t>Res</w:t>
            </w:r>
            <w:r w:rsidR="00D15CBF" w:rsidRPr="005065A0">
              <w:rPr>
                <w:rFonts w:ascii="Arial Narrow" w:hAnsi="Arial Narrow"/>
                <w:sz w:val="20"/>
                <w:szCs w:val="20"/>
              </w:rPr>
              <w:t xml:space="preserve">ubmission estimated </w:t>
            </w:r>
            <w:r w:rsidR="00672428" w:rsidRPr="005065A0">
              <w:rPr>
                <w:rFonts w:ascii="Arial Narrow" w:hAnsi="Arial Narrow"/>
                <w:sz w:val="20"/>
                <w:szCs w:val="20"/>
              </w:rPr>
              <w:t>s</w:t>
            </w:r>
            <w:r w:rsidR="00AD5082" w:rsidRPr="005065A0">
              <w:rPr>
                <w:rFonts w:ascii="Arial Narrow" w:hAnsi="Arial Narrow"/>
                <w:sz w:val="20"/>
                <w:szCs w:val="20"/>
              </w:rPr>
              <w:t xml:space="preserve">tatus quo cabozantinib </w:t>
            </w:r>
            <w:r w:rsidR="002116FF" w:rsidRPr="005065A0">
              <w:rPr>
                <w:rFonts w:ascii="Arial Narrow" w:hAnsi="Arial Narrow"/>
                <w:sz w:val="20"/>
                <w:szCs w:val="20"/>
              </w:rPr>
              <w:t xml:space="preserve">post-TKI </w:t>
            </w:r>
            <w:r w:rsidR="00AD5082" w:rsidRPr="005065A0">
              <w:rPr>
                <w:rFonts w:ascii="Arial Narrow" w:hAnsi="Arial Narrow"/>
                <w:sz w:val="20"/>
                <w:szCs w:val="20"/>
              </w:rPr>
              <w:t xml:space="preserve">scripts </w:t>
            </w:r>
          </w:p>
        </w:tc>
        <w:tc>
          <w:tcPr>
            <w:tcW w:w="616" w:type="pct"/>
            <w:vAlign w:val="center"/>
          </w:tcPr>
          <w:p w:rsidR="00AD5082" w:rsidRPr="0061241D" w:rsidRDefault="0061241D" w:rsidP="0009132F">
            <w:pPr>
              <w:keepNext/>
              <w:keepLines/>
              <w:jc w:val="center"/>
              <w:rPr>
                <w:rFonts w:ascii="Arial Narrow" w:hAnsi="Arial Narrow"/>
                <w:b/>
                <w:sz w:val="20"/>
                <w:szCs w:val="20"/>
                <w:vertAlign w:val="superscript"/>
              </w:rPr>
            </w:pPr>
            <w:r>
              <w:rPr>
                <w:rFonts w:ascii="Arial Narrow" w:hAnsi="Arial Narrow"/>
                <w:iCs/>
                <w:noProof/>
                <w:color w:val="000000"/>
                <w:sz w:val="20"/>
                <w:szCs w:val="20"/>
                <w:highlight w:val="black"/>
              </w:rPr>
              <w:t>''''''''''''''</w:t>
            </w:r>
            <w:r w:rsidR="00935015" w:rsidRPr="00935015">
              <w:rPr>
                <w:rFonts w:ascii="Arial Narrow" w:hAnsi="Arial Narrow"/>
                <w:iCs/>
                <w:sz w:val="20"/>
                <w:szCs w:val="20"/>
                <w:vertAlign w:val="superscript"/>
              </w:rPr>
              <w:t>1</w:t>
            </w:r>
          </w:p>
        </w:tc>
        <w:tc>
          <w:tcPr>
            <w:tcW w:w="616" w:type="pct"/>
            <w:vAlign w:val="center"/>
          </w:tcPr>
          <w:p w:rsidR="00AD5082" w:rsidRPr="0061241D" w:rsidRDefault="0061241D" w:rsidP="0009132F">
            <w:pPr>
              <w:keepNext/>
              <w:keepLines/>
              <w:jc w:val="center"/>
              <w:rPr>
                <w:rFonts w:ascii="Arial Narrow" w:hAnsi="Arial Narrow"/>
                <w:b/>
                <w:sz w:val="20"/>
                <w:szCs w:val="20"/>
              </w:rPr>
            </w:pPr>
            <w:r>
              <w:rPr>
                <w:rFonts w:ascii="Arial Narrow" w:hAnsi="Arial Narrow"/>
                <w:iCs/>
                <w:noProof/>
                <w:color w:val="000000"/>
                <w:sz w:val="20"/>
                <w:szCs w:val="20"/>
                <w:highlight w:val="black"/>
              </w:rPr>
              <w:t>''''''''''''''</w:t>
            </w:r>
            <w:r w:rsidR="00935015" w:rsidRPr="00935015">
              <w:rPr>
                <w:rFonts w:ascii="Arial Narrow" w:hAnsi="Arial Narrow"/>
                <w:iCs/>
                <w:sz w:val="20"/>
                <w:szCs w:val="20"/>
                <w:vertAlign w:val="superscript"/>
              </w:rPr>
              <w:t>1</w:t>
            </w:r>
          </w:p>
        </w:tc>
        <w:tc>
          <w:tcPr>
            <w:tcW w:w="616" w:type="pct"/>
            <w:vAlign w:val="center"/>
          </w:tcPr>
          <w:p w:rsidR="00AD5082" w:rsidRPr="0061241D" w:rsidRDefault="0061241D" w:rsidP="0009132F">
            <w:pPr>
              <w:keepNext/>
              <w:keepLines/>
              <w:jc w:val="center"/>
              <w:rPr>
                <w:rFonts w:ascii="Arial Narrow" w:hAnsi="Arial Narrow"/>
                <w:b/>
                <w:sz w:val="20"/>
                <w:szCs w:val="20"/>
              </w:rPr>
            </w:pPr>
            <w:r>
              <w:rPr>
                <w:rFonts w:ascii="Arial Narrow" w:hAnsi="Arial Narrow"/>
                <w:iCs/>
                <w:noProof/>
                <w:color w:val="000000"/>
                <w:sz w:val="20"/>
                <w:szCs w:val="20"/>
                <w:highlight w:val="black"/>
              </w:rPr>
              <w:t>'''''''''''''</w:t>
            </w:r>
            <w:r w:rsidR="00935015" w:rsidRPr="00935015">
              <w:rPr>
                <w:rFonts w:ascii="Arial Narrow" w:hAnsi="Arial Narrow"/>
                <w:iCs/>
                <w:sz w:val="20"/>
                <w:szCs w:val="20"/>
                <w:vertAlign w:val="superscript"/>
              </w:rPr>
              <w:t>1</w:t>
            </w:r>
          </w:p>
        </w:tc>
        <w:tc>
          <w:tcPr>
            <w:tcW w:w="616" w:type="pct"/>
            <w:vAlign w:val="center"/>
          </w:tcPr>
          <w:p w:rsidR="00AD5082" w:rsidRPr="0061241D" w:rsidRDefault="0061241D" w:rsidP="0009132F">
            <w:pPr>
              <w:keepNext/>
              <w:keepLines/>
              <w:jc w:val="center"/>
              <w:rPr>
                <w:rFonts w:ascii="Arial Narrow" w:hAnsi="Arial Narrow"/>
                <w:b/>
                <w:sz w:val="20"/>
                <w:szCs w:val="20"/>
              </w:rPr>
            </w:pPr>
            <w:r>
              <w:rPr>
                <w:rFonts w:ascii="Arial Narrow" w:hAnsi="Arial Narrow"/>
                <w:iCs/>
                <w:noProof/>
                <w:color w:val="000000"/>
                <w:sz w:val="20"/>
                <w:szCs w:val="20"/>
                <w:highlight w:val="black"/>
              </w:rPr>
              <w:t>'''''''''''''</w:t>
            </w:r>
            <w:r w:rsidR="00935015" w:rsidRPr="00935015">
              <w:rPr>
                <w:rFonts w:ascii="Arial Narrow" w:hAnsi="Arial Narrow"/>
                <w:iCs/>
                <w:sz w:val="20"/>
                <w:szCs w:val="20"/>
                <w:vertAlign w:val="superscript"/>
              </w:rPr>
              <w:t>1</w:t>
            </w:r>
          </w:p>
        </w:tc>
        <w:tc>
          <w:tcPr>
            <w:tcW w:w="616" w:type="pct"/>
            <w:vAlign w:val="center"/>
          </w:tcPr>
          <w:p w:rsidR="00AD5082" w:rsidRPr="0061241D" w:rsidRDefault="0061241D" w:rsidP="0009132F">
            <w:pPr>
              <w:keepNext/>
              <w:keepLines/>
              <w:jc w:val="center"/>
              <w:rPr>
                <w:rFonts w:ascii="Arial Narrow" w:hAnsi="Arial Narrow"/>
                <w:b/>
                <w:sz w:val="20"/>
                <w:szCs w:val="20"/>
              </w:rPr>
            </w:pPr>
            <w:r>
              <w:rPr>
                <w:rFonts w:ascii="Arial Narrow" w:hAnsi="Arial Narrow"/>
                <w:iCs/>
                <w:noProof/>
                <w:color w:val="000000"/>
                <w:sz w:val="20"/>
                <w:szCs w:val="20"/>
                <w:highlight w:val="black"/>
              </w:rPr>
              <w:t>''''''''''''''</w:t>
            </w:r>
            <w:r w:rsidR="00935015" w:rsidRPr="00935015">
              <w:rPr>
                <w:rFonts w:ascii="Arial Narrow" w:hAnsi="Arial Narrow"/>
                <w:iCs/>
                <w:sz w:val="20"/>
                <w:szCs w:val="20"/>
                <w:vertAlign w:val="superscript"/>
              </w:rPr>
              <w:t>1</w:t>
            </w:r>
          </w:p>
        </w:tc>
        <w:tc>
          <w:tcPr>
            <w:tcW w:w="539" w:type="pct"/>
            <w:vAlign w:val="center"/>
          </w:tcPr>
          <w:p w:rsidR="00AD5082" w:rsidRPr="0061241D" w:rsidRDefault="0061241D" w:rsidP="0009132F">
            <w:pPr>
              <w:keepNext/>
              <w:keepLines/>
              <w:jc w:val="center"/>
              <w:rPr>
                <w:rFonts w:ascii="Arial Narrow" w:hAnsi="Arial Narrow"/>
                <w:b/>
                <w:sz w:val="20"/>
                <w:szCs w:val="20"/>
              </w:rPr>
            </w:pPr>
            <w:r>
              <w:rPr>
                <w:rFonts w:ascii="Arial Narrow" w:hAnsi="Arial Narrow"/>
                <w:iCs/>
                <w:noProof/>
                <w:color w:val="000000"/>
                <w:sz w:val="20"/>
                <w:szCs w:val="20"/>
                <w:highlight w:val="black"/>
              </w:rPr>
              <w:t>'''''''''''''</w:t>
            </w:r>
            <w:r w:rsidR="00935015" w:rsidRPr="00935015">
              <w:rPr>
                <w:rFonts w:ascii="Arial Narrow" w:hAnsi="Arial Narrow"/>
                <w:iCs/>
                <w:sz w:val="20"/>
                <w:szCs w:val="20"/>
                <w:vertAlign w:val="superscript"/>
              </w:rPr>
              <w:t>1</w:t>
            </w:r>
          </w:p>
        </w:tc>
      </w:tr>
      <w:tr w:rsidR="00CA3402" w:rsidRPr="005065A0" w:rsidTr="00810D23">
        <w:tc>
          <w:tcPr>
            <w:tcW w:w="1383" w:type="pct"/>
          </w:tcPr>
          <w:p w:rsidR="00CA3402" w:rsidRPr="005065A0" w:rsidRDefault="00CA3402" w:rsidP="0009132F">
            <w:pPr>
              <w:keepNext/>
              <w:keepLines/>
              <w:rPr>
                <w:rFonts w:ascii="Arial Narrow" w:hAnsi="Arial Narrow"/>
                <w:sz w:val="20"/>
                <w:szCs w:val="20"/>
              </w:rPr>
            </w:pPr>
            <w:r w:rsidRPr="005065A0">
              <w:rPr>
                <w:rFonts w:ascii="Arial Narrow" w:hAnsi="Arial Narrow"/>
                <w:sz w:val="20"/>
                <w:szCs w:val="20"/>
              </w:rPr>
              <w:t>Pre-PBAC response estimated status quo cabozantinib post-TKI scripts</w:t>
            </w:r>
          </w:p>
        </w:tc>
        <w:tc>
          <w:tcPr>
            <w:tcW w:w="616" w:type="pct"/>
            <w:vAlign w:val="center"/>
          </w:tcPr>
          <w:p w:rsidR="00CA3402" w:rsidRPr="0061241D" w:rsidRDefault="0061241D" w:rsidP="0009132F">
            <w:pPr>
              <w:keepNext/>
              <w:keepLines/>
              <w:jc w:val="center"/>
              <w:rPr>
                <w:rFonts w:ascii="Arial Narrow" w:hAnsi="Arial Narrow"/>
                <w:iCs/>
                <w:sz w:val="20"/>
                <w:szCs w:val="20"/>
              </w:rPr>
            </w:pPr>
            <w:r>
              <w:rPr>
                <w:rFonts w:ascii="Arial Narrow" w:hAnsi="Arial Narrow" w:cstheme="minorHAnsi"/>
                <w:noProof/>
                <w:color w:val="000000"/>
                <w:sz w:val="20"/>
                <w:szCs w:val="20"/>
                <w:highlight w:val="black"/>
              </w:rPr>
              <w:t>''''''''''''</w:t>
            </w:r>
            <w:r w:rsidR="00935015" w:rsidRPr="00935015">
              <w:rPr>
                <w:rFonts w:ascii="Arial Narrow" w:hAnsi="Arial Narrow"/>
                <w:iCs/>
                <w:sz w:val="20"/>
                <w:szCs w:val="20"/>
                <w:vertAlign w:val="superscript"/>
              </w:rPr>
              <w:t>1</w:t>
            </w:r>
          </w:p>
        </w:tc>
        <w:tc>
          <w:tcPr>
            <w:tcW w:w="616" w:type="pct"/>
            <w:vAlign w:val="center"/>
          </w:tcPr>
          <w:p w:rsidR="00CA3402" w:rsidRPr="0061241D" w:rsidRDefault="0061241D" w:rsidP="0009132F">
            <w:pPr>
              <w:keepNext/>
              <w:keepLines/>
              <w:jc w:val="center"/>
              <w:rPr>
                <w:rFonts w:ascii="Arial Narrow" w:hAnsi="Arial Narrow"/>
                <w:iCs/>
                <w:sz w:val="20"/>
                <w:szCs w:val="20"/>
              </w:rPr>
            </w:pPr>
            <w:r>
              <w:rPr>
                <w:rFonts w:ascii="Arial Narrow" w:hAnsi="Arial Narrow" w:cstheme="minorHAnsi"/>
                <w:noProof/>
                <w:color w:val="000000"/>
                <w:sz w:val="20"/>
                <w:szCs w:val="20"/>
                <w:highlight w:val="black"/>
              </w:rPr>
              <w:t>''''''''''''</w:t>
            </w:r>
            <w:r w:rsidR="00935015" w:rsidRPr="00935015">
              <w:rPr>
                <w:rFonts w:ascii="Arial Narrow" w:hAnsi="Arial Narrow"/>
                <w:iCs/>
                <w:sz w:val="20"/>
                <w:szCs w:val="20"/>
                <w:vertAlign w:val="superscript"/>
              </w:rPr>
              <w:t>1</w:t>
            </w:r>
          </w:p>
        </w:tc>
        <w:tc>
          <w:tcPr>
            <w:tcW w:w="616" w:type="pct"/>
            <w:vAlign w:val="center"/>
          </w:tcPr>
          <w:p w:rsidR="00CA3402" w:rsidRPr="0061241D" w:rsidRDefault="0061241D" w:rsidP="0009132F">
            <w:pPr>
              <w:keepNext/>
              <w:keepLines/>
              <w:jc w:val="center"/>
              <w:rPr>
                <w:rFonts w:ascii="Arial Narrow" w:hAnsi="Arial Narrow"/>
                <w:iCs/>
                <w:sz w:val="20"/>
                <w:szCs w:val="20"/>
              </w:rPr>
            </w:pPr>
            <w:r>
              <w:rPr>
                <w:rFonts w:ascii="Arial Narrow" w:hAnsi="Arial Narrow" w:cstheme="minorHAnsi"/>
                <w:noProof/>
                <w:color w:val="000000"/>
                <w:sz w:val="20"/>
                <w:szCs w:val="20"/>
                <w:highlight w:val="black"/>
              </w:rPr>
              <w:t>'''''''''''''''</w:t>
            </w:r>
            <w:r w:rsidR="00935015" w:rsidRPr="00935015">
              <w:rPr>
                <w:rFonts w:ascii="Arial Narrow" w:hAnsi="Arial Narrow"/>
                <w:iCs/>
                <w:sz w:val="20"/>
                <w:szCs w:val="20"/>
                <w:vertAlign w:val="superscript"/>
              </w:rPr>
              <w:t>1</w:t>
            </w:r>
          </w:p>
        </w:tc>
        <w:tc>
          <w:tcPr>
            <w:tcW w:w="616" w:type="pct"/>
            <w:vAlign w:val="center"/>
          </w:tcPr>
          <w:p w:rsidR="00CA3402" w:rsidRPr="0061241D" w:rsidRDefault="0061241D" w:rsidP="0009132F">
            <w:pPr>
              <w:keepNext/>
              <w:keepLines/>
              <w:jc w:val="center"/>
              <w:rPr>
                <w:rFonts w:ascii="Arial Narrow" w:hAnsi="Arial Narrow"/>
                <w:iCs/>
                <w:sz w:val="20"/>
                <w:szCs w:val="20"/>
              </w:rPr>
            </w:pPr>
            <w:r>
              <w:rPr>
                <w:rFonts w:ascii="Arial Narrow" w:hAnsi="Arial Narrow" w:cstheme="minorHAnsi"/>
                <w:noProof/>
                <w:color w:val="000000"/>
                <w:sz w:val="20"/>
                <w:szCs w:val="20"/>
                <w:highlight w:val="black"/>
              </w:rPr>
              <w:t>''''''''''''</w:t>
            </w:r>
            <w:r w:rsidR="00935015" w:rsidRPr="00935015">
              <w:rPr>
                <w:rFonts w:ascii="Arial Narrow" w:hAnsi="Arial Narrow"/>
                <w:iCs/>
                <w:sz w:val="20"/>
                <w:szCs w:val="20"/>
                <w:vertAlign w:val="superscript"/>
              </w:rPr>
              <w:t>1</w:t>
            </w:r>
          </w:p>
        </w:tc>
        <w:tc>
          <w:tcPr>
            <w:tcW w:w="616" w:type="pct"/>
            <w:vAlign w:val="center"/>
          </w:tcPr>
          <w:p w:rsidR="00CA3402" w:rsidRPr="0061241D" w:rsidRDefault="0061241D" w:rsidP="0009132F">
            <w:pPr>
              <w:keepNext/>
              <w:keepLines/>
              <w:jc w:val="center"/>
              <w:rPr>
                <w:rFonts w:ascii="Arial Narrow" w:hAnsi="Arial Narrow"/>
                <w:iCs/>
                <w:sz w:val="20"/>
                <w:szCs w:val="20"/>
              </w:rPr>
            </w:pPr>
            <w:r>
              <w:rPr>
                <w:rFonts w:ascii="Arial Narrow" w:hAnsi="Arial Narrow" w:cstheme="minorHAnsi"/>
                <w:noProof/>
                <w:color w:val="000000"/>
                <w:sz w:val="20"/>
                <w:szCs w:val="20"/>
                <w:highlight w:val="black"/>
              </w:rPr>
              <w:t>''''''''''''</w:t>
            </w:r>
            <w:r w:rsidR="00935015" w:rsidRPr="00935015">
              <w:rPr>
                <w:rFonts w:ascii="Arial Narrow" w:hAnsi="Arial Narrow"/>
                <w:iCs/>
                <w:sz w:val="20"/>
                <w:szCs w:val="20"/>
                <w:vertAlign w:val="superscript"/>
              </w:rPr>
              <w:t>1</w:t>
            </w:r>
          </w:p>
        </w:tc>
        <w:tc>
          <w:tcPr>
            <w:tcW w:w="539" w:type="pct"/>
            <w:vAlign w:val="center"/>
          </w:tcPr>
          <w:p w:rsidR="00CA3402" w:rsidRPr="0061241D" w:rsidRDefault="0061241D" w:rsidP="0009132F">
            <w:pPr>
              <w:keepNext/>
              <w:keepLines/>
              <w:jc w:val="center"/>
              <w:rPr>
                <w:rFonts w:ascii="Arial Narrow" w:hAnsi="Arial Narrow"/>
                <w:iCs/>
                <w:sz w:val="20"/>
                <w:szCs w:val="20"/>
              </w:rPr>
            </w:pPr>
            <w:r>
              <w:rPr>
                <w:rFonts w:ascii="Arial Narrow" w:hAnsi="Arial Narrow" w:cstheme="minorHAnsi"/>
                <w:noProof/>
                <w:color w:val="000000"/>
                <w:sz w:val="20"/>
                <w:szCs w:val="20"/>
                <w:highlight w:val="black"/>
              </w:rPr>
              <w:t>'''''''''''''''</w:t>
            </w:r>
            <w:r w:rsidR="00935015" w:rsidRPr="00935015">
              <w:rPr>
                <w:rFonts w:ascii="Arial Narrow" w:hAnsi="Arial Narrow"/>
                <w:iCs/>
                <w:sz w:val="20"/>
                <w:szCs w:val="20"/>
                <w:vertAlign w:val="superscript"/>
              </w:rPr>
              <w:t>1</w:t>
            </w:r>
          </w:p>
        </w:tc>
      </w:tr>
      <w:tr w:rsidR="007B184F" w:rsidRPr="005065A0" w:rsidTr="00810D23">
        <w:tc>
          <w:tcPr>
            <w:tcW w:w="1383" w:type="pct"/>
          </w:tcPr>
          <w:p w:rsidR="007B184F" w:rsidRPr="005065A0" w:rsidRDefault="007B184F" w:rsidP="0009132F">
            <w:pPr>
              <w:keepNext/>
              <w:keepLines/>
              <w:rPr>
                <w:rFonts w:ascii="Arial Narrow" w:hAnsi="Arial Narrow"/>
                <w:sz w:val="20"/>
                <w:szCs w:val="20"/>
              </w:rPr>
            </w:pPr>
            <w:r w:rsidRPr="005065A0">
              <w:rPr>
                <w:rFonts w:ascii="Arial Narrow" w:hAnsi="Arial Narrow"/>
                <w:iCs/>
                <w:sz w:val="20"/>
                <w:szCs w:val="20"/>
              </w:rPr>
              <w:t xml:space="preserve">Agreed cap in RSA for </w:t>
            </w:r>
            <w:r w:rsidR="002116FF" w:rsidRPr="005065A0">
              <w:rPr>
                <w:rFonts w:ascii="Arial Narrow" w:hAnsi="Arial Narrow"/>
                <w:iCs/>
                <w:sz w:val="20"/>
                <w:szCs w:val="20"/>
              </w:rPr>
              <w:t>post-TKI setting</w:t>
            </w:r>
            <w:r w:rsidRPr="005065A0">
              <w:rPr>
                <w:rFonts w:ascii="Arial Narrow" w:hAnsi="Arial Narrow"/>
                <w:iCs/>
                <w:sz w:val="20"/>
                <w:szCs w:val="20"/>
              </w:rPr>
              <w:t xml:space="preserve"> (script numbers)</w:t>
            </w:r>
          </w:p>
        </w:tc>
        <w:tc>
          <w:tcPr>
            <w:tcW w:w="616" w:type="pct"/>
            <w:vAlign w:val="center"/>
          </w:tcPr>
          <w:p w:rsidR="007B184F" w:rsidRPr="005065A0" w:rsidRDefault="0061241D" w:rsidP="0009132F">
            <w:pPr>
              <w:keepNext/>
              <w:keepLines/>
              <w:jc w:val="center"/>
              <w:rPr>
                <w:rFonts w:ascii="Arial Narrow" w:hAnsi="Arial Narrow"/>
                <w:iCs/>
                <w:sz w:val="20"/>
                <w:szCs w:val="20"/>
              </w:rPr>
            </w:pPr>
            <w:r>
              <w:rPr>
                <w:rFonts w:ascii="Arial Narrow" w:hAnsi="Arial Narrow"/>
                <w:iCs/>
                <w:noProof/>
                <w:color w:val="000000"/>
                <w:sz w:val="20"/>
                <w:szCs w:val="20"/>
                <w:highlight w:val="black"/>
              </w:rPr>
              <w:t>''''''''''''</w:t>
            </w:r>
            <w:r w:rsidR="007B184F" w:rsidRPr="005065A0">
              <w:rPr>
                <w:rFonts w:ascii="Arial Narrow" w:hAnsi="Arial Narrow"/>
                <w:iCs/>
                <w:sz w:val="20"/>
                <w:szCs w:val="20"/>
              </w:rPr>
              <w:t xml:space="preserve"> </w:t>
            </w:r>
            <w:r w:rsidR="007B184F" w:rsidRPr="005065A0">
              <w:rPr>
                <w:rFonts w:ascii="Arial Narrow" w:hAnsi="Arial Narrow"/>
                <w:iCs/>
                <w:sz w:val="20"/>
                <w:szCs w:val="20"/>
                <w:vertAlign w:val="superscript"/>
              </w:rPr>
              <w:t>a</w:t>
            </w:r>
          </w:p>
        </w:tc>
        <w:tc>
          <w:tcPr>
            <w:tcW w:w="616" w:type="pct"/>
            <w:vAlign w:val="center"/>
          </w:tcPr>
          <w:p w:rsidR="007B184F" w:rsidRPr="005065A0" w:rsidRDefault="0061241D" w:rsidP="0009132F">
            <w:pPr>
              <w:keepNext/>
              <w:keepLines/>
              <w:jc w:val="center"/>
              <w:rPr>
                <w:rFonts w:ascii="Arial Narrow" w:hAnsi="Arial Narrow"/>
                <w:iCs/>
                <w:sz w:val="20"/>
                <w:szCs w:val="20"/>
              </w:rPr>
            </w:pPr>
            <w:r>
              <w:rPr>
                <w:rFonts w:ascii="Arial Narrow" w:hAnsi="Arial Narrow"/>
                <w:iCs/>
                <w:noProof/>
                <w:color w:val="000000"/>
                <w:sz w:val="20"/>
                <w:szCs w:val="20"/>
                <w:highlight w:val="black"/>
              </w:rPr>
              <w:t>'''''''''''''</w:t>
            </w:r>
            <w:r w:rsidR="007B184F" w:rsidRPr="005065A0">
              <w:rPr>
                <w:rFonts w:ascii="Arial Narrow" w:hAnsi="Arial Narrow"/>
                <w:iCs/>
                <w:sz w:val="20"/>
                <w:szCs w:val="20"/>
              </w:rPr>
              <w:t xml:space="preserve"> </w:t>
            </w:r>
            <w:r w:rsidR="007B184F" w:rsidRPr="005065A0">
              <w:rPr>
                <w:rFonts w:ascii="Arial Narrow" w:hAnsi="Arial Narrow"/>
                <w:iCs/>
                <w:sz w:val="20"/>
                <w:szCs w:val="20"/>
                <w:vertAlign w:val="superscript"/>
              </w:rPr>
              <w:t>b</w:t>
            </w:r>
          </w:p>
        </w:tc>
        <w:tc>
          <w:tcPr>
            <w:tcW w:w="616" w:type="pct"/>
            <w:vAlign w:val="center"/>
          </w:tcPr>
          <w:p w:rsidR="007B184F" w:rsidRPr="005065A0" w:rsidRDefault="007B184F" w:rsidP="0009132F">
            <w:pPr>
              <w:keepNext/>
              <w:keepLines/>
              <w:jc w:val="center"/>
              <w:rPr>
                <w:rFonts w:ascii="Arial Narrow" w:hAnsi="Arial Narrow"/>
                <w:iCs/>
                <w:sz w:val="20"/>
                <w:szCs w:val="20"/>
              </w:rPr>
            </w:pPr>
          </w:p>
        </w:tc>
        <w:tc>
          <w:tcPr>
            <w:tcW w:w="616" w:type="pct"/>
            <w:vAlign w:val="center"/>
          </w:tcPr>
          <w:p w:rsidR="007B184F" w:rsidRPr="005065A0" w:rsidRDefault="007B184F" w:rsidP="0009132F">
            <w:pPr>
              <w:keepNext/>
              <w:keepLines/>
              <w:jc w:val="center"/>
              <w:rPr>
                <w:rFonts w:ascii="Arial Narrow" w:hAnsi="Arial Narrow"/>
                <w:iCs/>
                <w:sz w:val="20"/>
                <w:szCs w:val="20"/>
              </w:rPr>
            </w:pPr>
          </w:p>
        </w:tc>
        <w:tc>
          <w:tcPr>
            <w:tcW w:w="616" w:type="pct"/>
            <w:vAlign w:val="center"/>
          </w:tcPr>
          <w:p w:rsidR="007B184F" w:rsidRPr="005065A0" w:rsidRDefault="007B184F" w:rsidP="0009132F">
            <w:pPr>
              <w:keepNext/>
              <w:keepLines/>
              <w:jc w:val="center"/>
              <w:rPr>
                <w:rFonts w:ascii="Arial Narrow" w:hAnsi="Arial Narrow"/>
                <w:iCs/>
                <w:sz w:val="20"/>
                <w:szCs w:val="20"/>
              </w:rPr>
            </w:pPr>
          </w:p>
        </w:tc>
        <w:tc>
          <w:tcPr>
            <w:tcW w:w="539" w:type="pct"/>
            <w:vAlign w:val="center"/>
          </w:tcPr>
          <w:p w:rsidR="007B184F" w:rsidRPr="005065A0" w:rsidRDefault="007B184F" w:rsidP="0009132F">
            <w:pPr>
              <w:keepNext/>
              <w:keepLines/>
              <w:jc w:val="center"/>
              <w:rPr>
                <w:rFonts w:ascii="Arial Narrow" w:hAnsi="Arial Narrow"/>
                <w:iCs/>
                <w:sz w:val="20"/>
                <w:szCs w:val="20"/>
              </w:rPr>
            </w:pPr>
          </w:p>
        </w:tc>
      </w:tr>
      <w:tr w:rsidR="0009132F" w:rsidRPr="005065A0" w:rsidTr="00810D23">
        <w:tc>
          <w:tcPr>
            <w:tcW w:w="5000" w:type="pct"/>
            <w:gridSpan w:val="7"/>
          </w:tcPr>
          <w:p w:rsidR="0009132F" w:rsidRPr="005065A0" w:rsidRDefault="0009132F" w:rsidP="0009132F">
            <w:pPr>
              <w:keepNext/>
              <w:keepLines/>
              <w:jc w:val="left"/>
              <w:rPr>
                <w:rFonts w:ascii="Arial Narrow" w:hAnsi="Arial Narrow"/>
                <w:b/>
                <w:sz w:val="20"/>
                <w:szCs w:val="20"/>
              </w:rPr>
            </w:pPr>
            <w:r w:rsidRPr="005065A0">
              <w:rPr>
                <w:rFonts w:ascii="Arial Narrow" w:hAnsi="Arial Narrow"/>
                <w:b/>
                <w:sz w:val="20"/>
                <w:szCs w:val="20"/>
              </w:rPr>
              <w:t>Proposed cap</w:t>
            </w:r>
          </w:p>
        </w:tc>
      </w:tr>
      <w:tr w:rsidR="007B184F" w:rsidRPr="005065A0" w:rsidTr="00810D23">
        <w:tc>
          <w:tcPr>
            <w:tcW w:w="1383" w:type="pct"/>
          </w:tcPr>
          <w:p w:rsidR="007B184F" w:rsidRPr="005065A0" w:rsidRDefault="007B184F" w:rsidP="0009132F">
            <w:pPr>
              <w:keepNext/>
              <w:keepLines/>
              <w:jc w:val="left"/>
              <w:rPr>
                <w:rFonts w:ascii="Arial Narrow" w:hAnsi="Arial Narrow"/>
                <w:sz w:val="20"/>
                <w:szCs w:val="20"/>
              </w:rPr>
            </w:pPr>
            <w:r w:rsidRPr="005065A0">
              <w:rPr>
                <w:rFonts w:ascii="Arial Narrow" w:hAnsi="Arial Narrow"/>
                <w:sz w:val="20"/>
                <w:szCs w:val="20"/>
              </w:rPr>
              <w:t>Proposed cap</w:t>
            </w:r>
            <w:r w:rsidR="00CA3402" w:rsidRPr="005065A0">
              <w:rPr>
                <w:rFonts w:ascii="Arial Narrow" w:hAnsi="Arial Narrow"/>
                <w:sz w:val="20"/>
                <w:szCs w:val="20"/>
              </w:rPr>
              <w:t xml:space="preserve"> </w:t>
            </w:r>
            <w:r w:rsidR="00C24DBA" w:rsidRPr="005065A0">
              <w:rPr>
                <w:rFonts w:ascii="Arial Narrow" w:hAnsi="Arial Narrow"/>
                <w:sz w:val="20"/>
                <w:szCs w:val="20"/>
              </w:rPr>
              <w:t>–</w:t>
            </w:r>
            <w:r w:rsidR="00CA3402" w:rsidRPr="005065A0">
              <w:rPr>
                <w:rFonts w:ascii="Arial Narrow" w:hAnsi="Arial Narrow"/>
                <w:sz w:val="20"/>
                <w:szCs w:val="20"/>
              </w:rPr>
              <w:t xml:space="preserve"> resubmission</w:t>
            </w:r>
          </w:p>
        </w:tc>
        <w:tc>
          <w:tcPr>
            <w:tcW w:w="616" w:type="pct"/>
            <w:vAlign w:val="center"/>
          </w:tcPr>
          <w:p w:rsidR="007B184F" w:rsidRPr="0061241D" w:rsidRDefault="0061241D" w:rsidP="0009132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6" w:type="pct"/>
            <w:vAlign w:val="center"/>
          </w:tcPr>
          <w:p w:rsidR="007B184F" w:rsidRPr="0061241D" w:rsidRDefault="0061241D" w:rsidP="0009132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6" w:type="pct"/>
            <w:vAlign w:val="center"/>
          </w:tcPr>
          <w:p w:rsidR="007B184F" w:rsidRPr="0061241D" w:rsidRDefault="0061241D" w:rsidP="0009132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6" w:type="pct"/>
            <w:vAlign w:val="center"/>
          </w:tcPr>
          <w:p w:rsidR="007B184F" w:rsidRPr="0061241D" w:rsidRDefault="0061241D" w:rsidP="0009132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6" w:type="pct"/>
            <w:vAlign w:val="center"/>
          </w:tcPr>
          <w:p w:rsidR="007B184F" w:rsidRPr="0061241D" w:rsidRDefault="0061241D" w:rsidP="0009132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39" w:type="pct"/>
            <w:vAlign w:val="center"/>
          </w:tcPr>
          <w:p w:rsidR="007B184F" w:rsidRPr="0061241D" w:rsidRDefault="0061241D" w:rsidP="0009132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A3402" w:rsidRPr="005065A0" w:rsidTr="00810D23">
        <w:tc>
          <w:tcPr>
            <w:tcW w:w="1383" w:type="pct"/>
          </w:tcPr>
          <w:p w:rsidR="00CA3402" w:rsidRPr="005065A0" w:rsidRDefault="00CA3402" w:rsidP="0009132F">
            <w:pPr>
              <w:keepNext/>
              <w:keepLines/>
              <w:jc w:val="left"/>
              <w:rPr>
                <w:rFonts w:ascii="Arial Narrow" w:hAnsi="Arial Narrow"/>
                <w:sz w:val="20"/>
                <w:szCs w:val="20"/>
              </w:rPr>
            </w:pPr>
            <w:r w:rsidRPr="005065A0">
              <w:rPr>
                <w:rFonts w:ascii="Arial Narrow" w:hAnsi="Arial Narrow"/>
                <w:sz w:val="20"/>
                <w:szCs w:val="20"/>
              </w:rPr>
              <w:t>Proposed cap – pre-PBAC response</w:t>
            </w:r>
          </w:p>
        </w:tc>
        <w:tc>
          <w:tcPr>
            <w:tcW w:w="616" w:type="pct"/>
            <w:vAlign w:val="center"/>
          </w:tcPr>
          <w:p w:rsidR="00CA3402" w:rsidRPr="0061241D" w:rsidRDefault="0061241D" w:rsidP="0009132F">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616" w:type="pct"/>
            <w:vAlign w:val="center"/>
          </w:tcPr>
          <w:p w:rsidR="00CA3402" w:rsidRPr="0061241D" w:rsidRDefault="0061241D" w:rsidP="0009132F">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616" w:type="pct"/>
            <w:vAlign w:val="center"/>
          </w:tcPr>
          <w:p w:rsidR="00CA3402" w:rsidRPr="0061241D" w:rsidRDefault="0061241D" w:rsidP="0009132F">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616" w:type="pct"/>
            <w:vAlign w:val="center"/>
          </w:tcPr>
          <w:p w:rsidR="00CA3402" w:rsidRPr="0061241D" w:rsidRDefault="0061241D" w:rsidP="0009132F">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616" w:type="pct"/>
            <w:vAlign w:val="center"/>
          </w:tcPr>
          <w:p w:rsidR="00CA3402" w:rsidRPr="0061241D" w:rsidRDefault="0061241D" w:rsidP="0009132F">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539" w:type="pct"/>
            <w:vAlign w:val="center"/>
          </w:tcPr>
          <w:p w:rsidR="00CA3402" w:rsidRPr="0061241D" w:rsidRDefault="0061241D" w:rsidP="0009132F">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r>
      <w:tr w:rsidR="007B184F" w:rsidRPr="005065A0" w:rsidTr="00810D23">
        <w:tc>
          <w:tcPr>
            <w:tcW w:w="1383" w:type="pct"/>
            <w:tcBorders>
              <w:bottom w:val="single" w:sz="4" w:space="0" w:color="auto"/>
            </w:tcBorders>
          </w:tcPr>
          <w:p w:rsidR="007B184F" w:rsidRPr="005065A0" w:rsidRDefault="007B184F" w:rsidP="0009132F">
            <w:pPr>
              <w:keepNext/>
              <w:keepLines/>
              <w:jc w:val="left"/>
              <w:rPr>
                <w:rFonts w:ascii="Arial Narrow" w:hAnsi="Arial Narrow"/>
                <w:sz w:val="20"/>
                <w:szCs w:val="20"/>
              </w:rPr>
            </w:pPr>
            <w:r w:rsidRPr="005065A0">
              <w:rPr>
                <w:rFonts w:ascii="Arial Narrow" w:hAnsi="Arial Narrow"/>
                <w:sz w:val="20"/>
                <w:szCs w:val="20"/>
              </w:rPr>
              <w:t>Current cap</w:t>
            </w:r>
          </w:p>
        </w:tc>
        <w:tc>
          <w:tcPr>
            <w:tcW w:w="616" w:type="pct"/>
            <w:tcBorders>
              <w:bottom w:val="single" w:sz="4" w:space="0" w:color="auto"/>
            </w:tcBorders>
            <w:vAlign w:val="center"/>
          </w:tcPr>
          <w:p w:rsidR="007B184F" w:rsidRPr="005065A0" w:rsidRDefault="0061241D" w:rsidP="0009132F">
            <w:pPr>
              <w:keepNext/>
              <w:keepLines/>
              <w:jc w:val="center"/>
              <w:rPr>
                <w:rFonts w:ascii="Arial Narrow" w:hAnsi="Arial Narrow"/>
                <w:sz w:val="20"/>
                <w:szCs w:val="20"/>
                <w:vertAlign w:val="superscript"/>
              </w:rPr>
            </w:pPr>
            <w:r>
              <w:rPr>
                <w:rFonts w:ascii="Arial Narrow" w:hAnsi="Arial Narrow"/>
                <w:noProof/>
                <w:color w:val="000000"/>
                <w:sz w:val="20"/>
                <w:szCs w:val="20"/>
                <w:highlight w:val="black"/>
              </w:rPr>
              <w:t>'''''''''''''''''''''''''''''</w:t>
            </w:r>
            <w:r w:rsidR="007B184F" w:rsidRPr="005065A0">
              <w:rPr>
                <w:rFonts w:ascii="Arial Narrow" w:hAnsi="Arial Narrow"/>
                <w:sz w:val="20"/>
                <w:szCs w:val="20"/>
              </w:rPr>
              <w:t xml:space="preserve"> </w:t>
            </w:r>
            <w:r w:rsidR="007B184F" w:rsidRPr="005065A0">
              <w:rPr>
                <w:rFonts w:ascii="Arial Narrow" w:hAnsi="Arial Narrow"/>
                <w:sz w:val="20"/>
                <w:szCs w:val="20"/>
                <w:vertAlign w:val="superscript"/>
              </w:rPr>
              <w:t>a</w:t>
            </w:r>
          </w:p>
        </w:tc>
        <w:tc>
          <w:tcPr>
            <w:tcW w:w="616" w:type="pct"/>
            <w:tcBorders>
              <w:bottom w:val="single" w:sz="4" w:space="0" w:color="auto"/>
            </w:tcBorders>
            <w:vAlign w:val="center"/>
          </w:tcPr>
          <w:p w:rsidR="007B184F" w:rsidRPr="005065A0" w:rsidRDefault="0061241D" w:rsidP="0009132F">
            <w:pPr>
              <w:keepNext/>
              <w:keepLines/>
              <w:jc w:val="center"/>
              <w:rPr>
                <w:rFonts w:ascii="Arial Narrow" w:hAnsi="Arial Narrow"/>
                <w:sz w:val="20"/>
                <w:szCs w:val="20"/>
                <w:vertAlign w:val="superscript"/>
              </w:rPr>
            </w:pPr>
            <w:r>
              <w:rPr>
                <w:rFonts w:ascii="Arial Narrow" w:hAnsi="Arial Narrow"/>
                <w:noProof/>
                <w:color w:val="000000"/>
                <w:sz w:val="20"/>
                <w:szCs w:val="20"/>
                <w:highlight w:val="black"/>
              </w:rPr>
              <w:t>'''''''''''''''''''''''''''</w:t>
            </w:r>
            <w:r w:rsidR="007B184F" w:rsidRPr="005065A0">
              <w:rPr>
                <w:rFonts w:ascii="Arial Narrow" w:hAnsi="Arial Narrow"/>
                <w:sz w:val="20"/>
                <w:szCs w:val="20"/>
              </w:rPr>
              <w:t xml:space="preserve"> </w:t>
            </w:r>
            <w:r w:rsidR="007B184F" w:rsidRPr="005065A0">
              <w:rPr>
                <w:rFonts w:ascii="Arial Narrow" w:hAnsi="Arial Narrow"/>
                <w:sz w:val="20"/>
                <w:szCs w:val="20"/>
                <w:vertAlign w:val="superscript"/>
              </w:rPr>
              <w:t>b</w:t>
            </w:r>
          </w:p>
        </w:tc>
        <w:tc>
          <w:tcPr>
            <w:tcW w:w="616" w:type="pct"/>
            <w:tcBorders>
              <w:bottom w:val="single" w:sz="4" w:space="0" w:color="auto"/>
            </w:tcBorders>
            <w:vAlign w:val="center"/>
          </w:tcPr>
          <w:p w:rsidR="007B184F" w:rsidRPr="005065A0" w:rsidRDefault="007B184F" w:rsidP="0009132F">
            <w:pPr>
              <w:keepNext/>
              <w:keepLines/>
              <w:jc w:val="center"/>
              <w:rPr>
                <w:rFonts w:ascii="Arial Narrow" w:hAnsi="Arial Narrow"/>
                <w:sz w:val="20"/>
                <w:szCs w:val="20"/>
              </w:rPr>
            </w:pPr>
            <w:r w:rsidRPr="005065A0">
              <w:rPr>
                <w:rFonts w:ascii="Arial Narrow" w:hAnsi="Arial Narrow"/>
                <w:sz w:val="20"/>
                <w:szCs w:val="20"/>
              </w:rPr>
              <w:t>-</w:t>
            </w:r>
          </w:p>
        </w:tc>
        <w:tc>
          <w:tcPr>
            <w:tcW w:w="616" w:type="pct"/>
            <w:tcBorders>
              <w:bottom w:val="single" w:sz="4" w:space="0" w:color="auto"/>
            </w:tcBorders>
            <w:vAlign w:val="center"/>
          </w:tcPr>
          <w:p w:rsidR="007B184F" w:rsidRPr="005065A0" w:rsidRDefault="007B184F" w:rsidP="0009132F">
            <w:pPr>
              <w:keepNext/>
              <w:keepLines/>
              <w:jc w:val="center"/>
              <w:rPr>
                <w:rFonts w:ascii="Arial Narrow" w:hAnsi="Arial Narrow"/>
                <w:sz w:val="20"/>
                <w:szCs w:val="20"/>
              </w:rPr>
            </w:pPr>
            <w:r w:rsidRPr="005065A0">
              <w:rPr>
                <w:rFonts w:ascii="Arial Narrow" w:hAnsi="Arial Narrow"/>
                <w:sz w:val="20"/>
                <w:szCs w:val="20"/>
              </w:rPr>
              <w:t>-</w:t>
            </w:r>
          </w:p>
        </w:tc>
        <w:tc>
          <w:tcPr>
            <w:tcW w:w="616" w:type="pct"/>
            <w:tcBorders>
              <w:bottom w:val="single" w:sz="4" w:space="0" w:color="auto"/>
            </w:tcBorders>
            <w:vAlign w:val="center"/>
          </w:tcPr>
          <w:p w:rsidR="007B184F" w:rsidRPr="005065A0" w:rsidRDefault="007B184F" w:rsidP="0009132F">
            <w:pPr>
              <w:keepNext/>
              <w:keepLines/>
              <w:jc w:val="center"/>
              <w:rPr>
                <w:rFonts w:ascii="Arial Narrow" w:hAnsi="Arial Narrow"/>
                <w:sz w:val="20"/>
                <w:szCs w:val="20"/>
              </w:rPr>
            </w:pPr>
            <w:r w:rsidRPr="005065A0">
              <w:rPr>
                <w:rFonts w:ascii="Arial Narrow" w:hAnsi="Arial Narrow"/>
                <w:sz w:val="20"/>
                <w:szCs w:val="20"/>
              </w:rPr>
              <w:t>-</w:t>
            </w:r>
          </w:p>
        </w:tc>
        <w:tc>
          <w:tcPr>
            <w:tcW w:w="539" w:type="pct"/>
            <w:tcBorders>
              <w:bottom w:val="single" w:sz="4" w:space="0" w:color="auto"/>
            </w:tcBorders>
            <w:vAlign w:val="center"/>
          </w:tcPr>
          <w:p w:rsidR="007B184F" w:rsidRPr="005065A0" w:rsidRDefault="007B184F" w:rsidP="0009132F">
            <w:pPr>
              <w:keepNext/>
              <w:keepLines/>
              <w:jc w:val="center"/>
              <w:rPr>
                <w:rFonts w:ascii="Arial Narrow" w:hAnsi="Arial Narrow"/>
                <w:sz w:val="20"/>
                <w:szCs w:val="20"/>
              </w:rPr>
            </w:pPr>
            <w:r w:rsidRPr="005065A0">
              <w:rPr>
                <w:rFonts w:ascii="Arial Narrow" w:hAnsi="Arial Narrow"/>
                <w:sz w:val="20"/>
                <w:szCs w:val="20"/>
              </w:rPr>
              <w:t>-</w:t>
            </w:r>
          </w:p>
        </w:tc>
      </w:tr>
      <w:tr w:rsidR="007B184F" w:rsidRPr="005065A0" w:rsidTr="00810D23">
        <w:tc>
          <w:tcPr>
            <w:tcW w:w="1383" w:type="pct"/>
            <w:tcBorders>
              <w:top w:val="single" w:sz="4" w:space="0" w:color="auto"/>
              <w:left w:val="single" w:sz="4" w:space="0" w:color="auto"/>
              <w:bottom w:val="single" w:sz="4" w:space="0" w:color="auto"/>
              <w:right w:val="single" w:sz="4" w:space="0" w:color="auto"/>
            </w:tcBorders>
          </w:tcPr>
          <w:p w:rsidR="007B184F" w:rsidRPr="005065A0" w:rsidRDefault="007B184F" w:rsidP="0009132F">
            <w:pPr>
              <w:keepNext/>
              <w:keepLines/>
              <w:jc w:val="left"/>
              <w:rPr>
                <w:rFonts w:ascii="Arial Narrow" w:hAnsi="Arial Narrow"/>
                <w:b/>
                <w:sz w:val="20"/>
                <w:szCs w:val="20"/>
              </w:rPr>
            </w:pPr>
            <w:r w:rsidRPr="005065A0">
              <w:rPr>
                <w:rFonts w:ascii="Arial Narrow" w:hAnsi="Arial Narrow"/>
                <w:b/>
                <w:sz w:val="20"/>
                <w:szCs w:val="20"/>
              </w:rPr>
              <w:t>Proposed net inc</w:t>
            </w:r>
            <w:r w:rsidR="00927842" w:rsidRPr="005065A0">
              <w:rPr>
                <w:rFonts w:ascii="Arial Narrow" w:hAnsi="Arial Narrow"/>
                <w:b/>
                <w:sz w:val="20"/>
                <w:szCs w:val="20"/>
              </w:rPr>
              <w:t>r</w:t>
            </w:r>
            <w:r w:rsidRPr="005065A0">
              <w:rPr>
                <w:rFonts w:ascii="Arial Narrow" w:hAnsi="Arial Narrow"/>
                <w:b/>
                <w:sz w:val="20"/>
                <w:szCs w:val="20"/>
              </w:rPr>
              <w:t>ease to cap</w:t>
            </w:r>
            <w:r w:rsidR="00CA3402" w:rsidRPr="005065A0">
              <w:rPr>
                <w:rFonts w:ascii="Arial Narrow" w:hAnsi="Arial Narrow"/>
                <w:b/>
                <w:sz w:val="20"/>
                <w:szCs w:val="20"/>
              </w:rPr>
              <w:t xml:space="preserve"> (resubmission)</w:t>
            </w:r>
          </w:p>
        </w:tc>
        <w:tc>
          <w:tcPr>
            <w:tcW w:w="616" w:type="pct"/>
            <w:tcBorders>
              <w:top w:val="single" w:sz="4" w:space="0" w:color="auto"/>
              <w:left w:val="single" w:sz="4" w:space="0" w:color="auto"/>
              <w:bottom w:val="single" w:sz="4" w:space="0" w:color="auto"/>
              <w:right w:val="single" w:sz="4" w:space="0" w:color="auto"/>
            </w:tcBorders>
            <w:vAlign w:val="center"/>
          </w:tcPr>
          <w:p w:rsidR="007B184F" w:rsidRPr="0061241D" w:rsidRDefault="0061241D" w:rsidP="0009132F">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616" w:type="pct"/>
            <w:tcBorders>
              <w:top w:val="single" w:sz="4" w:space="0" w:color="auto"/>
              <w:left w:val="single" w:sz="4" w:space="0" w:color="auto"/>
              <w:bottom w:val="single" w:sz="4" w:space="0" w:color="auto"/>
              <w:right w:val="single" w:sz="4" w:space="0" w:color="auto"/>
            </w:tcBorders>
            <w:vAlign w:val="center"/>
          </w:tcPr>
          <w:p w:rsidR="007B184F" w:rsidRPr="0061241D" w:rsidRDefault="0061241D" w:rsidP="0009132F">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616" w:type="pct"/>
            <w:tcBorders>
              <w:top w:val="single" w:sz="4" w:space="0" w:color="auto"/>
              <w:left w:val="single" w:sz="4" w:space="0" w:color="auto"/>
              <w:bottom w:val="single" w:sz="4" w:space="0" w:color="auto"/>
              <w:right w:val="single" w:sz="4" w:space="0" w:color="auto"/>
            </w:tcBorders>
            <w:vAlign w:val="center"/>
          </w:tcPr>
          <w:p w:rsidR="007B184F" w:rsidRPr="005065A0" w:rsidRDefault="007B184F" w:rsidP="0009132F">
            <w:pPr>
              <w:keepNext/>
              <w:keepLines/>
              <w:jc w:val="center"/>
              <w:rPr>
                <w:rFonts w:ascii="Arial Narrow" w:hAnsi="Arial Narrow"/>
                <w:sz w:val="20"/>
                <w:szCs w:val="20"/>
              </w:rPr>
            </w:pPr>
            <w:r w:rsidRPr="005065A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tcPr>
          <w:p w:rsidR="007B184F" w:rsidRPr="005065A0" w:rsidRDefault="007B184F" w:rsidP="0009132F">
            <w:pPr>
              <w:keepNext/>
              <w:keepLines/>
              <w:jc w:val="center"/>
              <w:rPr>
                <w:rFonts w:ascii="Arial Narrow" w:hAnsi="Arial Narrow"/>
                <w:sz w:val="20"/>
                <w:szCs w:val="20"/>
              </w:rPr>
            </w:pPr>
            <w:r w:rsidRPr="005065A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tcPr>
          <w:p w:rsidR="007B184F" w:rsidRPr="005065A0" w:rsidRDefault="007B184F" w:rsidP="0009132F">
            <w:pPr>
              <w:keepNext/>
              <w:keepLines/>
              <w:jc w:val="center"/>
              <w:rPr>
                <w:rFonts w:ascii="Arial Narrow" w:hAnsi="Arial Narrow"/>
                <w:sz w:val="20"/>
                <w:szCs w:val="20"/>
              </w:rPr>
            </w:pPr>
            <w:r w:rsidRPr="005065A0">
              <w:rPr>
                <w:rFonts w:ascii="Arial Narrow" w:hAnsi="Arial Narrow"/>
                <w:sz w:val="20"/>
                <w:szCs w:val="20"/>
              </w:rPr>
              <w:t>-</w:t>
            </w:r>
          </w:p>
        </w:tc>
        <w:tc>
          <w:tcPr>
            <w:tcW w:w="539" w:type="pct"/>
            <w:tcBorders>
              <w:top w:val="single" w:sz="4" w:space="0" w:color="auto"/>
              <w:left w:val="single" w:sz="4" w:space="0" w:color="auto"/>
              <w:bottom w:val="single" w:sz="4" w:space="0" w:color="auto"/>
              <w:right w:val="single" w:sz="4" w:space="0" w:color="auto"/>
            </w:tcBorders>
            <w:vAlign w:val="center"/>
          </w:tcPr>
          <w:p w:rsidR="007B184F" w:rsidRPr="005065A0" w:rsidRDefault="007B184F" w:rsidP="0009132F">
            <w:pPr>
              <w:keepNext/>
              <w:keepLines/>
              <w:jc w:val="center"/>
              <w:rPr>
                <w:rFonts w:ascii="Arial Narrow" w:hAnsi="Arial Narrow"/>
                <w:sz w:val="20"/>
                <w:szCs w:val="20"/>
              </w:rPr>
            </w:pPr>
            <w:r w:rsidRPr="005065A0">
              <w:rPr>
                <w:rFonts w:ascii="Arial Narrow" w:hAnsi="Arial Narrow"/>
                <w:sz w:val="20"/>
                <w:szCs w:val="20"/>
              </w:rPr>
              <w:t>-</w:t>
            </w:r>
          </w:p>
        </w:tc>
      </w:tr>
      <w:tr w:rsidR="00CA3402" w:rsidRPr="005065A0" w:rsidTr="00810D23">
        <w:tc>
          <w:tcPr>
            <w:tcW w:w="1383" w:type="pct"/>
            <w:tcBorders>
              <w:top w:val="single" w:sz="4" w:space="0" w:color="auto"/>
              <w:left w:val="single" w:sz="4" w:space="0" w:color="auto"/>
              <w:bottom w:val="single" w:sz="4" w:space="0" w:color="auto"/>
              <w:right w:val="single" w:sz="4" w:space="0" w:color="auto"/>
            </w:tcBorders>
          </w:tcPr>
          <w:p w:rsidR="00CA3402" w:rsidRPr="005065A0" w:rsidRDefault="00CA3402" w:rsidP="0009132F">
            <w:pPr>
              <w:keepNext/>
              <w:keepLines/>
              <w:jc w:val="left"/>
              <w:rPr>
                <w:rFonts w:ascii="Arial Narrow" w:hAnsi="Arial Narrow"/>
                <w:b/>
                <w:sz w:val="20"/>
                <w:szCs w:val="20"/>
              </w:rPr>
            </w:pPr>
            <w:r w:rsidRPr="005065A0">
              <w:rPr>
                <w:rFonts w:ascii="Arial Narrow" w:hAnsi="Arial Narrow"/>
                <w:b/>
                <w:sz w:val="20"/>
                <w:szCs w:val="20"/>
              </w:rPr>
              <w:t>Proposed net increase to cap (pre-PBAC response)</w:t>
            </w:r>
          </w:p>
        </w:tc>
        <w:tc>
          <w:tcPr>
            <w:tcW w:w="616" w:type="pct"/>
            <w:tcBorders>
              <w:top w:val="single" w:sz="4" w:space="0" w:color="auto"/>
              <w:left w:val="nil"/>
              <w:bottom w:val="single" w:sz="4" w:space="0" w:color="auto"/>
              <w:right w:val="single" w:sz="4" w:space="0" w:color="auto"/>
            </w:tcBorders>
            <w:shd w:val="clear" w:color="auto" w:fill="auto"/>
            <w:vAlign w:val="center"/>
          </w:tcPr>
          <w:p w:rsidR="00CA3402" w:rsidRPr="0061241D" w:rsidRDefault="0061241D" w:rsidP="0009132F">
            <w:pPr>
              <w:keepNext/>
              <w:keepLines/>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16" w:type="pct"/>
            <w:tcBorders>
              <w:top w:val="single" w:sz="4" w:space="0" w:color="auto"/>
              <w:left w:val="single" w:sz="4" w:space="0" w:color="auto"/>
              <w:bottom w:val="single" w:sz="4" w:space="0" w:color="auto"/>
              <w:right w:val="nil"/>
            </w:tcBorders>
            <w:shd w:val="clear" w:color="auto" w:fill="auto"/>
            <w:vAlign w:val="center"/>
          </w:tcPr>
          <w:p w:rsidR="00CA3402" w:rsidRPr="0061241D" w:rsidRDefault="0061241D" w:rsidP="0009132F">
            <w:pPr>
              <w:keepNext/>
              <w:keepLines/>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16" w:type="pct"/>
            <w:tcBorders>
              <w:top w:val="single" w:sz="4" w:space="0" w:color="auto"/>
              <w:left w:val="single" w:sz="4" w:space="0" w:color="auto"/>
              <w:bottom w:val="single" w:sz="4" w:space="0" w:color="auto"/>
              <w:right w:val="single" w:sz="4" w:space="0" w:color="auto"/>
            </w:tcBorders>
            <w:vAlign w:val="center"/>
          </w:tcPr>
          <w:p w:rsidR="00CA3402" w:rsidRPr="005065A0" w:rsidRDefault="00CA3402" w:rsidP="0009132F">
            <w:pPr>
              <w:keepNext/>
              <w:keepLines/>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CA3402" w:rsidRPr="005065A0" w:rsidRDefault="00CA3402" w:rsidP="0009132F">
            <w:pPr>
              <w:keepNext/>
              <w:keepLines/>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CA3402" w:rsidRPr="005065A0" w:rsidRDefault="00CA3402" w:rsidP="0009132F">
            <w:pPr>
              <w:keepNext/>
              <w:keepLines/>
              <w:jc w:val="center"/>
              <w:rPr>
                <w:rFonts w:ascii="Arial Narrow" w:hAnsi="Arial Narrow"/>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CA3402" w:rsidRPr="005065A0" w:rsidRDefault="00CA3402" w:rsidP="0009132F">
            <w:pPr>
              <w:keepNext/>
              <w:keepLines/>
              <w:jc w:val="center"/>
              <w:rPr>
                <w:rFonts w:ascii="Arial Narrow" w:hAnsi="Arial Narrow"/>
                <w:sz w:val="20"/>
                <w:szCs w:val="20"/>
              </w:rPr>
            </w:pPr>
          </w:p>
        </w:tc>
      </w:tr>
    </w:tbl>
    <w:p w:rsidR="00F57791" w:rsidRPr="00C24DBA" w:rsidRDefault="00F57791" w:rsidP="005065A0">
      <w:pPr>
        <w:pStyle w:val="TableFigureFooter"/>
      </w:pPr>
      <w:r w:rsidRPr="00C24DBA">
        <w:t>Source: Table 4.23 p54 of the resubmission; Control panel of Attachment 4 - Epidemiology model.xlsx</w:t>
      </w:r>
      <w:r w:rsidR="00CA3402" w:rsidRPr="00C24DBA">
        <w:t>; p4 of the pre-PBAC response</w:t>
      </w:r>
    </w:p>
    <w:p w:rsidR="00F57791" w:rsidRPr="00C24DBA" w:rsidRDefault="00F57791" w:rsidP="005065A0">
      <w:pPr>
        <w:pStyle w:val="TableFigureFooter"/>
      </w:pPr>
      <w:r w:rsidRPr="00C24DBA">
        <w:t>Abbreviations: IO =immunotherapy; RSA = Risk Sharing Agreement; TKI = tyrosine kinase inhibitor</w:t>
      </w:r>
    </w:p>
    <w:p w:rsidR="002A129E" w:rsidRPr="00C24DBA" w:rsidRDefault="002A129E" w:rsidP="005065A0">
      <w:pPr>
        <w:pStyle w:val="TableFigureFooter"/>
      </w:pPr>
      <w:r w:rsidRPr="00C24DBA">
        <w:rPr>
          <w:vertAlign w:val="superscript"/>
        </w:rPr>
        <w:t>a</w:t>
      </w:r>
      <w:r w:rsidRPr="00C24DBA">
        <w:t xml:space="preserve"> Based on Year 4 of existing deed (May 2021 to May 2022). The cap for Year 3 of the existing deed (May 2020 to May 2021) is $</w:t>
      </w:r>
      <w:r w:rsidR="0061241D">
        <w:rPr>
          <w:noProof/>
          <w:color w:val="000000"/>
          <w:highlight w:val="black"/>
        </w:rPr>
        <w:t>''''''''''''''''''''''''</w:t>
      </w:r>
      <w:r w:rsidRPr="00C24DBA">
        <w:t>. Note that the cap for Year 2 of the existing deed ($</w:t>
      </w:r>
      <w:r w:rsidR="0061241D">
        <w:rPr>
          <w:noProof/>
          <w:color w:val="000000"/>
          <w:highlight w:val="black"/>
        </w:rPr>
        <w:t>'''''''''''''''''''''''''''''</w:t>
      </w:r>
      <w:r w:rsidRPr="00C24DBA">
        <w:t>) was exceeded by 2%.</w:t>
      </w:r>
    </w:p>
    <w:p w:rsidR="002A129E" w:rsidRDefault="002A129E" w:rsidP="005065A0">
      <w:pPr>
        <w:pStyle w:val="TableFigureFooter"/>
      </w:pPr>
      <w:r w:rsidRPr="00C24DBA">
        <w:rPr>
          <w:vertAlign w:val="superscript"/>
        </w:rPr>
        <w:t>b</w:t>
      </w:r>
      <w:r w:rsidRPr="00C24DBA">
        <w:t xml:space="preserve"> Based on Year 5 of existing deed (May 2022 to May 2023)</w:t>
      </w:r>
    </w:p>
    <w:p w:rsidR="00935015" w:rsidRDefault="00935015" w:rsidP="00935015">
      <w:pPr>
        <w:pStyle w:val="TableFigureFooter"/>
        <w:rPr>
          <w:i/>
        </w:rPr>
      </w:pPr>
      <w:r w:rsidRPr="009868C4">
        <w:rPr>
          <w:i/>
        </w:rPr>
        <w:t>The redacted values correspond to the following ranges</w:t>
      </w:r>
      <w:r>
        <w:rPr>
          <w:i/>
        </w:rPr>
        <w:t>:</w:t>
      </w:r>
    </w:p>
    <w:p w:rsidR="00935015" w:rsidRDefault="00935015" w:rsidP="00935015">
      <w:pPr>
        <w:pStyle w:val="TableFigureFooter"/>
        <w:rPr>
          <w:rStyle w:val="normaltextrun"/>
          <w:i/>
          <w:color w:val="000000"/>
          <w:szCs w:val="18"/>
          <w:shd w:val="clear" w:color="auto" w:fill="FFFFFF"/>
        </w:rPr>
      </w:pPr>
      <w:r w:rsidRPr="00C20FE3">
        <w:rPr>
          <w:rStyle w:val="normaltextrun"/>
          <w:i/>
          <w:color w:val="000000"/>
          <w:szCs w:val="18"/>
          <w:shd w:val="clear" w:color="auto" w:fill="FFFFFF"/>
          <w:vertAlign w:val="superscript"/>
        </w:rPr>
        <w:t>2</w:t>
      </w:r>
      <w:r>
        <w:rPr>
          <w:rStyle w:val="normaltextrun"/>
          <w:i/>
          <w:color w:val="000000"/>
          <w:szCs w:val="18"/>
          <w:shd w:val="clear" w:color="auto" w:fill="FFFFFF"/>
          <w:vertAlign w:val="superscript"/>
        </w:rPr>
        <w:t xml:space="preserve"> </w:t>
      </w:r>
      <w:r w:rsidRPr="00C20FE3">
        <w:rPr>
          <w:rStyle w:val="normaltextrun"/>
          <w:i/>
          <w:color w:val="000000"/>
          <w:szCs w:val="18"/>
          <w:shd w:val="clear" w:color="auto" w:fill="FFFFFF"/>
        </w:rPr>
        <w:t xml:space="preserve">500 </w:t>
      </w:r>
      <w:r>
        <w:rPr>
          <w:rStyle w:val="normaltextrun"/>
          <w:i/>
          <w:color w:val="000000"/>
          <w:szCs w:val="18"/>
          <w:shd w:val="clear" w:color="auto" w:fill="FFFFFF"/>
        </w:rPr>
        <w:t>to &lt; 5,000</w:t>
      </w:r>
    </w:p>
    <w:p w:rsidR="00935015" w:rsidRPr="00C24DBA" w:rsidRDefault="00935015" w:rsidP="005065A0">
      <w:pPr>
        <w:pStyle w:val="TableFigureFooter"/>
      </w:pPr>
    </w:p>
    <w:p w:rsidR="007C6DEF" w:rsidRPr="00C24DBA" w:rsidRDefault="00146169" w:rsidP="00EE691A">
      <w:pPr>
        <w:pStyle w:val="3-BodyText"/>
        <w:rPr>
          <w:color w:val="0066FF"/>
        </w:rPr>
      </w:pPr>
      <w:r w:rsidRPr="00C24DBA">
        <w:t xml:space="preserve">The </w:t>
      </w:r>
      <w:r w:rsidR="00CA3402" w:rsidRPr="00C24DBA">
        <w:t xml:space="preserve">resubmission </w:t>
      </w:r>
      <w:r w:rsidR="00F93794" w:rsidRPr="00C24DBA">
        <w:t xml:space="preserve">proposed </w:t>
      </w:r>
      <w:r w:rsidR="00CA3402" w:rsidRPr="00C24DBA">
        <w:t xml:space="preserve">a </w:t>
      </w:r>
      <w:r w:rsidR="00F93794" w:rsidRPr="00C24DBA">
        <w:t xml:space="preserve">cap </w:t>
      </w:r>
      <w:r w:rsidR="00CA3402" w:rsidRPr="00C24DBA">
        <w:t>of</w:t>
      </w:r>
      <w:r w:rsidRPr="00C24DBA">
        <w:t xml:space="preserve"> $</w:t>
      </w:r>
      <w:r w:rsidR="0061241D">
        <w:rPr>
          <w:noProof/>
          <w:color w:val="000000"/>
          <w:highlight w:val="black"/>
        </w:rPr>
        <w:t>''''''''' '''''''''''''</w:t>
      </w:r>
      <w:r w:rsidRPr="00C24DBA">
        <w:t xml:space="preserve"> in Year 6, and a total of $</w:t>
      </w:r>
      <w:r w:rsidR="0061241D">
        <w:rPr>
          <w:noProof/>
          <w:color w:val="000000"/>
          <w:highlight w:val="black"/>
        </w:rPr>
        <w:t>'''''''''''''''''''''''</w:t>
      </w:r>
      <w:r w:rsidRPr="00C24DBA">
        <w:t xml:space="preserve"> in the first 6 years of listing. </w:t>
      </w:r>
      <w:r w:rsidR="001E3AFE" w:rsidRPr="00C24DBA">
        <w:t xml:space="preserve">The ESC considered that the estimates presented in the </w:t>
      </w:r>
      <w:r w:rsidR="004C4A6D" w:rsidRPr="00C24DBA">
        <w:t>re</w:t>
      </w:r>
      <w:r w:rsidR="001E3AFE" w:rsidRPr="00C24DBA">
        <w:t>submission were not a reliable basis for an RSA.</w:t>
      </w:r>
      <w:r w:rsidR="00CA3402" w:rsidRPr="00C24DBA">
        <w:t xml:space="preserve"> </w:t>
      </w:r>
    </w:p>
    <w:p w:rsidR="002742D9" w:rsidRPr="00C24DBA" w:rsidRDefault="00CA3402" w:rsidP="00EE691A">
      <w:pPr>
        <w:pStyle w:val="3-BodyText"/>
        <w:rPr>
          <w:color w:val="0066FF"/>
        </w:rPr>
      </w:pPr>
      <w:r w:rsidRPr="00C24DBA">
        <w:t>The cap proposed in the pre-PBAC response was $</w:t>
      </w:r>
      <w:r w:rsidR="0061241D">
        <w:rPr>
          <w:noProof/>
          <w:color w:val="000000"/>
          <w:highlight w:val="black"/>
        </w:rPr>
        <w:t>''''''''' ''''''''''''</w:t>
      </w:r>
      <w:r w:rsidRPr="00C24DBA">
        <w:t xml:space="preserve"> in Year 6, and a total of $</w:t>
      </w:r>
      <w:r w:rsidR="0061241D">
        <w:rPr>
          <w:noProof/>
          <w:color w:val="000000"/>
          <w:highlight w:val="black"/>
        </w:rPr>
        <w:t>'''''''''' ''''''''''''</w:t>
      </w:r>
      <w:r w:rsidRPr="00C24DBA">
        <w:t xml:space="preserve"> in the first 6 years of listing.</w:t>
      </w:r>
      <w:r w:rsidR="00480BC2" w:rsidRPr="00C24DBA">
        <w:t xml:space="preserve"> However, the PBAC considered that the</w:t>
      </w:r>
      <w:r w:rsidR="005C4305" w:rsidRPr="00C24DBA">
        <w:t>se</w:t>
      </w:r>
      <w:r w:rsidR="00480BC2" w:rsidRPr="00C24DBA">
        <w:t xml:space="preserve"> estimates </w:t>
      </w:r>
      <w:r w:rsidR="005C4305" w:rsidRPr="00C24DBA">
        <w:t xml:space="preserve">remained overestimated as they </w:t>
      </w:r>
      <w:r w:rsidR="00480BC2" w:rsidRPr="00C24DBA">
        <w:t xml:space="preserve">were based on an </w:t>
      </w:r>
      <w:r w:rsidR="00B76343" w:rsidRPr="00C24DBA">
        <w:t>under</w:t>
      </w:r>
      <w:r w:rsidR="00480BC2" w:rsidRPr="00C24DBA">
        <w:t>estimate of the market share of NIVO+IPI</w:t>
      </w:r>
      <w:r w:rsidR="00B76343" w:rsidRPr="00C24DBA">
        <w:t xml:space="preserve"> (and an overestimate of the market share of sunitinib and pazopanib</w:t>
      </w:r>
      <w:r w:rsidR="00A852FB" w:rsidRPr="00C24DBA">
        <w:t xml:space="preserve"> in first-line)</w:t>
      </w:r>
      <w:r w:rsidR="00B76343" w:rsidRPr="00C24DBA">
        <w:t xml:space="preserve"> and an overestimate of </w:t>
      </w:r>
      <w:r w:rsidR="004A5F69" w:rsidRPr="00C24DBA">
        <w:t>the</w:t>
      </w:r>
      <w:r w:rsidR="00480BC2" w:rsidRPr="00C24DBA">
        <w:t xml:space="preserve"> proportion of patients progressing to second- and third-line therapy. </w:t>
      </w:r>
    </w:p>
    <w:p w:rsidR="00273769" w:rsidRPr="00C24DBA" w:rsidRDefault="00273769" w:rsidP="00273769">
      <w:pPr>
        <w:pStyle w:val="3-BodyText"/>
        <w:rPr>
          <w:color w:val="0066FF"/>
        </w:rPr>
      </w:pPr>
      <w:r w:rsidRPr="00C24DBA">
        <w:t xml:space="preserve">The results </w:t>
      </w:r>
      <w:r w:rsidR="00D15CBF" w:rsidRPr="00C24DBA">
        <w:t xml:space="preserve">of </w:t>
      </w:r>
      <w:r w:rsidRPr="00C24DBA">
        <w:t>sensitivity analyses</w:t>
      </w:r>
      <w:r w:rsidR="00636181" w:rsidRPr="00C24DBA">
        <w:t xml:space="preserve"> requested by the PBAC</w:t>
      </w:r>
      <w:r w:rsidRPr="00C24DBA">
        <w:t xml:space="preserve"> are presented in Table 1</w:t>
      </w:r>
      <w:r w:rsidR="004713CE" w:rsidRPr="00C24DBA">
        <w:t>5</w:t>
      </w:r>
      <w:r w:rsidRPr="00C24DBA">
        <w:t xml:space="preserve">. </w:t>
      </w:r>
    </w:p>
    <w:p w:rsidR="00C466EF" w:rsidRPr="00C24DBA" w:rsidRDefault="00C466EF" w:rsidP="005065A0">
      <w:pPr>
        <w:pStyle w:val="TableHeading0"/>
      </w:pPr>
      <w:r w:rsidRPr="00C24DBA">
        <w:lastRenderedPageBreak/>
        <w:t>Table 1</w:t>
      </w:r>
      <w:r w:rsidR="004713CE" w:rsidRPr="00C24DBA">
        <w:t>5</w:t>
      </w:r>
      <w:r w:rsidRPr="00C24DBA">
        <w:t>: Sensitivity analyses for the</w:t>
      </w:r>
      <w:r w:rsidR="00192CE2" w:rsidRPr="00C24DBA">
        <w:t xml:space="preserve"> total</w:t>
      </w:r>
      <w:r w:rsidRPr="00C24DBA">
        <w:t xml:space="preserve"> </w:t>
      </w:r>
      <w:r w:rsidR="00535AC2" w:rsidRPr="00C24DBA">
        <w:t>cost of the new listing of cabozantinib (excluding offsets)</w:t>
      </w:r>
      <w:r w:rsidRPr="00C24DBA">
        <w:t xml:space="preserve"> and the RSA </w:t>
      </w:r>
      <w:r w:rsidR="009A2920" w:rsidRPr="00C24DBA">
        <w:t>over</w:t>
      </w:r>
      <w:r w:rsidR="00B40E14" w:rsidRPr="00C24DBA">
        <w:t xml:space="preserve"> the </w:t>
      </w:r>
      <w:r w:rsidR="00192CE2" w:rsidRPr="00C24DBA">
        <w:t>first</w:t>
      </w:r>
      <w:r w:rsidR="009A2920" w:rsidRPr="00C24DBA">
        <w:t xml:space="preserve"> six years </w:t>
      </w:r>
      <w:r w:rsidR="00CA3402" w:rsidRPr="00C24DBA">
        <w:t>– based on revised scenario presented in the pre-PBAC response</w:t>
      </w:r>
    </w:p>
    <w:tbl>
      <w:tblPr>
        <w:tblStyle w:val="TableGrid"/>
        <w:tblW w:w="8995" w:type="dxa"/>
        <w:tblLayout w:type="fixed"/>
        <w:tblLook w:val="04A0" w:firstRow="1" w:lastRow="0" w:firstColumn="1" w:lastColumn="0" w:noHBand="0" w:noVBand="1"/>
        <w:tblCaption w:val="Table 15: Sensitivity analyses for the total cost of the new listing of cabozantinib (excluding offsets) and the RSA over the first six years – based on revised scenario presented in the pre-PBAC response"/>
      </w:tblPr>
      <w:tblGrid>
        <w:gridCol w:w="279"/>
        <w:gridCol w:w="4216"/>
        <w:gridCol w:w="1440"/>
        <w:gridCol w:w="1620"/>
        <w:gridCol w:w="1440"/>
      </w:tblGrid>
      <w:tr w:rsidR="00672428" w:rsidRPr="0021414C" w:rsidTr="0021414C">
        <w:trPr>
          <w:trHeight w:val="510"/>
          <w:tblHeader/>
        </w:trPr>
        <w:tc>
          <w:tcPr>
            <w:tcW w:w="279" w:type="dxa"/>
          </w:tcPr>
          <w:p w:rsidR="00672428" w:rsidRPr="0021414C" w:rsidRDefault="00672428" w:rsidP="00FC2A1B">
            <w:pPr>
              <w:keepNext/>
              <w:keepLines/>
              <w:jc w:val="left"/>
              <w:rPr>
                <w:rFonts w:ascii="Arial Narrow" w:hAnsi="Arial Narrow"/>
                <w:b/>
                <w:bCs/>
                <w:iCs/>
                <w:color w:val="000000"/>
                <w:sz w:val="20"/>
                <w:szCs w:val="20"/>
                <w:lang w:bidi="th-TH"/>
              </w:rPr>
            </w:pPr>
            <w:r w:rsidRPr="0021414C">
              <w:rPr>
                <w:rFonts w:ascii="Arial Narrow" w:hAnsi="Arial Narrow"/>
                <w:b/>
                <w:bCs/>
                <w:iCs/>
                <w:color w:val="000000"/>
                <w:sz w:val="20"/>
                <w:szCs w:val="20"/>
                <w:lang w:bidi="th-TH"/>
              </w:rPr>
              <w:t>#</w:t>
            </w:r>
          </w:p>
        </w:tc>
        <w:tc>
          <w:tcPr>
            <w:tcW w:w="4216" w:type="dxa"/>
            <w:noWrap/>
            <w:hideMark/>
          </w:tcPr>
          <w:p w:rsidR="00672428" w:rsidRPr="0021414C" w:rsidRDefault="00672428" w:rsidP="008A623C">
            <w:pPr>
              <w:keepNext/>
              <w:keepLines/>
              <w:jc w:val="left"/>
              <w:rPr>
                <w:rFonts w:ascii="Arial Narrow" w:hAnsi="Arial Narrow"/>
                <w:b/>
                <w:bCs/>
                <w:iCs/>
                <w:color w:val="000000"/>
                <w:sz w:val="20"/>
                <w:szCs w:val="20"/>
                <w:lang w:bidi="th-TH"/>
              </w:rPr>
            </w:pPr>
            <w:r w:rsidRPr="0021414C">
              <w:rPr>
                <w:rFonts w:ascii="Arial Narrow" w:hAnsi="Arial Narrow"/>
                <w:b/>
                <w:bCs/>
                <w:iCs/>
                <w:color w:val="000000"/>
                <w:sz w:val="20"/>
                <w:szCs w:val="20"/>
                <w:lang w:bidi="th-TH"/>
              </w:rPr>
              <w:t xml:space="preserve">Tested scenario (vs value in </w:t>
            </w:r>
            <w:r w:rsidR="008A623C" w:rsidRPr="0021414C">
              <w:rPr>
                <w:rFonts w:ascii="Arial Narrow" w:hAnsi="Arial Narrow"/>
                <w:b/>
                <w:bCs/>
                <w:iCs/>
                <w:color w:val="000000"/>
                <w:sz w:val="20"/>
                <w:szCs w:val="20"/>
                <w:lang w:bidi="th-TH"/>
              </w:rPr>
              <w:t>pre-PBAC response</w:t>
            </w:r>
            <w:r w:rsidRPr="0021414C">
              <w:rPr>
                <w:rFonts w:ascii="Arial Narrow" w:hAnsi="Arial Narrow"/>
                <w:b/>
                <w:bCs/>
                <w:iCs/>
                <w:color w:val="000000"/>
                <w:sz w:val="20"/>
                <w:szCs w:val="20"/>
                <w:lang w:bidi="th-TH"/>
              </w:rPr>
              <w:t>)</w:t>
            </w:r>
          </w:p>
        </w:tc>
        <w:tc>
          <w:tcPr>
            <w:tcW w:w="1440" w:type="dxa"/>
            <w:hideMark/>
          </w:tcPr>
          <w:p w:rsidR="00672428" w:rsidRPr="0021414C" w:rsidRDefault="00672428" w:rsidP="00FC2A1B">
            <w:pPr>
              <w:keepNext/>
              <w:keepLines/>
              <w:jc w:val="center"/>
              <w:rPr>
                <w:rFonts w:ascii="Arial Narrow" w:hAnsi="Arial Narrow"/>
                <w:b/>
                <w:bCs/>
                <w:iCs/>
                <w:color w:val="000000"/>
                <w:sz w:val="20"/>
                <w:szCs w:val="20"/>
                <w:lang w:bidi="th-TH"/>
              </w:rPr>
            </w:pPr>
            <w:r w:rsidRPr="0021414C">
              <w:rPr>
                <w:rFonts w:ascii="Arial Narrow" w:hAnsi="Arial Narrow"/>
                <w:b/>
                <w:bCs/>
                <w:iCs/>
                <w:color w:val="000000"/>
                <w:sz w:val="20"/>
                <w:szCs w:val="20"/>
                <w:lang w:bidi="th-TH"/>
              </w:rPr>
              <w:t>Weighted DPMQ</w:t>
            </w:r>
          </w:p>
        </w:tc>
        <w:tc>
          <w:tcPr>
            <w:tcW w:w="1620" w:type="dxa"/>
            <w:hideMark/>
          </w:tcPr>
          <w:p w:rsidR="00672428" w:rsidRPr="0021414C" w:rsidRDefault="00672428" w:rsidP="00FC2A1B">
            <w:pPr>
              <w:keepNext/>
              <w:keepLines/>
              <w:jc w:val="center"/>
              <w:rPr>
                <w:rFonts w:ascii="Arial Narrow" w:hAnsi="Arial Narrow"/>
                <w:b/>
                <w:bCs/>
                <w:iCs/>
                <w:color w:val="000000"/>
                <w:sz w:val="20"/>
                <w:szCs w:val="20"/>
                <w:lang w:bidi="th-TH"/>
              </w:rPr>
            </w:pPr>
            <w:r w:rsidRPr="0021414C">
              <w:rPr>
                <w:rFonts w:ascii="Arial Narrow" w:hAnsi="Arial Narrow"/>
                <w:b/>
                <w:bCs/>
                <w:iCs/>
                <w:color w:val="000000"/>
                <w:sz w:val="20"/>
                <w:szCs w:val="20"/>
                <w:lang w:bidi="th-TH"/>
              </w:rPr>
              <w:t>Total costs of new listing excluding offsets</w:t>
            </w:r>
          </w:p>
        </w:tc>
        <w:tc>
          <w:tcPr>
            <w:tcW w:w="1440" w:type="dxa"/>
          </w:tcPr>
          <w:p w:rsidR="00672428" w:rsidRPr="0021414C" w:rsidRDefault="00672428" w:rsidP="00535AC2">
            <w:pPr>
              <w:keepNext/>
              <w:keepLines/>
              <w:jc w:val="center"/>
              <w:rPr>
                <w:rFonts w:ascii="Arial Narrow" w:hAnsi="Arial Narrow"/>
                <w:b/>
                <w:bCs/>
                <w:iCs/>
                <w:color w:val="000000"/>
                <w:sz w:val="20"/>
                <w:szCs w:val="20"/>
                <w:vertAlign w:val="superscript"/>
                <w:lang w:bidi="th-TH"/>
              </w:rPr>
            </w:pPr>
            <w:r w:rsidRPr="0021414C">
              <w:rPr>
                <w:rFonts w:ascii="Arial Narrow" w:hAnsi="Arial Narrow"/>
                <w:b/>
                <w:bCs/>
                <w:iCs/>
                <w:color w:val="000000"/>
                <w:sz w:val="20"/>
                <w:szCs w:val="20"/>
                <w:lang w:bidi="th-TH"/>
              </w:rPr>
              <w:t xml:space="preserve">RSA cap </w:t>
            </w:r>
            <w:r w:rsidR="005C4305" w:rsidRPr="0021414C">
              <w:rPr>
                <w:rFonts w:ascii="Arial Narrow" w:hAnsi="Arial Narrow"/>
                <w:b/>
                <w:bCs/>
                <w:iCs/>
                <w:color w:val="000000"/>
                <w:sz w:val="20"/>
                <w:szCs w:val="20"/>
                <w:lang w:bidi="th-TH"/>
              </w:rPr>
              <w:t xml:space="preserve">over 6 years </w:t>
            </w:r>
            <w:r w:rsidR="00535AC2" w:rsidRPr="0021414C">
              <w:rPr>
                <w:rFonts w:ascii="Arial Narrow" w:hAnsi="Arial Narrow"/>
                <w:b/>
                <w:bCs/>
                <w:iCs/>
                <w:color w:val="000000"/>
                <w:sz w:val="20"/>
                <w:szCs w:val="20"/>
                <w:vertAlign w:val="superscript"/>
                <w:lang w:bidi="th-TH"/>
              </w:rPr>
              <w:t>a</w:t>
            </w:r>
          </w:p>
        </w:tc>
      </w:tr>
      <w:tr w:rsidR="001E634B" w:rsidRPr="0021414C" w:rsidTr="0021414C">
        <w:trPr>
          <w:trHeight w:val="145"/>
          <w:tblHeader/>
        </w:trPr>
        <w:tc>
          <w:tcPr>
            <w:tcW w:w="279" w:type="dxa"/>
          </w:tcPr>
          <w:p w:rsidR="001E634B" w:rsidRPr="0021414C" w:rsidRDefault="001E634B" w:rsidP="00FC2A1B">
            <w:pPr>
              <w:keepNext/>
              <w:keepLines/>
              <w:jc w:val="left"/>
              <w:rPr>
                <w:rFonts w:ascii="Arial Narrow" w:hAnsi="Arial Narrow"/>
                <w:b/>
                <w:bCs/>
                <w:iCs/>
                <w:color w:val="000000"/>
                <w:sz w:val="20"/>
                <w:szCs w:val="20"/>
                <w:lang w:bidi="th-TH"/>
              </w:rPr>
            </w:pPr>
          </w:p>
        </w:tc>
        <w:tc>
          <w:tcPr>
            <w:tcW w:w="4216" w:type="dxa"/>
            <w:noWrap/>
          </w:tcPr>
          <w:p w:rsidR="001E634B" w:rsidRPr="0021414C" w:rsidRDefault="001E634B" w:rsidP="008A623C">
            <w:pPr>
              <w:keepNext/>
              <w:keepLines/>
              <w:jc w:val="left"/>
              <w:rPr>
                <w:rFonts w:ascii="Arial Narrow" w:hAnsi="Arial Narrow"/>
                <w:b/>
                <w:bCs/>
                <w:iCs/>
                <w:color w:val="000000"/>
                <w:sz w:val="20"/>
                <w:szCs w:val="20"/>
                <w:lang w:bidi="th-TH"/>
              </w:rPr>
            </w:pPr>
          </w:p>
        </w:tc>
        <w:tc>
          <w:tcPr>
            <w:tcW w:w="4500" w:type="dxa"/>
            <w:gridSpan w:val="3"/>
          </w:tcPr>
          <w:p w:rsidR="001E634B" w:rsidRPr="0021414C" w:rsidRDefault="001E634B" w:rsidP="001E634B">
            <w:pPr>
              <w:keepNext/>
              <w:keepLines/>
              <w:jc w:val="center"/>
              <w:rPr>
                <w:rFonts w:ascii="Arial Narrow" w:hAnsi="Arial Narrow"/>
                <w:b/>
                <w:bCs/>
                <w:iCs/>
                <w:color w:val="000000"/>
                <w:sz w:val="20"/>
                <w:szCs w:val="20"/>
                <w:lang w:bidi="th-TH"/>
              </w:rPr>
            </w:pPr>
            <w:r w:rsidRPr="0021414C">
              <w:rPr>
                <w:rFonts w:ascii="Arial Narrow" w:hAnsi="Arial Narrow"/>
                <w:b/>
                <w:bCs/>
                <w:iCs/>
                <w:color w:val="000000"/>
                <w:sz w:val="20"/>
                <w:szCs w:val="20"/>
                <w:lang w:bidi="th-TH"/>
              </w:rPr>
              <w:t>(% change is versus pre-PBAC response)</w:t>
            </w:r>
          </w:p>
        </w:tc>
      </w:tr>
      <w:tr w:rsidR="00672428" w:rsidRPr="0021414C" w:rsidTr="0021414C">
        <w:trPr>
          <w:trHeight w:val="255"/>
        </w:trPr>
        <w:tc>
          <w:tcPr>
            <w:tcW w:w="279" w:type="dxa"/>
          </w:tcPr>
          <w:p w:rsidR="00672428" w:rsidRPr="0021414C" w:rsidRDefault="00672428" w:rsidP="00FC2A1B">
            <w:pPr>
              <w:keepNext/>
              <w:keepLines/>
              <w:jc w:val="left"/>
              <w:rPr>
                <w:rFonts w:ascii="Arial Narrow" w:hAnsi="Arial Narrow"/>
                <w:iCs/>
                <w:color w:val="000000"/>
                <w:sz w:val="20"/>
                <w:szCs w:val="20"/>
                <w:lang w:bidi="th-TH"/>
              </w:rPr>
            </w:pPr>
          </w:p>
        </w:tc>
        <w:tc>
          <w:tcPr>
            <w:tcW w:w="4216" w:type="dxa"/>
            <w:noWrap/>
            <w:hideMark/>
          </w:tcPr>
          <w:p w:rsidR="00672428" w:rsidRPr="0021414C" w:rsidRDefault="004D6D1F" w:rsidP="004D6D1F">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R</w:t>
            </w:r>
            <w:r w:rsidR="00CA3402" w:rsidRPr="0021414C">
              <w:rPr>
                <w:rFonts w:ascii="Arial Narrow" w:hAnsi="Arial Narrow"/>
                <w:iCs/>
                <w:color w:val="000000"/>
                <w:sz w:val="20"/>
                <w:szCs w:val="20"/>
                <w:lang w:bidi="th-TH"/>
              </w:rPr>
              <w:t xml:space="preserve">esubmission </w:t>
            </w:r>
          </w:p>
        </w:tc>
        <w:tc>
          <w:tcPr>
            <w:tcW w:w="1440" w:type="dxa"/>
            <w:noWrap/>
            <w:hideMark/>
          </w:tcPr>
          <w:p w:rsidR="00672428" w:rsidRPr="0061241D" w:rsidRDefault="0061241D" w:rsidP="004F5CEF">
            <w:pPr>
              <w:keepNext/>
              <w:keepLines/>
              <w:jc w:val="center"/>
              <w:rPr>
                <w:rFonts w:ascii="Arial Narrow" w:hAnsi="Arial Narrow"/>
                <w:iCs/>
                <w:color w:val="000000"/>
                <w:sz w:val="20"/>
                <w:szCs w:val="20"/>
                <w:highlight w:val="black"/>
                <w:lang w:bidi="th-TH"/>
              </w:rPr>
            </w:pPr>
            <w:r>
              <w:rPr>
                <w:rFonts w:ascii="Arial Narrow" w:hAnsi="Arial Narrow"/>
                <w:iCs/>
                <w:noProof/>
                <w:color w:val="000000"/>
                <w:sz w:val="20"/>
                <w:szCs w:val="20"/>
                <w:highlight w:val="black"/>
                <w:lang w:bidi="th-TH"/>
              </w:rPr>
              <w:t>''''''''''''''''</w:t>
            </w:r>
          </w:p>
        </w:tc>
        <w:tc>
          <w:tcPr>
            <w:tcW w:w="1620" w:type="dxa"/>
            <w:hideMark/>
          </w:tcPr>
          <w:p w:rsidR="00672428" w:rsidRPr="0061241D" w:rsidRDefault="0061241D" w:rsidP="00CA3402">
            <w:pPr>
              <w:keepNext/>
              <w:keepLines/>
              <w:jc w:val="center"/>
              <w:rPr>
                <w:rFonts w:ascii="Arial Narrow" w:hAnsi="Arial Narrow"/>
                <w:iCs/>
                <w:color w:val="000000"/>
                <w:sz w:val="20"/>
                <w:szCs w:val="20"/>
                <w:highlight w:val="black"/>
                <w:lang w:bidi="th-TH"/>
              </w:rPr>
            </w:pPr>
            <w:r>
              <w:rPr>
                <w:rFonts w:ascii="Arial Narrow" w:hAnsi="Arial Narrow"/>
                <w:iCs/>
                <w:noProof/>
                <w:color w:val="000000"/>
                <w:sz w:val="20"/>
                <w:szCs w:val="20"/>
                <w:highlight w:val="black"/>
                <w:lang w:bidi="th-TH"/>
              </w:rPr>
              <w:t>''''''''''''' '''''''''''''''</w:t>
            </w:r>
          </w:p>
        </w:tc>
        <w:tc>
          <w:tcPr>
            <w:tcW w:w="1440" w:type="dxa"/>
          </w:tcPr>
          <w:p w:rsidR="00672428" w:rsidRPr="0061241D" w:rsidRDefault="0061241D" w:rsidP="00535AC2">
            <w:pPr>
              <w:keepNext/>
              <w:keepLines/>
              <w:jc w:val="center"/>
              <w:rPr>
                <w:rFonts w:ascii="Arial Narrow" w:hAnsi="Arial Narrow"/>
                <w:iCs/>
                <w:color w:val="000000"/>
                <w:sz w:val="20"/>
                <w:szCs w:val="20"/>
                <w:highlight w:val="black"/>
                <w:lang w:bidi="th-TH"/>
              </w:rPr>
            </w:pPr>
            <w:r>
              <w:rPr>
                <w:rFonts w:ascii="Arial Narrow" w:hAnsi="Arial Narrow"/>
                <w:iCs/>
                <w:noProof/>
                <w:color w:val="000000"/>
                <w:sz w:val="20"/>
                <w:szCs w:val="20"/>
                <w:highlight w:val="black"/>
                <w:lang w:bidi="th-TH"/>
              </w:rPr>
              <w:t>'''''''''''''''' '''''''''''''''</w:t>
            </w:r>
          </w:p>
        </w:tc>
      </w:tr>
      <w:tr w:rsidR="00CA3402" w:rsidRPr="0021414C" w:rsidTr="0021414C">
        <w:trPr>
          <w:trHeight w:val="255"/>
        </w:trPr>
        <w:tc>
          <w:tcPr>
            <w:tcW w:w="279" w:type="dxa"/>
          </w:tcPr>
          <w:p w:rsidR="00CA3402" w:rsidRPr="0021414C" w:rsidRDefault="00CA3402" w:rsidP="00FC2A1B">
            <w:pPr>
              <w:keepNext/>
              <w:keepLines/>
              <w:jc w:val="left"/>
              <w:rPr>
                <w:rFonts w:ascii="Arial Narrow" w:hAnsi="Arial Narrow"/>
                <w:iCs/>
                <w:color w:val="000000"/>
                <w:sz w:val="20"/>
                <w:szCs w:val="20"/>
                <w:lang w:bidi="th-TH"/>
              </w:rPr>
            </w:pPr>
          </w:p>
        </w:tc>
        <w:tc>
          <w:tcPr>
            <w:tcW w:w="4216" w:type="dxa"/>
            <w:noWrap/>
          </w:tcPr>
          <w:p w:rsidR="00CA3402" w:rsidRPr="0021414C" w:rsidRDefault="00CA3402" w:rsidP="00CA3402">
            <w:pPr>
              <w:keepNext/>
              <w:keepLines/>
              <w:jc w:val="left"/>
              <w:rPr>
                <w:rFonts w:ascii="Arial Narrow" w:hAnsi="Arial Narrow"/>
                <w:b/>
                <w:iCs/>
                <w:color w:val="000000"/>
                <w:sz w:val="20"/>
                <w:szCs w:val="20"/>
                <w:lang w:bidi="th-TH"/>
              </w:rPr>
            </w:pPr>
            <w:r w:rsidRPr="0021414C">
              <w:rPr>
                <w:rFonts w:ascii="Arial Narrow" w:hAnsi="Arial Narrow"/>
                <w:b/>
                <w:iCs/>
                <w:color w:val="000000"/>
                <w:sz w:val="20"/>
                <w:szCs w:val="20"/>
                <w:lang w:bidi="th-TH"/>
              </w:rPr>
              <w:t>Base case – pre-PBAC response</w:t>
            </w:r>
          </w:p>
        </w:tc>
        <w:tc>
          <w:tcPr>
            <w:tcW w:w="1440" w:type="dxa"/>
            <w:noWrap/>
          </w:tcPr>
          <w:p w:rsidR="00CA3402" w:rsidRPr="0061241D" w:rsidRDefault="0061241D" w:rsidP="004F5CEF">
            <w:pPr>
              <w:keepNext/>
              <w:keepLines/>
              <w:jc w:val="center"/>
              <w:rPr>
                <w:rFonts w:ascii="Arial Narrow" w:hAnsi="Arial Narrow"/>
                <w:b/>
                <w:iCs/>
                <w:color w:val="000000"/>
                <w:sz w:val="20"/>
                <w:szCs w:val="20"/>
                <w:highlight w:val="black"/>
                <w:lang w:bidi="th-TH"/>
              </w:rPr>
            </w:pPr>
            <w:r>
              <w:rPr>
                <w:rFonts w:ascii="Arial Narrow" w:hAnsi="Arial Narrow"/>
                <w:b/>
                <w:iCs/>
                <w:noProof/>
                <w:color w:val="000000"/>
                <w:sz w:val="20"/>
                <w:szCs w:val="20"/>
                <w:highlight w:val="black"/>
                <w:lang w:bidi="th-TH"/>
              </w:rPr>
              <w:t>''''''''''''</w:t>
            </w:r>
          </w:p>
        </w:tc>
        <w:tc>
          <w:tcPr>
            <w:tcW w:w="1620" w:type="dxa"/>
          </w:tcPr>
          <w:p w:rsidR="00CA3402" w:rsidRPr="0061241D" w:rsidRDefault="0061241D" w:rsidP="00FC2A1B">
            <w:pPr>
              <w:keepNext/>
              <w:keepLines/>
              <w:jc w:val="center"/>
              <w:rPr>
                <w:rFonts w:ascii="Arial Narrow" w:hAnsi="Arial Narrow"/>
                <w:b/>
                <w:iCs/>
                <w:color w:val="000000"/>
                <w:sz w:val="20"/>
                <w:szCs w:val="20"/>
                <w:highlight w:val="black"/>
                <w:lang w:bidi="th-TH"/>
              </w:rPr>
            </w:pPr>
            <w:r>
              <w:rPr>
                <w:rFonts w:ascii="Arial Narrow" w:hAnsi="Arial Narrow"/>
                <w:b/>
                <w:iCs/>
                <w:noProof/>
                <w:color w:val="000000"/>
                <w:sz w:val="20"/>
                <w:szCs w:val="20"/>
                <w:highlight w:val="black"/>
                <w:lang w:bidi="th-TH"/>
              </w:rPr>
              <w:t>'''''''''''' '''''''''''''</w:t>
            </w:r>
          </w:p>
        </w:tc>
        <w:tc>
          <w:tcPr>
            <w:tcW w:w="1440" w:type="dxa"/>
          </w:tcPr>
          <w:p w:rsidR="00CA3402" w:rsidRPr="0061241D" w:rsidRDefault="0061241D" w:rsidP="00FC2A1B">
            <w:pPr>
              <w:keepNext/>
              <w:keepLines/>
              <w:jc w:val="center"/>
              <w:rPr>
                <w:rFonts w:ascii="Arial Narrow" w:hAnsi="Arial Narrow"/>
                <w:b/>
                <w:iCs/>
                <w:color w:val="000000"/>
                <w:sz w:val="20"/>
                <w:szCs w:val="20"/>
                <w:highlight w:val="black"/>
                <w:lang w:bidi="th-TH"/>
              </w:rPr>
            </w:pPr>
            <w:r>
              <w:rPr>
                <w:rFonts w:ascii="Arial Narrow" w:hAnsi="Arial Narrow"/>
                <w:b/>
                <w:iCs/>
                <w:noProof/>
                <w:color w:val="000000"/>
                <w:sz w:val="20"/>
                <w:szCs w:val="20"/>
                <w:highlight w:val="black"/>
                <w:lang w:bidi="th-TH"/>
              </w:rPr>
              <w:t>''''''''''''''' '''''''''''''</w:t>
            </w:r>
          </w:p>
        </w:tc>
      </w:tr>
      <w:tr w:rsidR="00D378D9" w:rsidRPr="0021414C" w:rsidTr="0021414C">
        <w:trPr>
          <w:trHeight w:val="255"/>
        </w:trPr>
        <w:tc>
          <w:tcPr>
            <w:tcW w:w="279" w:type="dxa"/>
          </w:tcPr>
          <w:p w:rsidR="00D378D9" w:rsidRPr="0021414C" w:rsidRDefault="00D378D9" w:rsidP="00FC2A1B">
            <w:pPr>
              <w:keepNext/>
              <w:keepLines/>
              <w:jc w:val="left"/>
              <w:rPr>
                <w:rFonts w:ascii="Arial Narrow" w:hAnsi="Arial Narrow"/>
                <w:iCs/>
                <w:color w:val="000000"/>
                <w:sz w:val="20"/>
                <w:szCs w:val="20"/>
                <w:lang w:bidi="th-TH"/>
              </w:rPr>
            </w:pPr>
          </w:p>
        </w:tc>
        <w:tc>
          <w:tcPr>
            <w:tcW w:w="7276" w:type="dxa"/>
            <w:gridSpan w:val="3"/>
            <w:noWrap/>
            <w:vAlign w:val="center"/>
          </w:tcPr>
          <w:p w:rsidR="00D378D9" w:rsidRPr="0021414C" w:rsidRDefault="00D378D9" w:rsidP="00D378D9">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Existing RSA expenditure cap over 6 years (as agreed for post-TKI listing, if existing Year 5 cap of $</w:t>
            </w:r>
            <w:r w:rsidR="0061241D">
              <w:rPr>
                <w:rFonts w:ascii="Arial Narrow" w:hAnsi="Arial Narrow"/>
                <w:iCs/>
                <w:noProof/>
                <w:color w:val="000000"/>
                <w:sz w:val="20"/>
                <w:szCs w:val="20"/>
                <w:highlight w:val="black"/>
                <w:lang w:bidi="th-TH"/>
              </w:rPr>
              <w:t>'''''''''' '''''''''''''''''</w:t>
            </w:r>
            <w:r w:rsidRPr="0021414C">
              <w:rPr>
                <w:rFonts w:ascii="Arial Narrow" w:hAnsi="Arial Narrow"/>
                <w:iCs/>
                <w:color w:val="000000"/>
                <w:sz w:val="20"/>
                <w:szCs w:val="20"/>
                <w:lang w:bidi="th-TH"/>
              </w:rPr>
              <w:t xml:space="preserve"> is continued for 6 years) </w:t>
            </w:r>
          </w:p>
        </w:tc>
        <w:tc>
          <w:tcPr>
            <w:tcW w:w="1440" w:type="dxa"/>
            <w:vAlign w:val="center"/>
          </w:tcPr>
          <w:p w:rsidR="00D378D9" w:rsidRPr="0021414C" w:rsidRDefault="00D378D9" w:rsidP="003F05A4">
            <w:pPr>
              <w:keepNext/>
              <w:keepLines/>
              <w:jc w:val="center"/>
              <w:rPr>
                <w:rFonts w:ascii="Arial Narrow" w:hAnsi="Arial Narrow"/>
                <w:iCs/>
                <w:color w:val="000000"/>
                <w:sz w:val="20"/>
                <w:szCs w:val="20"/>
                <w:lang w:bidi="th-TH"/>
              </w:rPr>
            </w:pPr>
            <w:r w:rsidRPr="0021414C">
              <w:rPr>
                <w:rFonts w:ascii="Arial Narrow" w:hAnsi="Arial Narrow"/>
                <w:iCs/>
                <w:color w:val="000000"/>
                <w:sz w:val="20"/>
                <w:szCs w:val="20"/>
                <w:lang w:bidi="th-TH"/>
              </w:rPr>
              <w:t>~</w:t>
            </w:r>
            <w:r w:rsidR="0061241D">
              <w:rPr>
                <w:rFonts w:ascii="Arial Narrow" w:hAnsi="Arial Narrow"/>
                <w:iCs/>
                <w:noProof/>
                <w:color w:val="000000"/>
                <w:sz w:val="20"/>
                <w:szCs w:val="20"/>
                <w:highlight w:val="black"/>
                <w:lang w:bidi="th-TH"/>
              </w:rPr>
              <w:t>''''''''''''''''''''''''''''''''</w:t>
            </w:r>
          </w:p>
        </w:tc>
      </w:tr>
      <w:tr w:rsidR="004D6D1F" w:rsidRPr="0021414C" w:rsidTr="0021414C">
        <w:trPr>
          <w:trHeight w:val="255"/>
        </w:trPr>
        <w:tc>
          <w:tcPr>
            <w:tcW w:w="279" w:type="dxa"/>
          </w:tcPr>
          <w:p w:rsidR="004D6D1F" w:rsidRPr="0021414C" w:rsidRDefault="004D6D1F" w:rsidP="004D6D1F">
            <w:pPr>
              <w:keepNext/>
              <w:keepLines/>
              <w:jc w:val="left"/>
              <w:rPr>
                <w:rFonts w:ascii="Arial Narrow" w:hAnsi="Arial Narrow"/>
                <w:b/>
                <w:iCs/>
                <w:color w:val="000000"/>
                <w:sz w:val="20"/>
                <w:szCs w:val="20"/>
                <w:lang w:bidi="th-TH"/>
              </w:rPr>
            </w:pPr>
            <w:r w:rsidRPr="0021414C">
              <w:rPr>
                <w:rFonts w:ascii="Arial Narrow" w:hAnsi="Arial Narrow"/>
                <w:b/>
                <w:iCs/>
                <w:color w:val="000000"/>
                <w:sz w:val="20"/>
                <w:szCs w:val="20"/>
                <w:lang w:bidi="th-TH"/>
              </w:rPr>
              <w:t>1</w:t>
            </w:r>
          </w:p>
        </w:tc>
        <w:tc>
          <w:tcPr>
            <w:tcW w:w="4216" w:type="dxa"/>
            <w:noWrap/>
          </w:tcPr>
          <w:p w:rsidR="004D6D1F" w:rsidRPr="0021414C" w:rsidRDefault="004D6D1F" w:rsidP="004D6D1F">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 xml:space="preserve">Market share: 1L. </w:t>
            </w:r>
          </w:p>
          <w:p w:rsidR="004D6D1F" w:rsidRPr="0021414C" w:rsidRDefault="004D6D1F" w:rsidP="004D6D1F">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Cabozantinib: 10% (unchanged); NIVO+IPI: 57% (vs 33%); sunitinib/pazopanib: 33% (vs 57%)</w:t>
            </w:r>
          </w:p>
        </w:tc>
        <w:tc>
          <w:tcPr>
            <w:tcW w:w="1440" w:type="dxa"/>
            <w:noWrap/>
            <w:vAlign w:val="center"/>
          </w:tcPr>
          <w:p w:rsidR="004D6D1F" w:rsidRPr="0061241D" w:rsidRDefault="0061241D" w:rsidP="004D6D1F">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p w:rsidR="00636181" w:rsidRPr="0021414C" w:rsidDel="004D6D1F" w:rsidRDefault="00636181" w:rsidP="004D6D1F">
            <w:pPr>
              <w:keepNext/>
              <w:keepLines/>
              <w:jc w:val="center"/>
              <w:rPr>
                <w:rFonts w:ascii="Arial Narrow" w:hAnsi="Arial Narrow"/>
                <w:iCs/>
                <w:color w:val="000000"/>
                <w:sz w:val="20"/>
                <w:szCs w:val="20"/>
              </w:rPr>
            </w:pPr>
            <w:r w:rsidRPr="0021414C">
              <w:rPr>
                <w:rFonts w:ascii="Arial Narrow" w:hAnsi="Arial Narrow"/>
                <w:iCs/>
                <w:color w:val="000000"/>
                <w:sz w:val="20"/>
                <w:szCs w:val="20"/>
              </w:rPr>
              <w:t>(-7%)</w:t>
            </w:r>
          </w:p>
        </w:tc>
        <w:tc>
          <w:tcPr>
            <w:tcW w:w="1620" w:type="dxa"/>
            <w:vAlign w:val="center"/>
          </w:tcPr>
          <w:p w:rsidR="004D6D1F" w:rsidRPr="0061241D" w:rsidRDefault="0061241D" w:rsidP="004D6D1F">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37759C" w:rsidRPr="0021414C" w:rsidDel="004D6D1F" w:rsidRDefault="0037759C" w:rsidP="004D6D1F">
            <w:pPr>
              <w:keepNext/>
              <w:keepLines/>
              <w:jc w:val="center"/>
              <w:rPr>
                <w:rFonts w:ascii="Arial Narrow" w:hAnsi="Arial Narrow"/>
                <w:iCs/>
                <w:color w:val="000000"/>
                <w:sz w:val="20"/>
                <w:szCs w:val="20"/>
              </w:rPr>
            </w:pPr>
            <w:r w:rsidRPr="0021414C">
              <w:rPr>
                <w:rFonts w:ascii="Arial Narrow" w:hAnsi="Arial Narrow"/>
                <w:iCs/>
                <w:color w:val="000000"/>
                <w:sz w:val="20"/>
                <w:szCs w:val="20"/>
              </w:rPr>
              <w:t>(28%)</w:t>
            </w:r>
          </w:p>
        </w:tc>
        <w:tc>
          <w:tcPr>
            <w:tcW w:w="1440" w:type="dxa"/>
            <w:vAlign w:val="center"/>
          </w:tcPr>
          <w:p w:rsidR="004D6D1F" w:rsidRPr="0061241D" w:rsidRDefault="0061241D" w:rsidP="004D6D1F">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636181" w:rsidRPr="0021414C" w:rsidDel="004D6D1F" w:rsidRDefault="00636181" w:rsidP="004D6D1F">
            <w:pPr>
              <w:keepNext/>
              <w:keepLines/>
              <w:jc w:val="center"/>
              <w:rPr>
                <w:rFonts w:ascii="Arial Narrow" w:hAnsi="Arial Narrow"/>
                <w:iCs/>
                <w:color w:val="000000"/>
                <w:sz w:val="20"/>
                <w:szCs w:val="20"/>
              </w:rPr>
            </w:pPr>
            <w:r w:rsidRPr="0021414C">
              <w:rPr>
                <w:rFonts w:ascii="Arial Narrow" w:hAnsi="Arial Narrow"/>
                <w:iCs/>
                <w:color w:val="000000"/>
                <w:sz w:val="20"/>
                <w:szCs w:val="20"/>
              </w:rPr>
              <w:t>(5%)</w:t>
            </w:r>
          </w:p>
        </w:tc>
      </w:tr>
      <w:tr w:rsidR="004D6D1F" w:rsidRPr="0021414C" w:rsidTr="0021414C">
        <w:trPr>
          <w:trHeight w:val="255"/>
        </w:trPr>
        <w:tc>
          <w:tcPr>
            <w:tcW w:w="279" w:type="dxa"/>
          </w:tcPr>
          <w:p w:rsidR="004D6D1F" w:rsidRPr="0021414C" w:rsidRDefault="004D6D1F" w:rsidP="004D6D1F">
            <w:pPr>
              <w:keepNext/>
              <w:keepLines/>
              <w:jc w:val="left"/>
              <w:rPr>
                <w:rFonts w:ascii="Arial Narrow" w:hAnsi="Arial Narrow"/>
                <w:b/>
                <w:iCs/>
                <w:color w:val="000000"/>
                <w:sz w:val="20"/>
                <w:szCs w:val="20"/>
                <w:lang w:bidi="th-TH"/>
              </w:rPr>
            </w:pPr>
            <w:r w:rsidRPr="0021414C">
              <w:rPr>
                <w:rFonts w:ascii="Arial Narrow" w:hAnsi="Arial Narrow"/>
                <w:b/>
                <w:iCs/>
                <w:color w:val="000000"/>
                <w:sz w:val="20"/>
                <w:szCs w:val="20"/>
                <w:lang w:bidi="th-TH"/>
              </w:rPr>
              <w:t>2</w:t>
            </w:r>
          </w:p>
        </w:tc>
        <w:tc>
          <w:tcPr>
            <w:tcW w:w="4216" w:type="dxa"/>
            <w:noWrap/>
          </w:tcPr>
          <w:p w:rsidR="004D6D1F" w:rsidRPr="0021414C" w:rsidRDefault="004D6D1F" w:rsidP="004D6D1F">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 xml:space="preserve">TKI-naïve post-IO cabozantinib duration of treatment of 9 (vs 12) months; Post-IO &amp; TKI cabozantinib duration of treatment of 7 (vs 8) months </w:t>
            </w:r>
          </w:p>
        </w:tc>
        <w:tc>
          <w:tcPr>
            <w:tcW w:w="1440" w:type="dxa"/>
            <w:tcBorders>
              <w:bottom w:val="single" w:sz="4" w:space="0" w:color="auto"/>
            </w:tcBorders>
            <w:noWrap/>
            <w:vAlign w:val="center"/>
          </w:tcPr>
          <w:p w:rsidR="004D6D1F" w:rsidRPr="0061241D" w:rsidRDefault="0061241D" w:rsidP="004D6D1F">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p w:rsidR="00636181" w:rsidRPr="0021414C" w:rsidDel="004D6D1F" w:rsidRDefault="00636181" w:rsidP="00636181">
            <w:pPr>
              <w:keepNext/>
              <w:keepLines/>
              <w:jc w:val="center"/>
              <w:rPr>
                <w:rFonts w:ascii="Arial Narrow" w:hAnsi="Arial Narrow"/>
                <w:iCs/>
                <w:color w:val="000000"/>
                <w:sz w:val="20"/>
                <w:szCs w:val="20"/>
              </w:rPr>
            </w:pPr>
            <w:r w:rsidRPr="0021414C">
              <w:rPr>
                <w:rFonts w:ascii="Arial Narrow" w:hAnsi="Arial Narrow"/>
                <w:iCs/>
                <w:color w:val="000000"/>
                <w:sz w:val="20"/>
                <w:szCs w:val="20"/>
              </w:rPr>
              <w:t>(2%)</w:t>
            </w:r>
          </w:p>
        </w:tc>
        <w:tc>
          <w:tcPr>
            <w:tcW w:w="1620" w:type="dxa"/>
            <w:tcBorders>
              <w:bottom w:val="single" w:sz="4" w:space="0" w:color="auto"/>
            </w:tcBorders>
            <w:vAlign w:val="center"/>
          </w:tcPr>
          <w:p w:rsidR="004D6D1F" w:rsidRPr="0061241D" w:rsidRDefault="0061241D" w:rsidP="004D6D1F">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37759C" w:rsidRPr="0021414C" w:rsidDel="004D6D1F" w:rsidRDefault="0037759C" w:rsidP="004D6D1F">
            <w:pPr>
              <w:keepNext/>
              <w:keepLines/>
              <w:jc w:val="center"/>
              <w:rPr>
                <w:rFonts w:ascii="Arial Narrow" w:hAnsi="Arial Narrow"/>
                <w:iCs/>
                <w:color w:val="000000"/>
                <w:sz w:val="20"/>
                <w:szCs w:val="20"/>
              </w:rPr>
            </w:pPr>
            <w:r w:rsidRPr="0021414C">
              <w:rPr>
                <w:rFonts w:ascii="Arial Narrow" w:hAnsi="Arial Narrow"/>
                <w:iCs/>
                <w:color w:val="000000"/>
                <w:sz w:val="20"/>
                <w:szCs w:val="20"/>
              </w:rPr>
              <w:t>(-11%)</w:t>
            </w:r>
          </w:p>
        </w:tc>
        <w:tc>
          <w:tcPr>
            <w:tcW w:w="1440" w:type="dxa"/>
            <w:tcBorders>
              <w:bottom w:val="single" w:sz="4" w:space="0" w:color="auto"/>
            </w:tcBorders>
            <w:vAlign w:val="center"/>
          </w:tcPr>
          <w:p w:rsidR="004D6D1F" w:rsidRPr="0061241D" w:rsidRDefault="0061241D" w:rsidP="004D6D1F">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636181" w:rsidRPr="0021414C" w:rsidDel="004D6D1F" w:rsidRDefault="00636181" w:rsidP="004D6D1F">
            <w:pPr>
              <w:keepNext/>
              <w:keepLines/>
              <w:jc w:val="center"/>
              <w:rPr>
                <w:rFonts w:ascii="Arial Narrow" w:hAnsi="Arial Narrow"/>
                <w:iCs/>
                <w:color w:val="000000"/>
                <w:sz w:val="20"/>
                <w:szCs w:val="20"/>
              </w:rPr>
            </w:pPr>
            <w:r w:rsidRPr="0021414C">
              <w:rPr>
                <w:rFonts w:ascii="Arial Narrow" w:hAnsi="Arial Narrow"/>
                <w:iCs/>
                <w:color w:val="000000"/>
                <w:sz w:val="20"/>
                <w:szCs w:val="20"/>
              </w:rPr>
              <w:t>(-7%)</w:t>
            </w:r>
          </w:p>
        </w:tc>
      </w:tr>
      <w:tr w:rsidR="00A5223D" w:rsidRPr="0021414C" w:rsidTr="0021414C">
        <w:trPr>
          <w:trHeight w:val="255"/>
        </w:trPr>
        <w:tc>
          <w:tcPr>
            <w:tcW w:w="279" w:type="dxa"/>
          </w:tcPr>
          <w:p w:rsidR="00A5223D" w:rsidRPr="0021414C" w:rsidRDefault="00A5223D" w:rsidP="00A5223D">
            <w:pPr>
              <w:keepNext/>
              <w:keepLines/>
              <w:jc w:val="left"/>
              <w:rPr>
                <w:rFonts w:ascii="Arial Narrow" w:hAnsi="Arial Narrow"/>
                <w:b/>
                <w:iCs/>
                <w:color w:val="000000"/>
                <w:sz w:val="20"/>
                <w:szCs w:val="20"/>
                <w:lang w:bidi="th-TH"/>
              </w:rPr>
            </w:pPr>
            <w:r w:rsidRPr="0021414C">
              <w:rPr>
                <w:rFonts w:ascii="Arial Narrow" w:hAnsi="Arial Narrow"/>
                <w:b/>
                <w:iCs/>
                <w:color w:val="000000"/>
                <w:sz w:val="20"/>
                <w:szCs w:val="20"/>
                <w:lang w:bidi="th-TH"/>
              </w:rPr>
              <w:t>3</w:t>
            </w:r>
          </w:p>
        </w:tc>
        <w:tc>
          <w:tcPr>
            <w:tcW w:w="4216" w:type="dxa"/>
            <w:noWrap/>
          </w:tcPr>
          <w:p w:rsidR="00A5223D" w:rsidRPr="0021414C" w:rsidRDefault="00A5223D" w:rsidP="00A5223D">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65% (vs 77%) receiving 2L and 55% (vs 64%) receiving 3L</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223D" w:rsidRPr="0061241D" w:rsidRDefault="0061241D" w:rsidP="00A5223D">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p w:rsidR="0037759C" w:rsidRPr="0021414C" w:rsidDel="004D6D1F" w:rsidRDefault="0037759C" w:rsidP="00A5223D">
            <w:pPr>
              <w:keepNext/>
              <w:keepLines/>
              <w:jc w:val="center"/>
              <w:rPr>
                <w:rFonts w:ascii="Arial Narrow" w:hAnsi="Arial Narrow"/>
                <w:iCs/>
                <w:color w:val="000000"/>
                <w:sz w:val="20"/>
                <w:szCs w:val="20"/>
              </w:rPr>
            </w:pPr>
            <w:r w:rsidRPr="0021414C">
              <w:rPr>
                <w:rFonts w:ascii="Arial Narrow" w:hAnsi="Arial Narrow"/>
                <w:iCs/>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5223D" w:rsidRPr="0061241D" w:rsidRDefault="0061241D" w:rsidP="00A5223D">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37759C" w:rsidRPr="0021414C" w:rsidDel="004D6D1F" w:rsidRDefault="0037759C" w:rsidP="00A5223D">
            <w:pPr>
              <w:keepNext/>
              <w:keepLines/>
              <w:jc w:val="center"/>
              <w:rPr>
                <w:rFonts w:ascii="Arial Narrow" w:hAnsi="Arial Narrow"/>
                <w:iCs/>
                <w:color w:val="000000"/>
                <w:sz w:val="20"/>
                <w:szCs w:val="20"/>
              </w:rPr>
            </w:pPr>
            <w:r w:rsidRPr="0021414C">
              <w:rPr>
                <w:rFonts w:ascii="Arial Narrow" w:hAnsi="Arial Narrow"/>
                <w:iCs/>
                <w:color w:val="000000"/>
                <w:sz w:val="20"/>
                <w:szCs w:val="20"/>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5223D" w:rsidRPr="0061241D" w:rsidRDefault="0061241D" w:rsidP="00A5223D">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636181" w:rsidRPr="0021414C" w:rsidDel="004D6D1F" w:rsidRDefault="00636181" w:rsidP="00A5223D">
            <w:pPr>
              <w:keepNext/>
              <w:keepLines/>
              <w:jc w:val="center"/>
              <w:rPr>
                <w:rFonts w:ascii="Arial Narrow" w:hAnsi="Arial Narrow"/>
                <w:iCs/>
                <w:color w:val="000000"/>
                <w:sz w:val="20"/>
                <w:szCs w:val="20"/>
              </w:rPr>
            </w:pPr>
            <w:r w:rsidRPr="0021414C">
              <w:rPr>
                <w:rFonts w:ascii="Arial Narrow" w:hAnsi="Arial Narrow"/>
                <w:iCs/>
                <w:color w:val="000000"/>
                <w:sz w:val="20"/>
                <w:szCs w:val="20"/>
              </w:rPr>
              <w:t>(-14%)</w:t>
            </w:r>
          </w:p>
        </w:tc>
      </w:tr>
      <w:tr w:rsidR="00A5223D" w:rsidRPr="0021414C" w:rsidTr="0021414C">
        <w:trPr>
          <w:trHeight w:val="255"/>
        </w:trPr>
        <w:tc>
          <w:tcPr>
            <w:tcW w:w="279" w:type="dxa"/>
          </w:tcPr>
          <w:p w:rsidR="00A5223D" w:rsidRPr="0021414C" w:rsidRDefault="00A5223D" w:rsidP="00A5223D">
            <w:pPr>
              <w:keepNext/>
              <w:keepLines/>
              <w:jc w:val="left"/>
              <w:rPr>
                <w:rFonts w:ascii="Arial Narrow" w:hAnsi="Arial Narrow"/>
                <w:b/>
                <w:iCs/>
                <w:color w:val="000000"/>
                <w:sz w:val="20"/>
                <w:szCs w:val="20"/>
                <w:lang w:bidi="th-TH"/>
              </w:rPr>
            </w:pPr>
            <w:r w:rsidRPr="0021414C">
              <w:rPr>
                <w:rFonts w:ascii="Arial Narrow" w:hAnsi="Arial Narrow"/>
                <w:b/>
                <w:iCs/>
                <w:color w:val="000000"/>
                <w:sz w:val="20"/>
                <w:szCs w:val="20"/>
                <w:lang w:bidi="th-TH"/>
              </w:rPr>
              <w:t>4</w:t>
            </w:r>
          </w:p>
        </w:tc>
        <w:tc>
          <w:tcPr>
            <w:tcW w:w="4216" w:type="dxa"/>
            <w:noWrap/>
            <w:hideMark/>
          </w:tcPr>
          <w:p w:rsidR="00A5223D" w:rsidRPr="0021414C" w:rsidRDefault="00A5223D" w:rsidP="00A5223D">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Post-TKI cabozantinib market share of 20% (vs 40%)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5223D" w:rsidRPr="0061241D" w:rsidRDefault="0061241D" w:rsidP="00A5223D">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p w:rsidR="0037759C" w:rsidRPr="0021414C" w:rsidRDefault="0037759C" w:rsidP="00A5223D">
            <w:pPr>
              <w:keepNext/>
              <w:keepLines/>
              <w:jc w:val="center"/>
              <w:rPr>
                <w:rFonts w:ascii="Arial Narrow" w:hAnsi="Arial Narrow"/>
                <w:iCs/>
                <w:color w:val="000000"/>
                <w:sz w:val="20"/>
                <w:szCs w:val="20"/>
              </w:rPr>
            </w:pPr>
            <w:r w:rsidRPr="0021414C">
              <w:rPr>
                <w:rFonts w:ascii="Arial Narrow" w:hAnsi="Arial Narrow"/>
                <w:iCs/>
                <w:color w:val="000000"/>
                <w:sz w:val="20"/>
                <w:szCs w:val="20"/>
              </w:rPr>
              <w:t>(-7%)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5223D" w:rsidRPr="0061241D" w:rsidRDefault="0061241D" w:rsidP="00A5223D">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37759C" w:rsidRPr="0021414C" w:rsidRDefault="0037759C" w:rsidP="00A5223D">
            <w:pPr>
              <w:keepNext/>
              <w:keepLines/>
              <w:jc w:val="center"/>
              <w:rPr>
                <w:rFonts w:ascii="Arial Narrow" w:hAnsi="Arial Narrow"/>
                <w:iCs/>
                <w:color w:val="000000"/>
                <w:sz w:val="20"/>
                <w:szCs w:val="20"/>
              </w:rPr>
            </w:pPr>
            <w:r w:rsidRPr="0021414C">
              <w:rPr>
                <w:rFonts w:ascii="Arial Narrow" w:hAnsi="Arial Narrow"/>
                <w:iCs/>
                <w:color w:val="000000"/>
                <w:sz w:val="20"/>
                <w:szCs w:val="20"/>
              </w:rPr>
              <w:t>(-7%)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5223D" w:rsidRPr="0061241D" w:rsidRDefault="0061241D" w:rsidP="00A5223D">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636181" w:rsidRPr="0021414C" w:rsidRDefault="00636181" w:rsidP="00A5223D">
            <w:pPr>
              <w:keepNext/>
              <w:keepLines/>
              <w:jc w:val="center"/>
              <w:rPr>
                <w:rFonts w:ascii="Arial Narrow" w:hAnsi="Arial Narrow"/>
                <w:iCs/>
                <w:color w:val="000000"/>
                <w:sz w:val="20"/>
                <w:szCs w:val="20"/>
              </w:rPr>
            </w:pPr>
            <w:r w:rsidRPr="0021414C">
              <w:rPr>
                <w:rFonts w:ascii="Arial Narrow" w:hAnsi="Arial Narrow"/>
                <w:iCs/>
                <w:color w:val="000000"/>
                <w:sz w:val="20"/>
                <w:szCs w:val="20"/>
              </w:rPr>
              <w:t>(-23%)</w:t>
            </w:r>
          </w:p>
        </w:tc>
      </w:tr>
      <w:tr w:rsidR="004D6D1F" w:rsidRPr="0021414C" w:rsidTr="0021414C">
        <w:trPr>
          <w:trHeight w:val="255"/>
        </w:trPr>
        <w:tc>
          <w:tcPr>
            <w:tcW w:w="8995" w:type="dxa"/>
            <w:gridSpan w:val="5"/>
          </w:tcPr>
          <w:p w:rsidR="004D6D1F" w:rsidRPr="0021414C" w:rsidRDefault="004D6D1F" w:rsidP="004D6D1F">
            <w:pPr>
              <w:keepNext/>
              <w:keepLines/>
              <w:jc w:val="left"/>
              <w:rPr>
                <w:rFonts w:ascii="Arial Narrow" w:hAnsi="Arial Narrow"/>
                <w:b/>
                <w:iCs/>
                <w:color w:val="000000"/>
                <w:sz w:val="20"/>
                <w:szCs w:val="20"/>
              </w:rPr>
            </w:pPr>
            <w:r w:rsidRPr="0021414C">
              <w:rPr>
                <w:rFonts w:ascii="Arial Narrow" w:hAnsi="Arial Narrow"/>
                <w:b/>
                <w:iCs/>
                <w:color w:val="000000"/>
                <w:sz w:val="20"/>
                <w:szCs w:val="20"/>
              </w:rPr>
              <w:t>Multivariate sensitivity analyses</w:t>
            </w:r>
          </w:p>
        </w:tc>
      </w:tr>
      <w:tr w:rsidR="00480BC2" w:rsidRPr="0021414C" w:rsidTr="0021414C">
        <w:trPr>
          <w:trHeight w:val="255"/>
        </w:trPr>
        <w:tc>
          <w:tcPr>
            <w:tcW w:w="279" w:type="dxa"/>
          </w:tcPr>
          <w:p w:rsidR="00480BC2" w:rsidRPr="0021414C" w:rsidRDefault="00480BC2" w:rsidP="00480BC2">
            <w:pPr>
              <w:keepNext/>
              <w:keepLines/>
              <w:jc w:val="left"/>
              <w:rPr>
                <w:rFonts w:ascii="Arial Narrow" w:hAnsi="Arial Narrow"/>
                <w:iCs/>
                <w:color w:val="000000"/>
                <w:sz w:val="20"/>
                <w:szCs w:val="20"/>
                <w:lang w:bidi="th-TH"/>
              </w:rPr>
            </w:pPr>
          </w:p>
        </w:tc>
        <w:tc>
          <w:tcPr>
            <w:tcW w:w="4216" w:type="dxa"/>
            <w:noWrap/>
          </w:tcPr>
          <w:p w:rsidR="00480BC2" w:rsidRPr="0021414C" w:rsidRDefault="00480BC2" w:rsidP="00480BC2">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1+2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80BC2" w:rsidRPr="0061241D" w:rsidRDefault="0061241D" w:rsidP="00480BC2">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p w:rsidR="0037759C" w:rsidRPr="0021414C" w:rsidRDefault="0037759C" w:rsidP="00480BC2">
            <w:pPr>
              <w:keepNext/>
              <w:keepLines/>
              <w:jc w:val="center"/>
              <w:rPr>
                <w:rFonts w:ascii="Arial Narrow" w:hAnsi="Arial Narrow"/>
                <w:iCs/>
                <w:color w:val="000000"/>
                <w:sz w:val="20"/>
                <w:szCs w:val="20"/>
              </w:rPr>
            </w:pPr>
            <w:r w:rsidRPr="0021414C">
              <w:rPr>
                <w:rFonts w:ascii="Arial Narrow" w:hAnsi="Arial Narrow"/>
                <w:iCs/>
                <w:color w:val="000000"/>
                <w:sz w:val="20"/>
                <w:szCs w:val="20"/>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80BC2" w:rsidRPr="0061241D" w:rsidRDefault="0061241D" w:rsidP="00480BC2">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37759C" w:rsidRPr="0021414C" w:rsidRDefault="0037759C" w:rsidP="00480BC2">
            <w:pPr>
              <w:keepNext/>
              <w:keepLines/>
              <w:jc w:val="center"/>
              <w:rPr>
                <w:rFonts w:ascii="Arial Narrow" w:hAnsi="Arial Narrow"/>
                <w:iCs/>
                <w:color w:val="000000"/>
                <w:sz w:val="20"/>
                <w:szCs w:val="20"/>
              </w:rPr>
            </w:pPr>
            <w:r w:rsidRPr="0021414C">
              <w:rPr>
                <w:rFonts w:ascii="Arial Narrow" w:hAnsi="Arial Narrow"/>
                <w:iCs/>
                <w:color w:val="000000"/>
                <w:sz w:val="20"/>
                <w:szCs w:val="20"/>
              </w:rPr>
              <w:t>(11%)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0BC2" w:rsidRPr="0061241D" w:rsidRDefault="0061241D" w:rsidP="00480BC2">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636181" w:rsidRPr="0021414C" w:rsidRDefault="00636181" w:rsidP="00480BC2">
            <w:pPr>
              <w:keepNext/>
              <w:keepLines/>
              <w:jc w:val="center"/>
              <w:rPr>
                <w:rFonts w:ascii="Arial Narrow" w:hAnsi="Arial Narrow"/>
                <w:iCs/>
                <w:color w:val="000000"/>
                <w:sz w:val="20"/>
                <w:szCs w:val="20"/>
              </w:rPr>
            </w:pPr>
            <w:r w:rsidRPr="0021414C">
              <w:rPr>
                <w:rFonts w:ascii="Arial Narrow" w:hAnsi="Arial Narrow"/>
                <w:iCs/>
                <w:color w:val="000000"/>
                <w:sz w:val="20"/>
                <w:szCs w:val="20"/>
              </w:rPr>
              <w:t>(-6%)</w:t>
            </w:r>
          </w:p>
        </w:tc>
      </w:tr>
      <w:tr w:rsidR="00480BC2" w:rsidRPr="0021414C" w:rsidTr="0021414C">
        <w:trPr>
          <w:trHeight w:val="255"/>
        </w:trPr>
        <w:tc>
          <w:tcPr>
            <w:tcW w:w="279" w:type="dxa"/>
          </w:tcPr>
          <w:p w:rsidR="00480BC2" w:rsidRPr="0021414C" w:rsidRDefault="00480BC2" w:rsidP="00480BC2">
            <w:pPr>
              <w:keepNext/>
              <w:keepLines/>
              <w:jc w:val="left"/>
              <w:rPr>
                <w:rFonts w:ascii="Arial Narrow" w:hAnsi="Arial Narrow"/>
                <w:iCs/>
                <w:color w:val="000000"/>
                <w:sz w:val="20"/>
                <w:szCs w:val="20"/>
                <w:lang w:bidi="th-TH"/>
              </w:rPr>
            </w:pPr>
          </w:p>
        </w:tc>
        <w:tc>
          <w:tcPr>
            <w:tcW w:w="4216" w:type="dxa"/>
            <w:noWrap/>
          </w:tcPr>
          <w:p w:rsidR="00480BC2" w:rsidRPr="0021414C" w:rsidRDefault="00480BC2" w:rsidP="00480BC2">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1+3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80BC2" w:rsidRPr="0061241D" w:rsidRDefault="0061241D" w:rsidP="00480BC2">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p w:rsidR="0037759C" w:rsidRPr="0021414C" w:rsidRDefault="0037759C" w:rsidP="00480BC2">
            <w:pPr>
              <w:keepNext/>
              <w:keepLines/>
              <w:jc w:val="center"/>
              <w:rPr>
                <w:rFonts w:ascii="Arial Narrow" w:hAnsi="Arial Narrow"/>
                <w:iCs/>
                <w:color w:val="000000"/>
                <w:sz w:val="20"/>
                <w:szCs w:val="20"/>
              </w:rPr>
            </w:pPr>
            <w:r w:rsidRPr="0021414C">
              <w:rPr>
                <w:rFonts w:ascii="Arial Narrow" w:hAnsi="Arial Narrow"/>
                <w:iCs/>
                <w:color w:val="000000"/>
                <w:sz w:val="20"/>
                <w:szCs w:val="20"/>
              </w:rPr>
              <w:t>(-9%)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80BC2" w:rsidRPr="0061241D" w:rsidRDefault="0061241D" w:rsidP="00480BC2">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37759C" w:rsidRPr="0021414C" w:rsidRDefault="0037759C" w:rsidP="00480BC2">
            <w:pPr>
              <w:keepNext/>
              <w:keepLines/>
              <w:jc w:val="center"/>
              <w:rPr>
                <w:rFonts w:ascii="Arial Narrow" w:hAnsi="Arial Narrow"/>
                <w:iCs/>
                <w:color w:val="000000"/>
                <w:sz w:val="20"/>
                <w:szCs w:val="20"/>
              </w:rPr>
            </w:pPr>
            <w:r w:rsidRPr="0021414C">
              <w:rPr>
                <w:rFonts w:ascii="Arial Narrow" w:hAnsi="Arial Narrow"/>
                <w:iCs/>
                <w:color w:val="000000"/>
                <w:sz w:val="20"/>
                <w:szCs w:val="20"/>
              </w:rPr>
              <w:t>(13%)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0BC2" w:rsidRPr="0061241D" w:rsidRDefault="0061241D" w:rsidP="00480BC2">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636181" w:rsidRPr="0021414C" w:rsidRDefault="00636181" w:rsidP="00480BC2">
            <w:pPr>
              <w:keepNext/>
              <w:keepLines/>
              <w:jc w:val="center"/>
              <w:rPr>
                <w:rFonts w:ascii="Arial Narrow" w:hAnsi="Arial Narrow"/>
                <w:iCs/>
                <w:color w:val="000000"/>
                <w:sz w:val="20"/>
                <w:szCs w:val="20"/>
              </w:rPr>
            </w:pPr>
            <w:r w:rsidRPr="0021414C">
              <w:rPr>
                <w:rFonts w:ascii="Arial Narrow" w:hAnsi="Arial Narrow"/>
                <w:iCs/>
                <w:color w:val="000000"/>
                <w:sz w:val="20"/>
                <w:szCs w:val="20"/>
              </w:rPr>
              <w:t>(-10%)</w:t>
            </w:r>
          </w:p>
        </w:tc>
      </w:tr>
      <w:tr w:rsidR="008852D8" w:rsidRPr="0021414C" w:rsidTr="0021414C">
        <w:trPr>
          <w:trHeight w:val="255"/>
        </w:trPr>
        <w:tc>
          <w:tcPr>
            <w:tcW w:w="279" w:type="dxa"/>
          </w:tcPr>
          <w:p w:rsidR="008852D8" w:rsidRPr="0021414C" w:rsidRDefault="008852D8" w:rsidP="008852D8">
            <w:pPr>
              <w:keepNext/>
              <w:keepLines/>
              <w:jc w:val="left"/>
              <w:rPr>
                <w:rFonts w:ascii="Arial Narrow" w:hAnsi="Arial Narrow"/>
                <w:iCs/>
                <w:color w:val="000000"/>
                <w:sz w:val="20"/>
                <w:szCs w:val="20"/>
                <w:lang w:bidi="th-TH"/>
              </w:rPr>
            </w:pPr>
          </w:p>
        </w:tc>
        <w:tc>
          <w:tcPr>
            <w:tcW w:w="4216" w:type="dxa"/>
            <w:noWrap/>
          </w:tcPr>
          <w:p w:rsidR="008852D8" w:rsidRPr="0021414C" w:rsidRDefault="008852D8" w:rsidP="008852D8">
            <w:pPr>
              <w:keepNext/>
              <w:keepLines/>
              <w:jc w:val="left"/>
              <w:rPr>
                <w:rFonts w:ascii="Arial Narrow" w:hAnsi="Arial Narrow"/>
                <w:iCs/>
                <w:color w:val="000000"/>
                <w:sz w:val="20"/>
                <w:szCs w:val="20"/>
                <w:lang w:bidi="th-TH"/>
              </w:rPr>
            </w:pPr>
            <w:r w:rsidRPr="0021414C">
              <w:rPr>
                <w:rFonts w:ascii="Arial Narrow" w:hAnsi="Arial Narrow"/>
                <w:iCs/>
                <w:color w:val="000000"/>
                <w:sz w:val="20"/>
                <w:szCs w:val="20"/>
                <w:lang w:bidi="th-TH"/>
              </w:rPr>
              <w:t>2+3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852D8" w:rsidRPr="0061241D" w:rsidRDefault="0061241D" w:rsidP="008852D8">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w:t>
            </w:r>
          </w:p>
          <w:p w:rsidR="008852D8" w:rsidRPr="0021414C" w:rsidRDefault="008852D8" w:rsidP="008852D8">
            <w:pPr>
              <w:keepNext/>
              <w:keepLines/>
              <w:jc w:val="center"/>
              <w:rPr>
                <w:rFonts w:ascii="Arial Narrow" w:hAnsi="Arial Narrow"/>
                <w:iCs/>
                <w:color w:val="000000"/>
                <w:sz w:val="20"/>
                <w:szCs w:val="20"/>
              </w:rPr>
            </w:pPr>
            <w:r w:rsidRPr="0021414C">
              <w:rPr>
                <w:rFonts w:ascii="Arial Narrow" w:hAnsi="Arial Narrow"/>
                <w:iCs/>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852D8" w:rsidRPr="0061241D" w:rsidRDefault="0061241D" w:rsidP="008852D8">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8852D8" w:rsidRPr="0021414C" w:rsidRDefault="008852D8" w:rsidP="008852D8">
            <w:pPr>
              <w:keepNext/>
              <w:keepLines/>
              <w:jc w:val="center"/>
              <w:rPr>
                <w:rFonts w:ascii="Arial Narrow" w:hAnsi="Arial Narrow"/>
                <w:iCs/>
                <w:color w:val="000000"/>
                <w:sz w:val="20"/>
                <w:szCs w:val="20"/>
              </w:rPr>
            </w:pPr>
            <w:r w:rsidRPr="0021414C">
              <w:rPr>
                <w:rFonts w:ascii="Arial Narrow" w:hAnsi="Arial Narrow"/>
                <w:iCs/>
                <w:color w:val="000000"/>
                <w:sz w:val="20"/>
                <w:szCs w:val="20"/>
              </w:rPr>
              <w:t>(-19%)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852D8" w:rsidRPr="0061241D" w:rsidRDefault="0061241D" w:rsidP="008852D8">
            <w:pPr>
              <w:keepNext/>
              <w:keepLines/>
              <w:jc w:val="center"/>
              <w:rPr>
                <w:rFonts w:ascii="Arial Narrow" w:hAnsi="Arial Narrow"/>
                <w:iCs/>
                <w:color w:val="000000"/>
                <w:sz w:val="20"/>
                <w:szCs w:val="20"/>
                <w:highlight w:val="black"/>
              </w:rPr>
            </w:pPr>
            <w:r>
              <w:rPr>
                <w:rFonts w:ascii="Arial Narrow" w:hAnsi="Arial Narrow"/>
                <w:iCs/>
                <w:noProof/>
                <w:color w:val="000000"/>
                <w:sz w:val="20"/>
                <w:szCs w:val="20"/>
                <w:highlight w:val="black"/>
              </w:rPr>
              <w:t>''''''''''''''''' '''''''''''''''</w:t>
            </w:r>
          </w:p>
          <w:p w:rsidR="008852D8" w:rsidRPr="0021414C" w:rsidRDefault="008852D8" w:rsidP="008852D8">
            <w:pPr>
              <w:keepNext/>
              <w:keepLines/>
              <w:jc w:val="center"/>
              <w:rPr>
                <w:rFonts w:ascii="Arial Narrow" w:hAnsi="Arial Narrow"/>
                <w:iCs/>
                <w:color w:val="000000"/>
                <w:sz w:val="20"/>
                <w:szCs w:val="20"/>
              </w:rPr>
            </w:pPr>
            <w:r w:rsidRPr="0021414C">
              <w:rPr>
                <w:rFonts w:ascii="Arial Narrow" w:hAnsi="Arial Narrow"/>
                <w:iCs/>
                <w:color w:val="000000"/>
                <w:sz w:val="20"/>
                <w:szCs w:val="20"/>
              </w:rPr>
              <w:t>(-19%)</w:t>
            </w:r>
          </w:p>
        </w:tc>
      </w:tr>
    </w:tbl>
    <w:p w:rsidR="009D051A" w:rsidRPr="00C24DBA" w:rsidRDefault="009D051A" w:rsidP="0021414C">
      <w:pPr>
        <w:pStyle w:val="TableFigureFooter"/>
      </w:pPr>
      <w:r w:rsidRPr="00C24DBA">
        <w:t xml:space="preserve">Source: </w:t>
      </w:r>
      <w:r w:rsidR="00A411E8" w:rsidRPr="00C24DBA">
        <w:t>developed using</w:t>
      </w:r>
      <w:r w:rsidRPr="00C24DBA">
        <w:t xml:space="preserve"> Control panel of Attachment 4 - Epidemiology model.xlsx</w:t>
      </w:r>
      <w:r w:rsidR="00A411E8" w:rsidRPr="00C24DBA">
        <w:t>; Section 4 cost and utilisation model.xlsx</w:t>
      </w:r>
      <w:r w:rsidR="00480BC2" w:rsidRPr="00C24DBA">
        <w:t>, Table 5 of the pre-PBAC response</w:t>
      </w:r>
    </w:p>
    <w:p w:rsidR="009D051A" w:rsidRPr="00C24DBA" w:rsidRDefault="009D051A" w:rsidP="0021414C">
      <w:pPr>
        <w:pStyle w:val="TableFigureFooter"/>
      </w:pPr>
      <w:r w:rsidRPr="00C24DBA">
        <w:t>Abbreviations:</w:t>
      </w:r>
      <w:r w:rsidR="00213510" w:rsidRPr="00C24DBA">
        <w:t xml:space="preserve"> 1L = first-line treatment;</w:t>
      </w:r>
      <w:r w:rsidRPr="00C24DBA">
        <w:t xml:space="preserve"> </w:t>
      </w:r>
      <w:r w:rsidR="0065518F" w:rsidRPr="00C24DBA">
        <w:t xml:space="preserve">2L = second-line treatment; 3L = third-line treatment; </w:t>
      </w:r>
      <w:r w:rsidR="00F20EE8" w:rsidRPr="00C24DBA">
        <w:rPr>
          <w:bCs/>
        </w:rPr>
        <w:t xml:space="preserve">DPMQ </w:t>
      </w:r>
      <w:r w:rsidR="00F20EE8" w:rsidRPr="00C24DBA">
        <w:t xml:space="preserve">= dispensed price for maximum quantity; DUSC = Drug Utilisation Sub Committee; </w:t>
      </w:r>
      <w:r w:rsidRPr="00C24DBA">
        <w:t>IO =</w:t>
      </w:r>
      <w:r w:rsidR="00A259FA" w:rsidRPr="00C24DBA">
        <w:t xml:space="preserve"> </w:t>
      </w:r>
      <w:r w:rsidRPr="00C24DBA">
        <w:t xml:space="preserve">immunotherapy; </w:t>
      </w:r>
      <w:r w:rsidR="005A5A74" w:rsidRPr="00C24DBA">
        <w:t xml:space="preserve">PBS = Pharmaceutical Benefits Scheme; RPBS = Repatriation Pharmaceutical Benefits Scheme; </w:t>
      </w:r>
      <w:r w:rsidRPr="00C24DBA">
        <w:t>RSA = Risk Sharing Agreement; TKI = tyrosine kinase inhibitor</w:t>
      </w:r>
    </w:p>
    <w:p w:rsidR="005C4305" w:rsidRPr="00C24DBA" w:rsidRDefault="00535AC2" w:rsidP="0021414C">
      <w:pPr>
        <w:pStyle w:val="TableFigureFooter"/>
      </w:pPr>
      <w:r w:rsidRPr="00C24DBA">
        <w:rPr>
          <w:vertAlign w:val="superscript"/>
        </w:rPr>
        <w:t>a</w:t>
      </w:r>
      <w:r w:rsidR="005C4305" w:rsidRPr="00C24DBA">
        <w:t xml:space="preserve"> Based on 6 years for consistency with the financial estimates.</w:t>
      </w:r>
    </w:p>
    <w:p w:rsidR="00000938" w:rsidRPr="00C24DBA" w:rsidRDefault="00DF19FC" w:rsidP="00812979">
      <w:pPr>
        <w:pStyle w:val="3-BodyText"/>
        <w:rPr>
          <w:rFonts w:ascii="Arial Narrow" w:hAnsi="Arial Narrow"/>
          <w:sz w:val="18"/>
          <w:szCs w:val="18"/>
        </w:rPr>
      </w:pPr>
      <w:r w:rsidRPr="00C24DBA">
        <w:t xml:space="preserve">The ESC </w:t>
      </w:r>
      <w:r w:rsidR="00000938" w:rsidRPr="00C24DBA">
        <w:t>considered that the key issues with the financial estimates were:</w:t>
      </w:r>
    </w:p>
    <w:p w:rsidR="00000938" w:rsidRPr="00C24DBA" w:rsidRDefault="00812979" w:rsidP="007A5CBF">
      <w:pPr>
        <w:pStyle w:val="3-BodyText"/>
        <w:numPr>
          <w:ilvl w:val="0"/>
          <w:numId w:val="14"/>
        </w:numPr>
        <w:spacing w:after="0"/>
        <w:rPr>
          <w:rFonts w:ascii="Arial Narrow" w:hAnsi="Arial Narrow"/>
          <w:sz w:val="18"/>
          <w:szCs w:val="18"/>
        </w:rPr>
      </w:pPr>
      <w:r w:rsidRPr="00C24DBA">
        <w:t>t</w:t>
      </w:r>
      <w:r w:rsidR="00000938" w:rsidRPr="00C24DBA">
        <w:t>he resubmission should have used the</w:t>
      </w:r>
      <w:r w:rsidR="00DF19FC" w:rsidRPr="00C24DBA">
        <w:t xml:space="preserve"> DUSC Secretariat’s estimate of the number of first-line treated patients</w:t>
      </w:r>
      <w:r w:rsidR="004A5F69" w:rsidRPr="00C24DBA">
        <w:t xml:space="preserve">. This was </w:t>
      </w:r>
      <w:r w:rsidR="00B76343" w:rsidRPr="00C24DBA">
        <w:t>address</w:t>
      </w:r>
      <w:r w:rsidR="004A5F69" w:rsidRPr="00C24DBA">
        <w:t>ed in the pre-PBAC response</w:t>
      </w:r>
      <w:r w:rsidR="00DF19FC" w:rsidRPr="00C24DBA">
        <w:t xml:space="preserve">; </w:t>
      </w:r>
    </w:p>
    <w:p w:rsidR="00000938" w:rsidRPr="00C24DBA" w:rsidRDefault="00812979" w:rsidP="007A5CBF">
      <w:pPr>
        <w:pStyle w:val="3-BodyText"/>
        <w:numPr>
          <w:ilvl w:val="0"/>
          <w:numId w:val="14"/>
        </w:numPr>
        <w:spacing w:after="0"/>
        <w:rPr>
          <w:rFonts w:ascii="Arial Narrow" w:hAnsi="Arial Narrow"/>
          <w:sz w:val="18"/>
          <w:szCs w:val="18"/>
        </w:rPr>
      </w:pPr>
      <w:r w:rsidRPr="00C24DBA">
        <w:t>t</w:t>
      </w:r>
      <w:r w:rsidR="00000938" w:rsidRPr="00C24DBA">
        <w:t xml:space="preserve">he </w:t>
      </w:r>
      <w:r w:rsidR="00DF19FC" w:rsidRPr="00C24DBA">
        <w:t xml:space="preserve">assumed market share of cabozantinib post-TKI </w:t>
      </w:r>
      <w:r w:rsidR="00000938" w:rsidRPr="00C24DBA">
        <w:t>of</w:t>
      </w:r>
      <w:r w:rsidR="00DF19FC" w:rsidRPr="00C24DBA">
        <w:t xml:space="preserve"> 40%</w:t>
      </w:r>
      <w:r w:rsidR="00000938" w:rsidRPr="00C24DBA">
        <w:t xml:space="preserve"> was likely overestimated</w:t>
      </w:r>
      <w:r w:rsidR="00DF19FC" w:rsidRPr="00C24DBA">
        <w:t xml:space="preserve">; </w:t>
      </w:r>
    </w:p>
    <w:p w:rsidR="00000938" w:rsidRPr="00C24DBA" w:rsidRDefault="00812979" w:rsidP="007A5CBF">
      <w:pPr>
        <w:pStyle w:val="3-BodyText"/>
        <w:numPr>
          <w:ilvl w:val="0"/>
          <w:numId w:val="14"/>
        </w:numPr>
        <w:spacing w:after="0"/>
        <w:rPr>
          <w:rFonts w:ascii="Arial Narrow" w:hAnsi="Arial Narrow"/>
          <w:sz w:val="18"/>
          <w:szCs w:val="18"/>
        </w:rPr>
      </w:pPr>
      <w:r w:rsidRPr="00C24DBA">
        <w:t>t</w:t>
      </w:r>
      <w:r w:rsidR="00000938" w:rsidRPr="00C24DBA">
        <w:t>he</w:t>
      </w:r>
      <w:r w:rsidR="00DF19FC" w:rsidRPr="00C24DBA">
        <w:t xml:space="preserve"> proportion of patients receiving second- and third-line treatment </w:t>
      </w:r>
      <w:r w:rsidR="004A5F69" w:rsidRPr="00C24DBA">
        <w:t xml:space="preserve">(77% and 64%, respectively) </w:t>
      </w:r>
      <w:r w:rsidR="00000938" w:rsidRPr="00C24DBA">
        <w:t>was likely overestimated.</w:t>
      </w:r>
      <w:r w:rsidR="004A5F69" w:rsidRPr="00C24DBA">
        <w:t xml:space="preserve"> The PBAC agreed with the ESC that this was overestimated</w:t>
      </w:r>
      <w:r w:rsidR="00F06437" w:rsidRPr="00C24DBA">
        <w:t>;</w:t>
      </w:r>
      <w:r w:rsidR="00000938" w:rsidRPr="00C24DBA">
        <w:t xml:space="preserve"> </w:t>
      </w:r>
    </w:p>
    <w:p w:rsidR="00000938" w:rsidRPr="00C24DBA" w:rsidRDefault="00000938" w:rsidP="00592A09">
      <w:pPr>
        <w:pStyle w:val="ListParagraph"/>
        <w:numPr>
          <w:ilvl w:val="0"/>
          <w:numId w:val="14"/>
        </w:numPr>
        <w:spacing w:after="0"/>
      </w:pPr>
      <w:r w:rsidRPr="00C24DBA">
        <w:t>first-line market shares: the estimated market share of NIVO+IPI in the first-line setting (33%) appeared to be underestimated</w:t>
      </w:r>
      <w:r w:rsidR="00812979" w:rsidRPr="00C24DBA">
        <w:t>,</w:t>
      </w:r>
      <w:r w:rsidRPr="00C24DBA">
        <w:t xml:space="preserve"> and the market share of </w:t>
      </w:r>
      <w:r w:rsidR="00F06437" w:rsidRPr="00C24DBA">
        <w:t>sunitinib and pazopanib</w:t>
      </w:r>
      <w:r w:rsidRPr="00C24DBA">
        <w:t xml:space="preserve"> (57%) appeared to be overestimate</w:t>
      </w:r>
      <w:r w:rsidR="00812979" w:rsidRPr="00C24DBA">
        <w:t>d</w:t>
      </w:r>
      <w:r w:rsidR="004A5F69" w:rsidRPr="00C24DBA">
        <w:t xml:space="preserve">. </w:t>
      </w:r>
      <w:r w:rsidR="00592A09" w:rsidRPr="00C24DBA">
        <w:t>The PBAC agreed with the ESC</w:t>
      </w:r>
      <w:r w:rsidR="00F06437" w:rsidRPr="00C24DBA">
        <w:t xml:space="preserve"> that the first-line market shares of NIVO+IPI and sunitinib/pazopanib did not appear to be reasonable.</w:t>
      </w:r>
      <w:r w:rsidRPr="00C24DBA">
        <w:t xml:space="preserve"> </w:t>
      </w:r>
    </w:p>
    <w:p w:rsidR="00812979" w:rsidRPr="00C24DBA" w:rsidRDefault="00812979" w:rsidP="007A5CBF">
      <w:pPr>
        <w:pStyle w:val="ListParagraph"/>
        <w:numPr>
          <w:ilvl w:val="0"/>
          <w:numId w:val="14"/>
        </w:numPr>
        <w:ind w:left="1077" w:hanging="357"/>
      </w:pPr>
      <w:r w:rsidRPr="00C24DBA">
        <w:t>the resubmission likely overestimated the duration of cabozantinib treatment in the second-line post-immunotherapy setting and the third-line (following NIVO+IPI and then a TKI) setting.</w:t>
      </w:r>
      <w:r w:rsidR="00A852FB" w:rsidRPr="00C24DBA">
        <w:t xml:space="preserve"> While these were adjusted in the pre-PBAC </w:t>
      </w:r>
      <w:r w:rsidR="00A852FB" w:rsidRPr="00C24DBA">
        <w:lastRenderedPageBreak/>
        <w:t>response, the PBAC considered the duration of cabozantinib therapy in these settings remained uncertain.</w:t>
      </w:r>
    </w:p>
    <w:p w:rsidR="00614341" w:rsidRPr="00C24DBA" w:rsidRDefault="00614341" w:rsidP="00C23DAA">
      <w:pPr>
        <w:pStyle w:val="3-BodyText"/>
        <w:numPr>
          <w:ilvl w:val="0"/>
          <w:numId w:val="0"/>
        </w:numPr>
        <w:spacing w:after="240"/>
        <w:rPr>
          <w:i/>
        </w:rPr>
      </w:pPr>
      <w:r w:rsidRPr="00C24DBA">
        <w:rPr>
          <w:i/>
        </w:rPr>
        <w:t>For more detail on PBAC’s view, see section 7 PBAC outcome.</w:t>
      </w:r>
    </w:p>
    <w:p w:rsidR="006B047C" w:rsidRPr="00C24DBA" w:rsidRDefault="006B047C" w:rsidP="006B047C">
      <w:pPr>
        <w:keepNext/>
        <w:widowControl w:val="0"/>
        <w:numPr>
          <w:ilvl w:val="0"/>
          <w:numId w:val="1"/>
        </w:numPr>
        <w:spacing w:before="240" w:after="120"/>
        <w:jc w:val="left"/>
        <w:outlineLvl w:val="0"/>
        <w:rPr>
          <w:rFonts w:asciiTheme="minorHAnsi" w:hAnsiTheme="minorHAnsi"/>
          <w:b/>
          <w:bCs/>
          <w:snapToGrid w:val="0"/>
          <w:sz w:val="32"/>
          <w:lang w:eastAsia="en-US"/>
        </w:rPr>
      </w:pPr>
      <w:r w:rsidRPr="00C24DBA">
        <w:rPr>
          <w:rFonts w:asciiTheme="minorHAnsi" w:hAnsiTheme="minorHAnsi"/>
          <w:b/>
          <w:bCs/>
          <w:snapToGrid w:val="0"/>
          <w:sz w:val="32"/>
          <w:lang w:eastAsia="en-US"/>
        </w:rPr>
        <w:t>PBAC Outcome</w:t>
      </w:r>
    </w:p>
    <w:p w:rsidR="006B047C" w:rsidRPr="00C24DBA" w:rsidRDefault="006B047C" w:rsidP="004E2246">
      <w:pPr>
        <w:pStyle w:val="3-BodyText"/>
        <w:rPr>
          <w:lang w:eastAsia="en-US"/>
        </w:rPr>
      </w:pPr>
      <w:r w:rsidRPr="00C24DBA">
        <w:rPr>
          <w:lang w:eastAsia="en-US"/>
        </w:rPr>
        <w:t xml:space="preserve">The PBAC recommended </w:t>
      </w:r>
      <w:r w:rsidR="0009132F" w:rsidRPr="00C24DBA">
        <w:rPr>
          <w:lang w:eastAsia="en-US"/>
        </w:rPr>
        <w:t xml:space="preserve">extending </w:t>
      </w:r>
      <w:r w:rsidRPr="00C24DBA">
        <w:rPr>
          <w:lang w:eastAsia="en-US"/>
        </w:rPr>
        <w:t xml:space="preserve">the </w:t>
      </w:r>
      <w:r w:rsidR="001527E2" w:rsidRPr="00C24DBA">
        <w:rPr>
          <w:lang w:eastAsia="en-US"/>
        </w:rPr>
        <w:t xml:space="preserve">PBS </w:t>
      </w:r>
      <w:r w:rsidRPr="00C24DBA">
        <w:rPr>
          <w:lang w:eastAsia="en-US"/>
        </w:rPr>
        <w:t xml:space="preserve">listing of </w:t>
      </w:r>
      <w:r w:rsidR="001E5EBE" w:rsidRPr="00C24DBA">
        <w:rPr>
          <w:lang w:eastAsia="en-US"/>
        </w:rPr>
        <w:t xml:space="preserve">cabozantinib </w:t>
      </w:r>
      <w:r w:rsidR="0009132F" w:rsidRPr="00C24DBA">
        <w:rPr>
          <w:bCs/>
          <w:lang w:eastAsia="en-US"/>
        </w:rPr>
        <w:t>to include</w:t>
      </w:r>
      <w:r w:rsidR="001E5EBE" w:rsidRPr="00C24DBA">
        <w:rPr>
          <w:bCs/>
          <w:lang w:eastAsia="en-US"/>
        </w:rPr>
        <w:t xml:space="preserve"> the treatment of patients with stage IV clear cell variant RCC who have not previously been treated with a TKI. </w:t>
      </w:r>
      <w:r w:rsidRPr="00C24DBA">
        <w:rPr>
          <w:lang w:eastAsia="en-US"/>
        </w:rPr>
        <w:t xml:space="preserve">The PBAC </w:t>
      </w:r>
      <w:r w:rsidR="001E5EBE" w:rsidRPr="00C24DBA">
        <w:rPr>
          <w:lang w:eastAsia="en-US"/>
        </w:rPr>
        <w:t>wa</w:t>
      </w:r>
      <w:r w:rsidRPr="00C24DBA">
        <w:rPr>
          <w:lang w:eastAsia="en-US"/>
        </w:rPr>
        <w:t xml:space="preserve">s satisfied that </w:t>
      </w:r>
      <w:r w:rsidR="001E5EBE" w:rsidRPr="00C24DBA">
        <w:rPr>
          <w:lang w:eastAsia="en-US"/>
        </w:rPr>
        <w:t xml:space="preserve">cabozantinib provides, for some patients, an </w:t>
      </w:r>
      <w:r w:rsidRPr="00C24DBA">
        <w:rPr>
          <w:lang w:eastAsia="en-US"/>
        </w:rPr>
        <w:t xml:space="preserve">improvement </w:t>
      </w:r>
      <w:r w:rsidR="001E5EBE" w:rsidRPr="00C24DBA">
        <w:rPr>
          <w:lang w:eastAsia="en-US"/>
        </w:rPr>
        <w:t>in PFS versus sunitinib</w:t>
      </w:r>
      <w:r w:rsidR="0009132F" w:rsidRPr="00C24DBA">
        <w:rPr>
          <w:lang w:eastAsia="en-US"/>
        </w:rPr>
        <w:t xml:space="preserve">, however an </w:t>
      </w:r>
      <w:r w:rsidR="001E5EBE" w:rsidRPr="00C24DBA">
        <w:rPr>
          <w:lang w:eastAsia="en-US"/>
        </w:rPr>
        <w:t>improvement in OS</w:t>
      </w:r>
      <w:r w:rsidR="0009132F" w:rsidRPr="00C24DBA">
        <w:rPr>
          <w:lang w:eastAsia="en-US"/>
        </w:rPr>
        <w:t xml:space="preserve"> was not supported by the evidence presented</w:t>
      </w:r>
      <w:r w:rsidR="001E5EBE" w:rsidRPr="00C24DBA">
        <w:rPr>
          <w:lang w:eastAsia="en-US"/>
        </w:rPr>
        <w:t xml:space="preserve">. </w:t>
      </w:r>
      <w:r w:rsidR="001E5EBE" w:rsidRPr="00C24DBA">
        <w:rPr>
          <w:bCs/>
          <w:lang w:eastAsia="en-US"/>
        </w:rPr>
        <w:t xml:space="preserve">The PBAC’s recommendation for listing was based on, among other matters, its assessment that the cost-effectiveness of cabozantinib </w:t>
      </w:r>
      <w:r w:rsidR="001E634B" w:rsidRPr="00C24DBA">
        <w:rPr>
          <w:bCs/>
          <w:lang w:eastAsia="en-US"/>
        </w:rPr>
        <w:t xml:space="preserve">in the new indication </w:t>
      </w:r>
      <w:r w:rsidR="001E5EBE" w:rsidRPr="00C24DBA">
        <w:rPr>
          <w:bCs/>
          <w:lang w:eastAsia="en-US"/>
        </w:rPr>
        <w:t xml:space="preserve">would be acceptable if </w:t>
      </w:r>
      <w:r w:rsidR="001E634B" w:rsidRPr="00C24DBA">
        <w:rPr>
          <w:bCs/>
          <w:lang w:eastAsia="en-US"/>
        </w:rPr>
        <w:t xml:space="preserve">the </w:t>
      </w:r>
      <w:r w:rsidR="001E634B" w:rsidRPr="00C24DBA">
        <w:rPr>
          <w:snapToGrid/>
        </w:rPr>
        <w:t>cost per day for cabozantinib is no higher than the average cost per day for sunitinib</w:t>
      </w:r>
      <w:r w:rsidR="001E5EBE" w:rsidRPr="00C24DBA">
        <w:rPr>
          <w:bCs/>
          <w:lang w:eastAsia="en-US"/>
        </w:rPr>
        <w:t xml:space="preserve">. </w:t>
      </w:r>
      <w:r w:rsidR="004E2246">
        <w:t xml:space="preserve">As cabozantinib is </w:t>
      </w:r>
      <w:r w:rsidR="002845B8">
        <w:t xml:space="preserve">expected to be </w:t>
      </w:r>
      <w:r w:rsidR="004E2246">
        <w:t>used for a longer duration</w:t>
      </w:r>
      <w:r w:rsidR="005551B3">
        <w:t xml:space="preserve"> due to increased PFS</w:t>
      </w:r>
      <w:r w:rsidR="004E2246">
        <w:t>, t</w:t>
      </w:r>
      <w:r w:rsidR="004E2246" w:rsidRPr="004E2246">
        <w:rPr>
          <w:bCs/>
          <w:lang w:eastAsia="en-US"/>
        </w:rPr>
        <w:t xml:space="preserve">he PBAC </w:t>
      </w:r>
      <w:r w:rsidR="004E2246">
        <w:rPr>
          <w:bCs/>
          <w:lang w:eastAsia="en-US"/>
        </w:rPr>
        <w:t>noted th</w:t>
      </w:r>
      <w:r w:rsidR="00AC4E9D">
        <w:rPr>
          <w:bCs/>
          <w:lang w:eastAsia="en-US"/>
        </w:rPr>
        <w:t xml:space="preserve">at cabozantinib </w:t>
      </w:r>
      <w:r w:rsidR="004E2246">
        <w:rPr>
          <w:bCs/>
          <w:lang w:eastAsia="en-US"/>
        </w:rPr>
        <w:t>would</w:t>
      </w:r>
      <w:r w:rsidR="004E2246" w:rsidRPr="004E2246">
        <w:rPr>
          <w:bCs/>
          <w:lang w:eastAsia="en-US"/>
        </w:rPr>
        <w:t xml:space="preserve"> result in a higher total estimated drug cost per patient </w:t>
      </w:r>
      <w:r w:rsidR="00AC4E9D">
        <w:rPr>
          <w:bCs/>
          <w:lang w:eastAsia="en-US"/>
        </w:rPr>
        <w:t>than sunitinib</w:t>
      </w:r>
      <w:r w:rsidR="004E2246" w:rsidRPr="004E2246">
        <w:rPr>
          <w:bCs/>
          <w:lang w:eastAsia="en-US"/>
        </w:rPr>
        <w:t xml:space="preserve"> and considered that this was appropriate because it would be offset by lower post-progression costs. </w:t>
      </w:r>
      <w:r w:rsidR="0055606E" w:rsidRPr="00C24DBA">
        <w:rPr>
          <w:bCs/>
          <w:lang w:eastAsia="en-US"/>
        </w:rPr>
        <w:t xml:space="preserve">The PBAC considered that the weighted price (across the new and existing indications) and </w:t>
      </w:r>
      <w:r w:rsidR="008A623C" w:rsidRPr="00C24DBA">
        <w:rPr>
          <w:bCs/>
          <w:lang w:eastAsia="en-US"/>
        </w:rPr>
        <w:t>RSA utilisation caps</w:t>
      </w:r>
      <w:r w:rsidR="0055606E" w:rsidRPr="00C24DBA">
        <w:rPr>
          <w:bCs/>
          <w:lang w:eastAsia="en-US"/>
        </w:rPr>
        <w:t xml:space="preserve"> should be lower than estimated in the pre-PBAC response, and that </w:t>
      </w:r>
      <w:r w:rsidR="001E5EBE" w:rsidRPr="00C24DBA">
        <w:rPr>
          <w:bCs/>
          <w:lang w:eastAsia="en-US"/>
        </w:rPr>
        <w:t>a</w:t>
      </w:r>
      <w:r w:rsidR="00D03F44">
        <w:rPr>
          <w:bCs/>
          <w:lang w:eastAsia="en-US"/>
        </w:rPr>
        <w:t>n</w:t>
      </w:r>
      <w:r w:rsidR="001E5EBE" w:rsidRPr="00C24DBA">
        <w:rPr>
          <w:bCs/>
          <w:lang w:eastAsia="en-US"/>
        </w:rPr>
        <w:t xml:space="preserve"> RSA would be </w:t>
      </w:r>
      <w:r w:rsidR="00F329E7" w:rsidRPr="00C24DBA">
        <w:rPr>
          <w:bCs/>
          <w:lang w:eastAsia="en-US"/>
        </w:rPr>
        <w:t xml:space="preserve">necessary </w:t>
      </w:r>
      <w:r w:rsidR="001E5EBE" w:rsidRPr="00C24DBA">
        <w:rPr>
          <w:bCs/>
          <w:lang w:eastAsia="en-US"/>
        </w:rPr>
        <w:t xml:space="preserve">to </w:t>
      </w:r>
      <w:r w:rsidR="00F329E7" w:rsidRPr="00C24DBA">
        <w:rPr>
          <w:rFonts w:ascii="Calibri" w:hAnsi="Calibri"/>
          <w:bCs/>
          <w:snapToGrid/>
          <w:lang w:eastAsia="en-US"/>
        </w:rPr>
        <w:t>minimise the risks associated with the uncertain patient population</w:t>
      </w:r>
      <w:r w:rsidRPr="00C24DBA">
        <w:rPr>
          <w:lang w:eastAsia="en-US"/>
        </w:rPr>
        <w:t>.</w:t>
      </w:r>
    </w:p>
    <w:p w:rsidR="00FB40A6" w:rsidRPr="00C24DBA" w:rsidRDefault="00FB40A6" w:rsidP="006B2961">
      <w:pPr>
        <w:pStyle w:val="3-BodyText"/>
        <w:rPr>
          <w:lang w:eastAsia="en-US"/>
        </w:rPr>
      </w:pPr>
      <w:r w:rsidRPr="00C24DBA">
        <w:rPr>
          <w:lang w:eastAsia="en-US"/>
        </w:rPr>
        <w:t xml:space="preserve">The PBAC reiterated its previous consideration that the clinical need for cabozantinib was limited given the availability of other therapies for this condition. </w:t>
      </w:r>
      <w:r w:rsidR="006B2961" w:rsidRPr="00C24DBA">
        <w:rPr>
          <w:lang w:eastAsia="en-US"/>
        </w:rPr>
        <w:t>In the treatment-naïve setting, the PBAC noted that NIVO+IPI is available and</w:t>
      </w:r>
      <w:r w:rsidR="001E634B" w:rsidRPr="00C24DBA">
        <w:rPr>
          <w:lang w:eastAsia="en-US"/>
        </w:rPr>
        <w:t xml:space="preserve"> that over time, immunotherapies are</w:t>
      </w:r>
      <w:r w:rsidR="006B2961" w:rsidRPr="00C24DBA">
        <w:rPr>
          <w:lang w:eastAsia="en-US"/>
        </w:rPr>
        <w:t xml:space="preserve"> </w:t>
      </w:r>
      <w:r w:rsidR="001E634B" w:rsidRPr="00C24DBA">
        <w:rPr>
          <w:lang w:eastAsia="en-US"/>
        </w:rPr>
        <w:t>expected to</w:t>
      </w:r>
      <w:r w:rsidR="006B2961" w:rsidRPr="00C24DBA">
        <w:rPr>
          <w:lang w:eastAsia="en-US"/>
        </w:rPr>
        <w:t xml:space="preserve"> be used in the majority of patients</w:t>
      </w:r>
      <w:r w:rsidR="00F329E7" w:rsidRPr="00C24DBA">
        <w:rPr>
          <w:lang w:eastAsia="en-US"/>
        </w:rPr>
        <w:t xml:space="preserve"> who are suitable for immunotherapy</w:t>
      </w:r>
      <w:r w:rsidR="006B2961" w:rsidRPr="00C24DBA">
        <w:rPr>
          <w:lang w:eastAsia="en-US"/>
        </w:rPr>
        <w:t xml:space="preserve">. </w:t>
      </w:r>
      <w:r w:rsidRPr="00C24DBA">
        <w:rPr>
          <w:lang w:eastAsia="en-US"/>
        </w:rPr>
        <w:t xml:space="preserve">In the TKI-naïve post-immunotherapy setting, the PBAC considered that the benefit of cabozantinib versus sunitinib was unknown given the limited trial evidence in this setting. </w:t>
      </w:r>
    </w:p>
    <w:p w:rsidR="001E5EBE" w:rsidRPr="00C24DBA" w:rsidRDefault="001E5EBE" w:rsidP="001E5EBE">
      <w:pPr>
        <w:pStyle w:val="3-BodyText"/>
        <w:rPr>
          <w:lang w:eastAsia="en-US"/>
        </w:rPr>
      </w:pPr>
      <w:r w:rsidRPr="00C24DBA">
        <w:rPr>
          <w:bCs/>
          <w:lang w:eastAsia="en-US"/>
        </w:rPr>
        <w:t xml:space="preserve">The resubmission nominated sunitinib as the main comparator. The PBAC considered this was appropriate. </w:t>
      </w:r>
    </w:p>
    <w:p w:rsidR="00854345" w:rsidRPr="00C24DBA" w:rsidRDefault="00FB40A6" w:rsidP="00F329E7">
      <w:pPr>
        <w:widowControl w:val="0"/>
        <w:numPr>
          <w:ilvl w:val="1"/>
          <w:numId w:val="1"/>
        </w:numPr>
        <w:spacing w:after="120"/>
        <w:rPr>
          <w:lang w:eastAsia="en-US"/>
        </w:rPr>
      </w:pPr>
      <w:r w:rsidRPr="00C24DBA">
        <w:rPr>
          <w:lang w:eastAsia="en-US"/>
        </w:rPr>
        <w:t>The PBAC noted that no new clinical data were provided in the resubmission</w:t>
      </w:r>
      <w:r w:rsidR="00854345" w:rsidRPr="00C24DBA">
        <w:rPr>
          <w:lang w:eastAsia="en-US"/>
        </w:rPr>
        <w:t xml:space="preserve">. The evidence in the treatment-naïve setting was based on the CABOSUN trial, a relatively small (n=157) Phase II open-label trial of cabozantinib versus sunitinib. The PBAC </w:t>
      </w:r>
      <w:r w:rsidRPr="00C24DBA">
        <w:rPr>
          <w:lang w:eastAsia="en-US"/>
        </w:rPr>
        <w:t>reiterated its previous advice that</w:t>
      </w:r>
      <w:r w:rsidR="00F329E7" w:rsidRPr="00C24DBA">
        <w:rPr>
          <w:lang w:eastAsia="en-US"/>
        </w:rPr>
        <w:t xml:space="preserve"> </w:t>
      </w:r>
      <w:r w:rsidR="00854345" w:rsidRPr="00C24DBA">
        <w:rPr>
          <w:lang w:eastAsia="en-US"/>
        </w:rPr>
        <w:t xml:space="preserve">while </w:t>
      </w:r>
      <w:r w:rsidR="00F329E7" w:rsidRPr="00C24DBA">
        <w:rPr>
          <w:lang w:eastAsia="en-US"/>
        </w:rPr>
        <w:t xml:space="preserve">the CABOSUN trial reported that cabozantinib was associated with </w:t>
      </w:r>
      <w:r w:rsidR="00854345" w:rsidRPr="00C24DBA">
        <w:rPr>
          <w:lang w:eastAsia="en-US"/>
        </w:rPr>
        <w:t>a statistically significant improvement in PFS</w:t>
      </w:r>
      <w:r w:rsidR="00F329E7" w:rsidRPr="00C24DBA">
        <w:rPr>
          <w:lang w:eastAsia="en-US"/>
        </w:rPr>
        <w:t>,</w:t>
      </w:r>
      <w:r w:rsidR="00854345" w:rsidRPr="00C24DBA">
        <w:rPr>
          <w:lang w:eastAsia="en-US"/>
        </w:rPr>
        <w:t xml:space="preserve"> the magnitude was uncertain and likely overestimated as the trial had a high risk of bias due to the open-label design and substantial differences in the investigator-assessed and IRC analyses of PFS. </w:t>
      </w:r>
      <w:r w:rsidR="00F329E7" w:rsidRPr="00C24DBA">
        <w:rPr>
          <w:lang w:eastAsia="en-US"/>
        </w:rPr>
        <w:t>Further, the PBAC noted that th</w:t>
      </w:r>
      <w:r w:rsidR="00854345" w:rsidRPr="00C24DBA">
        <w:rPr>
          <w:lang w:eastAsia="en-US"/>
        </w:rPr>
        <w:t xml:space="preserve">e difference in OS for cabozantinib versus sunitinib was not statistically significant and appeared to be decreasing with additional follow-up. </w:t>
      </w:r>
    </w:p>
    <w:p w:rsidR="00854345" w:rsidRPr="00C24DBA" w:rsidRDefault="00854345" w:rsidP="00854345">
      <w:pPr>
        <w:widowControl w:val="0"/>
        <w:numPr>
          <w:ilvl w:val="1"/>
          <w:numId w:val="1"/>
        </w:numPr>
        <w:spacing w:after="120"/>
        <w:rPr>
          <w:rFonts w:asciiTheme="minorHAnsi" w:hAnsiTheme="minorHAnsi"/>
          <w:bCs/>
          <w:snapToGrid w:val="0"/>
          <w:lang w:eastAsia="en-US"/>
        </w:rPr>
      </w:pPr>
      <w:r w:rsidRPr="00C24DBA">
        <w:t xml:space="preserve">In the TKI-naïve post-immunotherapy setting, the PBAC recalled that the studies presented were small, single arm, cohort studies that were not designed to investigate </w:t>
      </w:r>
      <w:r w:rsidRPr="00C24DBA">
        <w:lastRenderedPageBreak/>
        <w:t>the use of cabozantinib post-immunotherapy and did not provide comparative evidence versus sunitinib (or pazopanib). The PBAC reiterated its previous view that, given the paucity of evidence presented, the absolute and relative benefits of cabozantinib versus sunitinib were unknown in this setting</w:t>
      </w:r>
      <w:r w:rsidR="006B2961" w:rsidRPr="00C24DBA">
        <w:t xml:space="preserve"> (para 7.5, cabozantinib PSD, March 2020 PBAC meeting).</w:t>
      </w:r>
    </w:p>
    <w:p w:rsidR="00854345" w:rsidRPr="00C24DBA" w:rsidRDefault="00854345" w:rsidP="00854345">
      <w:pPr>
        <w:pStyle w:val="3-BodyText"/>
        <w:rPr>
          <w:rFonts w:cs="Calibri"/>
          <w:iCs/>
          <w:snapToGrid/>
        </w:rPr>
      </w:pPr>
      <w:r w:rsidRPr="00C24DBA">
        <w:rPr>
          <w:rFonts w:cs="Calibri"/>
          <w:iCs/>
          <w:snapToGrid/>
        </w:rPr>
        <w:t>The PBAC considered that the claim of non-inferior (different but broadly comparable) comparative safety versus sunitinib was reasonable.</w:t>
      </w:r>
    </w:p>
    <w:p w:rsidR="00F96DE3" w:rsidRPr="00C24DBA" w:rsidRDefault="00854345" w:rsidP="00F96DE3">
      <w:pPr>
        <w:pStyle w:val="3-BodyText"/>
        <w:rPr>
          <w:rFonts w:ascii="Calibri" w:hAnsi="Calibri"/>
          <w:snapToGrid/>
        </w:rPr>
      </w:pPr>
      <w:r w:rsidRPr="00C24DBA">
        <w:rPr>
          <w:rFonts w:cs="Calibri"/>
          <w:iCs/>
        </w:rPr>
        <w:t>The resubmission</w:t>
      </w:r>
      <w:r w:rsidR="00F96DE3" w:rsidRPr="00C24DBA">
        <w:rPr>
          <w:rFonts w:cs="Calibri"/>
          <w:iCs/>
        </w:rPr>
        <w:t xml:space="preserve"> presented a</w:t>
      </w:r>
      <w:r w:rsidRPr="00C24DBA">
        <w:rPr>
          <w:rFonts w:cs="Calibri"/>
          <w:iCs/>
        </w:rPr>
        <w:t xml:space="preserve"> cost-analysis</w:t>
      </w:r>
      <w:r w:rsidR="0055606E" w:rsidRPr="00C24DBA">
        <w:rPr>
          <w:rFonts w:cs="Calibri"/>
          <w:iCs/>
        </w:rPr>
        <w:t xml:space="preserve"> versus sunitinib</w:t>
      </w:r>
      <w:r w:rsidRPr="00C24DBA">
        <w:rPr>
          <w:rFonts w:cs="Calibri"/>
          <w:iCs/>
        </w:rPr>
        <w:t xml:space="preserve"> </w:t>
      </w:r>
      <w:r w:rsidR="004713CE" w:rsidRPr="00C24DBA">
        <w:rPr>
          <w:rFonts w:cs="Calibri"/>
          <w:iCs/>
        </w:rPr>
        <w:t xml:space="preserve">that </w:t>
      </w:r>
      <w:r w:rsidRPr="00C24DBA">
        <w:t>account</w:t>
      </w:r>
      <w:r w:rsidR="00F96DE3" w:rsidRPr="00C24DBA">
        <w:t>ed for</w:t>
      </w:r>
      <w:r w:rsidRPr="00C24DBA">
        <w:t xml:space="preserve"> differences in treatment duration and time on post-progression therapy </w:t>
      </w:r>
      <w:r w:rsidR="0055606E" w:rsidRPr="00C24DBA">
        <w:t>(assuming no</w:t>
      </w:r>
      <w:r w:rsidR="00F96DE3" w:rsidRPr="00C24DBA">
        <w:t xml:space="preserve"> difference in OS between arms). </w:t>
      </w:r>
      <w:r w:rsidR="00F96DE3" w:rsidRPr="00C24DBA">
        <w:rPr>
          <w:rFonts w:ascii="Calibri" w:hAnsi="Calibri"/>
          <w:snapToGrid/>
        </w:rPr>
        <w:t xml:space="preserve">The PBAC noted that there were uncertainties regarding the proportion of patients who require post-progression treatment and the cost of post progression treatment, but overall accepted that the analysis adequately demonstrated that cabozantinib is cost-effective if the cost per day for cabozantinib that is no higher than the average cost per day for sunitinib. </w:t>
      </w:r>
    </w:p>
    <w:p w:rsidR="008E2C65" w:rsidRPr="00C24DBA" w:rsidRDefault="00854345" w:rsidP="00683851">
      <w:pPr>
        <w:widowControl w:val="0"/>
        <w:numPr>
          <w:ilvl w:val="1"/>
          <w:numId w:val="1"/>
        </w:numPr>
        <w:rPr>
          <w:rFonts w:cs="Calibri"/>
          <w:iCs/>
        </w:rPr>
      </w:pPr>
      <w:r w:rsidRPr="00C24DBA">
        <w:t>The PBAC considered that the resubmission’s assumption that</w:t>
      </w:r>
      <w:r w:rsidR="008E2C65" w:rsidRPr="00C24DBA">
        <w:t xml:space="preserve"> the following doses (based on the average daily doses in CABOSUN) would achieve similar OS outcomes was reasonable:</w:t>
      </w:r>
    </w:p>
    <w:p w:rsidR="008E2C65" w:rsidRPr="00C24DBA" w:rsidRDefault="00854345" w:rsidP="00683851">
      <w:pPr>
        <w:pStyle w:val="3-BodyText"/>
        <w:numPr>
          <w:ilvl w:val="0"/>
          <w:numId w:val="18"/>
        </w:numPr>
        <w:spacing w:after="0"/>
        <w:ind w:left="1077" w:hanging="357"/>
        <w:rPr>
          <w:rFonts w:cs="Calibri"/>
          <w:iCs/>
          <w:snapToGrid/>
        </w:rPr>
      </w:pPr>
      <w:r w:rsidRPr="00C24DBA">
        <w:rPr>
          <w:rFonts w:ascii="Calibri" w:hAnsi="Calibri"/>
          <w:snapToGrid/>
        </w:rPr>
        <w:t>cabozantinib 49.4 mg daily</w:t>
      </w:r>
      <w:r w:rsidR="00072698">
        <w:rPr>
          <w:rFonts w:ascii="Calibri" w:hAnsi="Calibri"/>
          <w:snapToGrid/>
        </w:rPr>
        <w:t xml:space="preserve">; and </w:t>
      </w:r>
    </w:p>
    <w:p w:rsidR="008E2C65" w:rsidRPr="00C24DBA" w:rsidRDefault="008E2C65" w:rsidP="007A5CBF">
      <w:pPr>
        <w:pStyle w:val="3-BodyText"/>
        <w:numPr>
          <w:ilvl w:val="0"/>
          <w:numId w:val="18"/>
        </w:numPr>
        <w:rPr>
          <w:rFonts w:cs="Calibri"/>
          <w:iCs/>
          <w:snapToGrid/>
        </w:rPr>
      </w:pPr>
      <w:r w:rsidRPr="00C24DBA">
        <w:rPr>
          <w:rFonts w:ascii="Calibri" w:hAnsi="Calibri"/>
          <w:snapToGrid/>
        </w:rPr>
        <w:t>sunitinib 4</w:t>
      </w:r>
      <w:r w:rsidR="008D2E72">
        <w:rPr>
          <w:rFonts w:ascii="Calibri" w:hAnsi="Calibri"/>
          <w:snapToGrid/>
        </w:rPr>
        <w:t>3</w:t>
      </w:r>
      <w:r w:rsidRPr="00C24DBA">
        <w:rPr>
          <w:rFonts w:ascii="Calibri" w:hAnsi="Calibri"/>
          <w:snapToGrid/>
        </w:rPr>
        <w:t>.7 mg daily</w:t>
      </w:r>
      <w:r w:rsidR="00D7658A">
        <w:rPr>
          <w:rFonts w:ascii="Calibri" w:hAnsi="Calibri"/>
          <w:snapToGrid/>
        </w:rPr>
        <w:t xml:space="preserve"> for 4 weeks of a 6-week treatment cycle</w:t>
      </w:r>
      <w:r w:rsidR="001527E2" w:rsidRPr="00C24DBA">
        <w:rPr>
          <w:rFonts w:ascii="Calibri" w:hAnsi="Calibri"/>
          <w:snapToGrid/>
        </w:rPr>
        <w:t>.</w:t>
      </w:r>
      <w:r w:rsidR="00854345" w:rsidRPr="00C24DBA">
        <w:rPr>
          <w:rFonts w:ascii="Calibri" w:hAnsi="Calibri"/>
          <w:snapToGrid/>
        </w:rPr>
        <w:t xml:space="preserve"> </w:t>
      </w:r>
    </w:p>
    <w:p w:rsidR="008E2C65" w:rsidRPr="00166BEE" w:rsidRDefault="00882C2C" w:rsidP="00D7658A">
      <w:pPr>
        <w:pStyle w:val="3-BodyText"/>
        <w:rPr>
          <w:rFonts w:ascii="Times New Roman" w:hAnsi="Times New Roman" w:cs="Times New Roman"/>
          <w:lang w:eastAsia="en-US"/>
        </w:rPr>
      </w:pPr>
      <w:r w:rsidRPr="00882C2C">
        <w:t>The PBAC noted that these daily doses were</w:t>
      </w:r>
      <w:r w:rsidRPr="00166BEE">
        <w:rPr>
          <w:rFonts w:ascii="Calibri" w:hAnsi="Calibri"/>
        </w:rPr>
        <w:t xml:space="preserve"> </w:t>
      </w:r>
      <w:r w:rsidR="00166BEE" w:rsidRPr="00166BEE">
        <w:rPr>
          <w:rFonts w:ascii="Calibri" w:hAnsi="Calibri"/>
        </w:rPr>
        <w:t xml:space="preserve">then applied to </w:t>
      </w:r>
      <w:r w:rsidRPr="00C24DBA">
        <w:t>the time on treatment from CABOSUN extrapolated over a 7.5 year time horizon</w:t>
      </w:r>
      <w:r>
        <w:t>, with cabozantinib</w:t>
      </w:r>
      <w:r w:rsidR="00166BEE">
        <w:t>-treated patients</w:t>
      </w:r>
      <w:r>
        <w:t xml:space="preserve"> staying </w:t>
      </w:r>
      <w:r w:rsidRPr="0026726D">
        <w:t>on treatment for 12.6 months</w:t>
      </w:r>
      <w:r w:rsidR="00992C74" w:rsidRPr="0026726D">
        <w:rPr>
          <w:rStyle w:val="FootnoteReference"/>
        </w:rPr>
        <w:footnoteReference w:id="4"/>
      </w:r>
      <w:r w:rsidRPr="0026726D">
        <w:t>, and sunitinib</w:t>
      </w:r>
      <w:r w:rsidR="00166BEE" w:rsidRPr="0026726D">
        <w:t>-treated</w:t>
      </w:r>
      <w:r w:rsidRPr="0026726D">
        <w:t xml:space="preserve"> patients </w:t>
      </w:r>
      <w:r w:rsidR="00683851" w:rsidRPr="0026726D">
        <w:t>staying on treatment</w:t>
      </w:r>
      <w:r w:rsidRPr="0026726D">
        <w:t xml:space="preserve"> for 7.2 months</w:t>
      </w:r>
      <w:r w:rsidR="00992C74" w:rsidRPr="0026726D">
        <w:rPr>
          <w:vertAlign w:val="superscript"/>
        </w:rPr>
        <w:t>4</w:t>
      </w:r>
      <w:r w:rsidRPr="0026726D">
        <w:t xml:space="preserve">. </w:t>
      </w:r>
      <w:r w:rsidR="00683851" w:rsidRPr="0026726D">
        <w:t>T</w:t>
      </w:r>
      <w:r w:rsidRPr="0026726D">
        <w:t xml:space="preserve">his will likely result in a higher total estimated </w:t>
      </w:r>
      <w:r w:rsidR="00166BEE" w:rsidRPr="0026726D">
        <w:t xml:space="preserve">drug </w:t>
      </w:r>
      <w:r w:rsidRPr="0026726D">
        <w:t>cost per patient for cabozantinib</w:t>
      </w:r>
      <w:r w:rsidR="00683851" w:rsidRPr="0026726D">
        <w:t xml:space="preserve">, which the PBAC </w:t>
      </w:r>
      <w:r w:rsidRPr="0026726D">
        <w:t>considered t</w:t>
      </w:r>
      <w:r w:rsidR="00683851" w:rsidRPr="0026726D">
        <w:t>o be</w:t>
      </w:r>
      <w:r w:rsidRPr="0026726D">
        <w:t xml:space="preserve"> appropriate</w:t>
      </w:r>
      <w:r w:rsidR="00166BEE" w:rsidRPr="0026726D">
        <w:t>, because it would be offset by lower post-progression costs</w:t>
      </w:r>
      <w:r w:rsidRPr="0026726D">
        <w:t>.</w:t>
      </w:r>
      <w:r w:rsidR="00166BEE" w:rsidRPr="0026726D">
        <w:t xml:space="preserve"> </w:t>
      </w:r>
      <w:r w:rsidR="00683851" w:rsidRPr="0026726D">
        <w:t>T</w:t>
      </w:r>
      <w:r w:rsidR="008E2C65" w:rsidRPr="0026726D">
        <w:t xml:space="preserve">he resubmission </w:t>
      </w:r>
      <w:r w:rsidR="00683851" w:rsidRPr="0026726D">
        <w:t>assumed</w:t>
      </w:r>
      <w:r w:rsidR="008E2C65" w:rsidRPr="0026726D">
        <w:t xml:space="preserve"> </w:t>
      </w:r>
      <w:r w:rsidR="00526066" w:rsidRPr="0026726D">
        <w:t xml:space="preserve">cabozantinib </w:t>
      </w:r>
      <w:r w:rsidR="00683851" w:rsidRPr="0026726D">
        <w:t xml:space="preserve">would </w:t>
      </w:r>
      <w:r w:rsidR="00526066" w:rsidRPr="0026726D">
        <w:t>requir</w:t>
      </w:r>
      <w:r w:rsidR="00683851" w:rsidRPr="0026726D">
        <w:t>e</w:t>
      </w:r>
      <w:r w:rsidR="00526066" w:rsidRPr="0026726D">
        <w:t xml:space="preserve"> </w:t>
      </w:r>
      <w:r w:rsidR="008E2C65" w:rsidRPr="0026726D">
        <w:t>a shorter duration of post-progression treatment than sunitinib (</w:t>
      </w:r>
      <w:r w:rsidR="00584B75" w:rsidRPr="0026726D">
        <w:t>16.8</w:t>
      </w:r>
      <w:r w:rsidR="00992C74" w:rsidRPr="0026726D">
        <w:rPr>
          <w:vertAlign w:val="superscript"/>
        </w:rPr>
        <w:t>4</w:t>
      </w:r>
      <w:r w:rsidR="00584B75" w:rsidRPr="0026726D">
        <w:t xml:space="preserve"> versus </w:t>
      </w:r>
      <w:r w:rsidR="008E2C65" w:rsidRPr="0026726D">
        <w:t>24.5</w:t>
      </w:r>
      <w:r w:rsidR="00992C74" w:rsidRPr="0026726D">
        <w:rPr>
          <w:vertAlign w:val="superscript"/>
        </w:rPr>
        <w:t>4</w:t>
      </w:r>
      <w:r w:rsidR="008E2C65" w:rsidRPr="0026726D">
        <w:t xml:space="preserve"> months</w:t>
      </w:r>
      <w:r w:rsidR="0072056C" w:rsidRPr="00C24DBA">
        <w:t>, respectively</w:t>
      </w:r>
      <w:r w:rsidR="008E2C65" w:rsidRPr="00C24DBA">
        <w:t xml:space="preserve">). The PBAC considered this was reasonable given the </w:t>
      </w:r>
      <w:r w:rsidR="008E2C65" w:rsidRPr="00166BEE">
        <w:rPr>
          <w:bCs/>
        </w:rPr>
        <w:t>likely small</w:t>
      </w:r>
      <w:r w:rsidR="00440858" w:rsidRPr="00166BEE">
        <w:rPr>
          <w:bCs/>
        </w:rPr>
        <w:t xml:space="preserve"> (though uncertain)</w:t>
      </w:r>
      <w:r w:rsidR="008E2C65" w:rsidRPr="00166BEE">
        <w:rPr>
          <w:bCs/>
        </w:rPr>
        <w:t xml:space="preserve"> increase in PFS and the absence of a demonstrated OS benefit</w:t>
      </w:r>
      <w:r w:rsidR="008E2C65" w:rsidRPr="00166BEE">
        <w:rPr>
          <w:iCs/>
        </w:rPr>
        <w:t>.</w:t>
      </w:r>
    </w:p>
    <w:p w:rsidR="00100514" w:rsidRPr="00C24DBA" w:rsidRDefault="004A5F69" w:rsidP="00100514">
      <w:pPr>
        <w:pStyle w:val="3-BodyText"/>
      </w:pPr>
      <w:r w:rsidRPr="00C24DBA">
        <w:t xml:space="preserve">The PBAC considered that the revised financial estimates in the pre-PBAC response </w:t>
      </w:r>
      <w:r w:rsidR="008852D8" w:rsidRPr="00C24DBA">
        <w:t xml:space="preserve">had </w:t>
      </w:r>
      <w:r w:rsidRPr="00C24DBA">
        <w:t>addressed the ESC’s concerns</w:t>
      </w:r>
      <w:r w:rsidR="00592A09" w:rsidRPr="00C24DBA">
        <w:t xml:space="preserve"> regarding</w:t>
      </w:r>
      <w:r w:rsidR="00584B75" w:rsidRPr="00C24DBA">
        <w:t xml:space="preserve"> the overestimated </w:t>
      </w:r>
      <w:r w:rsidR="00584B75" w:rsidRPr="00C24DBA">
        <w:rPr>
          <w:iCs/>
        </w:rPr>
        <w:t>number of patients commencing first-line treatment</w:t>
      </w:r>
      <w:r w:rsidR="00592A09" w:rsidRPr="00C24DBA">
        <w:rPr>
          <w:iCs/>
        </w:rPr>
        <w:t>,</w:t>
      </w:r>
      <w:r w:rsidRPr="00C24DBA">
        <w:t xml:space="preserve"> </w:t>
      </w:r>
      <w:r w:rsidR="00726F34" w:rsidRPr="00C24DBA">
        <w:t xml:space="preserve">and the overestimated market share of cabozantinib in </w:t>
      </w:r>
      <w:r w:rsidR="00F06437" w:rsidRPr="00C24DBA">
        <w:t xml:space="preserve">the </w:t>
      </w:r>
      <w:r w:rsidR="00726F34" w:rsidRPr="00C24DBA">
        <w:t xml:space="preserve">third-line </w:t>
      </w:r>
      <w:r w:rsidR="00F06437" w:rsidRPr="00C24DBA">
        <w:t xml:space="preserve">setting </w:t>
      </w:r>
      <w:r w:rsidR="00726F34" w:rsidRPr="00C24DBA">
        <w:t xml:space="preserve">(following NIVO+IPI and then a TKI). </w:t>
      </w:r>
      <w:r w:rsidRPr="00C24DBA">
        <w:t xml:space="preserve">However, the PBAC considered that </w:t>
      </w:r>
      <w:r w:rsidR="00100514" w:rsidRPr="00C24DBA">
        <w:t xml:space="preserve">the pre-PBAC response’s estimates continued to overestimate the relative use of cabozantinib in the post-TKI setting (which has a higher price), and thus overestimated the weighting applied to the price of cabozantinib in the post-TKI </w:t>
      </w:r>
      <w:r w:rsidR="00100514" w:rsidRPr="00C24DBA">
        <w:lastRenderedPageBreak/>
        <w:t>setting (</w:t>
      </w:r>
      <w:r w:rsidR="0061241D">
        <w:rPr>
          <w:noProof/>
          <w:color w:val="000000"/>
          <w:highlight w:val="black"/>
        </w:rPr>
        <w:t>'''''</w:t>
      </w:r>
      <w:r w:rsidR="00100514" w:rsidRPr="00C24DBA">
        <w:t>%) relative to the TKI-naive setting (</w:t>
      </w:r>
      <w:r w:rsidR="0061241D">
        <w:rPr>
          <w:noProof/>
          <w:color w:val="000000"/>
          <w:highlight w:val="black"/>
        </w:rPr>
        <w:t>'''''</w:t>
      </w:r>
      <w:r w:rsidR="00100514" w:rsidRPr="00C24DBA">
        <w:t>%) in forming the combined weighted price. This overestimated the weighted price. The PBAC considered that the key reasons for this were:</w:t>
      </w:r>
    </w:p>
    <w:p w:rsidR="007C6DEF" w:rsidRPr="00C24DBA" w:rsidRDefault="007C6DEF" w:rsidP="001527E2">
      <w:pPr>
        <w:pStyle w:val="3-BodyText"/>
        <w:numPr>
          <w:ilvl w:val="0"/>
          <w:numId w:val="18"/>
        </w:numPr>
        <w:spacing w:after="0"/>
        <w:ind w:left="1077" w:hanging="357"/>
        <w:rPr>
          <w:rFonts w:ascii="Calibri" w:hAnsi="Calibri"/>
          <w:iCs/>
          <w:snapToGrid/>
        </w:rPr>
      </w:pPr>
      <w:r w:rsidRPr="00C24DBA">
        <w:rPr>
          <w:rFonts w:ascii="Calibri" w:hAnsi="Calibri"/>
          <w:iCs/>
          <w:snapToGrid/>
        </w:rPr>
        <w:t>the proportion of patients receiving second- and third-line treatment (77% and 64%, respectively) was likely overestimated</w:t>
      </w:r>
      <w:r w:rsidR="00F06437" w:rsidRPr="00C24DBA">
        <w:rPr>
          <w:rFonts w:ascii="Calibri" w:hAnsi="Calibri"/>
          <w:iCs/>
          <w:snapToGrid/>
        </w:rPr>
        <w:t>; and</w:t>
      </w:r>
      <w:r w:rsidRPr="00C24DBA">
        <w:rPr>
          <w:rFonts w:ascii="Calibri" w:hAnsi="Calibri"/>
          <w:iCs/>
          <w:snapToGrid/>
        </w:rPr>
        <w:t xml:space="preserve"> </w:t>
      </w:r>
    </w:p>
    <w:p w:rsidR="007C6DEF" w:rsidRPr="00C24DBA" w:rsidRDefault="007C6DEF" w:rsidP="007A5CBF">
      <w:pPr>
        <w:pStyle w:val="3-BodyText"/>
        <w:numPr>
          <w:ilvl w:val="0"/>
          <w:numId w:val="18"/>
        </w:numPr>
        <w:rPr>
          <w:rFonts w:ascii="Calibri" w:hAnsi="Calibri"/>
          <w:iCs/>
          <w:snapToGrid/>
        </w:rPr>
      </w:pPr>
      <w:r w:rsidRPr="00C24DBA">
        <w:rPr>
          <w:rFonts w:ascii="Calibri" w:hAnsi="Calibri"/>
          <w:iCs/>
          <w:snapToGrid/>
        </w:rPr>
        <w:t>first-line market shares: the estimated market share of NIVO+IPI in the first-line setting (33%) appeared to be underestimated, and the market share of sunitinib and pazopanib (57%) appeared to be overestimated</w:t>
      </w:r>
      <w:r w:rsidR="00F06437" w:rsidRPr="00C24DBA">
        <w:rPr>
          <w:rFonts w:ascii="Calibri" w:hAnsi="Calibri"/>
          <w:iCs/>
          <w:snapToGrid/>
        </w:rPr>
        <w:t>.</w:t>
      </w:r>
    </w:p>
    <w:p w:rsidR="008852D8" w:rsidRPr="00C24DBA" w:rsidRDefault="00100514" w:rsidP="00100514">
      <w:pPr>
        <w:widowControl w:val="0"/>
        <w:numPr>
          <w:ilvl w:val="1"/>
          <w:numId w:val="1"/>
        </w:numPr>
        <w:spacing w:after="120"/>
      </w:pPr>
      <w:r w:rsidRPr="00C24DBA">
        <w:t xml:space="preserve">In addition, the PBAC considered that </w:t>
      </w:r>
      <w:r w:rsidR="008852D8" w:rsidRPr="00C24DBA">
        <w:t>the resubmission likely overestimated the duration of cabozantinib treatment in the second-line post-immunotherapy setting and the third-line (following NIVO+IPI and then a TKI) setting</w:t>
      </w:r>
      <w:r w:rsidR="00F06437" w:rsidRPr="00C24DBA">
        <w:t>s</w:t>
      </w:r>
      <w:r w:rsidR="008852D8" w:rsidRPr="00C24DBA">
        <w:t xml:space="preserve">. While these were adjusted in the pre-PBAC response, the PBAC considered </w:t>
      </w:r>
      <w:r w:rsidR="006E70C0" w:rsidRPr="00C24DBA">
        <w:t xml:space="preserve">that </w:t>
      </w:r>
      <w:r w:rsidR="008852D8" w:rsidRPr="00C24DBA">
        <w:t>the duration of cabozantinib therapy in these settings remained uncertain.</w:t>
      </w:r>
    </w:p>
    <w:p w:rsidR="00CA57C3" w:rsidRPr="006C33E1" w:rsidRDefault="007C6DEF" w:rsidP="002B0A53">
      <w:pPr>
        <w:widowControl w:val="0"/>
        <w:numPr>
          <w:ilvl w:val="1"/>
          <w:numId w:val="1"/>
        </w:numPr>
        <w:spacing w:after="120"/>
        <w:contextualSpacing/>
        <w:rPr>
          <w:bCs/>
          <w:lang w:eastAsia="en-US"/>
        </w:rPr>
      </w:pPr>
      <w:r w:rsidRPr="006C33E1">
        <w:rPr>
          <w:rFonts w:asciiTheme="minorHAnsi" w:hAnsiTheme="minorHAnsi"/>
          <w:bCs/>
          <w:snapToGrid w:val="0"/>
          <w:lang w:eastAsia="en-US"/>
        </w:rPr>
        <w:t xml:space="preserve">The PBAC considered that </w:t>
      </w:r>
      <w:r w:rsidR="008852D8" w:rsidRPr="006C33E1">
        <w:rPr>
          <w:rFonts w:asciiTheme="minorHAnsi" w:hAnsiTheme="minorHAnsi"/>
          <w:bCs/>
          <w:snapToGrid w:val="0"/>
          <w:lang w:eastAsia="en-US"/>
        </w:rPr>
        <w:t xml:space="preserve">precise values for many of these parameters were </w:t>
      </w:r>
      <w:r w:rsidR="00CA57C3" w:rsidRPr="006C33E1">
        <w:rPr>
          <w:rFonts w:asciiTheme="minorHAnsi" w:hAnsiTheme="minorHAnsi"/>
          <w:bCs/>
          <w:snapToGrid w:val="0"/>
          <w:lang w:eastAsia="en-US"/>
        </w:rPr>
        <w:t>highly uncertain</w:t>
      </w:r>
      <w:r w:rsidR="00592A09" w:rsidRPr="006C33E1">
        <w:rPr>
          <w:rFonts w:asciiTheme="minorHAnsi" w:hAnsiTheme="minorHAnsi"/>
          <w:bCs/>
          <w:snapToGrid w:val="0"/>
          <w:lang w:eastAsia="en-US"/>
        </w:rPr>
        <w:t>. The PBAC</w:t>
      </w:r>
      <w:r w:rsidR="00100514" w:rsidRPr="006C33E1">
        <w:rPr>
          <w:rFonts w:asciiTheme="minorHAnsi" w:hAnsiTheme="minorHAnsi"/>
          <w:bCs/>
          <w:snapToGrid w:val="0"/>
          <w:lang w:eastAsia="en-US"/>
        </w:rPr>
        <w:t xml:space="preserve"> noted the sensitivity analyses presented in Table 1</w:t>
      </w:r>
      <w:r w:rsidR="004713CE" w:rsidRPr="006C33E1">
        <w:rPr>
          <w:rFonts w:asciiTheme="minorHAnsi" w:hAnsiTheme="minorHAnsi"/>
          <w:bCs/>
          <w:snapToGrid w:val="0"/>
          <w:lang w:eastAsia="en-US"/>
        </w:rPr>
        <w:t>5</w:t>
      </w:r>
      <w:r w:rsidR="00592A09" w:rsidRPr="006C33E1">
        <w:rPr>
          <w:rFonts w:asciiTheme="minorHAnsi" w:hAnsiTheme="minorHAnsi"/>
          <w:bCs/>
          <w:snapToGrid w:val="0"/>
          <w:lang w:eastAsia="en-US"/>
        </w:rPr>
        <w:t>, and o</w:t>
      </w:r>
      <w:r w:rsidR="00100514" w:rsidRPr="006C33E1">
        <w:rPr>
          <w:rFonts w:asciiTheme="minorHAnsi" w:hAnsiTheme="minorHAnsi"/>
          <w:bCs/>
          <w:snapToGrid w:val="0"/>
          <w:lang w:eastAsia="en-US"/>
        </w:rPr>
        <w:t>verall, considered that the range of more appropriate parameters would result in a reduction to the weighted price in the order of 6% to 9</w:t>
      </w:r>
      <w:r w:rsidR="00642FB5" w:rsidRPr="006C33E1">
        <w:rPr>
          <w:rFonts w:asciiTheme="minorHAnsi" w:hAnsiTheme="minorHAnsi"/>
          <w:bCs/>
          <w:snapToGrid w:val="0"/>
          <w:lang w:eastAsia="en-US"/>
        </w:rPr>
        <w:t xml:space="preserve">% </w:t>
      </w:r>
      <w:r w:rsidR="00100514" w:rsidRPr="006C33E1">
        <w:rPr>
          <w:rFonts w:asciiTheme="minorHAnsi" w:hAnsiTheme="minorHAnsi"/>
          <w:bCs/>
          <w:snapToGrid w:val="0"/>
          <w:lang w:eastAsia="en-US"/>
        </w:rPr>
        <w:t xml:space="preserve">compared with the pre-PBAC response. </w:t>
      </w:r>
      <w:r w:rsidR="006C33E1" w:rsidRPr="006C33E1">
        <w:rPr>
          <w:rFonts w:asciiTheme="minorHAnsi" w:hAnsiTheme="minorHAnsi"/>
          <w:bCs/>
          <w:snapToGrid w:val="0"/>
          <w:lang w:eastAsia="en-US"/>
        </w:rPr>
        <w:t>I</w:t>
      </w:r>
      <w:r w:rsidR="006C33E1">
        <w:rPr>
          <w:rFonts w:asciiTheme="minorHAnsi" w:hAnsiTheme="minorHAnsi"/>
          <w:bCs/>
          <w:snapToGrid w:val="0"/>
          <w:lang w:eastAsia="en-US"/>
        </w:rPr>
        <w:t>n particular, t</w:t>
      </w:r>
      <w:r w:rsidR="00CA57C3" w:rsidRPr="006C33E1">
        <w:rPr>
          <w:bCs/>
          <w:lang w:eastAsia="en-US"/>
        </w:rPr>
        <w:t xml:space="preserve">he PBAC considered that a scenario on which to base the weighted price and financial estimates </w:t>
      </w:r>
      <w:r w:rsidR="00F348C3" w:rsidRPr="006C33E1">
        <w:rPr>
          <w:bCs/>
          <w:lang w:eastAsia="en-US"/>
        </w:rPr>
        <w:t>should include</w:t>
      </w:r>
      <w:r w:rsidR="004E2246" w:rsidRPr="006C33E1">
        <w:rPr>
          <w:bCs/>
          <w:lang w:eastAsia="en-US"/>
        </w:rPr>
        <w:t xml:space="preserve"> the following assumptions</w:t>
      </w:r>
      <w:r w:rsidR="00CA57C3" w:rsidRPr="006C33E1">
        <w:rPr>
          <w:bCs/>
          <w:lang w:eastAsia="en-US"/>
        </w:rPr>
        <w:t>:</w:t>
      </w:r>
    </w:p>
    <w:p w:rsidR="00CA57C3" w:rsidRPr="001342DD" w:rsidRDefault="00CA57C3" w:rsidP="001342DD">
      <w:pPr>
        <w:pStyle w:val="3-BodyText"/>
        <w:numPr>
          <w:ilvl w:val="0"/>
          <w:numId w:val="26"/>
        </w:numPr>
        <w:contextualSpacing/>
        <w:rPr>
          <w:rFonts w:ascii="Calibri" w:hAnsi="Calibri"/>
          <w:bCs/>
          <w:snapToGrid/>
          <w:lang w:eastAsia="en-US"/>
        </w:rPr>
      </w:pPr>
      <w:r w:rsidRPr="001342DD">
        <w:rPr>
          <w:rFonts w:ascii="Calibri" w:hAnsi="Calibri"/>
          <w:bCs/>
          <w:snapToGrid/>
          <w:lang w:eastAsia="en-US"/>
        </w:rPr>
        <w:t>65% and 55% of patients receive second-</w:t>
      </w:r>
      <w:r w:rsidR="00F348C3" w:rsidRPr="001342DD">
        <w:rPr>
          <w:rFonts w:ascii="Calibri" w:hAnsi="Calibri"/>
          <w:bCs/>
          <w:snapToGrid/>
          <w:lang w:eastAsia="en-US"/>
        </w:rPr>
        <w:t>line</w:t>
      </w:r>
      <w:r w:rsidRPr="001342DD">
        <w:rPr>
          <w:rFonts w:ascii="Calibri" w:hAnsi="Calibri"/>
          <w:bCs/>
          <w:snapToGrid/>
          <w:lang w:eastAsia="en-US"/>
        </w:rPr>
        <w:t xml:space="preserve"> and third-l</w:t>
      </w:r>
      <w:r w:rsidR="00F348C3" w:rsidRPr="001342DD">
        <w:rPr>
          <w:rFonts w:ascii="Calibri" w:hAnsi="Calibri"/>
          <w:bCs/>
          <w:snapToGrid/>
          <w:lang w:eastAsia="en-US"/>
        </w:rPr>
        <w:t xml:space="preserve">ine treatment, respectively; </w:t>
      </w:r>
    </w:p>
    <w:p w:rsidR="00F348C3" w:rsidRPr="001342DD" w:rsidRDefault="00CA57C3" w:rsidP="001342DD">
      <w:pPr>
        <w:pStyle w:val="3-BodyText"/>
        <w:numPr>
          <w:ilvl w:val="0"/>
          <w:numId w:val="26"/>
        </w:numPr>
        <w:contextualSpacing/>
        <w:rPr>
          <w:rFonts w:ascii="Calibri" w:hAnsi="Calibri"/>
          <w:bCs/>
          <w:snapToGrid/>
          <w:lang w:eastAsia="en-US"/>
        </w:rPr>
      </w:pPr>
      <w:r w:rsidRPr="001342DD">
        <w:rPr>
          <w:rFonts w:ascii="Calibri" w:hAnsi="Calibri"/>
          <w:bCs/>
          <w:snapToGrid/>
          <w:lang w:eastAsia="en-US"/>
        </w:rPr>
        <w:t>a market share of NIVO+IPI i</w:t>
      </w:r>
      <w:r w:rsidR="00F348C3" w:rsidRPr="001342DD">
        <w:rPr>
          <w:rFonts w:ascii="Calibri" w:hAnsi="Calibri"/>
          <w:bCs/>
          <w:snapToGrid/>
          <w:lang w:eastAsia="en-US"/>
        </w:rPr>
        <w:t>n the first-line setting of 57%; and</w:t>
      </w:r>
    </w:p>
    <w:p w:rsidR="00F348C3" w:rsidRPr="001342DD" w:rsidRDefault="00CA57C3" w:rsidP="0021414C">
      <w:pPr>
        <w:pStyle w:val="3-BodyText"/>
        <w:numPr>
          <w:ilvl w:val="0"/>
          <w:numId w:val="26"/>
        </w:numPr>
        <w:rPr>
          <w:rFonts w:ascii="Calibri" w:hAnsi="Calibri"/>
          <w:bCs/>
          <w:snapToGrid/>
          <w:lang w:eastAsia="en-US"/>
        </w:rPr>
      </w:pPr>
      <w:r w:rsidRPr="001342DD">
        <w:rPr>
          <w:rFonts w:ascii="Calibri" w:hAnsi="Calibri"/>
          <w:bCs/>
          <w:snapToGrid/>
          <w:lang w:eastAsia="en-US"/>
        </w:rPr>
        <w:t>a market share of sunitinib and pazopanib in the first-line setting of 33%.</w:t>
      </w:r>
    </w:p>
    <w:p w:rsidR="00592A09" w:rsidRPr="00C24DBA" w:rsidRDefault="00F06437" w:rsidP="001342DD">
      <w:pPr>
        <w:pStyle w:val="3-BodyText"/>
        <w:contextualSpacing/>
        <w:rPr>
          <w:bCs/>
          <w:lang w:eastAsia="en-US"/>
        </w:rPr>
      </w:pPr>
      <w:r w:rsidRPr="001342DD">
        <w:rPr>
          <w:bCs/>
          <w:lang w:eastAsia="en-US"/>
        </w:rPr>
        <w:t xml:space="preserve">The PBAC </w:t>
      </w:r>
      <w:r w:rsidR="00F329E7" w:rsidRPr="001342DD">
        <w:rPr>
          <w:bCs/>
          <w:lang w:eastAsia="en-US"/>
        </w:rPr>
        <w:t xml:space="preserve">advised </w:t>
      </w:r>
      <w:r w:rsidRPr="001342DD">
        <w:rPr>
          <w:rFonts w:ascii="Calibri" w:hAnsi="Calibri"/>
          <w:bCs/>
          <w:snapToGrid/>
          <w:lang w:eastAsia="en-US"/>
        </w:rPr>
        <w:t xml:space="preserve">that a RSA with a </w:t>
      </w:r>
      <w:r w:rsidR="00880212">
        <w:rPr>
          <w:rFonts w:ascii="Calibri" w:hAnsi="Calibri"/>
          <w:bCs/>
          <w:noProof/>
          <w:snapToGrid/>
          <w:color w:val="000000"/>
          <w:highlight w:val="black"/>
          <w:lang w:eastAsia="en-US"/>
        </w:rPr>
        <w:t>'''''''</w:t>
      </w:r>
      <w:r w:rsidRPr="001342DD">
        <w:rPr>
          <w:rFonts w:ascii="Calibri" w:hAnsi="Calibri"/>
          <w:bCs/>
          <w:snapToGrid/>
          <w:lang w:eastAsia="en-US"/>
        </w:rPr>
        <w:t xml:space="preserve">% rebate for utilisation above the agreed estimates would </w:t>
      </w:r>
      <w:r w:rsidR="007306A8" w:rsidRPr="001342DD">
        <w:rPr>
          <w:rFonts w:ascii="Calibri" w:hAnsi="Calibri"/>
          <w:bCs/>
          <w:snapToGrid/>
          <w:lang w:eastAsia="en-US"/>
        </w:rPr>
        <w:t xml:space="preserve">be </w:t>
      </w:r>
      <w:r w:rsidR="00F329E7" w:rsidRPr="001342DD">
        <w:rPr>
          <w:rFonts w:ascii="Calibri" w:hAnsi="Calibri"/>
          <w:bCs/>
          <w:snapToGrid/>
          <w:lang w:eastAsia="en-US"/>
        </w:rPr>
        <w:t>necessary to minimise the risks associated</w:t>
      </w:r>
      <w:r w:rsidR="00F329E7" w:rsidRPr="00C24DBA">
        <w:rPr>
          <w:rFonts w:ascii="Calibri" w:hAnsi="Calibri"/>
          <w:bCs/>
          <w:snapToGrid/>
          <w:lang w:eastAsia="en-US"/>
        </w:rPr>
        <w:t xml:space="preserve"> with</w:t>
      </w:r>
      <w:r w:rsidRPr="00C24DBA">
        <w:rPr>
          <w:rFonts w:ascii="Calibri" w:hAnsi="Calibri"/>
          <w:bCs/>
          <w:snapToGrid/>
          <w:lang w:eastAsia="en-US"/>
        </w:rPr>
        <w:t xml:space="preserve"> the uncertain patient population</w:t>
      </w:r>
      <w:r w:rsidR="00642FB5" w:rsidRPr="00C24DBA">
        <w:rPr>
          <w:rFonts w:ascii="Calibri" w:hAnsi="Calibri"/>
          <w:bCs/>
          <w:snapToGrid/>
          <w:lang w:eastAsia="en-US"/>
        </w:rPr>
        <w:t xml:space="preserve">. The PBAC considered that only a small increase in the currently agreed caps would be justified </w:t>
      </w:r>
      <w:r w:rsidR="00642FB5" w:rsidRPr="001342DD">
        <w:rPr>
          <w:rFonts w:ascii="Calibri" w:hAnsi="Calibri"/>
          <w:bCs/>
          <w:snapToGrid/>
          <w:lang w:eastAsia="en-US"/>
        </w:rPr>
        <w:t xml:space="preserve">given the increasing role of immunotherapy in the treatment of RCC. The PBAC advised than </w:t>
      </w:r>
      <w:r w:rsidR="00F348C3" w:rsidRPr="001342DD">
        <w:rPr>
          <w:rFonts w:ascii="Calibri" w:hAnsi="Calibri"/>
          <w:bCs/>
          <w:snapToGrid/>
          <w:lang w:eastAsia="en-US"/>
        </w:rPr>
        <w:t>a new RSA cap encompassing all lines of therapy</w:t>
      </w:r>
      <w:r w:rsidR="00642FB5" w:rsidRPr="001342DD">
        <w:rPr>
          <w:rFonts w:ascii="Calibri" w:hAnsi="Calibri"/>
          <w:bCs/>
          <w:snapToGrid/>
          <w:lang w:eastAsia="en-US"/>
        </w:rPr>
        <w:t xml:space="preserve"> </w:t>
      </w:r>
      <w:r w:rsidR="00F348C3" w:rsidRPr="001342DD">
        <w:rPr>
          <w:rFonts w:ascii="Calibri" w:hAnsi="Calibri"/>
          <w:bCs/>
          <w:snapToGrid/>
          <w:lang w:eastAsia="en-US"/>
        </w:rPr>
        <w:t>should be based on the pre-PBAC response financial estimates, which should be further adjusted taking into account the recommended changes as per paragraph 7.1</w:t>
      </w:r>
      <w:r w:rsidR="00AC4E9D">
        <w:rPr>
          <w:rFonts w:ascii="Calibri" w:hAnsi="Calibri"/>
          <w:bCs/>
          <w:snapToGrid/>
          <w:lang w:eastAsia="en-US"/>
        </w:rPr>
        <w:t>2</w:t>
      </w:r>
      <w:r w:rsidR="00F348C3" w:rsidRPr="001342DD">
        <w:rPr>
          <w:rFonts w:ascii="Calibri" w:hAnsi="Calibri"/>
          <w:bCs/>
          <w:snapToGrid/>
          <w:lang w:eastAsia="en-US"/>
        </w:rPr>
        <w:t>.</w:t>
      </w:r>
      <w:r w:rsidR="00192EA9" w:rsidRPr="001342DD">
        <w:rPr>
          <w:rFonts w:ascii="Calibri" w:hAnsi="Calibri"/>
          <w:bCs/>
          <w:snapToGrid/>
          <w:lang w:eastAsia="en-US"/>
        </w:rPr>
        <w:t xml:space="preserve"> T</w:t>
      </w:r>
      <w:r w:rsidRPr="001342DD">
        <w:rPr>
          <w:rFonts w:ascii="Calibri" w:hAnsi="Calibri"/>
          <w:bCs/>
          <w:snapToGrid/>
          <w:lang w:eastAsia="en-US"/>
        </w:rPr>
        <w:t>he PBAC</w:t>
      </w:r>
      <w:r w:rsidRPr="00C24DBA">
        <w:rPr>
          <w:rFonts w:ascii="Calibri" w:hAnsi="Calibri"/>
          <w:bCs/>
          <w:snapToGrid/>
          <w:lang w:eastAsia="en-US"/>
        </w:rPr>
        <w:t xml:space="preserve"> re</w:t>
      </w:r>
      <w:r w:rsidRPr="00C24DBA">
        <w:rPr>
          <w:rFonts w:ascii="Calibri" w:hAnsi="Calibri"/>
          <w:bCs/>
          <w:snapToGrid/>
          <w:lang w:eastAsia="en-US"/>
        </w:rPr>
        <w:noBreakHyphen/>
        <w:t xml:space="preserve">iterated that a combined RSA would be </w:t>
      </w:r>
      <w:r w:rsidR="00F329E7" w:rsidRPr="00C24DBA">
        <w:rPr>
          <w:rFonts w:ascii="Calibri" w:hAnsi="Calibri"/>
          <w:bCs/>
          <w:snapToGrid/>
          <w:lang w:eastAsia="en-US"/>
        </w:rPr>
        <w:t xml:space="preserve">necessary </w:t>
      </w:r>
      <w:r w:rsidRPr="00C24DBA">
        <w:rPr>
          <w:rFonts w:ascii="Calibri" w:hAnsi="Calibri"/>
          <w:bCs/>
          <w:snapToGrid/>
          <w:lang w:eastAsia="en-US"/>
        </w:rPr>
        <w:t>across the proposed and existing cabozantinib indications to ensure that the offsets in the existing later-line setting are realised.</w:t>
      </w:r>
    </w:p>
    <w:p w:rsidR="00F13662" w:rsidRPr="00C24DBA" w:rsidRDefault="00F13662" w:rsidP="00592A09">
      <w:pPr>
        <w:widowControl w:val="0"/>
        <w:numPr>
          <w:ilvl w:val="1"/>
          <w:numId w:val="1"/>
        </w:numPr>
        <w:spacing w:after="120"/>
        <w:rPr>
          <w:bCs/>
          <w:lang w:eastAsia="en-US"/>
        </w:rPr>
      </w:pPr>
      <w:r w:rsidRPr="00C24DBA">
        <w:rPr>
          <w:bCs/>
          <w:lang w:eastAsia="en-US"/>
        </w:rPr>
        <w:t xml:space="preserve">The PBAC noted that this submission is not eligible for an Independent Review as a positive recommendation was made. </w:t>
      </w:r>
    </w:p>
    <w:p w:rsidR="001C1AAD" w:rsidRPr="00C24DBA" w:rsidRDefault="001C1AAD" w:rsidP="0028529B">
      <w:pPr>
        <w:pStyle w:val="3-BodyText"/>
        <w:rPr>
          <w:bCs/>
          <w:lang w:eastAsia="en-US"/>
        </w:rPr>
      </w:pPr>
      <w:r w:rsidRPr="00C24DBA">
        <w:rPr>
          <w:bCs/>
          <w:lang w:eastAsia="en-US"/>
        </w:rPr>
        <w:t xml:space="preserve">The PBAC found that the criteria prescribed by the </w:t>
      </w:r>
      <w:r w:rsidRPr="00C24DBA">
        <w:rPr>
          <w:bCs/>
          <w:i/>
          <w:lang w:eastAsia="en-US"/>
        </w:rPr>
        <w:t>National Health (Pharmaceuticals and Vaccines – Cost Recovery) Regulations 2009</w:t>
      </w:r>
      <w:r w:rsidRPr="00C24DBA">
        <w:rPr>
          <w:bCs/>
          <w:lang w:eastAsia="en-US"/>
        </w:rPr>
        <w:t xml:space="preserve"> for Pricing Pathway A were not met. Specifically the PBAC found that:</w:t>
      </w:r>
    </w:p>
    <w:p w:rsidR="001C1AAD" w:rsidRPr="00C24DBA" w:rsidRDefault="001C1AAD" w:rsidP="00174A41">
      <w:pPr>
        <w:pStyle w:val="3-BodyText"/>
        <w:numPr>
          <w:ilvl w:val="0"/>
          <w:numId w:val="0"/>
        </w:numPr>
        <w:ind w:left="720"/>
        <w:rPr>
          <w:bCs/>
          <w:lang w:eastAsia="en-US"/>
        </w:rPr>
      </w:pPr>
      <w:r w:rsidRPr="00C24DBA">
        <w:rPr>
          <w:bCs/>
          <w:lang w:eastAsia="en-US"/>
        </w:rPr>
        <w:t>a) Treatment with cabozantinib is not expected to provide a substantial and clinically relevant improvement in efficacy</w:t>
      </w:r>
      <w:r w:rsidRPr="00C24DBA">
        <w:rPr>
          <w:rFonts w:eastAsia="Calibri" w:cs="Calibri"/>
        </w:rPr>
        <w:t xml:space="preserve">, or reduction of toxicity, </w:t>
      </w:r>
      <w:r w:rsidRPr="00C24DBA">
        <w:rPr>
          <w:bCs/>
          <w:lang w:eastAsia="en-US"/>
        </w:rPr>
        <w:t>over alternative therapies.</w:t>
      </w:r>
    </w:p>
    <w:p w:rsidR="001C1AAD" w:rsidRPr="00C24DBA" w:rsidRDefault="001C1AAD" w:rsidP="00174A41">
      <w:pPr>
        <w:pStyle w:val="3-BodyText"/>
        <w:numPr>
          <w:ilvl w:val="0"/>
          <w:numId w:val="0"/>
        </w:numPr>
        <w:ind w:left="720"/>
        <w:rPr>
          <w:bCs/>
          <w:lang w:eastAsia="en-US"/>
        </w:rPr>
      </w:pPr>
      <w:r w:rsidRPr="00C24DBA">
        <w:rPr>
          <w:bCs/>
          <w:lang w:eastAsia="en-US"/>
        </w:rPr>
        <w:lastRenderedPageBreak/>
        <w:t>b) Treatment with cabozantinib is not expected to address a high and urgent unmet clinical need.</w:t>
      </w:r>
    </w:p>
    <w:p w:rsidR="006B047C" w:rsidRPr="0021414C" w:rsidRDefault="001C1AAD" w:rsidP="0021414C">
      <w:pPr>
        <w:pStyle w:val="3-BodyText"/>
        <w:numPr>
          <w:ilvl w:val="0"/>
          <w:numId w:val="0"/>
        </w:numPr>
        <w:ind w:left="720"/>
        <w:rPr>
          <w:bCs/>
          <w:lang w:eastAsia="en-US"/>
        </w:rPr>
      </w:pPr>
      <w:r w:rsidRPr="00C24DBA">
        <w:rPr>
          <w:bCs/>
          <w:lang w:eastAsia="en-US"/>
        </w:rPr>
        <w:t xml:space="preserve">c) It was not necessary to make a finding in relation to whether it would be in the public interest for the subsequent pricing application to be progressed under Pricing Pathway A because one or more of the preceding tests had failed. </w:t>
      </w:r>
    </w:p>
    <w:p w:rsidR="006B047C" w:rsidRPr="00C24DBA" w:rsidRDefault="006B047C" w:rsidP="003E2614">
      <w:pPr>
        <w:widowControl w:val="0"/>
        <w:spacing w:after="120"/>
        <w:jc w:val="left"/>
        <w:rPr>
          <w:rFonts w:asciiTheme="minorHAnsi" w:hAnsiTheme="minorHAnsi"/>
          <w:b/>
          <w:bCs/>
          <w:snapToGrid w:val="0"/>
          <w:lang w:eastAsia="en-US"/>
        </w:rPr>
      </w:pPr>
      <w:r w:rsidRPr="00C24DBA">
        <w:rPr>
          <w:rFonts w:asciiTheme="minorHAnsi" w:hAnsiTheme="minorHAnsi"/>
          <w:b/>
          <w:bCs/>
          <w:snapToGrid w:val="0"/>
          <w:lang w:eastAsia="en-US"/>
        </w:rPr>
        <w:t>Outcome:</w:t>
      </w:r>
    </w:p>
    <w:p w:rsidR="005C6CC0" w:rsidRPr="0021414C" w:rsidRDefault="006B047C" w:rsidP="0021414C">
      <w:pPr>
        <w:spacing w:after="120"/>
        <w:rPr>
          <w:rFonts w:asciiTheme="minorHAnsi" w:hAnsiTheme="minorHAnsi"/>
          <w:bCs/>
          <w:snapToGrid w:val="0"/>
          <w:lang w:eastAsia="en-US"/>
        </w:rPr>
      </w:pPr>
      <w:r w:rsidRPr="00C24DBA">
        <w:rPr>
          <w:rFonts w:asciiTheme="minorHAnsi" w:hAnsiTheme="minorHAnsi"/>
          <w:bCs/>
          <w:snapToGrid w:val="0"/>
          <w:lang w:eastAsia="en-US"/>
        </w:rPr>
        <w:t xml:space="preserve">Recommended </w:t>
      </w:r>
    </w:p>
    <w:p w:rsidR="006B047C" w:rsidRPr="00C24DBA" w:rsidRDefault="006B047C" w:rsidP="0021414C">
      <w:pPr>
        <w:pStyle w:val="2-SectionHeading"/>
        <w:rPr>
          <w:i/>
          <w:lang w:eastAsia="en-US"/>
        </w:rPr>
      </w:pPr>
      <w:r w:rsidRPr="00C24DBA">
        <w:rPr>
          <w:lang w:eastAsia="en-US"/>
        </w:rPr>
        <w:t>Recommended listing</w:t>
      </w:r>
    </w:p>
    <w:p w:rsidR="006B047C" w:rsidRPr="00C24DBA" w:rsidRDefault="006B047C" w:rsidP="0021414C">
      <w:pPr>
        <w:pStyle w:val="3-BodyText"/>
        <w:rPr>
          <w:lang w:eastAsia="en-US"/>
        </w:rPr>
      </w:pPr>
      <w:r w:rsidRPr="00C24DBA">
        <w:rPr>
          <w:lang w:eastAsia="en-US"/>
        </w:rPr>
        <w:t>Amend existing listing as follows:</w:t>
      </w:r>
    </w:p>
    <w:tbl>
      <w:tblPr>
        <w:tblW w:w="5002"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050"/>
        <w:gridCol w:w="1137"/>
        <w:gridCol w:w="992"/>
        <w:gridCol w:w="992"/>
        <w:gridCol w:w="994"/>
        <w:gridCol w:w="1507"/>
      </w:tblGrid>
      <w:tr w:rsidR="00A068D6" w:rsidTr="00A068D6">
        <w:trPr>
          <w:cantSplit/>
          <w:trHeight w:val="471"/>
        </w:trPr>
        <w:tc>
          <w:tcPr>
            <w:tcW w:w="1884" w:type="pct"/>
            <w:gridSpan w:val="2"/>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b/>
                <w:sz w:val="18"/>
                <w:szCs w:val="18"/>
              </w:rPr>
            </w:pPr>
            <w:r>
              <w:rPr>
                <w:rFonts w:ascii="Arial Narrow" w:eastAsia="Calibri" w:hAnsi="Arial Narrow"/>
                <w:b/>
                <w:sz w:val="18"/>
                <w:szCs w:val="18"/>
              </w:rPr>
              <w:t>MEDICINAL PRODUCT</w:t>
            </w:r>
          </w:p>
          <w:p w:rsidR="00A068D6" w:rsidRDefault="00A068D6">
            <w:pPr>
              <w:keepNext/>
              <w:ind w:left="57"/>
              <w:rPr>
                <w:rFonts w:ascii="Arial Narrow" w:eastAsia="Calibri" w:hAnsi="Arial Narrow"/>
                <w:b/>
                <w:sz w:val="18"/>
                <w:szCs w:val="18"/>
              </w:rPr>
            </w:pPr>
            <w:r>
              <w:rPr>
                <w:rFonts w:ascii="Arial Narrow" w:eastAsia="Calibri" w:hAnsi="Arial Narrow"/>
                <w:b/>
                <w:sz w:val="18"/>
                <w:szCs w:val="18"/>
              </w:rPr>
              <w:t>medicinal product pack</w:t>
            </w:r>
          </w:p>
        </w:tc>
        <w:tc>
          <w:tcPr>
            <w:tcW w:w="63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PBS item code</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Max. qty packs</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Max. qty units</w:t>
            </w:r>
          </w:p>
        </w:tc>
        <w:tc>
          <w:tcPr>
            <w:tcW w:w="551"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№.of</w:t>
            </w:r>
          </w:p>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Rpts</w:t>
            </w:r>
          </w:p>
        </w:tc>
        <w:tc>
          <w:tcPr>
            <w:tcW w:w="835" w:type="pct"/>
            <w:tcBorders>
              <w:top w:val="single" w:sz="4" w:space="0" w:color="auto"/>
              <w:left w:val="single" w:sz="4" w:space="0" w:color="auto"/>
              <w:bottom w:val="single" w:sz="4" w:space="0" w:color="auto"/>
              <w:right w:val="single" w:sz="4" w:space="0" w:color="auto"/>
            </w:tcBorders>
            <w:hideMark/>
          </w:tcPr>
          <w:p w:rsidR="00A068D6" w:rsidRDefault="00A068D6">
            <w:pPr>
              <w:keepNext/>
              <w:rPr>
                <w:rFonts w:ascii="Arial Narrow" w:eastAsia="Calibri" w:hAnsi="Arial Narrow"/>
                <w:b/>
                <w:sz w:val="18"/>
                <w:szCs w:val="18"/>
              </w:rPr>
            </w:pPr>
            <w:r>
              <w:rPr>
                <w:rFonts w:ascii="Arial Narrow" w:eastAsia="Calibri" w:hAnsi="Arial Narrow"/>
                <w:b/>
                <w:sz w:val="18"/>
                <w:szCs w:val="18"/>
              </w:rPr>
              <w:t>Available brands</w:t>
            </w:r>
          </w:p>
        </w:tc>
      </w:tr>
      <w:tr w:rsidR="00A068D6" w:rsidTr="00A068D6">
        <w:trPr>
          <w:cantSplit/>
          <w:trHeight w:val="325"/>
        </w:trPr>
        <w:tc>
          <w:tcPr>
            <w:tcW w:w="5000" w:type="pct"/>
            <w:gridSpan w:val="7"/>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sz w:val="18"/>
                <w:szCs w:val="18"/>
              </w:rPr>
            </w:pPr>
            <w:r>
              <w:rPr>
                <w:rFonts w:ascii="Arial Narrow" w:eastAsia="Calibri" w:hAnsi="Arial Narrow"/>
                <w:sz w:val="18"/>
                <w:szCs w:val="18"/>
              </w:rPr>
              <w:t>CABOZANTINIB</w:t>
            </w:r>
          </w:p>
        </w:tc>
      </w:tr>
      <w:tr w:rsidR="00A068D6" w:rsidTr="00A068D6">
        <w:trPr>
          <w:cantSplit/>
          <w:trHeight w:val="414"/>
        </w:trPr>
        <w:tc>
          <w:tcPr>
            <w:tcW w:w="1884" w:type="pct"/>
            <w:gridSpan w:val="2"/>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sz w:val="18"/>
                <w:szCs w:val="18"/>
              </w:rPr>
            </w:pPr>
            <w:r>
              <w:rPr>
                <w:rFonts w:ascii="Arial Narrow" w:eastAsia="Calibri" w:hAnsi="Arial Narrow"/>
                <w:sz w:val="18"/>
                <w:szCs w:val="18"/>
              </w:rPr>
              <w:t>cabozantinib 20 mg tablet, 30</w:t>
            </w:r>
          </w:p>
        </w:tc>
        <w:tc>
          <w:tcPr>
            <w:tcW w:w="63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7"/>
              <w:jc w:val="center"/>
              <w:rPr>
                <w:rFonts w:ascii="Arial Narrow" w:eastAsia="Calibri" w:hAnsi="Arial Narrow"/>
                <w:sz w:val="18"/>
                <w:szCs w:val="18"/>
              </w:rPr>
            </w:pPr>
            <w:r>
              <w:rPr>
                <w:rFonts w:ascii="Arial Narrow" w:eastAsia="Calibri" w:hAnsi="Arial Narrow"/>
                <w:sz w:val="18"/>
                <w:szCs w:val="18"/>
              </w:rPr>
              <w:t>11371L</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jc w:val="center"/>
              <w:rPr>
                <w:rFonts w:ascii="Arial Narrow" w:eastAsia="Calibri" w:hAnsi="Arial Narrow"/>
                <w:sz w:val="18"/>
                <w:szCs w:val="18"/>
              </w:rPr>
            </w:pPr>
            <w:r>
              <w:rPr>
                <w:rFonts w:ascii="Arial Narrow" w:eastAsia="Calibri" w:hAnsi="Arial Narrow"/>
                <w:sz w:val="18"/>
                <w:szCs w:val="18"/>
              </w:rPr>
              <w:t>1</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10"/>
              <w:jc w:val="center"/>
              <w:rPr>
                <w:rFonts w:ascii="Arial Narrow" w:eastAsia="Calibri" w:hAnsi="Arial Narrow"/>
                <w:sz w:val="18"/>
                <w:szCs w:val="18"/>
              </w:rPr>
            </w:pPr>
            <w:r>
              <w:rPr>
                <w:rFonts w:ascii="Arial Narrow" w:eastAsia="Calibri" w:hAnsi="Arial Narrow"/>
                <w:sz w:val="18"/>
                <w:szCs w:val="18"/>
              </w:rPr>
              <w:t>30</w:t>
            </w:r>
          </w:p>
        </w:tc>
        <w:tc>
          <w:tcPr>
            <w:tcW w:w="551"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2</w:t>
            </w:r>
          </w:p>
        </w:tc>
        <w:tc>
          <w:tcPr>
            <w:tcW w:w="835" w:type="pct"/>
            <w:tcBorders>
              <w:top w:val="single" w:sz="4" w:space="0" w:color="auto"/>
              <w:left w:val="single" w:sz="4" w:space="0" w:color="auto"/>
              <w:bottom w:val="single" w:sz="4" w:space="0" w:color="auto"/>
              <w:right w:val="single" w:sz="4" w:space="0" w:color="auto"/>
            </w:tcBorders>
            <w:hideMark/>
          </w:tcPr>
          <w:p w:rsidR="00A068D6" w:rsidRDefault="00A068D6">
            <w:pPr>
              <w:keepNext/>
              <w:rPr>
                <w:rFonts w:ascii="Arial Narrow" w:eastAsia="Calibri" w:hAnsi="Arial Narrow"/>
                <w:sz w:val="18"/>
                <w:szCs w:val="18"/>
              </w:rPr>
            </w:pPr>
            <w:r>
              <w:rPr>
                <w:rFonts w:ascii="Arial Narrow" w:eastAsia="Calibri" w:hAnsi="Arial Narrow"/>
                <w:sz w:val="18"/>
                <w:szCs w:val="18"/>
              </w:rPr>
              <w:t>Cabometyx</w:t>
            </w:r>
          </w:p>
        </w:tc>
      </w:tr>
      <w:tr w:rsidR="00A068D6" w:rsidTr="00A068D6">
        <w:trPr>
          <w:cantSplit/>
          <w:trHeight w:val="347"/>
        </w:trPr>
        <w:tc>
          <w:tcPr>
            <w:tcW w:w="1884" w:type="pct"/>
            <w:gridSpan w:val="2"/>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sz w:val="18"/>
                <w:szCs w:val="18"/>
              </w:rPr>
            </w:pPr>
            <w:r>
              <w:rPr>
                <w:rFonts w:ascii="Arial Narrow" w:eastAsia="Calibri" w:hAnsi="Arial Narrow"/>
                <w:sz w:val="18"/>
                <w:szCs w:val="18"/>
              </w:rPr>
              <w:t>cabozantinib 40 mg tablet, 30</w:t>
            </w:r>
          </w:p>
        </w:tc>
        <w:tc>
          <w:tcPr>
            <w:tcW w:w="63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11369J</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jc w:val="center"/>
              <w:rPr>
                <w:rFonts w:ascii="Arial Narrow" w:eastAsia="Calibri" w:hAnsi="Arial Narrow"/>
                <w:sz w:val="18"/>
                <w:szCs w:val="18"/>
              </w:rPr>
            </w:pPr>
            <w:r>
              <w:rPr>
                <w:rFonts w:ascii="Arial Narrow" w:eastAsia="Calibri" w:hAnsi="Arial Narrow"/>
                <w:sz w:val="18"/>
                <w:szCs w:val="18"/>
              </w:rPr>
              <w:t>1</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30</w:t>
            </w:r>
          </w:p>
        </w:tc>
        <w:tc>
          <w:tcPr>
            <w:tcW w:w="551"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2</w:t>
            </w:r>
          </w:p>
        </w:tc>
        <w:tc>
          <w:tcPr>
            <w:tcW w:w="835" w:type="pct"/>
            <w:tcBorders>
              <w:top w:val="single" w:sz="4" w:space="0" w:color="auto"/>
              <w:left w:val="single" w:sz="4" w:space="0" w:color="auto"/>
              <w:bottom w:val="single" w:sz="4" w:space="0" w:color="auto"/>
              <w:right w:val="single" w:sz="4" w:space="0" w:color="auto"/>
            </w:tcBorders>
            <w:hideMark/>
          </w:tcPr>
          <w:p w:rsidR="00A068D6" w:rsidRDefault="00A068D6">
            <w:pPr>
              <w:keepNext/>
              <w:rPr>
                <w:rFonts w:ascii="Arial Narrow" w:eastAsia="Calibri" w:hAnsi="Arial Narrow"/>
                <w:sz w:val="18"/>
                <w:szCs w:val="18"/>
              </w:rPr>
            </w:pPr>
            <w:r>
              <w:rPr>
                <w:rFonts w:ascii="Arial Narrow" w:eastAsia="Calibri" w:hAnsi="Arial Narrow"/>
                <w:sz w:val="18"/>
                <w:szCs w:val="18"/>
              </w:rPr>
              <w:t>Cabometyx</w:t>
            </w:r>
          </w:p>
        </w:tc>
      </w:tr>
      <w:tr w:rsidR="00A068D6" w:rsidTr="00A068D6">
        <w:trPr>
          <w:cantSplit/>
          <w:trHeight w:val="327"/>
        </w:trPr>
        <w:tc>
          <w:tcPr>
            <w:tcW w:w="1884" w:type="pct"/>
            <w:gridSpan w:val="2"/>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sz w:val="18"/>
                <w:szCs w:val="18"/>
              </w:rPr>
            </w:pPr>
            <w:r>
              <w:rPr>
                <w:rFonts w:ascii="Arial Narrow" w:eastAsia="Calibri" w:hAnsi="Arial Narrow"/>
                <w:sz w:val="18"/>
                <w:szCs w:val="18"/>
              </w:rPr>
              <w:t>cabozantinib 60 mg tablet, 30</w:t>
            </w:r>
          </w:p>
        </w:tc>
        <w:tc>
          <w:tcPr>
            <w:tcW w:w="63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6"/>
              <w:jc w:val="center"/>
              <w:rPr>
                <w:rFonts w:ascii="Arial Narrow" w:eastAsia="Calibri" w:hAnsi="Arial Narrow"/>
                <w:sz w:val="18"/>
                <w:szCs w:val="18"/>
              </w:rPr>
            </w:pPr>
            <w:r>
              <w:rPr>
                <w:rFonts w:ascii="Arial Narrow" w:eastAsia="Calibri" w:hAnsi="Arial Narrow"/>
                <w:sz w:val="18"/>
                <w:szCs w:val="18"/>
              </w:rPr>
              <w:t>11360X</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jc w:val="center"/>
              <w:rPr>
                <w:rFonts w:ascii="Arial Narrow" w:eastAsia="Calibri" w:hAnsi="Arial Narrow"/>
                <w:sz w:val="18"/>
                <w:szCs w:val="18"/>
              </w:rPr>
            </w:pPr>
            <w:r>
              <w:rPr>
                <w:rFonts w:ascii="Arial Narrow" w:eastAsia="Calibri" w:hAnsi="Arial Narrow"/>
                <w:sz w:val="18"/>
                <w:szCs w:val="18"/>
              </w:rPr>
              <w:t>1</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30</w:t>
            </w:r>
          </w:p>
        </w:tc>
        <w:tc>
          <w:tcPr>
            <w:tcW w:w="551"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2</w:t>
            </w:r>
          </w:p>
        </w:tc>
        <w:tc>
          <w:tcPr>
            <w:tcW w:w="835" w:type="pct"/>
            <w:tcBorders>
              <w:top w:val="single" w:sz="4" w:space="0" w:color="auto"/>
              <w:left w:val="single" w:sz="4" w:space="0" w:color="auto"/>
              <w:bottom w:val="single" w:sz="4" w:space="0" w:color="auto"/>
              <w:right w:val="single" w:sz="4" w:space="0" w:color="auto"/>
            </w:tcBorders>
            <w:hideMark/>
          </w:tcPr>
          <w:p w:rsidR="00A068D6" w:rsidRDefault="00A068D6">
            <w:pPr>
              <w:keepNext/>
              <w:rPr>
                <w:rFonts w:ascii="Arial Narrow" w:eastAsia="Calibri" w:hAnsi="Arial Narrow"/>
                <w:sz w:val="18"/>
                <w:szCs w:val="18"/>
              </w:rPr>
            </w:pPr>
            <w:r>
              <w:rPr>
                <w:rFonts w:ascii="Arial Narrow" w:eastAsia="Calibri" w:hAnsi="Arial Narrow"/>
                <w:sz w:val="18"/>
                <w:szCs w:val="18"/>
              </w:rPr>
              <w:t>Cabometyx</w:t>
            </w:r>
          </w:p>
        </w:tc>
      </w:tr>
      <w:tr w:rsidR="00A068D6" w:rsidTr="00A068D6">
        <w:trPr>
          <w:trHeight w:val="100"/>
        </w:trPr>
        <w:tc>
          <w:tcPr>
            <w:tcW w:w="5000" w:type="pct"/>
            <w:gridSpan w:val="7"/>
            <w:tcBorders>
              <w:top w:val="single" w:sz="4" w:space="0" w:color="auto"/>
              <w:left w:val="single" w:sz="4" w:space="0" w:color="000000"/>
              <w:bottom w:val="nil"/>
              <w:right w:val="single" w:sz="4" w:space="0" w:color="000000"/>
            </w:tcBorders>
            <w:shd w:val="clear" w:color="auto" w:fill="FFFFFF"/>
          </w:tcPr>
          <w:p w:rsidR="00A068D6" w:rsidRDefault="00A068D6">
            <w:pPr>
              <w:keepNext/>
              <w:autoSpaceDE w:val="0"/>
              <w:autoSpaceDN w:val="0"/>
              <w:adjustRightInd w:val="0"/>
              <w:rPr>
                <w:rFonts w:ascii="Arial Narrow" w:hAnsi="Arial Narrow" w:cs="Arial Narrow"/>
                <w:b/>
                <w:bCs/>
                <w:color w:val="000000"/>
                <w:sz w:val="20"/>
                <w:szCs w:val="20"/>
              </w:rPr>
            </w:pPr>
          </w:p>
        </w:tc>
      </w:tr>
      <w:tr w:rsidR="00A068D6" w:rsidTr="00A068D6">
        <w:trPr>
          <w:trHeight w:val="100"/>
        </w:trPr>
        <w:tc>
          <w:tcPr>
            <w:tcW w:w="5000" w:type="pct"/>
            <w:gridSpan w:val="7"/>
            <w:tcBorders>
              <w:top w:val="single" w:sz="4" w:space="0" w:color="auto"/>
              <w:left w:val="single" w:sz="4" w:space="0" w:color="000000"/>
              <w:bottom w:val="nil"/>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
                <w:bCs/>
                <w:color w:val="000000"/>
                <w:sz w:val="18"/>
                <w:szCs w:val="18"/>
              </w:rPr>
            </w:pPr>
            <w:r>
              <w:rPr>
                <w:rFonts w:ascii="Arial Narrow" w:hAnsi="Arial Narrow" w:cs="Arial Narrow"/>
                <w:b/>
                <w:bCs/>
                <w:color w:val="000000"/>
                <w:sz w:val="18"/>
                <w:szCs w:val="18"/>
              </w:rPr>
              <w:t>Restriction Summary 8589 / Treatment of Concept: 8572</w:t>
            </w:r>
          </w:p>
        </w:tc>
      </w:tr>
      <w:tr w:rsidR="00A068D6" w:rsidTr="00A068D6">
        <w:trPr>
          <w:trHeight w:val="100"/>
        </w:trPr>
        <w:tc>
          <w:tcPr>
            <w:tcW w:w="748" w:type="pct"/>
            <w:vMerge w:val="restart"/>
            <w:tcBorders>
              <w:top w:val="single" w:sz="4" w:space="0" w:color="auto"/>
              <w:left w:val="single" w:sz="4" w:space="0" w:color="000000"/>
              <w:bottom w:val="single" w:sz="4" w:space="0" w:color="000000"/>
              <w:right w:val="single" w:sz="4" w:space="0" w:color="000000"/>
            </w:tcBorders>
            <w:shd w:val="clear" w:color="auto" w:fill="FFFFFF"/>
          </w:tcPr>
          <w:p w:rsidR="00A068D6" w:rsidRDefault="00A068D6">
            <w:pPr>
              <w:jc w:val="center"/>
              <w:rPr>
                <w:rFonts w:cs="Calibri"/>
                <w:szCs w:val="20"/>
              </w:rPr>
            </w:pPr>
          </w:p>
        </w:tc>
        <w:tc>
          <w:tcPr>
            <w:tcW w:w="4252" w:type="pct"/>
            <w:gridSpan w:val="6"/>
            <w:tcBorders>
              <w:top w:val="single" w:sz="4" w:space="0" w:color="auto"/>
              <w:left w:val="single" w:sz="4" w:space="0" w:color="000000"/>
              <w:bottom w:val="single" w:sz="4" w:space="0" w:color="000000"/>
              <w:right w:val="single" w:sz="4" w:space="0" w:color="000000"/>
            </w:tcBorders>
            <w:hideMark/>
          </w:tcPr>
          <w:p w:rsidR="00A068D6" w:rsidRDefault="00A068D6">
            <w:pPr>
              <w:keepNext/>
              <w:autoSpaceDE w:val="0"/>
              <w:autoSpaceDN w:val="0"/>
              <w:adjustRightInd w:val="0"/>
              <w:rPr>
                <w:rFonts w:ascii="Arial Narrow" w:hAnsi="Arial Narrow" w:cs="Calibri"/>
                <w:sz w:val="20"/>
                <w:szCs w:val="20"/>
              </w:rPr>
            </w:pPr>
            <w:r>
              <w:rPr>
                <w:rFonts w:ascii="Arial Narrow" w:hAnsi="Arial Narrow" w:cs="Arial Narrow"/>
                <w:b/>
                <w:bCs/>
                <w:color w:val="000000"/>
                <w:sz w:val="18"/>
                <w:szCs w:val="18"/>
              </w:rPr>
              <w:t xml:space="preserve">Category / Program: </w:t>
            </w:r>
            <w:r>
              <w:rPr>
                <w:rFonts w:ascii="Arial Narrow" w:hAnsi="Arial Narrow" w:cs="Arial Narrow"/>
                <w:color w:val="000000"/>
                <w:sz w:val="18"/>
                <w:szCs w:val="18"/>
              </w:rPr>
              <w:t>General Schedule</w:t>
            </w:r>
            <w:r>
              <w:rPr>
                <w:rFonts w:ascii="Arial Narrow" w:hAnsi="Arial Narrow" w:cs="Arial Narrow"/>
                <w:color w:val="000000"/>
                <w:sz w:val="20"/>
                <w:szCs w:val="20"/>
              </w:rPr>
              <w:t xml:space="preserve"> </w:t>
            </w:r>
            <w:r>
              <w:rPr>
                <w:rFonts w:ascii="Arial Narrow" w:hAnsi="Arial Narrow" w:cs="Arial Narrow"/>
                <w:color w:val="000000"/>
                <w:sz w:val="18"/>
                <w:szCs w:val="18"/>
              </w:rPr>
              <w:t>(Code GE)</w:t>
            </w:r>
          </w:p>
        </w:tc>
      </w:tr>
      <w:tr w:rsidR="00A068D6" w:rsidTr="004278BD">
        <w:trPr>
          <w:trHeight w:val="100"/>
        </w:trPr>
        <w:tc>
          <w:tcPr>
            <w:tcW w:w="0" w:type="auto"/>
            <w:vMerge/>
            <w:tcBorders>
              <w:top w:val="single" w:sz="4" w:space="0" w:color="auto"/>
              <w:left w:val="single" w:sz="4" w:space="0" w:color="000000"/>
              <w:bottom w:val="single" w:sz="4" w:space="0" w:color="000000"/>
              <w:right w:val="single" w:sz="4" w:space="0" w:color="000000"/>
            </w:tcBorders>
            <w:vAlign w:val="center"/>
          </w:tcPr>
          <w:p w:rsidR="00A068D6" w:rsidRDefault="00A068D6">
            <w:pPr>
              <w:rPr>
                <w:rFonts w:cs="Calibri"/>
                <w:szCs w:val="20"/>
              </w:rPr>
            </w:pPr>
          </w:p>
        </w:tc>
        <w:tc>
          <w:tcPr>
            <w:tcW w:w="4252" w:type="pct"/>
            <w:gridSpan w:val="6"/>
            <w:tcBorders>
              <w:top w:val="single" w:sz="4" w:space="0" w:color="auto"/>
              <w:left w:val="single" w:sz="4" w:space="0" w:color="000000"/>
              <w:bottom w:val="single" w:sz="4" w:space="0" w:color="000000"/>
              <w:right w:val="single" w:sz="4" w:space="0" w:color="000000"/>
            </w:tcBorders>
            <w:hideMark/>
          </w:tcPr>
          <w:p w:rsidR="00A068D6" w:rsidRDefault="00A068D6">
            <w:pPr>
              <w:rPr>
                <w:rFonts w:ascii="Arial Narrow" w:hAnsi="Arial Narrow"/>
                <w:b/>
                <w:sz w:val="18"/>
                <w:szCs w:val="18"/>
              </w:rPr>
            </w:pPr>
            <w:r>
              <w:rPr>
                <w:rFonts w:ascii="Arial Narrow" w:hAnsi="Arial Narrow"/>
                <w:b/>
                <w:sz w:val="18"/>
                <w:szCs w:val="18"/>
              </w:rPr>
              <w:t xml:space="preserve">Prescriber type: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E51BE8">
              <w:rPr>
                <w:rFonts w:ascii="Arial Narrow" w:hAnsi="Arial Narrow"/>
                <w:sz w:val="18"/>
                <w:szCs w:val="18"/>
              </w:rPr>
            </w:r>
            <w:r w:rsidR="00E51BE8">
              <w:rPr>
                <w:rFonts w:ascii="Arial Narrow" w:hAnsi="Arial Narrow"/>
                <w:sz w:val="18"/>
                <w:szCs w:val="18"/>
              </w:rPr>
              <w:fldChar w:fldCharType="separate"/>
            </w:r>
            <w:r>
              <w:rPr>
                <w:rFonts w:ascii="Arial Narrow" w:hAnsi="Arial Narrow"/>
                <w:sz w:val="18"/>
                <w:szCs w:val="18"/>
              </w:rPr>
              <w:fldChar w:fldCharType="end"/>
            </w:r>
            <w:r w:rsidR="00D06D04">
              <w:rPr>
                <w:rFonts w:ascii="Arial Narrow" w:hAnsi="Arial Narrow"/>
                <w:sz w:val="18"/>
                <w:szCs w:val="18"/>
              </w:rPr>
              <w:t xml:space="preserve"> Medical Practitioners </w:t>
            </w:r>
          </w:p>
        </w:tc>
      </w:tr>
      <w:tr w:rsidR="00A068D6" w:rsidTr="004278BD">
        <w:trPr>
          <w:trHeight w:val="133"/>
        </w:trPr>
        <w:tc>
          <w:tcPr>
            <w:tcW w:w="0" w:type="auto"/>
            <w:vMerge/>
            <w:tcBorders>
              <w:top w:val="single" w:sz="4" w:space="0" w:color="auto"/>
              <w:left w:val="single" w:sz="4" w:space="0" w:color="000000"/>
              <w:bottom w:val="single" w:sz="4" w:space="0" w:color="000000"/>
              <w:right w:val="single" w:sz="4" w:space="0" w:color="000000"/>
            </w:tcBorders>
            <w:vAlign w:val="center"/>
          </w:tcPr>
          <w:p w:rsidR="00A068D6" w:rsidRDefault="00A068D6">
            <w:pPr>
              <w:rPr>
                <w:rFonts w:cs="Calibri"/>
                <w:szCs w:val="20"/>
              </w:rPr>
            </w:pPr>
          </w:p>
        </w:tc>
        <w:tc>
          <w:tcPr>
            <w:tcW w:w="4252" w:type="pct"/>
            <w:gridSpan w:val="6"/>
            <w:tcBorders>
              <w:top w:val="single" w:sz="4" w:space="0" w:color="auto"/>
              <w:left w:val="single" w:sz="4" w:space="0" w:color="000000"/>
              <w:bottom w:val="single" w:sz="4" w:space="0" w:color="000000"/>
              <w:right w:val="single" w:sz="4" w:space="0" w:color="000000"/>
            </w:tcBorders>
            <w:hideMark/>
          </w:tcPr>
          <w:p w:rsidR="00A068D6" w:rsidRDefault="00A068D6">
            <w:pPr>
              <w:rPr>
                <w:rFonts w:ascii="Arial Narrow" w:eastAsia="Calibri" w:hAnsi="Arial Narrow"/>
                <w:sz w:val="18"/>
                <w:szCs w:val="18"/>
              </w:rPr>
            </w:pPr>
            <w:r>
              <w:rPr>
                <w:rFonts w:ascii="Arial Narrow" w:hAnsi="Arial Narrow"/>
                <w:b/>
                <w:sz w:val="18"/>
                <w:szCs w:val="18"/>
              </w:rPr>
              <w:t xml:space="preserve">Restriction 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E51BE8">
              <w:rPr>
                <w:rFonts w:ascii="Arial Narrow" w:eastAsia="Calibri" w:hAnsi="Arial Narrow"/>
                <w:sz w:val="18"/>
                <w:szCs w:val="18"/>
              </w:rPr>
            </w:r>
            <w:r w:rsidR="00E51BE8">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 xml:space="preserve"> Authority Required – Streamlined [8572 currently; to be updated] </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vAlign w:val="center"/>
            <w:hideMark/>
          </w:tcPr>
          <w:p w:rsidR="00A068D6" w:rsidRDefault="00A068D6">
            <w:pPr>
              <w:keepNext/>
              <w:autoSpaceDE w:val="0"/>
              <w:autoSpaceDN w:val="0"/>
              <w:adjustRightInd w:val="0"/>
              <w:rPr>
                <w:rFonts w:ascii="Arial Narrow" w:hAnsi="Arial Narrow" w:cs="Arial Narrow"/>
                <w:b/>
                <w:bCs/>
                <w:color w:val="000000"/>
                <w:sz w:val="18"/>
                <w:szCs w:val="18"/>
              </w:rPr>
            </w:pPr>
            <w:r>
              <w:rPr>
                <w:rFonts w:ascii="Arial Narrow" w:hAnsi="Arial Narrow" w:cs="Arial Narrow"/>
                <w:b/>
                <w:bCs/>
                <w:color w:val="000000"/>
                <w:sz w:val="18"/>
                <w:szCs w:val="18"/>
              </w:rPr>
              <w:t>Administrative Advice:</w:t>
            </w:r>
            <w:r>
              <w:rPr>
                <w:rFonts w:ascii="Arial Narrow" w:hAnsi="Arial Narrow" w:cs="Calibri"/>
                <w:sz w:val="18"/>
                <w:szCs w:val="18"/>
              </w:rPr>
              <w:t xml:space="preserve"> No increase in the maximum number of repeats may be authorised.</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vAlign w:val="center"/>
            <w:hideMark/>
          </w:tcPr>
          <w:p w:rsidR="00A068D6" w:rsidRDefault="00A068D6">
            <w:pPr>
              <w:keepNext/>
              <w:autoSpaceDE w:val="0"/>
              <w:autoSpaceDN w:val="0"/>
              <w:adjustRightInd w:val="0"/>
              <w:rPr>
                <w:rFonts w:ascii="Arial Narrow" w:hAnsi="Arial Narrow" w:cs="Arial Narrow"/>
                <w:b/>
                <w:bCs/>
                <w:color w:val="000000"/>
                <w:sz w:val="18"/>
                <w:szCs w:val="18"/>
              </w:rPr>
            </w:pPr>
            <w:r>
              <w:rPr>
                <w:rFonts w:ascii="Arial Narrow" w:hAnsi="Arial Narrow" w:cs="Arial Narrow"/>
                <w:b/>
                <w:bCs/>
                <w:color w:val="000000"/>
                <w:sz w:val="18"/>
                <w:szCs w:val="18"/>
              </w:rPr>
              <w:t xml:space="preserve">Administrative Advice: </w:t>
            </w:r>
            <w:r>
              <w:rPr>
                <w:rFonts w:ascii="Arial Narrow" w:hAnsi="Arial Narrow" w:cs="Calibri"/>
                <w:sz w:val="18"/>
                <w:szCs w:val="18"/>
              </w:rPr>
              <w:t>Special Pricing Arrangements apply.</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hideMark/>
          </w:tcPr>
          <w:p w:rsidR="00A068D6" w:rsidRDefault="00A068D6">
            <w:pPr>
              <w:keepNext/>
              <w:autoSpaceDE w:val="0"/>
              <w:autoSpaceDN w:val="0"/>
              <w:adjustRightInd w:val="0"/>
              <w:rPr>
                <w:rFonts w:ascii="Arial Narrow" w:hAnsi="Arial Narrow" w:cs="Calibri"/>
                <w:i/>
                <w:strike/>
                <w:sz w:val="18"/>
                <w:szCs w:val="18"/>
              </w:rPr>
            </w:pPr>
            <w:r>
              <w:rPr>
                <w:rFonts w:ascii="Arial Narrow" w:hAnsi="Arial Narrow" w:cs="Arial Narrow"/>
                <w:b/>
                <w:bCs/>
                <w:color w:val="000000"/>
                <w:sz w:val="18"/>
                <w:szCs w:val="18"/>
              </w:rPr>
              <w:t xml:space="preserve">PBS Indication: </w:t>
            </w:r>
            <w:r>
              <w:rPr>
                <w:rFonts w:ascii="Arial Narrow" w:hAnsi="Arial Narrow"/>
                <w:color w:val="000000"/>
                <w:sz w:val="18"/>
                <w:szCs w:val="18"/>
              </w:rPr>
              <w:t>Stage IV clear cell variant renal cell carcinoma (RCC)</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rPr>
                <w:rFonts w:ascii="Arial Narrow" w:hAnsi="Arial Narrow" w:cs="Calibri"/>
                <w:i/>
                <w:strike/>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Calibri"/>
                <w:i/>
                <w:sz w:val="18"/>
                <w:szCs w:val="18"/>
              </w:rPr>
            </w:pPr>
            <w:r>
              <w:rPr>
                <w:rFonts w:ascii="Arial Narrow" w:hAnsi="Arial Narrow" w:cs="Arial Narrow"/>
                <w:b/>
                <w:bCs/>
                <w:color w:val="000000"/>
                <w:sz w:val="18"/>
                <w:szCs w:val="18"/>
              </w:rPr>
              <w:t xml:space="preserve">Treatment phase: </w:t>
            </w:r>
            <w:r>
              <w:rPr>
                <w:rFonts w:ascii="Arial Narrow" w:hAnsi="Arial Narrow" w:cs="Calibri"/>
                <w:sz w:val="18"/>
                <w:szCs w:val="18"/>
              </w:rPr>
              <w:t>Initial treatment</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
                <w:bCs/>
                <w:strike/>
                <w:color w:val="000000"/>
                <w:sz w:val="18"/>
                <w:szCs w:val="18"/>
              </w:rPr>
            </w:pPr>
            <w:r>
              <w:rPr>
                <w:rFonts w:ascii="Arial Narrow" w:hAnsi="Arial Narrow" w:cs="Arial Narrow"/>
                <w:b/>
                <w:bCs/>
                <w:strike/>
                <w:color w:val="000000"/>
                <w:sz w:val="18"/>
                <w:szCs w:val="18"/>
              </w:rPr>
              <w:t>Clinical criteria:</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Cs/>
                <w:strike/>
                <w:color w:val="000000"/>
                <w:sz w:val="18"/>
                <w:szCs w:val="18"/>
              </w:rPr>
            </w:pPr>
            <w:r>
              <w:rPr>
                <w:rFonts w:ascii="Arial Narrow" w:hAnsi="Arial Narrow" w:cs="Arial Narrow"/>
                <w:bCs/>
                <w:strike/>
                <w:color w:val="000000"/>
                <w:sz w:val="18"/>
                <w:szCs w:val="18"/>
              </w:rPr>
              <w:t>Patient must have progressive disease according to the Response Evaluation Criteria in Solid Tumours (RECIST) following prior treatment with a tyrosine kinase inhibitor</w:t>
            </w:r>
          </w:p>
        </w:tc>
      </w:tr>
      <w:tr w:rsidR="00A068D6" w:rsidTr="00A068D6">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
                <w:bCs/>
                <w:strike/>
                <w:color w:val="000000"/>
                <w:sz w:val="18"/>
                <w:szCs w:val="18"/>
              </w:rPr>
            </w:pPr>
            <w:r>
              <w:rPr>
                <w:rFonts w:ascii="Arial Narrow" w:hAnsi="Arial Narrow" w:cs="Arial Narrow"/>
                <w:b/>
                <w:bCs/>
                <w:strike/>
                <w:color w:val="000000"/>
                <w:sz w:val="18"/>
                <w:szCs w:val="18"/>
              </w:rPr>
              <w:t>AND</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
                <w:bCs/>
                <w:color w:val="000000"/>
                <w:sz w:val="18"/>
                <w:szCs w:val="18"/>
              </w:rPr>
            </w:pPr>
            <w:r>
              <w:rPr>
                <w:rFonts w:ascii="Arial Narrow" w:hAnsi="Arial Narrow"/>
                <w:b/>
                <w:color w:val="000000"/>
                <w:sz w:val="18"/>
                <w:szCs w:val="18"/>
              </w:rPr>
              <w:t>Clinical criteria:</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b/>
                <w:color w:val="000000"/>
                <w:sz w:val="18"/>
                <w:szCs w:val="18"/>
              </w:rPr>
            </w:pPr>
            <w:r>
              <w:rPr>
                <w:rFonts w:ascii="Arial Narrow" w:hAnsi="Arial Narrow"/>
                <w:sz w:val="18"/>
                <w:szCs w:val="18"/>
              </w:rPr>
              <w:t>Patient must have a WHO performance status of 2 or less</w:t>
            </w:r>
          </w:p>
        </w:tc>
      </w:tr>
      <w:tr w:rsidR="00A068D6" w:rsidTr="00A068D6">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sz w:val="18"/>
                <w:szCs w:val="18"/>
              </w:rPr>
            </w:pPr>
            <w:r>
              <w:rPr>
                <w:rFonts w:ascii="Arial Narrow" w:hAnsi="Arial Narrow" w:cs="Arial Narrow"/>
                <w:b/>
                <w:bCs/>
                <w:color w:val="000000"/>
                <w:sz w:val="18"/>
                <w:szCs w:val="18"/>
              </w:rPr>
              <w:t>AND</w:t>
            </w:r>
          </w:p>
        </w:tc>
      </w:tr>
      <w:tr w:rsidR="00A068D6" w:rsidTr="004278BD">
        <w:trPr>
          <w:trHeight w:val="58"/>
        </w:trPr>
        <w:tc>
          <w:tcPr>
            <w:tcW w:w="748"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
                <w:bCs/>
                <w:i/>
                <w:color w:val="000000"/>
                <w:sz w:val="18"/>
                <w:szCs w:val="18"/>
              </w:rPr>
            </w:pPr>
            <w:r>
              <w:rPr>
                <w:rFonts w:ascii="Arial Narrow" w:hAnsi="Arial Narrow" w:cs="Arial Narrow"/>
                <w:b/>
                <w:bCs/>
                <w:i/>
                <w:color w:val="000000"/>
                <w:sz w:val="18"/>
                <w:szCs w:val="18"/>
              </w:rPr>
              <w:t>Clinical criteria:</w:t>
            </w:r>
          </w:p>
        </w:tc>
      </w:tr>
      <w:tr w:rsidR="00A068D6" w:rsidTr="004278BD">
        <w:trPr>
          <w:trHeight w:val="58"/>
        </w:trPr>
        <w:tc>
          <w:tcPr>
            <w:tcW w:w="0" w:type="auto"/>
            <w:vMerge/>
            <w:tcBorders>
              <w:top w:val="single" w:sz="4" w:space="0" w:color="000000"/>
              <w:left w:val="single" w:sz="4" w:space="0" w:color="000000"/>
              <w:bottom w:val="single" w:sz="4" w:space="0" w:color="000000"/>
              <w:right w:val="single" w:sz="4" w:space="0" w:color="000000"/>
            </w:tcBorders>
            <w:vAlign w:val="center"/>
          </w:tcPr>
          <w:p w:rsidR="00A068D6" w:rsidRDefault="00A068D6">
            <w:pP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Cs/>
                <w:i/>
                <w:color w:val="000000"/>
                <w:sz w:val="18"/>
                <w:szCs w:val="18"/>
              </w:rPr>
            </w:pPr>
            <w:r>
              <w:rPr>
                <w:rFonts w:ascii="Arial Narrow" w:hAnsi="Arial Narrow" w:cs="Arial Narrow"/>
                <w:bCs/>
                <w:i/>
                <w:color w:val="000000"/>
                <w:sz w:val="18"/>
                <w:szCs w:val="18"/>
              </w:rPr>
              <w:t>Patient must have a current prognostic International Metastatic Renal Cell Carcinoma Database Consortium (IMDC) survival risk classification score of either: (i) 0 (favourable risk), (ii) 1 to 2 (intermediate risk), (iii) 3 to 6 (poor risk), documented in the patient’s medical records at the time of prescribing</w:t>
            </w:r>
          </w:p>
        </w:tc>
      </w:tr>
      <w:tr w:rsidR="00A068D6" w:rsidTr="00A068D6">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
                <w:bCs/>
                <w:i/>
                <w:color w:val="000000"/>
                <w:sz w:val="18"/>
                <w:szCs w:val="18"/>
              </w:rPr>
            </w:pPr>
            <w:r>
              <w:rPr>
                <w:rFonts w:ascii="Arial Narrow" w:hAnsi="Arial Narrow" w:cs="Arial Narrow"/>
                <w:b/>
                <w:bCs/>
                <w:i/>
                <w:color w:val="000000"/>
                <w:sz w:val="18"/>
                <w:szCs w:val="18"/>
              </w:rPr>
              <w:t>AND</w:t>
            </w:r>
          </w:p>
        </w:tc>
      </w:tr>
      <w:tr w:rsidR="00A068D6" w:rsidTr="004278BD">
        <w:trPr>
          <w:trHeight w:val="58"/>
        </w:trPr>
        <w:tc>
          <w:tcPr>
            <w:tcW w:w="748"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
                <w:bCs/>
                <w:i/>
                <w:color w:val="000000"/>
                <w:sz w:val="18"/>
                <w:szCs w:val="18"/>
              </w:rPr>
            </w:pPr>
            <w:r>
              <w:rPr>
                <w:rFonts w:ascii="Arial Narrow" w:hAnsi="Arial Narrow" w:cs="Arial Narrow"/>
                <w:b/>
                <w:bCs/>
                <w:i/>
                <w:color w:val="000000"/>
                <w:sz w:val="18"/>
                <w:szCs w:val="18"/>
              </w:rPr>
              <w:t>Clinical criteria:</w:t>
            </w:r>
          </w:p>
        </w:tc>
      </w:tr>
      <w:tr w:rsidR="00A068D6" w:rsidTr="004278BD">
        <w:trPr>
          <w:trHeight w:val="58"/>
        </w:trPr>
        <w:tc>
          <w:tcPr>
            <w:tcW w:w="0" w:type="auto"/>
            <w:vMerge/>
            <w:tcBorders>
              <w:top w:val="single" w:sz="4" w:space="0" w:color="000000"/>
              <w:left w:val="single" w:sz="4" w:space="0" w:color="000000"/>
              <w:bottom w:val="single" w:sz="4" w:space="0" w:color="000000"/>
              <w:right w:val="single" w:sz="4" w:space="0" w:color="000000"/>
            </w:tcBorders>
            <w:vAlign w:val="center"/>
          </w:tcPr>
          <w:p w:rsidR="00A068D6" w:rsidRDefault="00A068D6">
            <w:pP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845128" w:rsidRDefault="00845128" w:rsidP="00FB1BCE">
            <w:pPr>
              <w:keepNext/>
              <w:autoSpaceDE w:val="0"/>
              <w:autoSpaceDN w:val="0"/>
              <w:adjustRightInd w:val="0"/>
              <w:rPr>
                <w:rFonts w:ascii="Arial Narrow" w:hAnsi="Arial Narrow" w:cs="Arial Narrow"/>
                <w:bCs/>
                <w:i/>
                <w:color w:val="000000"/>
                <w:sz w:val="18"/>
                <w:szCs w:val="18"/>
              </w:rPr>
            </w:pPr>
            <w:r w:rsidRPr="00845128">
              <w:rPr>
                <w:rFonts w:ascii="Arial Narrow" w:hAnsi="Arial Narrow" w:cs="Arial Narrow"/>
                <w:bCs/>
                <w:i/>
                <w:color w:val="000000"/>
                <w:sz w:val="18"/>
                <w:szCs w:val="18"/>
              </w:rPr>
              <w:t>The treatment must not be prescribed</w:t>
            </w:r>
            <w:r w:rsidR="00FB1BCE">
              <w:rPr>
                <w:rFonts w:ascii="Arial Narrow" w:hAnsi="Arial Narrow" w:cs="Arial Narrow"/>
                <w:bCs/>
                <w:i/>
                <w:color w:val="000000"/>
                <w:sz w:val="18"/>
                <w:szCs w:val="18"/>
              </w:rPr>
              <w:t xml:space="preserve"> for</w:t>
            </w:r>
            <w:r w:rsidRPr="00845128">
              <w:rPr>
                <w:rFonts w:ascii="Arial Narrow" w:hAnsi="Arial Narrow" w:cs="Arial Narrow"/>
                <w:bCs/>
                <w:i/>
                <w:color w:val="000000"/>
                <w:sz w:val="18"/>
                <w:szCs w:val="18"/>
              </w:rPr>
              <w:t xml:space="preserve"> </w:t>
            </w:r>
            <w:r w:rsidR="00FB1BCE" w:rsidRPr="00845128">
              <w:rPr>
                <w:rFonts w:ascii="Arial Narrow" w:hAnsi="Arial Narrow" w:cs="Arial Narrow"/>
                <w:bCs/>
                <w:i/>
                <w:color w:val="000000"/>
                <w:sz w:val="18"/>
                <w:szCs w:val="18"/>
              </w:rPr>
              <w:t>a patient with favourable</w:t>
            </w:r>
            <w:r w:rsidR="00FB1BCE">
              <w:rPr>
                <w:rFonts w:ascii="Arial Narrow" w:hAnsi="Arial Narrow" w:cs="Arial Narrow"/>
                <w:bCs/>
                <w:i/>
                <w:color w:val="000000"/>
                <w:sz w:val="18"/>
                <w:szCs w:val="18"/>
              </w:rPr>
              <w:t xml:space="preserve"> risk disease (IMDC score of 0) </w:t>
            </w:r>
            <w:r w:rsidRPr="00845128">
              <w:rPr>
                <w:rFonts w:ascii="Arial Narrow" w:hAnsi="Arial Narrow" w:cs="Arial Narrow"/>
                <w:bCs/>
                <w:i/>
                <w:color w:val="000000"/>
                <w:sz w:val="18"/>
                <w:szCs w:val="18"/>
              </w:rPr>
              <w:t>prior to use of any of:</w:t>
            </w:r>
            <w:r w:rsidR="00FB1BCE">
              <w:rPr>
                <w:rFonts w:ascii="Arial Narrow" w:hAnsi="Arial Narrow" w:cs="Arial Narrow"/>
                <w:bCs/>
                <w:i/>
                <w:color w:val="000000"/>
                <w:sz w:val="18"/>
                <w:szCs w:val="18"/>
              </w:rPr>
              <w:t xml:space="preserve"> (i) pazopanib, (ii) sunitinib</w:t>
            </w:r>
          </w:p>
        </w:tc>
      </w:tr>
      <w:tr w:rsidR="00A068D6" w:rsidTr="00A068D6">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cs="Arial Narrow"/>
                <w:b/>
                <w:bCs/>
                <w:color w:val="000000"/>
                <w:sz w:val="18"/>
                <w:szCs w:val="18"/>
              </w:rPr>
            </w:pPr>
            <w:r>
              <w:rPr>
                <w:rFonts w:ascii="Arial Narrow" w:hAnsi="Arial Narrow" w:cs="Arial Narrow"/>
                <w:b/>
                <w:bCs/>
                <w:color w:val="000000"/>
                <w:sz w:val="18"/>
                <w:szCs w:val="18"/>
              </w:rPr>
              <w:t>AND</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sz w:val="18"/>
                <w:szCs w:val="18"/>
              </w:rPr>
            </w:pPr>
            <w:r>
              <w:rPr>
                <w:rFonts w:ascii="Arial Narrow" w:hAnsi="Arial Narrow"/>
                <w:b/>
                <w:color w:val="000000"/>
                <w:sz w:val="18"/>
                <w:szCs w:val="18"/>
              </w:rPr>
              <w:t>Clinical criteria:</w:t>
            </w:r>
          </w:p>
        </w:tc>
      </w:tr>
      <w:tr w:rsidR="00A068D6" w:rsidTr="004278BD">
        <w:trPr>
          <w:trHeight w:val="58"/>
        </w:trPr>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sz w:val="18"/>
                <w:szCs w:val="18"/>
              </w:rPr>
            </w:pPr>
            <w:r>
              <w:rPr>
                <w:rFonts w:ascii="Arial Narrow" w:hAnsi="Arial Narrow"/>
                <w:sz w:val="18"/>
                <w:szCs w:val="18"/>
              </w:rPr>
              <w:t>The treatment must be the sole PBS-subsidised therapy for this condition.</w:t>
            </w:r>
          </w:p>
        </w:tc>
      </w:tr>
      <w:tr w:rsidR="00A068D6" w:rsidTr="004278BD">
        <w:trPr>
          <w:trHeight w:val="58"/>
        </w:trPr>
        <w:tc>
          <w:tcPr>
            <w:tcW w:w="748"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A068D6" w:rsidRDefault="00A068D6">
            <w:pPr>
              <w:keepNext/>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i/>
                <w:sz w:val="18"/>
                <w:szCs w:val="18"/>
              </w:rPr>
            </w:pPr>
            <w:r>
              <w:rPr>
                <w:rFonts w:ascii="Arial Narrow" w:hAnsi="Arial Narrow" w:cs="Arial Narrow"/>
                <w:b/>
                <w:bCs/>
                <w:i/>
                <w:sz w:val="18"/>
                <w:szCs w:val="18"/>
              </w:rPr>
              <w:t>Treatment criteria:</w:t>
            </w:r>
          </w:p>
        </w:tc>
      </w:tr>
      <w:tr w:rsidR="00A068D6" w:rsidTr="004278BD">
        <w:trPr>
          <w:trHeight w:val="58"/>
        </w:trPr>
        <w:tc>
          <w:tcPr>
            <w:tcW w:w="0" w:type="auto"/>
            <w:vMerge/>
            <w:tcBorders>
              <w:top w:val="single" w:sz="4" w:space="0" w:color="000000"/>
              <w:left w:val="single" w:sz="4" w:space="0" w:color="000000"/>
              <w:bottom w:val="single" w:sz="4" w:space="0" w:color="000000"/>
              <w:right w:val="single" w:sz="4" w:space="0" w:color="000000"/>
            </w:tcBorders>
            <w:vAlign w:val="center"/>
          </w:tcPr>
          <w:p w:rsidR="00A068D6" w:rsidRDefault="00A068D6">
            <w:pP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shd w:val="clear" w:color="auto" w:fill="FFFFFF"/>
            <w:hideMark/>
          </w:tcPr>
          <w:p w:rsidR="00A068D6" w:rsidRDefault="00A068D6">
            <w:pPr>
              <w:keepNext/>
              <w:autoSpaceDE w:val="0"/>
              <w:autoSpaceDN w:val="0"/>
              <w:adjustRightInd w:val="0"/>
              <w:rPr>
                <w:rFonts w:ascii="Arial Narrow" w:hAnsi="Arial Narrow"/>
                <w:i/>
                <w:sz w:val="18"/>
                <w:szCs w:val="18"/>
              </w:rPr>
            </w:pPr>
            <w:r>
              <w:rPr>
                <w:rFonts w:ascii="Arial Narrow" w:hAnsi="Arial Narrow"/>
                <w:i/>
                <w:color w:val="000000"/>
                <w:sz w:val="18"/>
                <w:szCs w:val="18"/>
              </w:rPr>
              <w:t>Patient must be undergoing treatment with this drug for the first time</w:t>
            </w:r>
          </w:p>
        </w:tc>
      </w:tr>
      <w:tr w:rsidR="00A068D6" w:rsidTr="004278BD">
        <w:trPr>
          <w:trHeight w:val="282"/>
        </w:trPr>
        <w:tc>
          <w:tcPr>
            <w:tcW w:w="7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068D6" w:rsidRDefault="00A068D6">
            <w:pPr>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vAlign w:val="center"/>
            <w:hideMark/>
          </w:tcPr>
          <w:p w:rsidR="00A068D6" w:rsidRDefault="00A068D6">
            <w:pPr>
              <w:autoSpaceDE w:val="0"/>
              <w:autoSpaceDN w:val="0"/>
              <w:adjustRightInd w:val="0"/>
              <w:rPr>
                <w:rFonts w:ascii="Arial Narrow" w:hAnsi="Arial Narrow" w:cs="Arial Narrow"/>
                <w:b/>
                <w:bCs/>
                <w:strike/>
                <w:color w:val="000000"/>
                <w:sz w:val="18"/>
                <w:szCs w:val="18"/>
              </w:rPr>
            </w:pPr>
            <w:r>
              <w:rPr>
                <w:rFonts w:ascii="Arial Narrow" w:hAnsi="Arial Narrow" w:cs="Arial Narrow"/>
                <w:b/>
                <w:bCs/>
                <w:strike/>
                <w:color w:val="000000"/>
                <w:sz w:val="18"/>
                <w:szCs w:val="18"/>
              </w:rPr>
              <w:t>Administrative Advice:</w:t>
            </w:r>
          </w:p>
          <w:p w:rsidR="00A068D6" w:rsidRDefault="00A068D6">
            <w:pPr>
              <w:autoSpaceDE w:val="0"/>
              <w:autoSpaceDN w:val="0"/>
              <w:adjustRightInd w:val="0"/>
              <w:rPr>
                <w:rFonts w:ascii="Arial Narrow" w:hAnsi="Arial Narrow" w:cs="Calibri"/>
                <w:strike/>
                <w:sz w:val="18"/>
                <w:szCs w:val="18"/>
              </w:rPr>
            </w:pPr>
            <w:r>
              <w:rPr>
                <w:rFonts w:ascii="Arial Narrow" w:hAnsi="Arial Narrow" w:cs="Calibri"/>
                <w:strike/>
                <w:sz w:val="18"/>
                <w:szCs w:val="18"/>
              </w:rPr>
              <w:t>Response Evaluation Criteria In Solid Tumours (RECIST) is defined as follows:</w:t>
            </w:r>
          </w:p>
          <w:p w:rsidR="00A068D6" w:rsidRDefault="00A068D6">
            <w:pPr>
              <w:autoSpaceDE w:val="0"/>
              <w:autoSpaceDN w:val="0"/>
              <w:adjustRightInd w:val="0"/>
              <w:rPr>
                <w:rFonts w:ascii="Arial Narrow" w:hAnsi="Arial Narrow" w:cs="Calibri"/>
                <w:strike/>
                <w:sz w:val="18"/>
                <w:szCs w:val="18"/>
              </w:rPr>
            </w:pPr>
            <w:r>
              <w:rPr>
                <w:rFonts w:ascii="Arial Narrow" w:hAnsi="Arial Narrow" w:cs="Calibri"/>
                <w:strike/>
                <w:sz w:val="18"/>
                <w:szCs w:val="18"/>
              </w:rPr>
              <w:t>Complete response (CR) is disappearance of all target lesions</w:t>
            </w:r>
          </w:p>
          <w:p w:rsidR="00A068D6" w:rsidRDefault="00A068D6">
            <w:pPr>
              <w:autoSpaceDE w:val="0"/>
              <w:autoSpaceDN w:val="0"/>
              <w:adjustRightInd w:val="0"/>
              <w:rPr>
                <w:rFonts w:ascii="Arial Narrow" w:hAnsi="Arial Narrow" w:cs="Calibri"/>
                <w:strike/>
                <w:sz w:val="18"/>
                <w:szCs w:val="18"/>
              </w:rPr>
            </w:pPr>
            <w:r>
              <w:rPr>
                <w:rFonts w:ascii="Arial Narrow" w:hAnsi="Arial Narrow" w:cs="Calibri"/>
                <w:strike/>
                <w:sz w:val="18"/>
                <w:szCs w:val="18"/>
              </w:rPr>
              <w:t>Partial response (PR) is a 30% decrease in the sum of the longest diameter of target lesions</w:t>
            </w:r>
          </w:p>
          <w:p w:rsidR="00A068D6" w:rsidRDefault="00A068D6">
            <w:pPr>
              <w:autoSpaceDE w:val="0"/>
              <w:autoSpaceDN w:val="0"/>
              <w:adjustRightInd w:val="0"/>
              <w:rPr>
                <w:rFonts w:ascii="Arial Narrow" w:hAnsi="Arial Narrow" w:cs="Calibri"/>
                <w:strike/>
                <w:sz w:val="18"/>
                <w:szCs w:val="18"/>
              </w:rPr>
            </w:pPr>
            <w:r>
              <w:rPr>
                <w:rFonts w:ascii="Arial Narrow" w:hAnsi="Arial Narrow" w:cs="Calibri"/>
                <w:strike/>
                <w:sz w:val="18"/>
                <w:szCs w:val="18"/>
              </w:rPr>
              <w:lastRenderedPageBreak/>
              <w:t>Progressive disease (PD) is a 20% increase in the sum of the longest diameter of target lesions</w:t>
            </w:r>
          </w:p>
          <w:p w:rsidR="00A068D6" w:rsidRDefault="00A068D6">
            <w:pPr>
              <w:autoSpaceDE w:val="0"/>
              <w:autoSpaceDN w:val="0"/>
              <w:adjustRightInd w:val="0"/>
              <w:rPr>
                <w:rFonts w:ascii="Arial Narrow" w:hAnsi="Arial Narrow" w:cs="Arial Narrow"/>
                <w:b/>
                <w:bCs/>
                <w:color w:val="000000"/>
                <w:sz w:val="18"/>
                <w:szCs w:val="18"/>
              </w:rPr>
            </w:pPr>
            <w:r>
              <w:rPr>
                <w:rFonts w:ascii="Arial Narrow" w:hAnsi="Arial Narrow" w:cs="Calibri"/>
                <w:strike/>
                <w:sz w:val="18"/>
                <w:szCs w:val="18"/>
              </w:rPr>
              <w:t>Stable disease (SD) is small changes that do not meet above criteria.</w:t>
            </w:r>
          </w:p>
        </w:tc>
      </w:tr>
      <w:tr w:rsidR="00A068D6" w:rsidTr="004278BD">
        <w:trPr>
          <w:trHeight w:val="282"/>
        </w:trPr>
        <w:tc>
          <w:tcPr>
            <w:tcW w:w="7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068D6" w:rsidRDefault="00A068D6">
            <w:pPr>
              <w:autoSpaceDE w:val="0"/>
              <w:autoSpaceDN w:val="0"/>
              <w:adjustRightInd w:val="0"/>
              <w:jc w:val="center"/>
              <w:rPr>
                <w:rFonts w:ascii="Arial Narrow" w:hAnsi="Arial Narrow" w:cs="Calibri"/>
                <w:sz w:val="18"/>
                <w:szCs w:val="18"/>
              </w:rPr>
            </w:pPr>
          </w:p>
        </w:tc>
        <w:tc>
          <w:tcPr>
            <w:tcW w:w="4252" w:type="pct"/>
            <w:gridSpan w:val="6"/>
            <w:tcBorders>
              <w:top w:val="single" w:sz="4" w:space="0" w:color="000000"/>
              <w:left w:val="single" w:sz="4" w:space="0" w:color="000000"/>
              <w:bottom w:val="single" w:sz="4" w:space="0" w:color="000000"/>
              <w:right w:val="single" w:sz="4" w:space="0" w:color="000000"/>
            </w:tcBorders>
            <w:vAlign w:val="center"/>
          </w:tcPr>
          <w:p w:rsidR="00A068D6" w:rsidRDefault="00A068D6">
            <w:pPr>
              <w:autoSpaceDE w:val="0"/>
              <w:autoSpaceDN w:val="0"/>
              <w:adjustRightInd w:val="0"/>
              <w:rPr>
                <w:rFonts w:ascii="Arial Narrow" w:hAnsi="Arial Narrow" w:cs="Arial Narrow"/>
                <w:b/>
                <w:bCs/>
                <w:color w:val="000000"/>
                <w:sz w:val="18"/>
                <w:szCs w:val="18"/>
              </w:rPr>
            </w:pPr>
            <w:r>
              <w:rPr>
                <w:rFonts w:ascii="Arial Narrow" w:hAnsi="Arial Narrow" w:cs="Arial Narrow"/>
                <w:b/>
                <w:bCs/>
                <w:color w:val="000000"/>
                <w:sz w:val="18"/>
                <w:szCs w:val="18"/>
              </w:rPr>
              <w:t>Administrative advice:</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 xml:space="preserve">A prognostic International Metastatic Renal Cell Carcinoma Database Consortium (IMDC) survival risk score can be calculated here: </w:t>
            </w:r>
            <w:r w:rsidRPr="0061241D">
              <w:rPr>
                <w:rFonts w:ascii="Arial Narrow" w:hAnsi="Arial Narrow" w:cs="Arial Narrow"/>
                <w:bCs/>
                <w:sz w:val="18"/>
                <w:szCs w:val="18"/>
              </w:rPr>
              <w:t>https://www.mdcalc.com/imdc-international-metastatic-rcc-database-consortium-risk-model-metastatic-renal-cell-carcinoma</w:t>
            </w:r>
            <w:r>
              <w:rPr>
                <w:rFonts w:ascii="Arial Narrow" w:hAnsi="Arial Narrow" w:cs="Arial Narrow"/>
                <w:bCs/>
                <w:sz w:val="18"/>
                <w:szCs w:val="18"/>
              </w:rPr>
              <w:t>.</w:t>
            </w:r>
          </w:p>
          <w:p w:rsidR="00A068D6" w:rsidRDefault="00A068D6">
            <w:pPr>
              <w:autoSpaceDE w:val="0"/>
              <w:autoSpaceDN w:val="0"/>
              <w:adjustRightInd w:val="0"/>
              <w:rPr>
                <w:rFonts w:ascii="Arial Narrow" w:hAnsi="Arial Narrow" w:cs="Arial Narrow"/>
                <w:bCs/>
                <w:color w:val="000000"/>
                <w:sz w:val="18"/>
                <w:szCs w:val="18"/>
              </w:rPr>
            </w:pP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 xml:space="preserve">One point is assigned for each of: </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 xml:space="preserve">(i) a time of diagnosis to systemic therapy of less than 1 year </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 xml:space="preserve">(ii) a Karnofsky Performance Status of less than 80% </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(iii) a haemaglobin less than the lower limit of normal</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(iv) a corrected calcium level greater than the upper limit of normal</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(v) a neutrophil count greater than the upper limit of normal</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(vi) a platelet count greater than the upper limit of normal</w:t>
            </w:r>
          </w:p>
          <w:p w:rsidR="00A068D6" w:rsidRDefault="00A068D6">
            <w:pPr>
              <w:autoSpaceDE w:val="0"/>
              <w:autoSpaceDN w:val="0"/>
              <w:adjustRightInd w:val="0"/>
              <w:rPr>
                <w:rFonts w:ascii="Arial Narrow" w:hAnsi="Arial Narrow" w:cs="Arial Narrow"/>
                <w:bCs/>
                <w:color w:val="000000"/>
                <w:sz w:val="18"/>
                <w:szCs w:val="18"/>
              </w:rPr>
            </w:pP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Stated normal reference ranges may vary depending on the laboratory providing the measurement. ‘Normal’ here refers to the individual laboratory’s stated normal reference range.</w:t>
            </w:r>
          </w:p>
          <w:p w:rsidR="00A068D6" w:rsidRDefault="00A068D6">
            <w:pPr>
              <w:autoSpaceDE w:val="0"/>
              <w:autoSpaceDN w:val="0"/>
              <w:adjustRightInd w:val="0"/>
              <w:rPr>
                <w:rFonts w:ascii="Arial Narrow" w:hAnsi="Arial Narrow" w:cs="Arial Narrow"/>
                <w:bCs/>
                <w:color w:val="000000"/>
                <w:sz w:val="18"/>
                <w:szCs w:val="18"/>
              </w:rPr>
            </w:pP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Favourable IMDC risk is a score of 0.</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Intermediate IMDC risk is a score of 1 to 2.</w:t>
            </w:r>
          </w:p>
          <w:p w:rsidR="00A068D6" w:rsidRDefault="00A068D6">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Poor IMDC risk is a score of 3 to 6.</w:t>
            </w:r>
          </w:p>
          <w:p w:rsidR="00A068D6" w:rsidRDefault="00A068D6">
            <w:pPr>
              <w:autoSpaceDE w:val="0"/>
              <w:autoSpaceDN w:val="0"/>
              <w:adjustRightInd w:val="0"/>
              <w:rPr>
                <w:rFonts w:ascii="Arial Narrow" w:hAnsi="Arial Narrow" w:cs="Arial Narrow"/>
                <w:bCs/>
                <w:color w:val="000000"/>
                <w:sz w:val="18"/>
                <w:szCs w:val="18"/>
              </w:rPr>
            </w:pPr>
          </w:p>
          <w:p w:rsidR="00A068D6" w:rsidRDefault="00A068D6">
            <w:pPr>
              <w:autoSpaceDE w:val="0"/>
              <w:autoSpaceDN w:val="0"/>
              <w:adjustRightInd w:val="0"/>
              <w:rPr>
                <w:rFonts w:ascii="Arial Narrow" w:hAnsi="Arial Narrow" w:cs="Arial Narrow"/>
                <w:bCs/>
                <w:i/>
                <w:color w:val="000000"/>
                <w:sz w:val="18"/>
                <w:szCs w:val="18"/>
              </w:rPr>
            </w:pPr>
            <w:r>
              <w:rPr>
                <w:rFonts w:ascii="Arial Narrow" w:hAnsi="Arial Narrow" w:cs="Arial Narrow"/>
                <w:bCs/>
                <w:color w:val="000000"/>
                <w:sz w:val="18"/>
                <w:szCs w:val="18"/>
              </w:rPr>
              <w:t>The Department of Health is not the webmaster of the website mentioned above. If the website link mentioned above is no longer functioning, notify the Department via email to: pbs@health.gov.au</w:t>
            </w:r>
          </w:p>
        </w:tc>
      </w:tr>
    </w:tbl>
    <w:p w:rsidR="00A068D6" w:rsidRDefault="00A068D6" w:rsidP="00A068D6">
      <w:pPr>
        <w:tabs>
          <w:tab w:val="right" w:pos="9072"/>
        </w:tabs>
        <w:autoSpaceDE w:val="0"/>
        <w:autoSpaceDN w:val="0"/>
        <w:adjustRightInd w:val="0"/>
        <w:rPr>
          <w:rFonts w:cs="Calibri"/>
          <w:iCs/>
        </w:rPr>
      </w:pPr>
    </w:p>
    <w:tbl>
      <w:tblPr>
        <w:tblW w:w="5002"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127"/>
        <w:gridCol w:w="1137"/>
        <w:gridCol w:w="992"/>
        <w:gridCol w:w="992"/>
        <w:gridCol w:w="994"/>
        <w:gridCol w:w="1507"/>
      </w:tblGrid>
      <w:tr w:rsidR="00A068D6" w:rsidTr="00B67FC8">
        <w:trPr>
          <w:cantSplit/>
          <w:trHeight w:val="471"/>
        </w:trPr>
        <w:tc>
          <w:tcPr>
            <w:tcW w:w="1884" w:type="pct"/>
            <w:gridSpan w:val="2"/>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b/>
                <w:sz w:val="18"/>
                <w:szCs w:val="18"/>
              </w:rPr>
            </w:pPr>
            <w:r>
              <w:rPr>
                <w:rFonts w:ascii="Arial Narrow" w:eastAsia="Calibri" w:hAnsi="Arial Narrow"/>
                <w:b/>
                <w:sz w:val="18"/>
                <w:szCs w:val="18"/>
              </w:rPr>
              <w:t>MEDICINAL PRODUCT</w:t>
            </w:r>
          </w:p>
          <w:p w:rsidR="00A068D6" w:rsidRDefault="00A068D6">
            <w:pPr>
              <w:keepNext/>
              <w:ind w:left="57"/>
              <w:rPr>
                <w:rFonts w:ascii="Arial Narrow" w:eastAsia="Calibri" w:hAnsi="Arial Narrow"/>
                <w:b/>
                <w:sz w:val="18"/>
                <w:szCs w:val="18"/>
              </w:rPr>
            </w:pPr>
            <w:r>
              <w:rPr>
                <w:rFonts w:ascii="Arial Narrow" w:eastAsia="Calibri" w:hAnsi="Arial Narrow"/>
                <w:b/>
                <w:sz w:val="18"/>
                <w:szCs w:val="18"/>
              </w:rPr>
              <w:t>medicinal product pack</w:t>
            </w:r>
          </w:p>
        </w:tc>
        <w:tc>
          <w:tcPr>
            <w:tcW w:w="63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PBS item code</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Max. qty packs</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Max. qty units</w:t>
            </w:r>
          </w:p>
        </w:tc>
        <w:tc>
          <w:tcPr>
            <w:tcW w:w="551"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№.of</w:t>
            </w:r>
          </w:p>
          <w:p w:rsidR="00A068D6" w:rsidRDefault="00A068D6">
            <w:pPr>
              <w:keepNext/>
              <w:ind w:left="-108"/>
              <w:jc w:val="center"/>
              <w:rPr>
                <w:rFonts w:ascii="Arial Narrow" w:eastAsia="Calibri" w:hAnsi="Arial Narrow"/>
                <w:b/>
                <w:sz w:val="18"/>
                <w:szCs w:val="18"/>
              </w:rPr>
            </w:pPr>
            <w:r>
              <w:rPr>
                <w:rFonts w:ascii="Arial Narrow" w:eastAsia="Calibri" w:hAnsi="Arial Narrow"/>
                <w:b/>
                <w:sz w:val="18"/>
                <w:szCs w:val="18"/>
              </w:rPr>
              <w:t>Rpts</w:t>
            </w:r>
          </w:p>
        </w:tc>
        <w:tc>
          <w:tcPr>
            <w:tcW w:w="835" w:type="pct"/>
            <w:tcBorders>
              <w:top w:val="single" w:sz="4" w:space="0" w:color="auto"/>
              <w:left w:val="single" w:sz="4" w:space="0" w:color="auto"/>
              <w:bottom w:val="single" w:sz="4" w:space="0" w:color="auto"/>
              <w:right w:val="single" w:sz="4" w:space="0" w:color="auto"/>
            </w:tcBorders>
            <w:hideMark/>
          </w:tcPr>
          <w:p w:rsidR="00A068D6" w:rsidRDefault="00A068D6">
            <w:pPr>
              <w:keepNext/>
              <w:rPr>
                <w:rFonts w:ascii="Arial Narrow" w:eastAsia="Calibri" w:hAnsi="Arial Narrow"/>
                <w:b/>
                <w:sz w:val="18"/>
                <w:szCs w:val="18"/>
              </w:rPr>
            </w:pPr>
            <w:r>
              <w:rPr>
                <w:rFonts w:ascii="Arial Narrow" w:eastAsia="Calibri" w:hAnsi="Arial Narrow"/>
                <w:b/>
                <w:sz w:val="18"/>
                <w:szCs w:val="18"/>
              </w:rPr>
              <w:t>Available brands</w:t>
            </w:r>
          </w:p>
        </w:tc>
      </w:tr>
      <w:tr w:rsidR="00A068D6" w:rsidTr="00B67FC8">
        <w:trPr>
          <w:cantSplit/>
          <w:trHeight w:val="325"/>
        </w:trPr>
        <w:tc>
          <w:tcPr>
            <w:tcW w:w="5000" w:type="pct"/>
            <w:gridSpan w:val="7"/>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sz w:val="18"/>
                <w:szCs w:val="18"/>
              </w:rPr>
            </w:pPr>
            <w:r>
              <w:rPr>
                <w:rFonts w:ascii="Arial Narrow" w:eastAsia="Calibri" w:hAnsi="Arial Narrow"/>
                <w:sz w:val="18"/>
                <w:szCs w:val="18"/>
              </w:rPr>
              <w:t>CABOZANTINIB</w:t>
            </w:r>
          </w:p>
        </w:tc>
      </w:tr>
      <w:tr w:rsidR="00A068D6" w:rsidTr="00B67FC8">
        <w:trPr>
          <w:cantSplit/>
          <w:trHeight w:val="414"/>
        </w:trPr>
        <w:tc>
          <w:tcPr>
            <w:tcW w:w="1884" w:type="pct"/>
            <w:gridSpan w:val="2"/>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sz w:val="18"/>
                <w:szCs w:val="18"/>
              </w:rPr>
            </w:pPr>
            <w:r>
              <w:rPr>
                <w:rFonts w:ascii="Arial Narrow" w:eastAsia="Calibri" w:hAnsi="Arial Narrow"/>
                <w:sz w:val="18"/>
                <w:szCs w:val="18"/>
              </w:rPr>
              <w:t>cabozantinib 20 mg tablet, 30</w:t>
            </w:r>
          </w:p>
        </w:tc>
        <w:tc>
          <w:tcPr>
            <w:tcW w:w="63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7"/>
              <w:jc w:val="center"/>
              <w:rPr>
                <w:rFonts w:ascii="Arial Narrow" w:eastAsia="Calibri" w:hAnsi="Arial Narrow"/>
                <w:sz w:val="18"/>
                <w:szCs w:val="18"/>
              </w:rPr>
            </w:pPr>
            <w:r>
              <w:rPr>
                <w:rFonts w:ascii="Arial Narrow" w:eastAsia="Calibri" w:hAnsi="Arial Narrow"/>
                <w:sz w:val="18"/>
                <w:szCs w:val="18"/>
              </w:rPr>
              <w:t>11374P</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jc w:val="center"/>
              <w:rPr>
                <w:rFonts w:ascii="Arial Narrow" w:eastAsia="Calibri" w:hAnsi="Arial Narrow"/>
                <w:sz w:val="18"/>
                <w:szCs w:val="18"/>
              </w:rPr>
            </w:pPr>
            <w:r>
              <w:rPr>
                <w:rFonts w:ascii="Arial Narrow" w:eastAsia="Calibri" w:hAnsi="Arial Narrow"/>
                <w:sz w:val="18"/>
                <w:szCs w:val="18"/>
              </w:rPr>
              <w:t>1</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10"/>
              <w:jc w:val="center"/>
              <w:rPr>
                <w:rFonts w:ascii="Arial Narrow" w:eastAsia="Calibri" w:hAnsi="Arial Narrow"/>
                <w:sz w:val="18"/>
                <w:szCs w:val="18"/>
              </w:rPr>
            </w:pPr>
            <w:r>
              <w:rPr>
                <w:rFonts w:ascii="Arial Narrow" w:eastAsia="Calibri" w:hAnsi="Arial Narrow"/>
                <w:sz w:val="18"/>
                <w:szCs w:val="18"/>
              </w:rPr>
              <w:t>30</w:t>
            </w:r>
          </w:p>
        </w:tc>
        <w:tc>
          <w:tcPr>
            <w:tcW w:w="551"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5</w:t>
            </w:r>
          </w:p>
        </w:tc>
        <w:tc>
          <w:tcPr>
            <w:tcW w:w="835" w:type="pct"/>
            <w:tcBorders>
              <w:top w:val="single" w:sz="4" w:space="0" w:color="auto"/>
              <w:left w:val="single" w:sz="4" w:space="0" w:color="auto"/>
              <w:bottom w:val="single" w:sz="4" w:space="0" w:color="auto"/>
              <w:right w:val="single" w:sz="4" w:space="0" w:color="auto"/>
            </w:tcBorders>
            <w:hideMark/>
          </w:tcPr>
          <w:p w:rsidR="00A068D6" w:rsidRDefault="00A068D6">
            <w:pPr>
              <w:keepNext/>
              <w:rPr>
                <w:rFonts w:ascii="Arial Narrow" w:eastAsia="Calibri" w:hAnsi="Arial Narrow"/>
                <w:sz w:val="18"/>
                <w:szCs w:val="18"/>
              </w:rPr>
            </w:pPr>
            <w:r>
              <w:rPr>
                <w:rFonts w:ascii="Arial Narrow" w:eastAsia="Calibri" w:hAnsi="Arial Narrow"/>
                <w:sz w:val="18"/>
                <w:szCs w:val="18"/>
              </w:rPr>
              <w:t>Cabometyx</w:t>
            </w:r>
          </w:p>
        </w:tc>
      </w:tr>
      <w:tr w:rsidR="00A068D6" w:rsidTr="00B67FC8">
        <w:trPr>
          <w:cantSplit/>
          <w:trHeight w:val="347"/>
        </w:trPr>
        <w:tc>
          <w:tcPr>
            <w:tcW w:w="1884" w:type="pct"/>
            <w:gridSpan w:val="2"/>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sz w:val="18"/>
                <w:szCs w:val="18"/>
              </w:rPr>
            </w:pPr>
            <w:r>
              <w:rPr>
                <w:rFonts w:ascii="Arial Narrow" w:eastAsia="Calibri" w:hAnsi="Arial Narrow"/>
                <w:sz w:val="18"/>
                <w:szCs w:val="18"/>
              </w:rPr>
              <w:t>cabozantinib 40 mg tablet, 30</w:t>
            </w:r>
          </w:p>
        </w:tc>
        <w:tc>
          <w:tcPr>
            <w:tcW w:w="63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11368H</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jc w:val="center"/>
              <w:rPr>
                <w:rFonts w:ascii="Arial Narrow" w:eastAsia="Calibri" w:hAnsi="Arial Narrow"/>
                <w:sz w:val="18"/>
                <w:szCs w:val="18"/>
              </w:rPr>
            </w:pPr>
            <w:r>
              <w:rPr>
                <w:rFonts w:ascii="Arial Narrow" w:eastAsia="Calibri" w:hAnsi="Arial Narrow"/>
                <w:sz w:val="18"/>
                <w:szCs w:val="18"/>
              </w:rPr>
              <w:t>1</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30</w:t>
            </w:r>
          </w:p>
        </w:tc>
        <w:tc>
          <w:tcPr>
            <w:tcW w:w="551"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5</w:t>
            </w:r>
          </w:p>
        </w:tc>
        <w:tc>
          <w:tcPr>
            <w:tcW w:w="835" w:type="pct"/>
            <w:tcBorders>
              <w:top w:val="single" w:sz="4" w:space="0" w:color="auto"/>
              <w:left w:val="single" w:sz="4" w:space="0" w:color="auto"/>
              <w:bottom w:val="single" w:sz="4" w:space="0" w:color="auto"/>
              <w:right w:val="single" w:sz="4" w:space="0" w:color="auto"/>
            </w:tcBorders>
            <w:hideMark/>
          </w:tcPr>
          <w:p w:rsidR="00A068D6" w:rsidRDefault="00A068D6">
            <w:pPr>
              <w:keepNext/>
              <w:rPr>
                <w:rFonts w:ascii="Arial Narrow" w:eastAsia="Calibri" w:hAnsi="Arial Narrow"/>
                <w:sz w:val="18"/>
                <w:szCs w:val="18"/>
              </w:rPr>
            </w:pPr>
            <w:r>
              <w:rPr>
                <w:rFonts w:ascii="Arial Narrow" w:eastAsia="Calibri" w:hAnsi="Arial Narrow"/>
                <w:sz w:val="18"/>
                <w:szCs w:val="18"/>
              </w:rPr>
              <w:t>Cabometyx</w:t>
            </w:r>
          </w:p>
        </w:tc>
      </w:tr>
      <w:tr w:rsidR="00A068D6" w:rsidTr="00B67FC8">
        <w:trPr>
          <w:cantSplit/>
          <w:trHeight w:val="327"/>
        </w:trPr>
        <w:tc>
          <w:tcPr>
            <w:tcW w:w="1884" w:type="pct"/>
            <w:gridSpan w:val="2"/>
            <w:tcBorders>
              <w:top w:val="single" w:sz="4" w:space="0" w:color="auto"/>
              <w:left w:val="single" w:sz="4" w:space="0" w:color="auto"/>
              <w:bottom w:val="single" w:sz="4" w:space="0" w:color="auto"/>
              <w:right w:val="single" w:sz="4" w:space="0" w:color="auto"/>
            </w:tcBorders>
            <w:hideMark/>
          </w:tcPr>
          <w:p w:rsidR="00A068D6" w:rsidRDefault="00A068D6">
            <w:pPr>
              <w:keepNext/>
              <w:ind w:left="57"/>
              <w:rPr>
                <w:rFonts w:ascii="Arial Narrow" w:eastAsia="Calibri" w:hAnsi="Arial Narrow"/>
                <w:sz w:val="18"/>
                <w:szCs w:val="18"/>
              </w:rPr>
            </w:pPr>
            <w:r>
              <w:rPr>
                <w:rFonts w:ascii="Arial Narrow" w:eastAsia="Calibri" w:hAnsi="Arial Narrow"/>
                <w:sz w:val="18"/>
                <w:szCs w:val="18"/>
              </w:rPr>
              <w:t>cabozantinib 60 mg tablet, 30</w:t>
            </w:r>
          </w:p>
        </w:tc>
        <w:tc>
          <w:tcPr>
            <w:tcW w:w="63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6"/>
              <w:jc w:val="center"/>
              <w:rPr>
                <w:rFonts w:ascii="Arial Narrow" w:eastAsia="Calibri" w:hAnsi="Arial Narrow"/>
                <w:sz w:val="18"/>
                <w:szCs w:val="18"/>
              </w:rPr>
            </w:pPr>
            <w:r>
              <w:rPr>
                <w:rFonts w:ascii="Arial Narrow" w:eastAsia="Calibri" w:hAnsi="Arial Narrow"/>
                <w:sz w:val="18"/>
                <w:szCs w:val="18"/>
              </w:rPr>
              <w:t>11367G</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jc w:val="center"/>
              <w:rPr>
                <w:rFonts w:ascii="Arial Narrow" w:eastAsia="Calibri" w:hAnsi="Arial Narrow"/>
                <w:sz w:val="18"/>
                <w:szCs w:val="18"/>
              </w:rPr>
            </w:pPr>
            <w:r>
              <w:rPr>
                <w:rFonts w:ascii="Arial Narrow" w:eastAsia="Calibri" w:hAnsi="Arial Narrow"/>
                <w:sz w:val="18"/>
                <w:szCs w:val="18"/>
              </w:rPr>
              <w:t>1</w:t>
            </w:r>
          </w:p>
        </w:tc>
        <w:tc>
          <w:tcPr>
            <w:tcW w:w="550"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30</w:t>
            </w:r>
          </w:p>
        </w:tc>
        <w:tc>
          <w:tcPr>
            <w:tcW w:w="551" w:type="pct"/>
            <w:tcBorders>
              <w:top w:val="single" w:sz="4" w:space="0" w:color="auto"/>
              <w:left w:val="single" w:sz="4" w:space="0" w:color="auto"/>
              <w:bottom w:val="single" w:sz="4" w:space="0" w:color="auto"/>
              <w:right w:val="single" w:sz="4" w:space="0" w:color="auto"/>
            </w:tcBorders>
            <w:hideMark/>
          </w:tcPr>
          <w:p w:rsidR="00A068D6" w:rsidRDefault="00A068D6">
            <w:pPr>
              <w:keepNext/>
              <w:ind w:left="-108"/>
              <w:jc w:val="center"/>
              <w:rPr>
                <w:rFonts w:ascii="Arial Narrow" w:eastAsia="Calibri" w:hAnsi="Arial Narrow"/>
                <w:sz w:val="18"/>
                <w:szCs w:val="18"/>
              </w:rPr>
            </w:pPr>
            <w:r>
              <w:rPr>
                <w:rFonts w:ascii="Arial Narrow" w:eastAsia="Calibri" w:hAnsi="Arial Narrow"/>
                <w:sz w:val="18"/>
                <w:szCs w:val="18"/>
              </w:rPr>
              <w:t>5</w:t>
            </w:r>
          </w:p>
        </w:tc>
        <w:tc>
          <w:tcPr>
            <w:tcW w:w="835" w:type="pct"/>
            <w:tcBorders>
              <w:top w:val="single" w:sz="4" w:space="0" w:color="auto"/>
              <w:left w:val="single" w:sz="4" w:space="0" w:color="auto"/>
              <w:bottom w:val="single" w:sz="4" w:space="0" w:color="auto"/>
              <w:right w:val="single" w:sz="4" w:space="0" w:color="auto"/>
            </w:tcBorders>
            <w:hideMark/>
          </w:tcPr>
          <w:p w:rsidR="00A068D6" w:rsidRDefault="00A068D6">
            <w:pPr>
              <w:keepNext/>
              <w:rPr>
                <w:rFonts w:ascii="Arial Narrow" w:eastAsia="Calibri" w:hAnsi="Arial Narrow"/>
                <w:sz w:val="18"/>
                <w:szCs w:val="18"/>
              </w:rPr>
            </w:pPr>
            <w:r>
              <w:rPr>
                <w:rFonts w:ascii="Arial Narrow" w:eastAsia="Calibri" w:hAnsi="Arial Narrow"/>
                <w:sz w:val="18"/>
                <w:szCs w:val="18"/>
              </w:rPr>
              <w:t>Cabometyx</w:t>
            </w:r>
          </w:p>
        </w:tc>
      </w:tr>
      <w:tr w:rsidR="00A068D6" w:rsidTr="00B67FC8">
        <w:trPr>
          <w:cantSplit/>
        </w:trPr>
        <w:tc>
          <w:tcPr>
            <w:tcW w:w="4998"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rPr>
                <w:rFonts w:ascii="Arial Narrow" w:hAnsi="Arial Narrow" w:cs="Calibri"/>
                <w:b/>
                <w:bCs/>
                <w:iCs/>
                <w:sz w:val="18"/>
                <w:szCs w:val="18"/>
              </w:rPr>
            </w:pPr>
          </w:p>
        </w:tc>
      </w:tr>
      <w:tr w:rsidR="00A068D6" w:rsidTr="00B67FC8">
        <w:trPr>
          <w:cantSplit/>
        </w:trPr>
        <w:tc>
          <w:tcPr>
            <w:tcW w:w="4998"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b/>
                <w:bCs/>
                <w:iCs/>
                <w:sz w:val="18"/>
                <w:szCs w:val="18"/>
              </w:rPr>
            </w:pPr>
            <w:r>
              <w:rPr>
                <w:rFonts w:ascii="Arial Narrow" w:hAnsi="Arial Narrow" w:cs="Calibri"/>
                <w:b/>
                <w:bCs/>
                <w:iCs/>
                <w:sz w:val="18"/>
                <w:szCs w:val="18"/>
              </w:rPr>
              <w:t>Restriction Summary 7638 / ToC: 7631: Authority Required: Streamlined – NO CHANGE</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 xml:space="preserve">Administrative Advice: </w:t>
            </w:r>
            <w:r>
              <w:rPr>
                <w:rFonts w:ascii="Arial Narrow" w:hAnsi="Arial Narrow" w:cs="Calibri"/>
                <w:iCs/>
                <w:sz w:val="18"/>
                <w:szCs w:val="18"/>
              </w:rPr>
              <w:t>No increase in the maximum number of repeats may be authorised.</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Indication:</w:t>
            </w:r>
            <w:r>
              <w:rPr>
                <w:rFonts w:ascii="Arial Narrow" w:hAnsi="Arial Narrow" w:cs="Calibri"/>
                <w:iCs/>
                <w:sz w:val="18"/>
                <w:szCs w:val="18"/>
              </w:rPr>
              <w:t xml:space="preserve"> Stage IV clear cell variant renal cell carcinoma (RCC)</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Treatment Phase:</w:t>
            </w:r>
            <w:r>
              <w:rPr>
                <w:rFonts w:ascii="Arial Narrow" w:hAnsi="Arial Narrow" w:cs="Calibri"/>
                <w:iCs/>
                <w:sz w:val="18"/>
                <w:szCs w:val="18"/>
              </w:rPr>
              <w:t xml:space="preserve"> Continuing treatment</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Clinical criteria:</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Patient must have previously received PBS-subsidised treatment with this drug for this condition</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AND</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Clinical criteria:</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Patient must have stable or responding disease according to the Response Evaluation Criteria In Solid Tumours (RECIST)</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AND</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Clinical criteria:</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The treatment must be the sole PBS-subsidised therapy for this condition</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AND</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Clinical criteria:</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Patient must not receive PBS-subsidised treatment with this drug if progressive disease develops while on this drug</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Administrative Advice:</w:t>
            </w:r>
          </w:p>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Response Evaluation Criteria In Solid Tumours (RECIST) is defined as follows:</w:t>
            </w:r>
          </w:p>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Complete response (CR) is disappearance of all target lesions.</w:t>
            </w:r>
          </w:p>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Partial response (PR) is a 30% decrease in the sum of the longest diameter of target lesions.</w:t>
            </w:r>
          </w:p>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Progressive disease (PD) is a 20% increase in the sum of the longest diameter of target lesions.</w:t>
            </w:r>
          </w:p>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iCs/>
                <w:sz w:val="18"/>
                <w:szCs w:val="18"/>
              </w:rPr>
              <w:t>Stable disease (SD) is small changes that do not meet above criteria.</w:t>
            </w:r>
          </w:p>
        </w:tc>
      </w:tr>
      <w:tr w:rsidR="00A068D6" w:rsidTr="00B67FC8">
        <w:trPr>
          <w:cantSplit/>
        </w:trPr>
        <w:tc>
          <w:tcPr>
            <w:tcW w:w="7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8D6" w:rsidRDefault="00A068D6">
            <w:pPr>
              <w:tabs>
                <w:tab w:val="right" w:pos="9072"/>
              </w:tabs>
              <w:autoSpaceDE w:val="0"/>
              <w:autoSpaceDN w:val="0"/>
              <w:adjustRightInd w:val="0"/>
              <w:jc w:val="center"/>
              <w:rPr>
                <w:rFonts w:ascii="Arial Narrow" w:hAnsi="Arial Narrow" w:cs="Calibri"/>
                <w:iCs/>
                <w:sz w:val="18"/>
                <w:szCs w:val="18"/>
              </w:rPr>
            </w:pPr>
          </w:p>
        </w:tc>
        <w:tc>
          <w:tcPr>
            <w:tcW w:w="429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8D6" w:rsidRDefault="00A068D6">
            <w:pPr>
              <w:tabs>
                <w:tab w:val="right" w:pos="9072"/>
              </w:tabs>
              <w:autoSpaceDE w:val="0"/>
              <w:autoSpaceDN w:val="0"/>
              <w:adjustRightInd w:val="0"/>
              <w:rPr>
                <w:rFonts w:ascii="Arial Narrow" w:hAnsi="Arial Narrow" w:cs="Calibri"/>
                <w:iCs/>
                <w:sz w:val="18"/>
                <w:szCs w:val="18"/>
              </w:rPr>
            </w:pPr>
            <w:r>
              <w:rPr>
                <w:rFonts w:ascii="Arial Narrow" w:hAnsi="Arial Narrow" w:cs="Calibri"/>
                <w:b/>
                <w:bCs/>
                <w:iCs/>
                <w:sz w:val="18"/>
                <w:szCs w:val="18"/>
              </w:rPr>
              <w:t>Administrative Advice:</w:t>
            </w:r>
            <w:r>
              <w:rPr>
                <w:rFonts w:ascii="Arial Narrow" w:hAnsi="Arial Narrow" w:cs="Calibri"/>
                <w:iCs/>
                <w:sz w:val="18"/>
                <w:szCs w:val="18"/>
              </w:rPr>
              <w:t xml:space="preserve"> Special Pricing Arrangements apply.</w:t>
            </w:r>
          </w:p>
        </w:tc>
      </w:tr>
    </w:tbl>
    <w:p w:rsidR="00A068D6" w:rsidRDefault="00A068D6" w:rsidP="00A068D6">
      <w:pPr>
        <w:tabs>
          <w:tab w:val="right" w:pos="9072"/>
        </w:tabs>
        <w:autoSpaceDE w:val="0"/>
        <w:autoSpaceDN w:val="0"/>
        <w:adjustRightInd w:val="0"/>
        <w:rPr>
          <w:rFonts w:cs="Calibri"/>
          <w:iCs/>
        </w:rPr>
      </w:pPr>
    </w:p>
    <w:p w:rsidR="00A068D6" w:rsidRPr="0021414C" w:rsidRDefault="00A068D6" w:rsidP="0021414C">
      <w:pPr>
        <w:pStyle w:val="3-BodyText"/>
      </w:pPr>
      <w:r>
        <w:t>Flow-on changes to existing listings for sunitinib &amp; pazopanib in renal cell carcinoma indication are as follows:</w:t>
      </w:r>
    </w:p>
    <w:p w:rsidR="00A068D6" w:rsidRDefault="00A068D6" w:rsidP="00A068D6">
      <w:pPr>
        <w:ind w:left="360" w:hanging="360"/>
        <w:contextualSpacing/>
        <w:rPr>
          <w:rFonts w:cs="Calibri"/>
          <w:b/>
        </w:rPr>
      </w:pPr>
      <w:r>
        <w:rPr>
          <w:rFonts w:cs="Calibri"/>
          <w:b/>
        </w:rPr>
        <w:t>Amendments to the existing sunitinib listings:</w:t>
      </w:r>
    </w:p>
    <w:p w:rsidR="00A068D6" w:rsidRDefault="00A068D6" w:rsidP="00A068D6">
      <w:pPr>
        <w:rPr>
          <w:rFonts w:cs="Calibri"/>
          <w:snapToGrid w:val="0"/>
          <w:color w:val="000000"/>
          <w:sz w:val="20"/>
          <w:szCs w:val="20"/>
          <w:u w:val="single"/>
        </w:rPr>
      </w:pPr>
      <w:r>
        <w:rPr>
          <w:rFonts w:cs="Calibri"/>
          <w:snapToGrid w:val="0"/>
          <w:color w:val="000000"/>
          <w:sz w:val="20"/>
          <w:szCs w:val="20"/>
          <w:u w:val="single"/>
        </w:rPr>
        <w:t>Amend the following Prescribing Instructions as follows:</w:t>
      </w:r>
    </w:p>
    <w:p w:rsidR="00A068D6" w:rsidRDefault="00A068D6" w:rsidP="00A068D6">
      <w:pPr>
        <w:rPr>
          <w:rFonts w:cs="Calibri"/>
          <w:snapToGrid w:val="0"/>
          <w:color w:val="000000"/>
          <w:sz w:val="20"/>
          <w:szCs w:val="20"/>
        </w:rPr>
      </w:pPr>
    </w:p>
    <w:tbl>
      <w:tblPr>
        <w:tblStyle w:val="TableGrid"/>
        <w:tblW w:w="0" w:type="auto"/>
        <w:tblLook w:val="0620" w:firstRow="1" w:lastRow="0" w:firstColumn="0" w:lastColumn="0" w:noHBand="1" w:noVBand="1"/>
      </w:tblPr>
      <w:tblGrid>
        <w:gridCol w:w="4508"/>
        <w:gridCol w:w="4508"/>
      </w:tblGrid>
      <w:tr w:rsidR="00A068D6" w:rsidTr="00810D23">
        <w:trPr>
          <w:tblHeader/>
        </w:trPr>
        <w:tc>
          <w:tcPr>
            <w:tcW w:w="9016" w:type="dxa"/>
            <w:gridSpan w:val="2"/>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Medicinal Product:</w:t>
            </w:r>
            <w:r>
              <w:rPr>
                <w:rFonts w:cs="Calibri"/>
                <w:snapToGrid w:val="0"/>
                <w:color w:val="000000"/>
                <w:sz w:val="20"/>
                <w:szCs w:val="20"/>
              </w:rPr>
              <w:t xml:space="preserve"> Sunitinib</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Indication:</w:t>
            </w:r>
            <w:r>
              <w:rPr>
                <w:rFonts w:cs="Calibri"/>
                <w:snapToGrid w:val="0"/>
                <w:color w:val="000000"/>
                <w:sz w:val="20"/>
                <w:szCs w:val="20"/>
              </w:rPr>
              <w:t xml:space="preserve"> Stage IV clear cell variant renal cell carcinoma (RCC) [7597]</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Treatment Phase:</w:t>
            </w:r>
            <w:r>
              <w:rPr>
                <w:rFonts w:cs="Calibri"/>
                <w:snapToGrid w:val="0"/>
                <w:color w:val="000000"/>
                <w:sz w:val="20"/>
                <w:szCs w:val="20"/>
              </w:rPr>
              <w:t xml:space="preserve">  Initial treatment</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Affected PBS item codes:</w:t>
            </w:r>
            <w:r>
              <w:t xml:space="preserve"> </w:t>
            </w:r>
            <w:r>
              <w:rPr>
                <w:rFonts w:cs="Calibri"/>
                <w:snapToGrid w:val="0"/>
                <w:color w:val="000000"/>
                <w:sz w:val="20"/>
                <w:szCs w:val="20"/>
              </w:rPr>
              <w:t>9417P, 9418Q, 10504W, 9419R</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 xml:space="preserve">Affected Restriction Summary Number: </w:t>
            </w:r>
            <w:r>
              <w:rPr>
                <w:rFonts w:cs="Calibri"/>
                <w:snapToGrid w:val="0"/>
                <w:color w:val="000000"/>
                <w:sz w:val="20"/>
                <w:szCs w:val="20"/>
              </w:rPr>
              <w:t>9210</w:t>
            </w:r>
          </w:p>
        </w:tc>
      </w:tr>
    </w:tbl>
    <w:p w:rsidR="00A068D6" w:rsidRDefault="00A068D6" w:rsidP="00A068D6">
      <w:pPr>
        <w:rPr>
          <w:rFonts w:cs="Calibri"/>
          <w:snapToGrid w:val="0"/>
          <w:color w:val="000000"/>
          <w:sz w:val="20"/>
          <w:szCs w:val="20"/>
        </w:rPr>
      </w:pPr>
    </w:p>
    <w:tbl>
      <w:tblPr>
        <w:tblStyle w:val="TableGrid"/>
        <w:tblW w:w="0" w:type="auto"/>
        <w:tblLook w:val="0620" w:firstRow="1" w:lastRow="0" w:firstColumn="0" w:lastColumn="0" w:noHBand="1" w:noVBand="1"/>
      </w:tblPr>
      <w:tblGrid>
        <w:gridCol w:w="7887"/>
      </w:tblGrid>
      <w:tr w:rsidR="004278BD" w:rsidTr="00810D23">
        <w:trPr>
          <w:tblHeader/>
        </w:trPr>
        <w:tc>
          <w:tcPr>
            <w:tcW w:w="7887" w:type="dxa"/>
            <w:tcBorders>
              <w:top w:val="single" w:sz="4" w:space="0" w:color="auto"/>
              <w:left w:val="single" w:sz="4" w:space="0" w:color="auto"/>
              <w:bottom w:val="single" w:sz="4" w:space="0" w:color="auto"/>
              <w:right w:val="single" w:sz="4" w:space="0" w:color="auto"/>
            </w:tcBorders>
            <w:hideMark/>
          </w:tcPr>
          <w:p w:rsidR="004278BD" w:rsidRDefault="004278BD">
            <w:pPr>
              <w:rPr>
                <w:rFonts w:ascii="Arial Narrow" w:hAnsi="Arial Narrow" w:cs="Calibri"/>
                <w:b/>
                <w:strike/>
                <w:snapToGrid w:val="0"/>
                <w:color w:val="000000"/>
                <w:sz w:val="18"/>
                <w:szCs w:val="18"/>
              </w:rPr>
            </w:pPr>
            <w:r>
              <w:rPr>
                <w:rFonts w:ascii="Arial Narrow" w:hAnsi="Arial Narrow" w:cs="Calibri"/>
                <w:b/>
                <w:strike/>
                <w:snapToGrid w:val="0"/>
                <w:color w:val="000000"/>
                <w:sz w:val="18"/>
                <w:szCs w:val="18"/>
              </w:rPr>
              <w:t>Prescribing Instructions:</w:t>
            </w:r>
          </w:p>
          <w:p w:rsidR="004278BD" w:rsidRDefault="004278BD">
            <w:pPr>
              <w:rPr>
                <w:rFonts w:ascii="Arial Narrow" w:hAnsi="Arial Narrow" w:cs="Calibri"/>
                <w:strike/>
                <w:snapToGrid w:val="0"/>
                <w:color w:val="000000"/>
                <w:sz w:val="18"/>
                <w:szCs w:val="18"/>
              </w:rPr>
            </w:pPr>
            <w:r>
              <w:rPr>
                <w:rFonts w:ascii="Arial Narrow" w:hAnsi="Arial Narrow" w:cs="Calibri"/>
                <w:strike/>
                <w:snapToGrid w:val="0"/>
                <w:color w:val="000000"/>
                <w:sz w:val="18"/>
                <w:szCs w:val="18"/>
              </w:rPr>
              <w:t>Patients who have developed progressive disease on pazopanib are not eligible to receive PBS-subsidised sunitinib.</w:t>
            </w:r>
          </w:p>
        </w:tc>
      </w:tr>
      <w:tr w:rsidR="004278BD" w:rsidTr="00810D23">
        <w:tc>
          <w:tcPr>
            <w:tcW w:w="7887" w:type="dxa"/>
            <w:tcBorders>
              <w:top w:val="single" w:sz="4" w:space="0" w:color="auto"/>
              <w:left w:val="single" w:sz="4" w:space="0" w:color="auto"/>
              <w:bottom w:val="single" w:sz="4" w:space="0" w:color="auto"/>
              <w:right w:val="single" w:sz="4" w:space="0" w:color="auto"/>
            </w:tcBorders>
            <w:hideMark/>
          </w:tcPr>
          <w:p w:rsidR="004278BD" w:rsidRDefault="004278BD">
            <w:pPr>
              <w:rPr>
                <w:rFonts w:ascii="Arial Narrow" w:hAnsi="Arial Narrow" w:cs="Calibri"/>
                <w:b/>
                <w:snapToGrid w:val="0"/>
                <w:color w:val="000000"/>
                <w:sz w:val="18"/>
                <w:szCs w:val="18"/>
              </w:rPr>
            </w:pPr>
            <w:r>
              <w:rPr>
                <w:rFonts w:ascii="Arial Narrow" w:hAnsi="Arial Narrow" w:cs="Calibri"/>
                <w:b/>
                <w:snapToGrid w:val="0"/>
                <w:color w:val="000000"/>
                <w:sz w:val="18"/>
                <w:szCs w:val="18"/>
              </w:rPr>
              <w:t>Prescribing Instructions:</w:t>
            </w:r>
          </w:p>
          <w:p w:rsidR="004278BD" w:rsidRDefault="004278BD">
            <w:pPr>
              <w:rPr>
                <w:rFonts w:ascii="Arial Narrow" w:hAnsi="Arial Narrow" w:cs="Calibri"/>
                <w:snapToGrid w:val="0"/>
                <w:color w:val="000000"/>
                <w:sz w:val="18"/>
                <w:szCs w:val="18"/>
              </w:rPr>
            </w:pPr>
            <w:r>
              <w:rPr>
                <w:rFonts w:ascii="Arial Narrow" w:hAnsi="Arial Narrow" w:cs="Calibri"/>
                <w:snapToGrid w:val="0"/>
                <w:color w:val="000000"/>
                <w:sz w:val="18"/>
                <w:szCs w:val="18"/>
              </w:rPr>
              <w:t>PBS-subsidy does not apply to a patient who has progressive disease whilst on, or, who has recurrent disease following treatment with any of: (i) cabozantinib, (ii) pazopanib, (iii) sunitinib</w:t>
            </w:r>
          </w:p>
        </w:tc>
      </w:tr>
    </w:tbl>
    <w:p w:rsidR="00A068D6" w:rsidRDefault="00A068D6" w:rsidP="00A068D6">
      <w:pPr>
        <w:rPr>
          <w:rFonts w:cs="Calibri"/>
          <w:snapToGrid w:val="0"/>
          <w:color w:val="000000"/>
          <w:sz w:val="20"/>
          <w:szCs w:val="20"/>
        </w:rPr>
      </w:pPr>
    </w:p>
    <w:tbl>
      <w:tblPr>
        <w:tblStyle w:val="TableGrid"/>
        <w:tblW w:w="0" w:type="auto"/>
        <w:tblLook w:val="0620" w:firstRow="1" w:lastRow="0" w:firstColumn="0" w:lastColumn="0" w:noHBand="1" w:noVBand="1"/>
      </w:tblPr>
      <w:tblGrid>
        <w:gridCol w:w="4508"/>
        <w:gridCol w:w="4508"/>
      </w:tblGrid>
      <w:tr w:rsidR="00A068D6" w:rsidTr="00810D23">
        <w:trPr>
          <w:tblHeader/>
        </w:trPr>
        <w:tc>
          <w:tcPr>
            <w:tcW w:w="9016" w:type="dxa"/>
            <w:gridSpan w:val="2"/>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Medicinal Product:</w:t>
            </w:r>
            <w:r>
              <w:rPr>
                <w:rFonts w:cs="Calibri"/>
                <w:snapToGrid w:val="0"/>
                <w:color w:val="000000"/>
                <w:sz w:val="20"/>
                <w:szCs w:val="20"/>
              </w:rPr>
              <w:t xml:space="preserve"> Sunitinib</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Indication:</w:t>
            </w:r>
            <w:r>
              <w:rPr>
                <w:rFonts w:cs="Calibri"/>
                <w:snapToGrid w:val="0"/>
                <w:color w:val="000000"/>
                <w:sz w:val="20"/>
                <w:szCs w:val="20"/>
              </w:rPr>
              <w:t xml:space="preserve"> Stage IV clear cell variant renal cell carcinoma (RCC) [7597]</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Treatment Phase:</w:t>
            </w:r>
            <w:r>
              <w:rPr>
                <w:rFonts w:cs="Calibri"/>
                <w:snapToGrid w:val="0"/>
                <w:color w:val="000000"/>
                <w:sz w:val="20"/>
                <w:szCs w:val="20"/>
              </w:rPr>
              <w:t xml:space="preserve">  Continuing treatment beyond 3 months</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 xml:space="preserve">Affected PBS item codes: </w:t>
            </w:r>
            <w:r>
              <w:rPr>
                <w:rFonts w:cs="Calibri"/>
                <w:snapToGrid w:val="0"/>
                <w:color w:val="000000"/>
                <w:sz w:val="20"/>
                <w:szCs w:val="20"/>
              </w:rPr>
              <w:t>9420T, 9421W, 10459L, 9422X</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 xml:space="preserve">Affected Restriction Summary Number: </w:t>
            </w:r>
            <w:r>
              <w:rPr>
                <w:rFonts w:cs="Calibri"/>
                <w:snapToGrid w:val="0"/>
                <w:color w:val="000000"/>
                <w:sz w:val="20"/>
                <w:szCs w:val="20"/>
              </w:rPr>
              <w:t>7485</w:t>
            </w:r>
          </w:p>
        </w:tc>
      </w:tr>
    </w:tbl>
    <w:p w:rsidR="00A068D6" w:rsidRDefault="00A068D6" w:rsidP="00A068D6">
      <w:pPr>
        <w:rPr>
          <w:rFonts w:cs="Calibri"/>
          <w:snapToGrid w:val="0"/>
          <w:color w:val="000000"/>
          <w:sz w:val="20"/>
          <w:szCs w:val="20"/>
        </w:rPr>
      </w:pPr>
    </w:p>
    <w:tbl>
      <w:tblPr>
        <w:tblStyle w:val="TableGrid"/>
        <w:tblW w:w="0" w:type="auto"/>
        <w:tblLook w:val="0620" w:firstRow="1" w:lastRow="0" w:firstColumn="0" w:lastColumn="0" w:noHBand="1" w:noVBand="1"/>
      </w:tblPr>
      <w:tblGrid>
        <w:gridCol w:w="7887"/>
      </w:tblGrid>
      <w:tr w:rsidR="004278BD" w:rsidTr="00810D23">
        <w:trPr>
          <w:tblHeader/>
        </w:trPr>
        <w:tc>
          <w:tcPr>
            <w:tcW w:w="7887" w:type="dxa"/>
            <w:tcBorders>
              <w:top w:val="single" w:sz="4" w:space="0" w:color="auto"/>
              <w:left w:val="single" w:sz="4" w:space="0" w:color="auto"/>
              <w:bottom w:val="single" w:sz="4" w:space="0" w:color="auto"/>
              <w:right w:val="single" w:sz="4" w:space="0" w:color="auto"/>
            </w:tcBorders>
            <w:hideMark/>
          </w:tcPr>
          <w:p w:rsidR="004278BD" w:rsidRDefault="004278BD">
            <w:pPr>
              <w:rPr>
                <w:rFonts w:ascii="Arial Narrow" w:hAnsi="Arial Narrow" w:cs="Calibri"/>
                <w:b/>
                <w:strike/>
                <w:snapToGrid w:val="0"/>
                <w:color w:val="000000"/>
                <w:sz w:val="18"/>
                <w:szCs w:val="18"/>
              </w:rPr>
            </w:pPr>
            <w:r>
              <w:rPr>
                <w:rFonts w:ascii="Arial Narrow" w:hAnsi="Arial Narrow" w:cs="Calibri"/>
                <w:b/>
                <w:strike/>
                <w:snapToGrid w:val="0"/>
                <w:color w:val="000000"/>
                <w:sz w:val="18"/>
                <w:szCs w:val="18"/>
              </w:rPr>
              <w:t>Prescribing Instructions:</w:t>
            </w:r>
          </w:p>
          <w:p w:rsidR="004278BD" w:rsidRDefault="004278BD">
            <w:pPr>
              <w:rPr>
                <w:rFonts w:ascii="Arial Narrow" w:hAnsi="Arial Narrow" w:cs="Calibri"/>
                <w:strike/>
                <w:snapToGrid w:val="0"/>
                <w:color w:val="000000"/>
                <w:sz w:val="18"/>
                <w:szCs w:val="18"/>
              </w:rPr>
            </w:pPr>
            <w:r>
              <w:rPr>
                <w:rFonts w:ascii="Arial Narrow" w:hAnsi="Arial Narrow" w:cs="Calibri"/>
                <w:strike/>
                <w:snapToGrid w:val="0"/>
                <w:color w:val="000000"/>
                <w:sz w:val="18"/>
                <w:szCs w:val="18"/>
              </w:rPr>
              <w:t>Patients who have developed progressive disease on pazopanib are not eligible to receive PBS-subsidised sunitinib.</w:t>
            </w:r>
          </w:p>
        </w:tc>
      </w:tr>
    </w:tbl>
    <w:p w:rsidR="00A068D6" w:rsidRDefault="00A068D6" w:rsidP="00A068D6">
      <w:pPr>
        <w:rPr>
          <w:rFonts w:cs="Calibri"/>
          <w:snapToGrid w:val="0"/>
          <w:color w:val="000000"/>
          <w:sz w:val="20"/>
          <w:szCs w:val="20"/>
        </w:rPr>
      </w:pPr>
    </w:p>
    <w:p w:rsidR="00A068D6" w:rsidRDefault="00A068D6" w:rsidP="00A068D6">
      <w:pPr>
        <w:rPr>
          <w:rFonts w:cs="Calibri"/>
          <w:snapToGrid w:val="0"/>
          <w:color w:val="000000"/>
          <w:sz w:val="20"/>
          <w:szCs w:val="20"/>
        </w:rPr>
      </w:pPr>
    </w:p>
    <w:p w:rsidR="00A068D6" w:rsidRDefault="00A068D6" w:rsidP="00A068D6">
      <w:pPr>
        <w:ind w:left="360" w:hanging="360"/>
        <w:contextualSpacing/>
        <w:rPr>
          <w:rFonts w:cs="Calibri"/>
          <w:b/>
        </w:rPr>
      </w:pPr>
      <w:r>
        <w:rPr>
          <w:rFonts w:cs="Calibri"/>
          <w:b/>
        </w:rPr>
        <w:t>Amendments to the existing pazopanib listings:</w:t>
      </w:r>
    </w:p>
    <w:p w:rsidR="00A068D6" w:rsidRDefault="00A068D6" w:rsidP="00A068D6">
      <w:pPr>
        <w:rPr>
          <w:rFonts w:cs="Calibri"/>
          <w:snapToGrid w:val="0"/>
          <w:color w:val="000000"/>
          <w:sz w:val="20"/>
          <w:szCs w:val="20"/>
          <w:u w:val="single"/>
        </w:rPr>
      </w:pPr>
      <w:r>
        <w:rPr>
          <w:rFonts w:cs="Calibri"/>
          <w:snapToGrid w:val="0"/>
          <w:color w:val="000000"/>
          <w:sz w:val="20"/>
          <w:szCs w:val="20"/>
          <w:u w:val="single"/>
        </w:rPr>
        <w:t>Amend the following Prescribing Instructions as follows:</w:t>
      </w:r>
    </w:p>
    <w:p w:rsidR="00A068D6" w:rsidRDefault="00A068D6" w:rsidP="00A068D6">
      <w:pPr>
        <w:rPr>
          <w:rFonts w:ascii="Arial Narrow" w:hAnsi="Arial Narrow"/>
          <w:snapToGrid w:val="0"/>
          <w:color w:val="000000"/>
          <w:sz w:val="20"/>
          <w:szCs w:val="20"/>
        </w:rPr>
      </w:pPr>
    </w:p>
    <w:p w:rsidR="00A068D6" w:rsidRDefault="00A068D6" w:rsidP="00A068D6">
      <w:pPr>
        <w:rPr>
          <w:rFonts w:cs="Calibri"/>
          <w:snapToGrid w:val="0"/>
          <w:color w:val="000000"/>
          <w:sz w:val="20"/>
          <w:szCs w:val="20"/>
        </w:rPr>
      </w:pPr>
    </w:p>
    <w:tbl>
      <w:tblPr>
        <w:tblStyle w:val="TableGrid"/>
        <w:tblW w:w="0" w:type="auto"/>
        <w:tblLook w:val="0620" w:firstRow="1" w:lastRow="0" w:firstColumn="0" w:lastColumn="0" w:noHBand="1" w:noVBand="1"/>
      </w:tblPr>
      <w:tblGrid>
        <w:gridCol w:w="4508"/>
        <w:gridCol w:w="4508"/>
      </w:tblGrid>
      <w:tr w:rsidR="00A068D6" w:rsidTr="00810D23">
        <w:trPr>
          <w:tblHeader/>
        </w:trPr>
        <w:tc>
          <w:tcPr>
            <w:tcW w:w="9016" w:type="dxa"/>
            <w:gridSpan w:val="2"/>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Medicinal Product:</w:t>
            </w:r>
            <w:r>
              <w:rPr>
                <w:rFonts w:cs="Calibri"/>
                <w:snapToGrid w:val="0"/>
                <w:color w:val="000000"/>
                <w:sz w:val="20"/>
                <w:szCs w:val="20"/>
              </w:rPr>
              <w:t xml:space="preserve"> Pazopanib</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Indication:</w:t>
            </w:r>
            <w:r>
              <w:rPr>
                <w:rFonts w:cs="Calibri"/>
                <w:snapToGrid w:val="0"/>
                <w:color w:val="000000"/>
                <w:sz w:val="20"/>
                <w:szCs w:val="20"/>
              </w:rPr>
              <w:t xml:space="preserve"> Stage IV clear cell variant renal cell carcinoma (RCC) [7597]</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Treatment Phase:</w:t>
            </w:r>
            <w:r>
              <w:rPr>
                <w:rFonts w:cs="Calibri"/>
                <w:snapToGrid w:val="0"/>
                <w:color w:val="000000"/>
                <w:sz w:val="20"/>
                <w:szCs w:val="20"/>
              </w:rPr>
              <w:t xml:space="preserve">  Initial treatment</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Affected PBS item codes:</w:t>
            </w:r>
            <w:r>
              <w:t xml:space="preserve"> </w:t>
            </w:r>
            <w:r>
              <w:rPr>
                <w:rFonts w:asciiTheme="minorHAnsi" w:hAnsiTheme="minorHAnsi" w:cstheme="minorHAnsi"/>
                <w:sz w:val="20"/>
                <w:szCs w:val="20"/>
              </w:rPr>
              <w:t>2029T, 2030W</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 xml:space="preserve">Affected Restriction Summary Number: </w:t>
            </w:r>
            <w:r>
              <w:rPr>
                <w:rFonts w:cs="Calibri"/>
                <w:snapToGrid w:val="0"/>
                <w:color w:val="000000"/>
                <w:sz w:val="20"/>
                <w:szCs w:val="20"/>
              </w:rPr>
              <w:t>9281</w:t>
            </w:r>
          </w:p>
        </w:tc>
      </w:tr>
    </w:tbl>
    <w:p w:rsidR="00A068D6" w:rsidRDefault="00A068D6" w:rsidP="00A068D6">
      <w:pPr>
        <w:rPr>
          <w:rFonts w:cs="Calibri"/>
          <w:snapToGrid w:val="0"/>
          <w:color w:val="000000"/>
          <w:sz w:val="20"/>
          <w:szCs w:val="20"/>
        </w:rPr>
      </w:pPr>
    </w:p>
    <w:tbl>
      <w:tblPr>
        <w:tblStyle w:val="TableGrid"/>
        <w:tblW w:w="0" w:type="auto"/>
        <w:tblLook w:val="0620" w:firstRow="1" w:lastRow="0" w:firstColumn="0" w:lastColumn="0" w:noHBand="1" w:noVBand="1"/>
      </w:tblPr>
      <w:tblGrid>
        <w:gridCol w:w="7887"/>
      </w:tblGrid>
      <w:tr w:rsidR="004278BD" w:rsidTr="00810D23">
        <w:trPr>
          <w:tblHeader/>
        </w:trPr>
        <w:tc>
          <w:tcPr>
            <w:tcW w:w="7887" w:type="dxa"/>
            <w:tcBorders>
              <w:top w:val="single" w:sz="4" w:space="0" w:color="auto"/>
              <w:left w:val="single" w:sz="4" w:space="0" w:color="auto"/>
              <w:bottom w:val="single" w:sz="4" w:space="0" w:color="auto"/>
              <w:right w:val="single" w:sz="4" w:space="0" w:color="auto"/>
            </w:tcBorders>
            <w:hideMark/>
          </w:tcPr>
          <w:p w:rsidR="004278BD" w:rsidRDefault="004278BD">
            <w:pPr>
              <w:rPr>
                <w:rFonts w:ascii="Arial Narrow" w:hAnsi="Arial Narrow" w:cs="Calibri"/>
                <w:b/>
                <w:strike/>
                <w:snapToGrid w:val="0"/>
                <w:color w:val="000000"/>
                <w:sz w:val="18"/>
                <w:szCs w:val="18"/>
              </w:rPr>
            </w:pPr>
            <w:r>
              <w:rPr>
                <w:rFonts w:ascii="Arial Narrow" w:hAnsi="Arial Narrow" w:cs="Calibri"/>
                <w:b/>
                <w:strike/>
                <w:snapToGrid w:val="0"/>
                <w:color w:val="000000"/>
                <w:sz w:val="18"/>
                <w:szCs w:val="18"/>
              </w:rPr>
              <w:t>Prescribing Instructions:</w:t>
            </w:r>
          </w:p>
          <w:p w:rsidR="004278BD" w:rsidRDefault="004278BD">
            <w:pPr>
              <w:rPr>
                <w:rFonts w:ascii="Arial Narrow" w:hAnsi="Arial Narrow" w:cs="Calibri"/>
                <w:strike/>
                <w:snapToGrid w:val="0"/>
                <w:color w:val="000000"/>
                <w:sz w:val="18"/>
                <w:szCs w:val="18"/>
              </w:rPr>
            </w:pPr>
            <w:r>
              <w:rPr>
                <w:rFonts w:ascii="Arial Narrow" w:hAnsi="Arial Narrow" w:cs="Calibri"/>
                <w:strike/>
                <w:snapToGrid w:val="0"/>
                <w:color w:val="000000"/>
                <w:sz w:val="18"/>
                <w:szCs w:val="18"/>
              </w:rPr>
              <w:t>Patients who have progressive disease on sunitinib are not eligible to receive PBS-subsidised pazopanib.</w:t>
            </w:r>
          </w:p>
        </w:tc>
      </w:tr>
      <w:tr w:rsidR="004278BD" w:rsidTr="00810D23">
        <w:tc>
          <w:tcPr>
            <w:tcW w:w="7887" w:type="dxa"/>
            <w:tcBorders>
              <w:top w:val="single" w:sz="4" w:space="0" w:color="auto"/>
              <w:left w:val="single" w:sz="4" w:space="0" w:color="auto"/>
              <w:bottom w:val="single" w:sz="4" w:space="0" w:color="auto"/>
              <w:right w:val="single" w:sz="4" w:space="0" w:color="auto"/>
            </w:tcBorders>
            <w:hideMark/>
          </w:tcPr>
          <w:p w:rsidR="004278BD" w:rsidRDefault="004278BD">
            <w:pPr>
              <w:rPr>
                <w:rFonts w:ascii="Arial Narrow" w:hAnsi="Arial Narrow" w:cs="Calibri"/>
                <w:b/>
                <w:snapToGrid w:val="0"/>
                <w:color w:val="000000"/>
                <w:sz w:val="18"/>
                <w:szCs w:val="18"/>
              </w:rPr>
            </w:pPr>
            <w:r>
              <w:rPr>
                <w:rFonts w:ascii="Arial Narrow" w:hAnsi="Arial Narrow" w:cs="Calibri"/>
                <w:b/>
                <w:snapToGrid w:val="0"/>
                <w:color w:val="000000"/>
                <w:sz w:val="18"/>
                <w:szCs w:val="18"/>
              </w:rPr>
              <w:t>Prescribing Instructions:</w:t>
            </w:r>
          </w:p>
          <w:p w:rsidR="004278BD" w:rsidRDefault="004278BD">
            <w:pPr>
              <w:rPr>
                <w:rFonts w:ascii="Arial Narrow" w:hAnsi="Arial Narrow" w:cs="Calibri"/>
                <w:snapToGrid w:val="0"/>
                <w:color w:val="000000"/>
                <w:sz w:val="18"/>
                <w:szCs w:val="18"/>
              </w:rPr>
            </w:pPr>
            <w:r>
              <w:rPr>
                <w:rFonts w:ascii="Arial Narrow" w:hAnsi="Arial Narrow" w:cs="Calibri"/>
                <w:snapToGrid w:val="0"/>
                <w:color w:val="000000"/>
                <w:sz w:val="18"/>
                <w:szCs w:val="18"/>
              </w:rPr>
              <w:t>PBS-subsidy does not apply to a patient who has progressive disease whilst on, or, who has recurrent disease following treatment with any of: (i) cabozantinib, (ii) pazopanib, (iii) sunitinib</w:t>
            </w:r>
          </w:p>
        </w:tc>
      </w:tr>
    </w:tbl>
    <w:p w:rsidR="00A068D6" w:rsidRDefault="00A068D6" w:rsidP="00A068D6">
      <w:pPr>
        <w:rPr>
          <w:rFonts w:cs="Calibri"/>
          <w:snapToGrid w:val="0"/>
          <w:color w:val="000000"/>
          <w:sz w:val="20"/>
          <w:szCs w:val="20"/>
        </w:rPr>
      </w:pPr>
    </w:p>
    <w:tbl>
      <w:tblPr>
        <w:tblStyle w:val="TableGrid"/>
        <w:tblW w:w="0" w:type="auto"/>
        <w:tblLook w:val="0620" w:firstRow="1" w:lastRow="0" w:firstColumn="0" w:lastColumn="0" w:noHBand="1" w:noVBand="1"/>
      </w:tblPr>
      <w:tblGrid>
        <w:gridCol w:w="4508"/>
        <w:gridCol w:w="4508"/>
      </w:tblGrid>
      <w:tr w:rsidR="00A068D6" w:rsidTr="00810D23">
        <w:trPr>
          <w:tblHeader/>
        </w:trPr>
        <w:tc>
          <w:tcPr>
            <w:tcW w:w="9016" w:type="dxa"/>
            <w:gridSpan w:val="2"/>
            <w:tcBorders>
              <w:top w:val="single" w:sz="4" w:space="0" w:color="auto"/>
              <w:left w:val="single" w:sz="4" w:space="0" w:color="auto"/>
              <w:bottom w:val="single" w:sz="4" w:space="0" w:color="auto"/>
              <w:right w:val="single" w:sz="4" w:space="0" w:color="auto"/>
            </w:tcBorders>
            <w:hideMark/>
          </w:tcPr>
          <w:p w:rsidR="00A068D6" w:rsidRDefault="00A068D6" w:rsidP="009745EA">
            <w:pPr>
              <w:keepNext/>
              <w:keepLines/>
              <w:rPr>
                <w:rFonts w:cs="Calibri"/>
                <w:snapToGrid w:val="0"/>
                <w:color w:val="000000"/>
                <w:sz w:val="20"/>
                <w:szCs w:val="20"/>
              </w:rPr>
            </w:pPr>
            <w:r>
              <w:rPr>
                <w:rFonts w:cs="Calibri"/>
                <w:b/>
                <w:snapToGrid w:val="0"/>
                <w:color w:val="000000"/>
                <w:sz w:val="20"/>
                <w:szCs w:val="20"/>
              </w:rPr>
              <w:t>Medicinal Product:</w:t>
            </w:r>
            <w:r>
              <w:rPr>
                <w:rFonts w:cs="Calibri"/>
                <w:snapToGrid w:val="0"/>
                <w:color w:val="000000"/>
                <w:sz w:val="20"/>
                <w:szCs w:val="20"/>
              </w:rPr>
              <w:t xml:space="preserve"> Pazopanib</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rsidP="009745EA">
            <w:pPr>
              <w:keepNext/>
              <w:keepLines/>
              <w:rPr>
                <w:rFonts w:cs="Calibri"/>
                <w:snapToGrid w:val="0"/>
                <w:color w:val="000000"/>
                <w:sz w:val="20"/>
                <w:szCs w:val="20"/>
              </w:rPr>
            </w:pPr>
            <w:r>
              <w:rPr>
                <w:rFonts w:cs="Calibri"/>
                <w:b/>
                <w:snapToGrid w:val="0"/>
                <w:color w:val="000000"/>
                <w:sz w:val="20"/>
                <w:szCs w:val="20"/>
              </w:rPr>
              <w:t>Indication:</w:t>
            </w:r>
            <w:r>
              <w:rPr>
                <w:rFonts w:cs="Calibri"/>
                <w:snapToGrid w:val="0"/>
                <w:color w:val="000000"/>
                <w:sz w:val="20"/>
                <w:szCs w:val="20"/>
              </w:rPr>
              <w:t xml:space="preserve"> Stage IV clear cell variant renal cell carcinoma (RCC) [7597]</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Treatment Phase:</w:t>
            </w:r>
            <w:r>
              <w:rPr>
                <w:rFonts w:cs="Calibri"/>
                <w:snapToGrid w:val="0"/>
                <w:color w:val="000000"/>
                <w:sz w:val="20"/>
                <w:szCs w:val="20"/>
              </w:rPr>
              <w:t xml:space="preserve">  Continuing treatment beyond 3 months</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rsidP="009745EA">
            <w:pPr>
              <w:keepNext/>
              <w:keepLines/>
              <w:rPr>
                <w:rFonts w:cs="Calibri"/>
                <w:b/>
                <w:snapToGrid w:val="0"/>
                <w:color w:val="000000"/>
                <w:sz w:val="20"/>
                <w:szCs w:val="20"/>
              </w:rPr>
            </w:pPr>
            <w:r>
              <w:rPr>
                <w:rFonts w:cs="Calibri"/>
                <w:b/>
                <w:snapToGrid w:val="0"/>
                <w:color w:val="000000"/>
                <w:sz w:val="20"/>
                <w:szCs w:val="20"/>
              </w:rPr>
              <w:t xml:space="preserve">Affected PBS item codes: </w:t>
            </w:r>
            <w:r>
              <w:rPr>
                <w:rFonts w:cs="Calibri"/>
                <w:snapToGrid w:val="0"/>
                <w:color w:val="000000"/>
                <w:sz w:val="20"/>
                <w:szCs w:val="20"/>
              </w:rPr>
              <w:t>11252F, 11261Q</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 xml:space="preserve">Affected Restriction Summary Number: </w:t>
            </w:r>
            <w:r>
              <w:rPr>
                <w:rFonts w:cs="Calibri"/>
                <w:snapToGrid w:val="0"/>
                <w:color w:val="000000"/>
                <w:sz w:val="20"/>
                <w:szCs w:val="20"/>
              </w:rPr>
              <w:t>7482</w:t>
            </w:r>
          </w:p>
        </w:tc>
      </w:tr>
    </w:tbl>
    <w:p w:rsidR="00A068D6" w:rsidRDefault="00A068D6" w:rsidP="00A068D6">
      <w:pPr>
        <w:rPr>
          <w:rFonts w:cs="Calibri"/>
          <w:snapToGrid w:val="0"/>
          <w:color w:val="000000"/>
          <w:sz w:val="20"/>
          <w:szCs w:val="20"/>
        </w:rPr>
      </w:pPr>
    </w:p>
    <w:tbl>
      <w:tblPr>
        <w:tblStyle w:val="TableGrid"/>
        <w:tblW w:w="0" w:type="auto"/>
        <w:tblLook w:val="0620" w:firstRow="1" w:lastRow="0" w:firstColumn="0" w:lastColumn="0" w:noHBand="1" w:noVBand="1"/>
      </w:tblPr>
      <w:tblGrid>
        <w:gridCol w:w="7887"/>
      </w:tblGrid>
      <w:tr w:rsidR="004278BD" w:rsidTr="00810D23">
        <w:trPr>
          <w:tblHeader/>
        </w:trPr>
        <w:tc>
          <w:tcPr>
            <w:tcW w:w="7887" w:type="dxa"/>
            <w:tcBorders>
              <w:top w:val="single" w:sz="4" w:space="0" w:color="auto"/>
              <w:left w:val="single" w:sz="4" w:space="0" w:color="auto"/>
              <w:bottom w:val="single" w:sz="4" w:space="0" w:color="auto"/>
              <w:right w:val="single" w:sz="4" w:space="0" w:color="auto"/>
            </w:tcBorders>
            <w:hideMark/>
          </w:tcPr>
          <w:p w:rsidR="004278BD" w:rsidRDefault="004278BD">
            <w:pPr>
              <w:rPr>
                <w:rFonts w:ascii="Arial Narrow" w:hAnsi="Arial Narrow" w:cs="Calibri"/>
                <w:b/>
                <w:strike/>
                <w:snapToGrid w:val="0"/>
                <w:color w:val="000000"/>
                <w:sz w:val="18"/>
                <w:szCs w:val="18"/>
              </w:rPr>
            </w:pPr>
            <w:r>
              <w:rPr>
                <w:rFonts w:ascii="Arial Narrow" w:hAnsi="Arial Narrow" w:cs="Calibri"/>
                <w:b/>
                <w:strike/>
                <w:snapToGrid w:val="0"/>
                <w:color w:val="000000"/>
                <w:sz w:val="18"/>
                <w:szCs w:val="18"/>
              </w:rPr>
              <w:t>Prescribing Instructions:</w:t>
            </w:r>
          </w:p>
          <w:p w:rsidR="004278BD" w:rsidRDefault="004278BD">
            <w:pPr>
              <w:rPr>
                <w:rFonts w:ascii="Arial Narrow" w:hAnsi="Arial Narrow" w:cs="Calibri"/>
                <w:strike/>
                <w:snapToGrid w:val="0"/>
                <w:color w:val="000000"/>
                <w:sz w:val="18"/>
                <w:szCs w:val="18"/>
              </w:rPr>
            </w:pPr>
            <w:r>
              <w:rPr>
                <w:rFonts w:ascii="Arial Narrow" w:hAnsi="Arial Narrow" w:cs="Calibri"/>
                <w:strike/>
                <w:snapToGrid w:val="0"/>
                <w:color w:val="000000"/>
                <w:sz w:val="18"/>
                <w:szCs w:val="18"/>
              </w:rPr>
              <w:t>Patients who have progressive disease on sunitinib are not eligible to receive PBS-subsidised pazopanib.</w:t>
            </w:r>
          </w:p>
        </w:tc>
      </w:tr>
    </w:tbl>
    <w:p w:rsidR="00A068D6" w:rsidRDefault="00A068D6" w:rsidP="00A068D6">
      <w:pPr>
        <w:rPr>
          <w:rFonts w:cs="Calibri"/>
          <w:snapToGrid w:val="0"/>
          <w:color w:val="000000"/>
          <w:sz w:val="20"/>
          <w:szCs w:val="20"/>
        </w:rPr>
      </w:pPr>
    </w:p>
    <w:p w:rsidR="00A068D6" w:rsidRDefault="00A068D6" w:rsidP="00A068D6">
      <w:pPr>
        <w:rPr>
          <w:rFonts w:ascii="Arial Narrow" w:hAnsi="Arial Narrow"/>
          <w:snapToGrid w:val="0"/>
          <w:color w:val="000000"/>
          <w:sz w:val="20"/>
          <w:szCs w:val="20"/>
        </w:rPr>
      </w:pPr>
    </w:p>
    <w:p w:rsidR="00A068D6" w:rsidRDefault="00A068D6" w:rsidP="00A068D6">
      <w:pPr>
        <w:rPr>
          <w:rFonts w:ascii="Arial Narrow" w:hAnsi="Arial Narrow"/>
          <w:snapToGrid w:val="0"/>
          <w:color w:val="000000"/>
          <w:sz w:val="20"/>
          <w:szCs w:val="20"/>
        </w:rPr>
      </w:pPr>
    </w:p>
    <w:p w:rsidR="00A068D6" w:rsidRDefault="00A068D6" w:rsidP="00A068D6">
      <w:pPr>
        <w:keepNext/>
        <w:keepLines/>
        <w:contextualSpacing/>
        <w:rPr>
          <w:rFonts w:cs="Calibri"/>
          <w:b/>
        </w:rPr>
      </w:pPr>
      <w:r>
        <w:rPr>
          <w:rFonts w:cs="Calibri"/>
          <w:b/>
        </w:rPr>
        <w:t xml:space="preserve">Amendments to the existing ipilimumab listings for induction treatment in renal cell carcinoma to include directions on the calculation of an IMDC risk score for consistency with cabozantinib: </w:t>
      </w:r>
    </w:p>
    <w:p w:rsidR="00A068D6" w:rsidRDefault="00A068D6" w:rsidP="00A068D6">
      <w:pPr>
        <w:rPr>
          <w:rFonts w:ascii="Times New Roman" w:eastAsiaTheme="minorHAnsi" w:hAnsi="Times New Roman" w:cs="Times New Roman"/>
          <w:lang w:eastAsia="en-US"/>
        </w:rPr>
      </w:pPr>
    </w:p>
    <w:tbl>
      <w:tblPr>
        <w:tblStyle w:val="TableGrid"/>
        <w:tblW w:w="0" w:type="auto"/>
        <w:tblLook w:val="0620" w:firstRow="1" w:lastRow="0" w:firstColumn="0" w:lastColumn="0" w:noHBand="1" w:noVBand="1"/>
      </w:tblPr>
      <w:tblGrid>
        <w:gridCol w:w="4508"/>
        <w:gridCol w:w="4508"/>
      </w:tblGrid>
      <w:tr w:rsidR="00A068D6" w:rsidTr="00810D23">
        <w:trPr>
          <w:tblHeader/>
        </w:trPr>
        <w:tc>
          <w:tcPr>
            <w:tcW w:w="9016" w:type="dxa"/>
            <w:gridSpan w:val="2"/>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Medicinal Product:</w:t>
            </w:r>
            <w:r>
              <w:rPr>
                <w:rFonts w:cs="Calibri"/>
                <w:snapToGrid w:val="0"/>
                <w:color w:val="000000"/>
                <w:sz w:val="20"/>
                <w:szCs w:val="20"/>
              </w:rPr>
              <w:t xml:space="preserve"> Ipilimumab</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Indication:</w:t>
            </w:r>
            <w:r>
              <w:rPr>
                <w:rFonts w:cs="Calibri"/>
                <w:snapToGrid w:val="0"/>
                <w:color w:val="000000"/>
                <w:sz w:val="20"/>
                <w:szCs w:val="20"/>
              </w:rPr>
              <w:t xml:space="preserve"> Stage IV clear cell variant renal cell carcinoma (RCC) [7597]</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Treatment Phase:</w:t>
            </w:r>
            <w:r>
              <w:rPr>
                <w:rFonts w:cs="Calibri"/>
                <w:snapToGrid w:val="0"/>
                <w:color w:val="000000"/>
                <w:sz w:val="20"/>
                <w:szCs w:val="20"/>
              </w:rPr>
              <w:t xml:space="preserve">  Induction treatment</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Affected PBS item codes:</w:t>
            </w:r>
            <w:r>
              <w:t xml:space="preserve"> </w:t>
            </w:r>
            <w:r>
              <w:rPr>
                <w:rFonts w:asciiTheme="minorHAnsi" w:hAnsiTheme="minorHAnsi" w:cstheme="minorHAnsi"/>
                <w:sz w:val="20"/>
                <w:szCs w:val="20"/>
              </w:rPr>
              <w:t>11627Y, 11636K (360 mg)</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 xml:space="preserve">Affected Restriction Summary Number: </w:t>
            </w:r>
            <w:r>
              <w:rPr>
                <w:rFonts w:cs="Calibri"/>
                <w:snapToGrid w:val="0"/>
                <w:color w:val="000000"/>
                <w:sz w:val="20"/>
                <w:szCs w:val="20"/>
              </w:rPr>
              <w:t>8609</w:t>
            </w:r>
          </w:p>
        </w:tc>
      </w:tr>
    </w:tbl>
    <w:p w:rsidR="00A068D6" w:rsidRDefault="00A068D6" w:rsidP="00A068D6">
      <w:pPr>
        <w:rPr>
          <w:rFonts w:ascii="Times New Roman" w:eastAsiaTheme="minorHAnsi" w:hAnsi="Times New Roman" w:cs="Times New Roman"/>
          <w:lang w:eastAsia="en-US"/>
        </w:rPr>
      </w:pPr>
    </w:p>
    <w:tbl>
      <w:tblPr>
        <w:tblStyle w:val="TableGrid"/>
        <w:tblW w:w="0" w:type="auto"/>
        <w:tblLook w:val="0620" w:firstRow="1" w:lastRow="0" w:firstColumn="0" w:lastColumn="0" w:noHBand="1" w:noVBand="1"/>
      </w:tblPr>
      <w:tblGrid>
        <w:gridCol w:w="4508"/>
        <w:gridCol w:w="4508"/>
      </w:tblGrid>
      <w:tr w:rsidR="00A068D6" w:rsidTr="00810D23">
        <w:trPr>
          <w:tblHeader/>
        </w:trPr>
        <w:tc>
          <w:tcPr>
            <w:tcW w:w="9016" w:type="dxa"/>
            <w:gridSpan w:val="2"/>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Medicinal Product:</w:t>
            </w:r>
            <w:r>
              <w:rPr>
                <w:rFonts w:cs="Calibri"/>
                <w:snapToGrid w:val="0"/>
                <w:color w:val="000000"/>
                <w:sz w:val="20"/>
                <w:szCs w:val="20"/>
              </w:rPr>
              <w:t xml:space="preserve"> Ipilimumab</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Indication:</w:t>
            </w:r>
            <w:r>
              <w:rPr>
                <w:rFonts w:cs="Calibri"/>
                <w:snapToGrid w:val="0"/>
                <w:color w:val="000000"/>
                <w:sz w:val="20"/>
                <w:szCs w:val="20"/>
              </w:rPr>
              <w:t xml:space="preserve"> Stage IV clear cell variant renal cell carcinoma (RCC) [7597]</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snapToGrid w:val="0"/>
                <w:color w:val="000000"/>
                <w:sz w:val="20"/>
                <w:szCs w:val="20"/>
              </w:rPr>
            </w:pPr>
            <w:r>
              <w:rPr>
                <w:rFonts w:cs="Calibri"/>
                <w:b/>
                <w:snapToGrid w:val="0"/>
                <w:color w:val="000000"/>
                <w:sz w:val="20"/>
                <w:szCs w:val="20"/>
              </w:rPr>
              <w:t>Treatment Phase:</w:t>
            </w:r>
            <w:r>
              <w:rPr>
                <w:rFonts w:cs="Calibri"/>
                <w:snapToGrid w:val="0"/>
                <w:color w:val="000000"/>
                <w:sz w:val="20"/>
                <w:szCs w:val="20"/>
              </w:rPr>
              <w:t xml:space="preserve">  Induction treatment</w:t>
            </w:r>
          </w:p>
        </w:tc>
      </w:tr>
      <w:tr w:rsidR="00A068D6" w:rsidTr="00810D23">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Affected PBS item codes:</w:t>
            </w:r>
            <w:r>
              <w:t xml:space="preserve"> </w:t>
            </w:r>
            <w:r>
              <w:rPr>
                <w:rFonts w:asciiTheme="minorHAnsi" w:hAnsiTheme="minorHAnsi" w:cstheme="minorHAnsi"/>
                <w:sz w:val="20"/>
                <w:szCs w:val="20"/>
              </w:rPr>
              <w:t>11628B, 11644W (120 mg)</w:t>
            </w:r>
          </w:p>
        </w:tc>
        <w:tc>
          <w:tcPr>
            <w:tcW w:w="4508" w:type="dxa"/>
            <w:tcBorders>
              <w:top w:val="single" w:sz="4" w:space="0" w:color="auto"/>
              <w:left w:val="single" w:sz="4" w:space="0" w:color="auto"/>
              <w:bottom w:val="single" w:sz="4" w:space="0" w:color="auto"/>
              <w:right w:val="single" w:sz="4" w:space="0" w:color="auto"/>
            </w:tcBorders>
            <w:hideMark/>
          </w:tcPr>
          <w:p w:rsidR="00A068D6" w:rsidRDefault="00A068D6">
            <w:pPr>
              <w:rPr>
                <w:rFonts w:cs="Calibri"/>
                <w:b/>
                <w:snapToGrid w:val="0"/>
                <w:color w:val="000000"/>
                <w:sz w:val="20"/>
                <w:szCs w:val="20"/>
              </w:rPr>
            </w:pPr>
            <w:r>
              <w:rPr>
                <w:rFonts w:cs="Calibri"/>
                <w:b/>
                <w:snapToGrid w:val="0"/>
                <w:color w:val="000000"/>
                <w:sz w:val="20"/>
                <w:szCs w:val="20"/>
              </w:rPr>
              <w:t xml:space="preserve">Affected Restriction Summary Number: </w:t>
            </w:r>
            <w:r>
              <w:rPr>
                <w:rFonts w:cs="Calibri"/>
                <w:snapToGrid w:val="0"/>
                <w:color w:val="000000"/>
                <w:sz w:val="20"/>
                <w:szCs w:val="20"/>
              </w:rPr>
              <w:t>8574</w:t>
            </w:r>
          </w:p>
        </w:tc>
      </w:tr>
    </w:tbl>
    <w:p w:rsidR="00A068D6" w:rsidRDefault="00A068D6" w:rsidP="00A068D6">
      <w:pPr>
        <w:rPr>
          <w:rFonts w:ascii="Times New Roman" w:eastAsiaTheme="minorHAnsi" w:hAnsi="Times New Roman" w:cs="Times New Roman"/>
          <w:lang w:eastAsia="en-US"/>
        </w:rPr>
      </w:pPr>
    </w:p>
    <w:tbl>
      <w:tblPr>
        <w:tblW w:w="4254" w:type="pct"/>
        <w:tblInd w:w="-4" w:type="dxa"/>
        <w:tblLook w:val="04A0" w:firstRow="1" w:lastRow="0" w:firstColumn="1" w:lastColumn="0" w:noHBand="0" w:noVBand="1"/>
      </w:tblPr>
      <w:tblGrid>
        <w:gridCol w:w="7672"/>
      </w:tblGrid>
      <w:tr w:rsidR="004278BD" w:rsidTr="004278BD">
        <w:trPr>
          <w:trHeight w:val="282"/>
        </w:trPr>
        <w:tc>
          <w:tcPr>
            <w:tcW w:w="5000" w:type="pct"/>
            <w:tcBorders>
              <w:top w:val="single" w:sz="4" w:space="0" w:color="000000"/>
              <w:left w:val="single" w:sz="4" w:space="0" w:color="000000"/>
              <w:bottom w:val="single" w:sz="4" w:space="0" w:color="000000"/>
              <w:right w:val="single" w:sz="4" w:space="0" w:color="000000"/>
            </w:tcBorders>
            <w:vAlign w:val="center"/>
          </w:tcPr>
          <w:p w:rsidR="004278BD" w:rsidRDefault="004278BD">
            <w:pPr>
              <w:autoSpaceDE w:val="0"/>
              <w:autoSpaceDN w:val="0"/>
              <w:adjustRightInd w:val="0"/>
              <w:rPr>
                <w:rFonts w:ascii="Arial Narrow" w:hAnsi="Arial Narrow" w:cs="Arial Narrow"/>
                <w:b/>
                <w:bCs/>
                <w:color w:val="000000"/>
                <w:sz w:val="18"/>
                <w:szCs w:val="18"/>
              </w:rPr>
            </w:pPr>
            <w:r>
              <w:rPr>
                <w:rFonts w:ascii="Arial Narrow" w:hAnsi="Arial Narrow" w:cs="Arial Narrow"/>
                <w:b/>
                <w:bCs/>
                <w:color w:val="000000"/>
                <w:sz w:val="18"/>
                <w:szCs w:val="18"/>
              </w:rPr>
              <w:t>Administrative advice:</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 xml:space="preserve">A prognostic International Metastatic Renal Cell Carcinoma Database Consortium (IMDC) survival risk score can be calculated here: </w:t>
            </w:r>
            <w:r w:rsidRPr="0061241D">
              <w:rPr>
                <w:rFonts w:ascii="Arial Narrow" w:hAnsi="Arial Narrow" w:cs="Arial Narrow"/>
                <w:bCs/>
                <w:sz w:val="18"/>
                <w:szCs w:val="18"/>
              </w:rPr>
              <w:t>https://www.mdcalc.com/imdc-international-metastatic-rcc-database-consortium-risk-model-metastatic-renal-cell-carcinoma</w:t>
            </w:r>
            <w:r>
              <w:rPr>
                <w:rFonts w:ascii="Arial Narrow" w:hAnsi="Arial Narrow" w:cs="Arial Narrow"/>
                <w:bCs/>
                <w:sz w:val="18"/>
                <w:szCs w:val="18"/>
              </w:rPr>
              <w:t>.</w:t>
            </w:r>
          </w:p>
          <w:p w:rsidR="004278BD" w:rsidRDefault="004278BD">
            <w:pPr>
              <w:autoSpaceDE w:val="0"/>
              <w:autoSpaceDN w:val="0"/>
              <w:adjustRightInd w:val="0"/>
              <w:rPr>
                <w:rFonts w:ascii="Arial Narrow" w:hAnsi="Arial Narrow" w:cs="Arial Narrow"/>
                <w:bCs/>
                <w:color w:val="000000"/>
                <w:sz w:val="18"/>
                <w:szCs w:val="18"/>
              </w:rPr>
            </w:pP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 xml:space="preserve">One point is assigned for each of: </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 xml:space="preserve">(i) a time of diagnosis to systemic therapy of less than 1 year </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 xml:space="preserve">(ii) a Karnofsky Performance Status of less than 80% </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(iii) a haemaglobin less than the lower limit of normal</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(iv) a corrected calcium level greater than the upper limit of normal</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(v) a neutrophil count greater than the upper limit of normal</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(vi) a platelet count greater than the upper limit of normal</w:t>
            </w:r>
          </w:p>
          <w:p w:rsidR="004278BD" w:rsidRDefault="004278BD">
            <w:pPr>
              <w:autoSpaceDE w:val="0"/>
              <w:autoSpaceDN w:val="0"/>
              <w:adjustRightInd w:val="0"/>
              <w:rPr>
                <w:rFonts w:ascii="Arial Narrow" w:hAnsi="Arial Narrow" w:cs="Arial Narrow"/>
                <w:bCs/>
                <w:color w:val="000000"/>
                <w:sz w:val="18"/>
                <w:szCs w:val="18"/>
              </w:rPr>
            </w:pP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Stated normal reference ranges may vary depending on the laboratory providing the measurement. ‘Normal’ here refers to the individual laboratory’s stated normal reference range.</w:t>
            </w:r>
          </w:p>
          <w:p w:rsidR="004278BD" w:rsidRDefault="004278BD">
            <w:pPr>
              <w:autoSpaceDE w:val="0"/>
              <w:autoSpaceDN w:val="0"/>
              <w:adjustRightInd w:val="0"/>
              <w:rPr>
                <w:rFonts w:ascii="Arial Narrow" w:hAnsi="Arial Narrow" w:cs="Arial Narrow"/>
                <w:bCs/>
                <w:color w:val="000000"/>
                <w:sz w:val="18"/>
                <w:szCs w:val="18"/>
              </w:rPr>
            </w:pP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Favourable IMDC risk is a score of 0.</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Intermediate IMDC risk is a score of 1 to 2.</w:t>
            </w:r>
          </w:p>
          <w:p w:rsidR="004278BD" w:rsidRDefault="004278BD">
            <w:pPr>
              <w:autoSpaceDE w:val="0"/>
              <w:autoSpaceDN w:val="0"/>
              <w:adjustRightInd w:val="0"/>
              <w:rPr>
                <w:rFonts w:ascii="Arial Narrow" w:hAnsi="Arial Narrow" w:cs="Arial Narrow"/>
                <w:bCs/>
                <w:color w:val="000000"/>
                <w:sz w:val="18"/>
                <w:szCs w:val="18"/>
              </w:rPr>
            </w:pPr>
            <w:r>
              <w:rPr>
                <w:rFonts w:ascii="Arial Narrow" w:hAnsi="Arial Narrow" w:cs="Arial Narrow"/>
                <w:bCs/>
                <w:color w:val="000000"/>
                <w:sz w:val="18"/>
                <w:szCs w:val="18"/>
              </w:rPr>
              <w:t>Poor IMDC risk is a score of 3 to 6.</w:t>
            </w:r>
          </w:p>
          <w:p w:rsidR="004278BD" w:rsidRDefault="004278BD">
            <w:pPr>
              <w:autoSpaceDE w:val="0"/>
              <w:autoSpaceDN w:val="0"/>
              <w:adjustRightInd w:val="0"/>
              <w:rPr>
                <w:rFonts w:ascii="Arial Narrow" w:hAnsi="Arial Narrow" w:cs="Arial Narrow"/>
                <w:bCs/>
                <w:color w:val="000000"/>
                <w:sz w:val="18"/>
                <w:szCs w:val="18"/>
              </w:rPr>
            </w:pPr>
          </w:p>
          <w:p w:rsidR="004278BD" w:rsidRDefault="004278BD">
            <w:pPr>
              <w:autoSpaceDE w:val="0"/>
              <w:autoSpaceDN w:val="0"/>
              <w:adjustRightInd w:val="0"/>
              <w:rPr>
                <w:rFonts w:ascii="Arial Narrow" w:hAnsi="Arial Narrow" w:cs="Arial Narrow"/>
                <w:bCs/>
                <w:i/>
                <w:color w:val="000000"/>
                <w:sz w:val="18"/>
                <w:szCs w:val="18"/>
              </w:rPr>
            </w:pPr>
            <w:r>
              <w:rPr>
                <w:rFonts w:ascii="Arial Narrow" w:hAnsi="Arial Narrow" w:cs="Arial Narrow"/>
                <w:bCs/>
                <w:color w:val="000000"/>
                <w:sz w:val="18"/>
                <w:szCs w:val="18"/>
              </w:rPr>
              <w:t>The Department of Health is not the webmaster of the website mentioned above. If the website link mentioned above is no longer functioning, notify the Department via email to: pbs@health.gov.au</w:t>
            </w:r>
          </w:p>
        </w:tc>
      </w:tr>
    </w:tbl>
    <w:p w:rsidR="00E839CC" w:rsidRDefault="00E839CC" w:rsidP="00F55D3B">
      <w:pPr>
        <w:tabs>
          <w:tab w:val="right" w:pos="9072"/>
        </w:tabs>
        <w:autoSpaceDE w:val="0"/>
        <w:autoSpaceDN w:val="0"/>
        <w:adjustRightInd w:val="0"/>
        <w:rPr>
          <w:rFonts w:cs="Calibri"/>
          <w:iCs/>
        </w:rPr>
      </w:pPr>
    </w:p>
    <w:p w:rsidR="00213D80" w:rsidRDefault="00213D80" w:rsidP="0021414C">
      <w:pPr>
        <w:pStyle w:val="Bodytextitalics"/>
        <w:rPr>
          <w:b/>
        </w:rPr>
      </w:pPr>
      <w:r w:rsidRPr="00EE11C8">
        <w:rPr>
          <w:b/>
        </w:rPr>
        <w:t>This restriction may be subject to further review. Should there be any changes made to the restriction the Sponsor will be informed.</w:t>
      </w:r>
    </w:p>
    <w:p w:rsidR="0024676B" w:rsidRPr="0024676B" w:rsidRDefault="0024676B" w:rsidP="0024676B">
      <w:pPr>
        <w:pStyle w:val="2-SectionHeading"/>
        <w:rPr>
          <w:lang w:eastAsia="en-US"/>
        </w:rPr>
      </w:pPr>
      <w:r w:rsidRPr="0024676B">
        <w:rPr>
          <w:lang w:eastAsia="en-US"/>
        </w:rPr>
        <w:t>Context for Decision</w:t>
      </w:r>
    </w:p>
    <w:p w:rsidR="0024676B" w:rsidRPr="007129F2" w:rsidRDefault="0024676B" w:rsidP="0024676B">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asciiTheme="minorHAnsi" w:hAnsiTheme="minorHAnsi"/>
          <w:bCs/>
          <w:lang w:val="en-GB"/>
        </w:rPr>
        <w:lastRenderedPageBreak/>
        <w:t>through the PBS. The PBAC welcomes applications containing new information at any time.</w:t>
      </w:r>
    </w:p>
    <w:p w:rsidR="0024676B" w:rsidRPr="00C07617" w:rsidRDefault="0024676B" w:rsidP="0024676B">
      <w:pPr>
        <w:pStyle w:val="2-SectionHeading"/>
        <w:rPr>
          <w:b w:val="0"/>
        </w:rPr>
      </w:pPr>
      <w:r w:rsidRPr="00C07617" w:rsidDel="007129F2">
        <w:t xml:space="preserve"> </w:t>
      </w:r>
      <w:r w:rsidRPr="0024676B">
        <w:rPr>
          <w:lang w:eastAsia="en-US"/>
        </w:rPr>
        <w:t>Sponsor’s Comment</w:t>
      </w:r>
    </w:p>
    <w:p w:rsidR="0024676B" w:rsidRPr="0024676B" w:rsidRDefault="0024676B" w:rsidP="0024676B">
      <w:pPr>
        <w:spacing w:after="120"/>
        <w:ind w:left="426"/>
        <w:rPr>
          <w:rFonts w:asciiTheme="minorHAnsi" w:hAnsiTheme="minorHAnsi"/>
          <w:bCs/>
        </w:rPr>
      </w:pPr>
      <w:r>
        <w:rPr>
          <w:b/>
          <w:color w:val="1F497D"/>
          <w:sz w:val="22"/>
        </w:rPr>
        <w:tab/>
      </w:r>
      <w:r w:rsidRPr="00C07617">
        <w:rPr>
          <w:rFonts w:asciiTheme="minorHAnsi" w:hAnsiTheme="minorHAnsi"/>
          <w:bCs/>
        </w:rPr>
        <w:t>The sponsor had no comment.</w:t>
      </w:r>
    </w:p>
    <w:sectPr w:rsidR="0024676B" w:rsidRPr="0024676B" w:rsidSect="0037733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A445" w16cex:dateUtc="2020-11-26T11:01:00Z"/>
  <w16cex:commentExtensible w16cex:durableId="236AA4A2" w16cex:dateUtc="2020-11-26T11:03:00Z"/>
  <w16cex:commentExtensible w16cex:durableId="236AA54E" w16cex:dateUtc="2020-11-26T11:06:00Z"/>
  <w16cex:commentExtensible w16cex:durableId="236AA5E0" w16cex:dateUtc="2020-11-26T11:08:00Z"/>
  <w16cex:commentExtensible w16cex:durableId="236AA7F7" w16cex:dateUtc="2020-11-26T11:17:00Z"/>
  <w16cex:commentExtensible w16cex:durableId="236AA8F3" w16cex:dateUtc="2020-11-26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0E5F3A" w16cid:durableId="236AA3E0"/>
  <w16cid:commentId w16cid:paraId="07F8DC7D" w16cid:durableId="236AA445"/>
  <w16cid:commentId w16cid:paraId="4B3FF28A" w16cid:durableId="236AA3E1"/>
  <w16cid:commentId w16cid:paraId="6685FE12" w16cid:durableId="236AA4A2"/>
  <w16cid:commentId w16cid:paraId="0E847D0D" w16cid:durableId="236AA3E2"/>
  <w16cid:commentId w16cid:paraId="7CB2D4DE" w16cid:durableId="236AA54E"/>
  <w16cid:commentId w16cid:paraId="1EB0F589" w16cid:durableId="236AA3E3"/>
  <w16cid:commentId w16cid:paraId="70E7E635" w16cid:durableId="236AA5E0"/>
  <w16cid:commentId w16cid:paraId="3B4CDCF7" w16cid:durableId="236AA3E4"/>
  <w16cid:commentId w16cid:paraId="1B681F9E" w16cid:durableId="236AA7F7"/>
  <w16cid:commentId w16cid:paraId="04DECCDE" w16cid:durableId="236AA3E5"/>
  <w16cid:commentId w16cid:paraId="1C6BAA1B" w16cid:durableId="236AA8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BE8" w:rsidRDefault="00E51BE8" w:rsidP="00124A51">
      <w:r>
        <w:separator/>
      </w:r>
    </w:p>
    <w:p w:rsidR="00E51BE8" w:rsidRDefault="00E51BE8"/>
  </w:endnote>
  <w:endnote w:type="continuationSeparator" w:id="0">
    <w:p w:rsidR="00E51BE8" w:rsidRDefault="00E51BE8" w:rsidP="00124A51">
      <w:r>
        <w:continuationSeparator/>
      </w:r>
    </w:p>
    <w:p w:rsidR="00E51BE8" w:rsidRDefault="00E51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E8" w:rsidRDefault="00E51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E8" w:rsidRPr="00174A41" w:rsidRDefault="00E51BE8">
    <w:pPr>
      <w:pStyle w:val="Footer"/>
      <w:jc w:val="center"/>
      <w:rPr>
        <w:b/>
      </w:rPr>
    </w:pPr>
  </w:p>
  <w:p w:rsidR="00E51BE8" w:rsidRDefault="00E51BE8" w:rsidP="00FB175C">
    <w:pPr>
      <w:pStyle w:val="Footer"/>
      <w:jc w:val="center"/>
    </w:pPr>
    <w:sdt>
      <w:sdtPr>
        <w:rPr>
          <w:b/>
        </w:rPr>
        <w:id w:val="-1573113411"/>
        <w:docPartObj>
          <w:docPartGallery w:val="Page Numbers (Bottom of Page)"/>
          <w:docPartUnique/>
        </w:docPartObj>
      </w:sdtPr>
      <w:sdtEndPr>
        <w:rPr>
          <w:noProof/>
        </w:rPr>
      </w:sdtEndPr>
      <w:sdtContent>
        <w:r w:rsidRPr="00174A41">
          <w:rPr>
            <w:b/>
          </w:rPr>
          <w:fldChar w:fldCharType="begin"/>
        </w:r>
        <w:r w:rsidRPr="00174A41">
          <w:rPr>
            <w:b/>
          </w:rPr>
          <w:instrText xml:space="preserve"> PAGE   \* MERGEFORMAT </w:instrText>
        </w:r>
        <w:r w:rsidRPr="00174A41">
          <w:rPr>
            <w:b/>
          </w:rPr>
          <w:fldChar w:fldCharType="separate"/>
        </w:r>
        <w:r w:rsidR="00D06D04">
          <w:rPr>
            <w:b/>
            <w:noProof/>
          </w:rPr>
          <w:t>4</w:t>
        </w:r>
        <w:r w:rsidRPr="00174A41">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E8" w:rsidRDefault="00E51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BE8" w:rsidRDefault="00E51BE8" w:rsidP="00124A51">
      <w:r>
        <w:separator/>
      </w:r>
    </w:p>
    <w:p w:rsidR="00E51BE8" w:rsidRDefault="00E51BE8"/>
  </w:footnote>
  <w:footnote w:type="continuationSeparator" w:id="0">
    <w:p w:rsidR="00E51BE8" w:rsidRDefault="00E51BE8" w:rsidP="00124A51">
      <w:r>
        <w:continuationSeparator/>
      </w:r>
    </w:p>
    <w:p w:rsidR="00E51BE8" w:rsidRDefault="00E51BE8"/>
  </w:footnote>
  <w:footnote w:id="1">
    <w:p w:rsidR="00E51BE8" w:rsidRDefault="00E51BE8" w:rsidP="006B047C">
      <w:pPr>
        <w:pStyle w:val="FootnoteText"/>
      </w:pPr>
      <w:r>
        <w:rPr>
          <w:rStyle w:val="FootnoteReference"/>
        </w:rPr>
        <w:footnoteRef/>
      </w:r>
      <w:r>
        <w:t xml:space="preserve"> </w:t>
      </w:r>
      <w:r w:rsidRPr="00614341">
        <w:t>Cherny NI, Dafni U, Bogaerts J, et al: ESMO-Magnitude of Clinical Benefit Scale version 1.1. Annals of Oncology 28:2340-2366, 2017]</w:t>
      </w:r>
    </w:p>
  </w:footnote>
  <w:footnote w:id="2">
    <w:p w:rsidR="00E51BE8" w:rsidRDefault="00E51BE8" w:rsidP="00992C74">
      <w:pPr>
        <w:rPr>
          <w:sz w:val="20"/>
          <w:szCs w:val="20"/>
        </w:rPr>
      </w:pPr>
      <w:r>
        <w:rPr>
          <w:rStyle w:val="FootnoteReference"/>
        </w:rPr>
        <w:footnoteRef/>
      </w:r>
      <w:r>
        <w:t xml:space="preserve"> </w:t>
      </w:r>
      <w:r w:rsidRPr="00992C74">
        <w:rPr>
          <w:i/>
          <w:sz w:val="20"/>
          <w:szCs w:val="20"/>
        </w:rPr>
        <w:t>Note that the mean duration of treatment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p w:rsidR="00E51BE8" w:rsidRDefault="00E51BE8">
      <w:pPr>
        <w:pStyle w:val="FootnoteText"/>
      </w:pPr>
    </w:p>
  </w:footnote>
  <w:footnote w:id="3">
    <w:p w:rsidR="00E51BE8" w:rsidRPr="00992C74" w:rsidRDefault="00E51BE8" w:rsidP="00992C74">
      <w:pPr>
        <w:pStyle w:val="TableFigureFooter"/>
      </w:pPr>
      <w:r>
        <w:rPr>
          <w:rStyle w:val="FootnoteReference"/>
        </w:rPr>
        <w:footnoteRef/>
      </w:r>
      <w:r>
        <w:t xml:space="preserve"> </w:t>
      </w:r>
      <w:r w:rsidRPr="00992C74">
        <w:rPr>
          <w:i/>
        </w:rPr>
        <w:t>Note that the mean duration of treatment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p w:rsidR="00E51BE8" w:rsidRDefault="00E51BE8">
      <w:pPr>
        <w:pStyle w:val="FootnoteText"/>
      </w:pPr>
    </w:p>
  </w:footnote>
  <w:footnote w:id="4">
    <w:p w:rsidR="00E51BE8" w:rsidRPr="00992C74" w:rsidRDefault="00E51BE8" w:rsidP="00992C74">
      <w:pPr>
        <w:pStyle w:val="TableFigureFooter"/>
      </w:pPr>
      <w:r>
        <w:rPr>
          <w:rStyle w:val="FootnoteReference"/>
        </w:rPr>
        <w:footnoteRef/>
      </w:r>
      <w:r>
        <w:t xml:space="preserve"> </w:t>
      </w:r>
      <w:r w:rsidRPr="00992C74">
        <w:rPr>
          <w:i/>
        </w:rPr>
        <w:t>Note that the mean duration of treatment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p w:rsidR="00E51BE8" w:rsidRDefault="00E51B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E8" w:rsidRDefault="00E51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E8" w:rsidRPr="00174A41" w:rsidRDefault="00E51BE8" w:rsidP="00FB175C">
    <w:pPr>
      <w:pStyle w:val="Header"/>
      <w:ind w:left="360"/>
      <w:rPr>
        <w:rFonts w:asciiTheme="minorHAnsi" w:hAnsiTheme="minorHAnsi" w:cstheme="minorHAnsi"/>
        <w:i/>
        <w:color w:val="808080"/>
      </w:rPr>
    </w:pPr>
    <w:r>
      <w:rPr>
        <w:rFonts w:asciiTheme="minorHAnsi" w:hAnsiTheme="minorHAnsi"/>
        <w:i/>
        <w:color w:val="808080"/>
      </w:rPr>
      <w:t>Public Summary Document</w:t>
    </w:r>
    <w:r w:rsidRPr="00174A41">
      <w:rPr>
        <w:rFonts w:asciiTheme="minorHAnsi" w:hAnsiTheme="minorHAnsi" w:cstheme="minorHAnsi"/>
        <w:i/>
        <w:color w:val="808080"/>
      </w:rPr>
      <w:t xml:space="preserve"> – November 2020 PBAC Meeting</w:t>
    </w:r>
  </w:p>
  <w:p w:rsidR="00E51BE8" w:rsidRPr="00174A41" w:rsidRDefault="00E51BE8">
    <w:pP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E8" w:rsidRDefault="00E51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6D2DD90"/>
    <w:lvl w:ilvl="0">
      <w:start w:val="1"/>
      <w:numFmt w:val="bullet"/>
      <w:pStyle w:val="ListBullet"/>
      <w:lvlText w:val=""/>
      <w:lvlJc w:val="left"/>
      <w:pPr>
        <w:tabs>
          <w:tab w:val="num" w:pos="502"/>
        </w:tabs>
        <w:ind w:left="502" w:hanging="360"/>
      </w:pPr>
      <w:rPr>
        <w:rFonts w:ascii="Symbol" w:hAnsi="Symbol" w:hint="default"/>
        <w:color w:val="auto"/>
      </w:rPr>
    </w:lvl>
  </w:abstractNum>
  <w:abstractNum w:abstractNumId="1" w15:restartNumberingAfterBreak="0">
    <w:nsid w:val="01997793"/>
    <w:multiLevelType w:val="hybridMultilevel"/>
    <w:tmpl w:val="23E43374"/>
    <w:lvl w:ilvl="0" w:tplc="30B4B5A0">
      <w:start w:val="1"/>
      <w:numFmt w:val="bullet"/>
      <w:lvlText w:val=""/>
      <w:lvlJc w:val="left"/>
      <w:pPr>
        <w:ind w:left="1080" w:hanging="360"/>
      </w:pPr>
      <w:rPr>
        <w:rFonts w:ascii="Symbol" w:hAnsi="Symbo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46A6BEE"/>
    <w:multiLevelType w:val="hybridMultilevel"/>
    <w:tmpl w:val="A84ACF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A9E539C"/>
    <w:multiLevelType w:val="hybridMultilevel"/>
    <w:tmpl w:val="8EBC4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start w:val="1"/>
      <w:numFmt w:val="bullet"/>
      <w:lvlText w:val="o"/>
      <w:lvlJc w:val="left"/>
      <w:pPr>
        <w:ind w:left="1440" w:hanging="360"/>
      </w:pPr>
      <w:rPr>
        <w:rFonts w:ascii="Courier New" w:hAnsi="Courier New" w:cs="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6" w15:restartNumberingAfterBreak="0">
    <w:nsid w:val="421D0FB9"/>
    <w:multiLevelType w:val="hybridMultilevel"/>
    <w:tmpl w:val="35CEA096"/>
    <w:lvl w:ilvl="0" w:tplc="E5CA1920">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376C72"/>
    <w:multiLevelType w:val="hybridMultilevel"/>
    <w:tmpl w:val="CD667470"/>
    <w:lvl w:ilvl="0" w:tplc="9174B7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151FB"/>
    <w:multiLevelType w:val="hybridMultilevel"/>
    <w:tmpl w:val="AE36DC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13D5AE5"/>
    <w:multiLevelType w:val="hybridMultilevel"/>
    <w:tmpl w:val="331412BC"/>
    <w:lvl w:ilvl="0" w:tplc="3E5CA38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7F1C97"/>
    <w:multiLevelType w:val="hybridMultilevel"/>
    <w:tmpl w:val="479A6DF2"/>
    <w:lvl w:ilvl="0" w:tplc="367476AC">
      <w:start w:val="1"/>
      <w:numFmt w:val="bullet"/>
      <w:lvlText w:val=""/>
      <w:lvlJc w:val="left"/>
      <w:pPr>
        <w:ind w:left="1080" w:hanging="360"/>
      </w:pPr>
      <w:rPr>
        <w:rFonts w:ascii="Symbol" w:hAnsi="Symbol" w:hint="default"/>
        <w:i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0084FBF"/>
    <w:multiLevelType w:val="hybridMultilevel"/>
    <w:tmpl w:val="47C2347C"/>
    <w:lvl w:ilvl="0" w:tplc="6542353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C90207"/>
    <w:multiLevelType w:val="hybridMultilevel"/>
    <w:tmpl w:val="64FA64F4"/>
    <w:lvl w:ilvl="0" w:tplc="56A8E4A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BD262F"/>
    <w:multiLevelType w:val="hybridMultilevel"/>
    <w:tmpl w:val="05D28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F850B66C"/>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826ADD"/>
    <w:multiLevelType w:val="hybridMultilevel"/>
    <w:tmpl w:val="B4FCCBF2"/>
    <w:lvl w:ilvl="0" w:tplc="F12AA276">
      <w:start w:val="1"/>
      <w:numFmt w:val="decimal"/>
      <w:lvlText w:val="%1."/>
      <w:lvlJc w:val="left"/>
      <w:pPr>
        <w:ind w:left="360" w:hanging="360"/>
      </w:pPr>
    </w:lvl>
    <w:lvl w:ilvl="1" w:tplc="0C090017">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7EA67D45"/>
    <w:multiLevelType w:val="hybridMultilevel"/>
    <w:tmpl w:val="66F686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F53672A"/>
    <w:multiLevelType w:val="hybridMultilevel"/>
    <w:tmpl w:val="14242092"/>
    <w:lvl w:ilvl="0" w:tplc="F526667E">
      <w:start w:val="1"/>
      <w:numFmt w:val="lowerLetter"/>
      <w:lvlText w:val="%1)"/>
      <w:lvlJc w:val="left"/>
      <w:pPr>
        <w:ind w:left="1080" w:hanging="360"/>
      </w:pPr>
      <w:rPr>
        <w:i w:val="0"/>
        <w:color w:val="auto"/>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abstractNumId w:val="17"/>
  </w:num>
  <w:num w:numId="2">
    <w:abstractNumId w:val="8"/>
  </w:num>
  <w:num w:numId="3">
    <w:abstractNumId w:val="9"/>
  </w:num>
  <w:num w:numId="4">
    <w:abstractNumId w:val="0"/>
  </w:num>
  <w:num w:numId="5">
    <w:abstractNumId w:val="17"/>
  </w:num>
  <w:num w:numId="6">
    <w:abstractNumId w:val="7"/>
  </w:num>
  <w:num w:numId="7">
    <w:abstractNumId w:val="5"/>
  </w:num>
  <w:num w:numId="8">
    <w:abstractNumId w:val="14"/>
  </w:num>
  <w:num w:numId="9">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2"/>
  </w:num>
  <w:num w:numId="14">
    <w:abstractNumId w:val="13"/>
  </w:num>
  <w:num w:numId="15">
    <w:abstractNumId w:val="12"/>
  </w:num>
  <w:num w:numId="16">
    <w:abstractNumId w:val="4"/>
  </w:num>
  <w:num w:numId="17">
    <w:abstractNumId w:val="3"/>
  </w:num>
  <w:num w:numId="18">
    <w:abstractNumId w:val="19"/>
  </w:num>
  <w:num w:numId="19">
    <w:abstractNumId w:val="17"/>
  </w:num>
  <w:num w:numId="20">
    <w:abstractNumId w:val="17"/>
  </w:num>
  <w:num w:numId="21">
    <w:abstractNumId w:val="17"/>
  </w:num>
  <w:num w:numId="22">
    <w:abstractNumId w:val="17"/>
  </w:num>
  <w:num w:numId="23">
    <w:abstractNumId w:val="20"/>
  </w:num>
  <w:num w:numId="24">
    <w:abstractNumId w:val="18"/>
  </w:num>
  <w:num w:numId="25">
    <w:abstractNumId w:val="15"/>
  </w:num>
  <w:num w:numId="26">
    <w:abstractNumId w:val="10"/>
  </w:num>
  <w:num w:numId="27">
    <w:abstractNumId w:val="6"/>
  </w:num>
  <w:num w:numId="28">
    <w:abstractNumId w:val="17"/>
  </w:num>
  <w:num w:numId="29">
    <w:abstractNumId w:val="17"/>
  </w:num>
  <w:num w:numId="30">
    <w:abstractNumId w:val="17"/>
  </w:num>
  <w:num w:numId="3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QUAKRynMCwAAAA="/>
  </w:docVars>
  <w:rsids>
    <w:rsidRoot w:val="00E65E79"/>
    <w:rsid w:val="0000043A"/>
    <w:rsid w:val="000005C0"/>
    <w:rsid w:val="00000779"/>
    <w:rsid w:val="00000790"/>
    <w:rsid w:val="00000938"/>
    <w:rsid w:val="00000C5C"/>
    <w:rsid w:val="0000110B"/>
    <w:rsid w:val="000014C3"/>
    <w:rsid w:val="00001540"/>
    <w:rsid w:val="00001650"/>
    <w:rsid w:val="00001B0C"/>
    <w:rsid w:val="000020D8"/>
    <w:rsid w:val="000028A1"/>
    <w:rsid w:val="00002909"/>
    <w:rsid w:val="00002FF1"/>
    <w:rsid w:val="00003499"/>
    <w:rsid w:val="000038F6"/>
    <w:rsid w:val="000039B7"/>
    <w:rsid w:val="00003C3F"/>
    <w:rsid w:val="00003D6C"/>
    <w:rsid w:val="000041E7"/>
    <w:rsid w:val="00004EB6"/>
    <w:rsid w:val="00005D39"/>
    <w:rsid w:val="0000639A"/>
    <w:rsid w:val="000066A7"/>
    <w:rsid w:val="0000687F"/>
    <w:rsid w:val="00006D70"/>
    <w:rsid w:val="00006F5B"/>
    <w:rsid w:val="000072D0"/>
    <w:rsid w:val="00007377"/>
    <w:rsid w:val="000074C7"/>
    <w:rsid w:val="00007744"/>
    <w:rsid w:val="00007FC7"/>
    <w:rsid w:val="00010424"/>
    <w:rsid w:val="0001045F"/>
    <w:rsid w:val="000107C0"/>
    <w:rsid w:val="0001128F"/>
    <w:rsid w:val="000116E2"/>
    <w:rsid w:val="00011D40"/>
    <w:rsid w:val="000130F6"/>
    <w:rsid w:val="00013247"/>
    <w:rsid w:val="000132FE"/>
    <w:rsid w:val="00014145"/>
    <w:rsid w:val="000150A6"/>
    <w:rsid w:val="00015498"/>
    <w:rsid w:val="00015791"/>
    <w:rsid w:val="00015886"/>
    <w:rsid w:val="00015CE6"/>
    <w:rsid w:val="00015F30"/>
    <w:rsid w:val="000160E3"/>
    <w:rsid w:val="000162EF"/>
    <w:rsid w:val="0001634F"/>
    <w:rsid w:val="000165BD"/>
    <w:rsid w:val="00016B62"/>
    <w:rsid w:val="00016C6C"/>
    <w:rsid w:val="000178A8"/>
    <w:rsid w:val="000207C9"/>
    <w:rsid w:val="00021914"/>
    <w:rsid w:val="00021949"/>
    <w:rsid w:val="00021BC9"/>
    <w:rsid w:val="00021EBF"/>
    <w:rsid w:val="00021F00"/>
    <w:rsid w:val="0002225F"/>
    <w:rsid w:val="00022326"/>
    <w:rsid w:val="00022511"/>
    <w:rsid w:val="00022ADE"/>
    <w:rsid w:val="00023763"/>
    <w:rsid w:val="00023962"/>
    <w:rsid w:val="00023963"/>
    <w:rsid w:val="00023CE6"/>
    <w:rsid w:val="00023E81"/>
    <w:rsid w:val="000247A0"/>
    <w:rsid w:val="00024C9F"/>
    <w:rsid w:val="00024DAF"/>
    <w:rsid w:val="00024F1F"/>
    <w:rsid w:val="00024FE7"/>
    <w:rsid w:val="0002525A"/>
    <w:rsid w:val="000255DC"/>
    <w:rsid w:val="00025705"/>
    <w:rsid w:val="00025D26"/>
    <w:rsid w:val="00025D46"/>
    <w:rsid w:val="00026A68"/>
    <w:rsid w:val="00026B27"/>
    <w:rsid w:val="00026F25"/>
    <w:rsid w:val="000274B8"/>
    <w:rsid w:val="0002772F"/>
    <w:rsid w:val="00027AFF"/>
    <w:rsid w:val="00027E4D"/>
    <w:rsid w:val="00027E78"/>
    <w:rsid w:val="000302B3"/>
    <w:rsid w:val="00030BF6"/>
    <w:rsid w:val="00030EAB"/>
    <w:rsid w:val="000310F1"/>
    <w:rsid w:val="00031850"/>
    <w:rsid w:val="00031D21"/>
    <w:rsid w:val="00032073"/>
    <w:rsid w:val="00032329"/>
    <w:rsid w:val="000325F4"/>
    <w:rsid w:val="00032616"/>
    <w:rsid w:val="000328DC"/>
    <w:rsid w:val="00033224"/>
    <w:rsid w:val="0003370A"/>
    <w:rsid w:val="00033863"/>
    <w:rsid w:val="00033DCF"/>
    <w:rsid w:val="000341DA"/>
    <w:rsid w:val="000346EB"/>
    <w:rsid w:val="000350B5"/>
    <w:rsid w:val="00035173"/>
    <w:rsid w:val="00035371"/>
    <w:rsid w:val="000355D8"/>
    <w:rsid w:val="00035693"/>
    <w:rsid w:val="00035A59"/>
    <w:rsid w:val="00035CE0"/>
    <w:rsid w:val="00035DC0"/>
    <w:rsid w:val="000360F4"/>
    <w:rsid w:val="0003635C"/>
    <w:rsid w:val="00036829"/>
    <w:rsid w:val="00036A85"/>
    <w:rsid w:val="00036B16"/>
    <w:rsid w:val="00036CE1"/>
    <w:rsid w:val="00036DE5"/>
    <w:rsid w:val="0003745A"/>
    <w:rsid w:val="000376A6"/>
    <w:rsid w:val="0003799F"/>
    <w:rsid w:val="00040072"/>
    <w:rsid w:val="000400EB"/>
    <w:rsid w:val="00040313"/>
    <w:rsid w:val="000407AB"/>
    <w:rsid w:val="0004080C"/>
    <w:rsid w:val="00040895"/>
    <w:rsid w:val="00040DDD"/>
    <w:rsid w:val="00041CC6"/>
    <w:rsid w:val="00041EC2"/>
    <w:rsid w:val="00041ED9"/>
    <w:rsid w:val="00043396"/>
    <w:rsid w:val="000435EE"/>
    <w:rsid w:val="0004377D"/>
    <w:rsid w:val="000438EF"/>
    <w:rsid w:val="00043C37"/>
    <w:rsid w:val="00043FBB"/>
    <w:rsid w:val="00044405"/>
    <w:rsid w:val="00044736"/>
    <w:rsid w:val="00044AE6"/>
    <w:rsid w:val="00045017"/>
    <w:rsid w:val="000454C4"/>
    <w:rsid w:val="00045513"/>
    <w:rsid w:val="000458B0"/>
    <w:rsid w:val="00045A2B"/>
    <w:rsid w:val="000466C6"/>
    <w:rsid w:val="0004698F"/>
    <w:rsid w:val="00046B9F"/>
    <w:rsid w:val="00046F99"/>
    <w:rsid w:val="000471E1"/>
    <w:rsid w:val="000474D0"/>
    <w:rsid w:val="000475F9"/>
    <w:rsid w:val="000478ED"/>
    <w:rsid w:val="00047A1C"/>
    <w:rsid w:val="0005061D"/>
    <w:rsid w:val="0005120E"/>
    <w:rsid w:val="000516DE"/>
    <w:rsid w:val="0005178F"/>
    <w:rsid w:val="00051FE7"/>
    <w:rsid w:val="0005288E"/>
    <w:rsid w:val="00052A40"/>
    <w:rsid w:val="000539D0"/>
    <w:rsid w:val="0005438E"/>
    <w:rsid w:val="00054621"/>
    <w:rsid w:val="000546D7"/>
    <w:rsid w:val="00055C80"/>
    <w:rsid w:val="00055E10"/>
    <w:rsid w:val="000566ED"/>
    <w:rsid w:val="00056A10"/>
    <w:rsid w:val="00056ECF"/>
    <w:rsid w:val="000577E4"/>
    <w:rsid w:val="000602A1"/>
    <w:rsid w:val="000604DF"/>
    <w:rsid w:val="00060887"/>
    <w:rsid w:val="00060D78"/>
    <w:rsid w:val="0006107D"/>
    <w:rsid w:val="000618C3"/>
    <w:rsid w:val="0006296B"/>
    <w:rsid w:val="00063061"/>
    <w:rsid w:val="000630A4"/>
    <w:rsid w:val="000632D9"/>
    <w:rsid w:val="00064477"/>
    <w:rsid w:val="00064641"/>
    <w:rsid w:val="00064C93"/>
    <w:rsid w:val="00065205"/>
    <w:rsid w:val="000653B5"/>
    <w:rsid w:val="000654D4"/>
    <w:rsid w:val="00066360"/>
    <w:rsid w:val="00066943"/>
    <w:rsid w:val="00066AF8"/>
    <w:rsid w:val="00067142"/>
    <w:rsid w:val="000675E2"/>
    <w:rsid w:val="00067915"/>
    <w:rsid w:val="000679F4"/>
    <w:rsid w:val="000708F1"/>
    <w:rsid w:val="00070C9C"/>
    <w:rsid w:val="00070E51"/>
    <w:rsid w:val="00070EAE"/>
    <w:rsid w:val="00071248"/>
    <w:rsid w:val="0007156A"/>
    <w:rsid w:val="000719F2"/>
    <w:rsid w:val="00072043"/>
    <w:rsid w:val="000720B9"/>
    <w:rsid w:val="00072698"/>
    <w:rsid w:val="00072A2D"/>
    <w:rsid w:val="00072B87"/>
    <w:rsid w:val="00072D5F"/>
    <w:rsid w:val="000733D8"/>
    <w:rsid w:val="000737C2"/>
    <w:rsid w:val="000737F7"/>
    <w:rsid w:val="0007382C"/>
    <w:rsid w:val="00073F91"/>
    <w:rsid w:val="0007425B"/>
    <w:rsid w:val="000744EB"/>
    <w:rsid w:val="0007462D"/>
    <w:rsid w:val="00074696"/>
    <w:rsid w:val="000746D5"/>
    <w:rsid w:val="0007471A"/>
    <w:rsid w:val="0007472B"/>
    <w:rsid w:val="0007498E"/>
    <w:rsid w:val="00074D78"/>
    <w:rsid w:val="00074E0F"/>
    <w:rsid w:val="000754A1"/>
    <w:rsid w:val="00075583"/>
    <w:rsid w:val="000757A6"/>
    <w:rsid w:val="0007592F"/>
    <w:rsid w:val="00075B42"/>
    <w:rsid w:val="00075B5D"/>
    <w:rsid w:val="0007634C"/>
    <w:rsid w:val="000763BD"/>
    <w:rsid w:val="0007672F"/>
    <w:rsid w:val="00076930"/>
    <w:rsid w:val="00076B54"/>
    <w:rsid w:val="00076B5B"/>
    <w:rsid w:val="00076BDB"/>
    <w:rsid w:val="00076CD8"/>
    <w:rsid w:val="00076E8F"/>
    <w:rsid w:val="000774F0"/>
    <w:rsid w:val="00077B3E"/>
    <w:rsid w:val="00077E2E"/>
    <w:rsid w:val="000800C6"/>
    <w:rsid w:val="00080124"/>
    <w:rsid w:val="000801B4"/>
    <w:rsid w:val="00080537"/>
    <w:rsid w:val="00080877"/>
    <w:rsid w:val="0008088A"/>
    <w:rsid w:val="00080909"/>
    <w:rsid w:val="0008093C"/>
    <w:rsid w:val="00080B3E"/>
    <w:rsid w:val="00080D45"/>
    <w:rsid w:val="0008124F"/>
    <w:rsid w:val="000812CA"/>
    <w:rsid w:val="000815C2"/>
    <w:rsid w:val="00081D5F"/>
    <w:rsid w:val="00081E63"/>
    <w:rsid w:val="0008258D"/>
    <w:rsid w:val="00082B5E"/>
    <w:rsid w:val="00083385"/>
    <w:rsid w:val="00083873"/>
    <w:rsid w:val="00083CF9"/>
    <w:rsid w:val="00083DB4"/>
    <w:rsid w:val="00083E99"/>
    <w:rsid w:val="000840FD"/>
    <w:rsid w:val="00084213"/>
    <w:rsid w:val="00084FA8"/>
    <w:rsid w:val="000856C5"/>
    <w:rsid w:val="0008584E"/>
    <w:rsid w:val="00085B3F"/>
    <w:rsid w:val="00085C31"/>
    <w:rsid w:val="00085D1F"/>
    <w:rsid w:val="00086407"/>
    <w:rsid w:val="000866E1"/>
    <w:rsid w:val="00086788"/>
    <w:rsid w:val="0008687B"/>
    <w:rsid w:val="000868D6"/>
    <w:rsid w:val="00086A9B"/>
    <w:rsid w:val="00086B50"/>
    <w:rsid w:val="00086C2D"/>
    <w:rsid w:val="0008737F"/>
    <w:rsid w:val="000873AE"/>
    <w:rsid w:val="00087A76"/>
    <w:rsid w:val="000902D9"/>
    <w:rsid w:val="000904CE"/>
    <w:rsid w:val="000906D7"/>
    <w:rsid w:val="00090C7E"/>
    <w:rsid w:val="00090CDB"/>
    <w:rsid w:val="0009132F"/>
    <w:rsid w:val="000915DF"/>
    <w:rsid w:val="00091B67"/>
    <w:rsid w:val="00092462"/>
    <w:rsid w:val="00092600"/>
    <w:rsid w:val="0009262B"/>
    <w:rsid w:val="000929B8"/>
    <w:rsid w:val="00093310"/>
    <w:rsid w:val="000938CC"/>
    <w:rsid w:val="00093E21"/>
    <w:rsid w:val="0009445C"/>
    <w:rsid w:val="00094C2F"/>
    <w:rsid w:val="00094D90"/>
    <w:rsid w:val="00095200"/>
    <w:rsid w:val="00095986"/>
    <w:rsid w:val="00095AC7"/>
    <w:rsid w:val="00095FE5"/>
    <w:rsid w:val="0009625B"/>
    <w:rsid w:val="00096284"/>
    <w:rsid w:val="00096739"/>
    <w:rsid w:val="000972B2"/>
    <w:rsid w:val="00097351"/>
    <w:rsid w:val="00097976"/>
    <w:rsid w:val="000A0069"/>
    <w:rsid w:val="000A0319"/>
    <w:rsid w:val="000A0331"/>
    <w:rsid w:val="000A0453"/>
    <w:rsid w:val="000A06FD"/>
    <w:rsid w:val="000A0AA3"/>
    <w:rsid w:val="000A0F10"/>
    <w:rsid w:val="000A12EA"/>
    <w:rsid w:val="000A1343"/>
    <w:rsid w:val="000A14B3"/>
    <w:rsid w:val="000A1997"/>
    <w:rsid w:val="000A1B69"/>
    <w:rsid w:val="000A1BC0"/>
    <w:rsid w:val="000A1DE9"/>
    <w:rsid w:val="000A2115"/>
    <w:rsid w:val="000A2797"/>
    <w:rsid w:val="000A2856"/>
    <w:rsid w:val="000A2FBA"/>
    <w:rsid w:val="000A3460"/>
    <w:rsid w:val="000A3B0E"/>
    <w:rsid w:val="000A3EBB"/>
    <w:rsid w:val="000A48A7"/>
    <w:rsid w:val="000A4EF0"/>
    <w:rsid w:val="000A55D7"/>
    <w:rsid w:val="000A6039"/>
    <w:rsid w:val="000A60C4"/>
    <w:rsid w:val="000A617B"/>
    <w:rsid w:val="000A6C7D"/>
    <w:rsid w:val="000A73D1"/>
    <w:rsid w:val="000A7453"/>
    <w:rsid w:val="000A7B40"/>
    <w:rsid w:val="000A7D08"/>
    <w:rsid w:val="000B0121"/>
    <w:rsid w:val="000B0143"/>
    <w:rsid w:val="000B0517"/>
    <w:rsid w:val="000B0584"/>
    <w:rsid w:val="000B0670"/>
    <w:rsid w:val="000B0C7D"/>
    <w:rsid w:val="000B0D4A"/>
    <w:rsid w:val="000B0E75"/>
    <w:rsid w:val="000B0FA7"/>
    <w:rsid w:val="000B1428"/>
    <w:rsid w:val="000B16AE"/>
    <w:rsid w:val="000B1B5B"/>
    <w:rsid w:val="000B2107"/>
    <w:rsid w:val="000B2DCB"/>
    <w:rsid w:val="000B2FF8"/>
    <w:rsid w:val="000B30F0"/>
    <w:rsid w:val="000B3506"/>
    <w:rsid w:val="000B3574"/>
    <w:rsid w:val="000B36FC"/>
    <w:rsid w:val="000B3707"/>
    <w:rsid w:val="000B3729"/>
    <w:rsid w:val="000B3D2C"/>
    <w:rsid w:val="000B4550"/>
    <w:rsid w:val="000B48EE"/>
    <w:rsid w:val="000B5CE0"/>
    <w:rsid w:val="000B5CF0"/>
    <w:rsid w:val="000B5F34"/>
    <w:rsid w:val="000B66DD"/>
    <w:rsid w:val="000B6C85"/>
    <w:rsid w:val="000B6CAC"/>
    <w:rsid w:val="000B6E17"/>
    <w:rsid w:val="000B7105"/>
    <w:rsid w:val="000B7612"/>
    <w:rsid w:val="000B78AE"/>
    <w:rsid w:val="000C0347"/>
    <w:rsid w:val="000C0C1C"/>
    <w:rsid w:val="000C115F"/>
    <w:rsid w:val="000C133B"/>
    <w:rsid w:val="000C2229"/>
    <w:rsid w:val="000C2355"/>
    <w:rsid w:val="000C24C8"/>
    <w:rsid w:val="000C336E"/>
    <w:rsid w:val="000C36B1"/>
    <w:rsid w:val="000C36F1"/>
    <w:rsid w:val="000C3848"/>
    <w:rsid w:val="000C3912"/>
    <w:rsid w:val="000C3B54"/>
    <w:rsid w:val="000C3DF9"/>
    <w:rsid w:val="000C41E0"/>
    <w:rsid w:val="000C41FE"/>
    <w:rsid w:val="000C451E"/>
    <w:rsid w:val="000C4827"/>
    <w:rsid w:val="000C56B8"/>
    <w:rsid w:val="000C5932"/>
    <w:rsid w:val="000C6582"/>
    <w:rsid w:val="000C6713"/>
    <w:rsid w:val="000C6A16"/>
    <w:rsid w:val="000D07E2"/>
    <w:rsid w:val="000D0871"/>
    <w:rsid w:val="000D0AD5"/>
    <w:rsid w:val="000D0C8B"/>
    <w:rsid w:val="000D1435"/>
    <w:rsid w:val="000D16A3"/>
    <w:rsid w:val="000D16D0"/>
    <w:rsid w:val="000D1762"/>
    <w:rsid w:val="000D1B0A"/>
    <w:rsid w:val="000D1BFC"/>
    <w:rsid w:val="000D1D5D"/>
    <w:rsid w:val="000D281A"/>
    <w:rsid w:val="000D2848"/>
    <w:rsid w:val="000D2AD4"/>
    <w:rsid w:val="000D2C0B"/>
    <w:rsid w:val="000D2E5D"/>
    <w:rsid w:val="000D2EC9"/>
    <w:rsid w:val="000D326A"/>
    <w:rsid w:val="000D3669"/>
    <w:rsid w:val="000D3D5D"/>
    <w:rsid w:val="000D4451"/>
    <w:rsid w:val="000D46D1"/>
    <w:rsid w:val="000D4DAF"/>
    <w:rsid w:val="000D51FB"/>
    <w:rsid w:val="000D55CE"/>
    <w:rsid w:val="000D5C83"/>
    <w:rsid w:val="000D5D12"/>
    <w:rsid w:val="000D5D55"/>
    <w:rsid w:val="000D5D6E"/>
    <w:rsid w:val="000D6446"/>
    <w:rsid w:val="000D795B"/>
    <w:rsid w:val="000D7E42"/>
    <w:rsid w:val="000D7F6B"/>
    <w:rsid w:val="000E0640"/>
    <w:rsid w:val="000E079D"/>
    <w:rsid w:val="000E10CB"/>
    <w:rsid w:val="000E135D"/>
    <w:rsid w:val="000E1A6A"/>
    <w:rsid w:val="000E1B3F"/>
    <w:rsid w:val="000E1ED6"/>
    <w:rsid w:val="000E22E5"/>
    <w:rsid w:val="000E3051"/>
    <w:rsid w:val="000E3612"/>
    <w:rsid w:val="000E371C"/>
    <w:rsid w:val="000E3988"/>
    <w:rsid w:val="000E3B42"/>
    <w:rsid w:val="000E3B84"/>
    <w:rsid w:val="000E4156"/>
    <w:rsid w:val="000E425E"/>
    <w:rsid w:val="000E4B38"/>
    <w:rsid w:val="000E4EA7"/>
    <w:rsid w:val="000E5141"/>
    <w:rsid w:val="000E5485"/>
    <w:rsid w:val="000E596D"/>
    <w:rsid w:val="000E5B86"/>
    <w:rsid w:val="000E5DAC"/>
    <w:rsid w:val="000E5E4D"/>
    <w:rsid w:val="000E604A"/>
    <w:rsid w:val="000E6AA7"/>
    <w:rsid w:val="000E700D"/>
    <w:rsid w:val="000E709E"/>
    <w:rsid w:val="000E74A2"/>
    <w:rsid w:val="000F00BA"/>
    <w:rsid w:val="000F00C3"/>
    <w:rsid w:val="000F00DE"/>
    <w:rsid w:val="000F0442"/>
    <w:rsid w:val="000F047D"/>
    <w:rsid w:val="000F113D"/>
    <w:rsid w:val="000F115C"/>
    <w:rsid w:val="000F1241"/>
    <w:rsid w:val="000F20EF"/>
    <w:rsid w:val="000F227C"/>
    <w:rsid w:val="000F2585"/>
    <w:rsid w:val="000F292F"/>
    <w:rsid w:val="000F316A"/>
    <w:rsid w:val="000F3199"/>
    <w:rsid w:val="000F37EF"/>
    <w:rsid w:val="000F3C30"/>
    <w:rsid w:val="000F3C74"/>
    <w:rsid w:val="000F4122"/>
    <w:rsid w:val="000F4283"/>
    <w:rsid w:val="000F45DF"/>
    <w:rsid w:val="000F498A"/>
    <w:rsid w:val="000F4A4E"/>
    <w:rsid w:val="000F4BB8"/>
    <w:rsid w:val="000F4FA9"/>
    <w:rsid w:val="000F53FB"/>
    <w:rsid w:val="000F5542"/>
    <w:rsid w:val="000F5D01"/>
    <w:rsid w:val="000F6337"/>
    <w:rsid w:val="000F640B"/>
    <w:rsid w:val="000F647E"/>
    <w:rsid w:val="000F6997"/>
    <w:rsid w:val="000F6DE1"/>
    <w:rsid w:val="000F7127"/>
    <w:rsid w:val="000F7890"/>
    <w:rsid w:val="000F7B07"/>
    <w:rsid w:val="000F7B54"/>
    <w:rsid w:val="00100065"/>
    <w:rsid w:val="0010023D"/>
    <w:rsid w:val="0010044D"/>
    <w:rsid w:val="00100514"/>
    <w:rsid w:val="00100F8A"/>
    <w:rsid w:val="00101234"/>
    <w:rsid w:val="001013E7"/>
    <w:rsid w:val="00101BA6"/>
    <w:rsid w:val="001021F3"/>
    <w:rsid w:val="00102B7E"/>
    <w:rsid w:val="00102BAB"/>
    <w:rsid w:val="00102BFE"/>
    <w:rsid w:val="00102DBC"/>
    <w:rsid w:val="00103012"/>
    <w:rsid w:val="001031E2"/>
    <w:rsid w:val="00103905"/>
    <w:rsid w:val="00103BFD"/>
    <w:rsid w:val="001043F7"/>
    <w:rsid w:val="0010452E"/>
    <w:rsid w:val="00104B6D"/>
    <w:rsid w:val="00104C50"/>
    <w:rsid w:val="001051C5"/>
    <w:rsid w:val="00105250"/>
    <w:rsid w:val="00105647"/>
    <w:rsid w:val="001059BE"/>
    <w:rsid w:val="001059C4"/>
    <w:rsid w:val="00105AE2"/>
    <w:rsid w:val="00105BC7"/>
    <w:rsid w:val="001060AE"/>
    <w:rsid w:val="001060C6"/>
    <w:rsid w:val="00106731"/>
    <w:rsid w:val="001067B4"/>
    <w:rsid w:val="00106A35"/>
    <w:rsid w:val="00106B80"/>
    <w:rsid w:val="00106BEC"/>
    <w:rsid w:val="001070F3"/>
    <w:rsid w:val="001074F0"/>
    <w:rsid w:val="00107633"/>
    <w:rsid w:val="001076CE"/>
    <w:rsid w:val="00107ECE"/>
    <w:rsid w:val="0011032E"/>
    <w:rsid w:val="00110D1E"/>
    <w:rsid w:val="0011221D"/>
    <w:rsid w:val="00112DD8"/>
    <w:rsid w:val="00112FAF"/>
    <w:rsid w:val="0011348B"/>
    <w:rsid w:val="00113B43"/>
    <w:rsid w:val="001140DB"/>
    <w:rsid w:val="001143E2"/>
    <w:rsid w:val="001150AA"/>
    <w:rsid w:val="0011581B"/>
    <w:rsid w:val="00115982"/>
    <w:rsid w:val="00116BD2"/>
    <w:rsid w:val="00116C53"/>
    <w:rsid w:val="00116C6E"/>
    <w:rsid w:val="00117171"/>
    <w:rsid w:val="0011750C"/>
    <w:rsid w:val="001200BB"/>
    <w:rsid w:val="001200F5"/>
    <w:rsid w:val="001202A9"/>
    <w:rsid w:val="001203FC"/>
    <w:rsid w:val="00120878"/>
    <w:rsid w:val="00120F6E"/>
    <w:rsid w:val="00121799"/>
    <w:rsid w:val="001222FC"/>
    <w:rsid w:val="00122547"/>
    <w:rsid w:val="00122BEE"/>
    <w:rsid w:val="00122D36"/>
    <w:rsid w:val="00123684"/>
    <w:rsid w:val="00123902"/>
    <w:rsid w:val="00123A16"/>
    <w:rsid w:val="00123D5A"/>
    <w:rsid w:val="001244E7"/>
    <w:rsid w:val="00124861"/>
    <w:rsid w:val="00124A51"/>
    <w:rsid w:val="001251C0"/>
    <w:rsid w:val="00125C24"/>
    <w:rsid w:val="00125D71"/>
    <w:rsid w:val="00126408"/>
    <w:rsid w:val="00126621"/>
    <w:rsid w:val="0012673D"/>
    <w:rsid w:val="00126B1D"/>
    <w:rsid w:val="00126FAD"/>
    <w:rsid w:val="00127187"/>
    <w:rsid w:val="00127527"/>
    <w:rsid w:val="001301E9"/>
    <w:rsid w:val="001307EF"/>
    <w:rsid w:val="0013086A"/>
    <w:rsid w:val="001308D3"/>
    <w:rsid w:val="00130EDC"/>
    <w:rsid w:val="00130F7A"/>
    <w:rsid w:val="00131163"/>
    <w:rsid w:val="001311CE"/>
    <w:rsid w:val="00131608"/>
    <w:rsid w:val="001317B8"/>
    <w:rsid w:val="00131D82"/>
    <w:rsid w:val="00132271"/>
    <w:rsid w:val="001323BD"/>
    <w:rsid w:val="00132914"/>
    <w:rsid w:val="00132AA0"/>
    <w:rsid w:val="00132B22"/>
    <w:rsid w:val="001331C4"/>
    <w:rsid w:val="001333B0"/>
    <w:rsid w:val="00133552"/>
    <w:rsid w:val="001338C2"/>
    <w:rsid w:val="00133AB1"/>
    <w:rsid w:val="00133D36"/>
    <w:rsid w:val="001342DD"/>
    <w:rsid w:val="00134818"/>
    <w:rsid w:val="00134B20"/>
    <w:rsid w:val="001353F8"/>
    <w:rsid w:val="00135831"/>
    <w:rsid w:val="001358DE"/>
    <w:rsid w:val="00135B4D"/>
    <w:rsid w:val="00135BE1"/>
    <w:rsid w:val="001365E1"/>
    <w:rsid w:val="00136B64"/>
    <w:rsid w:val="001371E8"/>
    <w:rsid w:val="00137645"/>
    <w:rsid w:val="00137D3F"/>
    <w:rsid w:val="0014015A"/>
    <w:rsid w:val="00140504"/>
    <w:rsid w:val="00140BFB"/>
    <w:rsid w:val="00140D6D"/>
    <w:rsid w:val="00140E99"/>
    <w:rsid w:val="00141660"/>
    <w:rsid w:val="0014173F"/>
    <w:rsid w:val="00141A94"/>
    <w:rsid w:val="00141C0D"/>
    <w:rsid w:val="00142175"/>
    <w:rsid w:val="001422EE"/>
    <w:rsid w:val="00143606"/>
    <w:rsid w:val="00143F67"/>
    <w:rsid w:val="001444D2"/>
    <w:rsid w:val="00144705"/>
    <w:rsid w:val="00144A3C"/>
    <w:rsid w:val="00144D9C"/>
    <w:rsid w:val="00144DD4"/>
    <w:rsid w:val="001450B6"/>
    <w:rsid w:val="001452AB"/>
    <w:rsid w:val="00145540"/>
    <w:rsid w:val="001456B0"/>
    <w:rsid w:val="0014581F"/>
    <w:rsid w:val="00145C4F"/>
    <w:rsid w:val="00145E6E"/>
    <w:rsid w:val="00146169"/>
    <w:rsid w:val="001461E8"/>
    <w:rsid w:val="00146E39"/>
    <w:rsid w:val="00146F00"/>
    <w:rsid w:val="001473DC"/>
    <w:rsid w:val="001478FF"/>
    <w:rsid w:val="00147AC1"/>
    <w:rsid w:val="00150064"/>
    <w:rsid w:val="00150136"/>
    <w:rsid w:val="0015093B"/>
    <w:rsid w:val="00150DB7"/>
    <w:rsid w:val="00151799"/>
    <w:rsid w:val="001519F9"/>
    <w:rsid w:val="00151C86"/>
    <w:rsid w:val="001522C8"/>
    <w:rsid w:val="0015241B"/>
    <w:rsid w:val="0015271E"/>
    <w:rsid w:val="001527E2"/>
    <w:rsid w:val="00152BB3"/>
    <w:rsid w:val="001538C4"/>
    <w:rsid w:val="00153DEE"/>
    <w:rsid w:val="00153F4A"/>
    <w:rsid w:val="00154EA3"/>
    <w:rsid w:val="00155040"/>
    <w:rsid w:val="001552AF"/>
    <w:rsid w:val="0015569A"/>
    <w:rsid w:val="0015576A"/>
    <w:rsid w:val="00155920"/>
    <w:rsid w:val="001559D7"/>
    <w:rsid w:val="00155AC3"/>
    <w:rsid w:val="00155C21"/>
    <w:rsid w:val="00156300"/>
    <w:rsid w:val="00156D2B"/>
    <w:rsid w:val="00156F8F"/>
    <w:rsid w:val="00157130"/>
    <w:rsid w:val="00157198"/>
    <w:rsid w:val="001573AD"/>
    <w:rsid w:val="00157457"/>
    <w:rsid w:val="001576B1"/>
    <w:rsid w:val="00157A1D"/>
    <w:rsid w:val="00157BBC"/>
    <w:rsid w:val="0016047B"/>
    <w:rsid w:val="00160524"/>
    <w:rsid w:val="00160A4C"/>
    <w:rsid w:val="00160B6D"/>
    <w:rsid w:val="00160D18"/>
    <w:rsid w:val="001611AD"/>
    <w:rsid w:val="0016159D"/>
    <w:rsid w:val="00161A4B"/>
    <w:rsid w:val="00161CC1"/>
    <w:rsid w:val="00161D1F"/>
    <w:rsid w:val="00162145"/>
    <w:rsid w:val="00162313"/>
    <w:rsid w:val="00162717"/>
    <w:rsid w:val="00162913"/>
    <w:rsid w:val="001631FA"/>
    <w:rsid w:val="00163542"/>
    <w:rsid w:val="00163EFF"/>
    <w:rsid w:val="00163F15"/>
    <w:rsid w:val="00163F66"/>
    <w:rsid w:val="00164217"/>
    <w:rsid w:val="00164332"/>
    <w:rsid w:val="00164CB5"/>
    <w:rsid w:val="00165314"/>
    <w:rsid w:val="001653C5"/>
    <w:rsid w:val="001654B8"/>
    <w:rsid w:val="00165782"/>
    <w:rsid w:val="00165A8A"/>
    <w:rsid w:val="00166180"/>
    <w:rsid w:val="001661FB"/>
    <w:rsid w:val="00166338"/>
    <w:rsid w:val="00166BEE"/>
    <w:rsid w:val="001671A0"/>
    <w:rsid w:val="0016744F"/>
    <w:rsid w:val="0016767F"/>
    <w:rsid w:val="0016780E"/>
    <w:rsid w:val="0016789B"/>
    <w:rsid w:val="001679D0"/>
    <w:rsid w:val="00167EFA"/>
    <w:rsid w:val="00170214"/>
    <w:rsid w:val="001706E0"/>
    <w:rsid w:val="00170851"/>
    <w:rsid w:val="001711CD"/>
    <w:rsid w:val="00171BB1"/>
    <w:rsid w:val="00171C71"/>
    <w:rsid w:val="0017202D"/>
    <w:rsid w:val="00172283"/>
    <w:rsid w:val="001723FC"/>
    <w:rsid w:val="001726A1"/>
    <w:rsid w:val="00172C4E"/>
    <w:rsid w:val="00173093"/>
    <w:rsid w:val="00173565"/>
    <w:rsid w:val="001735AD"/>
    <w:rsid w:val="00173B07"/>
    <w:rsid w:val="00173E1B"/>
    <w:rsid w:val="00173F43"/>
    <w:rsid w:val="00174A41"/>
    <w:rsid w:val="001751FA"/>
    <w:rsid w:val="0017529E"/>
    <w:rsid w:val="00175735"/>
    <w:rsid w:val="00175897"/>
    <w:rsid w:val="00175A77"/>
    <w:rsid w:val="00175EB1"/>
    <w:rsid w:val="00175F1B"/>
    <w:rsid w:val="0017655E"/>
    <w:rsid w:val="001769FA"/>
    <w:rsid w:val="00177250"/>
    <w:rsid w:val="001776A8"/>
    <w:rsid w:val="00177D26"/>
    <w:rsid w:val="00180083"/>
    <w:rsid w:val="00180265"/>
    <w:rsid w:val="00180570"/>
    <w:rsid w:val="00180872"/>
    <w:rsid w:val="00181458"/>
    <w:rsid w:val="0018146E"/>
    <w:rsid w:val="00181D9C"/>
    <w:rsid w:val="001824FB"/>
    <w:rsid w:val="00182752"/>
    <w:rsid w:val="001835F0"/>
    <w:rsid w:val="00183C0B"/>
    <w:rsid w:val="00184118"/>
    <w:rsid w:val="00184541"/>
    <w:rsid w:val="00184B0E"/>
    <w:rsid w:val="00184C6E"/>
    <w:rsid w:val="001853D2"/>
    <w:rsid w:val="00185415"/>
    <w:rsid w:val="0018545B"/>
    <w:rsid w:val="0018568F"/>
    <w:rsid w:val="00185A3A"/>
    <w:rsid w:val="00185FAA"/>
    <w:rsid w:val="001860EF"/>
    <w:rsid w:val="00186139"/>
    <w:rsid w:val="00186150"/>
    <w:rsid w:val="00186927"/>
    <w:rsid w:val="0018752F"/>
    <w:rsid w:val="00187973"/>
    <w:rsid w:val="00187A37"/>
    <w:rsid w:val="00187B91"/>
    <w:rsid w:val="00187F3B"/>
    <w:rsid w:val="0019012F"/>
    <w:rsid w:val="0019070C"/>
    <w:rsid w:val="001911BA"/>
    <w:rsid w:val="001914BA"/>
    <w:rsid w:val="00191917"/>
    <w:rsid w:val="00191B41"/>
    <w:rsid w:val="0019235E"/>
    <w:rsid w:val="00192457"/>
    <w:rsid w:val="00192CE2"/>
    <w:rsid w:val="00192EA9"/>
    <w:rsid w:val="00192F06"/>
    <w:rsid w:val="00193068"/>
    <w:rsid w:val="001936AB"/>
    <w:rsid w:val="00193838"/>
    <w:rsid w:val="00193A41"/>
    <w:rsid w:val="00193C1F"/>
    <w:rsid w:val="00193D2C"/>
    <w:rsid w:val="00193F8A"/>
    <w:rsid w:val="001940B7"/>
    <w:rsid w:val="00194526"/>
    <w:rsid w:val="00194AD8"/>
    <w:rsid w:val="00194DC5"/>
    <w:rsid w:val="00195222"/>
    <w:rsid w:val="00195A78"/>
    <w:rsid w:val="0019606F"/>
    <w:rsid w:val="00196438"/>
    <w:rsid w:val="00196C4E"/>
    <w:rsid w:val="00196FA2"/>
    <w:rsid w:val="00197118"/>
    <w:rsid w:val="001974B9"/>
    <w:rsid w:val="001975D8"/>
    <w:rsid w:val="001975E0"/>
    <w:rsid w:val="00197777"/>
    <w:rsid w:val="00197B48"/>
    <w:rsid w:val="00197C2A"/>
    <w:rsid w:val="00197FC1"/>
    <w:rsid w:val="00197FFD"/>
    <w:rsid w:val="001A0032"/>
    <w:rsid w:val="001A0538"/>
    <w:rsid w:val="001A099D"/>
    <w:rsid w:val="001A1025"/>
    <w:rsid w:val="001A1130"/>
    <w:rsid w:val="001A1197"/>
    <w:rsid w:val="001A1560"/>
    <w:rsid w:val="001A178E"/>
    <w:rsid w:val="001A184F"/>
    <w:rsid w:val="001A196D"/>
    <w:rsid w:val="001A1A3F"/>
    <w:rsid w:val="001A1C57"/>
    <w:rsid w:val="001A1E93"/>
    <w:rsid w:val="001A213B"/>
    <w:rsid w:val="001A31FA"/>
    <w:rsid w:val="001A35C3"/>
    <w:rsid w:val="001A3CAA"/>
    <w:rsid w:val="001A4145"/>
    <w:rsid w:val="001A42E8"/>
    <w:rsid w:val="001A43FA"/>
    <w:rsid w:val="001A47C5"/>
    <w:rsid w:val="001A4946"/>
    <w:rsid w:val="001A49B4"/>
    <w:rsid w:val="001A5484"/>
    <w:rsid w:val="001A59FB"/>
    <w:rsid w:val="001A5C36"/>
    <w:rsid w:val="001A5E9E"/>
    <w:rsid w:val="001A6354"/>
    <w:rsid w:val="001A6366"/>
    <w:rsid w:val="001A682E"/>
    <w:rsid w:val="001A6999"/>
    <w:rsid w:val="001A6AF6"/>
    <w:rsid w:val="001A6DF5"/>
    <w:rsid w:val="001A7858"/>
    <w:rsid w:val="001A7AE8"/>
    <w:rsid w:val="001B0650"/>
    <w:rsid w:val="001B0A47"/>
    <w:rsid w:val="001B0CEA"/>
    <w:rsid w:val="001B0F18"/>
    <w:rsid w:val="001B1447"/>
    <w:rsid w:val="001B158C"/>
    <w:rsid w:val="001B1B81"/>
    <w:rsid w:val="001B204E"/>
    <w:rsid w:val="001B2266"/>
    <w:rsid w:val="001B2372"/>
    <w:rsid w:val="001B2401"/>
    <w:rsid w:val="001B24B5"/>
    <w:rsid w:val="001B27B8"/>
    <w:rsid w:val="001B289D"/>
    <w:rsid w:val="001B305D"/>
    <w:rsid w:val="001B3443"/>
    <w:rsid w:val="001B3900"/>
    <w:rsid w:val="001B4550"/>
    <w:rsid w:val="001B4C07"/>
    <w:rsid w:val="001B4C76"/>
    <w:rsid w:val="001B4D20"/>
    <w:rsid w:val="001B5864"/>
    <w:rsid w:val="001B5875"/>
    <w:rsid w:val="001B5B50"/>
    <w:rsid w:val="001B62C1"/>
    <w:rsid w:val="001B6334"/>
    <w:rsid w:val="001B69B4"/>
    <w:rsid w:val="001B6C03"/>
    <w:rsid w:val="001B6E62"/>
    <w:rsid w:val="001B6E92"/>
    <w:rsid w:val="001B71F3"/>
    <w:rsid w:val="001B788B"/>
    <w:rsid w:val="001B792A"/>
    <w:rsid w:val="001C02CB"/>
    <w:rsid w:val="001C07CB"/>
    <w:rsid w:val="001C08AF"/>
    <w:rsid w:val="001C1AAD"/>
    <w:rsid w:val="001C1EE3"/>
    <w:rsid w:val="001C2A9B"/>
    <w:rsid w:val="001C2ACF"/>
    <w:rsid w:val="001C3467"/>
    <w:rsid w:val="001C3747"/>
    <w:rsid w:val="001C3A30"/>
    <w:rsid w:val="001C3D96"/>
    <w:rsid w:val="001C4299"/>
    <w:rsid w:val="001C4874"/>
    <w:rsid w:val="001C4B52"/>
    <w:rsid w:val="001C4CC3"/>
    <w:rsid w:val="001C5155"/>
    <w:rsid w:val="001C56B0"/>
    <w:rsid w:val="001C5F94"/>
    <w:rsid w:val="001C6756"/>
    <w:rsid w:val="001C6785"/>
    <w:rsid w:val="001C6A48"/>
    <w:rsid w:val="001C6E66"/>
    <w:rsid w:val="001C76DA"/>
    <w:rsid w:val="001C7D7A"/>
    <w:rsid w:val="001D038E"/>
    <w:rsid w:val="001D09D0"/>
    <w:rsid w:val="001D1100"/>
    <w:rsid w:val="001D1391"/>
    <w:rsid w:val="001D1AF1"/>
    <w:rsid w:val="001D206D"/>
    <w:rsid w:val="001D23EB"/>
    <w:rsid w:val="001D25D7"/>
    <w:rsid w:val="001D2A4D"/>
    <w:rsid w:val="001D3295"/>
    <w:rsid w:val="001D3B09"/>
    <w:rsid w:val="001D4367"/>
    <w:rsid w:val="001D4436"/>
    <w:rsid w:val="001D44A2"/>
    <w:rsid w:val="001D46DC"/>
    <w:rsid w:val="001D46E0"/>
    <w:rsid w:val="001D483A"/>
    <w:rsid w:val="001D4CE9"/>
    <w:rsid w:val="001D50B2"/>
    <w:rsid w:val="001D5292"/>
    <w:rsid w:val="001D5903"/>
    <w:rsid w:val="001D6244"/>
    <w:rsid w:val="001D643A"/>
    <w:rsid w:val="001D7645"/>
    <w:rsid w:val="001D7CCD"/>
    <w:rsid w:val="001D7D4F"/>
    <w:rsid w:val="001E0858"/>
    <w:rsid w:val="001E09B8"/>
    <w:rsid w:val="001E0BF4"/>
    <w:rsid w:val="001E0EEE"/>
    <w:rsid w:val="001E1684"/>
    <w:rsid w:val="001E1E86"/>
    <w:rsid w:val="001E238E"/>
    <w:rsid w:val="001E245F"/>
    <w:rsid w:val="001E2483"/>
    <w:rsid w:val="001E25F8"/>
    <w:rsid w:val="001E2635"/>
    <w:rsid w:val="001E2883"/>
    <w:rsid w:val="001E2B1E"/>
    <w:rsid w:val="001E2CFF"/>
    <w:rsid w:val="001E2F24"/>
    <w:rsid w:val="001E30D4"/>
    <w:rsid w:val="001E34DF"/>
    <w:rsid w:val="001E3609"/>
    <w:rsid w:val="001E3AFE"/>
    <w:rsid w:val="001E3F1C"/>
    <w:rsid w:val="001E4C1D"/>
    <w:rsid w:val="001E52EB"/>
    <w:rsid w:val="001E5823"/>
    <w:rsid w:val="001E5907"/>
    <w:rsid w:val="001E5AD2"/>
    <w:rsid w:val="001E5C12"/>
    <w:rsid w:val="001E5C7D"/>
    <w:rsid w:val="001E5CC3"/>
    <w:rsid w:val="001E5EBE"/>
    <w:rsid w:val="001E61D2"/>
    <w:rsid w:val="001E634B"/>
    <w:rsid w:val="001E651D"/>
    <w:rsid w:val="001E71AA"/>
    <w:rsid w:val="001E71DD"/>
    <w:rsid w:val="001E72BA"/>
    <w:rsid w:val="001E740C"/>
    <w:rsid w:val="001E743F"/>
    <w:rsid w:val="001E7DF7"/>
    <w:rsid w:val="001E7E5D"/>
    <w:rsid w:val="001F0FAB"/>
    <w:rsid w:val="001F0FC2"/>
    <w:rsid w:val="001F106A"/>
    <w:rsid w:val="001F1235"/>
    <w:rsid w:val="001F1398"/>
    <w:rsid w:val="001F1CB3"/>
    <w:rsid w:val="001F1D72"/>
    <w:rsid w:val="001F2E8D"/>
    <w:rsid w:val="001F38B5"/>
    <w:rsid w:val="001F3B5E"/>
    <w:rsid w:val="001F3C2B"/>
    <w:rsid w:val="001F3D79"/>
    <w:rsid w:val="001F3DD3"/>
    <w:rsid w:val="001F4081"/>
    <w:rsid w:val="001F443E"/>
    <w:rsid w:val="001F44BA"/>
    <w:rsid w:val="001F45E0"/>
    <w:rsid w:val="001F4DB5"/>
    <w:rsid w:val="001F50A2"/>
    <w:rsid w:val="001F519E"/>
    <w:rsid w:val="001F59AA"/>
    <w:rsid w:val="001F5D6A"/>
    <w:rsid w:val="001F6098"/>
    <w:rsid w:val="001F66CF"/>
    <w:rsid w:val="001F6762"/>
    <w:rsid w:val="001F6FB7"/>
    <w:rsid w:val="001F7361"/>
    <w:rsid w:val="001F7AFC"/>
    <w:rsid w:val="00200CB1"/>
    <w:rsid w:val="00200EB2"/>
    <w:rsid w:val="00200EDF"/>
    <w:rsid w:val="0020112E"/>
    <w:rsid w:val="002011B0"/>
    <w:rsid w:val="00201E55"/>
    <w:rsid w:val="0020203F"/>
    <w:rsid w:val="002023B9"/>
    <w:rsid w:val="00202A5A"/>
    <w:rsid w:val="00203181"/>
    <w:rsid w:val="00203338"/>
    <w:rsid w:val="00203423"/>
    <w:rsid w:val="00203770"/>
    <w:rsid w:val="00203783"/>
    <w:rsid w:val="0020385F"/>
    <w:rsid w:val="0020398C"/>
    <w:rsid w:val="0020428E"/>
    <w:rsid w:val="00204500"/>
    <w:rsid w:val="00204594"/>
    <w:rsid w:val="00204821"/>
    <w:rsid w:val="00204E71"/>
    <w:rsid w:val="0020508B"/>
    <w:rsid w:val="002052FF"/>
    <w:rsid w:val="00205587"/>
    <w:rsid w:val="002059B4"/>
    <w:rsid w:val="00206161"/>
    <w:rsid w:val="0020633D"/>
    <w:rsid w:val="002064EA"/>
    <w:rsid w:val="002068A0"/>
    <w:rsid w:val="00206A3E"/>
    <w:rsid w:val="00207021"/>
    <w:rsid w:val="0020709E"/>
    <w:rsid w:val="0020732F"/>
    <w:rsid w:val="00207520"/>
    <w:rsid w:val="0020788D"/>
    <w:rsid w:val="00207982"/>
    <w:rsid w:val="00207D00"/>
    <w:rsid w:val="00207E87"/>
    <w:rsid w:val="00207FE2"/>
    <w:rsid w:val="00210156"/>
    <w:rsid w:val="00210315"/>
    <w:rsid w:val="002105C1"/>
    <w:rsid w:val="00210604"/>
    <w:rsid w:val="002109E6"/>
    <w:rsid w:val="002116FF"/>
    <w:rsid w:val="00211B74"/>
    <w:rsid w:val="00211FCE"/>
    <w:rsid w:val="00212389"/>
    <w:rsid w:val="002123EC"/>
    <w:rsid w:val="0021289B"/>
    <w:rsid w:val="002128AC"/>
    <w:rsid w:val="00213159"/>
    <w:rsid w:val="00213510"/>
    <w:rsid w:val="002135DB"/>
    <w:rsid w:val="002136BA"/>
    <w:rsid w:val="00213D80"/>
    <w:rsid w:val="00213EF5"/>
    <w:rsid w:val="0021414C"/>
    <w:rsid w:val="0021476D"/>
    <w:rsid w:val="002147E4"/>
    <w:rsid w:val="002155EB"/>
    <w:rsid w:val="00216BF5"/>
    <w:rsid w:val="00216C00"/>
    <w:rsid w:val="00216CA4"/>
    <w:rsid w:val="00216CC4"/>
    <w:rsid w:val="00217F5E"/>
    <w:rsid w:val="00220E68"/>
    <w:rsid w:val="00220E7B"/>
    <w:rsid w:val="002210D1"/>
    <w:rsid w:val="002213F8"/>
    <w:rsid w:val="00221545"/>
    <w:rsid w:val="002218D0"/>
    <w:rsid w:val="002218F4"/>
    <w:rsid w:val="00222135"/>
    <w:rsid w:val="002224C1"/>
    <w:rsid w:val="002227C1"/>
    <w:rsid w:val="00222D98"/>
    <w:rsid w:val="00223023"/>
    <w:rsid w:val="0022357D"/>
    <w:rsid w:val="00223A40"/>
    <w:rsid w:val="00223B2A"/>
    <w:rsid w:val="00223B49"/>
    <w:rsid w:val="00223D5A"/>
    <w:rsid w:val="002240A4"/>
    <w:rsid w:val="002242A0"/>
    <w:rsid w:val="00224A1D"/>
    <w:rsid w:val="00224DD4"/>
    <w:rsid w:val="00224FA0"/>
    <w:rsid w:val="0022540E"/>
    <w:rsid w:val="002254DE"/>
    <w:rsid w:val="00225709"/>
    <w:rsid w:val="00226900"/>
    <w:rsid w:val="00226B05"/>
    <w:rsid w:val="00226BCB"/>
    <w:rsid w:val="002271BE"/>
    <w:rsid w:val="002273B7"/>
    <w:rsid w:val="0022757D"/>
    <w:rsid w:val="002275B5"/>
    <w:rsid w:val="002278A0"/>
    <w:rsid w:val="00227B40"/>
    <w:rsid w:val="00227FA8"/>
    <w:rsid w:val="002309CC"/>
    <w:rsid w:val="00230AB4"/>
    <w:rsid w:val="0023114F"/>
    <w:rsid w:val="0023209F"/>
    <w:rsid w:val="00232BE8"/>
    <w:rsid w:val="00232D97"/>
    <w:rsid w:val="00233405"/>
    <w:rsid w:val="0023394E"/>
    <w:rsid w:val="0023394F"/>
    <w:rsid w:val="00233C01"/>
    <w:rsid w:val="0023413C"/>
    <w:rsid w:val="0023415D"/>
    <w:rsid w:val="00234564"/>
    <w:rsid w:val="002345DF"/>
    <w:rsid w:val="002346F0"/>
    <w:rsid w:val="00234964"/>
    <w:rsid w:val="002360BE"/>
    <w:rsid w:val="0023629D"/>
    <w:rsid w:val="00236B40"/>
    <w:rsid w:val="002370BF"/>
    <w:rsid w:val="00237255"/>
    <w:rsid w:val="00237524"/>
    <w:rsid w:val="00240A0D"/>
    <w:rsid w:val="00240A36"/>
    <w:rsid w:val="00240D0C"/>
    <w:rsid w:val="00240DE9"/>
    <w:rsid w:val="002414A2"/>
    <w:rsid w:val="0024183E"/>
    <w:rsid w:val="002424A6"/>
    <w:rsid w:val="002424AF"/>
    <w:rsid w:val="00242856"/>
    <w:rsid w:val="0024347B"/>
    <w:rsid w:val="002439DC"/>
    <w:rsid w:val="00243A06"/>
    <w:rsid w:val="00243D16"/>
    <w:rsid w:val="002441D2"/>
    <w:rsid w:val="002445B8"/>
    <w:rsid w:val="00244DC8"/>
    <w:rsid w:val="002453F3"/>
    <w:rsid w:val="0024556F"/>
    <w:rsid w:val="002458BA"/>
    <w:rsid w:val="00245941"/>
    <w:rsid w:val="00245CE9"/>
    <w:rsid w:val="0024636C"/>
    <w:rsid w:val="0024676B"/>
    <w:rsid w:val="002467A6"/>
    <w:rsid w:val="00247193"/>
    <w:rsid w:val="00247925"/>
    <w:rsid w:val="00247CD6"/>
    <w:rsid w:val="00250361"/>
    <w:rsid w:val="0025078A"/>
    <w:rsid w:val="00250B2F"/>
    <w:rsid w:val="00251006"/>
    <w:rsid w:val="002512FA"/>
    <w:rsid w:val="002518E4"/>
    <w:rsid w:val="00251FDE"/>
    <w:rsid w:val="002524D5"/>
    <w:rsid w:val="00252F14"/>
    <w:rsid w:val="0025338D"/>
    <w:rsid w:val="0025383D"/>
    <w:rsid w:val="00253B1D"/>
    <w:rsid w:val="00253B4B"/>
    <w:rsid w:val="00253CE0"/>
    <w:rsid w:val="00253CFA"/>
    <w:rsid w:val="00254B13"/>
    <w:rsid w:val="00254DCF"/>
    <w:rsid w:val="00254E60"/>
    <w:rsid w:val="0025534B"/>
    <w:rsid w:val="00255B41"/>
    <w:rsid w:val="00255BB7"/>
    <w:rsid w:val="00255C02"/>
    <w:rsid w:val="00255F6A"/>
    <w:rsid w:val="00256A38"/>
    <w:rsid w:val="0025700C"/>
    <w:rsid w:val="00257541"/>
    <w:rsid w:val="00257A39"/>
    <w:rsid w:val="00257AC4"/>
    <w:rsid w:val="00257AED"/>
    <w:rsid w:val="00257FBF"/>
    <w:rsid w:val="0026037A"/>
    <w:rsid w:val="002603B7"/>
    <w:rsid w:val="00260639"/>
    <w:rsid w:val="00260D9A"/>
    <w:rsid w:val="00260F01"/>
    <w:rsid w:val="0026114A"/>
    <w:rsid w:val="00261311"/>
    <w:rsid w:val="00261831"/>
    <w:rsid w:val="00261C08"/>
    <w:rsid w:val="00261EEF"/>
    <w:rsid w:val="00262A1A"/>
    <w:rsid w:val="00262A87"/>
    <w:rsid w:val="002632EC"/>
    <w:rsid w:val="00263400"/>
    <w:rsid w:val="00263415"/>
    <w:rsid w:val="002639DC"/>
    <w:rsid w:val="00263C1E"/>
    <w:rsid w:val="00264435"/>
    <w:rsid w:val="00264BD9"/>
    <w:rsid w:val="00264D26"/>
    <w:rsid w:val="00265774"/>
    <w:rsid w:val="002659CC"/>
    <w:rsid w:val="00265A6A"/>
    <w:rsid w:val="00266323"/>
    <w:rsid w:val="002664CB"/>
    <w:rsid w:val="00266ECD"/>
    <w:rsid w:val="0026711D"/>
    <w:rsid w:val="0026726D"/>
    <w:rsid w:val="0026742D"/>
    <w:rsid w:val="00267642"/>
    <w:rsid w:val="00267799"/>
    <w:rsid w:val="00267ADA"/>
    <w:rsid w:val="00267AEA"/>
    <w:rsid w:val="002700E6"/>
    <w:rsid w:val="00270D04"/>
    <w:rsid w:val="002712DC"/>
    <w:rsid w:val="00271583"/>
    <w:rsid w:val="00271CFD"/>
    <w:rsid w:val="00271DA8"/>
    <w:rsid w:val="0027256D"/>
    <w:rsid w:val="0027294B"/>
    <w:rsid w:val="00272D94"/>
    <w:rsid w:val="00273039"/>
    <w:rsid w:val="0027329E"/>
    <w:rsid w:val="002734CC"/>
    <w:rsid w:val="00273769"/>
    <w:rsid w:val="00273DDC"/>
    <w:rsid w:val="00273EB4"/>
    <w:rsid w:val="002742D9"/>
    <w:rsid w:val="00274682"/>
    <w:rsid w:val="00275246"/>
    <w:rsid w:val="002752B2"/>
    <w:rsid w:val="002759E3"/>
    <w:rsid w:val="00275C5A"/>
    <w:rsid w:val="00276069"/>
    <w:rsid w:val="00276AD1"/>
    <w:rsid w:val="00276AF0"/>
    <w:rsid w:val="00277433"/>
    <w:rsid w:val="00277EF1"/>
    <w:rsid w:val="00280001"/>
    <w:rsid w:val="00280520"/>
    <w:rsid w:val="00280738"/>
    <w:rsid w:val="00280743"/>
    <w:rsid w:val="0028078E"/>
    <w:rsid w:val="00280F8E"/>
    <w:rsid w:val="00281014"/>
    <w:rsid w:val="002812CF"/>
    <w:rsid w:val="00281EAA"/>
    <w:rsid w:val="00282074"/>
    <w:rsid w:val="002822ED"/>
    <w:rsid w:val="00282381"/>
    <w:rsid w:val="0028239B"/>
    <w:rsid w:val="00282668"/>
    <w:rsid w:val="00282A03"/>
    <w:rsid w:val="00282B02"/>
    <w:rsid w:val="0028345E"/>
    <w:rsid w:val="002834C8"/>
    <w:rsid w:val="00283942"/>
    <w:rsid w:val="00283F69"/>
    <w:rsid w:val="002842D8"/>
    <w:rsid w:val="002843C1"/>
    <w:rsid w:val="002845B8"/>
    <w:rsid w:val="00284DB5"/>
    <w:rsid w:val="0028529B"/>
    <w:rsid w:val="00285959"/>
    <w:rsid w:val="00286088"/>
    <w:rsid w:val="0028665D"/>
    <w:rsid w:val="00286684"/>
    <w:rsid w:val="00286D16"/>
    <w:rsid w:val="00286D35"/>
    <w:rsid w:val="00290678"/>
    <w:rsid w:val="00290FF4"/>
    <w:rsid w:val="00291478"/>
    <w:rsid w:val="00292D8B"/>
    <w:rsid w:val="0029349B"/>
    <w:rsid w:val="00294570"/>
    <w:rsid w:val="00294652"/>
    <w:rsid w:val="00294F0D"/>
    <w:rsid w:val="002951C5"/>
    <w:rsid w:val="00295DF6"/>
    <w:rsid w:val="00295EC7"/>
    <w:rsid w:val="00295FCA"/>
    <w:rsid w:val="00296B75"/>
    <w:rsid w:val="00296BD7"/>
    <w:rsid w:val="00296BF9"/>
    <w:rsid w:val="00296D34"/>
    <w:rsid w:val="00296D4E"/>
    <w:rsid w:val="00296DD9"/>
    <w:rsid w:val="00296FD7"/>
    <w:rsid w:val="0029726F"/>
    <w:rsid w:val="0029734A"/>
    <w:rsid w:val="0029777B"/>
    <w:rsid w:val="00297D1A"/>
    <w:rsid w:val="002A07BE"/>
    <w:rsid w:val="002A09FB"/>
    <w:rsid w:val="002A0B4C"/>
    <w:rsid w:val="002A0C09"/>
    <w:rsid w:val="002A0C84"/>
    <w:rsid w:val="002A129E"/>
    <w:rsid w:val="002A138A"/>
    <w:rsid w:val="002A14AB"/>
    <w:rsid w:val="002A1CB5"/>
    <w:rsid w:val="002A20B8"/>
    <w:rsid w:val="002A251B"/>
    <w:rsid w:val="002A258D"/>
    <w:rsid w:val="002A2927"/>
    <w:rsid w:val="002A2ADE"/>
    <w:rsid w:val="002A2F50"/>
    <w:rsid w:val="002A3474"/>
    <w:rsid w:val="002A4144"/>
    <w:rsid w:val="002A4288"/>
    <w:rsid w:val="002A4DA7"/>
    <w:rsid w:val="002A4DE2"/>
    <w:rsid w:val="002A4F4A"/>
    <w:rsid w:val="002A5179"/>
    <w:rsid w:val="002A54B1"/>
    <w:rsid w:val="002A5BC7"/>
    <w:rsid w:val="002A5C5A"/>
    <w:rsid w:val="002A5D00"/>
    <w:rsid w:val="002A6864"/>
    <w:rsid w:val="002A693F"/>
    <w:rsid w:val="002A6D8A"/>
    <w:rsid w:val="002A6F61"/>
    <w:rsid w:val="002A711B"/>
    <w:rsid w:val="002A77F9"/>
    <w:rsid w:val="002B007B"/>
    <w:rsid w:val="002B02F6"/>
    <w:rsid w:val="002B03C3"/>
    <w:rsid w:val="002B05A1"/>
    <w:rsid w:val="002B06DC"/>
    <w:rsid w:val="002B08F1"/>
    <w:rsid w:val="002B0976"/>
    <w:rsid w:val="002B09A4"/>
    <w:rsid w:val="002B0A53"/>
    <w:rsid w:val="002B0AB2"/>
    <w:rsid w:val="002B1093"/>
    <w:rsid w:val="002B12EF"/>
    <w:rsid w:val="002B1979"/>
    <w:rsid w:val="002B1BB1"/>
    <w:rsid w:val="002B1C1F"/>
    <w:rsid w:val="002B1CEB"/>
    <w:rsid w:val="002B1EB7"/>
    <w:rsid w:val="002B2813"/>
    <w:rsid w:val="002B2C82"/>
    <w:rsid w:val="002B3E39"/>
    <w:rsid w:val="002B3E6A"/>
    <w:rsid w:val="002B432F"/>
    <w:rsid w:val="002B4D68"/>
    <w:rsid w:val="002B5296"/>
    <w:rsid w:val="002B5653"/>
    <w:rsid w:val="002B58AD"/>
    <w:rsid w:val="002B58EC"/>
    <w:rsid w:val="002B59B9"/>
    <w:rsid w:val="002B5C0E"/>
    <w:rsid w:val="002B5F2C"/>
    <w:rsid w:val="002B5FB2"/>
    <w:rsid w:val="002B603B"/>
    <w:rsid w:val="002B62B3"/>
    <w:rsid w:val="002B6754"/>
    <w:rsid w:val="002B67F8"/>
    <w:rsid w:val="002B680F"/>
    <w:rsid w:val="002B6CCE"/>
    <w:rsid w:val="002B7172"/>
    <w:rsid w:val="002B7509"/>
    <w:rsid w:val="002B7BC5"/>
    <w:rsid w:val="002B7C74"/>
    <w:rsid w:val="002C05D7"/>
    <w:rsid w:val="002C062F"/>
    <w:rsid w:val="002C0709"/>
    <w:rsid w:val="002C0946"/>
    <w:rsid w:val="002C10B1"/>
    <w:rsid w:val="002C111F"/>
    <w:rsid w:val="002C1DBC"/>
    <w:rsid w:val="002C2510"/>
    <w:rsid w:val="002C2775"/>
    <w:rsid w:val="002C27C1"/>
    <w:rsid w:val="002C287A"/>
    <w:rsid w:val="002C3EE2"/>
    <w:rsid w:val="002C5099"/>
    <w:rsid w:val="002C530F"/>
    <w:rsid w:val="002C5889"/>
    <w:rsid w:val="002C58B2"/>
    <w:rsid w:val="002C6042"/>
    <w:rsid w:val="002C71CE"/>
    <w:rsid w:val="002C73B1"/>
    <w:rsid w:val="002C783F"/>
    <w:rsid w:val="002C79FA"/>
    <w:rsid w:val="002C7C7F"/>
    <w:rsid w:val="002C7C9F"/>
    <w:rsid w:val="002C7E70"/>
    <w:rsid w:val="002C7F82"/>
    <w:rsid w:val="002D01AC"/>
    <w:rsid w:val="002D05CC"/>
    <w:rsid w:val="002D08F8"/>
    <w:rsid w:val="002D0A7B"/>
    <w:rsid w:val="002D14A7"/>
    <w:rsid w:val="002D1B2B"/>
    <w:rsid w:val="002D203D"/>
    <w:rsid w:val="002D20FF"/>
    <w:rsid w:val="002D2497"/>
    <w:rsid w:val="002D25DC"/>
    <w:rsid w:val="002D2B49"/>
    <w:rsid w:val="002D315C"/>
    <w:rsid w:val="002D3233"/>
    <w:rsid w:val="002D33E7"/>
    <w:rsid w:val="002D3787"/>
    <w:rsid w:val="002D408D"/>
    <w:rsid w:val="002D4BC6"/>
    <w:rsid w:val="002D577C"/>
    <w:rsid w:val="002D5E8C"/>
    <w:rsid w:val="002D63DC"/>
    <w:rsid w:val="002D70F7"/>
    <w:rsid w:val="002D7384"/>
    <w:rsid w:val="002D7D9C"/>
    <w:rsid w:val="002E02D5"/>
    <w:rsid w:val="002E1071"/>
    <w:rsid w:val="002E10C0"/>
    <w:rsid w:val="002E119C"/>
    <w:rsid w:val="002E15B9"/>
    <w:rsid w:val="002E1B66"/>
    <w:rsid w:val="002E1F24"/>
    <w:rsid w:val="002E2158"/>
    <w:rsid w:val="002E22A1"/>
    <w:rsid w:val="002E22A9"/>
    <w:rsid w:val="002E29D1"/>
    <w:rsid w:val="002E2BA2"/>
    <w:rsid w:val="002E374F"/>
    <w:rsid w:val="002E4816"/>
    <w:rsid w:val="002E4918"/>
    <w:rsid w:val="002E4A0E"/>
    <w:rsid w:val="002E4CAB"/>
    <w:rsid w:val="002E4ECD"/>
    <w:rsid w:val="002E4F02"/>
    <w:rsid w:val="002E5A56"/>
    <w:rsid w:val="002E5E92"/>
    <w:rsid w:val="002E66C4"/>
    <w:rsid w:val="002E673F"/>
    <w:rsid w:val="002E6D3A"/>
    <w:rsid w:val="002E7233"/>
    <w:rsid w:val="002E7722"/>
    <w:rsid w:val="002E78BD"/>
    <w:rsid w:val="002E79AD"/>
    <w:rsid w:val="002E7AF9"/>
    <w:rsid w:val="002E7C1D"/>
    <w:rsid w:val="002F0191"/>
    <w:rsid w:val="002F045A"/>
    <w:rsid w:val="002F04B4"/>
    <w:rsid w:val="002F070D"/>
    <w:rsid w:val="002F07BA"/>
    <w:rsid w:val="002F0BFA"/>
    <w:rsid w:val="002F0DA9"/>
    <w:rsid w:val="002F1014"/>
    <w:rsid w:val="002F11BA"/>
    <w:rsid w:val="002F11F0"/>
    <w:rsid w:val="002F1647"/>
    <w:rsid w:val="002F1983"/>
    <w:rsid w:val="002F1C6A"/>
    <w:rsid w:val="002F21D1"/>
    <w:rsid w:val="002F2679"/>
    <w:rsid w:val="002F29A9"/>
    <w:rsid w:val="002F2B7A"/>
    <w:rsid w:val="002F2D5C"/>
    <w:rsid w:val="002F2D73"/>
    <w:rsid w:val="002F3B7F"/>
    <w:rsid w:val="002F3DF6"/>
    <w:rsid w:val="002F47FA"/>
    <w:rsid w:val="002F55A9"/>
    <w:rsid w:val="002F5831"/>
    <w:rsid w:val="002F59AA"/>
    <w:rsid w:val="002F5FEE"/>
    <w:rsid w:val="002F643C"/>
    <w:rsid w:val="002F6512"/>
    <w:rsid w:val="002F6D46"/>
    <w:rsid w:val="002F6F02"/>
    <w:rsid w:val="002F71C0"/>
    <w:rsid w:val="002F723D"/>
    <w:rsid w:val="002F74F1"/>
    <w:rsid w:val="002F79C4"/>
    <w:rsid w:val="002F7C66"/>
    <w:rsid w:val="003000D1"/>
    <w:rsid w:val="00300160"/>
    <w:rsid w:val="003003FC"/>
    <w:rsid w:val="00300522"/>
    <w:rsid w:val="00300B3B"/>
    <w:rsid w:val="00301017"/>
    <w:rsid w:val="00301043"/>
    <w:rsid w:val="0030125F"/>
    <w:rsid w:val="0030155F"/>
    <w:rsid w:val="003018B6"/>
    <w:rsid w:val="00301F78"/>
    <w:rsid w:val="003027FF"/>
    <w:rsid w:val="00302958"/>
    <w:rsid w:val="00302AFE"/>
    <w:rsid w:val="00303F5C"/>
    <w:rsid w:val="00304396"/>
    <w:rsid w:val="00305290"/>
    <w:rsid w:val="0030587B"/>
    <w:rsid w:val="00305D12"/>
    <w:rsid w:val="0030646F"/>
    <w:rsid w:val="00306D98"/>
    <w:rsid w:val="0030704C"/>
    <w:rsid w:val="003070C3"/>
    <w:rsid w:val="0030786C"/>
    <w:rsid w:val="00307A23"/>
    <w:rsid w:val="00307A3A"/>
    <w:rsid w:val="00310298"/>
    <w:rsid w:val="0031031A"/>
    <w:rsid w:val="00310474"/>
    <w:rsid w:val="00310981"/>
    <w:rsid w:val="00310C7D"/>
    <w:rsid w:val="003110DE"/>
    <w:rsid w:val="003112FC"/>
    <w:rsid w:val="0031176B"/>
    <w:rsid w:val="00311D2E"/>
    <w:rsid w:val="00311FCD"/>
    <w:rsid w:val="00312222"/>
    <w:rsid w:val="003124A4"/>
    <w:rsid w:val="003124D9"/>
    <w:rsid w:val="00312594"/>
    <w:rsid w:val="00312B11"/>
    <w:rsid w:val="0031343A"/>
    <w:rsid w:val="00313846"/>
    <w:rsid w:val="00313CB3"/>
    <w:rsid w:val="00313CC9"/>
    <w:rsid w:val="00313DA7"/>
    <w:rsid w:val="00315158"/>
    <w:rsid w:val="00315435"/>
    <w:rsid w:val="00315498"/>
    <w:rsid w:val="00316215"/>
    <w:rsid w:val="00316474"/>
    <w:rsid w:val="003166CE"/>
    <w:rsid w:val="00316D68"/>
    <w:rsid w:val="00316E3B"/>
    <w:rsid w:val="00316EE9"/>
    <w:rsid w:val="003172F5"/>
    <w:rsid w:val="00317480"/>
    <w:rsid w:val="00317BD7"/>
    <w:rsid w:val="00317D93"/>
    <w:rsid w:val="003208ED"/>
    <w:rsid w:val="00320B4C"/>
    <w:rsid w:val="00320DE2"/>
    <w:rsid w:val="00321019"/>
    <w:rsid w:val="003216F8"/>
    <w:rsid w:val="00321A26"/>
    <w:rsid w:val="00322089"/>
    <w:rsid w:val="00322107"/>
    <w:rsid w:val="00322181"/>
    <w:rsid w:val="00322355"/>
    <w:rsid w:val="00322626"/>
    <w:rsid w:val="00322846"/>
    <w:rsid w:val="00322896"/>
    <w:rsid w:val="00322F7F"/>
    <w:rsid w:val="00322F94"/>
    <w:rsid w:val="0032377C"/>
    <w:rsid w:val="003238E9"/>
    <w:rsid w:val="0032400D"/>
    <w:rsid w:val="00324550"/>
    <w:rsid w:val="0032456E"/>
    <w:rsid w:val="00325893"/>
    <w:rsid w:val="0032611A"/>
    <w:rsid w:val="00326429"/>
    <w:rsid w:val="003268E2"/>
    <w:rsid w:val="00326A39"/>
    <w:rsid w:val="00326C8F"/>
    <w:rsid w:val="00326DA7"/>
    <w:rsid w:val="003270E4"/>
    <w:rsid w:val="00327863"/>
    <w:rsid w:val="0033016B"/>
    <w:rsid w:val="0033020B"/>
    <w:rsid w:val="0033042F"/>
    <w:rsid w:val="003304C1"/>
    <w:rsid w:val="00330801"/>
    <w:rsid w:val="00330DAA"/>
    <w:rsid w:val="00330F5C"/>
    <w:rsid w:val="003316A0"/>
    <w:rsid w:val="003319B4"/>
    <w:rsid w:val="00331EE5"/>
    <w:rsid w:val="00332A0C"/>
    <w:rsid w:val="00332DD5"/>
    <w:rsid w:val="003331EF"/>
    <w:rsid w:val="003332C1"/>
    <w:rsid w:val="003332C3"/>
    <w:rsid w:val="00333BC5"/>
    <w:rsid w:val="00333BD5"/>
    <w:rsid w:val="00334177"/>
    <w:rsid w:val="00334678"/>
    <w:rsid w:val="0033489A"/>
    <w:rsid w:val="00334AD3"/>
    <w:rsid w:val="0033523D"/>
    <w:rsid w:val="0033544A"/>
    <w:rsid w:val="00335871"/>
    <w:rsid w:val="00335D2C"/>
    <w:rsid w:val="00335E6A"/>
    <w:rsid w:val="003361E5"/>
    <w:rsid w:val="003366C9"/>
    <w:rsid w:val="003370E8"/>
    <w:rsid w:val="003371B0"/>
    <w:rsid w:val="00337422"/>
    <w:rsid w:val="003376C2"/>
    <w:rsid w:val="003376E6"/>
    <w:rsid w:val="00337722"/>
    <w:rsid w:val="00340A16"/>
    <w:rsid w:val="00340DF1"/>
    <w:rsid w:val="003414CD"/>
    <w:rsid w:val="00341523"/>
    <w:rsid w:val="00341AD8"/>
    <w:rsid w:val="00342071"/>
    <w:rsid w:val="003429D2"/>
    <w:rsid w:val="00342C02"/>
    <w:rsid w:val="00342D70"/>
    <w:rsid w:val="00342F70"/>
    <w:rsid w:val="00343134"/>
    <w:rsid w:val="003438CC"/>
    <w:rsid w:val="00343BC1"/>
    <w:rsid w:val="00343EB2"/>
    <w:rsid w:val="00343F98"/>
    <w:rsid w:val="00344189"/>
    <w:rsid w:val="00344626"/>
    <w:rsid w:val="00345739"/>
    <w:rsid w:val="00345966"/>
    <w:rsid w:val="003461A2"/>
    <w:rsid w:val="003466D9"/>
    <w:rsid w:val="00346D63"/>
    <w:rsid w:val="00347348"/>
    <w:rsid w:val="00350041"/>
    <w:rsid w:val="003508AB"/>
    <w:rsid w:val="00350B0C"/>
    <w:rsid w:val="00350B9D"/>
    <w:rsid w:val="00350E7D"/>
    <w:rsid w:val="00351102"/>
    <w:rsid w:val="003517F9"/>
    <w:rsid w:val="00351810"/>
    <w:rsid w:val="003518DA"/>
    <w:rsid w:val="00351BA9"/>
    <w:rsid w:val="00351DC5"/>
    <w:rsid w:val="00351FDC"/>
    <w:rsid w:val="00352230"/>
    <w:rsid w:val="003523B2"/>
    <w:rsid w:val="0035257E"/>
    <w:rsid w:val="0035275A"/>
    <w:rsid w:val="00352A4F"/>
    <w:rsid w:val="00352D87"/>
    <w:rsid w:val="00352E79"/>
    <w:rsid w:val="00352F1B"/>
    <w:rsid w:val="0035338F"/>
    <w:rsid w:val="00353B85"/>
    <w:rsid w:val="00353EAF"/>
    <w:rsid w:val="0035442F"/>
    <w:rsid w:val="0035454C"/>
    <w:rsid w:val="0035499B"/>
    <w:rsid w:val="003549B8"/>
    <w:rsid w:val="00354F64"/>
    <w:rsid w:val="00355004"/>
    <w:rsid w:val="0035584F"/>
    <w:rsid w:val="00355962"/>
    <w:rsid w:val="0035596A"/>
    <w:rsid w:val="00355C22"/>
    <w:rsid w:val="00355D64"/>
    <w:rsid w:val="00355D6B"/>
    <w:rsid w:val="0035607B"/>
    <w:rsid w:val="0035620E"/>
    <w:rsid w:val="00356FEB"/>
    <w:rsid w:val="00357142"/>
    <w:rsid w:val="003571BC"/>
    <w:rsid w:val="00357BD8"/>
    <w:rsid w:val="00357CE4"/>
    <w:rsid w:val="00357F63"/>
    <w:rsid w:val="00360345"/>
    <w:rsid w:val="00360567"/>
    <w:rsid w:val="003606D5"/>
    <w:rsid w:val="003609CC"/>
    <w:rsid w:val="00360C90"/>
    <w:rsid w:val="00360F20"/>
    <w:rsid w:val="00361858"/>
    <w:rsid w:val="00361A05"/>
    <w:rsid w:val="00361A73"/>
    <w:rsid w:val="00361FB7"/>
    <w:rsid w:val="00361FE9"/>
    <w:rsid w:val="003624BC"/>
    <w:rsid w:val="003624C4"/>
    <w:rsid w:val="003628CC"/>
    <w:rsid w:val="00362B3F"/>
    <w:rsid w:val="00362F10"/>
    <w:rsid w:val="0036315A"/>
    <w:rsid w:val="00363185"/>
    <w:rsid w:val="0036339D"/>
    <w:rsid w:val="00363401"/>
    <w:rsid w:val="00363737"/>
    <w:rsid w:val="00363B00"/>
    <w:rsid w:val="00363E0C"/>
    <w:rsid w:val="00364344"/>
    <w:rsid w:val="00364C37"/>
    <w:rsid w:val="003650C0"/>
    <w:rsid w:val="003654AC"/>
    <w:rsid w:val="00365C5A"/>
    <w:rsid w:val="00365D04"/>
    <w:rsid w:val="00366290"/>
    <w:rsid w:val="00366432"/>
    <w:rsid w:val="0036651A"/>
    <w:rsid w:val="00366F67"/>
    <w:rsid w:val="0036726C"/>
    <w:rsid w:val="003672A3"/>
    <w:rsid w:val="0036796F"/>
    <w:rsid w:val="00367C5A"/>
    <w:rsid w:val="00367C96"/>
    <w:rsid w:val="00367E1C"/>
    <w:rsid w:val="00367E32"/>
    <w:rsid w:val="00370786"/>
    <w:rsid w:val="00370F41"/>
    <w:rsid w:val="00370F5C"/>
    <w:rsid w:val="003710CF"/>
    <w:rsid w:val="00371852"/>
    <w:rsid w:val="00371DD5"/>
    <w:rsid w:val="00371E81"/>
    <w:rsid w:val="0037296C"/>
    <w:rsid w:val="00372D7F"/>
    <w:rsid w:val="0037358A"/>
    <w:rsid w:val="003737DC"/>
    <w:rsid w:val="00374058"/>
    <w:rsid w:val="00374493"/>
    <w:rsid w:val="00374FB4"/>
    <w:rsid w:val="003750F6"/>
    <w:rsid w:val="00375990"/>
    <w:rsid w:val="003760FC"/>
    <w:rsid w:val="003768AD"/>
    <w:rsid w:val="00376BF1"/>
    <w:rsid w:val="00377338"/>
    <w:rsid w:val="0037759C"/>
    <w:rsid w:val="003775B0"/>
    <w:rsid w:val="00377C32"/>
    <w:rsid w:val="00377DF8"/>
    <w:rsid w:val="003810F8"/>
    <w:rsid w:val="00382719"/>
    <w:rsid w:val="003834C7"/>
    <w:rsid w:val="0038365C"/>
    <w:rsid w:val="0038369B"/>
    <w:rsid w:val="003836E2"/>
    <w:rsid w:val="00383B78"/>
    <w:rsid w:val="0038403A"/>
    <w:rsid w:val="0038404C"/>
    <w:rsid w:val="003840D0"/>
    <w:rsid w:val="00384613"/>
    <w:rsid w:val="003847F1"/>
    <w:rsid w:val="00385622"/>
    <w:rsid w:val="00385A28"/>
    <w:rsid w:val="00385A9D"/>
    <w:rsid w:val="00386464"/>
    <w:rsid w:val="003866A1"/>
    <w:rsid w:val="00386FA6"/>
    <w:rsid w:val="003872BD"/>
    <w:rsid w:val="003872C7"/>
    <w:rsid w:val="003875B1"/>
    <w:rsid w:val="00387E8C"/>
    <w:rsid w:val="00390145"/>
    <w:rsid w:val="003902B1"/>
    <w:rsid w:val="003911F9"/>
    <w:rsid w:val="0039179C"/>
    <w:rsid w:val="0039187E"/>
    <w:rsid w:val="00391E1A"/>
    <w:rsid w:val="003920AF"/>
    <w:rsid w:val="003920FD"/>
    <w:rsid w:val="003926BB"/>
    <w:rsid w:val="003928BC"/>
    <w:rsid w:val="003929B5"/>
    <w:rsid w:val="0039300E"/>
    <w:rsid w:val="00393C9A"/>
    <w:rsid w:val="00393E29"/>
    <w:rsid w:val="00393FDE"/>
    <w:rsid w:val="003941CB"/>
    <w:rsid w:val="00394477"/>
    <w:rsid w:val="003945B2"/>
    <w:rsid w:val="003948FE"/>
    <w:rsid w:val="003950D2"/>
    <w:rsid w:val="0039527B"/>
    <w:rsid w:val="00395877"/>
    <w:rsid w:val="00395B43"/>
    <w:rsid w:val="00395E62"/>
    <w:rsid w:val="00396896"/>
    <w:rsid w:val="00396F89"/>
    <w:rsid w:val="00396FD0"/>
    <w:rsid w:val="00397120"/>
    <w:rsid w:val="003973E5"/>
    <w:rsid w:val="00397E5F"/>
    <w:rsid w:val="00397F72"/>
    <w:rsid w:val="003A041E"/>
    <w:rsid w:val="003A12A7"/>
    <w:rsid w:val="003A16D7"/>
    <w:rsid w:val="003A1A7A"/>
    <w:rsid w:val="003A1B55"/>
    <w:rsid w:val="003A1EA4"/>
    <w:rsid w:val="003A1EAE"/>
    <w:rsid w:val="003A210E"/>
    <w:rsid w:val="003A226D"/>
    <w:rsid w:val="003A2392"/>
    <w:rsid w:val="003A2612"/>
    <w:rsid w:val="003A2831"/>
    <w:rsid w:val="003A2FAF"/>
    <w:rsid w:val="003A3359"/>
    <w:rsid w:val="003A3CB6"/>
    <w:rsid w:val="003A3CDC"/>
    <w:rsid w:val="003A3ED1"/>
    <w:rsid w:val="003A44DB"/>
    <w:rsid w:val="003A47C8"/>
    <w:rsid w:val="003A4967"/>
    <w:rsid w:val="003A50A6"/>
    <w:rsid w:val="003A521E"/>
    <w:rsid w:val="003A5B40"/>
    <w:rsid w:val="003A6370"/>
    <w:rsid w:val="003A6F23"/>
    <w:rsid w:val="003A7115"/>
    <w:rsid w:val="003A73E2"/>
    <w:rsid w:val="003B02A8"/>
    <w:rsid w:val="003B0510"/>
    <w:rsid w:val="003B096C"/>
    <w:rsid w:val="003B0976"/>
    <w:rsid w:val="003B0DC8"/>
    <w:rsid w:val="003B0FC7"/>
    <w:rsid w:val="003B0FE7"/>
    <w:rsid w:val="003B1196"/>
    <w:rsid w:val="003B123F"/>
    <w:rsid w:val="003B183B"/>
    <w:rsid w:val="003B1BA6"/>
    <w:rsid w:val="003B2A58"/>
    <w:rsid w:val="003B2AAB"/>
    <w:rsid w:val="003B3971"/>
    <w:rsid w:val="003B4610"/>
    <w:rsid w:val="003B467D"/>
    <w:rsid w:val="003B4E04"/>
    <w:rsid w:val="003B4EF6"/>
    <w:rsid w:val="003B519F"/>
    <w:rsid w:val="003B55D1"/>
    <w:rsid w:val="003B5B61"/>
    <w:rsid w:val="003B5BDC"/>
    <w:rsid w:val="003B5D74"/>
    <w:rsid w:val="003B5D82"/>
    <w:rsid w:val="003B681F"/>
    <w:rsid w:val="003B6E7F"/>
    <w:rsid w:val="003B6EA4"/>
    <w:rsid w:val="003B718B"/>
    <w:rsid w:val="003B7493"/>
    <w:rsid w:val="003B7C7A"/>
    <w:rsid w:val="003C0023"/>
    <w:rsid w:val="003C0985"/>
    <w:rsid w:val="003C1528"/>
    <w:rsid w:val="003C1654"/>
    <w:rsid w:val="003C1ED2"/>
    <w:rsid w:val="003C26A4"/>
    <w:rsid w:val="003C3C3C"/>
    <w:rsid w:val="003C47E7"/>
    <w:rsid w:val="003C4F3E"/>
    <w:rsid w:val="003C4F86"/>
    <w:rsid w:val="003C512A"/>
    <w:rsid w:val="003C532C"/>
    <w:rsid w:val="003C5542"/>
    <w:rsid w:val="003C5A1A"/>
    <w:rsid w:val="003C6585"/>
    <w:rsid w:val="003C690D"/>
    <w:rsid w:val="003C760A"/>
    <w:rsid w:val="003C77E7"/>
    <w:rsid w:val="003C78BC"/>
    <w:rsid w:val="003C7B33"/>
    <w:rsid w:val="003C7D19"/>
    <w:rsid w:val="003C7D2F"/>
    <w:rsid w:val="003C7DEA"/>
    <w:rsid w:val="003D13F7"/>
    <w:rsid w:val="003D1455"/>
    <w:rsid w:val="003D1806"/>
    <w:rsid w:val="003D1828"/>
    <w:rsid w:val="003D1C1E"/>
    <w:rsid w:val="003D1D98"/>
    <w:rsid w:val="003D1DE4"/>
    <w:rsid w:val="003D1E2A"/>
    <w:rsid w:val="003D1E9A"/>
    <w:rsid w:val="003D20A3"/>
    <w:rsid w:val="003D2163"/>
    <w:rsid w:val="003D2422"/>
    <w:rsid w:val="003D2898"/>
    <w:rsid w:val="003D3261"/>
    <w:rsid w:val="003D39A1"/>
    <w:rsid w:val="003D3FBF"/>
    <w:rsid w:val="003D41B8"/>
    <w:rsid w:val="003D43D6"/>
    <w:rsid w:val="003D4669"/>
    <w:rsid w:val="003D4A30"/>
    <w:rsid w:val="003D4B2D"/>
    <w:rsid w:val="003D573F"/>
    <w:rsid w:val="003D5941"/>
    <w:rsid w:val="003D5BCA"/>
    <w:rsid w:val="003D61B1"/>
    <w:rsid w:val="003D630E"/>
    <w:rsid w:val="003D66C0"/>
    <w:rsid w:val="003D7452"/>
    <w:rsid w:val="003D79BB"/>
    <w:rsid w:val="003D7B2C"/>
    <w:rsid w:val="003D7C98"/>
    <w:rsid w:val="003D7D9D"/>
    <w:rsid w:val="003E0543"/>
    <w:rsid w:val="003E06A8"/>
    <w:rsid w:val="003E1239"/>
    <w:rsid w:val="003E16D5"/>
    <w:rsid w:val="003E196A"/>
    <w:rsid w:val="003E2614"/>
    <w:rsid w:val="003E3072"/>
    <w:rsid w:val="003E31BE"/>
    <w:rsid w:val="003E3B66"/>
    <w:rsid w:val="003E41E2"/>
    <w:rsid w:val="003E4370"/>
    <w:rsid w:val="003E4C55"/>
    <w:rsid w:val="003E4D4F"/>
    <w:rsid w:val="003E5286"/>
    <w:rsid w:val="003E5858"/>
    <w:rsid w:val="003E5A49"/>
    <w:rsid w:val="003E5C6A"/>
    <w:rsid w:val="003E5CDB"/>
    <w:rsid w:val="003E5D53"/>
    <w:rsid w:val="003E5D9D"/>
    <w:rsid w:val="003E6288"/>
    <w:rsid w:val="003E661E"/>
    <w:rsid w:val="003E67C6"/>
    <w:rsid w:val="003E689C"/>
    <w:rsid w:val="003E6A04"/>
    <w:rsid w:val="003E6C0E"/>
    <w:rsid w:val="003E749E"/>
    <w:rsid w:val="003E7D7F"/>
    <w:rsid w:val="003E7FB9"/>
    <w:rsid w:val="003F0420"/>
    <w:rsid w:val="003F05A4"/>
    <w:rsid w:val="003F0775"/>
    <w:rsid w:val="003F1083"/>
    <w:rsid w:val="003F1718"/>
    <w:rsid w:val="003F1A08"/>
    <w:rsid w:val="003F1D2C"/>
    <w:rsid w:val="003F1D6F"/>
    <w:rsid w:val="003F1F4F"/>
    <w:rsid w:val="003F1FF9"/>
    <w:rsid w:val="003F29D5"/>
    <w:rsid w:val="003F3765"/>
    <w:rsid w:val="003F4156"/>
    <w:rsid w:val="003F4339"/>
    <w:rsid w:val="003F4D2A"/>
    <w:rsid w:val="003F4D3F"/>
    <w:rsid w:val="003F52BE"/>
    <w:rsid w:val="003F5877"/>
    <w:rsid w:val="003F588B"/>
    <w:rsid w:val="003F5ADF"/>
    <w:rsid w:val="003F5DFB"/>
    <w:rsid w:val="003F5E0A"/>
    <w:rsid w:val="003F5FEA"/>
    <w:rsid w:val="003F606F"/>
    <w:rsid w:val="003F6272"/>
    <w:rsid w:val="003F630A"/>
    <w:rsid w:val="004001AF"/>
    <w:rsid w:val="0040058F"/>
    <w:rsid w:val="00400676"/>
    <w:rsid w:val="00400941"/>
    <w:rsid w:val="00400B29"/>
    <w:rsid w:val="00400E87"/>
    <w:rsid w:val="004016BB"/>
    <w:rsid w:val="0040179B"/>
    <w:rsid w:val="00401EA3"/>
    <w:rsid w:val="004022B4"/>
    <w:rsid w:val="004024D5"/>
    <w:rsid w:val="00402850"/>
    <w:rsid w:val="0040297C"/>
    <w:rsid w:val="00402A5C"/>
    <w:rsid w:val="00403302"/>
    <w:rsid w:val="0040379A"/>
    <w:rsid w:val="00403B80"/>
    <w:rsid w:val="004044CE"/>
    <w:rsid w:val="004045BE"/>
    <w:rsid w:val="00404D9C"/>
    <w:rsid w:val="00404F06"/>
    <w:rsid w:val="0040504B"/>
    <w:rsid w:val="0040526C"/>
    <w:rsid w:val="004053EE"/>
    <w:rsid w:val="004057C1"/>
    <w:rsid w:val="004059F4"/>
    <w:rsid w:val="00405A4A"/>
    <w:rsid w:val="00405A9B"/>
    <w:rsid w:val="00405FA2"/>
    <w:rsid w:val="004062F2"/>
    <w:rsid w:val="0040660B"/>
    <w:rsid w:val="00406A99"/>
    <w:rsid w:val="00406B2F"/>
    <w:rsid w:val="00406CB9"/>
    <w:rsid w:val="00407FE5"/>
    <w:rsid w:val="004101B0"/>
    <w:rsid w:val="00410326"/>
    <w:rsid w:val="00410708"/>
    <w:rsid w:val="00410993"/>
    <w:rsid w:val="004109DA"/>
    <w:rsid w:val="00410D2A"/>
    <w:rsid w:val="00410DEA"/>
    <w:rsid w:val="00410EC7"/>
    <w:rsid w:val="00411084"/>
    <w:rsid w:val="00411A68"/>
    <w:rsid w:val="00411B39"/>
    <w:rsid w:val="00411D29"/>
    <w:rsid w:val="00412136"/>
    <w:rsid w:val="004127A7"/>
    <w:rsid w:val="00412CC7"/>
    <w:rsid w:val="00412D65"/>
    <w:rsid w:val="00412D84"/>
    <w:rsid w:val="00413A08"/>
    <w:rsid w:val="00413A1E"/>
    <w:rsid w:val="00413EF2"/>
    <w:rsid w:val="00414476"/>
    <w:rsid w:val="00414577"/>
    <w:rsid w:val="00414C2E"/>
    <w:rsid w:val="004151CF"/>
    <w:rsid w:val="00415230"/>
    <w:rsid w:val="00415490"/>
    <w:rsid w:val="0041616D"/>
    <w:rsid w:val="00416364"/>
    <w:rsid w:val="0041643E"/>
    <w:rsid w:val="004166E4"/>
    <w:rsid w:val="004168C9"/>
    <w:rsid w:val="00416978"/>
    <w:rsid w:val="00416C0B"/>
    <w:rsid w:val="00416C12"/>
    <w:rsid w:val="004178C0"/>
    <w:rsid w:val="00417958"/>
    <w:rsid w:val="00417B62"/>
    <w:rsid w:val="0042031C"/>
    <w:rsid w:val="0042047F"/>
    <w:rsid w:val="00420AA6"/>
    <w:rsid w:val="00420B12"/>
    <w:rsid w:val="00420B9F"/>
    <w:rsid w:val="00420C3F"/>
    <w:rsid w:val="00420F80"/>
    <w:rsid w:val="00421085"/>
    <w:rsid w:val="004210E1"/>
    <w:rsid w:val="004212C0"/>
    <w:rsid w:val="004213A5"/>
    <w:rsid w:val="00421886"/>
    <w:rsid w:val="0042192C"/>
    <w:rsid w:val="00421DCA"/>
    <w:rsid w:val="00422260"/>
    <w:rsid w:val="00422742"/>
    <w:rsid w:val="00422870"/>
    <w:rsid w:val="00422E03"/>
    <w:rsid w:val="00422E4E"/>
    <w:rsid w:val="00423504"/>
    <w:rsid w:val="00423558"/>
    <w:rsid w:val="004235C1"/>
    <w:rsid w:val="00423CF1"/>
    <w:rsid w:val="0042413F"/>
    <w:rsid w:val="004241D6"/>
    <w:rsid w:val="00424CFF"/>
    <w:rsid w:val="00424FB4"/>
    <w:rsid w:val="00425099"/>
    <w:rsid w:val="00425FDF"/>
    <w:rsid w:val="004260A4"/>
    <w:rsid w:val="00426515"/>
    <w:rsid w:val="00426791"/>
    <w:rsid w:val="00426898"/>
    <w:rsid w:val="00426C94"/>
    <w:rsid w:val="00426E28"/>
    <w:rsid w:val="004278BD"/>
    <w:rsid w:val="00427B06"/>
    <w:rsid w:val="00427B11"/>
    <w:rsid w:val="004300B0"/>
    <w:rsid w:val="00430218"/>
    <w:rsid w:val="00430477"/>
    <w:rsid w:val="00431007"/>
    <w:rsid w:val="004316AA"/>
    <w:rsid w:val="004319F8"/>
    <w:rsid w:val="00431E55"/>
    <w:rsid w:val="004321F6"/>
    <w:rsid w:val="004321FC"/>
    <w:rsid w:val="0043224A"/>
    <w:rsid w:val="0043233C"/>
    <w:rsid w:val="00432610"/>
    <w:rsid w:val="004329DF"/>
    <w:rsid w:val="00432D4C"/>
    <w:rsid w:val="00432FBC"/>
    <w:rsid w:val="00433044"/>
    <w:rsid w:val="00433181"/>
    <w:rsid w:val="004338E4"/>
    <w:rsid w:val="0043398E"/>
    <w:rsid w:val="00433A46"/>
    <w:rsid w:val="00434077"/>
    <w:rsid w:val="00434088"/>
    <w:rsid w:val="004341C5"/>
    <w:rsid w:val="00434591"/>
    <w:rsid w:val="00435284"/>
    <w:rsid w:val="004354C9"/>
    <w:rsid w:val="00435804"/>
    <w:rsid w:val="00435922"/>
    <w:rsid w:val="00435BAD"/>
    <w:rsid w:val="00435C77"/>
    <w:rsid w:val="00435F64"/>
    <w:rsid w:val="004360D0"/>
    <w:rsid w:val="0043670C"/>
    <w:rsid w:val="004374DE"/>
    <w:rsid w:val="004375B9"/>
    <w:rsid w:val="00437610"/>
    <w:rsid w:val="00437B8F"/>
    <w:rsid w:val="00437DEF"/>
    <w:rsid w:val="00437EAC"/>
    <w:rsid w:val="0044060A"/>
    <w:rsid w:val="00440858"/>
    <w:rsid w:val="00440A3F"/>
    <w:rsid w:val="004415DC"/>
    <w:rsid w:val="0044167C"/>
    <w:rsid w:val="004428D0"/>
    <w:rsid w:val="00442BDC"/>
    <w:rsid w:val="004433F8"/>
    <w:rsid w:val="004436FC"/>
    <w:rsid w:val="00443DDF"/>
    <w:rsid w:val="00444035"/>
    <w:rsid w:val="004440C6"/>
    <w:rsid w:val="00444185"/>
    <w:rsid w:val="004443A7"/>
    <w:rsid w:val="0044442C"/>
    <w:rsid w:val="00444DB9"/>
    <w:rsid w:val="00444EAF"/>
    <w:rsid w:val="00445123"/>
    <w:rsid w:val="00445552"/>
    <w:rsid w:val="004458E8"/>
    <w:rsid w:val="00445941"/>
    <w:rsid w:val="00445ACB"/>
    <w:rsid w:val="004462DA"/>
    <w:rsid w:val="004464EB"/>
    <w:rsid w:val="00446A38"/>
    <w:rsid w:val="00447D26"/>
    <w:rsid w:val="00447DFC"/>
    <w:rsid w:val="00450295"/>
    <w:rsid w:val="0045034D"/>
    <w:rsid w:val="004511EC"/>
    <w:rsid w:val="0045132B"/>
    <w:rsid w:val="00451F80"/>
    <w:rsid w:val="00452236"/>
    <w:rsid w:val="0045259E"/>
    <w:rsid w:val="004527DA"/>
    <w:rsid w:val="00452888"/>
    <w:rsid w:val="004529AE"/>
    <w:rsid w:val="0045334B"/>
    <w:rsid w:val="004533F4"/>
    <w:rsid w:val="00453AF5"/>
    <w:rsid w:val="00454627"/>
    <w:rsid w:val="004551D6"/>
    <w:rsid w:val="00455495"/>
    <w:rsid w:val="004557CB"/>
    <w:rsid w:val="00455934"/>
    <w:rsid w:val="00455D45"/>
    <w:rsid w:val="00455D65"/>
    <w:rsid w:val="0045607D"/>
    <w:rsid w:val="0045673D"/>
    <w:rsid w:val="00456E90"/>
    <w:rsid w:val="00456F87"/>
    <w:rsid w:val="00456F9A"/>
    <w:rsid w:val="0045706E"/>
    <w:rsid w:val="004575B3"/>
    <w:rsid w:val="004575FD"/>
    <w:rsid w:val="004579F9"/>
    <w:rsid w:val="0046041E"/>
    <w:rsid w:val="0046055D"/>
    <w:rsid w:val="00460B05"/>
    <w:rsid w:val="00461006"/>
    <w:rsid w:val="004615D0"/>
    <w:rsid w:val="00461EE7"/>
    <w:rsid w:val="004627F6"/>
    <w:rsid w:val="004628E8"/>
    <w:rsid w:val="0046346E"/>
    <w:rsid w:val="00463B2D"/>
    <w:rsid w:val="00463B90"/>
    <w:rsid w:val="00464595"/>
    <w:rsid w:val="0046478A"/>
    <w:rsid w:val="0046488A"/>
    <w:rsid w:val="00464A06"/>
    <w:rsid w:val="00464D7D"/>
    <w:rsid w:val="00465339"/>
    <w:rsid w:val="004658B5"/>
    <w:rsid w:val="00465F3A"/>
    <w:rsid w:val="004667E0"/>
    <w:rsid w:val="00466A31"/>
    <w:rsid w:val="004673DE"/>
    <w:rsid w:val="004701F9"/>
    <w:rsid w:val="0047062C"/>
    <w:rsid w:val="00470A26"/>
    <w:rsid w:val="00470F3B"/>
    <w:rsid w:val="004713CE"/>
    <w:rsid w:val="0047183E"/>
    <w:rsid w:val="00471EA5"/>
    <w:rsid w:val="00471FE9"/>
    <w:rsid w:val="00472417"/>
    <w:rsid w:val="004729DB"/>
    <w:rsid w:val="00472A79"/>
    <w:rsid w:val="00472F2F"/>
    <w:rsid w:val="00472F34"/>
    <w:rsid w:val="00473217"/>
    <w:rsid w:val="0047335E"/>
    <w:rsid w:val="00473713"/>
    <w:rsid w:val="00473E55"/>
    <w:rsid w:val="00473F19"/>
    <w:rsid w:val="00473F68"/>
    <w:rsid w:val="004741A5"/>
    <w:rsid w:val="0047459F"/>
    <w:rsid w:val="0047486F"/>
    <w:rsid w:val="00474A17"/>
    <w:rsid w:val="00474A9F"/>
    <w:rsid w:val="00474F21"/>
    <w:rsid w:val="004750A7"/>
    <w:rsid w:val="004750F5"/>
    <w:rsid w:val="00475E22"/>
    <w:rsid w:val="00475F16"/>
    <w:rsid w:val="00477CD6"/>
    <w:rsid w:val="00477D23"/>
    <w:rsid w:val="0048088E"/>
    <w:rsid w:val="00480B3E"/>
    <w:rsid w:val="00480BC2"/>
    <w:rsid w:val="00480F2B"/>
    <w:rsid w:val="004810D8"/>
    <w:rsid w:val="00482052"/>
    <w:rsid w:val="004826F0"/>
    <w:rsid w:val="00482720"/>
    <w:rsid w:val="004829ED"/>
    <w:rsid w:val="00482DB4"/>
    <w:rsid w:val="00482E88"/>
    <w:rsid w:val="004835E7"/>
    <w:rsid w:val="0048387C"/>
    <w:rsid w:val="00483A74"/>
    <w:rsid w:val="004848D9"/>
    <w:rsid w:val="00484B23"/>
    <w:rsid w:val="00484BD3"/>
    <w:rsid w:val="00484E49"/>
    <w:rsid w:val="00484E97"/>
    <w:rsid w:val="00484EDC"/>
    <w:rsid w:val="004855CF"/>
    <w:rsid w:val="00485B3D"/>
    <w:rsid w:val="00485F38"/>
    <w:rsid w:val="004862D4"/>
    <w:rsid w:val="004865A7"/>
    <w:rsid w:val="004866BB"/>
    <w:rsid w:val="004867E2"/>
    <w:rsid w:val="004868C0"/>
    <w:rsid w:val="00486A67"/>
    <w:rsid w:val="004877C6"/>
    <w:rsid w:val="00487963"/>
    <w:rsid w:val="00487E06"/>
    <w:rsid w:val="00487EFF"/>
    <w:rsid w:val="004900EF"/>
    <w:rsid w:val="00490915"/>
    <w:rsid w:val="004909AA"/>
    <w:rsid w:val="00490A51"/>
    <w:rsid w:val="00490B17"/>
    <w:rsid w:val="00490F12"/>
    <w:rsid w:val="0049105B"/>
    <w:rsid w:val="004915BC"/>
    <w:rsid w:val="004918F8"/>
    <w:rsid w:val="00491B3A"/>
    <w:rsid w:val="00491EF7"/>
    <w:rsid w:val="00492032"/>
    <w:rsid w:val="00492442"/>
    <w:rsid w:val="00492458"/>
    <w:rsid w:val="00492652"/>
    <w:rsid w:val="00492B24"/>
    <w:rsid w:val="00492CFD"/>
    <w:rsid w:val="00492D7C"/>
    <w:rsid w:val="00493171"/>
    <w:rsid w:val="004941AB"/>
    <w:rsid w:val="004941B6"/>
    <w:rsid w:val="00494207"/>
    <w:rsid w:val="00494DD5"/>
    <w:rsid w:val="00495305"/>
    <w:rsid w:val="004953A1"/>
    <w:rsid w:val="004954D4"/>
    <w:rsid w:val="00495500"/>
    <w:rsid w:val="00495712"/>
    <w:rsid w:val="00495765"/>
    <w:rsid w:val="004959C9"/>
    <w:rsid w:val="00495A1E"/>
    <w:rsid w:val="004960A2"/>
    <w:rsid w:val="00496145"/>
    <w:rsid w:val="004962D2"/>
    <w:rsid w:val="00496A0E"/>
    <w:rsid w:val="0049718D"/>
    <w:rsid w:val="00497F69"/>
    <w:rsid w:val="004A068F"/>
    <w:rsid w:val="004A06F9"/>
    <w:rsid w:val="004A088C"/>
    <w:rsid w:val="004A0C50"/>
    <w:rsid w:val="004A0DA1"/>
    <w:rsid w:val="004A13D6"/>
    <w:rsid w:val="004A193F"/>
    <w:rsid w:val="004A275C"/>
    <w:rsid w:val="004A27D6"/>
    <w:rsid w:val="004A2A86"/>
    <w:rsid w:val="004A36D4"/>
    <w:rsid w:val="004A3CF7"/>
    <w:rsid w:val="004A47DC"/>
    <w:rsid w:val="004A518A"/>
    <w:rsid w:val="004A51D2"/>
    <w:rsid w:val="004A52E9"/>
    <w:rsid w:val="004A593C"/>
    <w:rsid w:val="004A5CAE"/>
    <w:rsid w:val="004A5CC7"/>
    <w:rsid w:val="004A5E66"/>
    <w:rsid w:val="004A5F69"/>
    <w:rsid w:val="004A6040"/>
    <w:rsid w:val="004A6597"/>
    <w:rsid w:val="004A7848"/>
    <w:rsid w:val="004A790F"/>
    <w:rsid w:val="004B02DF"/>
    <w:rsid w:val="004B0340"/>
    <w:rsid w:val="004B0DC0"/>
    <w:rsid w:val="004B140C"/>
    <w:rsid w:val="004B1897"/>
    <w:rsid w:val="004B1A2C"/>
    <w:rsid w:val="004B1CB4"/>
    <w:rsid w:val="004B1F4F"/>
    <w:rsid w:val="004B2068"/>
    <w:rsid w:val="004B2320"/>
    <w:rsid w:val="004B2626"/>
    <w:rsid w:val="004B2DCB"/>
    <w:rsid w:val="004B2F18"/>
    <w:rsid w:val="004B3AE8"/>
    <w:rsid w:val="004B3BEB"/>
    <w:rsid w:val="004B3DDB"/>
    <w:rsid w:val="004B44FD"/>
    <w:rsid w:val="004B4C7D"/>
    <w:rsid w:val="004B514D"/>
    <w:rsid w:val="004B5CFC"/>
    <w:rsid w:val="004B5DA2"/>
    <w:rsid w:val="004B61A1"/>
    <w:rsid w:val="004B67A6"/>
    <w:rsid w:val="004B6A53"/>
    <w:rsid w:val="004B6F79"/>
    <w:rsid w:val="004B774D"/>
    <w:rsid w:val="004B7904"/>
    <w:rsid w:val="004B7BE1"/>
    <w:rsid w:val="004B7E39"/>
    <w:rsid w:val="004C0218"/>
    <w:rsid w:val="004C1A44"/>
    <w:rsid w:val="004C1CE1"/>
    <w:rsid w:val="004C25D4"/>
    <w:rsid w:val="004C32C8"/>
    <w:rsid w:val="004C3667"/>
    <w:rsid w:val="004C4034"/>
    <w:rsid w:val="004C434C"/>
    <w:rsid w:val="004C4412"/>
    <w:rsid w:val="004C47F7"/>
    <w:rsid w:val="004C4A6D"/>
    <w:rsid w:val="004C4AED"/>
    <w:rsid w:val="004C5086"/>
    <w:rsid w:val="004C5330"/>
    <w:rsid w:val="004C5B0F"/>
    <w:rsid w:val="004C6188"/>
    <w:rsid w:val="004C65E8"/>
    <w:rsid w:val="004C6B18"/>
    <w:rsid w:val="004C6CDD"/>
    <w:rsid w:val="004C6E6D"/>
    <w:rsid w:val="004C6E82"/>
    <w:rsid w:val="004C77F0"/>
    <w:rsid w:val="004C7899"/>
    <w:rsid w:val="004D0042"/>
    <w:rsid w:val="004D0DA9"/>
    <w:rsid w:val="004D1701"/>
    <w:rsid w:val="004D1841"/>
    <w:rsid w:val="004D1DA9"/>
    <w:rsid w:val="004D2318"/>
    <w:rsid w:val="004D282C"/>
    <w:rsid w:val="004D29B7"/>
    <w:rsid w:val="004D2C2D"/>
    <w:rsid w:val="004D2F65"/>
    <w:rsid w:val="004D325F"/>
    <w:rsid w:val="004D3450"/>
    <w:rsid w:val="004D36D0"/>
    <w:rsid w:val="004D3AC7"/>
    <w:rsid w:val="004D47B1"/>
    <w:rsid w:val="004D487E"/>
    <w:rsid w:val="004D4C35"/>
    <w:rsid w:val="004D4E17"/>
    <w:rsid w:val="004D6095"/>
    <w:rsid w:val="004D6207"/>
    <w:rsid w:val="004D63E4"/>
    <w:rsid w:val="004D65E6"/>
    <w:rsid w:val="004D673D"/>
    <w:rsid w:val="004D69B5"/>
    <w:rsid w:val="004D6D1F"/>
    <w:rsid w:val="004D7181"/>
    <w:rsid w:val="004D71F0"/>
    <w:rsid w:val="004D7227"/>
    <w:rsid w:val="004D7B14"/>
    <w:rsid w:val="004D7E9D"/>
    <w:rsid w:val="004E07E0"/>
    <w:rsid w:val="004E0E7F"/>
    <w:rsid w:val="004E0EB8"/>
    <w:rsid w:val="004E1554"/>
    <w:rsid w:val="004E17A0"/>
    <w:rsid w:val="004E18E9"/>
    <w:rsid w:val="004E1D60"/>
    <w:rsid w:val="004E223E"/>
    <w:rsid w:val="004E2246"/>
    <w:rsid w:val="004E229D"/>
    <w:rsid w:val="004E2ADC"/>
    <w:rsid w:val="004E2B6E"/>
    <w:rsid w:val="004E2C18"/>
    <w:rsid w:val="004E2E2C"/>
    <w:rsid w:val="004E3F32"/>
    <w:rsid w:val="004E4083"/>
    <w:rsid w:val="004E43B2"/>
    <w:rsid w:val="004E5083"/>
    <w:rsid w:val="004E54C7"/>
    <w:rsid w:val="004E5524"/>
    <w:rsid w:val="004E5941"/>
    <w:rsid w:val="004E5C3C"/>
    <w:rsid w:val="004E60D1"/>
    <w:rsid w:val="004E61C8"/>
    <w:rsid w:val="004E65F2"/>
    <w:rsid w:val="004E670A"/>
    <w:rsid w:val="004E68A7"/>
    <w:rsid w:val="004E6EC2"/>
    <w:rsid w:val="004E7084"/>
    <w:rsid w:val="004E713D"/>
    <w:rsid w:val="004E735B"/>
    <w:rsid w:val="004E77A4"/>
    <w:rsid w:val="004E7A26"/>
    <w:rsid w:val="004E7D1A"/>
    <w:rsid w:val="004E7E80"/>
    <w:rsid w:val="004E7F19"/>
    <w:rsid w:val="004F076C"/>
    <w:rsid w:val="004F0CDD"/>
    <w:rsid w:val="004F15CE"/>
    <w:rsid w:val="004F1C32"/>
    <w:rsid w:val="004F1D02"/>
    <w:rsid w:val="004F2242"/>
    <w:rsid w:val="004F2679"/>
    <w:rsid w:val="004F26F8"/>
    <w:rsid w:val="004F29B8"/>
    <w:rsid w:val="004F2EF2"/>
    <w:rsid w:val="004F2F21"/>
    <w:rsid w:val="004F2FD3"/>
    <w:rsid w:val="004F3403"/>
    <w:rsid w:val="004F3966"/>
    <w:rsid w:val="004F3D6E"/>
    <w:rsid w:val="004F3DE5"/>
    <w:rsid w:val="004F3EB9"/>
    <w:rsid w:val="004F4240"/>
    <w:rsid w:val="004F42B4"/>
    <w:rsid w:val="004F4D9B"/>
    <w:rsid w:val="004F4EE4"/>
    <w:rsid w:val="004F512A"/>
    <w:rsid w:val="004F5A5F"/>
    <w:rsid w:val="004F5AF7"/>
    <w:rsid w:val="004F5CDB"/>
    <w:rsid w:val="004F5CEF"/>
    <w:rsid w:val="004F690C"/>
    <w:rsid w:val="004F6913"/>
    <w:rsid w:val="004F6A38"/>
    <w:rsid w:val="004F6CA7"/>
    <w:rsid w:val="004F7865"/>
    <w:rsid w:val="004F7AA9"/>
    <w:rsid w:val="004F7E4B"/>
    <w:rsid w:val="005001AD"/>
    <w:rsid w:val="00500C9C"/>
    <w:rsid w:val="00500CD9"/>
    <w:rsid w:val="005010E3"/>
    <w:rsid w:val="00501618"/>
    <w:rsid w:val="0050162E"/>
    <w:rsid w:val="0050174E"/>
    <w:rsid w:val="00501854"/>
    <w:rsid w:val="00501E65"/>
    <w:rsid w:val="005020B6"/>
    <w:rsid w:val="0050219B"/>
    <w:rsid w:val="005025F5"/>
    <w:rsid w:val="00502B41"/>
    <w:rsid w:val="00502BFC"/>
    <w:rsid w:val="005034D6"/>
    <w:rsid w:val="00503503"/>
    <w:rsid w:val="005035E1"/>
    <w:rsid w:val="00503830"/>
    <w:rsid w:val="00503928"/>
    <w:rsid w:val="005039A5"/>
    <w:rsid w:val="00503DE0"/>
    <w:rsid w:val="00503F17"/>
    <w:rsid w:val="00504A91"/>
    <w:rsid w:val="00504B19"/>
    <w:rsid w:val="00505429"/>
    <w:rsid w:val="005065A0"/>
    <w:rsid w:val="00506928"/>
    <w:rsid w:val="00506CE8"/>
    <w:rsid w:val="005077EF"/>
    <w:rsid w:val="00507910"/>
    <w:rsid w:val="00507AB4"/>
    <w:rsid w:val="00510331"/>
    <w:rsid w:val="00510B25"/>
    <w:rsid w:val="00511148"/>
    <w:rsid w:val="00511987"/>
    <w:rsid w:val="00511AD5"/>
    <w:rsid w:val="00511DC7"/>
    <w:rsid w:val="00511DCD"/>
    <w:rsid w:val="005121BD"/>
    <w:rsid w:val="00512645"/>
    <w:rsid w:val="005126FF"/>
    <w:rsid w:val="00512725"/>
    <w:rsid w:val="005128A3"/>
    <w:rsid w:val="005129EC"/>
    <w:rsid w:val="0051334B"/>
    <w:rsid w:val="005134B5"/>
    <w:rsid w:val="005134EB"/>
    <w:rsid w:val="005138A5"/>
    <w:rsid w:val="0051427D"/>
    <w:rsid w:val="005142C5"/>
    <w:rsid w:val="00514A6A"/>
    <w:rsid w:val="00514CFB"/>
    <w:rsid w:val="00514D79"/>
    <w:rsid w:val="0051501B"/>
    <w:rsid w:val="005152B5"/>
    <w:rsid w:val="005156D3"/>
    <w:rsid w:val="00515CC4"/>
    <w:rsid w:val="00517252"/>
    <w:rsid w:val="0051734B"/>
    <w:rsid w:val="0051767B"/>
    <w:rsid w:val="00517843"/>
    <w:rsid w:val="00517CB4"/>
    <w:rsid w:val="00520C20"/>
    <w:rsid w:val="00520D17"/>
    <w:rsid w:val="0052123C"/>
    <w:rsid w:val="00521319"/>
    <w:rsid w:val="005217D9"/>
    <w:rsid w:val="005223DC"/>
    <w:rsid w:val="00522868"/>
    <w:rsid w:val="005228BB"/>
    <w:rsid w:val="00522BC8"/>
    <w:rsid w:val="00522FD5"/>
    <w:rsid w:val="005233D8"/>
    <w:rsid w:val="00523C28"/>
    <w:rsid w:val="00523E39"/>
    <w:rsid w:val="005243C6"/>
    <w:rsid w:val="00524417"/>
    <w:rsid w:val="0052479A"/>
    <w:rsid w:val="00524B26"/>
    <w:rsid w:val="00524E55"/>
    <w:rsid w:val="0052507D"/>
    <w:rsid w:val="00525637"/>
    <w:rsid w:val="00525668"/>
    <w:rsid w:val="00525A96"/>
    <w:rsid w:val="00525E20"/>
    <w:rsid w:val="00525EBD"/>
    <w:rsid w:val="00525F23"/>
    <w:rsid w:val="00526066"/>
    <w:rsid w:val="00526341"/>
    <w:rsid w:val="0052640A"/>
    <w:rsid w:val="005271D2"/>
    <w:rsid w:val="005275A7"/>
    <w:rsid w:val="00527C05"/>
    <w:rsid w:val="005304D6"/>
    <w:rsid w:val="00530B0F"/>
    <w:rsid w:val="005314C0"/>
    <w:rsid w:val="0053176B"/>
    <w:rsid w:val="005317E9"/>
    <w:rsid w:val="00532668"/>
    <w:rsid w:val="005327AB"/>
    <w:rsid w:val="0053294C"/>
    <w:rsid w:val="00532E3E"/>
    <w:rsid w:val="005339D3"/>
    <w:rsid w:val="00533E4A"/>
    <w:rsid w:val="00534D5F"/>
    <w:rsid w:val="0053514A"/>
    <w:rsid w:val="005356A7"/>
    <w:rsid w:val="00535740"/>
    <w:rsid w:val="00535AC2"/>
    <w:rsid w:val="00536F42"/>
    <w:rsid w:val="00537182"/>
    <w:rsid w:val="00537D42"/>
    <w:rsid w:val="005401D2"/>
    <w:rsid w:val="0054092E"/>
    <w:rsid w:val="00541194"/>
    <w:rsid w:val="005412A4"/>
    <w:rsid w:val="00541EDD"/>
    <w:rsid w:val="005420FF"/>
    <w:rsid w:val="00542563"/>
    <w:rsid w:val="00542592"/>
    <w:rsid w:val="00542743"/>
    <w:rsid w:val="00542C2D"/>
    <w:rsid w:val="00542EBC"/>
    <w:rsid w:val="00543058"/>
    <w:rsid w:val="0054370D"/>
    <w:rsid w:val="00543B0A"/>
    <w:rsid w:val="00543C34"/>
    <w:rsid w:val="00544C92"/>
    <w:rsid w:val="00544E38"/>
    <w:rsid w:val="005450BB"/>
    <w:rsid w:val="005462FB"/>
    <w:rsid w:val="00546407"/>
    <w:rsid w:val="00546C41"/>
    <w:rsid w:val="00546EDA"/>
    <w:rsid w:val="00546F63"/>
    <w:rsid w:val="00546FDD"/>
    <w:rsid w:val="005478BD"/>
    <w:rsid w:val="005479E3"/>
    <w:rsid w:val="005508EE"/>
    <w:rsid w:val="005512AB"/>
    <w:rsid w:val="00551985"/>
    <w:rsid w:val="00552195"/>
    <w:rsid w:val="005521DA"/>
    <w:rsid w:val="005526AB"/>
    <w:rsid w:val="005526E7"/>
    <w:rsid w:val="00552BD3"/>
    <w:rsid w:val="00553274"/>
    <w:rsid w:val="005532A0"/>
    <w:rsid w:val="00553727"/>
    <w:rsid w:val="00553A00"/>
    <w:rsid w:val="00554A4F"/>
    <w:rsid w:val="00555109"/>
    <w:rsid w:val="005551B3"/>
    <w:rsid w:val="0055527D"/>
    <w:rsid w:val="0055586E"/>
    <w:rsid w:val="00555C2C"/>
    <w:rsid w:val="00555D14"/>
    <w:rsid w:val="00555D3F"/>
    <w:rsid w:val="00555E05"/>
    <w:rsid w:val="0055606E"/>
    <w:rsid w:val="005561F9"/>
    <w:rsid w:val="005564C4"/>
    <w:rsid w:val="00556889"/>
    <w:rsid w:val="00556B35"/>
    <w:rsid w:val="00556C50"/>
    <w:rsid w:val="00556CFF"/>
    <w:rsid w:val="0055741A"/>
    <w:rsid w:val="0055794E"/>
    <w:rsid w:val="00557B9B"/>
    <w:rsid w:val="0056027C"/>
    <w:rsid w:val="00560F43"/>
    <w:rsid w:val="0056117C"/>
    <w:rsid w:val="005611B7"/>
    <w:rsid w:val="005618D4"/>
    <w:rsid w:val="00561AD2"/>
    <w:rsid w:val="00561B7E"/>
    <w:rsid w:val="0056302F"/>
    <w:rsid w:val="00563953"/>
    <w:rsid w:val="00564263"/>
    <w:rsid w:val="00564A28"/>
    <w:rsid w:val="00564F31"/>
    <w:rsid w:val="005654F1"/>
    <w:rsid w:val="00565843"/>
    <w:rsid w:val="0056597D"/>
    <w:rsid w:val="00565D9E"/>
    <w:rsid w:val="00565DF0"/>
    <w:rsid w:val="00566353"/>
    <w:rsid w:val="0056696F"/>
    <w:rsid w:val="00567A81"/>
    <w:rsid w:val="00567AA0"/>
    <w:rsid w:val="00567CD4"/>
    <w:rsid w:val="00570406"/>
    <w:rsid w:val="0057137C"/>
    <w:rsid w:val="00572081"/>
    <w:rsid w:val="00572269"/>
    <w:rsid w:val="0057244A"/>
    <w:rsid w:val="005728E1"/>
    <w:rsid w:val="00572F26"/>
    <w:rsid w:val="0057310A"/>
    <w:rsid w:val="0057362E"/>
    <w:rsid w:val="005739D7"/>
    <w:rsid w:val="00573CA9"/>
    <w:rsid w:val="00573D7E"/>
    <w:rsid w:val="00573F61"/>
    <w:rsid w:val="00573FED"/>
    <w:rsid w:val="0057406D"/>
    <w:rsid w:val="00574242"/>
    <w:rsid w:val="00574614"/>
    <w:rsid w:val="00574C99"/>
    <w:rsid w:val="005750C5"/>
    <w:rsid w:val="005752DE"/>
    <w:rsid w:val="00575D34"/>
    <w:rsid w:val="00575D8D"/>
    <w:rsid w:val="00576299"/>
    <w:rsid w:val="00576431"/>
    <w:rsid w:val="00576862"/>
    <w:rsid w:val="00576972"/>
    <w:rsid w:val="005775EE"/>
    <w:rsid w:val="00577A5E"/>
    <w:rsid w:val="00577B86"/>
    <w:rsid w:val="00577DF1"/>
    <w:rsid w:val="00577F64"/>
    <w:rsid w:val="00580174"/>
    <w:rsid w:val="005803FE"/>
    <w:rsid w:val="0058075C"/>
    <w:rsid w:val="0058095D"/>
    <w:rsid w:val="00580EC9"/>
    <w:rsid w:val="00581089"/>
    <w:rsid w:val="00581222"/>
    <w:rsid w:val="005815FD"/>
    <w:rsid w:val="0058180C"/>
    <w:rsid w:val="0058182D"/>
    <w:rsid w:val="00581871"/>
    <w:rsid w:val="00581BE5"/>
    <w:rsid w:val="005831D8"/>
    <w:rsid w:val="00583574"/>
    <w:rsid w:val="00583646"/>
    <w:rsid w:val="0058364E"/>
    <w:rsid w:val="00583699"/>
    <w:rsid w:val="005840FF"/>
    <w:rsid w:val="00584B06"/>
    <w:rsid w:val="00584B75"/>
    <w:rsid w:val="00584DF5"/>
    <w:rsid w:val="005853DF"/>
    <w:rsid w:val="0058543B"/>
    <w:rsid w:val="0058552D"/>
    <w:rsid w:val="005856F6"/>
    <w:rsid w:val="00585A76"/>
    <w:rsid w:val="00585B1D"/>
    <w:rsid w:val="00585CDD"/>
    <w:rsid w:val="00586063"/>
    <w:rsid w:val="005868D7"/>
    <w:rsid w:val="0058691C"/>
    <w:rsid w:val="00586CB1"/>
    <w:rsid w:val="00587058"/>
    <w:rsid w:val="00587469"/>
    <w:rsid w:val="00587546"/>
    <w:rsid w:val="00587AEC"/>
    <w:rsid w:val="00587B92"/>
    <w:rsid w:val="00587CB8"/>
    <w:rsid w:val="00590146"/>
    <w:rsid w:val="00590640"/>
    <w:rsid w:val="00590920"/>
    <w:rsid w:val="00591957"/>
    <w:rsid w:val="005927FD"/>
    <w:rsid w:val="00592A09"/>
    <w:rsid w:val="00593435"/>
    <w:rsid w:val="005934F2"/>
    <w:rsid w:val="00593A9D"/>
    <w:rsid w:val="005940B5"/>
    <w:rsid w:val="00594937"/>
    <w:rsid w:val="00594A42"/>
    <w:rsid w:val="00594D81"/>
    <w:rsid w:val="0059553A"/>
    <w:rsid w:val="00595697"/>
    <w:rsid w:val="00595B7A"/>
    <w:rsid w:val="005969FD"/>
    <w:rsid w:val="00597139"/>
    <w:rsid w:val="005971BB"/>
    <w:rsid w:val="005974C5"/>
    <w:rsid w:val="00597BF9"/>
    <w:rsid w:val="00597E42"/>
    <w:rsid w:val="005A0BBD"/>
    <w:rsid w:val="005A0C3F"/>
    <w:rsid w:val="005A0CAE"/>
    <w:rsid w:val="005A1231"/>
    <w:rsid w:val="005A1D04"/>
    <w:rsid w:val="005A22EC"/>
    <w:rsid w:val="005A25C6"/>
    <w:rsid w:val="005A298B"/>
    <w:rsid w:val="005A2BF1"/>
    <w:rsid w:val="005A309A"/>
    <w:rsid w:val="005A3159"/>
    <w:rsid w:val="005A324C"/>
    <w:rsid w:val="005A3636"/>
    <w:rsid w:val="005A373D"/>
    <w:rsid w:val="005A3CDF"/>
    <w:rsid w:val="005A3DEF"/>
    <w:rsid w:val="005A45E8"/>
    <w:rsid w:val="005A5A74"/>
    <w:rsid w:val="005A5ACC"/>
    <w:rsid w:val="005A68C1"/>
    <w:rsid w:val="005A6B70"/>
    <w:rsid w:val="005A6C9E"/>
    <w:rsid w:val="005A6E73"/>
    <w:rsid w:val="005A705C"/>
    <w:rsid w:val="005A70C6"/>
    <w:rsid w:val="005A7D9F"/>
    <w:rsid w:val="005B0B58"/>
    <w:rsid w:val="005B147F"/>
    <w:rsid w:val="005B1537"/>
    <w:rsid w:val="005B1758"/>
    <w:rsid w:val="005B2043"/>
    <w:rsid w:val="005B2621"/>
    <w:rsid w:val="005B294C"/>
    <w:rsid w:val="005B2B5F"/>
    <w:rsid w:val="005B2BCA"/>
    <w:rsid w:val="005B32EA"/>
    <w:rsid w:val="005B33BE"/>
    <w:rsid w:val="005B34E2"/>
    <w:rsid w:val="005B3672"/>
    <w:rsid w:val="005B3A80"/>
    <w:rsid w:val="005B4C93"/>
    <w:rsid w:val="005B4E53"/>
    <w:rsid w:val="005B50DE"/>
    <w:rsid w:val="005B516F"/>
    <w:rsid w:val="005B5554"/>
    <w:rsid w:val="005B5857"/>
    <w:rsid w:val="005B5B19"/>
    <w:rsid w:val="005B6317"/>
    <w:rsid w:val="005B6C4D"/>
    <w:rsid w:val="005B720F"/>
    <w:rsid w:val="005B7216"/>
    <w:rsid w:val="005B7662"/>
    <w:rsid w:val="005B7E84"/>
    <w:rsid w:val="005C010D"/>
    <w:rsid w:val="005C0202"/>
    <w:rsid w:val="005C0382"/>
    <w:rsid w:val="005C05C7"/>
    <w:rsid w:val="005C0CFB"/>
    <w:rsid w:val="005C1473"/>
    <w:rsid w:val="005C19B5"/>
    <w:rsid w:val="005C1B83"/>
    <w:rsid w:val="005C1F6D"/>
    <w:rsid w:val="005C25FF"/>
    <w:rsid w:val="005C2709"/>
    <w:rsid w:val="005C2D55"/>
    <w:rsid w:val="005C3444"/>
    <w:rsid w:val="005C346B"/>
    <w:rsid w:val="005C3B4F"/>
    <w:rsid w:val="005C3FCF"/>
    <w:rsid w:val="005C4285"/>
    <w:rsid w:val="005C4305"/>
    <w:rsid w:val="005C4857"/>
    <w:rsid w:val="005C4973"/>
    <w:rsid w:val="005C5A27"/>
    <w:rsid w:val="005C6045"/>
    <w:rsid w:val="005C6CC0"/>
    <w:rsid w:val="005C6F1A"/>
    <w:rsid w:val="005C7AD5"/>
    <w:rsid w:val="005C7D80"/>
    <w:rsid w:val="005D03DF"/>
    <w:rsid w:val="005D044D"/>
    <w:rsid w:val="005D09A1"/>
    <w:rsid w:val="005D0ABD"/>
    <w:rsid w:val="005D10CA"/>
    <w:rsid w:val="005D11DE"/>
    <w:rsid w:val="005D166A"/>
    <w:rsid w:val="005D18AD"/>
    <w:rsid w:val="005D1F1F"/>
    <w:rsid w:val="005D2373"/>
    <w:rsid w:val="005D26B4"/>
    <w:rsid w:val="005D27C7"/>
    <w:rsid w:val="005D2931"/>
    <w:rsid w:val="005D2C35"/>
    <w:rsid w:val="005D2E84"/>
    <w:rsid w:val="005D3618"/>
    <w:rsid w:val="005D3716"/>
    <w:rsid w:val="005D3748"/>
    <w:rsid w:val="005D47B6"/>
    <w:rsid w:val="005D4976"/>
    <w:rsid w:val="005D4E57"/>
    <w:rsid w:val="005D4E89"/>
    <w:rsid w:val="005D53FE"/>
    <w:rsid w:val="005D57D1"/>
    <w:rsid w:val="005D66B0"/>
    <w:rsid w:val="005D6BD5"/>
    <w:rsid w:val="005D71B5"/>
    <w:rsid w:val="005D74A7"/>
    <w:rsid w:val="005D7BED"/>
    <w:rsid w:val="005D7DE0"/>
    <w:rsid w:val="005E1496"/>
    <w:rsid w:val="005E1866"/>
    <w:rsid w:val="005E1D5B"/>
    <w:rsid w:val="005E1F07"/>
    <w:rsid w:val="005E26C4"/>
    <w:rsid w:val="005E2B38"/>
    <w:rsid w:val="005E395E"/>
    <w:rsid w:val="005E4DD8"/>
    <w:rsid w:val="005E4E56"/>
    <w:rsid w:val="005E5386"/>
    <w:rsid w:val="005E5EA6"/>
    <w:rsid w:val="005E60B7"/>
    <w:rsid w:val="005E65C5"/>
    <w:rsid w:val="005E66B7"/>
    <w:rsid w:val="005E6C0A"/>
    <w:rsid w:val="005E6CBC"/>
    <w:rsid w:val="005E72FF"/>
    <w:rsid w:val="005E73C0"/>
    <w:rsid w:val="005E7AFC"/>
    <w:rsid w:val="005E7CB0"/>
    <w:rsid w:val="005E7E50"/>
    <w:rsid w:val="005F0C58"/>
    <w:rsid w:val="005F1123"/>
    <w:rsid w:val="005F1354"/>
    <w:rsid w:val="005F1453"/>
    <w:rsid w:val="005F16E4"/>
    <w:rsid w:val="005F179F"/>
    <w:rsid w:val="005F2128"/>
    <w:rsid w:val="005F2706"/>
    <w:rsid w:val="005F3527"/>
    <w:rsid w:val="005F38B0"/>
    <w:rsid w:val="005F38C5"/>
    <w:rsid w:val="005F45AC"/>
    <w:rsid w:val="005F4909"/>
    <w:rsid w:val="005F58B6"/>
    <w:rsid w:val="005F5C48"/>
    <w:rsid w:val="005F5FFB"/>
    <w:rsid w:val="005F6354"/>
    <w:rsid w:val="005F657A"/>
    <w:rsid w:val="005F65C1"/>
    <w:rsid w:val="005F6979"/>
    <w:rsid w:val="005F6A8F"/>
    <w:rsid w:val="005F6BB7"/>
    <w:rsid w:val="005F6CB1"/>
    <w:rsid w:val="005F6CBA"/>
    <w:rsid w:val="005F71C6"/>
    <w:rsid w:val="005F7463"/>
    <w:rsid w:val="005F7588"/>
    <w:rsid w:val="005F7FAB"/>
    <w:rsid w:val="00600554"/>
    <w:rsid w:val="006008CB"/>
    <w:rsid w:val="006011EC"/>
    <w:rsid w:val="00601FD6"/>
    <w:rsid w:val="00602669"/>
    <w:rsid w:val="00602724"/>
    <w:rsid w:val="0060284A"/>
    <w:rsid w:val="00602972"/>
    <w:rsid w:val="00602C2C"/>
    <w:rsid w:val="006033EE"/>
    <w:rsid w:val="00603A8E"/>
    <w:rsid w:val="00603DB9"/>
    <w:rsid w:val="00604094"/>
    <w:rsid w:val="0060423B"/>
    <w:rsid w:val="00604D97"/>
    <w:rsid w:val="006058E7"/>
    <w:rsid w:val="00605EEE"/>
    <w:rsid w:val="00606578"/>
    <w:rsid w:val="006065D7"/>
    <w:rsid w:val="00606703"/>
    <w:rsid w:val="00606D85"/>
    <w:rsid w:val="00606FBA"/>
    <w:rsid w:val="00607096"/>
    <w:rsid w:val="00607669"/>
    <w:rsid w:val="006076F4"/>
    <w:rsid w:val="00607721"/>
    <w:rsid w:val="00607AFD"/>
    <w:rsid w:val="00607CD0"/>
    <w:rsid w:val="006105BC"/>
    <w:rsid w:val="0061063A"/>
    <w:rsid w:val="0061096A"/>
    <w:rsid w:val="00610B1E"/>
    <w:rsid w:val="00610B31"/>
    <w:rsid w:val="00611AFE"/>
    <w:rsid w:val="0061241D"/>
    <w:rsid w:val="00612F5E"/>
    <w:rsid w:val="00612F97"/>
    <w:rsid w:val="0061319A"/>
    <w:rsid w:val="0061345D"/>
    <w:rsid w:val="0061371C"/>
    <w:rsid w:val="00613746"/>
    <w:rsid w:val="00614341"/>
    <w:rsid w:val="00614BC0"/>
    <w:rsid w:val="00614CA6"/>
    <w:rsid w:val="00614F69"/>
    <w:rsid w:val="00615040"/>
    <w:rsid w:val="0061549B"/>
    <w:rsid w:val="00615E7A"/>
    <w:rsid w:val="0061617D"/>
    <w:rsid w:val="006164F5"/>
    <w:rsid w:val="00616802"/>
    <w:rsid w:val="006168EF"/>
    <w:rsid w:val="00616AD6"/>
    <w:rsid w:val="00616B94"/>
    <w:rsid w:val="00616FBE"/>
    <w:rsid w:val="00617A0B"/>
    <w:rsid w:val="00617CE0"/>
    <w:rsid w:val="00617E12"/>
    <w:rsid w:val="006209BF"/>
    <w:rsid w:val="00620C25"/>
    <w:rsid w:val="00621477"/>
    <w:rsid w:val="00621ADA"/>
    <w:rsid w:val="006222EF"/>
    <w:rsid w:val="0062261F"/>
    <w:rsid w:val="00622A05"/>
    <w:rsid w:val="00622BD1"/>
    <w:rsid w:val="00623142"/>
    <w:rsid w:val="00623187"/>
    <w:rsid w:val="00623B91"/>
    <w:rsid w:val="00623F7B"/>
    <w:rsid w:val="006244A2"/>
    <w:rsid w:val="006248C8"/>
    <w:rsid w:val="00625365"/>
    <w:rsid w:val="0062571A"/>
    <w:rsid w:val="00625928"/>
    <w:rsid w:val="006264C5"/>
    <w:rsid w:val="006265C0"/>
    <w:rsid w:val="00626B92"/>
    <w:rsid w:val="00626C78"/>
    <w:rsid w:val="00626FE8"/>
    <w:rsid w:val="00627580"/>
    <w:rsid w:val="00627C31"/>
    <w:rsid w:val="0063015F"/>
    <w:rsid w:val="006301A2"/>
    <w:rsid w:val="00630C77"/>
    <w:rsid w:val="00630F9E"/>
    <w:rsid w:val="00631167"/>
    <w:rsid w:val="006311D4"/>
    <w:rsid w:val="00631276"/>
    <w:rsid w:val="0063158F"/>
    <w:rsid w:val="00631831"/>
    <w:rsid w:val="00631961"/>
    <w:rsid w:val="00631AF1"/>
    <w:rsid w:val="00631D6B"/>
    <w:rsid w:val="00632183"/>
    <w:rsid w:val="00632492"/>
    <w:rsid w:val="00632D61"/>
    <w:rsid w:val="00632F4F"/>
    <w:rsid w:val="006330A1"/>
    <w:rsid w:val="00633336"/>
    <w:rsid w:val="00634651"/>
    <w:rsid w:val="0063479F"/>
    <w:rsid w:val="00634DDE"/>
    <w:rsid w:val="006352F6"/>
    <w:rsid w:val="006353F0"/>
    <w:rsid w:val="006357B5"/>
    <w:rsid w:val="006358BE"/>
    <w:rsid w:val="00636181"/>
    <w:rsid w:val="006364A1"/>
    <w:rsid w:val="00636664"/>
    <w:rsid w:val="00636672"/>
    <w:rsid w:val="0063678E"/>
    <w:rsid w:val="0063681E"/>
    <w:rsid w:val="00636D84"/>
    <w:rsid w:val="0063741E"/>
    <w:rsid w:val="00637A2D"/>
    <w:rsid w:val="00637BFD"/>
    <w:rsid w:val="00637F22"/>
    <w:rsid w:val="00640A64"/>
    <w:rsid w:val="00640E88"/>
    <w:rsid w:val="00640FA6"/>
    <w:rsid w:val="006413B8"/>
    <w:rsid w:val="00641C4E"/>
    <w:rsid w:val="00641FB3"/>
    <w:rsid w:val="00642653"/>
    <w:rsid w:val="00642847"/>
    <w:rsid w:val="00642E99"/>
    <w:rsid w:val="00642FB5"/>
    <w:rsid w:val="00643695"/>
    <w:rsid w:val="00643821"/>
    <w:rsid w:val="0064434C"/>
    <w:rsid w:val="00644401"/>
    <w:rsid w:val="00645AB0"/>
    <w:rsid w:val="0064621A"/>
    <w:rsid w:val="00646E0F"/>
    <w:rsid w:val="00647190"/>
    <w:rsid w:val="006471CC"/>
    <w:rsid w:val="00647A29"/>
    <w:rsid w:val="00650141"/>
    <w:rsid w:val="00650175"/>
    <w:rsid w:val="006501B5"/>
    <w:rsid w:val="0065040C"/>
    <w:rsid w:val="0065079F"/>
    <w:rsid w:val="0065094A"/>
    <w:rsid w:val="00650C46"/>
    <w:rsid w:val="006513D3"/>
    <w:rsid w:val="006518F6"/>
    <w:rsid w:val="00652133"/>
    <w:rsid w:val="0065272C"/>
    <w:rsid w:val="00652951"/>
    <w:rsid w:val="00652A28"/>
    <w:rsid w:val="00653612"/>
    <w:rsid w:val="0065379F"/>
    <w:rsid w:val="006538F0"/>
    <w:rsid w:val="00654485"/>
    <w:rsid w:val="006547F8"/>
    <w:rsid w:val="00654DBF"/>
    <w:rsid w:val="0065518F"/>
    <w:rsid w:val="006555AF"/>
    <w:rsid w:val="0065564F"/>
    <w:rsid w:val="0065581F"/>
    <w:rsid w:val="00655970"/>
    <w:rsid w:val="00656188"/>
    <w:rsid w:val="006563FC"/>
    <w:rsid w:val="00656851"/>
    <w:rsid w:val="00656C1E"/>
    <w:rsid w:val="00656CA9"/>
    <w:rsid w:val="0065715A"/>
    <w:rsid w:val="00657A36"/>
    <w:rsid w:val="00657ED1"/>
    <w:rsid w:val="006600FA"/>
    <w:rsid w:val="00661039"/>
    <w:rsid w:val="006610DA"/>
    <w:rsid w:val="006610F1"/>
    <w:rsid w:val="006612C3"/>
    <w:rsid w:val="0066136A"/>
    <w:rsid w:val="0066165E"/>
    <w:rsid w:val="00661C6B"/>
    <w:rsid w:val="00662382"/>
    <w:rsid w:val="0066242F"/>
    <w:rsid w:val="006626CA"/>
    <w:rsid w:val="006631BD"/>
    <w:rsid w:val="00663798"/>
    <w:rsid w:val="00663812"/>
    <w:rsid w:val="00663C81"/>
    <w:rsid w:val="006644C9"/>
    <w:rsid w:val="006644D7"/>
    <w:rsid w:val="006644ED"/>
    <w:rsid w:val="00664550"/>
    <w:rsid w:val="00665182"/>
    <w:rsid w:val="0066560B"/>
    <w:rsid w:val="00665688"/>
    <w:rsid w:val="006656B8"/>
    <w:rsid w:val="00665CCF"/>
    <w:rsid w:val="00665D17"/>
    <w:rsid w:val="00666D47"/>
    <w:rsid w:val="00666D89"/>
    <w:rsid w:val="00667636"/>
    <w:rsid w:val="00667B2F"/>
    <w:rsid w:val="006701C1"/>
    <w:rsid w:val="00670290"/>
    <w:rsid w:val="0067086C"/>
    <w:rsid w:val="00670BFE"/>
    <w:rsid w:val="00671004"/>
    <w:rsid w:val="006716FF"/>
    <w:rsid w:val="00671D94"/>
    <w:rsid w:val="00672123"/>
    <w:rsid w:val="00672428"/>
    <w:rsid w:val="00672646"/>
    <w:rsid w:val="00672CEF"/>
    <w:rsid w:val="006730A7"/>
    <w:rsid w:val="00673391"/>
    <w:rsid w:val="006735E0"/>
    <w:rsid w:val="00673FBE"/>
    <w:rsid w:val="00674954"/>
    <w:rsid w:val="00674E34"/>
    <w:rsid w:val="00674E42"/>
    <w:rsid w:val="006751E1"/>
    <w:rsid w:val="00675615"/>
    <w:rsid w:val="0067594D"/>
    <w:rsid w:val="00676277"/>
    <w:rsid w:val="00676853"/>
    <w:rsid w:val="00676DCD"/>
    <w:rsid w:val="006772B0"/>
    <w:rsid w:val="00677320"/>
    <w:rsid w:val="0067740C"/>
    <w:rsid w:val="00677C1D"/>
    <w:rsid w:val="00677CCA"/>
    <w:rsid w:val="0068012B"/>
    <w:rsid w:val="0068110F"/>
    <w:rsid w:val="006813C0"/>
    <w:rsid w:val="006813F8"/>
    <w:rsid w:val="0068168A"/>
    <w:rsid w:val="00681884"/>
    <w:rsid w:val="006818B3"/>
    <w:rsid w:val="006819D9"/>
    <w:rsid w:val="00681A57"/>
    <w:rsid w:val="00681BEE"/>
    <w:rsid w:val="00681CB1"/>
    <w:rsid w:val="00681F15"/>
    <w:rsid w:val="00682112"/>
    <w:rsid w:val="0068233D"/>
    <w:rsid w:val="00682BA6"/>
    <w:rsid w:val="00682D96"/>
    <w:rsid w:val="00682E92"/>
    <w:rsid w:val="00683464"/>
    <w:rsid w:val="00683851"/>
    <w:rsid w:val="00683BB3"/>
    <w:rsid w:val="00684010"/>
    <w:rsid w:val="006842B9"/>
    <w:rsid w:val="00684943"/>
    <w:rsid w:val="00684C81"/>
    <w:rsid w:val="00684D30"/>
    <w:rsid w:val="00685982"/>
    <w:rsid w:val="00685BF4"/>
    <w:rsid w:val="00685D7E"/>
    <w:rsid w:val="00686902"/>
    <w:rsid w:val="00686957"/>
    <w:rsid w:val="00686B25"/>
    <w:rsid w:val="006872BA"/>
    <w:rsid w:val="006874C8"/>
    <w:rsid w:val="006876D7"/>
    <w:rsid w:val="00687A3A"/>
    <w:rsid w:val="00687DEE"/>
    <w:rsid w:val="006901C1"/>
    <w:rsid w:val="006904E0"/>
    <w:rsid w:val="00690795"/>
    <w:rsid w:val="00690B5A"/>
    <w:rsid w:val="006914E4"/>
    <w:rsid w:val="00691648"/>
    <w:rsid w:val="006917C3"/>
    <w:rsid w:val="006917D7"/>
    <w:rsid w:val="006919A4"/>
    <w:rsid w:val="0069212C"/>
    <w:rsid w:val="0069264D"/>
    <w:rsid w:val="0069297F"/>
    <w:rsid w:val="006929B0"/>
    <w:rsid w:val="0069434C"/>
    <w:rsid w:val="00694545"/>
    <w:rsid w:val="006945CB"/>
    <w:rsid w:val="006946D3"/>
    <w:rsid w:val="006947CB"/>
    <w:rsid w:val="0069489D"/>
    <w:rsid w:val="00694C34"/>
    <w:rsid w:val="00694DF8"/>
    <w:rsid w:val="00694EFB"/>
    <w:rsid w:val="00694F44"/>
    <w:rsid w:val="006961D9"/>
    <w:rsid w:val="0069641E"/>
    <w:rsid w:val="00696726"/>
    <w:rsid w:val="00696BE7"/>
    <w:rsid w:val="00696E59"/>
    <w:rsid w:val="00696F51"/>
    <w:rsid w:val="00697558"/>
    <w:rsid w:val="006977DF"/>
    <w:rsid w:val="006979A5"/>
    <w:rsid w:val="00697BA9"/>
    <w:rsid w:val="00697E57"/>
    <w:rsid w:val="006A01D2"/>
    <w:rsid w:val="006A0283"/>
    <w:rsid w:val="006A0565"/>
    <w:rsid w:val="006A0BA6"/>
    <w:rsid w:val="006A0E17"/>
    <w:rsid w:val="006A1933"/>
    <w:rsid w:val="006A22D1"/>
    <w:rsid w:val="006A2648"/>
    <w:rsid w:val="006A29E5"/>
    <w:rsid w:val="006A2ADD"/>
    <w:rsid w:val="006A2C45"/>
    <w:rsid w:val="006A2D74"/>
    <w:rsid w:val="006A3169"/>
    <w:rsid w:val="006A3859"/>
    <w:rsid w:val="006A3B26"/>
    <w:rsid w:val="006A4371"/>
    <w:rsid w:val="006A4437"/>
    <w:rsid w:val="006A52A1"/>
    <w:rsid w:val="006A5538"/>
    <w:rsid w:val="006A5C09"/>
    <w:rsid w:val="006A5D5E"/>
    <w:rsid w:val="006A68A6"/>
    <w:rsid w:val="006A6959"/>
    <w:rsid w:val="006A6B74"/>
    <w:rsid w:val="006A6B99"/>
    <w:rsid w:val="006A6C0A"/>
    <w:rsid w:val="006A7055"/>
    <w:rsid w:val="006A73F2"/>
    <w:rsid w:val="006A765A"/>
    <w:rsid w:val="006A7C1B"/>
    <w:rsid w:val="006A7E5F"/>
    <w:rsid w:val="006B047C"/>
    <w:rsid w:val="006B0621"/>
    <w:rsid w:val="006B0A43"/>
    <w:rsid w:val="006B1154"/>
    <w:rsid w:val="006B1248"/>
    <w:rsid w:val="006B1A3A"/>
    <w:rsid w:val="006B1B77"/>
    <w:rsid w:val="006B1D8C"/>
    <w:rsid w:val="006B261B"/>
    <w:rsid w:val="006B2961"/>
    <w:rsid w:val="006B2B0A"/>
    <w:rsid w:val="006B2C90"/>
    <w:rsid w:val="006B2F4E"/>
    <w:rsid w:val="006B2FA9"/>
    <w:rsid w:val="006B35E6"/>
    <w:rsid w:val="006B35FE"/>
    <w:rsid w:val="006B3905"/>
    <w:rsid w:val="006B3D1A"/>
    <w:rsid w:val="006B42E5"/>
    <w:rsid w:val="006B444A"/>
    <w:rsid w:val="006B465A"/>
    <w:rsid w:val="006B4A5C"/>
    <w:rsid w:val="006B6576"/>
    <w:rsid w:val="006B66DE"/>
    <w:rsid w:val="006B6B2B"/>
    <w:rsid w:val="006B6DD0"/>
    <w:rsid w:val="006B6E4A"/>
    <w:rsid w:val="006B6F06"/>
    <w:rsid w:val="006B7731"/>
    <w:rsid w:val="006C0278"/>
    <w:rsid w:val="006C0399"/>
    <w:rsid w:val="006C072B"/>
    <w:rsid w:val="006C105E"/>
    <w:rsid w:val="006C1C6A"/>
    <w:rsid w:val="006C1D61"/>
    <w:rsid w:val="006C1F60"/>
    <w:rsid w:val="006C2638"/>
    <w:rsid w:val="006C27B5"/>
    <w:rsid w:val="006C2839"/>
    <w:rsid w:val="006C2A8E"/>
    <w:rsid w:val="006C2B9F"/>
    <w:rsid w:val="006C2F0D"/>
    <w:rsid w:val="006C2FDB"/>
    <w:rsid w:val="006C3255"/>
    <w:rsid w:val="006C33E1"/>
    <w:rsid w:val="006C3616"/>
    <w:rsid w:val="006C3643"/>
    <w:rsid w:val="006C3D2F"/>
    <w:rsid w:val="006C3EAF"/>
    <w:rsid w:val="006C3F26"/>
    <w:rsid w:val="006C47CF"/>
    <w:rsid w:val="006C4A20"/>
    <w:rsid w:val="006C4A30"/>
    <w:rsid w:val="006C4E7C"/>
    <w:rsid w:val="006C5614"/>
    <w:rsid w:val="006C5836"/>
    <w:rsid w:val="006C5B22"/>
    <w:rsid w:val="006C5C7B"/>
    <w:rsid w:val="006C5EDD"/>
    <w:rsid w:val="006C6198"/>
    <w:rsid w:val="006C6867"/>
    <w:rsid w:val="006C688A"/>
    <w:rsid w:val="006C697D"/>
    <w:rsid w:val="006C6CB3"/>
    <w:rsid w:val="006C7736"/>
    <w:rsid w:val="006C7F68"/>
    <w:rsid w:val="006D0220"/>
    <w:rsid w:val="006D03BF"/>
    <w:rsid w:val="006D0520"/>
    <w:rsid w:val="006D060C"/>
    <w:rsid w:val="006D0D17"/>
    <w:rsid w:val="006D1533"/>
    <w:rsid w:val="006D2E26"/>
    <w:rsid w:val="006D2E32"/>
    <w:rsid w:val="006D31AC"/>
    <w:rsid w:val="006D3298"/>
    <w:rsid w:val="006D35F5"/>
    <w:rsid w:val="006D3C7D"/>
    <w:rsid w:val="006D4365"/>
    <w:rsid w:val="006D4436"/>
    <w:rsid w:val="006D4659"/>
    <w:rsid w:val="006D4BEF"/>
    <w:rsid w:val="006D4CD1"/>
    <w:rsid w:val="006D536B"/>
    <w:rsid w:val="006D59A9"/>
    <w:rsid w:val="006D5A46"/>
    <w:rsid w:val="006D5B9B"/>
    <w:rsid w:val="006D5C53"/>
    <w:rsid w:val="006D5D5F"/>
    <w:rsid w:val="006D5EE0"/>
    <w:rsid w:val="006D6492"/>
    <w:rsid w:val="006D684C"/>
    <w:rsid w:val="006D68FB"/>
    <w:rsid w:val="006D69E6"/>
    <w:rsid w:val="006D7E2D"/>
    <w:rsid w:val="006D7EC2"/>
    <w:rsid w:val="006E056B"/>
    <w:rsid w:val="006E0AB1"/>
    <w:rsid w:val="006E0B10"/>
    <w:rsid w:val="006E1264"/>
    <w:rsid w:val="006E1533"/>
    <w:rsid w:val="006E16F6"/>
    <w:rsid w:val="006E1A96"/>
    <w:rsid w:val="006E1BB4"/>
    <w:rsid w:val="006E23A4"/>
    <w:rsid w:val="006E2468"/>
    <w:rsid w:val="006E2814"/>
    <w:rsid w:val="006E2868"/>
    <w:rsid w:val="006E3A1F"/>
    <w:rsid w:val="006E3DC7"/>
    <w:rsid w:val="006E4A25"/>
    <w:rsid w:val="006E535A"/>
    <w:rsid w:val="006E557A"/>
    <w:rsid w:val="006E60DC"/>
    <w:rsid w:val="006E70C0"/>
    <w:rsid w:val="006E7193"/>
    <w:rsid w:val="006E7DF2"/>
    <w:rsid w:val="006F0A37"/>
    <w:rsid w:val="006F16BA"/>
    <w:rsid w:val="006F172A"/>
    <w:rsid w:val="006F19C3"/>
    <w:rsid w:val="006F2585"/>
    <w:rsid w:val="006F26EA"/>
    <w:rsid w:val="006F2C92"/>
    <w:rsid w:val="006F306C"/>
    <w:rsid w:val="006F3284"/>
    <w:rsid w:val="006F3AF6"/>
    <w:rsid w:val="006F46B9"/>
    <w:rsid w:val="006F4D4B"/>
    <w:rsid w:val="006F4DD8"/>
    <w:rsid w:val="006F50FA"/>
    <w:rsid w:val="006F55C4"/>
    <w:rsid w:val="006F5927"/>
    <w:rsid w:val="006F5A5F"/>
    <w:rsid w:val="006F62F9"/>
    <w:rsid w:val="006F63A5"/>
    <w:rsid w:val="006F66E7"/>
    <w:rsid w:val="006F6916"/>
    <w:rsid w:val="006F73B0"/>
    <w:rsid w:val="00700A3D"/>
    <w:rsid w:val="007011D2"/>
    <w:rsid w:val="0070142B"/>
    <w:rsid w:val="00701510"/>
    <w:rsid w:val="00701C9E"/>
    <w:rsid w:val="0070276E"/>
    <w:rsid w:val="0070277E"/>
    <w:rsid w:val="0070286D"/>
    <w:rsid w:val="0070290D"/>
    <w:rsid w:val="00702F8F"/>
    <w:rsid w:val="007037DD"/>
    <w:rsid w:val="00703AE0"/>
    <w:rsid w:val="00703E89"/>
    <w:rsid w:val="00704131"/>
    <w:rsid w:val="00704B38"/>
    <w:rsid w:val="00704DB0"/>
    <w:rsid w:val="007050E6"/>
    <w:rsid w:val="00705980"/>
    <w:rsid w:val="007065F3"/>
    <w:rsid w:val="007066AB"/>
    <w:rsid w:val="00706F90"/>
    <w:rsid w:val="00707413"/>
    <w:rsid w:val="007079FC"/>
    <w:rsid w:val="00707AA0"/>
    <w:rsid w:val="00707F3F"/>
    <w:rsid w:val="00710060"/>
    <w:rsid w:val="0071021E"/>
    <w:rsid w:val="007109FE"/>
    <w:rsid w:val="00711A36"/>
    <w:rsid w:val="00711A51"/>
    <w:rsid w:val="007121CA"/>
    <w:rsid w:val="007123E1"/>
    <w:rsid w:val="00712AEC"/>
    <w:rsid w:val="00712D2F"/>
    <w:rsid w:val="00712D32"/>
    <w:rsid w:val="007140BF"/>
    <w:rsid w:val="00714626"/>
    <w:rsid w:val="00714C26"/>
    <w:rsid w:val="0071529C"/>
    <w:rsid w:val="0071561B"/>
    <w:rsid w:val="00715CC4"/>
    <w:rsid w:val="00716057"/>
    <w:rsid w:val="00716190"/>
    <w:rsid w:val="00716A68"/>
    <w:rsid w:val="007170DA"/>
    <w:rsid w:val="007172AD"/>
    <w:rsid w:val="00717AE6"/>
    <w:rsid w:val="00717FAC"/>
    <w:rsid w:val="00720236"/>
    <w:rsid w:val="0072025B"/>
    <w:rsid w:val="0072047C"/>
    <w:rsid w:val="0072056C"/>
    <w:rsid w:val="00720701"/>
    <w:rsid w:val="00720801"/>
    <w:rsid w:val="00720C43"/>
    <w:rsid w:val="00720CCE"/>
    <w:rsid w:val="00721775"/>
    <w:rsid w:val="00722538"/>
    <w:rsid w:val="00722821"/>
    <w:rsid w:val="00722B1B"/>
    <w:rsid w:val="00722FC7"/>
    <w:rsid w:val="00723994"/>
    <w:rsid w:val="0072416F"/>
    <w:rsid w:val="00724429"/>
    <w:rsid w:val="007244E2"/>
    <w:rsid w:val="0072469A"/>
    <w:rsid w:val="0072491C"/>
    <w:rsid w:val="00725E55"/>
    <w:rsid w:val="00725F76"/>
    <w:rsid w:val="0072610A"/>
    <w:rsid w:val="007265C7"/>
    <w:rsid w:val="00726E12"/>
    <w:rsid w:val="00726F34"/>
    <w:rsid w:val="007275AB"/>
    <w:rsid w:val="00727C94"/>
    <w:rsid w:val="00727EA5"/>
    <w:rsid w:val="007306A8"/>
    <w:rsid w:val="00730B84"/>
    <w:rsid w:val="00730CD7"/>
    <w:rsid w:val="00730D16"/>
    <w:rsid w:val="007318CC"/>
    <w:rsid w:val="00731B0A"/>
    <w:rsid w:val="00731EAE"/>
    <w:rsid w:val="00731F97"/>
    <w:rsid w:val="00732427"/>
    <w:rsid w:val="00732630"/>
    <w:rsid w:val="00732A4F"/>
    <w:rsid w:val="00733073"/>
    <w:rsid w:val="00733AAF"/>
    <w:rsid w:val="007340D5"/>
    <w:rsid w:val="007341B6"/>
    <w:rsid w:val="00734B8D"/>
    <w:rsid w:val="0073501B"/>
    <w:rsid w:val="00735033"/>
    <w:rsid w:val="00735328"/>
    <w:rsid w:val="00735A83"/>
    <w:rsid w:val="007361F4"/>
    <w:rsid w:val="007366D8"/>
    <w:rsid w:val="0073685B"/>
    <w:rsid w:val="00736E7F"/>
    <w:rsid w:val="007370DD"/>
    <w:rsid w:val="0073728E"/>
    <w:rsid w:val="0073734D"/>
    <w:rsid w:val="00737A56"/>
    <w:rsid w:val="00740140"/>
    <w:rsid w:val="007403EA"/>
    <w:rsid w:val="00740408"/>
    <w:rsid w:val="0074105D"/>
    <w:rsid w:val="0074224F"/>
    <w:rsid w:val="0074321D"/>
    <w:rsid w:val="00743237"/>
    <w:rsid w:val="00743B8E"/>
    <w:rsid w:val="00743DC2"/>
    <w:rsid w:val="00743FBD"/>
    <w:rsid w:val="007449BF"/>
    <w:rsid w:val="00744C48"/>
    <w:rsid w:val="00744FA7"/>
    <w:rsid w:val="00745B8B"/>
    <w:rsid w:val="0074683E"/>
    <w:rsid w:val="00746BC0"/>
    <w:rsid w:val="00747172"/>
    <w:rsid w:val="007476C5"/>
    <w:rsid w:val="007478B2"/>
    <w:rsid w:val="00747BA3"/>
    <w:rsid w:val="00747FAC"/>
    <w:rsid w:val="00750FD6"/>
    <w:rsid w:val="007510B4"/>
    <w:rsid w:val="00751399"/>
    <w:rsid w:val="00751CD9"/>
    <w:rsid w:val="00752142"/>
    <w:rsid w:val="007522C9"/>
    <w:rsid w:val="007523F9"/>
    <w:rsid w:val="00752963"/>
    <w:rsid w:val="00752B43"/>
    <w:rsid w:val="00752C9A"/>
    <w:rsid w:val="00753176"/>
    <w:rsid w:val="00753547"/>
    <w:rsid w:val="0075357E"/>
    <w:rsid w:val="00753588"/>
    <w:rsid w:val="00753916"/>
    <w:rsid w:val="00754234"/>
    <w:rsid w:val="00754529"/>
    <w:rsid w:val="00754562"/>
    <w:rsid w:val="007554A2"/>
    <w:rsid w:val="00756427"/>
    <w:rsid w:val="007568AD"/>
    <w:rsid w:val="00756ACE"/>
    <w:rsid w:val="00756F52"/>
    <w:rsid w:val="007573E8"/>
    <w:rsid w:val="00757542"/>
    <w:rsid w:val="007600FD"/>
    <w:rsid w:val="00760187"/>
    <w:rsid w:val="00760C4E"/>
    <w:rsid w:val="00760E40"/>
    <w:rsid w:val="00760F9E"/>
    <w:rsid w:val="00761023"/>
    <w:rsid w:val="007612EB"/>
    <w:rsid w:val="007617DD"/>
    <w:rsid w:val="00761D34"/>
    <w:rsid w:val="00762464"/>
    <w:rsid w:val="00762524"/>
    <w:rsid w:val="00762665"/>
    <w:rsid w:val="007627BE"/>
    <w:rsid w:val="00763336"/>
    <w:rsid w:val="00763DE8"/>
    <w:rsid w:val="007647E1"/>
    <w:rsid w:val="007649FE"/>
    <w:rsid w:val="00764F03"/>
    <w:rsid w:val="00764F51"/>
    <w:rsid w:val="007656F8"/>
    <w:rsid w:val="00765785"/>
    <w:rsid w:val="00765B1A"/>
    <w:rsid w:val="00765EE4"/>
    <w:rsid w:val="00766414"/>
    <w:rsid w:val="007664B5"/>
    <w:rsid w:val="00766592"/>
    <w:rsid w:val="007665A9"/>
    <w:rsid w:val="00766DF9"/>
    <w:rsid w:val="00766E35"/>
    <w:rsid w:val="00767CE1"/>
    <w:rsid w:val="00770341"/>
    <w:rsid w:val="007705FB"/>
    <w:rsid w:val="00770949"/>
    <w:rsid w:val="00770A2F"/>
    <w:rsid w:val="00770B08"/>
    <w:rsid w:val="00770D02"/>
    <w:rsid w:val="00771409"/>
    <w:rsid w:val="00771E4B"/>
    <w:rsid w:val="00771F77"/>
    <w:rsid w:val="007731AD"/>
    <w:rsid w:val="00774788"/>
    <w:rsid w:val="00774AA5"/>
    <w:rsid w:val="00774D16"/>
    <w:rsid w:val="00775266"/>
    <w:rsid w:val="0077554F"/>
    <w:rsid w:val="00775602"/>
    <w:rsid w:val="0077569E"/>
    <w:rsid w:val="00775FD8"/>
    <w:rsid w:val="00776B3F"/>
    <w:rsid w:val="00776D43"/>
    <w:rsid w:val="00776DEB"/>
    <w:rsid w:val="00777138"/>
    <w:rsid w:val="00777335"/>
    <w:rsid w:val="007773E2"/>
    <w:rsid w:val="00777629"/>
    <w:rsid w:val="007776EE"/>
    <w:rsid w:val="00780A98"/>
    <w:rsid w:val="007811D7"/>
    <w:rsid w:val="0078165A"/>
    <w:rsid w:val="00781691"/>
    <w:rsid w:val="007817B0"/>
    <w:rsid w:val="00781AA4"/>
    <w:rsid w:val="007823ED"/>
    <w:rsid w:val="00782801"/>
    <w:rsid w:val="00782EE8"/>
    <w:rsid w:val="00783240"/>
    <w:rsid w:val="007834B7"/>
    <w:rsid w:val="007843F2"/>
    <w:rsid w:val="007843F3"/>
    <w:rsid w:val="00785459"/>
    <w:rsid w:val="00785A9F"/>
    <w:rsid w:val="00785CBC"/>
    <w:rsid w:val="00785FA9"/>
    <w:rsid w:val="0078620D"/>
    <w:rsid w:val="007862F8"/>
    <w:rsid w:val="00786635"/>
    <w:rsid w:val="0078670D"/>
    <w:rsid w:val="007876B2"/>
    <w:rsid w:val="00787EF6"/>
    <w:rsid w:val="00790F55"/>
    <w:rsid w:val="007914A0"/>
    <w:rsid w:val="007914D5"/>
    <w:rsid w:val="00791C26"/>
    <w:rsid w:val="007924CF"/>
    <w:rsid w:val="007925DF"/>
    <w:rsid w:val="007932D2"/>
    <w:rsid w:val="00793408"/>
    <w:rsid w:val="0079367C"/>
    <w:rsid w:val="0079369C"/>
    <w:rsid w:val="00793853"/>
    <w:rsid w:val="00793A1F"/>
    <w:rsid w:val="00794080"/>
    <w:rsid w:val="00794EF6"/>
    <w:rsid w:val="00795219"/>
    <w:rsid w:val="0079526A"/>
    <w:rsid w:val="00795A16"/>
    <w:rsid w:val="007963E2"/>
    <w:rsid w:val="007967E3"/>
    <w:rsid w:val="007967F7"/>
    <w:rsid w:val="007968C1"/>
    <w:rsid w:val="00797457"/>
    <w:rsid w:val="00797680"/>
    <w:rsid w:val="007977DA"/>
    <w:rsid w:val="00797BE4"/>
    <w:rsid w:val="007A08AA"/>
    <w:rsid w:val="007A08FC"/>
    <w:rsid w:val="007A0A12"/>
    <w:rsid w:val="007A0BEA"/>
    <w:rsid w:val="007A0C57"/>
    <w:rsid w:val="007A0D86"/>
    <w:rsid w:val="007A10D4"/>
    <w:rsid w:val="007A12FF"/>
    <w:rsid w:val="007A132D"/>
    <w:rsid w:val="007A1345"/>
    <w:rsid w:val="007A1449"/>
    <w:rsid w:val="007A1485"/>
    <w:rsid w:val="007A2050"/>
    <w:rsid w:val="007A2C62"/>
    <w:rsid w:val="007A2DDB"/>
    <w:rsid w:val="007A3901"/>
    <w:rsid w:val="007A3A0A"/>
    <w:rsid w:val="007A41EA"/>
    <w:rsid w:val="007A424E"/>
    <w:rsid w:val="007A54F8"/>
    <w:rsid w:val="007A5CBF"/>
    <w:rsid w:val="007A62CF"/>
    <w:rsid w:val="007A6A3E"/>
    <w:rsid w:val="007A6D2B"/>
    <w:rsid w:val="007A707E"/>
    <w:rsid w:val="007A70BA"/>
    <w:rsid w:val="007A7161"/>
    <w:rsid w:val="007A7343"/>
    <w:rsid w:val="007A7754"/>
    <w:rsid w:val="007A7A23"/>
    <w:rsid w:val="007B0750"/>
    <w:rsid w:val="007B0D68"/>
    <w:rsid w:val="007B184F"/>
    <w:rsid w:val="007B192C"/>
    <w:rsid w:val="007B1BA2"/>
    <w:rsid w:val="007B2438"/>
    <w:rsid w:val="007B251D"/>
    <w:rsid w:val="007B2787"/>
    <w:rsid w:val="007B2F44"/>
    <w:rsid w:val="007B3749"/>
    <w:rsid w:val="007B3D38"/>
    <w:rsid w:val="007B46B3"/>
    <w:rsid w:val="007B4F58"/>
    <w:rsid w:val="007B528D"/>
    <w:rsid w:val="007B536B"/>
    <w:rsid w:val="007B55F5"/>
    <w:rsid w:val="007B5908"/>
    <w:rsid w:val="007B5B29"/>
    <w:rsid w:val="007B63CA"/>
    <w:rsid w:val="007B6B2E"/>
    <w:rsid w:val="007B700D"/>
    <w:rsid w:val="007B71ED"/>
    <w:rsid w:val="007B77D1"/>
    <w:rsid w:val="007C07C7"/>
    <w:rsid w:val="007C18C6"/>
    <w:rsid w:val="007C19D2"/>
    <w:rsid w:val="007C1AA4"/>
    <w:rsid w:val="007C1C43"/>
    <w:rsid w:val="007C1CD9"/>
    <w:rsid w:val="007C2239"/>
    <w:rsid w:val="007C2DD1"/>
    <w:rsid w:val="007C32EF"/>
    <w:rsid w:val="007C33B1"/>
    <w:rsid w:val="007C361D"/>
    <w:rsid w:val="007C37BF"/>
    <w:rsid w:val="007C38BF"/>
    <w:rsid w:val="007C3AEB"/>
    <w:rsid w:val="007C4007"/>
    <w:rsid w:val="007C4B84"/>
    <w:rsid w:val="007C5193"/>
    <w:rsid w:val="007C5B1D"/>
    <w:rsid w:val="007C5BAF"/>
    <w:rsid w:val="007C65DE"/>
    <w:rsid w:val="007C6AC0"/>
    <w:rsid w:val="007C6DEF"/>
    <w:rsid w:val="007C70FF"/>
    <w:rsid w:val="007C7347"/>
    <w:rsid w:val="007C764F"/>
    <w:rsid w:val="007C774E"/>
    <w:rsid w:val="007C7C25"/>
    <w:rsid w:val="007D004F"/>
    <w:rsid w:val="007D0B38"/>
    <w:rsid w:val="007D0DCF"/>
    <w:rsid w:val="007D10CE"/>
    <w:rsid w:val="007D1B52"/>
    <w:rsid w:val="007D1BB9"/>
    <w:rsid w:val="007D2242"/>
    <w:rsid w:val="007D36F5"/>
    <w:rsid w:val="007D40D2"/>
    <w:rsid w:val="007D48E8"/>
    <w:rsid w:val="007D4B56"/>
    <w:rsid w:val="007D4D5F"/>
    <w:rsid w:val="007D4FE3"/>
    <w:rsid w:val="007D5440"/>
    <w:rsid w:val="007D57F3"/>
    <w:rsid w:val="007D5A98"/>
    <w:rsid w:val="007D5D27"/>
    <w:rsid w:val="007D641A"/>
    <w:rsid w:val="007D65BA"/>
    <w:rsid w:val="007D69EB"/>
    <w:rsid w:val="007D73AF"/>
    <w:rsid w:val="007D76A4"/>
    <w:rsid w:val="007E0D71"/>
    <w:rsid w:val="007E0F7D"/>
    <w:rsid w:val="007E128F"/>
    <w:rsid w:val="007E196A"/>
    <w:rsid w:val="007E1A16"/>
    <w:rsid w:val="007E24EC"/>
    <w:rsid w:val="007E2823"/>
    <w:rsid w:val="007E2DDF"/>
    <w:rsid w:val="007E3012"/>
    <w:rsid w:val="007E3889"/>
    <w:rsid w:val="007E3D4C"/>
    <w:rsid w:val="007E465B"/>
    <w:rsid w:val="007E4965"/>
    <w:rsid w:val="007E5533"/>
    <w:rsid w:val="007E6346"/>
    <w:rsid w:val="007E63FE"/>
    <w:rsid w:val="007E672B"/>
    <w:rsid w:val="007E6927"/>
    <w:rsid w:val="007E6999"/>
    <w:rsid w:val="007E7687"/>
    <w:rsid w:val="007F018A"/>
    <w:rsid w:val="007F02E1"/>
    <w:rsid w:val="007F05A2"/>
    <w:rsid w:val="007F07EF"/>
    <w:rsid w:val="007F0827"/>
    <w:rsid w:val="007F0A0A"/>
    <w:rsid w:val="007F0CBA"/>
    <w:rsid w:val="007F0E08"/>
    <w:rsid w:val="007F0E87"/>
    <w:rsid w:val="007F1017"/>
    <w:rsid w:val="007F1D6C"/>
    <w:rsid w:val="007F332D"/>
    <w:rsid w:val="007F3702"/>
    <w:rsid w:val="007F3CE2"/>
    <w:rsid w:val="007F3DCC"/>
    <w:rsid w:val="007F44D7"/>
    <w:rsid w:val="007F45E4"/>
    <w:rsid w:val="007F491D"/>
    <w:rsid w:val="007F4A3F"/>
    <w:rsid w:val="007F4A61"/>
    <w:rsid w:val="007F5255"/>
    <w:rsid w:val="007F5418"/>
    <w:rsid w:val="007F56CC"/>
    <w:rsid w:val="007F5A12"/>
    <w:rsid w:val="007F5A52"/>
    <w:rsid w:val="007F5DA8"/>
    <w:rsid w:val="007F5E71"/>
    <w:rsid w:val="007F5F05"/>
    <w:rsid w:val="007F61C2"/>
    <w:rsid w:val="007F637B"/>
    <w:rsid w:val="007F6565"/>
    <w:rsid w:val="007F6823"/>
    <w:rsid w:val="007F6CAB"/>
    <w:rsid w:val="007F7ACE"/>
    <w:rsid w:val="007F7F7A"/>
    <w:rsid w:val="007F7FCC"/>
    <w:rsid w:val="0080121F"/>
    <w:rsid w:val="008025A2"/>
    <w:rsid w:val="00802747"/>
    <w:rsid w:val="00802DA5"/>
    <w:rsid w:val="0080357D"/>
    <w:rsid w:val="008036A4"/>
    <w:rsid w:val="00803A4E"/>
    <w:rsid w:val="00804484"/>
    <w:rsid w:val="008045C2"/>
    <w:rsid w:val="00804665"/>
    <w:rsid w:val="00804891"/>
    <w:rsid w:val="00804958"/>
    <w:rsid w:val="00805142"/>
    <w:rsid w:val="008052F5"/>
    <w:rsid w:val="00805BA0"/>
    <w:rsid w:val="00805F98"/>
    <w:rsid w:val="00805FCE"/>
    <w:rsid w:val="008063DB"/>
    <w:rsid w:val="00807A8B"/>
    <w:rsid w:val="00810D23"/>
    <w:rsid w:val="00811383"/>
    <w:rsid w:val="0081147D"/>
    <w:rsid w:val="008118D3"/>
    <w:rsid w:val="00811AB9"/>
    <w:rsid w:val="00812149"/>
    <w:rsid w:val="008121EF"/>
    <w:rsid w:val="0081278F"/>
    <w:rsid w:val="00812979"/>
    <w:rsid w:val="00812CAC"/>
    <w:rsid w:val="008138FC"/>
    <w:rsid w:val="00813E8C"/>
    <w:rsid w:val="00814038"/>
    <w:rsid w:val="00814B9F"/>
    <w:rsid w:val="00814E25"/>
    <w:rsid w:val="00815369"/>
    <w:rsid w:val="00816361"/>
    <w:rsid w:val="0081657C"/>
    <w:rsid w:val="008166EF"/>
    <w:rsid w:val="00816A57"/>
    <w:rsid w:val="00816FEF"/>
    <w:rsid w:val="0081713A"/>
    <w:rsid w:val="00817730"/>
    <w:rsid w:val="00817B4D"/>
    <w:rsid w:val="00820046"/>
    <w:rsid w:val="008209D4"/>
    <w:rsid w:val="00820A8C"/>
    <w:rsid w:val="00820B67"/>
    <w:rsid w:val="00820D11"/>
    <w:rsid w:val="00820F9E"/>
    <w:rsid w:val="008215FB"/>
    <w:rsid w:val="0082184C"/>
    <w:rsid w:val="00823174"/>
    <w:rsid w:val="00823216"/>
    <w:rsid w:val="0082328C"/>
    <w:rsid w:val="00823EAE"/>
    <w:rsid w:val="008242B2"/>
    <w:rsid w:val="00824534"/>
    <w:rsid w:val="00824706"/>
    <w:rsid w:val="00824C17"/>
    <w:rsid w:val="008250A3"/>
    <w:rsid w:val="00825255"/>
    <w:rsid w:val="00825751"/>
    <w:rsid w:val="00825D0C"/>
    <w:rsid w:val="00825E67"/>
    <w:rsid w:val="00825E96"/>
    <w:rsid w:val="0082623B"/>
    <w:rsid w:val="00826459"/>
    <w:rsid w:val="008264EB"/>
    <w:rsid w:val="00826D2E"/>
    <w:rsid w:val="00826EA3"/>
    <w:rsid w:val="00827027"/>
    <w:rsid w:val="00827306"/>
    <w:rsid w:val="008279F6"/>
    <w:rsid w:val="00830250"/>
    <w:rsid w:val="00830352"/>
    <w:rsid w:val="00830D72"/>
    <w:rsid w:val="00830FE9"/>
    <w:rsid w:val="00831451"/>
    <w:rsid w:val="00831618"/>
    <w:rsid w:val="0083203E"/>
    <w:rsid w:val="0083236B"/>
    <w:rsid w:val="00832417"/>
    <w:rsid w:val="00832496"/>
    <w:rsid w:val="00832506"/>
    <w:rsid w:val="0083271D"/>
    <w:rsid w:val="00832A5F"/>
    <w:rsid w:val="00833766"/>
    <w:rsid w:val="00833B05"/>
    <w:rsid w:val="00833C8B"/>
    <w:rsid w:val="008341EB"/>
    <w:rsid w:val="00834DC3"/>
    <w:rsid w:val="00834DE6"/>
    <w:rsid w:val="00834FE0"/>
    <w:rsid w:val="008354B3"/>
    <w:rsid w:val="00835AE1"/>
    <w:rsid w:val="008362A3"/>
    <w:rsid w:val="008362B4"/>
    <w:rsid w:val="00836624"/>
    <w:rsid w:val="00836A53"/>
    <w:rsid w:val="00836DFE"/>
    <w:rsid w:val="00837588"/>
    <w:rsid w:val="00837B65"/>
    <w:rsid w:val="00837CB3"/>
    <w:rsid w:val="008409CB"/>
    <w:rsid w:val="00840CA2"/>
    <w:rsid w:val="00841172"/>
    <w:rsid w:val="00841866"/>
    <w:rsid w:val="00841B27"/>
    <w:rsid w:val="00842281"/>
    <w:rsid w:val="00842C1B"/>
    <w:rsid w:val="008432B1"/>
    <w:rsid w:val="008435FA"/>
    <w:rsid w:val="0084374F"/>
    <w:rsid w:val="008438DB"/>
    <w:rsid w:val="00843D0C"/>
    <w:rsid w:val="0084400E"/>
    <w:rsid w:val="0084426D"/>
    <w:rsid w:val="00844468"/>
    <w:rsid w:val="008446D9"/>
    <w:rsid w:val="008447C3"/>
    <w:rsid w:val="00844A22"/>
    <w:rsid w:val="00844CD0"/>
    <w:rsid w:val="00844D58"/>
    <w:rsid w:val="00845128"/>
    <w:rsid w:val="00845372"/>
    <w:rsid w:val="00845B55"/>
    <w:rsid w:val="00846098"/>
    <w:rsid w:val="0084613A"/>
    <w:rsid w:val="00846246"/>
    <w:rsid w:val="00846381"/>
    <w:rsid w:val="008465C2"/>
    <w:rsid w:val="0084680A"/>
    <w:rsid w:val="00846EAA"/>
    <w:rsid w:val="00847038"/>
    <w:rsid w:val="00847703"/>
    <w:rsid w:val="00847DF5"/>
    <w:rsid w:val="00850147"/>
    <w:rsid w:val="00851550"/>
    <w:rsid w:val="00851A73"/>
    <w:rsid w:val="00851BFE"/>
    <w:rsid w:val="00852623"/>
    <w:rsid w:val="008528AF"/>
    <w:rsid w:val="00852A1A"/>
    <w:rsid w:val="0085309D"/>
    <w:rsid w:val="00853B35"/>
    <w:rsid w:val="00854345"/>
    <w:rsid w:val="008551E5"/>
    <w:rsid w:val="008554F6"/>
    <w:rsid w:val="00855643"/>
    <w:rsid w:val="008559D7"/>
    <w:rsid w:val="00856897"/>
    <w:rsid w:val="00856A9E"/>
    <w:rsid w:val="00856BC9"/>
    <w:rsid w:val="00856D1B"/>
    <w:rsid w:val="00856E9A"/>
    <w:rsid w:val="008573EF"/>
    <w:rsid w:val="00857593"/>
    <w:rsid w:val="00857DB0"/>
    <w:rsid w:val="00857DFF"/>
    <w:rsid w:val="00860352"/>
    <w:rsid w:val="0086075D"/>
    <w:rsid w:val="00860CCA"/>
    <w:rsid w:val="00860DB0"/>
    <w:rsid w:val="008614F4"/>
    <w:rsid w:val="008621B1"/>
    <w:rsid w:val="00862502"/>
    <w:rsid w:val="00862CC1"/>
    <w:rsid w:val="00862F03"/>
    <w:rsid w:val="00863853"/>
    <w:rsid w:val="00863D79"/>
    <w:rsid w:val="008651D5"/>
    <w:rsid w:val="008655C8"/>
    <w:rsid w:val="0086560D"/>
    <w:rsid w:val="008659D9"/>
    <w:rsid w:val="008660D4"/>
    <w:rsid w:val="0086663D"/>
    <w:rsid w:val="0086671A"/>
    <w:rsid w:val="008667BA"/>
    <w:rsid w:val="00867442"/>
    <w:rsid w:val="00867863"/>
    <w:rsid w:val="00867ADC"/>
    <w:rsid w:val="00870662"/>
    <w:rsid w:val="00870DB6"/>
    <w:rsid w:val="00870EDA"/>
    <w:rsid w:val="00870FD1"/>
    <w:rsid w:val="008715B0"/>
    <w:rsid w:val="00871FA9"/>
    <w:rsid w:val="0087287A"/>
    <w:rsid w:val="008728E9"/>
    <w:rsid w:val="00872B09"/>
    <w:rsid w:val="00872C50"/>
    <w:rsid w:val="00872FE5"/>
    <w:rsid w:val="00873168"/>
    <w:rsid w:val="00873221"/>
    <w:rsid w:val="008735ED"/>
    <w:rsid w:val="00873623"/>
    <w:rsid w:val="008738B2"/>
    <w:rsid w:val="008739F7"/>
    <w:rsid w:val="00873C45"/>
    <w:rsid w:val="00873D87"/>
    <w:rsid w:val="0087410A"/>
    <w:rsid w:val="008744CD"/>
    <w:rsid w:val="008748A5"/>
    <w:rsid w:val="00874BD1"/>
    <w:rsid w:val="00875078"/>
    <w:rsid w:val="008759F9"/>
    <w:rsid w:val="00875C35"/>
    <w:rsid w:val="00876095"/>
    <w:rsid w:val="00876751"/>
    <w:rsid w:val="00876B36"/>
    <w:rsid w:val="00876BFF"/>
    <w:rsid w:val="00876D42"/>
    <w:rsid w:val="00876DC8"/>
    <w:rsid w:val="008772F5"/>
    <w:rsid w:val="00877557"/>
    <w:rsid w:val="008779BC"/>
    <w:rsid w:val="00877DB2"/>
    <w:rsid w:val="00880212"/>
    <w:rsid w:val="008803A4"/>
    <w:rsid w:val="00880F8E"/>
    <w:rsid w:val="008810C5"/>
    <w:rsid w:val="00882009"/>
    <w:rsid w:val="00882196"/>
    <w:rsid w:val="0088245A"/>
    <w:rsid w:val="00882874"/>
    <w:rsid w:val="00882A60"/>
    <w:rsid w:val="00882ACC"/>
    <w:rsid w:val="00882C2C"/>
    <w:rsid w:val="00882E3C"/>
    <w:rsid w:val="008831A8"/>
    <w:rsid w:val="008836C1"/>
    <w:rsid w:val="00883787"/>
    <w:rsid w:val="0088394E"/>
    <w:rsid w:val="00883AC8"/>
    <w:rsid w:val="00883CAC"/>
    <w:rsid w:val="00884C32"/>
    <w:rsid w:val="00884D75"/>
    <w:rsid w:val="008852D8"/>
    <w:rsid w:val="008854FF"/>
    <w:rsid w:val="008855E4"/>
    <w:rsid w:val="0088583E"/>
    <w:rsid w:val="0088690A"/>
    <w:rsid w:val="00886CD2"/>
    <w:rsid w:val="00887916"/>
    <w:rsid w:val="00887E66"/>
    <w:rsid w:val="00887EA7"/>
    <w:rsid w:val="00887FC3"/>
    <w:rsid w:val="008904B0"/>
    <w:rsid w:val="0089092E"/>
    <w:rsid w:val="00890F41"/>
    <w:rsid w:val="0089120F"/>
    <w:rsid w:val="0089152A"/>
    <w:rsid w:val="00891887"/>
    <w:rsid w:val="00891E6F"/>
    <w:rsid w:val="00891FD8"/>
    <w:rsid w:val="0089275D"/>
    <w:rsid w:val="008928AD"/>
    <w:rsid w:val="00892A36"/>
    <w:rsid w:val="00892D36"/>
    <w:rsid w:val="00893239"/>
    <w:rsid w:val="008932BF"/>
    <w:rsid w:val="00893429"/>
    <w:rsid w:val="00893759"/>
    <w:rsid w:val="00894315"/>
    <w:rsid w:val="00894475"/>
    <w:rsid w:val="00894489"/>
    <w:rsid w:val="00894889"/>
    <w:rsid w:val="00894A59"/>
    <w:rsid w:val="008956EF"/>
    <w:rsid w:val="00896393"/>
    <w:rsid w:val="008963A5"/>
    <w:rsid w:val="0089651C"/>
    <w:rsid w:val="0089683E"/>
    <w:rsid w:val="00896A96"/>
    <w:rsid w:val="00896B4B"/>
    <w:rsid w:val="00896D5D"/>
    <w:rsid w:val="008975B9"/>
    <w:rsid w:val="00897A7E"/>
    <w:rsid w:val="00897E52"/>
    <w:rsid w:val="00897ED5"/>
    <w:rsid w:val="00897F27"/>
    <w:rsid w:val="008A06C3"/>
    <w:rsid w:val="008A10C6"/>
    <w:rsid w:val="008A1647"/>
    <w:rsid w:val="008A164B"/>
    <w:rsid w:val="008A19D2"/>
    <w:rsid w:val="008A241F"/>
    <w:rsid w:val="008A2FAB"/>
    <w:rsid w:val="008A3363"/>
    <w:rsid w:val="008A3371"/>
    <w:rsid w:val="008A3C3E"/>
    <w:rsid w:val="008A42CB"/>
    <w:rsid w:val="008A46AC"/>
    <w:rsid w:val="008A522C"/>
    <w:rsid w:val="008A55EA"/>
    <w:rsid w:val="008A5677"/>
    <w:rsid w:val="008A58ED"/>
    <w:rsid w:val="008A5922"/>
    <w:rsid w:val="008A5CB2"/>
    <w:rsid w:val="008A5CFE"/>
    <w:rsid w:val="008A623C"/>
    <w:rsid w:val="008A6864"/>
    <w:rsid w:val="008A6AB5"/>
    <w:rsid w:val="008A6EF6"/>
    <w:rsid w:val="008A7218"/>
    <w:rsid w:val="008A7366"/>
    <w:rsid w:val="008A76D1"/>
    <w:rsid w:val="008A79DE"/>
    <w:rsid w:val="008A79F3"/>
    <w:rsid w:val="008B081A"/>
    <w:rsid w:val="008B1525"/>
    <w:rsid w:val="008B1625"/>
    <w:rsid w:val="008B1757"/>
    <w:rsid w:val="008B2039"/>
    <w:rsid w:val="008B3290"/>
    <w:rsid w:val="008B387C"/>
    <w:rsid w:val="008B43EA"/>
    <w:rsid w:val="008B4988"/>
    <w:rsid w:val="008B5072"/>
    <w:rsid w:val="008B6A1D"/>
    <w:rsid w:val="008B6D09"/>
    <w:rsid w:val="008B6F24"/>
    <w:rsid w:val="008B7440"/>
    <w:rsid w:val="008B7454"/>
    <w:rsid w:val="008B7741"/>
    <w:rsid w:val="008B7992"/>
    <w:rsid w:val="008B7A3E"/>
    <w:rsid w:val="008B7D7E"/>
    <w:rsid w:val="008C00F0"/>
    <w:rsid w:val="008C061C"/>
    <w:rsid w:val="008C088B"/>
    <w:rsid w:val="008C0BF5"/>
    <w:rsid w:val="008C0EDA"/>
    <w:rsid w:val="008C1860"/>
    <w:rsid w:val="008C1FEC"/>
    <w:rsid w:val="008C22D9"/>
    <w:rsid w:val="008C2E0D"/>
    <w:rsid w:val="008C2E21"/>
    <w:rsid w:val="008C33E4"/>
    <w:rsid w:val="008C42EA"/>
    <w:rsid w:val="008C4552"/>
    <w:rsid w:val="008C541B"/>
    <w:rsid w:val="008C5610"/>
    <w:rsid w:val="008C5739"/>
    <w:rsid w:val="008C59A6"/>
    <w:rsid w:val="008C5A4D"/>
    <w:rsid w:val="008C5E41"/>
    <w:rsid w:val="008C6034"/>
    <w:rsid w:val="008C6924"/>
    <w:rsid w:val="008C692B"/>
    <w:rsid w:val="008C776C"/>
    <w:rsid w:val="008C7ECB"/>
    <w:rsid w:val="008D010A"/>
    <w:rsid w:val="008D096F"/>
    <w:rsid w:val="008D0F4C"/>
    <w:rsid w:val="008D0FCF"/>
    <w:rsid w:val="008D1B0F"/>
    <w:rsid w:val="008D2467"/>
    <w:rsid w:val="008D2E72"/>
    <w:rsid w:val="008D31B3"/>
    <w:rsid w:val="008D3704"/>
    <w:rsid w:val="008D3728"/>
    <w:rsid w:val="008D37B9"/>
    <w:rsid w:val="008D3972"/>
    <w:rsid w:val="008D3B86"/>
    <w:rsid w:val="008D4518"/>
    <w:rsid w:val="008D4755"/>
    <w:rsid w:val="008D49C0"/>
    <w:rsid w:val="008D4C3D"/>
    <w:rsid w:val="008D4F63"/>
    <w:rsid w:val="008D519E"/>
    <w:rsid w:val="008D599D"/>
    <w:rsid w:val="008D5D37"/>
    <w:rsid w:val="008D6059"/>
    <w:rsid w:val="008D60FD"/>
    <w:rsid w:val="008D63C6"/>
    <w:rsid w:val="008D71DE"/>
    <w:rsid w:val="008D71E6"/>
    <w:rsid w:val="008D73EC"/>
    <w:rsid w:val="008D743C"/>
    <w:rsid w:val="008D76E6"/>
    <w:rsid w:val="008D77C3"/>
    <w:rsid w:val="008D7999"/>
    <w:rsid w:val="008D7B78"/>
    <w:rsid w:val="008D7DEF"/>
    <w:rsid w:val="008D7E3C"/>
    <w:rsid w:val="008E03D0"/>
    <w:rsid w:val="008E0D1E"/>
    <w:rsid w:val="008E0D3C"/>
    <w:rsid w:val="008E11F1"/>
    <w:rsid w:val="008E1661"/>
    <w:rsid w:val="008E1B3B"/>
    <w:rsid w:val="008E1B9E"/>
    <w:rsid w:val="008E1C32"/>
    <w:rsid w:val="008E1EA5"/>
    <w:rsid w:val="008E2A01"/>
    <w:rsid w:val="008E2C65"/>
    <w:rsid w:val="008E2C9B"/>
    <w:rsid w:val="008E2CDD"/>
    <w:rsid w:val="008E2DAB"/>
    <w:rsid w:val="008E2F66"/>
    <w:rsid w:val="008E304E"/>
    <w:rsid w:val="008E3CE3"/>
    <w:rsid w:val="008E3D30"/>
    <w:rsid w:val="008E4F6F"/>
    <w:rsid w:val="008E55AB"/>
    <w:rsid w:val="008E5808"/>
    <w:rsid w:val="008E5D20"/>
    <w:rsid w:val="008E5FBD"/>
    <w:rsid w:val="008E62D1"/>
    <w:rsid w:val="008E693D"/>
    <w:rsid w:val="008E6DE0"/>
    <w:rsid w:val="008E70BD"/>
    <w:rsid w:val="008E7744"/>
    <w:rsid w:val="008E78FF"/>
    <w:rsid w:val="008E7EE8"/>
    <w:rsid w:val="008F018B"/>
    <w:rsid w:val="008F0243"/>
    <w:rsid w:val="008F03A7"/>
    <w:rsid w:val="008F0906"/>
    <w:rsid w:val="008F120A"/>
    <w:rsid w:val="008F1754"/>
    <w:rsid w:val="008F1DB2"/>
    <w:rsid w:val="008F1F9B"/>
    <w:rsid w:val="008F21A0"/>
    <w:rsid w:val="008F2437"/>
    <w:rsid w:val="008F24B4"/>
    <w:rsid w:val="008F27E0"/>
    <w:rsid w:val="008F2EC4"/>
    <w:rsid w:val="008F3ACE"/>
    <w:rsid w:val="008F3BB1"/>
    <w:rsid w:val="008F4172"/>
    <w:rsid w:val="008F48EB"/>
    <w:rsid w:val="008F490F"/>
    <w:rsid w:val="008F4954"/>
    <w:rsid w:val="008F4A93"/>
    <w:rsid w:val="008F4C21"/>
    <w:rsid w:val="008F4F0B"/>
    <w:rsid w:val="008F5470"/>
    <w:rsid w:val="008F553E"/>
    <w:rsid w:val="008F5939"/>
    <w:rsid w:val="008F5CEB"/>
    <w:rsid w:val="008F631A"/>
    <w:rsid w:val="008F6C2A"/>
    <w:rsid w:val="008F706D"/>
    <w:rsid w:val="0090097C"/>
    <w:rsid w:val="00902673"/>
    <w:rsid w:val="00902754"/>
    <w:rsid w:val="0090285E"/>
    <w:rsid w:val="00902A64"/>
    <w:rsid w:val="009033F9"/>
    <w:rsid w:val="00903837"/>
    <w:rsid w:val="00903F0B"/>
    <w:rsid w:val="00904194"/>
    <w:rsid w:val="00904278"/>
    <w:rsid w:val="0090438A"/>
    <w:rsid w:val="009046C4"/>
    <w:rsid w:val="009049B4"/>
    <w:rsid w:val="00904E62"/>
    <w:rsid w:val="00905210"/>
    <w:rsid w:val="009059B9"/>
    <w:rsid w:val="00905B7A"/>
    <w:rsid w:val="00906027"/>
    <w:rsid w:val="009060E1"/>
    <w:rsid w:val="00906155"/>
    <w:rsid w:val="009062A5"/>
    <w:rsid w:val="00906BD2"/>
    <w:rsid w:val="00906F1B"/>
    <w:rsid w:val="00907789"/>
    <w:rsid w:val="00910FA7"/>
    <w:rsid w:val="00910FC2"/>
    <w:rsid w:val="00911272"/>
    <w:rsid w:val="009124BE"/>
    <w:rsid w:val="00912DFD"/>
    <w:rsid w:val="0091302D"/>
    <w:rsid w:val="009131A0"/>
    <w:rsid w:val="009135D6"/>
    <w:rsid w:val="009136EC"/>
    <w:rsid w:val="00913B72"/>
    <w:rsid w:val="00913C93"/>
    <w:rsid w:val="00913DAD"/>
    <w:rsid w:val="00914115"/>
    <w:rsid w:val="009141E4"/>
    <w:rsid w:val="00914999"/>
    <w:rsid w:val="00914C77"/>
    <w:rsid w:val="00914D3A"/>
    <w:rsid w:val="00914DE5"/>
    <w:rsid w:val="00915A8C"/>
    <w:rsid w:val="00916398"/>
    <w:rsid w:val="00916813"/>
    <w:rsid w:val="00916934"/>
    <w:rsid w:val="00917922"/>
    <w:rsid w:val="009200F2"/>
    <w:rsid w:val="00920707"/>
    <w:rsid w:val="009207C3"/>
    <w:rsid w:val="00921360"/>
    <w:rsid w:val="00921853"/>
    <w:rsid w:val="00921ACB"/>
    <w:rsid w:val="00922009"/>
    <w:rsid w:val="00922204"/>
    <w:rsid w:val="00923065"/>
    <w:rsid w:val="009231F9"/>
    <w:rsid w:val="0092369B"/>
    <w:rsid w:val="00923B32"/>
    <w:rsid w:val="0092461E"/>
    <w:rsid w:val="00924C82"/>
    <w:rsid w:val="00925348"/>
    <w:rsid w:val="00925FEC"/>
    <w:rsid w:val="009268B0"/>
    <w:rsid w:val="00926EAD"/>
    <w:rsid w:val="00926ED4"/>
    <w:rsid w:val="00927842"/>
    <w:rsid w:val="00930267"/>
    <w:rsid w:val="00930B96"/>
    <w:rsid w:val="00930BBD"/>
    <w:rsid w:val="00930D4F"/>
    <w:rsid w:val="0093108D"/>
    <w:rsid w:val="00931524"/>
    <w:rsid w:val="00931B00"/>
    <w:rsid w:val="00931BF7"/>
    <w:rsid w:val="00931C03"/>
    <w:rsid w:val="009325D6"/>
    <w:rsid w:val="0093270A"/>
    <w:rsid w:val="0093277A"/>
    <w:rsid w:val="009327F9"/>
    <w:rsid w:val="00932975"/>
    <w:rsid w:val="00932DF3"/>
    <w:rsid w:val="00932EFF"/>
    <w:rsid w:val="009335D2"/>
    <w:rsid w:val="00933785"/>
    <w:rsid w:val="00933EA7"/>
    <w:rsid w:val="0093489D"/>
    <w:rsid w:val="00934988"/>
    <w:rsid w:val="00935015"/>
    <w:rsid w:val="0093508B"/>
    <w:rsid w:val="0093552B"/>
    <w:rsid w:val="00935750"/>
    <w:rsid w:val="00935B54"/>
    <w:rsid w:val="00935C18"/>
    <w:rsid w:val="00935DA7"/>
    <w:rsid w:val="00936372"/>
    <w:rsid w:val="00936628"/>
    <w:rsid w:val="00936C34"/>
    <w:rsid w:val="00936F52"/>
    <w:rsid w:val="00937089"/>
    <w:rsid w:val="00937DCF"/>
    <w:rsid w:val="00937F00"/>
    <w:rsid w:val="009407F9"/>
    <w:rsid w:val="0094171E"/>
    <w:rsid w:val="00941816"/>
    <w:rsid w:val="009422A9"/>
    <w:rsid w:val="00942CC6"/>
    <w:rsid w:val="00942DAF"/>
    <w:rsid w:val="00942E8E"/>
    <w:rsid w:val="009431DB"/>
    <w:rsid w:val="00943ABF"/>
    <w:rsid w:val="009443CA"/>
    <w:rsid w:val="00944882"/>
    <w:rsid w:val="00944F72"/>
    <w:rsid w:val="00944F7A"/>
    <w:rsid w:val="00944F8A"/>
    <w:rsid w:val="0094523B"/>
    <w:rsid w:val="009456F9"/>
    <w:rsid w:val="009459DF"/>
    <w:rsid w:val="00946102"/>
    <w:rsid w:val="009466DC"/>
    <w:rsid w:val="00946D86"/>
    <w:rsid w:val="00947294"/>
    <w:rsid w:val="00947A11"/>
    <w:rsid w:val="00947EDA"/>
    <w:rsid w:val="00947F2B"/>
    <w:rsid w:val="00950514"/>
    <w:rsid w:val="00950638"/>
    <w:rsid w:val="009509A2"/>
    <w:rsid w:val="009510A2"/>
    <w:rsid w:val="0095185D"/>
    <w:rsid w:val="009518D1"/>
    <w:rsid w:val="00951967"/>
    <w:rsid w:val="00951B46"/>
    <w:rsid w:val="0095205F"/>
    <w:rsid w:val="0095255A"/>
    <w:rsid w:val="00952634"/>
    <w:rsid w:val="0095298A"/>
    <w:rsid w:val="00952FBA"/>
    <w:rsid w:val="00953257"/>
    <w:rsid w:val="00954396"/>
    <w:rsid w:val="0095453A"/>
    <w:rsid w:val="0095474C"/>
    <w:rsid w:val="009548FB"/>
    <w:rsid w:val="00954B29"/>
    <w:rsid w:val="00955024"/>
    <w:rsid w:val="00955124"/>
    <w:rsid w:val="009560EA"/>
    <w:rsid w:val="009569D5"/>
    <w:rsid w:val="00956F6E"/>
    <w:rsid w:val="009570C4"/>
    <w:rsid w:val="009570D4"/>
    <w:rsid w:val="0095761B"/>
    <w:rsid w:val="0095777D"/>
    <w:rsid w:val="00960064"/>
    <w:rsid w:val="0096055C"/>
    <w:rsid w:val="00960632"/>
    <w:rsid w:val="009607C0"/>
    <w:rsid w:val="00960BD1"/>
    <w:rsid w:val="009611DD"/>
    <w:rsid w:val="0096141C"/>
    <w:rsid w:val="009614A5"/>
    <w:rsid w:val="00961E7F"/>
    <w:rsid w:val="00962360"/>
    <w:rsid w:val="00962CB9"/>
    <w:rsid w:val="00962F9A"/>
    <w:rsid w:val="00963849"/>
    <w:rsid w:val="00964312"/>
    <w:rsid w:val="0096456F"/>
    <w:rsid w:val="0096467D"/>
    <w:rsid w:val="0096477E"/>
    <w:rsid w:val="00964E47"/>
    <w:rsid w:val="009654B0"/>
    <w:rsid w:val="00965B6F"/>
    <w:rsid w:val="00965B8A"/>
    <w:rsid w:val="00965D47"/>
    <w:rsid w:val="00965D6B"/>
    <w:rsid w:val="0096629A"/>
    <w:rsid w:val="00966D94"/>
    <w:rsid w:val="00966F4D"/>
    <w:rsid w:val="009679B3"/>
    <w:rsid w:val="00967D84"/>
    <w:rsid w:val="00970088"/>
    <w:rsid w:val="009701B9"/>
    <w:rsid w:val="0097071F"/>
    <w:rsid w:val="00970BC2"/>
    <w:rsid w:val="00971533"/>
    <w:rsid w:val="009715C2"/>
    <w:rsid w:val="009717AC"/>
    <w:rsid w:val="00972079"/>
    <w:rsid w:val="009720B0"/>
    <w:rsid w:val="009724DB"/>
    <w:rsid w:val="00972FAC"/>
    <w:rsid w:val="0097318F"/>
    <w:rsid w:val="00973960"/>
    <w:rsid w:val="00973A1B"/>
    <w:rsid w:val="00973D7C"/>
    <w:rsid w:val="00973E5A"/>
    <w:rsid w:val="009740C5"/>
    <w:rsid w:val="00974233"/>
    <w:rsid w:val="009745EA"/>
    <w:rsid w:val="00974715"/>
    <w:rsid w:val="00974779"/>
    <w:rsid w:val="009751C1"/>
    <w:rsid w:val="00975E28"/>
    <w:rsid w:val="009760FF"/>
    <w:rsid w:val="0097639F"/>
    <w:rsid w:val="009764E2"/>
    <w:rsid w:val="009765F8"/>
    <w:rsid w:val="00976828"/>
    <w:rsid w:val="0097687E"/>
    <w:rsid w:val="00977608"/>
    <w:rsid w:val="009776DB"/>
    <w:rsid w:val="0097771B"/>
    <w:rsid w:val="00980481"/>
    <w:rsid w:val="00980847"/>
    <w:rsid w:val="00980DA7"/>
    <w:rsid w:val="00981001"/>
    <w:rsid w:val="009811F1"/>
    <w:rsid w:val="009812F6"/>
    <w:rsid w:val="00981937"/>
    <w:rsid w:val="00981DE9"/>
    <w:rsid w:val="00982CA6"/>
    <w:rsid w:val="00982D44"/>
    <w:rsid w:val="00982ED8"/>
    <w:rsid w:val="00983E57"/>
    <w:rsid w:val="00984A29"/>
    <w:rsid w:val="00985218"/>
    <w:rsid w:val="009858F2"/>
    <w:rsid w:val="00985DE2"/>
    <w:rsid w:val="009865A0"/>
    <w:rsid w:val="0098675D"/>
    <w:rsid w:val="009874DD"/>
    <w:rsid w:val="0098766B"/>
    <w:rsid w:val="00987BCF"/>
    <w:rsid w:val="00987CB0"/>
    <w:rsid w:val="009910D7"/>
    <w:rsid w:val="009910FA"/>
    <w:rsid w:val="0099111E"/>
    <w:rsid w:val="009926E0"/>
    <w:rsid w:val="00992C74"/>
    <w:rsid w:val="00992D0A"/>
    <w:rsid w:val="00992E00"/>
    <w:rsid w:val="0099348C"/>
    <w:rsid w:val="00993518"/>
    <w:rsid w:val="0099361D"/>
    <w:rsid w:val="00993A26"/>
    <w:rsid w:val="00993F04"/>
    <w:rsid w:val="0099451E"/>
    <w:rsid w:val="009952CF"/>
    <w:rsid w:val="00995390"/>
    <w:rsid w:val="00995E67"/>
    <w:rsid w:val="0099608A"/>
    <w:rsid w:val="0099623A"/>
    <w:rsid w:val="0099696A"/>
    <w:rsid w:val="00996B1A"/>
    <w:rsid w:val="00997677"/>
    <w:rsid w:val="009977A2"/>
    <w:rsid w:val="00997DE6"/>
    <w:rsid w:val="009A05CF"/>
    <w:rsid w:val="009A08AC"/>
    <w:rsid w:val="009A1975"/>
    <w:rsid w:val="009A25A3"/>
    <w:rsid w:val="009A25C7"/>
    <w:rsid w:val="009A28F6"/>
    <w:rsid w:val="009A2920"/>
    <w:rsid w:val="009A2DCC"/>
    <w:rsid w:val="009A3016"/>
    <w:rsid w:val="009A30C4"/>
    <w:rsid w:val="009A3218"/>
    <w:rsid w:val="009A3572"/>
    <w:rsid w:val="009A375F"/>
    <w:rsid w:val="009A3B5C"/>
    <w:rsid w:val="009A3CED"/>
    <w:rsid w:val="009A402E"/>
    <w:rsid w:val="009A4219"/>
    <w:rsid w:val="009A4587"/>
    <w:rsid w:val="009A490D"/>
    <w:rsid w:val="009A5ABC"/>
    <w:rsid w:val="009A5D3E"/>
    <w:rsid w:val="009A7E8F"/>
    <w:rsid w:val="009A7EE9"/>
    <w:rsid w:val="009A7F10"/>
    <w:rsid w:val="009B04A5"/>
    <w:rsid w:val="009B04F2"/>
    <w:rsid w:val="009B057D"/>
    <w:rsid w:val="009B0CF6"/>
    <w:rsid w:val="009B0D88"/>
    <w:rsid w:val="009B0DC9"/>
    <w:rsid w:val="009B1083"/>
    <w:rsid w:val="009B1654"/>
    <w:rsid w:val="009B1F2C"/>
    <w:rsid w:val="009B205F"/>
    <w:rsid w:val="009B27B0"/>
    <w:rsid w:val="009B3159"/>
    <w:rsid w:val="009B332D"/>
    <w:rsid w:val="009B3D9A"/>
    <w:rsid w:val="009B3E26"/>
    <w:rsid w:val="009B4156"/>
    <w:rsid w:val="009B41B0"/>
    <w:rsid w:val="009B43A3"/>
    <w:rsid w:val="009B48D8"/>
    <w:rsid w:val="009B5096"/>
    <w:rsid w:val="009B6E0A"/>
    <w:rsid w:val="009B6F94"/>
    <w:rsid w:val="009B70CC"/>
    <w:rsid w:val="009B7BD7"/>
    <w:rsid w:val="009B7DB8"/>
    <w:rsid w:val="009C051E"/>
    <w:rsid w:val="009C0521"/>
    <w:rsid w:val="009C06E6"/>
    <w:rsid w:val="009C083B"/>
    <w:rsid w:val="009C0B60"/>
    <w:rsid w:val="009C1113"/>
    <w:rsid w:val="009C15B3"/>
    <w:rsid w:val="009C20D4"/>
    <w:rsid w:val="009C2787"/>
    <w:rsid w:val="009C2B3E"/>
    <w:rsid w:val="009C2E21"/>
    <w:rsid w:val="009C2E40"/>
    <w:rsid w:val="009C3706"/>
    <w:rsid w:val="009C3A3A"/>
    <w:rsid w:val="009C50EC"/>
    <w:rsid w:val="009C50FA"/>
    <w:rsid w:val="009C551C"/>
    <w:rsid w:val="009C6A46"/>
    <w:rsid w:val="009C6CEA"/>
    <w:rsid w:val="009C70F7"/>
    <w:rsid w:val="009C731C"/>
    <w:rsid w:val="009C7381"/>
    <w:rsid w:val="009C7B85"/>
    <w:rsid w:val="009C7C0E"/>
    <w:rsid w:val="009C7D0E"/>
    <w:rsid w:val="009D0254"/>
    <w:rsid w:val="009D051A"/>
    <w:rsid w:val="009D0537"/>
    <w:rsid w:val="009D0CE3"/>
    <w:rsid w:val="009D0D68"/>
    <w:rsid w:val="009D17AE"/>
    <w:rsid w:val="009D1A64"/>
    <w:rsid w:val="009D1EDB"/>
    <w:rsid w:val="009D2690"/>
    <w:rsid w:val="009D2F76"/>
    <w:rsid w:val="009D2FA6"/>
    <w:rsid w:val="009D36C3"/>
    <w:rsid w:val="009D3A4C"/>
    <w:rsid w:val="009D5B91"/>
    <w:rsid w:val="009D60CD"/>
    <w:rsid w:val="009D7055"/>
    <w:rsid w:val="009D71E9"/>
    <w:rsid w:val="009D72BC"/>
    <w:rsid w:val="009D759E"/>
    <w:rsid w:val="009D7761"/>
    <w:rsid w:val="009D77C4"/>
    <w:rsid w:val="009D792E"/>
    <w:rsid w:val="009D7A35"/>
    <w:rsid w:val="009D7DBD"/>
    <w:rsid w:val="009D7F84"/>
    <w:rsid w:val="009E0205"/>
    <w:rsid w:val="009E0540"/>
    <w:rsid w:val="009E0736"/>
    <w:rsid w:val="009E0C15"/>
    <w:rsid w:val="009E0CA5"/>
    <w:rsid w:val="009E0DFE"/>
    <w:rsid w:val="009E1130"/>
    <w:rsid w:val="009E155C"/>
    <w:rsid w:val="009E1FB2"/>
    <w:rsid w:val="009E2E2C"/>
    <w:rsid w:val="009E31F6"/>
    <w:rsid w:val="009E3B0E"/>
    <w:rsid w:val="009E3E41"/>
    <w:rsid w:val="009E3FBB"/>
    <w:rsid w:val="009E3FFA"/>
    <w:rsid w:val="009E411C"/>
    <w:rsid w:val="009E41B1"/>
    <w:rsid w:val="009E4218"/>
    <w:rsid w:val="009E4C07"/>
    <w:rsid w:val="009E4EAD"/>
    <w:rsid w:val="009E5148"/>
    <w:rsid w:val="009E5F45"/>
    <w:rsid w:val="009E5F63"/>
    <w:rsid w:val="009E5F68"/>
    <w:rsid w:val="009E62F0"/>
    <w:rsid w:val="009E6845"/>
    <w:rsid w:val="009E77DF"/>
    <w:rsid w:val="009E78D5"/>
    <w:rsid w:val="009E7C67"/>
    <w:rsid w:val="009E7D48"/>
    <w:rsid w:val="009F0453"/>
    <w:rsid w:val="009F0560"/>
    <w:rsid w:val="009F05D3"/>
    <w:rsid w:val="009F0923"/>
    <w:rsid w:val="009F0D00"/>
    <w:rsid w:val="009F0E66"/>
    <w:rsid w:val="009F15BE"/>
    <w:rsid w:val="009F18A0"/>
    <w:rsid w:val="009F1A63"/>
    <w:rsid w:val="009F1D45"/>
    <w:rsid w:val="009F259C"/>
    <w:rsid w:val="009F266B"/>
    <w:rsid w:val="009F287A"/>
    <w:rsid w:val="009F298E"/>
    <w:rsid w:val="009F37E4"/>
    <w:rsid w:val="009F3D58"/>
    <w:rsid w:val="009F472E"/>
    <w:rsid w:val="009F4BBB"/>
    <w:rsid w:val="009F5A20"/>
    <w:rsid w:val="009F74C0"/>
    <w:rsid w:val="009F7822"/>
    <w:rsid w:val="009F79C9"/>
    <w:rsid w:val="009F7DEE"/>
    <w:rsid w:val="00A00850"/>
    <w:rsid w:val="00A00970"/>
    <w:rsid w:val="00A00C10"/>
    <w:rsid w:val="00A00F33"/>
    <w:rsid w:val="00A01184"/>
    <w:rsid w:val="00A016AF"/>
    <w:rsid w:val="00A017D1"/>
    <w:rsid w:val="00A02407"/>
    <w:rsid w:val="00A024A9"/>
    <w:rsid w:val="00A027CF"/>
    <w:rsid w:val="00A0287B"/>
    <w:rsid w:val="00A02CF4"/>
    <w:rsid w:val="00A02ED6"/>
    <w:rsid w:val="00A02EEF"/>
    <w:rsid w:val="00A02F08"/>
    <w:rsid w:val="00A030A6"/>
    <w:rsid w:val="00A03351"/>
    <w:rsid w:val="00A033C9"/>
    <w:rsid w:val="00A03486"/>
    <w:rsid w:val="00A035B9"/>
    <w:rsid w:val="00A037C2"/>
    <w:rsid w:val="00A0396A"/>
    <w:rsid w:val="00A03D43"/>
    <w:rsid w:val="00A04380"/>
    <w:rsid w:val="00A04AC0"/>
    <w:rsid w:val="00A04CAC"/>
    <w:rsid w:val="00A04ED1"/>
    <w:rsid w:val="00A05472"/>
    <w:rsid w:val="00A05595"/>
    <w:rsid w:val="00A055A7"/>
    <w:rsid w:val="00A05BD3"/>
    <w:rsid w:val="00A05C32"/>
    <w:rsid w:val="00A06149"/>
    <w:rsid w:val="00A0653F"/>
    <w:rsid w:val="00A068D6"/>
    <w:rsid w:val="00A0698A"/>
    <w:rsid w:val="00A07627"/>
    <w:rsid w:val="00A07C19"/>
    <w:rsid w:val="00A10373"/>
    <w:rsid w:val="00A107E0"/>
    <w:rsid w:val="00A10BFD"/>
    <w:rsid w:val="00A11137"/>
    <w:rsid w:val="00A11528"/>
    <w:rsid w:val="00A11CD0"/>
    <w:rsid w:val="00A124FE"/>
    <w:rsid w:val="00A1265E"/>
    <w:rsid w:val="00A1298B"/>
    <w:rsid w:val="00A12D3C"/>
    <w:rsid w:val="00A12FB6"/>
    <w:rsid w:val="00A1306A"/>
    <w:rsid w:val="00A13688"/>
    <w:rsid w:val="00A13948"/>
    <w:rsid w:val="00A13ECE"/>
    <w:rsid w:val="00A1410A"/>
    <w:rsid w:val="00A152DC"/>
    <w:rsid w:val="00A1555B"/>
    <w:rsid w:val="00A15569"/>
    <w:rsid w:val="00A155C5"/>
    <w:rsid w:val="00A1627A"/>
    <w:rsid w:val="00A16367"/>
    <w:rsid w:val="00A16AD8"/>
    <w:rsid w:val="00A16FBF"/>
    <w:rsid w:val="00A17386"/>
    <w:rsid w:val="00A17451"/>
    <w:rsid w:val="00A1768E"/>
    <w:rsid w:val="00A1782A"/>
    <w:rsid w:val="00A17DDF"/>
    <w:rsid w:val="00A20B13"/>
    <w:rsid w:val="00A20B5B"/>
    <w:rsid w:val="00A20CC1"/>
    <w:rsid w:val="00A20F1F"/>
    <w:rsid w:val="00A21C95"/>
    <w:rsid w:val="00A21CBD"/>
    <w:rsid w:val="00A21CF3"/>
    <w:rsid w:val="00A21EAE"/>
    <w:rsid w:val="00A223F1"/>
    <w:rsid w:val="00A2264A"/>
    <w:rsid w:val="00A239D4"/>
    <w:rsid w:val="00A24813"/>
    <w:rsid w:val="00A24D9C"/>
    <w:rsid w:val="00A24E70"/>
    <w:rsid w:val="00A25658"/>
    <w:rsid w:val="00A2570A"/>
    <w:rsid w:val="00A25895"/>
    <w:rsid w:val="00A259FA"/>
    <w:rsid w:val="00A26832"/>
    <w:rsid w:val="00A26C3F"/>
    <w:rsid w:val="00A26FC3"/>
    <w:rsid w:val="00A270C5"/>
    <w:rsid w:val="00A27755"/>
    <w:rsid w:val="00A27AEC"/>
    <w:rsid w:val="00A30FE5"/>
    <w:rsid w:val="00A30FEA"/>
    <w:rsid w:val="00A319E4"/>
    <w:rsid w:val="00A319E9"/>
    <w:rsid w:val="00A31BBE"/>
    <w:rsid w:val="00A320DB"/>
    <w:rsid w:val="00A3256E"/>
    <w:rsid w:val="00A32A3F"/>
    <w:rsid w:val="00A32C48"/>
    <w:rsid w:val="00A32DB7"/>
    <w:rsid w:val="00A33198"/>
    <w:rsid w:val="00A336C6"/>
    <w:rsid w:val="00A338AA"/>
    <w:rsid w:val="00A33CDE"/>
    <w:rsid w:val="00A34001"/>
    <w:rsid w:val="00A345F7"/>
    <w:rsid w:val="00A35111"/>
    <w:rsid w:val="00A352D6"/>
    <w:rsid w:val="00A35716"/>
    <w:rsid w:val="00A35D16"/>
    <w:rsid w:val="00A360AE"/>
    <w:rsid w:val="00A37949"/>
    <w:rsid w:val="00A3795A"/>
    <w:rsid w:val="00A3799D"/>
    <w:rsid w:val="00A37BCD"/>
    <w:rsid w:val="00A37F13"/>
    <w:rsid w:val="00A40202"/>
    <w:rsid w:val="00A40591"/>
    <w:rsid w:val="00A411E8"/>
    <w:rsid w:val="00A412AB"/>
    <w:rsid w:val="00A41689"/>
    <w:rsid w:val="00A41B70"/>
    <w:rsid w:val="00A4206C"/>
    <w:rsid w:val="00A42592"/>
    <w:rsid w:val="00A4296A"/>
    <w:rsid w:val="00A42DB3"/>
    <w:rsid w:val="00A431C1"/>
    <w:rsid w:val="00A43789"/>
    <w:rsid w:val="00A43C59"/>
    <w:rsid w:val="00A4459C"/>
    <w:rsid w:val="00A44842"/>
    <w:rsid w:val="00A44B01"/>
    <w:rsid w:val="00A44C38"/>
    <w:rsid w:val="00A454FC"/>
    <w:rsid w:val="00A45A6B"/>
    <w:rsid w:val="00A45B86"/>
    <w:rsid w:val="00A45FC2"/>
    <w:rsid w:val="00A46DEC"/>
    <w:rsid w:val="00A474C6"/>
    <w:rsid w:val="00A4764F"/>
    <w:rsid w:val="00A50044"/>
    <w:rsid w:val="00A504C9"/>
    <w:rsid w:val="00A50ECD"/>
    <w:rsid w:val="00A50EDE"/>
    <w:rsid w:val="00A51303"/>
    <w:rsid w:val="00A5155E"/>
    <w:rsid w:val="00A518F3"/>
    <w:rsid w:val="00A51B5E"/>
    <w:rsid w:val="00A51C83"/>
    <w:rsid w:val="00A51D30"/>
    <w:rsid w:val="00A51F5C"/>
    <w:rsid w:val="00A5223D"/>
    <w:rsid w:val="00A5257A"/>
    <w:rsid w:val="00A52581"/>
    <w:rsid w:val="00A52729"/>
    <w:rsid w:val="00A527B2"/>
    <w:rsid w:val="00A5290D"/>
    <w:rsid w:val="00A52BAD"/>
    <w:rsid w:val="00A52F73"/>
    <w:rsid w:val="00A52FFA"/>
    <w:rsid w:val="00A53675"/>
    <w:rsid w:val="00A5393F"/>
    <w:rsid w:val="00A53C11"/>
    <w:rsid w:val="00A53DEC"/>
    <w:rsid w:val="00A5428C"/>
    <w:rsid w:val="00A548E8"/>
    <w:rsid w:val="00A54E98"/>
    <w:rsid w:val="00A552ED"/>
    <w:rsid w:val="00A553CA"/>
    <w:rsid w:val="00A55F63"/>
    <w:rsid w:val="00A564D7"/>
    <w:rsid w:val="00A56B6A"/>
    <w:rsid w:val="00A56BAC"/>
    <w:rsid w:val="00A56ED3"/>
    <w:rsid w:val="00A573D7"/>
    <w:rsid w:val="00A578DC"/>
    <w:rsid w:val="00A57D8D"/>
    <w:rsid w:val="00A605EB"/>
    <w:rsid w:val="00A60B01"/>
    <w:rsid w:val="00A60D4C"/>
    <w:rsid w:val="00A613AF"/>
    <w:rsid w:val="00A616C3"/>
    <w:rsid w:val="00A61E19"/>
    <w:rsid w:val="00A6265B"/>
    <w:rsid w:val="00A62C07"/>
    <w:rsid w:val="00A62D4C"/>
    <w:rsid w:val="00A62E4E"/>
    <w:rsid w:val="00A62FB9"/>
    <w:rsid w:val="00A639F8"/>
    <w:rsid w:val="00A63FA5"/>
    <w:rsid w:val="00A64089"/>
    <w:rsid w:val="00A640E2"/>
    <w:rsid w:val="00A64D65"/>
    <w:rsid w:val="00A64FFD"/>
    <w:rsid w:val="00A653CC"/>
    <w:rsid w:val="00A658A5"/>
    <w:rsid w:val="00A65C92"/>
    <w:rsid w:val="00A65D03"/>
    <w:rsid w:val="00A66432"/>
    <w:rsid w:val="00A66D18"/>
    <w:rsid w:val="00A67216"/>
    <w:rsid w:val="00A67251"/>
    <w:rsid w:val="00A6725B"/>
    <w:rsid w:val="00A676AF"/>
    <w:rsid w:val="00A67743"/>
    <w:rsid w:val="00A677A0"/>
    <w:rsid w:val="00A67989"/>
    <w:rsid w:val="00A70605"/>
    <w:rsid w:val="00A70AED"/>
    <w:rsid w:val="00A70C00"/>
    <w:rsid w:val="00A715FC"/>
    <w:rsid w:val="00A7167B"/>
    <w:rsid w:val="00A718AE"/>
    <w:rsid w:val="00A72E8F"/>
    <w:rsid w:val="00A72F51"/>
    <w:rsid w:val="00A73134"/>
    <w:rsid w:val="00A73515"/>
    <w:rsid w:val="00A737C8"/>
    <w:rsid w:val="00A739C7"/>
    <w:rsid w:val="00A741BD"/>
    <w:rsid w:val="00A744DD"/>
    <w:rsid w:val="00A74BB5"/>
    <w:rsid w:val="00A75088"/>
    <w:rsid w:val="00A755D3"/>
    <w:rsid w:val="00A75797"/>
    <w:rsid w:val="00A75956"/>
    <w:rsid w:val="00A75B76"/>
    <w:rsid w:val="00A75D82"/>
    <w:rsid w:val="00A75ECE"/>
    <w:rsid w:val="00A76001"/>
    <w:rsid w:val="00A7644E"/>
    <w:rsid w:val="00A76500"/>
    <w:rsid w:val="00A76631"/>
    <w:rsid w:val="00A76A17"/>
    <w:rsid w:val="00A773F3"/>
    <w:rsid w:val="00A774E7"/>
    <w:rsid w:val="00A775D5"/>
    <w:rsid w:val="00A775DA"/>
    <w:rsid w:val="00A776F7"/>
    <w:rsid w:val="00A77744"/>
    <w:rsid w:val="00A777A0"/>
    <w:rsid w:val="00A777B2"/>
    <w:rsid w:val="00A7783A"/>
    <w:rsid w:val="00A8032F"/>
    <w:rsid w:val="00A80377"/>
    <w:rsid w:val="00A804B4"/>
    <w:rsid w:val="00A81127"/>
    <w:rsid w:val="00A81901"/>
    <w:rsid w:val="00A81CA7"/>
    <w:rsid w:val="00A825D4"/>
    <w:rsid w:val="00A828F6"/>
    <w:rsid w:val="00A82B73"/>
    <w:rsid w:val="00A82F9E"/>
    <w:rsid w:val="00A83D20"/>
    <w:rsid w:val="00A84676"/>
    <w:rsid w:val="00A8483C"/>
    <w:rsid w:val="00A8527C"/>
    <w:rsid w:val="00A852FB"/>
    <w:rsid w:val="00A85438"/>
    <w:rsid w:val="00A854D7"/>
    <w:rsid w:val="00A85AD4"/>
    <w:rsid w:val="00A85FF1"/>
    <w:rsid w:val="00A86095"/>
    <w:rsid w:val="00A86225"/>
    <w:rsid w:val="00A8680C"/>
    <w:rsid w:val="00A86A16"/>
    <w:rsid w:val="00A86CE4"/>
    <w:rsid w:val="00A86E8B"/>
    <w:rsid w:val="00A87164"/>
    <w:rsid w:val="00A8779B"/>
    <w:rsid w:val="00A87950"/>
    <w:rsid w:val="00A9041F"/>
    <w:rsid w:val="00A90506"/>
    <w:rsid w:val="00A907AC"/>
    <w:rsid w:val="00A90F45"/>
    <w:rsid w:val="00A91737"/>
    <w:rsid w:val="00A91873"/>
    <w:rsid w:val="00A91B2E"/>
    <w:rsid w:val="00A91C42"/>
    <w:rsid w:val="00A925EC"/>
    <w:rsid w:val="00A92864"/>
    <w:rsid w:val="00A92DCB"/>
    <w:rsid w:val="00A93072"/>
    <w:rsid w:val="00A931A0"/>
    <w:rsid w:val="00A932C1"/>
    <w:rsid w:val="00A9334C"/>
    <w:rsid w:val="00A938BD"/>
    <w:rsid w:val="00A93953"/>
    <w:rsid w:val="00A93B00"/>
    <w:rsid w:val="00A94608"/>
    <w:rsid w:val="00A950A3"/>
    <w:rsid w:val="00A954E4"/>
    <w:rsid w:val="00A954F9"/>
    <w:rsid w:val="00A959D8"/>
    <w:rsid w:val="00A95DA1"/>
    <w:rsid w:val="00A96140"/>
    <w:rsid w:val="00A961EC"/>
    <w:rsid w:val="00A9703B"/>
    <w:rsid w:val="00A97AE2"/>
    <w:rsid w:val="00A97D54"/>
    <w:rsid w:val="00A97ED3"/>
    <w:rsid w:val="00A97F57"/>
    <w:rsid w:val="00A97F8F"/>
    <w:rsid w:val="00AA05DC"/>
    <w:rsid w:val="00AA065E"/>
    <w:rsid w:val="00AA0DEE"/>
    <w:rsid w:val="00AA113D"/>
    <w:rsid w:val="00AA14F1"/>
    <w:rsid w:val="00AA164C"/>
    <w:rsid w:val="00AA1A83"/>
    <w:rsid w:val="00AA1D03"/>
    <w:rsid w:val="00AA2094"/>
    <w:rsid w:val="00AA25C7"/>
    <w:rsid w:val="00AA25C9"/>
    <w:rsid w:val="00AA2BD1"/>
    <w:rsid w:val="00AA336A"/>
    <w:rsid w:val="00AA375B"/>
    <w:rsid w:val="00AA382C"/>
    <w:rsid w:val="00AA3B54"/>
    <w:rsid w:val="00AA3B93"/>
    <w:rsid w:val="00AA41A3"/>
    <w:rsid w:val="00AA4467"/>
    <w:rsid w:val="00AA49C7"/>
    <w:rsid w:val="00AA4A4E"/>
    <w:rsid w:val="00AA5A6C"/>
    <w:rsid w:val="00AA5E4F"/>
    <w:rsid w:val="00AA5F1A"/>
    <w:rsid w:val="00AA68AD"/>
    <w:rsid w:val="00AA6ADB"/>
    <w:rsid w:val="00AA6BD5"/>
    <w:rsid w:val="00AA6BD8"/>
    <w:rsid w:val="00AA6C7D"/>
    <w:rsid w:val="00AA75BB"/>
    <w:rsid w:val="00AA7767"/>
    <w:rsid w:val="00AA7895"/>
    <w:rsid w:val="00AA7941"/>
    <w:rsid w:val="00AA7FD6"/>
    <w:rsid w:val="00AB042A"/>
    <w:rsid w:val="00AB04F6"/>
    <w:rsid w:val="00AB0674"/>
    <w:rsid w:val="00AB0FA7"/>
    <w:rsid w:val="00AB1604"/>
    <w:rsid w:val="00AB1939"/>
    <w:rsid w:val="00AB19EF"/>
    <w:rsid w:val="00AB2401"/>
    <w:rsid w:val="00AB28ED"/>
    <w:rsid w:val="00AB2A7F"/>
    <w:rsid w:val="00AB2D34"/>
    <w:rsid w:val="00AB2D39"/>
    <w:rsid w:val="00AB3430"/>
    <w:rsid w:val="00AB37B9"/>
    <w:rsid w:val="00AB4139"/>
    <w:rsid w:val="00AB41E4"/>
    <w:rsid w:val="00AB42F0"/>
    <w:rsid w:val="00AB44F2"/>
    <w:rsid w:val="00AB457D"/>
    <w:rsid w:val="00AB4580"/>
    <w:rsid w:val="00AB45BE"/>
    <w:rsid w:val="00AB4823"/>
    <w:rsid w:val="00AB4AD1"/>
    <w:rsid w:val="00AB4F8C"/>
    <w:rsid w:val="00AB5359"/>
    <w:rsid w:val="00AB54C6"/>
    <w:rsid w:val="00AB5605"/>
    <w:rsid w:val="00AB5751"/>
    <w:rsid w:val="00AB5A55"/>
    <w:rsid w:val="00AB5E07"/>
    <w:rsid w:val="00AB6424"/>
    <w:rsid w:val="00AB680A"/>
    <w:rsid w:val="00AB74D1"/>
    <w:rsid w:val="00AB7CFA"/>
    <w:rsid w:val="00AC0E0F"/>
    <w:rsid w:val="00AC122C"/>
    <w:rsid w:val="00AC12E8"/>
    <w:rsid w:val="00AC1E3C"/>
    <w:rsid w:val="00AC27CB"/>
    <w:rsid w:val="00AC38F0"/>
    <w:rsid w:val="00AC4413"/>
    <w:rsid w:val="00AC4671"/>
    <w:rsid w:val="00AC497A"/>
    <w:rsid w:val="00AC4AF8"/>
    <w:rsid w:val="00AC4C0E"/>
    <w:rsid w:val="00AC4E9D"/>
    <w:rsid w:val="00AC5B48"/>
    <w:rsid w:val="00AC5E35"/>
    <w:rsid w:val="00AC5F3F"/>
    <w:rsid w:val="00AC6432"/>
    <w:rsid w:val="00AC67F7"/>
    <w:rsid w:val="00AC7302"/>
    <w:rsid w:val="00AC771B"/>
    <w:rsid w:val="00AC7747"/>
    <w:rsid w:val="00AD0063"/>
    <w:rsid w:val="00AD008C"/>
    <w:rsid w:val="00AD0597"/>
    <w:rsid w:val="00AD0BFE"/>
    <w:rsid w:val="00AD0ECF"/>
    <w:rsid w:val="00AD10D2"/>
    <w:rsid w:val="00AD123A"/>
    <w:rsid w:val="00AD1450"/>
    <w:rsid w:val="00AD1526"/>
    <w:rsid w:val="00AD17DE"/>
    <w:rsid w:val="00AD1EF9"/>
    <w:rsid w:val="00AD215A"/>
    <w:rsid w:val="00AD35E2"/>
    <w:rsid w:val="00AD3796"/>
    <w:rsid w:val="00AD46A6"/>
    <w:rsid w:val="00AD4700"/>
    <w:rsid w:val="00AD4ADB"/>
    <w:rsid w:val="00AD5073"/>
    <w:rsid w:val="00AD5082"/>
    <w:rsid w:val="00AD6502"/>
    <w:rsid w:val="00AD6672"/>
    <w:rsid w:val="00AD6AB3"/>
    <w:rsid w:val="00AD74DF"/>
    <w:rsid w:val="00AD7872"/>
    <w:rsid w:val="00AE0695"/>
    <w:rsid w:val="00AE0BD4"/>
    <w:rsid w:val="00AE0D05"/>
    <w:rsid w:val="00AE0E0C"/>
    <w:rsid w:val="00AE207A"/>
    <w:rsid w:val="00AE2466"/>
    <w:rsid w:val="00AE2CC9"/>
    <w:rsid w:val="00AE31F9"/>
    <w:rsid w:val="00AE3525"/>
    <w:rsid w:val="00AE3A17"/>
    <w:rsid w:val="00AE3E09"/>
    <w:rsid w:val="00AE3E7E"/>
    <w:rsid w:val="00AE410B"/>
    <w:rsid w:val="00AE4546"/>
    <w:rsid w:val="00AE4724"/>
    <w:rsid w:val="00AE4E4F"/>
    <w:rsid w:val="00AE5901"/>
    <w:rsid w:val="00AE5CF6"/>
    <w:rsid w:val="00AE6225"/>
    <w:rsid w:val="00AE696B"/>
    <w:rsid w:val="00AE6A3A"/>
    <w:rsid w:val="00AE7807"/>
    <w:rsid w:val="00AF0107"/>
    <w:rsid w:val="00AF01B9"/>
    <w:rsid w:val="00AF0826"/>
    <w:rsid w:val="00AF1160"/>
    <w:rsid w:val="00AF1274"/>
    <w:rsid w:val="00AF1315"/>
    <w:rsid w:val="00AF18A6"/>
    <w:rsid w:val="00AF19BF"/>
    <w:rsid w:val="00AF1A08"/>
    <w:rsid w:val="00AF1FA1"/>
    <w:rsid w:val="00AF260B"/>
    <w:rsid w:val="00AF2BBB"/>
    <w:rsid w:val="00AF2DC3"/>
    <w:rsid w:val="00AF2E6D"/>
    <w:rsid w:val="00AF304D"/>
    <w:rsid w:val="00AF42F1"/>
    <w:rsid w:val="00AF527B"/>
    <w:rsid w:val="00AF5B25"/>
    <w:rsid w:val="00AF5CA8"/>
    <w:rsid w:val="00AF64C6"/>
    <w:rsid w:val="00AF6608"/>
    <w:rsid w:val="00B000F0"/>
    <w:rsid w:val="00B0073C"/>
    <w:rsid w:val="00B008B1"/>
    <w:rsid w:val="00B00B59"/>
    <w:rsid w:val="00B010D2"/>
    <w:rsid w:val="00B0116B"/>
    <w:rsid w:val="00B01263"/>
    <w:rsid w:val="00B01A4B"/>
    <w:rsid w:val="00B0230F"/>
    <w:rsid w:val="00B023E0"/>
    <w:rsid w:val="00B0259F"/>
    <w:rsid w:val="00B02806"/>
    <w:rsid w:val="00B031E8"/>
    <w:rsid w:val="00B033E5"/>
    <w:rsid w:val="00B0394F"/>
    <w:rsid w:val="00B03A4C"/>
    <w:rsid w:val="00B03A63"/>
    <w:rsid w:val="00B03D7D"/>
    <w:rsid w:val="00B03E96"/>
    <w:rsid w:val="00B03EDB"/>
    <w:rsid w:val="00B04178"/>
    <w:rsid w:val="00B05DBB"/>
    <w:rsid w:val="00B05E78"/>
    <w:rsid w:val="00B05F03"/>
    <w:rsid w:val="00B06BB2"/>
    <w:rsid w:val="00B0768C"/>
    <w:rsid w:val="00B07CA2"/>
    <w:rsid w:val="00B07FB9"/>
    <w:rsid w:val="00B100EA"/>
    <w:rsid w:val="00B1079E"/>
    <w:rsid w:val="00B107AE"/>
    <w:rsid w:val="00B11FBE"/>
    <w:rsid w:val="00B12249"/>
    <w:rsid w:val="00B12334"/>
    <w:rsid w:val="00B1304C"/>
    <w:rsid w:val="00B138B6"/>
    <w:rsid w:val="00B139FA"/>
    <w:rsid w:val="00B13C53"/>
    <w:rsid w:val="00B13CBD"/>
    <w:rsid w:val="00B141E9"/>
    <w:rsid w:val="00B1422F"/>
    <w:rsid w:val="00B142F7"/>
    <w:rsid w:val="00B14541"/>
    <w:rsid w:val="00B14588"/>
    <w:rsid w:val="00B146CE"/>
    <w:rsid w:val="00B148C5"/>
    <w:rsid w:val="00B14B15"/>
    <w:rsid w:val="00B14B32"/>
    <w:rsid w:val="00B150EF"/>
    <w:rsid w:val="00B15782"/>
    <w:rsid w:val="00B15D30"/>
    <w:rsid w:val="00B161B4"/>
    <w:rsid w:val="00B16A91"/>
    <w:rsid w:val="00B16B85"/>
    <w:rsid w:val="00B16CCD"/>
    <w:rsid w:val="00B16D68"/>
    <w:rsid w:val="00B17ACB"/>
    <w:rsid w:val="00B17D66"/>
    <w:rsid w:val="00B201A4"/>
    <w:rsid w:val="00B201D1"/>
    <w:rsid w:val="00B2042F"/>
    <w:rsid w:val="00B20D08"/>
    <w:rsid w:val="00B20F02"/>
    <w:rsid w:val="00B2116D"/>
    <w:rsid w:val="00B213A6"/>
    <w:rsid w:val="00B21785"/>
    <w:rsid w:val="00B217D1"/>
    <w:rsid w:val="00B21E2E"/>
    <w:rsid w:val="00B226B4"/>
    <w:rsid w:val="00B22919"/>
    <w:rsid w:val="00B22D4C"/>
    <w:rsid w:val="00B22FAA"/>
    <w:rsid w:val="00B23041"/>
    <w:rsid w:val="00B235B0"/>
    <w:rsid w:val="00B235EC"/>
    <w:rsid w:val="00B23605"/>
    <w:rsid w:val="00B24011"/>
    <w:rsid w:val="00B242F3"/>
    <w:rsid w:val="00B24A4D"/>
    <w:rsid w:val="00B24DF6"/>
    <w:rsid w:val="00B24FBC"/>
    <w:rsid w:val="00B252EF"/>
    <w:rsid w:val="00B253DF"/>
    <w:rsid w:val="00B25994"/>
    <w:rsid w:val="00B259E1"/>
    <w:rsid w:val="00B25DC2"/>
    <w:rsid w:val="00B25E67"/>
    <w:rsid w:val="00B2697F"/>
    <w:rsid w:val="00B26C5E"/>
    <w:rsid w:val="00B27096"/>
    <w:rsid w:val="00B276E6"/>
    <w:rsid w:val="00B314F7"/>
    <w:rsid w:val="00B31757"/>
    <w:rsid w:val="00B31C18"/>
    <w:rsid w:val="00B31EE6"/>
    <w:rsid w:val="00B32410"/>
    <w:rsid w:val="00B32FD5"/>
    <w:rsid w:val="00B3317A"/>
    <w:rsid w:val="00B3378E"/>
    <w:rsid w:val="00B33904"/>
    <w:rsid w:val="00B33E36"/>
    <w:rsid w:val="00B33FFE"/>
    <w:rsid w:val="00B34474"/>
    <w:rsid w:val="00B345FC"/>
    <w:rsid w:val="00B34E1D"/>
    <w:rsid w:val="00B34FE2"/>
    <w:rsid w:val="00B35166"/>
    <w:rsid w:val="00B3540B"/>
    <w:rsid w:val="00B3555F"/>
    <w:rsid w:val="00B357D8"/>
    <w:rsid w:val="00B359AC"/>
    <w:rsid w:val="00B35F6C"/>
    <w:rsid w:val="00B360F4"/>
    <w:rsid w:val="00B36A00"/>
    <w:rsid w:val="00B36F91"/>
    <w:rsid w:val="00B37072"/>
    <w:rsid w:val="00B37BFC"/>
    <w:rsid w:val="00B37C5D"/>
    <w:rsid w:val="00B37D3D"/>
    <w:rsid w:val="00B40284"/>
    <w:rsid w:val="00B40358"/>
    <w:rsid w:val="00B40574"/>
    <w:rsid w:val="00B40E14"/>
    <w:rsid w:val="00B4105B"/>
    <w:rsid w:val="00B41496"/>
    <w:rsid w:val="00B41614"/>
    <w:rsid w:val="00B41789"/>
    <w:rsid w:val="00B4263E"/>
    <w:rsid w:val="00B42851"/>
    <w:rsid w:val="00B42EC9"/>
    <w:rsid w:val="00B42EE5"/>
    <w:rsid w:val="00B42F80"/>
    <w:rsid w:val="00B42FA0"/>
    <w:rsid w:val="00B43234"/>
    <w:rsid w:val="00B432E1"/>
    <w:rsid w:val="00B4332F"/>
    <w:rsid w:val="00B43484"/>
    <w:rsid w:val="00B435CB"/>
    <w:rsid w:val="00B4394C"/>
    <w:rsid w:val="00B43A0D"/>
    <w:rsid w:val="00B442CB"/>
    <w:rsid w:val="00B4447C"/>
    <w:rsid w:val="00B449AD"/>
    <w:rsid w:val="00B44E5A"/>
    <w:rsid w:val="00B4590A"/>
    <w:rsid w:val="00B45C80"/>
    <w:rsid w:val="00B46091"/>
    <w:rsid w:val="00B46620"/>
    <w:rsid w:val="00B46858"/>
    <w:rsid w:val="00B4697E"/>
    <w:rsid w:val="00B4729A"/>
    <w:rsid w:val="00B4766A"/>
    <w:rsid w:val="00B4768C"/>
    <w:rsid w:val="00B47B48"/>
    <w:rsid w:val="00B47B7C"/>
    <w:rsid w:val="00B47C77"/>
    <w:rsid w:val="00B47D4B"/>
    <w:rsid w:val="00B505C8"/>
    <w:rsid w:val="00B50D04"/>
    <w:rsid w:val="00B50D8D"/>
    <w:rsid w:val="00B50DB8"/>
    <w:rsid w:val="00B50DFE"/>
    <w:rsid w:val="00B5145F"/>
    <w:rsid w:val="00B51C77"/>
    <w:rsid w:val="00B5249A"/>
    <w:rsid w:val="00B52C0A"/>
    <w:rsid w:val="00B52CDF"/>
    <w:rsid w:val="00B52CFE"/>
    <w:rsid w:val="00B52FF9"/>
    <w:rsid w:val="00B53654"/>
    <w:rsid w:val="00B53905"/>
    <w:rsid w:val="00B54B5B"/>
    <w:rsid w:val="00B54D28"/>
    <w:rsid w:val="00B553D7"/>
    <w:rsid w:val="00B5562E"/>
    <w:rsid w:val="00B55D65"/>
    <w:rsid w:val="00B55F1B"/>
    <w:rsid w:val="00B56000"/>
    <w:rsid w:val="00B5609E"/>
    <w:rsid w:val="00B56376"/>
    <w:rsid w:val="00B565BC"/>
    <w:rsid w:val="00B56A3B"/>
    <w:rsid w:val="00B57000"/>
    <w:rsid w:val="00B600FB"/>
    <w:rsid w:val="00B60939"/>
    <w:rsid w:val="00B60955"/>
    <w:rsid w:val="00B60AFD"/>
    <w:rsid w:val="00B61C25"/>
    <w:rsid w:val="00B61EA3"/>
    <w:rsid w:val="00B6201A"/>
    <w:rsid w:val="00B62422"/>
    <w:rsid w:val="00B62715"/>
    <w:rsid w:val="00B6275C"/>
    <w:rsid w:val="00B62B1F"/>
    <w:rsid w:val="00B632E2"/>
    <w:rsid w:val="00B6381A"/>
    <w:rsid w:val="00B643C4"/>
    <w:rsid w:val="00B6496C"/>
    <w:rsid w:val="00B64A23"/>
    <w:rsid w:val="00B64E4C"/>
    <w:rsid w:val="00B6514F"/>
    <w:rsid w:val="00B651EF"/>
    <w:rsid w:val="00B65611"/>
    <w:rsid w:val="00B65731"/>
    <w:rsid w:val="00B65ABE"/>
    <w:rsid w:val="00B65F02"/>
    <w:rsid w:val="00B674AD"/>
    <w:rsid w:val="00B67F72"/>
    <w:rsid w:val="00B67FC8"/>
    <w:rsid w:val="00B702D8"/>
    <w:rsid w:val="00B705D2"/>
    <w:rsid w:val="00B70E8E"/>
    <w:rsid w:val="00B71236"/>
    <w:rsid w:val="00B7134B"/>
    <w:rsid w:val="00B714F0"/>
    <w:rsid w:val="00B718A2"/>
    <w:rsid w:val="00B7203B"/>
    <w:rsid w:val="00B721D9"/>
    <w:rsid w:val="00B72884"/>
    <w:rsid w:val="00B72E39"/>
    <w:rsid w:val="00B7363C"/>
    <w:rsid w:val="00B73AF3"/>
    <w:rsid w:val="00B73D8E"/>
    <w:rsid w:val="00B74109"/>
    <w:rsid w:val="00B742F2"/>
    <w:rsid w:val="00B7465A"/>
    <w:rsid w:val="00B74ECB"/>
    <w:rsid w:val="00B76193"/>
    <w:rsid w:val="00B76343"/>
    <w:rsid w:val="00B76C92"/>
    <w:rsid w:val="00B770DE"/>
    <w:rsid w:val="00B77618"/>
    <w:rsid w:val="00B776FE"/>
    <w:rsid w:val="00B77B51"/>
    <w:rsid w:val="00B77D3C"/>
    <w:rsid w:val="00B77FD8"/>
    <w:rsid w:val="00B804D4"/>
    <w:rsid w:val="00B8061C"/>
    <w:rsid w:val="00B80C84"/>
    <w:rsid w:val="00B80CE6"/>
    <w:rsid w:val="00B812F5"/>
    <w:rsid w:val="00B813CC"/>
    <w:rsid w:val="00B818A4"/>
    <w:rsid w:val="00B81A6B"/>
    <w:rsid w:val="00B81C62"/>
    <w:rsid w:val="00B81F85"/>
    <w:rsid w:val="00B82024"/>
    <w:rsid w:val="00B8203C"/>
    <w:rsid w:val="00B822BF"/>
    <w:rsid w:val="00B823C2"/>
    <w:rsid w:val="00B82850"/>
    <w:rsid w:val="00B82B66"/>
    <w:rsid w:val="00B838D4"/>
    <w:rsid w:val="00B83A69"/>
    <w:rsid w:val="00B83CCC"/>
    <w:rsid w:val="00B840F5"/>
    <w:rsid w:val="00B84117"/>
    <w:rsid w:val="00B84209"/>
    <w:rsid w:val="00B846E7"/>
    <w:rsid w:val="00B849AF"/>
    <w:rsid w:val="00B858F0"/>
    <w:rsid w:val="00B85AA2"/>
    <w:rsid w:val="00B8649C"/>
    <w:rsid w:val="00B8695D"/>
    <w:rsid w:val="00B86AE4"/>
    <w:rsid w:val="00B86F0D"/>
    <w:rsid w:val="00B87A19"/>
    <w:rsid w:val="00B87F0A"/>
    <w:rsid w:val="00B906D9"/>
    <w:rsid w:val="00B90B8B"/>
    <w:rsid w:val="00B90BD9"/>
    <w:rsid w:val="00B90D9B"/>
    <w:rsid w:val="00B9157F"/>
    <w:rsid w:val="00B9161C"/>
    <w:rsid w:val="00B916B5"/>
    <w:rsid w:val="00B91E54"/>
    <w:rsid w:val="00B929CC"/>
    <w:rsid w:val="00B92A78"/>
    <w:rsid w:val="00B92AAB"/>
    <w:rsid w:val="00B92B01"/>
    <w:rsid w:val="00B92D0B"/>
    <w:rsid w:val="00B92EE0"/>
    <w:rsid w:val="00B9312E"/>
    <w:rsid w:val="00B93493"/>
    <w:rsid w:val="00B93B8F"/>
    <w:rsid w:val="00B94301"/>
    <w:rsid w:val="00B94945"/>
    <w:rsid w:val="00B94BAE"/>
    <w:rsid w:val="00B94DD6"/>
    <w:rsid w:val="00B94E03"/>
    <w:rsid w:val="00B94EC5"/>
    <w:rsid w:val="00B955AE"/>
    <w:rsid w:val="00B95682"/>
    <w:rsid w:val="00B95BF0"/>
    <w:rsid w:val="00B95E24"/>
    <w:rsid w:val="00B96322"/>
    <w:rsid w:val="00B9711B"/>
    <w:rsid w:val="00B97369"/>
    <w:rsid w:val="00BA01DA"/>
    <w:rsid w:val="00BA04DC"/>
    <w:rsid w:val="00BA06F7"/>
    <w:rsid w:val="00BA0895"/>
    <w:rsid w:val="00BA0BBE"/>
    <w:rsid w:val="00BA0D22"/>
    <w:rsid w:val="00BA1811"/>
    <w:rsid w:val="00BA258C"/>
    <w:rsid w:val="00BA322D"/>
    <w:rsid w:val="00BA3367"/>
    <w:rsid w:val="00BA3780"/>
    <w:rsid w:val="00BA3A9C"/>
    <w:rsid w:val="00BA4215"/>
    <w:rsid w:val="00BA4889"/>
    <w:rsid w:val="00BA49E3"/>
    <w:rsid w:val="00BA4DD8"/>
    <w:rsid w:val="00BA4DE0"/>
    <w:rsid w:val="00BA4E66"/>
    <w:rsid w:val="00BA4EDC"/>
    <w:rsid w:val="00BA5328"/>
    <w:rsid w:val="00BA56AF"/>
    <w:rsid w:val="00BA5E65"/>
    <w:rsid w:val="00BA6300"/>
    <w:rsid w:val="00BA63FA"/>
    <w:rsid w:val="00BA6A3B"/>
    <w:rsid w:val="00BA6B69"/>
    <w:rsid w:val="00BA6DE1"/>
    <w:rsid w:val="00BA6E1D"/>
    <w:rsid w:val="00BA73C3"/>
    <w:rsid w:val="00BA770B"/>
    <w:rsid w:val="00BA7F1C"/>
    <w:rsid w:val="00BB00B3"/>
    <w:rsid w:val="00BB025E"/>
    <w:rsid w:val="00BB035C"/>
    <w:rsid w:val="00BB0BDD"/>
    <w:rsid w:val="00BB0D7F"/>
    <w:rsid w:val="00BB176C"/>
    <w:rsid w:val="00BB1BA8"/>
    <w:rsid w:val="00BB1D0C"/>
    <w:rsid w:val="00BB21B5"/>
    <w:rsid w:val="00BB2416"/>
    <w:rsid w:val="00BB2A73"/>
    <w:rsid w:val="00BB2CC8"/>
    <w:rsid w:val="00BB2D75"/>
    <w:rsid w:val="00BB2DC4"/>
    <w:rsid w:val="00BB318C"/>
    <w:rsid w:val="00BB3A45"/>
    <w:rsid w:val="00BB3C45"/>
    <w:rsid w:val="00BB3C48"/>
    <w:rsid w:val="00BB3E4D"/>
    <w:rsid w:val="00BB41E0"/>
    <w:rsid w:val="00BB420D"/>
    <w:rsid w:val="00BB4781"/>
    <w:rsid w:val="00BB4825"/>
    <w:rsid w:val="00BB49AE"/>
    <w:rsid w:val="00BB4A2D"/>
    <w:rsid w:val="00BB4ACC"/>
    <w:rsid w:val="00BB4BAF"/>
    <w:rsid w:val="00BB4D41"/>
    <w:rsid w:val="00BB53A5"/>
    <w:rsid w:val="00BB542F"/>
    <w:rsid w:val="00BB58AB"/>
    <w:rsid w:val="00BB6C43"/>
    <w:rsid w:val="00BB6FCF"/>
    <w:rsid w:val="00BB703E"/>
    <w:rsid w:val="00BB732D"/>
    <w:rsid w:val="00BB7405"/>
    <w:rsid w:val="00BB7406"/>
    <w:rsid w:val="00BB7AE8"/>
    <w:rsid w:val="00BB7C72"/>
    <w:rsid w:val="00BB7F3D"/>
    <w:rsid w:val="00BC040E"/>
    <w:rsid w:val="00BC1549"/>
    <w:rsid w:val="00BC1E3A"/>
    <w:rsid w:val="00BC1FF4"/>
    <w:rsid w:val="00BC226B"/>
    <w:rsid w:val="00BC2294"/>
    <w:rsid w:val="00BC2668"/>
    <w:rsid w:val="00BC2BAA"/>
    <w:rsid w:val="00BC3486"/>
    <w:rsid w:val="00BC3491"/>
    <w:rsid w:val="00BC3631"/>
    <w:rsid w:val="00BC3F65"/>
    <w:rsid w:val="00BC40AC"/>
    <w:rsid w:val="00BC413E"/>
    <w:rsid w:val="00BC42A8"/>
    <w:rsid w:val="00BC4A3F"/>
    <w:rsid w:val="00BC591F"/>
    <w:rsid w:val="00BC65DA"/>
    <w:rsid w:val="00BC6CAE"/>
    <w:rsid w:val="00BC744F"/>
    <w:rsid w:val="00BC7643"/>
    <w:rsid w:val="00BC7B18"/>
    <w:rsid w:val="00BC7BA3"/>
    <w:rsid w:val="00BC7D6D"/>
    <w:rsid w:val="00BD045F"/>
    <w:rsid w:val="00BD04C4"/>
    <w:rsid w:val="00BD0684"/>
    <w:rsid w:val="00BD0AD8"/>
    <w:rsid w:val="00BD0EE9"/>
    <w:rsid w:val="00BD1213"/>
    <w:rsid w:val="00BD130F"/>
    <w:rsid w:val="00BD16DE"/>
    <w:rsid w:val="00BD17BB"/>
    <w:rsid w:val="00BD1A56"/>
    <w:rsid w:val="00BD1CA8"/>
    <w:rsid w:val="00BD2108"/>
    <w:rsid w:val="00BD21C5"/>
    <w:rsid w:val="00BD25BB"/>
    <w:rsid w:val="00BD2B25"/>
    <w:rsid w:val="00BD2EE3"/>
    <w:rsid w:val="00BD32D8"/>
    <w:rsid w:val="00BD3515"/>
    <w:rsid w:val="00BD35E2"/>
    <w:rsid w:val="00BD433B"/>
    <w:rsid w:val="00BD447D"/>
    <w:rsid w:val="00BD4F92"/>
    <w:rsid w:val="00BD5149"/>
    <w:rsid w:val="00BD51FC"/>
    <w:rsid w:val="00BD566B"/>
    <w:rsid w:val="00BD5979"/>
    <w:rsid w:val="00BD5B3E"/>
    <w:rsid w:val="00BD5F5A"/>
    <w:rsid w:val="00BD611D"/>
    <w:rsid w:val="00BD66D1"/>
    <w:rsid w:val="00BD68A3"/>
    <w:rsid w:val="00BD6938"/>
    <w:rsid w:val="00BD6CF3"/>
    <w:rsid w:val="00BD7075"/>
    <w:rsid w:val="00BD73C4"/>
    <w:rsid w:val="00BD7EE9"/>
    <w:rsid w:val="00BE04EE"/>
    <w:rsid w:val="00BE079C"/>
    <w:rsid w:val="00BE0803"/>
    <w:rsid w:val="00BE0813"/>
    <w:rsid w:val="00BE0845"/>
    <w:rsid w:val="00BE0E64"/>
    <w:rsid w:val="00BE0ECA"/>
    <w:rsid w:val="00BE1167"/>
    <w:rsid w:val="00BE1238"/>
    <w:rsid w:val="00BE16FE"/>
    <w:rsid w:val="00BE1E63"/>
    <w:rsid w:val="00BE208F"/>
    <w:rsid w:val="00BE2180"/>
    <w:rsid w:val="00BE21F2"/>
    <w:rsid w:val="00BE275E"/>
    <w:rsid w:val="00BE2BFD"/>
    <w:rsid w:val="00BE2C75"/>
    <w:rsid w:val="00BE3720"/>
    <w:rsid w:val="00BE3AB2"/>
    <w:rsid w:val="00BE3BF6"/>
    <w:rsid w:val="00BE3D76"/>
    <w:rsid w:val="00BE4181"/>
    <w:rsid w:val="00BE4275"/>
    <w:rsid w:val="00BE56CB"/>
    <w:rsid w:val="00BE58AD"/>
    <w:rsid w:val="00BE6222"/>
    <w:rsid w:val="00BE6788"/>
    <w:rsid w:val="00BE6C4E"/>
    <w:rsid w:val="00BE729F"/>
    <w:rsid w:val="00BE7433"/>
    <w:rsid w:val="00BE75D5"/>
    <w:rsid w:val="00BE79CD"/>
    <w:rsid w:val="00BF06AE"/>
    <w:rsid w:val="00BF0F05"/>
    <w:rsid w:val="00BF0F95"/>
    <w:rsid w:val="00BF1510"/>
    <w:rsid w:val="00BF18E3"/>
    <w:rsid w:val="00BF2145"/>
    <w:rsid w:val="00BF2433"/>
    <w:rsid w:val="00BF2434"/>
    <w:rsid w:val="00BF27C2"/>
    <w:rsid w:val="00BF2CC7"/>
    <w:rsid w:val="00BF2DC9"/>
    <w:rsid w:val="00BF3094"/>
    <w:rsid w:val="00BF3337"/>
    <w:rsid w:val="00BF4807"/>
    <w:rsid w:val="00BF49E1"/>
    <w:rsid w:val="00BF4D2A"/>
    <w:rsid w:val="00BF5233"/>
    <w:rsid w:val="00BF53D4"/>
    <w:rsid w:val="00BF5AC8"/>
    <w:rsid w:val="00BF5BB9"/>
    <w:rsid w:val="00BF61C9"/>
    <w:rsid w:val="00BF66E7"/>
    <w:rsid w:val="00BF6B4A"/>
    <w:rsid w:val="00BF6C21"/>
    <w:rsid w:val="00BF6C94"/>
    <w:rsid w:val="00BF6F73"/>
    <w:rsid w:val="00C0041F"/>
    <w:rsid w:val="00C00424"/>
    <w:rsid w:val="00C00844"/>
    <w:rsid w:val="00C00887"/>
    <w:rsid w:val="00C008A9"/>
    <w:rsid w:val="00C00DDD"/>
    <w:rsid w:val="00C00E6E"/>
    <w:rsid w:val="00C01508"/>
    <w:rsid w:val="00C02318"/>
    <w:rsid w:val="00C02507"/>
    <w:rsid w:val="00C02734"/>
    <w:rsid w:val="00C02800"/>
    <w:rsid w:val="00C02DE9"/>
    <w:rsid w:val="00C02DF9"/>
    <w:rsid w:val="00C02EA4"/>
    <w:rsid w:val="00C02F20"/>
    <w:rsid w:val="00C03515"/>
    <w:rsid w:val="00C03656"/>
    <w:rsid w:val="00C038DE"/>
    <w:rsid w:val="00C03ADC"/>
    <w:rsid w:val="00C03C67"/>
    <w:rsid w:val="00C041E5"/>
    <w:rsid w:val="00C04426"/>
    <w:rsid w:val="00C0456B"/>
    <w:rsid w:val="00C05105"/>
    <w:rsid w:val="00C061C1"/>
    <w:rsid w:val="00C06663"/>
    <w:rsid w:val="00C06BCC"/>
    <w:rsid w:val="00C07CCB"/>
    <w:rsid w:val="00C10515"/>
    <w:rsid w:val="00C11075"/>
    <w:rsid w:val="00C111E5"/>
    <w:rsid w:val="00C11331"/>
    <w:rsid w:val="00C114AE"/>
    <w:rsid w:val="00C1179F"/>
    <w:rsid w:val="00C11AAC"/>
    <w:rsid w:val="00C11C06"/>
    <w:rsid w:val="00C1201C"/>
    <w:rsid w:val="00C126AB"/>
    <w:rsid w:val="00C12C14"/>
    <w:rsid w:val="00C1324B"/>
    <w:rsid w:val="00C137A2"/>
    <w:rsid w:val="00C13A86"/>
    <w:rsid w:val="00C13FAB"/>
    <w:rsid w:val="00C14CD7"/>
    <w:rsid w:val="00C14DD9"/>
    <w:rsid w:val="00C14FEA"/>
    <w:rsid w:val="00C15013"/>
    <w:rsid w:val="00C15F04"/>
    <w:rsid w:val="00C160E7"/>
    <w:rsid w:val="00C16790"/>
    <w:rsid w:val="00C16D9E"/>
    <w:rsid w:val="00C16EF9"/>
    <w:rsid w:val="00C179B3"/>
    <w:rsid w:val="00C179B4"/>
    <w:rsid w:val="00C17E3F"/>
    <w:rsid w:val="00C200AA"/>
    <w:rsid w:val="00C204D2"/>
    <w:rsid w:val="00C20FE3"/>
    <w:rsid w:val="00C21658"/>
    <w:rsid w:val="00C21AC2"/>
    <w:rsid w:val="00C224BF"/>
    <w:rsid w:val="00C22DB6"/>
    <w:rsid w:val="00C230B7"/>
    <w:rsid w:val="00C237ED"/>
    <w:rsid w:val="00C23DAA"/>
    <w:rsid w:val="00C240B3"/>
    <w:rsid w:val="00C241B4"/>
    <w:rsid w:val="00C24505"/>
    <w:rsid w:val="00C24632"/>
    <w:rsid w:val="00C247F5"/>
    <w:rsid w:val="00C248F8"/>
    <w:rsid w:val="00C24D23"/>
    <w:rsid w:val="00C24DBA"/>
    <w:rsid w:val="00C25418"/>
    <w:rsid w:val="00C25A1F"/>
    <w:rsid w:val="00C25BD9"/>
    <w:rsid w:val="00C25D9C"/>
    <w:rsid w:val="00C268A7"/>
    <w:rsid w:val="00C268BE"/>
    <w:rsid w:val="00C26CF9"/>
    <w:rsid w:val="00C26D56"/>
    <w:rsid w:val="00C271F8"/>
    <w:rsid w:val="00C2778B"/>
    <w:rsid w:val="00C2799A"/>
    <w:rsid w:val="00C302FF"/>
    <w:rsid w:val="00C30658"/>
    <w:rsid w:val="00C3067E"/>
    <w:rsid w:val="00C307D8"/>
    <w:rsid w:val="00C307DB"/>
    <w:rsid w:val="00C30CE9"/>
    <w:rsid w:val="00C30E44"/>
    <w:rsid w:val="00C30F76"/>
    <w:rsid w:val="00C31033"/>
    <w:rsid w:val="00C31387"/>
    <w:rsid w:val="00C31649"/>
    <w:rsid w:val="00C31849"/>
    <w:rsid w:val="00C321B9"/>
    <w:rsid w:val="00C32896"/>
    <w:rsid w:val="00C32CD9"/>
    <w:rsid w:val="00C32F51"/>
    <w:rsid w:val="00C33213"/>
    <w:rsid w:val="00C3328C"/>
    <w:rsid w:val="00C34071"/>
    <w:rsid w:val="00C342E2"/>
    <w:rsid w:val="00C3434C"/>
    <w:rsid w:val="00C345F3"/>
    <w:rsid w:val="00C348B3"/>
    <w:rsid w:val="00C34A49"/>
    <w:rsid w:val="00C3504D"/>
    <w:rsid w:val="00C3507A"/>
    <w:rsid w:val="00C3510A"/>
    <w:rsid w:val="00C3539D"/>
    <w:rsid w:val="00C356ED"/>
    <w:rsid w:val="00C36190"/>
    <w:rsid w:val="00C37077"/>
    <w:rsid w:val="00C370C4"/>
    <w:rsid w:val="00C375B9"/>
    <w:rsid w:val="00C37848"/>
    <w:rsid w:val="00C3786B"/>
    <w:rsid w:val="00C378A3"/>
    <w:rsid w:val="00C37CBA"/>
    <w:rsid w:val="00C37FF4"/>
    <w:rsid w:val="00C402B4"/>
    <w:rsid w:val="00C40385"/>
    <w:rsid w:val="00C40780"/>
    <w:rsid w:val="00C41768"/>
    <w:rsid w:val="00C418D9"/>
    <w:rsid w:val="00C41E36"/>
    <w:rsid w:val="00C42044"/>
    <w:rsid w:val="00C4211E"/>
    <w:rsid w:val="00C42B83"/>
    <w:rsid w:val="00C43061"/>
    <w:rsid w:val="00C4320C"/>
    <w:rsid w:val="00C436C3"/>
    <w:rsid w:val="00C43825"/>
    <w:rsid w:val="00C4388B"/>
    <w:rsid w:val="00C441A4"/>
    <w:rsid w:val="00C445C7"/>
    <w:rsid w:val="00C447F1"/>
    <w:rsid w:val="00C45510"/>
    <w:rsid w:val="00C45742"/>
    <w:rsid w:val="00C459A3"/>
    <w:rsid w:val="00C459BB"/>
    <w:rsid w:val="00C45D0C"/>
    <w:rsid w:val="00C466EF"/>
    <w:rsid w:val="00C46C1A"/>
    <w:rsid w:val="00C475AA"/>
    <w:rsid w:val="00C500E2"/>
    <w:rsid w:val="00C50132"/>
    <w:rsid w:val="00C5039D"/>
    <w:rsid w:val="00C517EF"/>
    <w:rsid w:val="00C5231C"/>
    <w:rsid w:val="00C526F9"/>
    <w:rsid w:val="00C52ABC"/>
    <w:rsid w:val="00C53349"/>
    <w:rsid w:val="00C53A96"/>
    <w:rsid w:val="00C53C98"/>
    <w:rsid w:val="00C53E37"/>
    <w:rsid w:val="00C53FFB"/>
    <w:rsid w:val="00C54200"/>
    <w:rsid w:val="00C543A0"/>
    <w:rsid w:val="00C548D8"/>
    <w:rsid w:val="00C54CA7"/>
    <w:rsid w:val="00C552E0"/>
    <w:rsid w:val="00C5606E"/>
    <w:rsid w:val="00C562BD"/>
    <w:rsid w:val="00C56FCF"/>
    <w:rsid w:val="00C57054"/>
    <w:rsid w:val="00C571F7"/>
    <w:rsid w:val="00C5732C"/>
    <w:rsid w:val="00C57630"/>
    <w:rsid w:val="00C57B24"/>
    <w:rsid w:val="00C57B6C"/>
    <w:rsid w:val="00C628A6"/>
    <w:rsid w:val="00C62AB3"/>
    <w:rsid w:val="00C62B89"/>
    <w:rsid w:val="00C63DBE"/>
    <w:rsid w:val="00C63E37"/>
    <w:rsid w:val="00C63E48"/>
    <w:rsid w:val="00C63E70"/>
    <w:rsid w:val="00C64344"/>
    <w:rsid w:val="00C6435E"/>
    <w:rsid w:val="00C65108"/>
    <w:rsid w:val="00C652ED"/>
    <w:rsid w:val="00C65402"/>
    <w:rsid w:val="00C654B6"/>
    <w:rsid w:val="00C65576"/>
    <w:rsid w:val="00C655EB"/>
    <w:rsid w:val="00C65C79"/>
    <w:rsid w:val="00C65E75"/>
    <w:rsid w:val="00C66165"/>
    <w:rsid w:val="00C670EB"/>
    <w:rsid w:val="00C673E4"/>
    <w:rsid w:val="00C67A4B"/>
    <w:rsid w:val="00C67D0B"/>
    <w:rsid w:val="00C7060A"/>
    <w:rsid w:val="00C708A7"/>
    <w:rsid w:val="00C70C58"/>
    <w:rsid w:val="00C70D0F"/>
    <w:rsid w:val="00C70DC0"/>
    <w:rsid w:val="00C7151A"/>
    <w:rsid w:val="00C715A9"/>
    <w:rsid w:val="00C71780"/>
    <w:rsid w:val="00C717E3"/>
    <w:rsid w:val="00C71F60"/>
    <w:rsid w:val="00C72241"/>
    <w:rsid w:val="00C72EA6"/>
    <w:rsid w:val="00C7308E"/>
    <w:rsid w:val="00C73773"/>
    <w:rsid w:val="00C738E6"/>
    <w:rsid w:val="00C73C1A"/>
    <w:rsid w:val="00C73E53"/>
    <w:rsid w:val="00C7428F"/>
    <w:rsid w:val="00C7476B"/>
    <w:rsid w:val="00C750C8"/>
    <w:rsid w:val="00C7560F"/>
    <w:rsid w:val="00C762F2"/>
    <w:rsid w:val="00C77CD0"/>
    <w:rsid w:val="00C80A0E"/>
    <w:rsid w:val="00C81634"/>
    <w:rsid w:val="00C8189D"/>
    <w:rsid w:val="00C81A21"/>
    <w:rsid w:val="00C81A95"/>
    <w:rsid w:val="00C8213F"/>
    <w:rsid w:val="00C822B9"/>
    <w:rsid w:val="00C823B3"/>
    <w:rsid w:val="00C825DA"/>
    <w:rsid w:val="00C8266C"/>
    <w:rsid w:val="00C83601"/>
    <w:rsid w:val="00C8389A"/>
    <w:rsid w:val="00C83D15"/>
    <w:rsid w:val="00C83DC1"/>
    <w:rsid w:val="00C83FC4"/>
    <w:rsid w:val="00C84030"/>
    <w:rsid w:val="00C8441B"/>
    <w:rsid w:val="00C84769"/>
    <w:rsid w:val="00C84C32"/>
    <w:rsid w:val="00C85154"/>
    <w:rsid w:val="00C871DA"/>
    <w:rsid w:val="00C87274"/>
    <w:rsid w:val="00C876BA"/>
    <w:rsid w:val="00C8797A"/>
    <w:rsid w:val="00C87B87"/>
    <w:rsid w:val="00C87DE3"/>
    <w:rsid w:val="00C87E04"/>
    <w:rsid w:val="00C900B8"/>
    <w:rsid w:val="00C901BD"/>
    <w:rsid w:val="00C9059D"/>
    <w:rsid w:val="00C908E2"/>
    <w:rsid w:val="00C9091C"/>
    <w:rsid w:val="00C90C71"/>
    <w:rsid w:val="00C911B8"/>
    <w:rsid w:val="00C91E72"/>
    <w:rsid w:val="00C91FD1"/>
    <w:rsid w:val="00C920EC"/>
    <w:rsid w:val="00C92DA0"/>
    <w:rsid w:val="00C931CE"/>
    <w:rsid w:val="00C931CF"/>
    <w:rsid w:val="00C93236"/>
    <w:rsid w:val="00C938CF"/>
    <w:rsid w:val="00C93BB6"/>
    <w:rsid w:val="00C93CCE"/>
    <w:rsid w:val="00C93E79"/>
    <w:rsid w:val="00C93F19"/>
    <w:rsid w:val="00C94053"/>
    <w:rsid w:val="00C9405D"/>
    <w:rsid w:val="00C9471C"/>
    <w:rsid w:val="00C94E3B"/>
    <w:rsid w:val="00C9624D"/>
    <w:rsid w:val="00C96438"/>
    <w:rsid w:val="00C96763"/>
    <w:rsid w:val="00C969DA"/>
    <w:rsid w:val="00C96C0C"/>
    <w:rsid w:val="00C97AA7"/>
    <w:rsid w:val="00CA038A"/>
    <w:rsid w:val="00CA08E4"/>
    <w:rsid w:val="00CA21DA"/>
    <w:rsid w:val="00CA2B43"/>
    <w:rsid w:val="00CA2C77"/>
    <w:rsid w:val="00CA3402"/>
    <w:rsid w:val="00CA34AF"/>
    <w:rsid w:val="00CA444F"/>
    <w:rsid w:val="00CA46CA"/>
    <w:rsid w:val="00CA4A14"/>
    <w:rsid w:val="00CA4F06"/>
    <w:rsid w:val="00CA5245"/>
    <w:rsid w:val="00CA553C"/>
    <w:rsid w:val="00CA55C4"/>
    <w:rsid w:val="00CA57C3"/>
    <w:rsid w:val="00CA62C2"/>
    <w:rsid w:val="00CA62DC"/>
    <w:rsid w:val="00CA66DC"/>
    <w:rsid w:val="00CA6732"/>
    <w:rsid w:val="00CA6C94"/>
    <w:rsid w:val="00CA71F4"/>
    <w:rsid w:val="00CA7B09"/>
    <w:rsid w:val="00CB00BB"/>
    <w:rsid w:val="00CB03F7"/>
    <w:rsid w:val="00CB12A5"/>
    <w:rsid w:val="00CB1408"/>
    <w:rsid w:val="00CB1C6E"/>
    <w:rsid w:val="00CB1CAC"/>
    <w:rsid w:val="00CB1EEF"/>
    <w:rsid w:val="00CB2A98"/>
    <w:rsid w:val="00CB2F2A"/>
    <w:rsid w:val="00CB31FA"/>
    <w:rsid w:val="00CB352B"/>
    <w:rsid w:val="00CB4545"/>
    <w:rsid w:val="00CB4E4E"/>
    <w:rsid w:val="00CB540C"/>
    <w:rsid w:val="00CB588F"/>
    <w:rsid w:val="00CB5A39"/>
    <w:rsid w:val="00CB5A41"/>
    <w:rsid w:val="00CB5B1A"/>
    <w:rsid w:val="00CB5F8B"/>
    <w:rsid w:val="00CB6592"/>
    <w:rsid w:val="00CB6A8C"/>
    <w:rsid w:val="00CB6B22"/>
    <w:rsid w:val="00CB6C52"/>
    <w:rsid w:val="00CB7F5F"/>
    <w:rsid w:val="00CC10EC"/>
    <w:rsid w:val="00CC1189"/>
    <w:rsid w:val="00CC15D7"/>
    <w:rsid w:val="00CC1878"/>
    <w:rsid w:val="00CC1952"/>
    <w:rsid w:val="00CC19C8"/>
    <w:rsid w:val="00CC1B39"/>
    <w:rsid w:val="00CC1C22"/>
    <w:rsid w:val="00CC1CD5"/>
    <w:rsid w:val="00CC21CB"/>
    <w:rsid w:val="00CC2658"/>
    <w:rsid w:val="00CC27C5"/>
    <w:rsid w:val="00CC32C8"/>
    <w:rsid w:val="00CC35EA"/>
    <w:rsid w:val="00CC3848"/>
    <w:rsid w:val="00CC3A42"/>
    <w:rsid w:val="00CC3A54"/>
    <w:rsid w:val="00CC4146"/>
    <w:rsid w:val="00CC433E"/>
    <w:rsid w:val="00CC4BF0"/>
    <w:rsid w:val="00CC57FA"/>
    <w:rsid w:val="00CC5F05"/>
    <w:rsid w:val="00CC6495"/>
    <w:rsid w:val="00CC6565"/>
    <w:rsid w:val="00CC71A0"/>
    <w:rsid w:val="00CC7677"/>
    <w:rsid w:val="00CC7E04"/>
    <w:rsid w:val="00CD023C"/>
    <w:rsid w:val="00CD0787"/>
    <w:rsid w:val="00CD0E3D"/>
    <w:rsid w:val="00CD1184"/>
    <w:rsid w:val="00CD13CC"/>
    <w:rsid w:val="00CD17F7"/>
    <w:rsid w:val="00CD1A87"/>
    <w:rsid w:val="00CD2207"/>
    <w:rsid w:val="00CD2228"/>
    <w:rsid w:val="00CD2CF4"/>
    <w:rsid w:val="00CD3F77"/>
    <w:rsid w:val="00CD3FF0"/>
    <w:rsid w:val="00CD4334"/>
    <w:rsid w:val="00CD43AA"/>
    <w:rsid w:val="00CD4454"/>
    <w:rsid w:val="00CD4498"/>
    <w:rsid w:val="00CD4513"/>
    <w:rsid w:val="00CD452D"/>
    <w:rsid w:val="00CD4C10"/>
    <w:rsid w:val="00CD500D"/>
    <w:rsid w:val="00CD5DC8"/>
    <w:rsid w:val="00CD5FE8"/>
    <w:rsid w:val="00CD6ADC"/>
    <w:rsid w:val="00CD6BBF"/>
    <w:rsid w:val="00CD6FD8"/>
    <w:rsid w:val="00CD7193"/>
    <w:rsid w:val="00CD7B76"/>
    <w:rsid w:val="00CD7DC4"/>
    <w:rsid w:val="00CE0E42"/>
    <w:rsid w:val="00CE11EE"/>
    <w:rsid w:val="00CE144E"/>
    <w:rsid w:val="00CE24EF"/>
    <w:rsid w:val="00CE3581"/>
    <w:rsid w:val="00CE38C8"/>
    <w:rsid w:val="00CE39F8"/>
    <w:rsid w:val="00CE4295"/>
    <w:rsid w:val="00CE4A7F"/>
    <w:rsid w:val="00CE4FBD"/>
    <w:rsid w:val="00CE56C3"/>
    <w:rsid w:val="00CE5AF7"/>
    <w:rsid w:val="00CE5CB2"/>
    <w:rsid w:val="00CE6274"/>
    <w:rsid w:val="00CE69F0"/>
    <w:rsid w:val="00CE6E89"/>
    <w:rsid w:val="00CE77B6"/>
    <w:rsid w:val="00CE7955"/>
    <w:rsid w:val="00CF012D"/>
    <w:rsid w:val="00CF01E3"/>
    <w:rsid w:val="00CF02CF"/>
    <w:rsid w:val="00CF075E"/>
    <w:rsid w:val="00CF0E52"/>
    <w:rsid w:val="00CF1455"/>
    <w:rsid w:val="00CF1C6F"/>
    <w:rsid w:val="00CF2A43"/>
    <w:rsid w:val="00CF2B8D"/>
    <w:rsid w:val="00CF2E0E"/>
    <w:rsid w:val="00CF3368"/>
    <w:rsid w:val="00CF3925"/>
    <w:rsid w:val="00CF3A49"/>
    <w:rsid w:val="00CF4448"/>
    <w:rsid w:val="00CF456B"/>
    <w:rsid w:val="00CF4828"/>
    <w:rsid w:val="00CF4B32"/>
    <w:rsid w:val="00CF4D8C"/>
    <w:rsid w:val="00CF4E12"/>
    <w:rsid w:val="00CF5A22"/>
    <w:rsid w:val="00CF5A3D"/>
    <w:rsid w:val="00CF63CF"/>
    <w:rsid w:val="00CF6B8B"/>
    <w:rsid w:val="00CF6EE0"/>
    <w:rsid w:val="00CF6F36"/>
    <w:rsid w:val="00CF7143"/>
    <w:rsid w:val="00CF77CB"/>
    <w:rsid w:val="00D0016D"/>
    <w:rsid w:val="00D00ADD"/>
    <w:rsid w:val="00D00D66"/>
    <w:rsid w:val="00D00F45"/>
    <w:rsid w:val="00D01015"/>
    <w:rsid w:val="00D01167"/>
    <w:rsid w:val="00D01450"/>
    <w:rsid w:val="00D01F85"/>
    <w:rsid w:val="00D022E6"/>
    <w:rsid w:val="00D0254A"/>
    <w:rsid w:val="00D0262E"/>
    <w:rsid w:val="00D029C5"/>
    <w:rsid w:val="00D030AC"/>
    <w:rsid w:val="00D031F1"/>
    <w:rsid w:val="00D03404"/>
    <w:rsid w:val="00D03E38"/>
    <w:rsid w:val="00D03F44"/>
    <w:rsid w:val="00D03F6E"/>
    <w:rsid w:val="00D05075"/>
    <w:rsid w:val="00D057C1"/>
    <w:rsid w:val="00D0586F"/>
    <w:rsid w:val="00D05D57"/>
    <w:rsid w:val="00D05E3D"/>
    <w:rsid w:val="00D05EAD"/>
    <w:rsid w:val="00D060AA"/>
    <w:rsid w:val="00D06139"/>
    <w:rsid w:val="00D067F7"/>
    <w:rsid w:val="00D06B38"/>
    <w:rsid w:val="00D06D04"/>
    <w:rsid w:val="00D07177"/>
    <w:rsid w:val="00D07F3A"/>
    <w:rsid w:val="00D1023D"/>
    <w:rsid w:val="00D10588"/>
    <w:rsid w:val="00D10805"/>
    <w:rsid w:val="00D10D84"/>
    <w:rsid w:val="00D10E3C"/>
    <w:rsid w:val="00D110BD"/>
    <w:rsid w:val="00D11DF8"/>
    <w:rsid w:val="00D12004"/>
    <w:rsid w:val="00D12079"/>
    <w:rsid w:val="00D1264C"/>
    <w:rsid w:val="00D13380"/>
    <w:rsid w:val="00D13675"/>
    <w:rsid w:val="00D13888"/>
    <w:rsid w:val="00D139CF"/>
    <w:rsid w:val="00D13A89"/>
    <w:rsid w:val="00D141E1"/>
    <w:rsid w:val="00D1474F"/>
    <w:rsid w:val="00D14B9E"/>
    <w:rsid w:val="00D14E86"/>
    <w:rsid w:val="00D15142"/>
    <w:rsid w:val="00D15314"/>
    <w:rsid w:val="00D15CBF"/>
    <w:rsid w:val="00D15FDC"/>
    <w:rsid w:val="00D16143"/>
    <w:rsid w:val="00D1649D"/>
    <w:rsid w:val="00D16928"/>
    <w:rsid w:val="00D16E6C"/>
    <w:rsid w:val="00D1755B"/>
    <w:rsid w:val="00D1793D"/>
    <w:rsid w:val="00D17A03"/>
    <w:rsid w:val="00D17C7C"/>
    <w:rsid w:val="00D17D6C"/>
    <w:rsid w:val="00D206C8"/>
    <w:rsid w:val="00D20932"/>
    <w:rsid w:val="00D20FCC"/>
    <w:rsid w:val="00D2155B"/>
    <w:rsid w:val="00D21879"/>
    <w:rsid w:val="00D21DD6"/>
    <w:rsid w:val="00D22340"/>
    <w:rsid w:val="00D22939"/>
    <w:rsid w:val="00D2296D"/>
    <w:rsid w:val="00D2312A"/>
    <w:rsid w:val="00D234F7"/>
    <w:rsid w:val="00D23D11"/>
    <w:rsid w:val="00D23F6B"/>
    <w:rsid w:val="00D23FA7"/>
    <w:rsid w:val="00D244B6"/>
    <w:rsid w:val="00D24543"/>
    <w:rsid w:val="00D2492C"/>
    <w:rsid w:val="00D252E7"/>
    <w:rsid w:val="00D2630A"/>
    <w:rsid w:val="00D2671B"/>
    <w:rsid w:val="00D269E2"/>
    <w:rsid w:val="00D270C3"/>
    <w:rsid w:val="00D270C4"/>
    <w:rsid w:val="00D274AD"/>
    <w:rsid w:val="00D2754D"/>
    <w:rsid w:val="00D277E3"/>
    <w:rsid w:val="00D27B27"/>
    <w:rsid w:val="00D30CD7"/>
    <w:rsid w:val="00D311A2"/>
    <w:rsid w:val="00D315FC"/>
    <w:rsid w:val="00D31766"/>
    <w:rsid w:val="00D31B93"/>
    <w:rsid w:val="00D31E0F"/>
    <w:rsid w:val="00D3206C"/>
    <w:rsid w:val="00D323D4"/>
    <w:rsid w:val="00D324ED"/>
    <w:rsid w:val="00D32F2E"/>
    <w:rsid w:val="00D33662"/>
    <w:rsid w:val="00D33B28"/>
    <w:rsid w:val="00D33BE9"/>
    <w:rsid w:val="00D33CB9"/>
    <w:rsid w:val="00D33DE6"/>
    <w:rsid w:val="00D33F82"/>
    <w:rsid w:val="00D33F93"/>
    <w:rsid w:val="00D3408B"/>
    <w:rsid w:val="00D340FC"/>
    <w:rsid w:val="00D3469B"/>
    <w:rsid w:val="00D34C73"/>
    <w:rsid w:val="00D34E0A"/>
    <w:rsid w:val="00D352E5"/>
    <w:rsid w:val="00D357FF"/>
    <w:rsid w:val="00D362AF"/>
    <w:rsid w:val="00D3649A"/>
    <w:rsid w:val="00D36679"/>
    <w:rsid w:val="00D3669B"/>
    <w:rsid w:val="00D36841"/>
    <w:rsid w:val="00D37551"/>
    <w:rsid w:val="00D378D9"/>
    <w:rsid w:val="00D4040B"/>
    <w:rsid w:val="00D40684"/>
    <w:rsid w:val="00D40922"/>
    <w:rsid w:val="00D40B16"/>
    <w:rsid w:val="00D41134"/>
    <w:rsid w:val="00D41226"/>
    <w:rsid w:val="00D41260"/>
    <w:rsid w:val="00D414F5"/>
    <w:rsid w:val="00D41A3C"/>
    <w:rsid w:val="00D424BE"/>
    <w:rsid w:val="00D424C7"/>
    <w:rsid w:val="00D42A35"/>
    <w:rsid w:val="00D42A99"/>
    <w:rsid w:val="00D43025"/>
    <w:rsid w:val="00D43873"/>
    <w:rsid w:val="00D43B2A"/>
    <w:rsid w:val="00D43C0C"/>
    <w:rsid w:val="00D43D83"/>
    <w:rsid w:val="00D454A7"/>
    <w:rsid w:val="00D4551F"/>
    <w:rsid w:val="00D4561D"/>
    <w:rsid w:val="00D45672"/>
    <w:rsid w:val="00D461EC"/>
    <w:rsid w:val="00D468E9"/>
    <w:rsid w:val="00D46A2C"/>
    <w:rsid w:val="00D46B2A"/>
    <w:rsid w:val="00D46D39"/>
    <w:rsid w:val="00D47575"/>
    <w:rsid w:val="00D47658"/>
    <w:rsid w:val="00D47A2C"/>
    <w:rsid w:val="00D50271"/>
    <w:rsid w:val="00D504F4"/>
    <w:rsid w:val="00D505F1"/>
    <w:rsid w:val="00D506C5"/>
    <w:rsid w:val="00D50810"/>
    <w:rsid w:val="00D509BE"/>
    <w:rsid w:val="00D50B03"/>
    <w:rsid w:val="00D50F9C"/>
    <w:rsid w:val="00D513DD"/>
    <w:rsid w:val="00D51493"/>
    <w:rsid w:val="00D514AB"/>
    <w:rsid w:val="00D518B0"/>
    <w:rsid w:val="00D5243B"/>
    <w:rsid w:val="00D52C1D"/>
    <w:rsid w:val="00D52CA9"/>
    <w:rsid w:val="00D53094"/>
    <w:rsid w:val="00D533EC"/>
    <w:rsid w:val="00D542D9"/>
    <w:rsid w:val="00D5494B"/>
    <w:rsid w:val="00D54CE5"/>
    <w:rsid w:val="00D55129"/>
    <w:rsid w:val="00D5524D"/>
    <w:rsid w:val="00D5536C"/>
    <w:rsid w:val="00D557B0"/>
    <w:rsid w:val="00D56A95"/>
    <w:rsid w:val="00D56A97"/>
    <w:rsid w:val="00D571CA"/>
    <w:rsid w:val="00D5749E"/>
    <w:rsid w:val="00D60211"/>
    <w:rsid w:val="00D6022A"/>
    <w:rsid w:val="00D60E95"/>
    <w:rsid w:val="00D610E7"/>
    <w:rsid w:val="00D61870"/>
    <w:rsid w:val="00D61D64"/>
    <w:rsid w:val="00D61EB9"/>
    <w:rsid w:val="00D61FAF"/>
    <w:rsid w:val="00D62047"/>
    <w:rsid w:val="00D6205D"/>
    <w:rsid w:val="00D62109"/>
    <w:rsid w:val="00D622EB"/>
    <w:rsid w:val="00D62729"/>
    <w:rsid w:val="00D62C1B"/>
    <w:rsid w:val="00D62E73"/>
    <w:rsid w:val="00D6326F"/>
    <w:rsid w:val="00D63369"/>
    <w:rsid w:val="00D63765"/>
    <w:rsid w:val="00D64636"/>
    <w:rsid w:val="00D64A47"/>
    <w:rsid w:val="00D65113"/>
    <w:rsid w:val="00D658D7"/>
    <w:rsid w:val="00D65F93"/>
    <w:rsid w:val="00D664A2"/>
    <w:rsid w:val="00D664E0"/>
    <w:rsid w:val="00D66BD5"/>
    <w:rsid w:val="00D66D5C"/>
    <w:rsid w:val="00D670AE"/>
    <w:rsid w:val="00D671BC"/>
    <w:rsid w:val="00D6725D"/>
    <w:rsid w:val="00D67504"/>
    <w:rsid w:val="00D6772B"/>
    <w:rsid w:val="00D67CB1"/>
    <w:rsid w:val="00D70649"/>
    <w:rsid w:val="00D7075C"/>
    <w:rsid w:val="00D70F16"/>
    <w:rsid w:val="00D71166"/>
    <w:rsid w:val="00D711B5"/>
    <w:rsid w:val="00D71D03"/>
    <w:rsid w:val="00D72777"/>
    <w:rsid w:val="00D72BEC"/>
    <w:rsid w:val="00D72F57"/>
    <w:rsid w:val="00D732C0"/>
    <w:rsid w:val="00D73F4A"/>
    <w:rsid w:val="00D742E3"/>
    <w:rsid w:val="00D74FE4"/>
    <w:rsid w:val="00D7572C"/>
    <w:rsid w:val="00D7589C"/>
    <w:rsid w:val="00D75BB8"/>
    <w:rsid w:val="00D75D34"/>
    <w:rsid w:val="00D75D90"/>
    <w:rsid w:val="00D761D1"/>
    <w:rsid w:val="00D76391"/>
    <w:rsid w:val="00D7658A"/>
    <w:rsid w:val="00D76A44"/>
    <w:rsid w:val="00D76AC4"/>
    <w:rsid w:val="00D76DEB"/>
    <w:rsid w:val="00D7716D"/>
    <w:rsid w:val="00D77817"/>
    <w:rsid w:val="00D77BEA"/>
    <w:rsid w:val="00D77D86"/>
    <w:rsid w:val="00D80202"/>
    <w:rsid w:val="00D8021B"/>
    <w:rsid w:val="00D80361"/>
    <w:rsid w:val="00D80D8F"/>
    <w:rsid w:val="00D81357"/>
    <w:rsid w:val="00D815EF"/>
    <w:rsid w:val="00D81F26"/>
    <w:rsid w:val="00D82F62"/>
    <w:rsid w:val="00D830B6"/>
    <w:rsid w:val="00D8311B"/>
    <w:rsid w:val="00D832B9"/>
    <w:rsid w:val="00D84776"/>
    <w:rsid w:val="00D848DF"/>
    <w:rsid w:val="00D84AA2"/>
    <w:rsid w:val="00D84E1C"/>
    <w:rsid w:val="00D851B4"/>
    <w:rsid w:val="00D85841"/>
    <w:rsid w:val="00D859CE"/>
    <w:rsid w:val="00D85E97"/>
    <w:rsid w:val="00D86231"/>
    <w:rsid w:val="00D86284"/>
    <w:rsid w:val="00D864FF"/>
    <w:rsid w:val="00D86C45"/>
    <w:rsid w:val="00D86D3C"/>
    <w:rsid w:val="00D86F41"/>
    <w:rsid w:val="00D90941"/>
    <w:rsid w:val="00D90B8E"/>
    <w:rsid w:val="00D90F3F"/>
    <w:rsid w:val="00D9107E"/>
    <w:rsid w:val="00D91224"/>
    <w:rsid w:val="00D91696"/>
    <w:rsid w:val="00D91923"/>
    <w:rsid w:val="00D91B7D"/>
    <w:rsid w:val="00D922F6"/>
    <w:rsid w:val="00D928F6"/>
    <w:rsid w:val="00D92A2F"/>
    <w:rsid w:val="00D92B69"/>
    <w:rsid w:val="00D92E15"/>
    <w:rsid w:val="00D92E57"/>
    <w:rsid w:val="00D93519"/>
    <w:rsid w:val="00D93753"/>
    <w:rsid w:val="00D9445A"/>
    <w:rsid w:val="00D946AD"/>
    <w:rsid w:val="00D948AD"/>
    <w:rsid w:val="00D95592"/>
    <w:rsid w:val="00D95DFA"/>
    <w:rsid w:val="00D96039"/>
    <w:rsid w:val="00D964F3"/>
    <w:rsid w:val="00D96BA4"/>
    <w:rsid w:val="00D96CB1"/>
    <w:rsid w:val="00D96CD3"/>
    <w:rsid w:val="00D971AE"/>
    <w:rsid w:val="00D9732A"/>
    <w:rsid w:val="00D974F1"/>
    <w:rsid w:val="00D97764"/>
    <w:rsid w:val="00D97ECE"/>
    <w:rsid w:val="00DA01B2"/>
    <w:rsid w:val="00DA0997"/>
    <w:rsid w:val="00DA0EEC"/>
    <w:rsid w:val="00DA1B3B"/>
    <w:rsid w:val="00DA20C8"/>
    <w:rsid w:val="00DA2494"/>
    <w:rsid w:val="00DA2B0F"/>
    <w:rsid w:val="00DA2FC5"/>
    <w:rsid w:val="00DA3167"/>
    <w:rsid w:val="00DA3AF4"/>
    <w:rsid w:val="00DA43A3"/>
    <w:rsid w:val="00DA4DC3"/>
    <w:rsid w:val="00DA567A"/>
    <w:rsid w:val="00DA57AB"/>
    <w:rsid w:val="00DA5E40"/>
    <w:rsid w:val="00DA699C"/>
    <w:rsid w:val="00DA6A39"/>
    <w:rsid w:val="00DA6FCE"/>
    <w:rsid w:val="00DA77A5"/>
    <w:rsid w:val="00DA7E11"/>
    <w:rsid w:val="00DB0D08"/>
    <w:rsid w:val="00DB152A"/>
    <w:rsid w:val="00DB1F2D"/>
    <w:rsid w:val="00DB1F4D"/>
    <w:rsid w:val="00DB2498"/>
    <w:rsid w:val="00DB27AB"/>
    <w:rsid w:val="00DB353F"/>
    <w:rsid w:val="00DB395B"/>
    <w:rsid w:val="00DB3DBF"/>
    <w:rsid w:val="00DB3F58"/>
    <w:rsid w:val="00DB468A"/>
    <w:rsid w:val="00DB484F"/>
    <w:rsid w:val="00DB5236"/>
    <w:rsid w:val="00DB5923"/>
    <w:rsid w:val="00DB5F43"/>
    <w:rsid w:val="00DB5FB3"/>
    <w:rsid w:val="00DB62B6"/>
    <w:rsid w:val="00DB6411"/>
    <w:rsid w:val="00DB644D"/>
    <w:rsid w:val="00DB65F1"/>
    <w:rsid w:val="00DB6AB7"/>
    <w:rsid w:val="00DB70CC"/>
    <w:rsid w:val="00DB72AC"/>
    <w:rsid w:val="00DB73CA"/>
    <w:rsid w:val="00DB7494"/>
    <w:rsid w:val="00DB74FA"/>
    <w:rsid w:val="00DB7EA5"/>
    <w:rsid w:val="00DC049C"/>
    <w:rsid w:val="00DC04F6"/>
    <w:rsid w:val="00DC0690"/>
    <w:rsid w:val="00DC0955"/>
    <w:rsid w:val="00DC0B17"/>
    <w:rsid w:val="00DC13F2"/>
    <w:rsid w:val="00DC14BF"/>
    <w:rsid w:val="00DC17A8"/>
    <w:rsid w:val="00DC199C"/>
    <w:rsid w:val="00DC19DE"/>
    <w:rsid w:val="00DC1D65"/>
    <w:rsid w:val="00DC1F62"/>
    <w:rsid w:val="00DC1FDA"/>
    <w:rsid w:val="00DC2504"/>
    <w:rsid w:val="00DC2A06"/>
    <w:rsid w:val="00DC2AA7"/>
    <w:rsid w:val="00DC38AF"/>
    <w:rsid w:val="00DC392C"/>
    <w:rsid w:val="00DC3C57"/>
    <w:rsid w:val="00DC4472"/>
    <w:rsid w:val="00DC5501"/>
    <w:rsid w:val="00DC604A"/>
    <w:rsid w:val="00DC6494"/>
    <w:rsid w:val="00DC7154"/>
    <w:rsid w:val="00DC7533"/>
    <w:rsid w:val="00DC7E8A"/>
    <w:rsid w:val="00DD044E"/>
    <w:rsid w:val="00DD089E"/>
    <w:rsid w:val="00DD0F78"/>
    <w:rsid w:val="00DD13A2"/>
    <w:rsid w:val="00DD198C"/>
    <w:rsid w:val="00DD273C"/>
    <w:rsid w:val="00DD32B2"/>
    <w:rsid w:val="00DD347F"/>
    <w:rsid w:val="00DD39E4"/>
    <w:rsid w:val="00DD3EA0"/>
    <w:rsid w:val="00DD3F28"/>
    <w:rsid w:val="00DD3F90"/>
    <w:rsid w:val="00DD4537"/>
    <w:rsid w:val="00DD47A2"/>
    <w:rsid w:val="00DD4B77"/>
    <w:rsid w:val="00DD4CCB"/>
    <w:rsid w:val="00DD4DC8"/>
    <w:rsid w:val="00DD4E15"/>
    <w:rsid w:val="00DD5921"/>
    <w:rsid w:val="00DD67F1"/>
    <w:rsid w:val="00DD7436"/>
    <w:rsid w:val="00DD7A31"/>
    <w:rsid w:val="00DD7B4C"/>
    <w:rsid w:val="00DE1383"/>
    <w:rsid w:val="00DE16AF"/>
    <w:rsid w:val="00DE2304"/>
    <w:rsid w:val="00DE25B3"/>
    <w:rsid w:val="00DE289D"/>
    <w:rsid w:val="00DE28A0"/>
    <w:rsid w:val="00DE3138"/>
    <w:rsid w:val="00DE37F8"/>
    <w:rsid w:val="00DE4460"/>
    <w:rsid w:val="00DE4654"/>
    <w:rsid w:val="00DE4C76"/>
    <w:rsid w:val="00DE4D2F"/>
    <w:rsid w:val="00DE4FBD"/>
    <w:rsid w:val="00DE4FCB"/>
    <w:rsid w:val="00DE50F8"/>
    <w:rsid w:val="00DE51EF"/>
    <w:rsid w:val="00DE577A"/>
    <w:rsid w:val="00DE5D07"/>
    <w:rsid w:val="00DE63BC"/>
    <w:rsid w:val="00DE64D8"/>
    <w:rsid w:val="00DE64DA"/>
    <w:rsid w:val="00DE65EA"/>
    <w:rsid w:val="00DE661F"/>
    <w:rsid w:val="00DE6679"/>
    <w:rsid w:val="00DE66FD"/>
    <w:rsid w:val="00DE6D14"/>
    <w:rsid w:val="00DE6DD3"/>
    <w:rsid w:val="00DE72A7"/>
    <w:rsid w:val="00DE7427"/>
    <w:rsid w:val="00DE7832"/>
    <w:rsid w:val="00DE7EA8"/>
    <w:rsid w:val="00DF04B5"/>
    <w:rsid w:val="00DF0784"/>
    <w:rsid w:val="00DF092E"/>
    <w:rsid w:val="00DF160F"/>
    <w:rsid w:val="00DF1631"/>
    <w:rsid w:val="00DF179F"/>
    <w:rsid w:val="00DF18FC"/>
    <w:rsid w:val="00DF19FC"/>
    <w:rsid w:val="00DF1A78"/>
    <w:rsid w:val="00DF1DDF"/>
    <w:rsid w:val="00DF1EB1"/>
    <w:rsid w:val="00DF1F6C"/>
    <w:rsid w:val="00DF21C8"/>
    <w:rsid w:val="00DF2434"/>
    <w:rsid w:val="00DF2F27"/>
    <w:rsid w:val="00DF31CC"/>
    <w:rsid w:val="00DF330D"/>
    <w:rsid w:val="00DF39AD"/>
    <w:rsid w:val="00DF3B34"/>
    <w:rsid w:val="00DF3DA2"/>
    <w:rsid w:val="00DF423A"/>
    <w:rsid w:val="00DF45C7"/>
    <w:rsid w:val="00DF45EA"/>
    <w:rsid w:val="00DF467B"/>
    <w:rsid w:val="00DF4748"/>
    <w:rsid w:val="00DF4B62"/>
    <w:rsid w:val="00DF4F93"/>
    <w:rsid w:val="00DF58FF"/>
    <w:rsid w:val="00DF591F"/>
    <w:rsid w:val="00DF5D24"/>
    <w:rsid w:val="00DF5D2B"/>
    <w:rsid w:val="00DF5F28"/>
    <w:rsid w:val="00DF618C"/>
    <w:rsid w:val="00DF6588"/>
    <w:rsid w:val="00DF6724"/>
    <w:rsid w:val="00DF7020"/>
    <w:rsid w:val="00DF737C"/>
    <w:rsid w:val="00DF7913"/>
    <w:rsid w:val="00DF7921"/>
    <w:rsid w:val="00DF7F05"/>
    <w:rsid w:val="00E00000"/>
    <w:rsid w:val="00E0001B"/>
    <w:rsid w:val="00E00342"/>
    <w:rsid w:val="00E00CE3"/>
    <w:rsid w:val="00E00E8E"/>
    <w:rsid w:val="00E00FFF"/>
    <w:rsid w:val="00E02C00"/>
    <w:rsid w:val="00E02D18"/>
    <w:rsid w:val="00E0305D"/>
    <w:rsid w:val="00E03679"/>
    <w:rsid w:val="00E03B4F"/>
    <w:rsid w:val="00E040C5"/>
    <w:rsid w:val="00E04392"/>
    <w:rsid w:val="00E04CD6"/>
    <w:rsid w:val="00E0515C"/>
    <w:rsid w:val="00E053E9"/>
    <w:rsid w:val="00E05630"/>
    <w:rsid w:val="00E05CA8"/>
    <w:rsid w:val="00E05CE4"/>
    <w:rsid w:val="00E0671E"/>
    <w:rsid w:val="00E06CD4"/>
    <w:rsid w:val="00E06DBB"/>
    <w:rsid w:val="00E0759D"/>
    <w:rsid w:val="00E07736"/>
    <w:rsid w:val="00E0780E"/>
    <w:rsid w:val="00E10149"/>
    <w:rsid w:val="00E10A0F"/>
    <w:rsid w:val="00E11278"/>
    <w:rsid w:val="00E11340"/>
    <w:rsid w:val="00E118AD"/>
    <w:rsid w:val="00E11E13"/>
    <w:rsid w:val="00E11E9B"/>
    <w:rsid w:val="00E120F7"/>
    <w:rsid w:val="00E121FC"/>
    <w:rsid w:val="00E122A1"/>
    <w:rsid w:val="00E12440"/>
    <w:rsid w:val="00E12442"/>
    <w:rsid w:val="00E129E5"/>
    <w:rsid w:val="00E12C72"/>
    <w:rsid w:val="00E134B3"/>
    <w:rsid w:val="00E137A5"/>
    <w:rsid w:val="00E13FB7"/>
    <w:rsid w:val="00E140C1"/>
    <w:rsid w:val="00E144B7"/>
    <w:rsid w:val="00E1465E"/>
    <w:rsid w:val="00E1496F"/>
    <w:rsid w:val="00E14ECA"/>
    <w:rsid w:val="00E1511E"/>
    <w:rsid w:val="00E15834"/>
    <w:rsid w:val="00E1622E"/>
    <w:rsid w:val="00E16365"/>
    <w:rsid w:val="00E16372"/>
    <w:rsid w:val="00E163BC"/>
    <w:rsid w:val="00E165A8"/>
    <w:rsid w:val="00E16744"/>
    <w:rsid w:val="00E178E2"/>
    <w:rsid w:val="00E17AC2"/>
    <w:rsid w:val="00E17D24"/>
    <w:rsid w:val="00E2035B"/>
    <w:rsid w:val="00E2053B"/>
    <w:rsid w:val="00E2090C"/>
    <w:rsid w:val="00E20E4D"/>
    <w:rsid w:val="00E20ED6"/>
    <w:rsid w:val="00E20F90"/>
    <w:rsid w:val="00E21358"/>
    <w:rsid w:val="00E2158B"/>
    <w:rsid w:val="00E21FAD"/>
    <w:rsid w:val="00E22445"/>
    <w:rsid w:val="00E2249B"/>
    <w:rsid w:val="00E22634"/>
    <w:rsid w:val="00E22678"/>
    <w:rsid w:val="00E2284A"/>
    <w:rsid w:val="00E22A0D"/>
    <w:rsid w:val="00E22BC3"/>
    <w:rsid w:val="00E2308D"/>
    <w:rsid w:val="00E23C61"/>
    <w:rsid w:val="00E23CB6"/>
    <w:rsid w:val="00E24419"/>
    <w:rsid w:val="00E244F6"/>
    <w:rsid w:val="00E24543"/>
    <w:rsid w:val="00E24F9C"/>
    <w:rsid w:val="00E252DB"/>
    <w:rsid w:val="00E25BA9"/>
    <w:rsid w:val="00E25E53"/>
    <w:rsid w:val="00E267DD"/>
    <w:rsid w:val="00E26A4D"/>
    <w:rsid w:val="00E26EA5"/>
    <w:rsid w:val="00E2771E"/>
    <w:rsid w:val="00E279E6"/>
    <w:rsid w:val="00E302BF"/>
    <w:rsid w:val="00E311EF"/>
    <w:rsid w:val="00E3139E"/>
    <w:rsid w:val="00E31AA5"/>
    <w:rsid w:val="00E32180"/>
    <w:rsid w:val="00E32CF0"/>
    <w:rsid w:val="00E32E41"/>
    <w:rsid w:val="00E33660"/>
    <w:rsid w:val="00E33D06"/>
    <w:rsid w:val="00E342A7"/>
    <w:rsid w:val="00E343E7"/>
    <w:rsid w:val="00E34948"/>
    <w:rsid w:val="00E34C04"/>
    <w:rsid w:val="00E3544C"/>
    <w:rsid w:val="00E355E1"/>
    <w:rsid w:val="00E3637B"/>
    <w:rsid w:val="00E364B9"/>
    <w:rsid w:val="00E367F8"/>
    <w:rsid w:val="00E36CF2"/>
    <w:rsid w:val="00E37569"/>
    <w:rsid w:val="00E3768B"/>
    <w:rsid w:val="00E37835"/>
    <w:rsid w:val="00E37B39"/>
    <w:rsid w:val="00E37EC5"/>
    <w:rsid w:val="00E400D5"/>
    <w:rsid w:val="00E401B2"/>
    <w:rsid w:val="00E4038D"/>
    <w:rsid w:val="00E40AEA"/>
    <w:rsid w:val="00E40CE9"/>
    <w:rsid w:val="00E40D21"/>
    <w:rsid w:val="00E41063"/>
    <w:rsid w:val="00E41892"/>
    <w:rsid w:val="00E41E05"/>
    <w:rsid w:val="00E41E30"/>
    <w:rsid w:val="00E42CD5"/>
    <w:rsid w:val="00E42F73"/>
    <w:rsid w:val="00E4312B"/>
    <w:rsid w:val="00E4366E"/>
    <w:rsid w:val="00E43D70"/>
    <w:rsid w:val="00E44180"/>
    <w:rsid w:val="00E44384"/>
    <w:rsid w:val="00E44CE7"/>
    <w:rsid w:val="00E45246"/>
    <w:rsid w:val="00E45484"/>
    <w:rsid w:val="00E454C5"/>
    <w:rsid w:val="00E45D2D"/>
    <w:rsid w:val="00E466F3"/>
    <w:rsid w:val="00E4673D"/>
    <w:rsid w:val="00E472AC"/>
    <w:rsid w:val="00E47817"/>
    <w:rsid w:val="00E478B5"/>
    <w:rsid w:val="00E47B2C"/>
    <w:rsid w:val="00E47DAF"/>
    <w:rsid w:val="00E50499"/>
    <w:rsid w:val="00E507A1"/>
    <w:rsid w:val="00E50969"/>
    <w:rsid w:val="00E514AC"/>
    <w:rsid w:val="00E51560"/>
    <w:rsid w:val="00E51612"/>
    <w:rsid w:val="00E51BE8"/>
    <w:rsid w:val="00E51C11"/>
    <w:rsid w:val="00E520D7"/>
    <w:rsid w:val="00E5347C"/>
    <w:rsid w:val="00E534D1"/>
    <w:rsid w:val="00E53DBF"/>
    <w:rsid w:val="00E53EE6"/>
    <w:rsid w:val="00E53FC8"/>
    <w:rsid w:val="00E54265"/>
    <w:rsid w:val="00E542E3"/>
    <w:rsid w:val="00E54347"/>
    <w:rsid w:val="00E5477C"/>
    <w:rsid w:val="00E54DA6"/>
    <w:rsid w:val="00E55424"/>
    <w:rsid w:val="00E5545A"/>
    <w:rsid w:val="00E557A9"/>
    <w:rsid w:val="00E55865"/>
    <w:rsid w:val="00E55866"/>
    <w:rsid w:val="00E55915"/>
    <w:rsid w:val="00E55BB5"/>
    <w:rsid w:val="00E5663C"/>
    <w:rsid w:val="00E56B31"/>
    <w:rsid w:val="00E56E1A"/>
    <w:rsid w:val="00E56EDB"/>
    <w:rsid w:val="00E56FE3"/>
    <w:rsid w:val="00E570A0"/>
    <w:rsid w:val="00E57449"/>
    <w:rsid w:val="00E578F3"/>
    <w:rsid w:val="00E57D7B"/>
    <w:rsid w:val="00E60314"/>
    <w:rsid w:val="00E603F5"/>
    <w:rsid w:val="00E606B6"/>
    <w:rsid w:val="00E610F3"/>
    <w:rsid w:val="00E612DB"/>
    <w:rsid w:val="00E61859"/>
    <w:rsid w:val="00E61BCB"/>
    <w:rsid w:val="00E61F8D"/>
    <w:rsid w:val="00E621D5"/>
    <w:rsid w:val="00E62526"/>
    <w:rsid w:val="00E62668"/>
    <w:rsid w:val="00E62B7F"/>
    <w:rsid w:val="00E632C0"/>
    <w:rsid w:val="00E63719"/>
    <w:rsid w:val="00E63A2D"/>
    <w:rsid w:val="00E63CF7"/>
    <w:rsid w:val="00E647D2"/>
    <w:rsid w:val="00E64B3D"/>
    <w:rsid w:val="00E65489"/>
    <w:rsid w:val="00E65DF0"/>
    <w:rsid w:val="00E65E79"/>
    <w:rsid w:val="00E662D9"/>
    <w:rsid w:val="00E66BA2"/>
    <w:rsid w:val="00E6702A"/>
    <w:rsid w:val="00E67050"/>
    <w:rsid w:val="00E67416"/>
    <w:rsid w:val="00E6777D"/>
    <w:rsid w:val="00E67A3B"/>
    <w:rsid w:val="00E67D2A"/>
    <w:rsid w:val="00E701F3"/>
    <w:rsid w:val="00E70653"/>
    <w:rsid w:val="00E70957"/>
    <w:rsid w:val="00E70D5E"/>
    <w:rsid w:val="00E70D93"/>
    <w:rsid w:val="00E713E6"/>
    <w:rsid w:val="00E718B6"/>
    <w:rsid w:val="00E71930"/>
    <w:rsid w:val="00E71962"/>
    <w:rsid w:val="00E723BA"/>
    <w:rsid w:val="00E723F6"/>
    <w:rsid w:val="00E73581"/>
    <w:rsid w:val="00E73BAA"/>
    <w:rsid w:val="00E741EE"/>
    <w:rsid w:val="00E7424F"/>
    <w:rsid w:val="00E7434C"/>
    <w:rsid w:val="00E745BC"/>
    <w:rsid w:val="00E74890"/>
    <w:rsid w:val="00E74A2C"/>
    <w:rsid w:val="00E754A0"/>
    <w:rsid w:val="00E75566"/>
    <w:rsid w:val="00E75692"/>
    <w:rsid w:val="00E75DE5"/>
    <w:rsid w:val="00E76316"/>
    <w:rsid w:val="00E76504"/>
    <w:rsid w:val="00E76A4D"/>
    <w:rsid w:val="00E76BD8"/>
    <w:rsid w:val="00E76E7F"/>
    <w:rsid w:val="00E8014F"/>
    <w:rsid w:val="00E81196"/>
    <w:rsid w:val="00E81301"/>
    <w:rsid w:val="00E816B8"/>
    <w:rsid w:val="00E819CF"/>
    <w:rsid w:val="00E81C53"/>
    <w:rsid w:val="00E81D95"/>
    <w:rsid w:val="00E81E3B"/>
    <w:rsid w:val="00E81FB0"/>
    <w:rsid w:val="00E8202E"/>
    <w:rsid w:val="00E8268A"/>
    <w:rsid w:val="00E833F7"/>
    <w:rsid w:val="00E83407"/>
    <w:rsid w:val="00E83628"/>
    <w:rsid w:val="00E8367C"/>
    <w:rsid w:val="00E8382C"/>
    <w:rsid w:val="00E8384C"/>
    <w:rsid w:val="00E839CC"/>
    <w:rsid w:val="00E83BDF"/>
    <w:rsid w:val="00E83C82"/>
    <w:rsid w:val="00E83DA8"/>
    <w:rsid w:val="00E8423D"/>
    <w:rsid w:val="00E842E2"/>
    <w:rsid w:val="00E842F9"/>
    <w:rsid w:val="00E845AC"/>
    <w:rsid w:val="00E849EF"/>
    <w:rsid w:val="00E85588"/>
    <w:rsid w:val="00E8575A"/>
    <w:rsid w:val="00E85F5A"/>
    <w:rsid w:val="00E86182"/>
    <w:rsid w:val="00E8679D"/>
    <w:rsid w:val="00E86A31"/>
    <w:rsid w:val="00E86D42"/>
    <w:rsid w:val="00E8703C"/>
    <w:rsid w:val="00E8708B"/>
    <w:rsid w:val="00E87186"/>
    <w:rsid w:val="00E872C6"/>
    <w:rsid w:val="00E87460"/>
    <w:rsid w:val="00E87532"/>
    <w:rsid w:val="00E87A1D"/>
    <w:rsid w:val="00E905A8"/>
    <w:rsid w:val="00E90704"/>
    <w:rsid w:val="00E9094A"/>
    <w:rsid w:val="00E90C44"/>
    <w:rsid w:val="00E91294"/>
    <w:rsid w:val="00E91501"/>
    <w:rsid w:val="00E91B05"/>
    <w:rsid w:val="00E91D35"/>
    <w:rsid w:val="00E91EDB"/>
    <w:rsid w:val="00E92091"/>
    <w:rsid w:val="00E92333"/>
    <w:rsid w:val="00E92574"/>
    <w:rsid w:val="00E925B1"/>
    <w:rsid w:val="00E926A5"/>
    <w:rsid w:val="00E92A45"/>
    <w:rsid w:val="00E92A4F"/>
    <w:rsid w:val="00E92B23"/>
    <w:rsid w:val="00E93166"/>
    <w:rsid w:val="00E9327A"/>
    <w:rsid w:val="00E93E40"/>
    <w:rsid w:val="00E94BF3"/>
    <w:rsid w:val="00E953BD"/>
    <w:rsid w:val="00E9544C"/>
    <w:rsid w:val="00E9548E"/>
    <w:rsid w:val="00E95903"/>
    <w:rsid w:val="00E95D30"/>
    <w:rsid w:val="00E95D60"/>
    <w:rsid w:val="00E95E3E"/>
    <w:rsid w:val="00E96228"/>
    <w:rsid w:val="00E96ED0"/>
    <w:rsid w:val="00E9721C"/>
    <w:rsid w:val="00E978B5"/>
    <w:rsid w:val="00E97FB7"/>
    <w:rsid w:val="00EA062C"/>
    <w:rsid w:val="00EA122E"/>
    <w:rsid w:val="00EA137A"/>
    <w:rsid w:val="00EA17C3"/>
    <w:rsid w:val="00EA1C09"/>
    <w:rsid w:val="00EA2058"/>
    <w:rsid w:val="00EA29D9"/>
    <w:rsid w:val="00EA2AD9"/>
    <w:rsid w:val="00EA2BB5"/>
    <w:rsid w:val="00EA2CAA"/>
    <w:rsid w:val="00EA2F21"/>
    <w:rsid w:val="00EA2F4A"/>
    <w:rsid w:val="00EA3330"/>
    <w:rsid w:val="00EA3864"/>
    <w:rsid w:val="00EA3D05"/>
    <w:rsid w:val="00EA4604"/>
    <w:rsid w:val="00EA49ED"/>
    <w:rsid w:val="00EA4DDE"/>
    <w:rsid w:val="00EA5C27"/>
    <w:rsid w:val="00EA6414"/>
    <w:rsid w:val="00EA6975"/>
    <w:rsid w:val="00EA71A3"/>
    <w:rsid w:val="00EA7339"/>
    <w:rsid w:val="00EA7A6B"/>
    <w:rsid w:val="00EA7ABC"/>
    <w:rsid w:val="00EA7C52"/>
    <w:rsid w:val="00EA7F1C"/>
    <w:rsid w:val="00EB0D12"/>
    <w:rsid w:val="00EB0E34"/>
    <w:rsid w:val="00EB0E82"/>
    <w:rsid w:val="00EB15B6"/>
    <w:rsid w:val="00EB161E"/>
    <w:rsid w:val="00EB1BFA"/>
    <w:rsid w:val="00EB1EC6"/>
    <w:rsid w:val="00EB279D"/>
    <w:rsid w:val="00EB315D"/>
    <w:rsid w:val="00EB368E"/>
    <w:rsid w:val="00EB3730"/>
    <w:rsid w:val="00EB3D06"/>
    <w:rsid w:val="00EB433B"/>
    <w:rsid w:val="00EB48BE"/>
    <w:rsid w:val="00EB4916"/>
    <w:rsid w:val="00EB4AB2"/>
    <w:rsid w:val="00EB4C69"/>
    <w:rsid w:val="00EB4EB8"/>
    <w:rsid w:val="00EB519F"/>
    <w:rsid w:val="00EB5471"/>
    <w:rsid w:val="00EB5475"/>
    <w:rsid w:val="00EB58A4"/>
    <w:rsid w:val="00EB5E34"/>
    <w:rsid w:val="00EB64CB"/>
    <w:rsid w:val="00EB6903"/>
    <w:rsid w:val="00EB7469"/>
    <w:rsid w:val="00EB76F1"/>
    <w:rsid w:val="00EB7A8E"/>
    <w:rsid w:val="00EB7DD2"/>
    <w:rsid w:val="00EC00C9"/>
    <w:rsid w:val="00EC026A"/>
    <w:rsid w:val="00EC05EB"/>
    <w:rsid w:val="00EC0CF9"/>
    <w:rsid w:val="00EC0DD9"/>
    <w:rsid w:val="00EC1223"/>
    <w:rsid w:val="00EC1234"/>
    <w:rsid w:val="00EC153C"/>
    <w:rsid w:val="00EC21B7"/>
    <w:rsid w:val="00EC226A"/>
    <w:rsid w:val="00EC2649"/>
    <w:rsid w:val="00EC299B"/>
    <w:rsid w:val="00EC31ED"/>
    <w:rsid w:val="00EC359D"/>
    <w:rsid w:val="00EC3D53"/>
    <w:rsid w:val="00EC3E3C"/>
    <w:rsid w:val="00EC45BD"/>
    <w:rsid w:val="00EC4C21"/>
    <w:rsid w:val="00EC4CAC"/>
    <w:rsid w:val="00EC4D62"/>
    <w:rsid w:val="00EC5012"/>
    <w:rsid w:val="00EC5592"/>
    <w:rsid w:val="00EC56B7"/>
    <w:rsid w:val="00EC57CE"/>
    <w:rsid w:val="00EC5836"/>
    <w:rsid w:val="00EC5B68"/>
    <w:rsid w:val="00EC5DF6"/>
    <w:rsid w:val="00EC612C"/>
    <w:rsid w:val="00EC6495"/>
    <w:rsid w:val="00EC688C"/>
    <w:rsid w:val="00EC761C"/>
    <w:rsid w:val="00ED0878"/>
    <w:rsid w:val="00ED0A6D"/>
    <w:rsid w:val="00ED0D03"/>
    <w:rsid w:val="00ED1346"/>
    <w:rsid w:val="00ED166B"/>
    <w:rsid w:val="00ED1A2D"/>
    <w:rsid w:val="00ED1C64"/>
    <w:rsid w:val="00ED1DA9"/>
    <w:rsid w:val="00ED2E83"/>
    <w:rsid w:val="00ED372C"/>
    <w:rsid w:val="00ED3A31"/>
    <w:rsid w:val="00ED4136"/>
    <w:rsid w:val="00ED449C"/>
    <w:rsid w:val="00ED4745"/>
    <w:rsid w:val="00ED4C43"/>
    <w:rsid w:val="00ED4F19"/>
    <w:rsid w:val="00ED4FCA"/>
    <w:rsid w:val="00ED552D"/>
    <w:rsid w:val="00ED57EA"/>
    <w:rsid w:val="00ED5946"/>
    <w:rsid w:val="00ED5BD4"/>
    <w:rsid w:val="00ED5D36"/>
    <w:rsid w:val="00ED6087"/>
    <w:rsid w:val="00ED6109"/>
    <w:rsid w:val="00ED6314"/>
    <w:rsid w:val="00ED6883"/>
    <w:rsid w:val="00ED6A2F"/>
    <w:rsid w:val="00ED6D2C"/>
    <w:rsid w:val="00ED7A70"/>
    <w:rsid w:val="00EE0250"/>
    <w:rsid w:val="00EE03DE"/>
    <w:rsid w:val="00EE04B2"/>
    <w:rsid w:val="00EE0619"/>
    <w:rsid w:val="00EE07D3"/>
    <w:rsid w:val="00EE0B64"/>
    <w:rsid w:val="00EE0DF5"/>
    <w:rsid w:val="00EE0E65"/>
    <w:rsid w:val="00EE0FAD"/>
    <w:rsid w:val="00EE0FEC"/>
    <w:rsid w:val="00EE1996"/>
    <w:rsid w:val="00EE1C01"/>
    <w:rsid w:val="00EE1D85"/>
    <w:rsid w:val="00EE1E8A"/>
    <w:rsid w:val="00EE22AF"/>
    <w:rsid w:val="00EE29BB"/>
    <w:rsid w:val="00EE2D7D"/>
    <w:rsid w:val="00EE44EA"/>
    <w:rsid w:val="00EE4949"/>
    <w:rsid w:val="00EE4CC6"/>
    <w:rsid w:val="00EE5942"/>
    <w:rsid w:val="00EE614E"/>
    <w:rsid w:val="00EE61A8"/>
    <w:rsid w:val="00EE65C4"/>
    <w:rsid w:val="00EE66DA"/>
    <w:rsid w:val="00EE691A"/>
    <w:rsid w:val="00EE6B11"/>
    <w:rsid w:val="00EE6E0D"/>
    <w:rsid w:val="00EE6E52"/>
    <w:rsid w:val="00EF0171"/>
    <w:rsid w:val="00EF0333"/>
    <w:rsid w:val="00EF152E"/>
    <w:rsid w:val="00EF180D"/>
    <w:rsid w:val="00EF1B25"/>
    <w:rsid w:val="00EF1D86"/>
    <w:rsid w:val="00EF1DA0"/>
    <w:rsid w:val="00EF24BD"/>
    <w:rsid w:val="00EF281B"/>
    <w:rsid w:val="00EF3288"/>
    <w:rsid w:val="00EF4152"/>
    <w:rsid w:val="00EF4360"/>
    <w:rsid w:val="00EF43AD"/>
    <w:rsid w:val="00EF4747"/>
    <w:rsid w:val="00EF4BF8"/>
    <w:rsid w:val="00EF4E83"/>
    <w:rsid w:val="00EF55BC"/>
    <w:rsid w:val="00EF5E5C"/>
    <w:rsid w:val="00EF646C"/>
    <w:rsid w:val="00EF67C1"/>
    <w:rsid w:val="00EF6C48"/>
    <w:rsid w:val="00EF6EAE"/>
    <w:rsid w:val="00EF6FEC"/>
    <w:rsid w:val="00EF74E2"/>
    <w:rsid w:val="00EF768F"/>
    <w:rsid w:val="00EF7724"/>
    <w:rsid w:val="00EF7F62"/>
    <w:rsid w:val="00F0073A"/>
    <w:rsid w:val="00F00905"/>
    <w:rsid w:val="00F009A6"/>
    <w:rsid w:val="00F00D46"/>
    <w:rsid w:val="00F00E05"/>
    <w:rsid w:val="00F00F09"/>
    <w:rsid w:val="00F01BF8"/>
    <w:rsid w:val="00F01E12"/>
    <w:rsid w:val="00F01FFA"/>
    <w:rsid w:val="00F02047"/>
    <w:rsid w:val="00F02102"/>
    <w:rsid w:val="00F02253"/>
    <w:rsid w:val="00F026A3"/>
    <w:rsid w:val="00F02999"/>
    <w:rsid w:val="00F02E97"/>
    <w:rsid w:val="00F0345F"/>
    <w:rsid w:val="00F0362A"/>
    <w:rsid w:val="00F03C2E"/>
    <w:rsid w:val="00F03FB2"/>
    <w:rsid w:val="00F04081"/>
    <w:rsid w:val="00F043C3"/>
    <w:rsid w:val="00F04810"/>
    <w:rsid w:val="00F04A66"/>
    <w:rsid w:val="00F04B4B"/>
    <w:rsid w:val="00F04DBA"/>
    <w:rsid w:val="00F04E76"/>
    <w:rsid w:val="00F0516C"/>
    <w:rsid w:val="00F05536"/>
    <w:rsid w:val="00F05717"/>
    <w:rsid w:val="00F05CA7"/>
    <w:rsid w:val="00F05D81"/>
    <w:rsid w:val="00F05FA7"/>
    <w:rsid w:val="00F06243"/>
    <w:rsid w:val="00F06437"/>
    <w:rsid w:val="00F065AB"/>
    <w:rsid w:val="00F067A2"/>
    <w:rsid w:val="00F06C95"/>
    <w:rsid w:val="00F07685"/>
    <w:rsid w:val="00F079A4"/>
    <w:rsid w:val="00F07B9E"/>
    <w:rsid w:val="00F100CC"/>
    <w:rsid w:val="00F10829"/>
    <w:rsid w:val="00F10C62"/>
    <w:rsid w:val="00F1116F"/>
    <w:rsid w:val="00F11837"/>
    <w:rsid w:val="00F11CF0"/>
    <w:rsid w:val="00F11D08"/>
    <w:rsid w:val="00F11E3D"/>
    <w:rsid w:val="00F120F0"/>
    <w:rsid w:val="00F12595"/>
    <w:rsid w:val="00F1263A"/>
    <w:rsid w:val="00F13614"/>
    <w:rsid w:val="00F13662"/>
    <w:rsid w:val="00F14198"/>
    <w:rsid w:val="00F14754"/>
    <w:rsid w:val="00F14861"/>
    <w:rsid w:val="00F14D89"/>
    <w:rsid w:val="00F14EDD"/>
    <w:rsid w:val="00F15103"/>
    <w:rsid w:val="00F152B1"/>
    <w:rsid w:val="00F1550E"/>
    <w:rsid w:val="00F156FC"/>
    <w:rsid w:val="00F158FF"/>
    <w:rsid w:val="00F15B77"/>
    <w:rsid w:val="00F160EB"/>
    <w:rsid w:val="00F161C4"/>
    <w:rsid w:val="00F164CA"/>
    <w:rsid w:val="00F165A9"/>
    <w:rsid w:val="00F169C3"/>
    <w:rsid w:val="00F16FA7"/>
    <w:rsid w:val="00F17034"/>
    <w:rsid w:val="00F1769B"/>
    <w:rsid w:val="00F176ED"/>
    <w:rsid w:val="00F17AC1"/>
    <w:rsid w:val="00F207F6"/>
    <w:rsid w:val="00F20D54"/>
    <w:rsid w:val="00F20EE8"/>
    <w:rsid w:val="00F216B8"/>
    <w:rsid w:val="00F21A23"/>
    <w:rsid w:val="00F23403"/>
    <w:rsid w:val="00F2358F"/>
    <w:rsid w:val="00F23824"/>
    <w:rsid w:val="00F238F5"/>
    <w:rsid w:val="00F23AF9"/>
    <w:rsid w:val="00F23CE2"/>
    <w:rsid w:val="00F23D49"/>
    <w:rsid w:val="00F23E37"/>
    <w:rsid w:val="00F23F10"/>
    <w:rsid w:val="00F2473C"/>
    <w:rsid w:val="00F24837"/>
    <w:rsid w:val="00F25216"/>
    <w:rsid w:val="00F25431"/>
    <w:rsid w:val="00F2575F"/>
    <w:rsid w:val="00F25B4A"/>
    <w:rsid w:val="00F25B85"/>
    <w:rsid w:val="00F26A19"/>
    <w:rsid w:val="00F273CE"/>
    <w:rsid w:val="00F27565"/>
    <w:rsid w:val="00F27DE4"/>
    <w:rsid w:val="00F30CD5"/>
    <w:rsid w:val="00F30E5E"/>
    <w:rsid w:val="00F310D4"/>
    <w:rsid w:val="00F31A93"/>
    <w:rsid w:val="00F31C0C"/>
    <w:rsid w:val="00F31D5A"/>
    <w:rsid w:val="00F31E93"/>
    <w:rsid w:val="00F32848"/>
    <w:rsid w:val="00F329E7"/>
    <w:rsid w:val="00F32B27"/>
    <w:rsid w:val="00F32E95"/>
    <w:rsid w:val="00F33046"/>
    <w:rsid w:val="00F33317"/>
    <w:rsid w:val="00F33734"/>
    <w:rsid w:val="00F33799"/>
    <w:rsid w:val="00F33975"/>
    <w:rsid w:val="00F33C79"/>
    <w:rsid w:val="00F33DE9"/>
    <w:rsid w:val="00F33E43"/>
    <w:rsid w:val="00F343AE"/>
    <w:rsid w:val="00F34690"/>
    <w:rsid w:val="00F348C3"/>
    <w:rsid w:val="00F34AC9"/>
    <w:rsid w:val="00F34D2D"/>
    <w:rsid w:val="00F352FD"/>
    <w:rsid w:val="00F355F8"/>
    <w:rsid w:val="00F35D60"/>
    <w:rsid w:val="00F35E6D"/>
    <w:rsid w:val="00F35E9F"/>
    <w:rsid w:val="00F3619A"/>
    <w:rsid w:val="00F36838"/>
    <w:rsid w:val="00F36AF3"/>
    <w:rsid w:val="00F37C26"/>
    <w:rsid w:val="00F37C73"/>
    <w:rsid w:val="00F40086"/>
    <w:rsid w:val="00F40442"/>
    <w:rsid w:val="00F40502"/>
    <w:rsid w:val="00F409C4"/>
    <w:rsid w:val="00F40AAA"/>
    <w:rsid w:val="00F40B2C"/>
    <w:rsid w:val="00F40BA7"/>
    <w:rsid w:val="00F40F9D"/>
    <w:rsid w:val="00F4103C"/>
    <w:rsid w:val="00F416AC"/>
    <w:rsid w:val="00F41A4F"/>
    <w:rsid w:val="00F41ACD"/>
    <w:rsid w:val="00F42151"/>
    <w:rsid w:val="00F42167"/>
    <w:rsid w:val="00F42F27"/>
    <w:rsid w:val="00F431A3"/>
    <w:rsid w:val="00F43270"/>
    <w:rsid w:val="00F441EB"/>
    <w:rsid w:val="00F44EAD"/>
    <w:rsid w:val="00F45234"/>
    <w:rsid w:val="00F45364"/>
    <w:rsid w:val="00F45922"/>
    <w:rsid w:val="00F45A1B"/>
    <w:rsid w:val="00F45D08"/>
    <w:rsid w:val="00F4666E"/>
    <w:rsid w:val="00F46CB6"/>
    <w:rsid w:val="00F474EF"/>
    <w:rsid w:val="00F4756D"/>
    <w:rsid w:val="00F47758"/>
    <w:rsid w:val="00F47DE8"/>
    <w:rsid w:val="00F5025B"/>
    <w:rsid w:val="00F514E0"/>
    <w:rsid w:val="00F51A2A"/>
    <w:rsid w:val="00F51D64"/>
    <w:rsid w:val="00F52F44"/>
    <w:rsid w:val="00F53274"/>
    <w:rsid w:val="00F532E8"/>
    <w:rsid w:val="00F5347C"/>
    <w:rsid w:val="00F534EB"/>
    <w:rsid w:val="00F5384D"/>
    <w:rsid w:val="00F542C1"/>
    <w:rsid w:val="00F5471F"/>
    <w:rsid w:val="00F54E68"/>
    <w:rsid w:val="00F55D3B"/>
    <w:rsid w:val="00F55E73"/>
    <w:rsid w:val="00F55EDA"/>
    <w:rsid w:val="00F5673D"/>
    <w:rsid w:val="00F56946"/>
    <w:rsid w:val="00F56A58"/>
    <w:rsid w:val="00F56A8B"/>
    <w:rsid w:val="00F56C80"/>
    <w:rsid w:val="00F573AC"/>
    <w:rsid w:val="00F5773F"/>
    <w:rsid w:val="00F57783"/>
    <w:rsid w:val="00F57791"/>
    <w:rsid w:val="00F579B8"/>
    <w:rsid w:val="00F57BE2"/>
    <w:rsid w:val="00F60014"/>
    <w:rsid w:val="00F60092"/>
    <w:rsid w:val="00F602B1"/>
    <w:rsid w:val="00F60369"/>
    <w:rsid w:val="00F60896"/>
    <w:rsid w:val="00F60B2A"/>
    <w:rsid w:val="00F61626"/>
    <w:rsid w:val="00F618EB"/>
    <w:rsid w:val="00F61C18"/>
    <w:rsid w:val="00F6209D"/>
    <w:rsid w:val="00F62514"/>
    <w:rsid w:val="00F62700"/>
    <w:rsid w:val="00F6283A"/>
    <w:rsid w:val="00F62906"/>
    <w:rsid w:val="00F62947"/>
    <w:rsid w:val="00F62DED"/>
    <w:rsid w:val="00F63BD3"/>
    <w:rsid w:val="00F63D2F"/>
    <w:rsid w:val="00F63F00"/>
    <w:rsid w:val="00F64275"/>
    <w:rsid w:val="00F649B5"/>
    <w:rsid w:val="00F65F4B"/>
    <w:rsid w:val="00F66FEF"/>
    <w:rsid w:val="00F672C9"/>
    <w:rsid w:val="00F676C5"/>
    <w:rsid w:val="00F67A69"/>
    <w:rsid w:val="00F70BFF"/>
    <w:rsid w:val="00F70C9D"/>
    <w:rsid w:val="00F710AB"/>
    <w:rsid w:val="00F71359"/>
    <w:rsid w:val="00F714F9"/>
    <w:rsid w:val="00F716C4"/>
    <w:rsid w:val="00F7187C"/>
    <w:rsid w:val="00F719CD"/>
    <w:rsid w:val="00F7235C"/>
    <w:rsid w:val="00F728DD"/>
    <w:rsid w:val="00F72BBC"/>
    <w:rsid w:val="00F72CB6"/>
    <w:rsid w:val="00F7307A"/>
    <w:rsid w:val="00F73147"/>
    <w:rsid w:val="00F73C56"/>
    <w:rsid w:val="00F74252"/>
    <w:rsid w:val="00F7449E"/>
    <w:rsid w:val="00F7495D"/>
    <w:rsid w:val="00F74C18"/>
    <w:rsid w:val="00F74CD9"/>
    <w:rsid w:val="00F76C71"/>
    <w:rsid w:val="00F76CBF"/>
    <w:rsid w:val="00F77201"/>
    <w:rsid w:val="00F80391"/>
    <w:rsid w:val="00F80A7B"/>
    <w:rsid w:val="00F80CA1"/>
    <w:rsid w:val="00F80E5D"/>
    <w:rsid w:val="00F8100B"/>
    <w:rsid w:val="00F81567"/>
    <w:rsid w:val="00F8197C"/>
    <w:rsid w:val="00F81BF0"/>
    <w:rsid w:val="00F81DCF"/>
    <w:rsid w:val="00F81E78"/>
    <w:rsid w:val="00F82405"/>
    <w:rsid w:val="00F828DE"/>
    <w:rsid w:val="00F82ED1"/>
    <w:rsid w:val="00F831EB"/>
    <w:rsid w:val="00F834C3"/>
    <w:rsid w:val="00F83957"/>
    <w:rsid w:val="00F839C7"/>
    <w:rsid w:val="00F83BDD"/>
    <w:rsid w:val="00F8412D"/>
    <w:rsid w:val="00F84404"/>
    <w:rsid w:val="00F84F90"/>
    <w:rsid w:val="00F851CE"/>
    <w:rsid w:val="00F853A4"/>
    <w:rsid w:val="00F85844"/>
    <w:rsid w:val="00F85A9A"/>
    <w:rsid w:val="00F863F3"/>
    <w:rsid w:val="00F8666D"/>
    <w:rsid w:val="00F87348"/>
    <w:rsid w:val="00F87670"/>
    <w:rsid w:val="00F8775B"/>
    <w:rsid w:val="00F878C2"/>
    <w:rsid w:val="00F87C60"/>
    <w:rsid w:val="00F904F0"/>
    <w:rsid w:val="00F90FB7"/>
    <w:rsid w:val="00F91203"/>
    <w:rsid w:val="00F91219"/>
    <w:rsid w:val="00F913E4"/>
    <w:rsid w:val="00F9171E"/>
    <w:rsid w:val="00F919BB"/>
    <w:rsid w:val="00F91A2F"/>
    <w:rsid w:val="00F91FDB"/>
    <w:rsid w:val="00F920A8"/>
    <w:rsid w:val="00F92444"/>
    <w:rsid w:val="00F92824"/>
    <w:rsid w:val="00F931C8"/>
    <w:rsid w:val="00F93516"/>
    <w:rsid w:val="00F93794"/>
    <w:rsid w:val="00F9393E"/>
    <w:rsid w:val="00F9453C"/>
    <w:rsid w:val="00F95385"/>
    <w:rsid w:val="00F96DE3"/>
    <w:rsid w:val="00F96F79"/>
    <w:rsid w:val="00F96FD0"/>
    <w:rsid w:val="00F97A78"/>
    <w:rsid w:val="00F97AF2"/>
    <w:rsid w:val="00FA02E4"/>
    <w:rsid w:val="00FA05FC"/>
    <w:rsid w:val="00FA0B20"/>
    <w:rsid w:val="00FA0DA3"/>
    <w:rsid w:val="00FA0E02"/>
    <w:rsid w:val="00FA0EAB"/>
    <w:rsid w:val="00FA0F83"/>
    <w:rsid w:val="00FA1306"/>
    <w:rsid w:val="00FA1405"/>
    <w:rsid w:val="00FA1AD4"/>
    <w:rsid w:val="00FA24E7"/>
    <w:rsid w:val="00FA29CB"/>
    <w:rsid w:val="00FA2AF3"/>
    <w:rsid w:val="00FA2CFE"/>
    <w:rsid w:val="00FA35E1"/>
    <w:rsid w:val="00FA4586"/>
    <w:rsid w:val="00FA4845"/>
    <w:rsid w:val="00FA4863"/>
    <w:rsid w:val="00FA4B99"/>
    <w:rsid w:val="00FA4CFB"/>
    <w:rsid w:val="00FA4F08"/>
    <w:rsid w:val="00FA52E3"/>
    <w:rsid w:val="00FA5348"/>
    <w:rsid w:val="00FA5CD8"/>
    <w:rsid w:val="00FA5D0F"/>
    <w:rsid w:val="00FA5EE6"/>
    <w:rsid w:val="00FA66B2"/>
    <w:rsid w:val="00FA697C"/>
    <w:rsid w:val="00FA70E8"/>
    <w:rsid w:val="00FA7449"/>
    <w:rsid w:val="00FA7956"/>
    <w:rsid w:val="00FA7F07"/>
    <w:rsid w:val="00FB00ED"/>
    <w:rsid w:val="00FB0CFD"/>
    <w:rsid w:val="00FB13B7"/>
    <w:rsid w:val="00FB175C"/>
    <w:rsid w:val="00FB1BCE"/>
    <w:rsid w:val="00FB1CBA"/>
    <w:rsid w:val="00FB1E77"/>
    <w:rsid w:val="00FB1EC9"/>
    <w:rsid w:val="00FB224B"/>
    <w:rsid w:val="00FB22E8"/>
    <w:rsid w:val="00FB2BE0"/>
    <w:rsid w:val="00FB2FCB"/>
    <w:rsid w:val="00FB3C3B"/>
    <w:rsid w:val="00FB3D69"/>
    <w:rsid w:val="00FB3D70"/>
    <w:rsid w:val="00FB400C"/>
    <w:rsid w:val="00FB40A6"/>
    <w:rsid w:val="00FB4C4A"/>
    <w:rsid w:val="00FB4C69"/>
    <w:rsid w:val="00FB4F42"/>
    <w:rsid w:val="00FB513A"/>
    <w:rsid w:val="00FB51CF"/>
    <w:rsid w:val="00FB61F0"/>
    <w:rsid w:val="00FB6662"/>
    <w:rsid w:val="00FB667B"/>
    <w:rsid w:val="00FB6A7D"/>
    <w:rsid w:val="00FB74DD"/>
    <w:rsid w:val="00FB7C55"/>
    <w:rsid w:val="00FB7E6F"/>
    <w:rsid w:val="00FB7FDF"/>
    <w:rsid w:val="00FC010F"/>
    <w:rsid w:val="00FC072D"/>
    <w:rsid w:val="00FC094B"/>
    <w:rsid w:val="00FC0AB8"/>
    <w:rsid w:val="00FC0C16"/>
    <w:rsid w:val="00FC1074"/>
    <w:rsid w:val="00FC11AA"/>
    <w:rsid w:val="00FC14C8"/>
    <w:rsid w:val="00FC15B7"/>
    <w:rsid w:val="00FC1884"/>
    <w:rsid w:val="00FC1D28"/>
    <w:rsid w:val="00FC1E01"/>
    <w:rsid w:val="00FC1F29"/>
    <w:rsid w:val="00FC1F67"/>
    <w:rsid w:val="00FC2120"/>
    <w:rsid w:val="00FC25C6"/>
    <w:rsid w:val="00FC2A1B"/>
    <w:rsid w:val="00FC2B6F"/>
    <w:rsid w:val="00FC3039"/>
    <w:rsid w:val="00FC3090"/>
    <w:rsid w:val="00FC3449"/>
    <w:rsid w:val="00FC3537"/>
    <w:rsid w:val="00FC371D"/>
    <w:rsid w:val="00FC3B59"/>
    <w:rsid w:val="00FC3BB9"/>
    <w:rsid w:val="00FC3BD5"/>
    <w:rsid w:val="00FC3EE7"/>
    <w:rsid w:val="00FC3EFF"/>
    <w:rsid w:val="00FC4055"/>
    <w:rsid w:val="00FC416B"/>
    <w:rsid w:val="00FC4B2E"/>
    <w:rsid w:val="00FC4BC3"/>
    <w:rsid w:val="00FC4E51"/>
    <w:rsid w:val="00FC556A"/>
    <w:rsid w:val="00FC5F0B"/>
    <w:rsid w:val="00FC6A07"/>
    <w:rsid w:val="00FC6EE5"/>
    <w:rsid w:val="00FC73BB"/>
    <w:rsid w:val="00FC7C27"/>
    <w:rsid w:val="00FD0169"/>
    <w:rsid w:val="00FD1DFC"/>
    <w:rsid w:val="00FD2100"/>
    <w:rsid w:val="00FD2774"/>
    <w:rsid w:val="00FD3988"/>
    <w:rsid w:val="00FD3E2C"/>
    <w:rsid w:val="00FD3ED6"/>
    <w:rsid w:val="00FD41A3"/>
    <w:rsid w:val="00FD436C"/>
    <w:rsid w:val="00FD446D"/>
    <w:rsid w:val="00FD46B9"/>
    <w:rsid w:val="00FD4933"/>
    <w:rsid w:val="00FD4F2C"/>
    <w:rsid w:val="00FD576D"/>
    <w:rsid w:val="00FD5E43"/>
    <w:rsid w:val="00FD6394"/>
    <w:rsid w:val="00FD650F"/>
    <w:rsid w:val="00FD6A0B"/>
    <w:rsid w:val="00FD6B6F"/>
    <w:rsid w:val="00FE0E6C"/>
    <w:rsid w:val="00FE1CDC"/>
    <w:rsid w:val="00FE1D89"/>
    <w:rsid w:val="00FE266C"/>
    <w:rsid w:val="00FE277A"/>
    <w:rsid w:val="00FE3252"/>
    <w:rsid w:val="00FE346C"/>
    <w:rsid w:val="00FE3B0C"/>
    <w:rsid w:val="00FE3BA3"/>
    <w:rsid w:val="00FE4DD0"/>
    <w:rsid w:val="00FE4EB4"/>
    <w:rsid w:val="00FE58B7"/>
    <w:rsid w:val="00FE5961"/>
    <w:rsid w:val="00FE5B27"/>
    <w:rsid w:val="00FE5E86"/>
    <w:rsid w:val="00FE5EEC"/>
    <w:rsid w:val="00FE6F7F"/>
    <w:rsid w:val="00FE702D"/>
    <w:rsid w:val="00FE70C3"/>
    <w:rsid w:val="00FE7670"/>
    <w:rsid w:val="00FE7884"/>
    <w:rsid w:val="00FF0A60"/>
    <w:rsid w:val="00FF0B41"/>
    <w:rsid w:val="00FF0FB6"/>
    <w:rsid w:val="00FF17EE"/>
    <w:rsid w:val="00FF1D1F"/>
    <w:rsid w:val="00FF2AD9"/>
    <w:rsid w:val="00FF2CCB"/>
    <w:rsid w:val="00FF334C"/>
    <w:rsid w:val="00FF359F"/>
    <w:rsid w:val="00FF35C6"/>
    <w:rsid w:val="00FF3923"/>
    <w:rsid w:val="00FF3DCF"/>
    <w:rsid w:val="00FF3FE3"/>
    <w:rsid w:val="00FF4187"/>
    <w:rsid w:val="00FF41C7"/>
    <w:rsid w:val="00FF492C"/>
    <w:rsid w:val="00FF4A21"/>
    <w:rsid w:val="00FF4E9F"/>
    <w:rsid w:val="00FF57EB"/>
    <w:rsid w:val="00FF584B"/>
    <w:rsid w:val="00FF5AA3"/>
    <w:rsid w:val="00FF5AD8"/>
    <w:rsid w:val="00FF6097"/>
    <w:rsid w:val="00FF61E9"/>
    <w:rsid w:val="00FF6427"/>
    <w:rsid w:val="00FF673F"/>
    <w:rsid w:val="00FF7283"/>
    <w:rsid w:val="00FF7574"/>
    <w:rsid w:val="00FF75A5"/>
    <w:rsid w:val="00FF772A"/>
    <w:rsid w:val="00FF77A1"/>
    <w:rsid w:val="00FF797E"/>
    <w:rsid w:val="00FF7BC9"/>
    <w:rsid w:val="00FF7CB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DF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Bayer Caption,IB Caption,Medical Caption,- H17,CSR Caption,Char,Caption2,Caption Char1 Char Char Char,Caption Char Char Char Char Char,Caption Char Char1 Char,Caption Char1 Char1,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Bayer Caption Char,IB Caption Char,Medical Caption Char,- H17 Char,CSR Caption Char,Char Char,Caption2 Char,Caption Char1 Char Char Char Char,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character" w:customStyle="1" w:styleId="Font">
    <w:name w:val="Font"/>
    <w:basedOn w:val="DefaultParagraphFont"/>
    <w:uiPriority w:val="1"/>
    <w:qFormat/>
    <w:rsid w:val="00FF35C6"/>
    <w:rPr>
      <w:rFonts w:ascii="Calibri" w:hAnsi="Calibri"/>
      <w:sz w:val="24"/>
    </w:rPr>
  </w:style>
  <w:style w:type="paragraph" w:customStyle="1" w:styleId="Default">
    <w:name w:val="Default"/>
    <w:rsid w:val="0056027C"/>
    <w:pPr>
      <w:autoSpaceDE w:val="0"/>
      <w:autoSpaceDN w:val="0"/>
      <w:adjustRightInd w:val="0"/>
    </w:pPr>
    <w:rPr>
      <w:color w:val="000000"/>
      <w:sz w:val="24"/>
      <w:szCs w:val="24"/>
      <w:lang w:val="en-US" w:eastAsia="en-US"/>
    </w:rPr>
  </w:style>
  <w:style w:type="character" w:customStyle="1" w:styleId="normaltextrun">
    <w:name w:val="normaltextrun"/>
    <w:basedOn w:val="DefaultParagraphFont"/>
    <w:rsid w:val="0087287A"/>
  </w:style>
  <w:style w:type="paragraph" w:customStyle="1" w:styleId="paragraph">
    <w:name w:val="paragraph"/>
    <w:basedOn w:val="Normal"/>
    <w:rsid w:val="007F5A12"/>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7F5A12"/>
  </w:style>
  <w:style w:type="paragraph" w:customStyle="1" w:styleId="Table">
    <w:name w:val="Table"/>
    <w:aliases w:val="10 pt  Bold,9 pt"/>
    <w:basedOn w:val="Normal"/>
    <w:link w:val="TableChar"/>
    <w:qFormat/>
    <w:rsid w:val="002B0AB2"/>
    <w:pPr>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2B0AB2"/>
    <w:rPr>
      <w:rFonts w:ascii="Calibri" w:eastAsiaTheme="majorEastAsia" w:hAnsi="Calibri" w:cstheme="majorBidi"/>
      <w:szCs w:val="22"/>
      <w:lang w:eastAsia="en-US" w:bidi="en-US"/>
    </w:rPr>
  </w:style>
  <w:style w:type="character" w:customStyle="1" w:styleId="Small">
    <w:name w:val="Small"/>
    <w:basedOn w:val="Font"/>
    <w:uiPriority w:val="4"/>
    <w:qFormat/>
    <w:rsid w:val="00AB41E4"/>
    <w:rPr>
      <w:rFonts w:ascii="Calibri" w:hAnsi="Calibri"/>
      <w:sz w:val="20"/>
    </w:rPr>
  </w:style>
  <w:style w:type="character" w:customStyle="1" w:styleId="CaptionFootnoteChar">
    <w:name w:val="Caption Footnote Char"/>
    <w:basedOn w:val="DefaultParagraphFont"/>
    <w:link w:val="CaptionFootnote"/>
    <w:rsid w:val="005A3636"/>
    <w:rPr>
      <w:rFonts w:ascii="Calibri" w:hAnsi="Calibri"/>
      <w:bCs/>
      <w:sz w:val="16"/>
      <w:szCs w:val="18"/>
    </w:rPr>
  </w:style>
  <w:style w:type="paragraph" w:customStyle="1" w:styleId="CaptionFootnote">
    <w:name w:val="Caption Footnote"/>
    <w:basedOn w:val="Caption"/>
    <w:link w:val="CaptionFootnoteChar"/>
    <w:qFormat/>
    <w:rsid w:val="005A3636"/>
    <w:pPr>
      <w:widowControl w:val="0"/>
      <w:spacing w:line="276" w:lineRule="auto"/>
      <w:contextualSpacing/>
      <w:jc w:val="left"/>
    </w:pPr>
    <w:rPr>
      <w:rFonts w:cs="Times New Roman"/>
      <w:b w:val="0"/>
      <w:color w:val="auto"/>
      <w:sz w:val="16"/>
    </w:rPr>
  </w:style>
  <w:style w:type="character" w:customStyle="1" w:styleId="FontBold">
    <w:name w:val="Font Bold"/>
    <w:basedOn w:val="Font"/>
    <w:uiPriority w:val="1"/>
    <w:qFormat/>
    <w:rsid w:val="00A20B13"/>
    <w:rPr>
      <w:rFonts w:ascii="Calibri" w:hAnsi="Calibri"/>
      <w:b/>
      <w:i w:val="0"/>
      <w:sz w:val="24"/>
    </w:rPr>
  </w:style>
  <w:style w:type="paragraph" w:customStyle="1" w:styleId="NormalBullets">
    <w:name w:val="Normal Bullets"/>
    <w:basedOn w:val="Normal"/>
    <w:uiPriority w:val="3"/>
    <w:qFormat/>
    <w:rsid w:val="00104B6D"/>
    <w:pPr>
      <w:numPr>
        <w:numId w:val="7"/>
      </w:numPr>
      <w:spacing w:after="240" w:line="276" w:lineRule="auto"/>
      <w:ind w:left="357" w:hanging="357"/>
      <w:contextualSpacing/>
      <w:jc w:val="left"/>
    </w:pPr>
    <w:rPr>
      <w:rFonts w:eastAsiaTheme="majorEastAsia" w:cstheme="majorBidi"/>
      <w:sz w:val="22"/>
      <w:szCs w:val="22"/>
      <w:lang w:eastAsia="en-US" w:bidi="en-US"/>
    </w:rPr>
  </w:style>
  <w:style w:type="paragraph" w:customStyle="1" w:styleId="NormalBulletList">
    <w:name w:val="Normal Bullet List"/>
    <w:basedOn w:val="Normal"/>
    <w:uiPriority w:val="3"/>
    <w:qFormat/>
    <w:rsid w:val="00104B6D"/>
    <w:pPr>
      <w:spacing w:after="240" w:line="276" w:lineRule="auto"/>
      <w:ind w:left="720" w:hanging="360"/>
      <w:contextualSpacing/>
      <w:jc w:val="left"/>
    </w:pPr>
    <w:rPr>
      <w:rFonts w:eastAsiaTheme="majorEastAsia" w:cstheme="majorBidi"/>
      <w:szCs w:val="22"/>
      <w:lang w:eastAsia="en-US" w:bidi="en-US"/>
    </w:rPr>
  </w:style>
  <w:style w:type="paragraph" w:styleId="FootnoteText">
    <w:name w:val="footnote text"/>
    <w:basedOn w:val="Normal"/>
    <w:link w:val="FootnoteTextChar"/>
    <w:rsid w:val="006A4437"/>
    <w:pPr>
      <w:widowControl w:val="0"/>
    </w:pPr>
    <w:rPr>
      <w:rFonts w:ascii="Times New Roman" w:hAnsi="Times New Roman" w:cs="Times New Roman"/>
      <w:snapToGrid w:val="0"/>
      <w:sz w:val="16"/>
      <w:szCs w:val="20"/>
      <w:lang w:eastAsia="en-US"/>
    </w:rPr>
  </w:style>
  <w:style w:type="character" w:customStyle="1" w:styleId="FootnoteTextChar">
    <w:name w:val="Footnote Text Char"/>
    <w:basedOn w:val="DefaultParagraphFont"/>
    <w:link w:val="FootnoteText"/>
    <w:rsid w:val="006A4437"/>
    <w:rPr>
      <w:snapToGrid w:val="0"/>
      <w:sz w:val="16"/>
      <w:lang w:eastAsia="en-US"/>
    </w:rPr>
  </w:style>
  <w:style w:type="character" w:styleId="FootnoteReference">
    <w:name w:val="footnote reference"/>
    <w:basedOn w:val="DefaultParagraphFont"/>
    <w:semiHidden/>
    <w:unhideWhenUsed/>
    <w:rsid w:val="006A4437"/>
    <w:rPr>
      <w:vertAlign w:val="superscript"/>
    </w:rPr>
  </w:style>
  <w:style w:type="paragraph" w:customStyle="1" w:styleId="TableBullets">
    <w:name w:val="Table Bullets"/>
    <w:basedOn w:val="Normal"/>
    <w:uiPriority w:val="5"/>
    <w:qFormat/>
    <w:rsid w:val="00495712"/>
    <w:pPr>
      <w:ind w:left="357" w:hanging="357"/>
      <w:jc w:val="left"/>
    </w:pPr>
    <w:rPr>
      <w:rFonts w:eastAsiaTheme="majorEastAsia" w:cstheme="majorBidi"/>
      <w:sz w:val="20"/>
      <w:szCs w:val="22"/>
      <w:lang w:eastAsia="en-US" w:bidi="en-US"/>
    </w:rPr>
  </w:style>
  <w:style w:type="character" w:customStyle="1" w:styleId="SmallItalics">
    <w:name w:val="Small Italics"/>
    <w:basedOn w:val="DefaultParagraphFont"/>
    <w:uiPriority w:val="4"/>
    <w:qFormat/>
    <w:rsid w:val="00AD35E2"/>
    <w:rPr>
      <w:rFonts w:ascii="Calibri" w:hAnsi="Calibri"/>
      <w:i/>
      <w:sz w:val="20"/>
    </w:rPr>
  </w:style>
  <w:style w:type="paragraph" w:customStyle="1" w:styleId="TableHeading0">
    <w:name w:val="Table Heading"/>
    <w:basedOn w:val="Normal"/>
    <w:qFormat/>
    <w:rsid w:val="005065A0"/>
    <w:pPr>
      <w:keepNext/>
      <w:spacing w:after="60"/>
      <w:jc w:val="left"/>
    </w:pPr>
    <w:rPr>
      <w:rFonts w:ascii="Arial Narrow" w:eastAsiaTheme="minorHAnsi" w:hAnsi="Arial Narrow" w:cstheme="minorBidi"/>
      <w:b/>
      <w:sz w:val="20"/>
      <w:szCs w:val="22"/>
      <w:lang w:eastAsia="en-US"/>
    </w:rPr>
  </w:style>
  <w:style w:type="character" w:customStyle="1" w:styleId="findhit">
    <w:name w:val="findhit"/>
    <w:basedOn w:val="DefaultParagraphFont"/>
    <w:rsid w:val="00F74252"/>
  </w:style>
  <w:style w:type="paragraph" w:customStyle="1" w:styleId="V50Instructions">
    <w:name w:val="V5.0 Instructions"/>
    <w:basedOn w:val="Normal"/>
    <w:link w:val="V50InstructionsChar"/>
    <w:qFormat/>
    <w:rsid w:val="0015271E"/>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15271E"/>
    <w:rPr>
      <w:rFonts w:asciiTheme="minorHAnsi" w:eastAsiaTheme="minorHAnsi" w:hAnsiTheme="minorHAnsi" w:cstheme="minorBidi"/>
      <w:color w:val="4BACC6" w:themeColor="accent5"/>
      <w:sz w:val="24"/>
      <w:szCs w:val="22"/>
      <w:lang w:eastAsia="en-US"/>
    </w:rPr>
  </w:style>
  <w:style w:type="table" w:customStyle="1" w:styleId="TableGrid1">
    <w:name w:val="Table Grid1"/>
    <w:basedOn w:val="TableNormal"/>
    <w:next w:val="TableGrid"/>
    <w:uiPriority w:val="59"/>
    <w:rsid w:val="0015271E"/>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notes">
    <w:name w:val="Table notes"/>
    <w:basedOn w:val="Normal"/>
    <w:qFormat/>
    <w:rsid w:val="00CE69F0"/>
    <w:pPr>
      <w:spacing w:line="276" w:lineRule="auto"/>
      <w:jc w:val="left"/>
    </w:pPr>
    <w:rPr>
      <w:rFonts w:ascii="Arial Narrow" w:eastAsiaTheme="majorEastAsia" w:hAnsi="Arial Narrow" w:cstheme="majorBidi"/>
      <w:sz w:val="18"/>
      <w:szCs w:val="22"/>
      <w:lang w:eastAsia="en-US" w:bidi="en-US"/>
    </w:rPr>
  </w:style>
  <w:style w:type="character" w:customStyle="1" w:styleId="SmallSuperscript">
    <w:name w:val="Small Superscript"/>
    <w:basedOn w:val="DefaultParagraphFont"/>
    <w:uiPriority w:val="1"/>
    <w:qFormat/>
    <w:rsid w:val="002F29A9"/>
    <w:rPr>
      <w:rFonts w:ascii="Calibri" w:hAnsi="Calibri"/>
      <w:b w:val="0"/>
      <w:sz w:val="20"/>
      <w:vertAlign w:val="superscript"/>
    </w:rPr>
  </w:style>
  <w:style w:type="paragraph" w:customStyle="1" w:styleId="Tablenotes1">
    <w:name w:val="Tablenotes"/>
    <w:basedOn w:val="Normal"/>
    <w:link w:val="TablenotesChar"/>
    <w:autoRedefine/>
    <w:qFormat/>
    <w:rsid w:val="00C01508"/>
    <w:pPr>
      <w:widowControl w:val="0"/>
    </w:pPr>
    <w:rPr>
      <w:rFonts w:ascii="Arial Narrow" w:hAnsi="Arial Narrow"/>
      <w:snapToGrid w:val="0"/>
      <w:sz w:val="18"/>
      <w:szCs w:val="20"/>
      <w:lang w:eastAsia="en-US"/>
    </w:rPr>
  </w:style>
  <w:style w:type="character" w:customStyle="1" w:styleId="TablenotesChar">
    <w:name w:val="Tablenotes Char"/>
    <w:basedOn w:val="DefaultParagraphFont"/>
    <w:link w:val="Tablenotes1"/>
    <w:rsid w:val="00C01508"/>
    <w:rPr>
      <w:rFonts w:ascii="Arial Narrow" w:hAnsi="Arial Narrow" w:cs="Arial"/>
      <w:snapToGrid w:val="0"/>
      <w:sz w:val="18"/>
      <w:lang w:eastAsia="en-US"/>
    </w:rPr>
  </w:style>
  <w:style w:type="character" w:customStyle="1" w:styleId="Heading1Char">
    <w:name w:val="Heading 1 Char"/>
    <w:basedOn w:val="DefaultParagraphFont"/>
    <w:link w:val="Heading1"/>
    <w:uiPriority w:val="1"/>
    <w:rsid w:val="00625365"/>
    <w:rPr>
      <w:rFonts w:ascii="Calibri" w:hAnsi="Calibri" w:cs="Arial"/>
      <w:b/>
      <w:caps/>
      <w:sz w:val="32"/>
      <w:szCs w:val="24"/>
    </w:rPr>
  </w:style>
  <w:style w:type="paragraph" w:customStyle="1" w:styleId="NormalBulletList2">
    <w:name w:val="Normal Bullet List 2"/>
    <w:basedOn w:val="NormalBulletList"/>
    <w:qFormat/>
    <w:rsid w:val="004B4C7D"/>
    <w:pPr>
      <w:spacing w:after="0"/>
      <w:ind w:left="1440"/>
    </w:pPr>
  </w:style>
  <w:style w:type="paragraph" w:styleId="EndnoteText">
    <w:name w:val="endnote text"/>
    <w:basedOn w:val="Normal"/>
    <w:link w:val="EndnoteTextChar"/>
    <w:semiHidden/>
    <w:unhideWhenUsed/>
    <w:rsid w:val="00F23E37"/>
    <w:rPr>
      <w:sz w:val="20"/>
      <w:szCs w:val="20"/>
    </w:rPr>
  </w:style>
  <w:style w:type="character" w:customStyle="1" w:styleId="EndnoteTextChar">
    <w:name w:val="Endnote Text Char"/>
    <w:basedOn w:val="DefaultParagraphFont"/>
    <w:link w:val="EndnoteText"/>
    <w:semiHidden/>
    <w:rsid w:val="00F23E37"/>
    <w:rPr>
      <w:rFonts w:ascii="Calibri" w:hAnsi="Calibri" w:cs="Arial"/>
    </w:rPr>
  </w:style>
  <w:style w:type="character" w:styleId="EndnoteReference">
    <w:name w:val="endnote reference"/>
    <w:basedOn w:val="DefaultParagraphFont"/>
    <w:semiHidden/>
    <w:unhideWhenUsed/>
    <w:rsid w:val="00F23E37"/>
    <w:rPr>
      <w:vertAlign w:val="superscript"/>
    </w:rPr>
  </w:style>
  <w:style w:type="paragraph" w:customStyle="1" w:styleId="Bodytextitalics">
    <w:name w:val="Body text italics"/>
    <w:basedOn w:val="BodyText"/>
    <w:qFormat/>
    <w:rsid w:val="00213D80"/>
    <w:pPr>
      <w:spacing w:after="120"/>
      <w:jc w:val="both"/>
    </w:pPr>
    <w:rPr>
      <w:rFonts w:asciiTheme="minorHAnsi" w:eastAsiaTheme="minorHAnsi" w:hAnsiTheme="minorHAnsi" w:cstheme="minorBidi"/>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4456">
      <w:bodyDiv w:val="1"/>
      <w:marLeft w:val="0"/>
      <w:marRight w:val="0"/>
      <w:marTop w:val="0"/>
      <w:marBottom w:val="0"/>
      <w:divBdr>
        <w:top w:val="none" w:sz="0" w:space="0" w:color="auto"/>
        <w:left w:val="none" w:sz="0" w:space="0" w:color="auto"/>
        <w:bottom w:val="none" w:sz="0" w:space="0" w:color="auto"/>
        <w:right w:val="none" w:sz="0" w:space="0" w:color="auto"/>
      </w:divBdr>
    </w:div>
    <w:div w:id="67386332">
      <w:bodyDiv w:val="1"/>
      <w:marLeft w:val="0"/>
      <w:marRight w:val="0"/>
      <w:marTop w:val="0"/>
      <w:marBottom w:val="0"/>
      <w:divBdr>
        <w:top w:val="none" w:sz="0" w:space="0" w:color="auto"/>
        <w:left w:val="none" w:sz="0" w:space="0" w:color="auto"/>
        <w:bottom w:val="none" w:sz="0" w:space="0" w:color="auto"/>
        <w:right w:val="none" w:sz="0" w:space="0" w:color="auto"/>
      </w:divBdr>
    </w:div>
    <w:div w:id="89471658">
      <w:bodyDiv w:val="1"/>
      <w:marLeft w:val="0"/>
      <w:marRight w:val="0"/>
      <w:marTop w:val="0"/>
      <w:marBottom w:val="0"/>
      <w:divBdr>
        <w:top w:val="none" w:sz="0" w:space="0" w:color="auto"/>
        <w:left w:val="none" w:sz="0" w:space="0" w:color="auto"/>
        <w:bottom w:val="none" w:sz="0" w:space="0" w:color="auto"/>
        <w:right w:val="none" w:sz="0" w:space="0" w:color="auto"/>
      </w:divBdr>
    </w:div>
    <w:div w:id="10007711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88976842">
      <w:bodyDiv w:val="1"/>
      <w:marLeft w:val="0"/>
      <w:marRight w:val="0"/>
      <w:marTop w:val="0"/>
      <w:marBottom w:val="0"/>
      <w:divBdr>
        <w:top w:val="none" w:sz="0" w:space="0" w:color="auto"/>
        <w:left w:val="none" w:sz="0" w:space="0" w:color="auto"/>
        <w:bottom w:val="none" w:sz="0" w:space="0" w:color="auto"/>
        <w:right w:val="none" w:sz="0" w:space="0" w:color="auto"/>
      </w:divBdr>
    </w:div>
    <w:div w:id="299576160">
      <w:bodyDiv w:val="1"/>
      <w:marLeft w:val="0"/>
      <w:marRight w:val="0"/>
      <w:marTop w:val="0"/>
      <w:marBottom w:val="0"/>
      <w:divBdr>
        <w:top w:val="none" w:sz="0" w:space="0" w:color="auto"/>
        <w:left w:val="none" w:sz="0" w:space="0" w:color="auto"/>
        <w:bottom w:val="none" w:sz="0" w:space="0" w:color="auto"/>
        <w:right w:val="none" w:sz="0" w:space="0" w:color="auto"/>
      </w:divBdr>
    </w:div>
    <w:div w:id="30678236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1055934">
      <w:bodyDiv w:val="1"/>
      <w:marLeft w:val="0"/>
      <w:marRight w:val="0"/>
      <w:marTop w:val="0"/>
      <w:marBottom w:val="0"/>
      <w:divBdr>
        <w:top w:val="none" w:sz="0" w:space="0" w:color="auto"/>
        <w:left w:val="none" w:sz="0" w:space="0" w:color="auto"/>
        <w:bottom w:val="none" w:sz="0" w:space="0" w:color="auto"/>
        <w:right w:val="none" w:sz="0" w:space="0" w:color="auto"/>
      </w:divBdr>
      <w:divsChild>
        <w:div w:id="1247032294">
          <w:marLeft w:val="360"/>
          <w:marRight w:val="0"/>
          <w:marTop w:val="200"/>
          <w:marBottom w:val="0"/>
          <w:divBdr>
            <w:top w:val="none" w:sz="0" w:space="0" w:color="auto"/>
            <w:left w:val="none" w:sz="0" w:space="0" w:color="auto"/>
            <w:bottom w:val="none" w:sz="0" w:space="0" w:color="auto"/>
            <w:right w:val="none" w:sz="0" w:space="0" w:color="auto"/>
          </w:divBdr>
        </w:div>
        <w:div w:id="914899057">
          <w:marLeft w:val="1080"/>
          <w:marRight w:val="0"/>
          <w:marTop w:val="100"/>
          <w:marBottom w:val="0"/>
          <w:divBdr>
            <w:top w:val="none" w:sz="0" w:space="0" w:color="auto"/>
            <w:left w:val="none" w:sz="0" w:space="0" w:color="auto"/>
            <w:bottom w:val="none" w:sz="0" w:space="0" w:color="auto"/>
            <w:right w:val="none" w:sz="0" w:space="0" w:color="auto"/>
          </w:divBdr>
        </w:div>
        <w:div w:id="1624342107">
          <w:marLeft w:val="1800"/>
          <w:marRight w:val="0"/>
          <w:marTop w:val="100"/>
          <w:marBottom w:val="0"/>
          <w:divBdr>
            <w:top w:val="none" w:sz="0" w:space="0" w:color="auto"/>
            <w:left w:val="none" w:sz="0" w:space="0" w:color="auto"/>
            <w:bottom w:val="none" w:sz="0" w:space="0" w:color="auto"/>
            <w:right w:val="none" w:sz="0" w:space="0" w:color="auto"/>
          </w:divBdr>
        </w:div>
        <w:div w:id="346563736">
          <w:marLeft w:val="1800"/>
          <w:marRight w:val="0"/>
          <w:marTop w:val="100"/>
          <w:marBottom w:val="0"/>
          <w:divBdr>
            <w:top w:val="none" w:sz="0" w:space="0" w:color="auto"/>
            <w:left w:val="none" w:sz="0" w:space="0" w:color="auto"/>
            <w:bottom w:val="none" w:sz="0" w:space="0" w:color="auto"/>
            <w:right w:val="none" w:sz="0" w:space="0" w:color="auto"/>
          </w:divBdr>
        </w:div>
        <w:div w:id="955603595">
          <w:marLeft w:val="1800"/>
          <w:marRight w:val="0"/>
          <w:marTop w:val="100"/>
          <w:marBottom w:val="0"/>
          <w:divBdr>
            <w:top w:val="none" w:sz="0" w:space="0" w:color="auto"/>
            <w:left w:val="none" w:sz="0" w:space="0" w:color="auto"/>
            <w:bottom w:val="none" w:sz="0" w:space="0" w:color="auto"/>
            <w:right w:val="none" w:sz="0" w:space="0" w:color="auto"/>
          </w:divBdr>
        </w:div>
        <w:div w:id="92361785">
          <w:marLeft w:val="2520"/>
          <w:marRight w:val="0"/>
          <w:marTop w:val="100"/>
          <w:marBottom w:val="0"/>
          <w:divBdr>
            <w:top w:val="none" w:sz="0" w:space="0" w:color="auto"/>
            <w:left w:val="none" w:sz="0" w:space="0" w:color="auto"/>
            <w:bottom w:val="none" w:sz="0" w:space="0" w:color="auto"/>
            <w:right w:val="none" w:sz="0" w:space="0" w:color="auto"/>
          </w:divBdr>
        </w:div>
        <w:div w:id="154343724">
          <w:marLeft w:val="1800"/>
          <w:marRight w:val="0"/>
          <w:marTop w:val="100"/>
          <w:marBottom w:val="0"/>
          <w:divBdr>
            <w:top w:val="none" w:sz="0" w:space="0" w:color="auto"/>
            <w:left w:val="none" w:sz="0" w:space="0" w:color="auto"/>
            <w:bottom w:val="none" w:sz="0" w:space="0" w:color="auto"/>
            <w:right w:val="none" w:sz="0" w:space="0" w:color="auto"/>
          </w:divBdr>
        </w:div>
        <w:div w:id="96368525">
          <w:marLeft w:val="2520"/>
          <w:marRight w:val="0"/>
          <w:marTop w:val="100"/>
          <w:marBottom w:val="0"/>
          <w:divBdr>
            <w:top w:val="none" w:sz="0" w:space="0" w:color="auto"/>
            <w:left w:val="none" w:sz="0" w:space="0" w:color="auto"/>
            <w:bottom w:val="none" w:sz="0" w:space="0" w:color="auto"/>
            <w:right w:val="none" w:sz="0" w:space="0" w:color="auto"/>
          </w:divBdr>
        </w:div>
        <w:div w:id="1838228132">
          <w:marLeft w:val="1080"/>
          <w:marRight w:val="0"/>
          <w:marTop w:val="100"/>
          <w:marBottom w:val="0"/>
          <w:divBdr>
            <w:top w:val="none" w:sz="0" w:space="0" w:color="auto"/>
            <w:left w:val="none" w:sz="0" w:space="0" w:color="auto"/>
            <w:bottom w:val="none" w:sz="0" w:space="0" w:color="auto"/>
            <w:right w:val="none" w:sz="0" w:space="0" w:color="auto"/>
          </w:divBdr>
        </w:div>
        <w:div w:id="1101410264">
          <w:marLeft w:val="1800"/>
          <w:marRight w:val="0"/>
          <w:marTop w:val="100"/>
          <w:marBottom w:val="0"/>
          <w:divBdr>
            <w:top w:val="none" w:sz="0" w:space="0" w:color="auto"/>
            <w:left w:val="none" w:sz="0" w:space="0" w:color="auto"/>
            <w:bottom w:val="none" w:sz="0" w:space="0" w:color="auto"/>
            <w:right w:val="none" w:sz="0" w:space="0" w:color="auto"/>
          </w:divBdr>
        </w:div>
        <w:div w:id="1873876824">
          <w:marLeft w:val="1800"/>
          <w:marRight w:val="0"/>
          <w:marTop w:val="100"/>
          <w:marBottom w:val="0"/>
          <w:divBdr>
            <w:top w:val="none" w:sz="0" w:space="0" w:color="auto"/>
            <w:left w:val="none" w:sz="0" w:space="0" w:color="auto"/>
            <w:bottom w:val="none" w:sz="0" w:space="0" w:color="auto"/>
            <w:right w:val="none" w:sz="0" w:space="0" w:color="auto"/>
          </w:divBdr>
        </w:div>
      </w:divsChild>
    </w:div>
    <w:div w:id="344018214">
      <w:bodyDiv w:val="1"/>
      <w:marLeft w:val="0"/>
      <w:marRight w:val="0"/>
      <w:marTop w:val="0"/>
      <w:marBottom w:val="0"/>
      <w:divBdr>
        <w:top w:val="none" w:sz="0" w:space="0" w:color="auto"/>
        <w:left w:val="none" w:sz="0" w:space="0" w:color="auto"/>
        <w:bottom w:val="none" w:sz="0" w:space="0" w:color="auto"/>
        <w:right w:val="none" w:sz="0" w:space="0" w:color="auto"/>
      </w:divBdr>
    </w:div>
    <w:div w:id="369838672">
      <w:bodyDiv w:val="1"/>
      <w:marLeft w:val="0"/>
      <w:marRight w:val="0"/>
      <w:marTop w:val="0"/>
      <w:marBottom w:val="0"/>
      <w:divBdr>
        <w:top w:val="none" w:sz="0" w:space="0" w:color="auto"/>
        <w:left w:val="none" w:sz="0" w:space="0" w:color="auto"/>
        <w:bottom w:val="none" w:sz="0" w:space="0" w:color="auto"/>
        <w:right w:val="none" w:sz="0" w:space="0" w:color="auto"/>
      </w:divBdr>
    </w:div>
    <w:div w:id="514463972">
      <w:bodyDiv w:val="1"/>
      <w:marLeft w:val="0"/>
      <w:marRight w:val="0"/>
      <w:marTop w:val="0"/>
      <w:marBottom w:val="0"/>
      <w:divBdr>
        <w:top w:val="none" w:sz="0" w:space="0" w:color="auto"/>
        <w:left w:val="none" w:sz="0" w:space="0" w:color="auto"/>
        <w:bottom w:val="none" w:sz="0" w:space="0" w:color="auto"/>
        <w:right w:val="none" w:sz="0" w:space="0" w:color="auto"/>
      </w:divBdr>
    </w:div>
    <w:div w:id="597759056">
      <w:bodyDiv w:val="1"/>
      <w:marLeft w:val="0"/>
      <w:marRight w:val="0"/>
      <w:marTop w:val="0"/>
      <w:marBottom w:val="0"/>
      <w:divBdr>
        <w:top w:val="none" w:sz="0" w:space="0" w:color="auto"/>
        <w:left w:val="none" w:sz="0" w:space="0" w:color="auto"/>
        <w:bottom w:val="none" w:sz="0" w:space="0" w:color="auto"/>
        <w:right w:val="none" w:sz="0" w:space="0" w:color="auto"/>
      </w:divBdr>
    </w:div>
    <w:div w:id="624118063">
      <w:bodyDiv w:val="1"/>
      <w:marLeft w:val="0"/>
      <w:marRight w:val="0"/>
      <w:marTop w:val="0"/>
      <w:marBottom w:val="0"/>
      <w:divBdr>
        <w:top w:val="none" w:sz="0" w:space="0" w:color="auto"/>
        <w:left w:val="none" w:sz="0" w:space="0" w:color="auto"/>
        <w:bottom w:val="none" w:sz="0" w:space="0" w:color="auto"/>
        <w:right w:val="none" w:sz="0" w:space="0" w:color="auto"/>
      </w:divBdr>
    </w:div>
    <w:div w:id="743260728">
      <w:bodyDiv w:val="1"/>
      <w:marLeft w:val="0"/>
      <w:marRight w:val="0"/>
      <w:marTop w:val="0"/>
      <w:marBottom w:val="0"/>
      <w:divBdr>
        <w:top w:val="none" w:sz="0" w:space="0" w:color="auto"/>
        <w:left w:val="none" w:sz="0" w:space="0" w:color="auto"/>
        <w:bottom w:val="none" w:sz="0" w:space="0" w:color="auto"/>
        <w:right w:val="none" w:sz="0" w:space="0" w:color="auto"/>
      </w:divBdr>
    </w:div>
    <w:div w:id="754976701">
      <w:bodyDiv w:val="1"/>
      <w:marLeft w:val="0"/>
      <w:marRight w:val="0"/>
      <w:marTop w:val="0"/>
      <w:marBottom w:val="0"/>
      <w:divBdr>
        <w:top w:val="none" w:sz="0" w:space="0" w:color="auto"/>
        <w:left w:val="none" w:sz="0" w:space="0" w:color="auto"/>
        <w:bottom w:val="none" w:sz="0" w:space="0" w:color="auto"/>
        <w:right w:val="none" w:sz="0" w:space="0" w:color="auto"/>
      </w:divBdr>
    </w:div>
    <w:div w:id="762343323">
      <w:bodyDiv w:val="1"/>
      <w:marLeft w:val="0"/>
      <w:marRight w:val="0"/>
      <w:marTop w:val="0"/>
      <w:marBottom w:val="0"/>
      <w:divBdr>
        <w:top w:val="none" w:sz="0" w:space="0" w:color="auto"/>
        <w:left w:val="none" w:sz="0" w:space="0" w:color="auto"/>
        <w:bottom w:val="none" w:sz="0" w:space="0" w:color="auto"/>
        <w:right w:val="none" w:sz="0" w:space="0" w:color="auto"/>
      </w:divBdr>
    </w:div>
    <w:div w:id="815295623">
      <w:bodyDiv w:val="1"/>
      <w:marLeft w:val="0"/>
      <w:marRight w:val="0"/>
      <w:marTop w:val="0"/>
      <w:marBottom w:val="0"/>
      <w:divBdr>
        <w:top w:val="none" w:sz="0" w:space="0" w:color="auto"/>
        <w:left w:val="none" w:sz="0" w:space="0" w:color="auto"/>
        <w:bottom w:val="none" w:sz="0" w:space="0" w:color="auto"/>
        <w:right w:val="none" w:sz="0" w:space="0" w:color="auto"/>
      </w:divBdr>
    </w:div>
    <w:div w:id="835076614">
      <w:bodyDiv w:val="1"/>
      <w:marLeft w:val="0"/>
      <w:marRight w:val="0"/>
      <w:marTop w:val="0"/>
      <w:marBottom w:val="0"/>
      <w:divBdr>
        <w:top w:val="none" w:sz="0" w:space="0" w:color="auto"/>
        <w:left w:val="none" w:sz="0" w:space="0" w:color="auto"/>
        <w:bottom w:val="none" w:sz="0" w:space="0" w:color="auto"/>
        <w:right w:val="none" w:sz="0" w:space="0" w:color="auto"/>
      </w:divBdr>
    </w:div>
    <w:div w:id="892884670">
      <w:bodyDiv w:val="1"/>
      <w:marLeft w:val="0"/>
      <w:marRight w:val="0"/>
      <w:marTop w:val="0"/>
      <w:marBottom w:val="0"/>
      <w:divBdr>
        <w:top w:val="none" w:sz="0" w:space="0" w:color="auto"/>
        <w:left w:val="none" w:sz="0" w:space="0" w:color="auto"/>
        <w:bottom w:val="none" w:sz="0" w:space="0" w:color="auto"/>
        <w:right w:val="none" w:sz="0" w:space="0" w:color="auto"/>
      </w:divBdr>
    </w:div>
    <w:div w:id="934824950">
      <w:bodyDiv w:val="1"/>
      <w:marLeft w:val="0"/>
      <w:marRight w:val="0"/>
      <w:marTop w:val="0"/>
      <w:marBottom w:val="0"/>
      <w:divBdr>
        <w:top w:val="none" w:sz="0" w:space="0" w:color="auto"/>
        <w:left w:val="none" w:sz="0" w:space="0" w:color="auto"/>
        <w:bottom w:val="none" w:sz="0" w:space="0" w:color="auto"/>
        <w:right w:val="none" w:sz="0" w:space="0" w:color="auto"/>
      </w:divBdr>
    </w:div>
    <w:div w:id="1068916715">
      <w:bodyDiv w:val="1"/>
      <w:marLeft w:val="0"/>
      <w:marRight w:val="0"/>
      <w:marTop w:val="0"/>
      <w:marBottom w:val="0"/>
      <w:divBdr>
        <w:top w:val="none" w:sz="0" w:space="0" w:color="auto"/>
        <w:left w:val="none" w:sz="0" w:space="0" w:color="auto"/>
        <w:bottom w:val="none" w:sz="0" w:space="0" w:color="auto"/>
        <w:right w:val="none" w:sz="0" w:space="0" w:color="auto"/>
      </w:divBdr>
    </w:div>
    <w:div w:id="1124466889">
      <w:bodyDiv w:val="1"/>
      <w:marLeft w:val="0"/>
      <w:marRight w:val="0"/>
      <w:marTop w:val="0"/>
      <w:marBottom w:val="0"/>
      <w:divBdr>
        <w:top w:val="none" w:sz="0" w:space="0" w:color="auto"/>
        <w:left w:val="none" w:sz="0" w:space="0" w:color="auto"/>
        <w:bottom w:val="none" w:sz="0" w:space="0" w:color="auto"/>
        <w:right w:val="none" w:sz="0" w:space="0" w:color="auto"/>
      </w:divBdr>
    </w:div>
    <w:div w:id="1135877691">
      <w:bodyDiv w:val="1"/>
      <w:marLeft w:val="0"/>
      <w:marRight w:val="0"/>
      <w:marTop w:val="0"/>
      <w:marBottom w:val="0"/>
      <w:divBdr>
        <w:top w:val="none" w:sz="0" w:space="0" w:color="auto"/>
        <w:left w:val="none" w:sz="0" w:space="0" w:color="auto"/>
        <w:bottom w:val="none" w:sz="0" w:space="0" w:color="auto"/>
        <w:right w:val="none" w:sz="0" w:space="0" w:color="auto"/>
      </w:divBdr>
      <w:divsChild>
        <w:div w:id="340013445">
          <w:marLeft w:val="1267"/>
          <w:marRight w:val="0"/>
          <w:marTop w:val="100"/>
          <w:marBottom w:val="120"/>
          <w:divBdr>
            <w:top w:val="none" w:sz="0" w:space="0" w:color="auto"/>
            <w:left w:val="none" w:sz="0" w:space="0" w:color="auto"/>
            <w:bottom w:val="none" w:sz="0" w:space="0" w:color="auto"/>
            <w:right w:val="none" w:sz="0" w:space="0" w:color="auto"/>
          </w:divBdr>
        </w:div>
      </w:divsChild>
    </w:div>
    <w:div w:id="1136410121">
      <w:bodyDiv w:val="1"/>
      <w:marLeft w:val="0"/>
      <w:marRight w:val="0"/>
      <w:marTop w:val="0"/>
      <w:marBottom w:val="0"/>
      <w:divBdr>
        <w:top w:val="none" w:sz="0" w:space="0" w:color="auto"/>
        <w:left w:val="none" w:sz="0" w:space="0" w:color="auto"/>
        <w:bottom w:val="none" w:sz="0" w:space="0" w:color="auto"/>
        <w:right w:val="none" w:sz="0" w:space="0" w:color="auto"/>
      </w:divBdr>
    </w:div>
    <w:div w:id="1143079824">
      <w:bodyDiv w:val="1"/>
      <w:marLeft w:val="0"/>
      <w:marRight w:val="0"/>
      <w:marTop w:val="0"/>
      <w:marBottom w:val="0"/>
      <w:divBdr>
        <w:top w:val="none" w:sz="0" w:space="0" w:color="auto"/>
        <w:left w:val="none" w:sz="0" w:space="0" w:color="auto"/>
        <w:bottom w:val="none" w:sz="0" w:space="0" w:color="auto"/>
        <w:right w:val="none" w:sz="0" w:space="0" w:color="auto"/>
      </w:divBdr>
    </w:div>
    <w:div w:id="115746000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8410">
      <w:bodyDiv w:val="1"/>
      <w:marLeft w:val="0"/>
      <w:marRight w:val="0"/>
      <w:marTop w:val="0"/>
      <w:marBottom w:val="0"/>
      <w:divBdr>
        <w:top w:val="none" w:sz="0" w:space="0" w:color="auto"/>
        <w:left w:val="none" w:sz="0" w:space="0" w:color="auto"/>
        <w:bottom w:val="none" w:sz="0" w:space="0" w:color="auto"/>
        <w:right w:val="none" w:sz="0" w:space="0" w:color="auto"/>
      </w:divBdr>
      <w:divsChild>
        <w:div w:id="1649892500">
          <w:marLeft w:val="1267"/>
          <w:marRight w:val="0"/>
          <w:marTop w:val="100"/>
          <w:marBottom w:val="120"/>
          <w:divBdr>
            <w:top w:val="none" w:sz="0" w:space="0" w:color="auto"/>
            <w:left w:val="none" w:sz="0" w:space="0" w:color="auto"/>
            <w:bottom w:val="none" w:sz="0" w:space="0" w:color="auto"/>
            <w:right w:val="none" w:sz="0" w:space="0" w:color="auto"/>
          </w:divBdr>
        </w:div>
        <w:div w:id="509023806">
          <w:marLeft w:val="1267"/>
          <w:marRight w:val="0"/>
          <w:marTop w:val="100"/>
          <w:marBottom w:val="120"/>
          <w:divBdr>
            <w:top w:val="none" w:sz="0" w:space="0" w:color="auto"/>
            <w:left w:val="none" w:sz="0" w:space="0" w:color="auto"/>
            <w:bottom w:val="none" w:sz="0" w:space="0" w:color="auto"/>
            <w:right w:val="none" w:sz="0" w:space="0" w:color="auto"/>
          </w:divBdr>
        </w:div>
      </w:divsChild>
    </w:div>
    <w:div w:id="1219512026">
      <w:bodyDiv w:val="1"/>
      <w:marLeft w:val="0"/>
      <w:marRight w:val="0"/>
      <w:marTop w:val="0"/>
      <w:marBottom w:val="0"/>
      <w:divBdr>
        <w:top w:val="none" w:sz="0" w:space="0" w:color="auto"/>
        <w:left w:val="none" w:sz="0" w:space="0" w:color="auto"/>
        <w:bottom w:val="none" w:sz="0" w:space="0" w:color="auto"/>
        <w:right w:val="none" w:sz="0" w:space="0" w:color="auto"/>
      </w:divBdr>
    </w:div>
    <w:div w:id="1320964748">
      <w:bodyDiv w:val="1"/>
      <w:marLeft w:val="0"/>
      <w:marRight w:val="0"/>
      <w:marTop w:val="0"/>
      <w:marBottom w:val="0"/>
      <w:divBdr>
        <w:top w:val="none" w:sz="0" w:space="0" w:color="auto"/>
        <w:left w:val="none" w:sz="0" w:space="0" w:color="auto"/>
        <w:bottom w:val="none" w:sz="0" w:space="0" w:color="auto"/>
        <w:right w:val="none" w:sz="0" w:space="0" w:color="auto"/>
      </w:divBdr>
    </w:div>
    <w:div w:id="1467160108">
      <w:bodyDiv w:val="1"/>
      <w:marLeft w:val="0"/>
      <w:marRight w:val="0"/>
      <w:marTop w:val="0"/>
      <w:marBottom w:val="0"/>
      <w:divBdr>
        <w:top w:val="none" w:sz="0" w:space="0" w:color="auto"/>
        <w:left w:val="none" w:sz="0" w:space="0" w:color="auto"/>
        <w:bottom w:val="none" w:sz="0" w:space="0" w:color="auto"/>
        <w:right w:val="none" w:sz="0" w:space="0" w:color="auto"/>
      </w:divBdr>
    </w:div>
    <w:div w:id="1468007546">
      <w:bodyDiv w:val="1"/>
      <w:marLeft w:val="0"/>
      <w:marRight w:val="0"/>
      <w:marTop w:val="0"/>
      <w:marBottom w:val="0"/>
      <w:divBdr>
        <w:top w:val="none" w:sz="0" w:space="0" w:color="auto"/>
        <w:left w:val="none" w:sz="0" w:space="0" w:color="auto"/>
        <w:bottom w:val="none" w:sz="0" w:space="0" w:color="auto"/>
        <w:right w:val="none" w:sz="0" w:space="0" w:color="auto"/>
      </w:divBdr>
    </w:div>
    <w:div w:id="1525553805">
      <w:bodyDiv w:val="1"/>
      <w:marLeft w:val="0"/>
      <w:marRight w:val="0"/>
      <w:marTop w:val="0"/>
      <w:marBottom w:val="0"/>
      <w:divBdr>
        <w:top w:val="none" w:sz="0" w:space="0" w:color="auto"/>
        <w:left w:val="none" w:sz="0" w:space="0" w:color="auto"/>
        <w:bottom w:val="none" w:sz="0" w:space="0" w:color="auto"/>
        <w:right w:val="none" w:sz="0" w:space="0" w:color="auto"/>
      </w:divBdr>
    </w:div>
    <w:div w:id="1526409345">
      <w:bodyDiv w:val="1"/>
      <w:marLeft w:val="0"/>
      <w:marRight w:val="0"/>
      <w:marTop w:val="0"/>
      <w:marBottom w:val="0"/>
      <w:divBdr>
        <w:top w:val="none" w:sz="0" w:space="0" w:color="auto"/>
        <w:left w:val="none" w:sz="0" w:space="0" w:color="auto"/>
        <w:bottom w:val="none" w:sz="0" w:space="0" w:color="auto"/>
        <w:right w:val="none" w:sz="0" w:space="0" w:color="auto"/>
      </w:divBdr>
    </w:div>
    <w:div w:id="1537500664">
      <w:bodyDiv w:val="1"/>
      <w:marLeft w:val="0"/>
      <w:marRight w:val="0"/>
      <w:marTop w:val="0"/>
      <w:marBottom w:val="0"/>
      <w:divBdr>
        <w:top w:val="none" w:sz="0" w:space="0" w:color="auto"/>
        <w:left w:val="none" w:sz="0" w:space="0" w:color="auto"/>
        <w:bottom w:val="none" w:sz="0" w:space="0" w:color="auto"/>
        <w:right w:val="none" w:sz="0" w:space="0" w:color="auto"/>
      </w:divBdr>
      <w:divsChild>
        <w:div w:id="1568225431">
          <w:marLeft w:val="360"/>
          <w:marRight w:val="0"/>
          <w:marTop w:val="200"/>
          <w:marBottom w:val="0"/>
          <w:divBdr>
            <w:top w:val="none" w:sz="0" w:space="0" w:color="auto"/>
            <w:left w:val="none" w:sz="0" w:space="0" w:color="auto"/>
            <w:bottom w:val="none" w:sz="0" w:space="0" w:color="auto"/>
            <w:right w:val="none" w:sz="0" w:space="0" w:color="auto"/>
          </w:divBdr>
        </w:div>
        <w:div w:id="599534605">
          <w:marLeft w:val="1080"/>
          <w:marRight w:val="0"/>
          <w:marTop w:val="100"/>
          <w:marBottom w:val="0"/>
          <w:divBdr>
            <w:top w:val="none" w:sz="0" w:space="0" w:color="auto"/>
            <w:left w:val="none" w:sz="0" w:space="0" w:color="auto"/>
            <w:bottom w:val="none" w:sz="0" w:space="0" w:color="auto"/>
            <w:right w:val="none" w:sz="0" w:space="0" w:color="auto"/>
          </w:divBdr>
        </w:div>
        <w:div w:id="114372278">
          <w:marLeft w:val="1800"/>
          <w:marRight w:val="0"/>
          <w:marTop w:val="100"/>
          <w:marBottom w:val="0"/>
          <w:divBdr>
            <w:top w:val="none" w:sz="0" w:space="0" w:color="auto"/>
            <w:left w:val="none" w:sz="0" w:space="0" w:color="auto"/>
            <w:bottom w:val="none" w:sz="0" w:space="0" w:color="auto"/>
            <w:right w:val="none" w:sz="0" w:space="0" w:color="auto"/>
          </w:divBdr>
        </w:div>
        <w:div w:id="1393888035">
          <w:marLeft w:val="1800"/>
          <w:marRight w:val="0"/>
          <w:marTop w:val="100"/>
          <w:marBottom w:val="0"/>
          <w:divBdr>
            <w:top w:val="none" w:sz="0" w:space="0" w:color="auto"/>
            <w:left w:val="none" w:sz="0" w:space="0" w:color="auto"/>
            <w:bottom w:val="none" w:sz="0" w:space="0" w:color="auto"/>
            <w:right w:val="none" w:sz="0" w:space="0" w:color="auto"/>
          </w:divBdr>
        </w:div>
        <w:div w:id="971641357">
          <w:marLeft w:val="1800"/>
          <w:marRight w:val="0"/>
          <w:marTop w:val="100"/>
          <w:marBottom w:val="0"/>
          <w:divBdr>
            <w:top w:val="none" w:sz="0" w:space="0" w:color="auto"/>
            <w:left w:val="none" w:sz="0" w:space="0" w:color="auto"/>
            <w:bottom w:val="none" w:sz="0" w:space="0" w:color="auto"/>
            <w:right w:val="none" w:sz="0" w:space="0" w:color="auto"/>
          </w:divBdr>
        </w:div>
        <w:div w:id="377172093">
          <w:marLeft w:val="2520"/>
          <w:marRight w:val="0"/>
          <w:marTop w:val="100"/>
          <w:marBottom w:val="0"/>
          <w:divBdr>
            <w:top w:val="none" w:sz="0" w:space="0" w:color="auto"/>
            <w:left w:val="none" w:sz="0" w:space="0" w:color="auto"/>
            <w:bottom w:val="none" w:sz="0" w:space="0" w:color="auto"/>
            <w:right w:val="none" w:sz="0" w:space="0" w:color="auto"/>
          </w:divBdr>
        </w:div>
        <w:div w:id="24257613">
          <w:marLeft w:val="1800"/>
          <w:marRight w:val="0"/>
          <w:marTop w:val="100"/>
          <w:marBottom w:val="0"/>
          <w:divBdr>
            <w:top w:val="none" w:sz="0" w:space="0" w:color="auto"/>
            <w:left w:val="none" w:sz="0" w:space="0" w:color="auto"/>
            <w:bottom w:val="none" w:sz="0" w:space="0" w:color="auto"/>
            <w:right w:val="none" w:sz="0" w:space="0" w:color="auto"/>
          </w:divBdr>
        </w:div>
        <w:div w:id="1145466892">
          <w:marLeft w:val="2520"/>
          <w:marRight w:val="0"/>
          <w:marTop w:val="100"/>
          <w:marBottom w:val="0"/>
          <w:divBdr>
            <w:top w:val="none" w:sz="0" w:space="0" w:color="auto"/>
            <w:left w:val="none" w:sz="0" w:space="0" w:color="auto"/>
            <w:bottom w:val="none" w:sz="0" w:space="0" w:color="auto"/>
            <w:right w:val="none" w:sz="0" w:space="0" w:color="auto"/>
          </w:divBdr>
        </w:div>
        <w:div w:id="1521243371">
          <w:marLeft w:val="1080"/>
          <w:marRight w:val="0"/>
          <w:marTop w:val="100"/>
          <w:marBottom w:val="0"/>
          <w:divBdr>
            <w:top w:val="none" w:sz="0" w:space="0" w:color="auto"/>
            <w:left w:val="none" w:sz="0" w:space="0" w:color="auto"/>
            <w:bottom w:val="none" w:sz="0" w:space="0" w:color="auto"/>
            <w:right w:val="none" w:sz="0" w:space="0" w:color="auto"/>
          </w:divBdr>
        </w:div>
        <w:div w:id="426729994">
          <w:marLeft w:val="1800"/>
          <w:marRight w:val="0"/>
          <w:marTop w:val="100"/>
          <w:marBottom w:val="0"/>
          <w:divBdr>
            <w:top w:val="none" w:sz="0" w:space="0" w:color="auto"/>
            <w:left w:val="none" w:sz="0" w:space="0" w:color="auto"/>
            <w:bottom w:val="none" w:sz="0" w:space="0" w:color="auto"/>
            <w:right w:val="none" w:sz="0" w:space="0" w:color="auto"/>
          </w:divBdr>
        </w:div>
        <w:div w:id="2041196690">
          <w:marLeft w:val="1800"/>
          <w:marRight w:val="0"/>
          <w:marTop w:val="100"/>
          <w:marBottom w:val="0"/>
          <w:divBdr>
            <w:top w:val="none" w:sz="0" w:space="0" w:color="auto"/>
            <w:left w:val="none" w:sz="0" w:space="0" w:color="auto"/>
            <w:bottom w:val="none" w:sz="0" w:space="0" w:color="auto"/>
            <w:right w:val="none" w:sz="0" w:space="0" w:color="auto"/>
          </w:divBdr>
        </w:div>
      </w:divsChild>
    </w:div>
    <w:div w:id="1738358204">
      <w:bodyDiv w:val="1"/>
      <w:marLeft w:val="0"/>
      <w:marRight w:val="0"/>
      <w:marTop w:val="0"/>
      <w:marBottom w:val="0"/>
      <w:divBdr>
        <w:top w:val="none" w:sz="0" w:space="0" w:color="auto"/>
        <w:left w:val="none" w:sz="0" w:space="0" w:color="auto"/>
        <w:bottom w:val="none" w:sz="0" w:space="0" w:color="auto"/>
        <w:right w:val="none" w:sz="0" w:space="0" w:color="auto"/>
      </w:divBdr>
    </w:div>
    <w:div w:id="1790734052">
      <w:bodyDiv w:val="1"/>
      <w:marLeft w:val="0"/>
      <w:marRight w:val="0"/>
      <w:marTop w:val="0"/>
      <w:marBottom w:val="0"/>
      <w:divBdr>
        <w:top w:val="none" w:sz="0" w:space="0" w:color="auto"/>
        <w:left w:val="none" w:sz="0" w:space="0" w:color="auto"/>
        <w:bottom w:val="none" w:sz="0" w:space="0" w:color="auto"/>
        <w:right w:val="none" w:sz="0" w:space="0" w:color="auto"/>
      </w:divBdr>
    </w:div>
    <w:div w:id="1799182418">
      <w:bodyDiv w:val="1"/>
      <w:marLeft w:val="0"/>
      <w:marRight w:val="0"/>
      <w:marTop w:val="0"/>
      <w:marBottom w:val="0"/>
      <w:divBdr>
        <w:top w:val="none" w:sz="0" w:space="0" w:color="auto"/>
        <w:left w:val="none" w:sz="0" w:space="0" w:color="auto"/>
        <w:bottom w:val="none" w:sz="0" w:space="0" w:color="auto"/>
        <w:right w:val="none" w:sz="0" w:space="0" w:color="auto"/>
      </w:divBdr>
    </w:div>
    <w:div w:id="1902330793">
      <w:bodyDiv w:val="1"/>
      <w:marLeft w:val="0"/>
      <w:marRight w:val="0"/>
      <w:marTop w:val="0"/>
      <w:marBottom w:val="0"/>
      <w:divBdr>
        <w:top w:val="none" w:sz="0" w:space="0" w:color="auto"/>
        <w:left w:val="none" w:sz="0" w:space="0" w:color="auto"/>
        <w:bottom w:val="none" w:sz="0" w:space="0" w:color="auto"/>
        <w:right w:val="none" w:sz="0" w:space="0" w:color="auto"/>
      </w:divBdr>
    </w:div>
    <w:div w:id="1917670294">
      <w:bodyDiv w:val="1"/>
      <w:marLeft w:val="0"/>
      <w:marRight w:val="0"/>
      <w:marTop w:val="0"/>
      <w:marBottom w:val="0"/>
      <w:divBdr>
        <w:top w:val="none" w:sz="0" w:space="0" w:color="auto"/>
        <w:left w:val="none" w:sz="0" w:space="0" w:color="auto"/>
        <w:bottom w:val="none" w:sz="0" w:space="0" w:color="auto"/>
        <w:right w:val="none" w:sz="0" w:space="0" w:color="auto"/>
      </w:divBdr>
    </w:div>
    <w:div w:id="1934052187">
      <w:bodyDiv w:val="1"/>
      <w:marLeft w:val="0"/>
      <w:marRight w:val="0"/>
      <w:marTop w:val="0"/>
      <w:marBottom w:val="0"/>
      <w:divBdr>
        <w:top w:val="none" w:sz="0" w:space="0" w:color="auto"/>
        <w:left w:val="none" w:sz="0" w:space="0" w:color="auto"/>
        <w:bottom w:val="none" w:sz="0" w:space="0" w:color="auto"/>
        <w:right w:val="none" w:sz="0" w:space="0" w:color="auto"/>
      </w:divBdr>
    </w:div>
    <w:div w:id="194341268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0109069">
      <w:bodyDiv w:val="1"/>
      <w:marLeft w:val="0"/>
      <w:marRight w:val="0"/>
      <w:marTop w:val="0"/>
      <w:marBottom w:val="0"/>
      <w:divBdr>
        <w:top w:val="none" w:sz="0" w:space="0" w:color="auto"/>
        <w:left w:val="none" w:sz="0" w:space="0" w:color="auto"/>
        <w:bottom w:val="none" w:sz="0" w:space="0" w:color="auto"/>
        <w:right w:val="none" w:sz="0" w:space="0" w:color="auto"/>
      </w:divBdr>
    </w:div>
    <w:div w:id="1996837700">
      <w:bodyDiv w:val="1"/>
      <w:marLeft w:val="0"/>
      <w:marRight w:val="0"/>
      <w:marTop w:val="0"/>
      <w:marBottom w:val="0"/>
      <w:divBdr>
        <w:top w:val="none" w:sz="0" w:space="0" w:color="auto"/>
        <w:left w:val="none" w:sz="0" w:space="0" w:color="auto"/>
        <w:bottom w:val="none" w:sz="0" w:space="0" w:color="auto"/>
        <w:right w:val="none" w:sz="0" w:space="0" w:color="auto"/>
      </w:divBdr>
    </w:div>
    <w:div w:id="2054453687">
      <w:bodyDiv w:val="1"/>
      <w:marLeft w:val="0"/>
      <w:marRight w:val="0"/>
      <w:marTop w:val="0"/>
      <w:marBottom w:val="0"/>
      <w:divBdr>
        <w:top w:val="none" w:sz="0" w:space="0" w:color="auto"/>
        <w:left w:val="none" w:sz="0" w:space="0" w:color="auto"/>
        <w:bottom w:val="none" w:sz="0" w:space="0" w:color="auto"/>
        <w:right w:val="none" w:sz="0" w:space="0" w:color="auto"/>
      </w:divBdr>
      <w:divsChild>
        <w:div w:id="1128940395">
          <w:marLeft w:val="1080"/>
          <w:marRight w:val="0"/>
          <w:marTop w:val="100"/>
          <w:marBottom w:val="0"/>
          <w:divBdr>
            <w:top w:val="none" w:sz="0" w:space="0" w:color="auto"/>
            <w:left w:val="none" w:sz="0" w:space="0" w:color="auto"/>
            <w:bottom w:val="none" w:sz="0" w:space="0" w:color="auto"/>
            <w:right w:val="none" w:sz="0" w:space="0" w:color="auto"/>
          </w:divBdr>
        </w:div>
        <w:div w:id="140950356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58382-E195-4ABA-ABF0-68954B30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13380</Words>
  <Characters>78306</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2021-03-03T02:53:00Z</dcterms:created>
  <dcterms:modified xsi:type="dcterms:W3CDTF">2021-03-03T02:57:00Z</dcterms:modified>
</cp:coreProperties>
</file>