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E98F7" w14:textId="504D5EF7" w:rsidR="007135C5" w:rsidRDefault="007135C5" w:rsidP="007135C5">
      <w:pPr>
        <w:rPr>
          <w:rFonts w:eastAsia="Calibri"/>
          <w:lang w:eastAsia="en-US"/>
        </w:rPr>
      </w:pPr>
      <w:r w:rsidRPr="00B770BE">
        <w:rPr>
          <w:rFonts w:cs="Calibri"/>
          <w:color w:val="FF0000"/>
        </w:rPr>
        <w:t>An addendum to this minute has been included at the end of the document.</w:t>
      </w:r>
    </w:p>
    <w:p w14:paraId="5D32FC83" w14:textId="1227323A" w:rsidR="001B3A40" w:rsidRPr="005B0C61" w:rsidRDefault="000109AA" w:rsidP="00254BE3">
      <w:pPr>
        <w:pStyle w:val="1MainTitle"/>
        <w:jc w:val="left"/>
        <w:rPr>
          <w:rFonts w:eastAsia="Calibri"/>
          <w:lang w:eastAsia="en-US"/>
        </w:rPr>
      </w:pPr>
      <w:r w:rsidRPr="005B0C61">
        <w:rPr>
          <w:rFonts w:eastAsia="Calibri"/>
          <w:lang w:eastAsia="en-US"/>
        </w:rPr>
        <w:t>6.15</w:t>
      </w:r>
      <w:r w:rsidR="004F58CA" w:rsidRPr="005B0C61">
        <w:rPr>
          <w:rFonts w:eastAsia="Calibri"/>
          <w:lang w:eastAsia="en-US"/>
        </w:rPr>
        <w:tab/>
        <w:t>ADALIMUMAB</w:t>
      </w:r>
      <w:r w:rsidR="00BF27A0" w:rsidRPr="005B0C61">
        <w:rPr>
          <w:rFonts w:eastAsia="Calibri"/>
          <w:lang w:eastAsia="en-US"/>
        </w:rPr>
        <w:t>,</w:t>
      </w:r>
      <w:r w:rsidR="00F82E5C" w:rsidRPr="005B0C61">
        <w:rPr>
          <w:rFonts w:eastAsia="Calibri"/>
          <w:lang w:eastAsia="en-US"/>
        </w:rPr>
        <w:t xml:space="preserve"> </w:t>
      </w:r>
      <w:r w:rsidR="005E0D82" w:rsidRPr="005B0C61">
        <w:rPr>
          <w:rFonts w:eastAsia="Calibri"/>
          <w:lang w:eastAsia="en-US"/>
        </w:rPr>
        <w:br/>
      </w:r>
      <w:r w:rsidR="004F58CA" w:rsidRPr="005B0C61">
        <w:rPr>
          <w:rFonts w:eastAsia="Calibri"/>
          <w:lang w:eastAsia="en-US"/>
        </w:rPr>
        <w:t>Injection 40 mg pre-filled syringe</w:t>
      </w:r>
      <w:r w:rsidR="002311F1" w:rsidRPr="005B0C61">
        <w:rPr>
          <w:rFonts w:eastAsia="Calibri"/>
          <w:lang w:eastAsia="en-US"/>
        </w:rPr>
        <w:t xml:space="preserve">, </w:t>
      </w:r>
      <w:r w:rsidR="004F58CA" w:rsidRPr="005B0C61">
        <w:rPr>
          <w:rFonts w:eastAsia="Calibri"/>
          <w:lang w:eastAsia="en-US"/>
        </w:rPr>
        <w:br/>
        <w:t>Injection 40 mg auto-injector</w:t>
      </w:r>
      <w:r w:rsidR="002311F1" w:rsidRPr="005B0C61">
        <w:rPr>
          <w:rFonts w:eastAsia="Calibri"/>
          <w:lang w:eastAsia="en-US"/>
        </w:rPr>
        <w:t xml:space="preserve">, </w:t>
      </w:r>
      <w:r w:rsidR="005E0D82" w:rsidRPr="005B0C61">
        <w:rPr>
          <w:rFonts w:eastAsia="Calibri"/>
          <w:lang w:eastAsia="en-US"/>
        </w:rPr>
        <w:br/>
      </w:r>
      <w:r w:rsidR="00117779" w:rsidRPr="005B0C61">
        <w:rPr>
          <w:rFonts w:eastAsia="Calibri"/>
          <w:lang w:eastAsia="en-US"/>
        </w:rPr>
        <w:t>Hadlima</w:t>
      </w:r>
      <w:r w:rsidR="004F58CA" w:rsidRPr="005B0C61">
        <w:rPr>
          <w:rFonts w:eastAsia="Calibri" w:cstheme="minorHAnsi"/>
          <w:lang w:eastAsia="en-US"/>
        </w:rPr>
        <w:t>®</w:t>
      </w:r>
      <w:r w:rsidR="002311F1" w:rsidRPr="005B0C61">
        <w:rPr>
          <w:rFonts w:eastAsia="Calibri"/>
          <w:lang w:eastAsia="en-US"/>
        </w:rPr>
        <w:t xml:space="preserve">, </w:t>
      </w:r>
      <w:r w:rsidR="005E0D82" w:rsidRPr="005B0C61">
        <w:rPr>
          <w:rFonts w:eastAsia="Calibri"/>
          <w:lang w:eastAsia="en-US"/>
        </w:rPr>
        <w:br/>
      </w:r>
      <w:r w:rsidR="004F58CA" w:rsidRPr="005B0C61">
        <w:rPr>
          <w:rFonts w:eastAsia="Calibri"/>
          <w:lang w:eastAsia="en-US"/>
        </w:rPr>
        <w:t>Merck, Sharp &amp; Dohme (Australia) Pty Ltd</w:t>
      </w:r>
      <w:r w:rsidR="00BF27A0" w:rsidRPr="005B0C61">
        <w:rPr>
          <w:rFonts w:eastAsia="Calibri"/>
          <w:lang w:eastAsia="en-US"/>
        </w:rPr>
        <w:t xml:space="preserve"> </w:t>
      </w:r>
    </w:p>
    <w:p w14:paraId="080E1DFC" w14:textId="77777777" w:rsidR="008A50F1" w:rsidRPr="005B0C61" w:rsidRDefault="00CE10C4" w:rsidP="008F0213">
      <w:pPr>
        <w:pStyle w:val="2-SectionHeading"/>
      </w:pPr>
      <w:r w:rsidRPr="005B0C61">
        <w:t xml:space="preserve">Purpose of </w:t>
      </w:r>
      <w:r w:rsidR="0004240E" w:rsidRPr="005B0C61">
        <w:t>Application</w:t>
      </w:r>
      <w:r w:rsidR="00034905" w:rsidRPr="005B0C61">
        <w:t xml:space="preserve"> </w:t>
      </w:r>
    </w:p>
    <w:p w14:paraId="20A111B5" w14:textId="77777777" w:rsidR="00A01432" w:rsidRPr="005B0C61" w:rsidRDefault="00EF44A0" w:rsidP="00D961F9">
      <w:pPr>
        <w:pStyle w:val="3Bodytext"/>
      </w:pPr>
      <w:r w:rsidRPr="005B0C61">
        <w:t>The mi</w:t>
      </w:r>
      <w:r w:rsidR="00AF1622" w:rsidRPr="005B0C61">
        <w:t xml:space="preserve">nor submission </w:t>
      </w:r>
      <w:r w:rsidR="00FF2801" w:rsidRPr="005B0C61">
        <w:t>requested</w:t>
      </w:r>
      <w:r w:rsidR="00AF1622" w:rsidRPr="005B0C61">
        <w:t xml:space="preserve"> </w:t>
      </w:r>
      <w:r w:rsidR="008D2F0C" w:rsidRPr="005B0C61">
        <w:t xml:space="preserve">additional uptake drivers for </w:t>
      </w:r>
      <w:r w:rsidR="00117779" w:rsidRPr="005B0C61">
        <w:t xml:space="preserve">biosimilar </w:t>
      </w:r>
      <w:r w:rsidR="008D2F0C" w:rsidRPr="005B0C61">
        <w:t>adalimumab (</w:t>
      </w:r>
      <w:r w:rsidR="00117779" w:rsidRPr="005B0C61">
        <w:t>Hadlima</w:t>
      </w:r>
      <w:r w:rsidR="008D2F0C" w:rsidRPr="005B0C61">
        <w:rPr>
          <w:rFonts w:cstheme="minorHAnsi"/>
        </w:rPr>
        <w:t>®</w:t>
      </w:r>
      <w:r w:rsidR="008D2F0C" w:rsidRPr="005B0C61">
        <w:t>)</w:t>
      </w:r>
      <w:r w:rsidR="00544129" w:rsidRPr="005B0C61">
        <w:t>.</w:t>
      </w:r>
    </w:p>
    <w:p w14:paraId="5E311954" w14:textId="77777777" w:rsidR="00A01432" w:rsidRPr="005B0C61" w:rsidRDefault="00A01432" w:rsidP="006F0A71">
      <w:pPr>
        <w:pStyle w:val="2-SectionHeading"/>
      </w:pPr>
      <w:r w:rsidRPr="005B0C61">
        <w:t xml:space="preserve">Background </w:t>
      </w:r>
    </w:p>
    <w:p w14:paraId="1CA59DC9" w14:textId="77777777" w:rsidR="00A01432" w:rsidRPr="005B0C61" w:rsidRDefault="00A01432" w:rsidP="00B16273">
      <w:pPr>
        <w:pStyle w:val="4-SubsectionHeading"/>
      </w:pPr>
      <w:r w:rsidRPr="005B0C61">
        <w:t>Registration status</w:t>
      </w:r>
    </w:p>
    <w:p w14:paraId="18A2DB93" w14:textId="77777777" w:rsidR="001E1F42" w:rsidRPr="005B0C61" w:rsidRDefault="00740D20" w:rsidP="00D961F9">
      <w:pPr>
        <w:pStyle w:val="3Bodytext"/>
        <w:rPr>
          <w:rFonts w:ascii="Calibri" w:hAnsi="Calibri"/>
        </w:rPr>
      </w:pPr>
      <w:r w:rsidRPr="005B0C61">
        <w:t>Hadlima is</w:t>
      </w:r>
      <w:r w:rsidR="001E1F42" w:rsidRPr="005B0C61">
        <w:t xml:space="preserve"> approved by the Therapeutics Goods Administration (TGA) for </w:t>
      </w:r>
      <w:r w:rsidRPr="005B0C61">
        <w:t>the same indication</w:t>
      </w:r>
      <w:r w:rsidR="00332618" w:rsidRPr="005B0C61">
        <w:t>s</w:t>
      </w:r>
      <w:r w:rsidRPr="005B0C61">
        <w:t xml:space="preserve"> as the reference brand Humira®,</w:t>
      </w:r>
      <w:r w:rsidR="001E1F42" w:rsidRPr="005B0C61">
        <w:t xml:space="preserve"> and was determined to be a biosimilar to Humira. </w:t>
      </w:r>
    </w:p>
    <w:p w14:paraId="3ACE48AE" w14:textId="77777777" w:rsidR="00A01432" w:rsidRPr="005B0C61" w:rsidRDefault="00A01432" w:rsidP="00B16273">
      <w:pPr>
        <w:pStyle w:val="4-SubsectionHeading"/>
      </w:pPr>
      <w:r w:rsidRPr="005B0C61">
        <w:t xml:space="preserve">Previous PBAC consideration </w:t>
      </w:r>
    </w:p>
    <w:p w14:paraId="16C7107B" w14:textId="77777777" w:rsidR="00F95986" w:rsidRPr="005B0C61" w:rsidRDefault="001B5B68" w:rsidP="00D961F9">
      <w:pPr>
        <w:pStyle w:val="3Bodytext"/>
        <w:rPr>
          <w:lang w:eastAsia="en-US"/>
        </w:rPr>
      </w:pPr>
      <w:r w:rsidRPr="005B0C61">
        <w:rPr>
          <w:lang w:eastAsia="en-US"/>
        </w:rPr>
        <w:t>The PBAC previously recommended the listing of Hadlima for all indications for which Humira is PBS listed</w:t>
      </w:r>
      <w:r w:rsidRPr="005B0C61">
        <w:t xml:space="preserve"> (para 5.1, adalimumab (Hadlima) Public Summary Document</w:t>
      </w:r>
      <w:r w:rsidR="00367612" w:rsidRPr="005B0C61">
        <w:t xml:space="preserve"> (PSD)</w:t>
      </w:r>
      <w:r w:rsidRPr="005B0C61">
        <w:t xml:space="preserve">, July 2018 PBAC Meeting; para 5.1, adalimumab (Hadlima) </w:t>
      </w:r>
      <w:r w:rsidR="00DA1F15" w:rsidRPr="005B0C61">
        <w:t>PSD</w:t>
      </w:r>
      <w:r w:rsidRPr="005B0C61">
        <w:t>, July 2020 PBAC Meeting)</w:t>
      </w:r>
      <w:r w:rsidR="00740D20" w:rsidRPr="005B0C61">
        <w:t xml:space="preserve">. </w:t>
      </w:r>
    </w:p>
    <w:p w14:paraId="6DD00D48" w14:textId="77777777" w:rsidR="001B5B68" w:rsidRPr="005B0C61" w:rsidRDefault="001B5B68" w:rsidP="00D961F9">
      <w:pPr>
        <w:pStyle w:val="3Bodytext"/>
        <w:rPr>
          <w:lang w:eastAsia="en-US"/>
        </w:rPr>
      </w:pPr>
      <w:bookmarkStart w:id="0" w:name="_Ref53068451"/>
      <w:r w:rsidRPr="005B0C61">
        <w:t xml:space="preserve">The </w:t>
      </w:r>
      <w:r w:rsidR="00531F6A" w:rsidRPr="005B0C61">
        <w:t xml:space="preserve">PBAC </w:t>
      </w:r>
      <w:r w:rsidR="00175AA1" w:rsidRPr="005B0C61">
        <w:t xml:space="preserve">previously </w:t>
      </w:r>
      <w:r w:rsidRPr="005B0C61">
        <w:t>recommended the listing of two other biosimilar brands of adalimumab (</w:t>
      </w:r>
      <w:r w:rsidRPr="005B0C61">
        <w:rPr>
          <w:rFonts w:cs="Arial"/>
          <w:bCs/>
        </w:rPr>
        <w:t>Amgevita® in July 2018 and Hyrimoz</w:t>
      </w:r>
      <w:r w:rsidRPr="005B0C61">
        <w:rPr>
          <w:rFonts w:cs="Arial"/>
          <w:bCs/>
          <w:vertAlign w:val="superscript"/>
        </w:rPr>
        <w:t>®</w:t>
      </w:r>
      <w:r w:rsidRPr="005B0C61">
        <w:rPr>
          <w:rFonts w:cs="Arial"/>
          <w:bCs/>
        </w:rPr>
        <w:t xml:space="preserve"> in March 2020).</w:t>
      </w:r>
      <w:r w:rsidRPr="005B0C61">
        <w:t xml:space="preserve"> </w:t>
      </w:r>
      <w:r w:rsidRPr="005B0C61">
        <w:rPr>
          <w:lang w:eastAsia="en-US"/>
        </w:rPr>
        <w:t xml:space="preserve">The PBAC advised that Hadlima cartridges should be ‘a’ flagged with Amgevita and Humira cartridges, and Hadlima pre-filled syringes </w:t>
      </w:r>
      <w:r w:rsidR="00DA1F15" w:rsidRPr="005B0C61">
        <w:rPr>
          <w:lang w:eastAsia="en-US"/>
        </w:rPr>
        <w:t xml:space="preserve">(PFS) </w:t>
      </w:r>
      <w:r w:rsidRPr="005B0C61">
        <w:rPr>
          <w:lang w:eastAsia="en-US"/>
        </w:rPr>
        <w:t xml:space="preserve">should be ‘a’ flagged to Amgevita, Hyrimoz and Humira </w:t>
      </w:r>
      <w:r w:rsidR="00DA1F15" w:rsidRPr="005B0C61">
        <w:rPr>
          <w:lang w:eastAsia="en-US"/>
        </w:rPr>
        <w:t xml:space="preserve">PFS </w:t>
      </w:r>
      <w:r w:rsidRPr="005B0C61">
        <w:rPr>
          <w:lang w:eastAsia="en-US"/>
        </w:rPr>
        <w:t xml:space="preserve">(para 5.5, adalimumab (Hadlima) </w:t>
      </w:r>
      <w:r w:rsidR="00DA1F15" w:rsidRPr="005B0C61">
        <w:rPr>
          <w:lang w:eastAsia="en-US"/>
        </w:rPr>
        <w:t>PSD</w:t>
      </w:r>
      <w:r w:rsidRPr="005B0C61">
        <w:rPr>
          <w:lang w:eastAsia="en-US"/>
        </w:rPr>
        <w:t>, July 2020 PBAC Meeting)</w:t>
      </w:r>
      <w:r w:rsidR="00FE28B2" w:rsidRPr="005B0C61">
        <w:rPr>
          <w:lang w:eastAsia="en-US"/>
        </w:rPr>
        <w:t>.</w:t>
      </w:r>
      <w:r w:rsidR="00FE28B2" w:rsidRPr="005B0C61">
        <w:rPr>
          <w:i/>
        </w:rPr>
        <w:t xml:space="preserve"> </w:t>
      </w:r>
    </w:p>
    <w:p w14:paraId="619A71C0" w14:textId="77777777" w:rsidR="00E30A09" w:rsidRPr="005B0C61" w:rsidRDefault="00E30A09" w:rsidP="00D961F9">
      <w:pPr>
        <w:pStyle w:val="3Bodytext"/>
        <w:rPr>
          <w:lang w:eastAsia="en-US"/>
        </w:rPr>
      </w:pPr>
      <w:bookmarkStart w:id="1" w:name="_Ref53146459"/>
      <w:r w:rsidRPr="005B0C61">
        <w:rPr>
          <w:lang w:eastAsia="en-US"/>
        </w:rPr>
        <w:t xml:space="preserve">The PBAC considered that the following biosimilar uptake drivers should be applied to </w:t>
      </w:r>
      <w:r w:rsidR="00740D20" w:rsidRPr="005B0C61">
        <w:rPr>
          <w:lang w:eastAsia="en-US"/>
        </w:rPr>
        <w:t>Hadlima</w:t>
      </w:r>
      <w:r w:rsidRPr="005B0C61">
        <w:rPr>
          <w:lang w:eastAsia="en-US"/>
        </w:rPr>
        <w:t>, consistent with its previous recommendations regarding the application of these drivers to other biosimilar brands of</w:t>
      </w:r>
      <w:r w:rsidR="00B95421" w:rsidRPr="005B0C61">
        <w:rPr>
          <w:lang w:eastAsia="en-US"/>
        </w:rPr>
        <w:t xml:space="preserve"> adalimumab (</w:t>
      </w:r>
      <w:r w:rsidR="00332618" w:rsidRPr="005B0C61">
        <w:rPr>
          <w:lang w:eastAsia="en-US"/>
        </w:rPr>
        <w:t xml:space="preserve">para 5.6, </w:t>
      </w:r>
      <w:r w:rsidR="00B95421" w:rsidRPr="005B0C61">
        <w:rPr>
          <w:lang w:eastAsia="en-US"/>
        </w:rPr>
        <w:t>adalimumab (</w:t>
      </w:r>
      <w:r w:rsidR="001B5B68" w:rsidRPr="005B0C61">
        <w:rPr>
          <w:lang w:eastAsia="en-US"/>
        </w:rPr>
        <w:t xml:space="preserve">Hadlima) </w:t>
      </w:r>
      <w:r w:rsidR="00DA1F15" w:rsidRPr="005B0C61">
        <w:rPr>
          <w:lang w:eastAsia="en-US"/>
        </w:rPr>
        <w:t>PSD</w:t>
      </w:r>
      <w:r w:rsidR="00332618" w:rsidRPr="005B0C61">
        <w:rPr>
          <w:lang w:eastAsia="en-US"/>
        </w:rPr>
        <w:t>, July 2020 PBAC Meeting</w:t>
      </w:r>
      <w:r w:rsidRPr="005B0C61">
        <w:rPr>
          <w:lang w:eastAsia="en-US"/>
        </w:rPr>
        <w:t>):</w:t>
      </w:r>
      <w:bookmarkEnd w:id="0"/>
      <w:bookmarkEnd w:id="1"/>
    </w:p>
    <w:p w14:paraId="7D0AB07B" w14:textId="77777777" w:rsidR="00E30A09" w:rsidRPr="005B0C61" w:rsidRDefault="00E30A09" w:rsidP="009057AE">
      <w:pPr>
        <w:pStyle w:val="3-BodyText"/>
        <w:numPr>
          <w:ilvl w:val="0"/>
          <w:numId w:val="20"/>
        </w:numPr>
        <w:rPr>
          <w:lang w:eastAsia="en-US"/>
        </w:rPr>
      </w:pPr>
      <w:r w:rsidRPr="005B0C61">
        <w:rPr>
          <w:lang w:eastAsia="en-US"/>
        </w:rPr>
        <w:t xml:space="preserve">Retain the </w:t>
      </w:r>
      <w:r w:rsidR="00231488" w:rsidRPr="005B0C61">
        <w:rPr>
          <w:lang w:eastAsia="en-US"/>
        </w:rPr>
        <w:t>I</w:t>
      </w:r>
      <w:r w:rsidRPr="005B0C61">
        <w:rPr>
          <w:lang w:eastAsia="en-US"/>
        </w:rPr>
        <w:t>nitial</w:t>
      </w:r>
      <w:r w:rsidR="00484B1F" w:rsidRPr="005B0C61">
        <w:rPr>
          <w:lang w:eastAsia="en-US"/>
        </w:rPr>
        <w:t xml:space="preserve"> 1, 2</w:t>
      </w:r>
      <w:r w:rsidRPr="005B0C61">
        <w:rPr>
          <w:lang w:eastAsia="en-US"/>
        </w:rPr>
        <w:t xml:space="preserve"> and </w:t>
      </w:r>
      <w:r w:rsidR="00484B1F" w:rsidRPr="005B0C61">
        <w:rPr>
          <w:lang w:eastAsia="en-US"/>
        </w:rPr>
        <w:t xml:space="preserve">3 </w:t>
      </w:r>
      <w:r w:rsidRPr="005B0C61">
        <w:rPr>
          <w:lang w:eastAsia="en-US"/>
        </w:rPr>
        <w:t>restr</w:t>
      </w:r>
      <w:r w:rsidR="00332618" w:rsidRPr="005B0C61">
        <w:rPr>
          <w:lang w:eastAsia="en-US"/>
        </w:rPr>
        <w:t>ictions as Authority Required (W</w:t>
      </w:r>
      <w:r w:rsidRPr="005B0C61">
        <w:rPr>
          <w:lang w:eastAsia="en-US"/>
        </w:rPr>
        <w:t>ritten) benefits;</w:t>
      </w:r>
    </w:p>
    <w:p w14:paraId="1E2167CE" w14:textId="77777777" w:rsidR="00E30A09" w:rsidRPr="005B0C61" w:rsidRDefault="00E30A09" w:rsidP="009057AE">
      <w:pPr>
        <w:pStyle w:val="3-BodyText"/>
        <w:numPr>
          <w:ilvl w:val="0"/>
          <w:numId w:val="20"/>
        </w:numPr>
        <w:rPr>
          <w:lang w:eastAsia="en-US"/>
        </w:rPr>
      </w:pPr>
      <w:r w:rsidRPr="005B0C61">
        <w:rPr>
          <w:lang w:eastAsia="en-US"/>
        </w:rPr>
        <w:t xml:space="preserve">Split the continuation criteria into ‘first continuing’ and ‘subsequent continuing’, to allow for the subsequent continuing restriction for the biosimilar to be </w:t>
      </w:r>
      <w:r w:rsidR="00E404D6" w:rsidRPr="005B0C61">
        <w:rPr>
          <w:lang w:eastAsia="en-US"/>
        </w:rPr>
        <w:t>Authority Required (STREAMLINED)</w:t>
      </w:r>
      <w:r w:rsidRPr="005B0C61">
        <w:rPr>
          <w:lang w:eastAsia="en-US"/>
        </w:rPr>
        <w:t xml:space="preserve"> while </w:t>
      </w:r>
      <w:r w:rsidR="001B5B68" w:rsidRPr="005B0C61">
        <w:rPr>
          <w:lang w:eastAsia="en-US"/>
        </w:rPr>
        <w:t xml:space="preserve">the </w:t>
      </w:r>
      <w:r w:rsidRPr="005B0C61">
        <w:rPr>
          <w:lang w:eastAsia="en-US"/>
        </w:rPr>
        <w:t xml:space="preserve">subsequent continuing restriction for the reference biological medicine will remain as a written authority; and </w:t>
      </w:r>
    </w:p>
    <w:p w14:paraId="02980CE7" w14:textId="77777777" w:rsidR="00E30A09" w:rsidRPr="005B0C61" w:rsidRDefault="00E30A09" w:rsidP="009057AE">
      <w:pPr>
        <w:pStyle w:val="3-BodyText"/>
        <w:numPr>
          <w:ilvl w:val="0"/>
          <w:numId w:val="20"/>
        </w:numPr>
        <w:rPr>
          <w:lang w:eastAsia="en-US"/>
        </w:rPr>
      </w:pPr>
      <w:r w:rsidRPr="005B0C61">
        <w:rPr>
          <w:lang w:eastAsia="en-US"/>
        </w:rPr>
        <w:lastRenderedPageBreak/>
        <w:t xml:space="preserve">The application of </w:t>
      </w:r>
      <w:r w:rsidR="00E404D6" w:rsidRPr="005B0C61">
        <w:rPr>
          <w:lang w:eastAsia="en-US"/>
        </w:rPr>
        <w:t>an</w:t>
      </w:r>
      <w:r w:rsidRPr="005B0C61">
        <w:rPr>
          <w:lang w:eastAsia="en-US"/>
        </w:rPr>
        <w:t xml:space="preserve"> Administrative Note encouraging the use of </w:t>
      </w:r>
      <w:r w:rsidR="001B5B68" w:rsidRPr="005B0C61">
        <w:rPr>
          <w:lang w:eastAsia="en-US"/>
        </w:rPr>
        <w:t>biosimilar brands for treatment-</w:t>
      </w:r>
      <w:r w:rsidRPr="005B0C61">
        <w:rPr>
          <w:lang w:eastAsia="en-US"/>
        </w:rPr>
        <w:t>naïve patients</w:t>
      </w:r>
      <w:r w:rsidR="00E404D6" w:rsidRPr="005B0C61">
        <w:rPr>
          <w:lang w:eastAsia="en-US"/>
        </w:rPr>
        <w:t>.</w:t>
      </w:r>
    </w:p>
    <w:p w14:paraId="1E339CD6" w14:textId="77777777" w:rsidR="00231488" w:rsidRPr="005B0C61" w:rsidRDefault="00406C9B" w:rsidP="00D961F9">
      <w:pPr>
        <w:pStyle w:val="3Bodytext"/>
        <w:rPr>
          <w:lang w:eastAsia="en-US"/>
        </w:rPr>
      </w:pPr>
      <w:r w:rsidRPr="005B0C61">
        <w:rPr>
          <w:lang w:eastAsia="en-US"/>
        </w:rPr>
        <w:t>The Sponsor made a minor submission to the November 2018 PBAC meeting regarding a biosimilar of etanercept, Brenzys</w:t>
      </w:r>
      <w:r w:rsidRPr="005B0C61">
        <w:rPr>
          <w:rFonts w:cstheme="minorHAnsi"/>
          <w:lang w:eastAsia="en-US"/>
        </w:rPr>
        <w:t>®</w:t>
      </w:r>
      <w:r w:rsidRPr="005B0C61">
        <w:rPr>
          <w:lang w:eastAsia="en-US"/>
        </w:rPr>
        <w:t>, to request similar additional uptake drivers be applied</w:t>
      </w:r>
      <w:r w:rsidR="00231488" w:rsidRPr="005B0C61">
        <w:rPr>
          <w:lang w:eastAsia="en-US"/>
        </w:rPr>
        <w:t>:</w:t>
      </w:r>
    </w:p>
    <w:p w14:paraId="3D1489F2" w14:textId="77777777" w:rsidR="00231488" w:rsidRPr="005B0C61" w:rsidRDefault="00231488" w:rsidP="00231488">
      <w:pPr>
        <w:pStyle w:val="4bulletpoint"/>
        <w:rPr>
          <w:rFonts w:eastAsiaTheme="minorHAnsi"/>
          <w:snapToGrid/>
        </w:rPr>
      </w:pPr>
      <w:r w:rsidRPr="005B0C61">
        <w:rPr>
          <w:rFonts w:eastAsiaTheme="minorHAnsi"/>
          <w:snapToGrid/>
        </w:rPr>
        <w:t>Changing the authority level for initial 1, initial 2 and first continuing prescribing from a written authority to a telephone authority for the Brenzys brand of etanercept;</w:t>
      </w:r>
    </w:p>
    <w:p w14:paraId="57FCEF57" w14:textId="77777777" w:rsidR="00231488" w:rsidRPr="005B0C61" w:rsidRDefault="00231488" w:rsidP="00231488">
      <w:pPr>
        <w:pStyle w:val="4bulletpoint"/>
        <w:rPr>
          <w:rFonts w:eastAsiaTheme="minorHAnsi"/>
          <w:snapToGrid/>
        </w:rPr>
      </w:pPr>
      <w:r w:rsidRPr="005B0C61">
        <w:rPr>
          <w:rFonts w:eastAsiaTheme="minorHAnsi"/>
          <w:snapToGrid/>
        </w:rPr>
        <w:t>For bDMARD/biologic-naïve patients, having the use of a biosimilar in the first instance not count as a treatment failure as part of a treatment cycle, as one of five agents in rheumatoid arthritis (RA) or three agents in ankylosing spondylitis (AS), psoriatic arthritis (</w:t>
      </w:r>
      <w:proofErr w:type="spellStart"/>
      <w:r w:rsidRPr="005B0C61">
        <w:rPr>
          <w:rFonts w:eastAsiaTheme="minorHAnsi"/>
          <w:snapToGrid/>
        </w:rPr>
        <w:t>PsA</w:t>
      </w:r>
      <w:proofErr w:type="spellEnd"/>
      <w:r w:rsidRPr="005B0C61">
        <w:rPr>
          <w:rFonts w:eastAsiaTheme="minorHAnsi"/>
          <w:snapToGrid/>
        </w:rPr>
        <w:t>) or chronic plaque psoriasis (CPP); and</w:t>
      </w:r>
    </w:p>
    <w:p w14:paraId="1D76C210" w14:textId="77777777" w:rsidR="00231488" w:rsidRPr="005B0C61" w:rsidRDefault="00231488" w:rsidP="00231488">
      <w:pPr>
        <w:pStyle w:val="4bulletpoint"/>
        <w:rPr>
          <w:rFonts w:eastAsiaTheme="minorHAnsi"/>
          <w:snapToGrid/>
        </w:rPr>
      </w:pPr>
      <w:r w:rsidRPr="005B0C61">
        <w:rPr>
          <w:rFonts w:eastAsiaTheme="minorHAnsi"/>
          <w:snapToGrid/>
        </w:rPr>
        <w:t>Re-introduction of ‘a’ flagging the Brenzys and Enbrel</w:t>
      </w:r>
      <w:r w:rsidRPr="005B0C61">
        <w:rPr>
          <w:rFonts w:eastAsiaTheme="minorHAnsi" w:cstheme="minorHAnsi"/>
          <w:snapToGrid/>
          <w:vertAlign w:val="superscript"/>
        </w:rPr>
        <w:t>®</w:t>
      </w:r>
      <w:r w:rsidRPr="005B0C61">
        <w:rPr>
          <w:rFonts w:eastAsiaTheme="minorHAnsi"/>
          <w:snapToGrid/>
        </w:rPr>
        <w:t xml:space="preserve"> brands for the subsequent continuing treatment phase, such that written authority prescriptions for Enbrel can be substituted for biosimilars at the pharmacy level, in addition to the streamlined authority listing of Brenzys that currently exists.</w:t>
      </w:r>
    </w:p>
    <w:p w14:paraId="6FFF910A" w14:textId="77777777" w:rsidR="00231488" w:rsidRPr="005B0C61" w:rsidRDefault="00406C9B" w:rsidP="00D961F9">
      <w:pPr>
        <w:pStyle w:val="3Bodytext"/>
        <w:numPr>
          <w:ilvl w:val="0"/>
          <w:numId w:val="0"/>
        </w:numPr>
        <w:ind w:left="720"/>
        <w:rPr>
          <w:lang w:eastAsia="en-US"/>
        </w:rPr>
      </w:pPr>
      <w:r w:rsidRPr="005B0C61">
        <w:rPr>
          <w:lang w:eastAsia="en-US"/>
        </w:rPr>
        <w:t>The PBAC deferred their consi</w:t>
      </w:r>
      <w:r w:rsidR="00175AA1" w:rsidRPr="005B0C61">
        <w:rPr>
          <w:lang w:eastAsia="en-US"/>
        </w:rPr>
        <w:t>deration on the basis that the</w:t>
      </w:r>
      <w:r w:rsidRPr="005B0C61">
        <w:rPr>
          <w:lang w:eastAsia="en-US"/>
        </w:rPr>
        <w:t xml:space="preserve"> matter</w:t>
      </w:r>
      <w:r w:rsidR="00175AA1" w:rsidRPr="005B0C61">
        <w:rPr>
          <w:lang w:eastAsia="en-US"/>
        </w:rPr>
        <w:t>s</w:t>
      </w:r>
      <w:r w:rsidRPr="005B0C61">
        <w:rPr>
          <w:lang w:eastAsia="en-US"/>
        </w:rPr>
        <w:t xml:space="preserve"> had potentially broader biosimilar policy implications and considered that further discussions between the Department and key stakeholders regarding these requests was necessary to inform decision making (</w:t>
      </w:r>
      <w:r w:rsidR="00797A12" w:rsidRPr="005B0C61">
        <w:rPr>
          <w:lang w:eastAsia="en-US"/>
        </w:rPr>
        <w:t>para 4.1, etanercept PSD, November 2018 PBAC Meeting</w:t>
      </w:r>
      <w:r w:rsidRPr="005B0C61">
        <w:rPr>
          <w:lang w:eastAsia="en-US"/>
        </w:rPr>
        <w:t xml:space="preserve">). The Sponsor stated that they have not gained further traction on this issue with the Department in having these </w:t>
      </w:r>
      <w:r w:rsidR="0095598B" w:rsidRPr="005B0C61">
        <w:rPr>
          <w:lang w:eastAsia="en-US"/>
        </w:rPr>
        <w:t>discussions, which</w:t>
      </w:r>
      <w:r w:rsidRPr="005B0C61">
        <w:rPr>
          <w:lang w:eastAsia="en-US"/>
        </w:rPr>
        <w:t xml:space="preserve"> are yet to take place. </w:t>
      </w:r>
      <w:r w:rsidR="00231488" w:rsidRPr="005B0C61">
        <w:rPr>
          <w:lang w:eastAsia="en-US"/>
        </w:rPr>
        <w:t>The request regarding a-flagging has been addressed</w:t>
      </w:r>
      <w:r w:rsidR="00B83398" w:rsidRPr="005B0C61">
        <w:rPr>
          <w:lang w:eastAsia="en-US"/>
        </w:rPr>
        <w:t>.</w:t>
      </w:r>
    </w:p>
    <w:p w14:paraId="3A6C136F" w14:textId="77777777" w:rsidR="00F531C7" w:rsidRPr="005B0C61" w:rsidRDefault="00F531C7" w:rsidP="00D961F9">
      <w:pPr>
        <w:pStyle w:val="3Bodytext"/>
        <w:rPr>
          <w:i/>
          <w:lang w:eastAsia="en-US"/>
        </w:rPr>
      </w:pPr>
      <w:r w:rsidRPr="005B0C61">
        <w:t>The sponsor stated that the current application of the biosimilar uptake drivers had led to a 30% market share for Brenzys.</w:t>
      </w:r>
    </w:p>
    <w:p w14:paraId="5F326B41" w14:textId="77777777" w:rsidR="00441949" w:rsidRPr="005B0C61" w:rsidRDefault="00441949" w:rsidP="00D961F9">
      <w:pPr>
        <w:pStyle w:val="Bodytextitalics"/>
        <w:rPr>
          <w:lang w:eastAsia="en-US"/>
        </w:rPr>
      </w:pPr>
      <w:r w:rsidRPr="005B0C61">
        <w:rPr>
          <w:lang w:eastAsia="en-US"/>
        </w:rPr>
        <w:t>For more detail on PBAC’s view, see section 5 PBAC outcome</w:t>
      </w:r>
    </w:p>
    <w:p w14:paraId="2C4985F7" w14:textId="77777777" w:rsidR="00B17EE5" w:rsidRPr="005B0C61" w:rsidRDefault="00B17EE5" w:rsidP="00917D69">
      <w:pPr>
        <w:pStyle w:val="2-SectionHeading"/>
      </w:pPr>
      <w:r w:rsidRPr="005B0C61">
        <w:t>Requested listing</w:t>
      </w:r>
    </w:p>
    <w:p w14:paraId="1BA5170B" w14:textId="77777777" w:rsidR="007948BF" w:rsidRPr="005B0C61" w:rsidRDefault="008718C1" w:rsidP="00D961F9">
      <w:pPr>
        <w:pStyle w:val="3Bodytext"/>
      </w:pPr>
      <w:r w:rsidRPr="005B0C61">
        <w:t xml:space="preserve">The submission requested </w:t>
      </w:r>
      <w:r w:rsidR="007948BF" w:rsidRPr="005B0C61">
        <w:t xml:space="preserve">three additional uptake drivers for </w:t>
      </w:r>
      <w:r w:rsidR="001F7938" w:rsidRPr="005B0C61">
        <w:t>Hadlima</w:t>
      </w:r>
      <w:r w:rsidR="00BD1AAA" w:rsidRPr="005B0C61">
        <w:t>:</w:t>
      </w:r>
      <w:r w:rsidR="007948BF" w:rsidRPr="005B0C61">
        <w:t xml:space="preserve"> </w:t>
      </w:r>
    </w:p>
    <w:p w14:paraId="2771D152" w14:textId="77777777" w:rsidR="007948BF" w:rsidRPr="005B0C61" w:rsidRDefault="002B5020" w:rsidP="00D961F9">
      <w:pPr>
        <w:pStyle w:val="3Bodytext"/>
        <w:numPr>
          <w:ilvl w:val="0"/>
          <w:numId w:val="22"/>
        </w:numPr>
      </w:pPr>
      <w:r w:rsidRPr="005B0C61">
        <w:t>Treatment Failure Exemption</w:t>
      </w:r>
      <w:r w:rsidR="00E404D6" w:rsidRPr="005B0C61">
        <w:t>;</w:t>
      </w:r>
      <w:r w:rsidR="00630CFE" w:rsidRPr="005B0C61">
        <w:t xml:space="preserve"> </w:t>
      </w:r>
    </w:p>
    <w:p w14:paraId="547805D6" w14:textId="77777777" w:rsidR="007948BF" w:rsidRPr="005B0C61" w:rsidRDefault="00E404D6" w:rsidP="00D961F9">
      <w:pPr>
        <w:pStyle w:val="3Bodytext"/>
        <w:numPr>
          <w:ilvl w:val="0"/>
          <w:numId w:val="22"/>
        </w:numPr>
      </w:pPr>
      <w:r w:rsidRPr="005B0C61">
        <w:t>Lowering the authority level for</w:t>
      </w:r>
      <w:r w:rsidR="002F6577">
        <w:t xml:space="preserve"> first</w:t>
      </w:r>
      <w:r w:rsidRPr="005B0C61">
        <w:t xml:space="preserve"> </w:t>
      </w:r>
      <w:r w:rsidR="00DA1F15" w:rsidRPr="005B0C61">
        <w:t xml:space="preserve">continuing prescriptions </w:t>
      </w:r>
      <w:r w:rsidRPr="005B0C61">
        <w:t>to Authority Required</w:t>
      </w:r>
      <w:r w:rsidR="00BD1AAA" w:rsidRPr="005B0C61">
        <w:t xml:space="preserve"> </w:t>
      </w:r>
      <w:r w:rsidRPr="005B0C61">
        <w:t>(STREAMLINED); and</w:t>
      </w:r>
    </w:p>
    <w:p w14:paraId="1B84D4C9" w14:textId="77777777" w:rsidR="00D13175" w:rsidRPr="005B0C61" w:rsidRDefault="00E404D6" w:rsidP="00D961F9">
      <w:pPr>
        <w:pStyle w:val="3Bodytext"/>
        <w:numPr>
          <w:ilvl w:val="0"/>
          <w:numId w:val="22"/>
        </w:numPr>
      </w:pPr>
      <w:r w:rsidRPr="005B0C61">
        <w:t xml:space="preserve">Lowering the authority level for initial </w:t>
      </w:r>
      <w:r w:rsidR="001F7938" w:rsidRPr="005B0C61">
        <w:t>prescriptions</w:t>
      </w:r>
      <w:r w:rsidRPr="005B0C61">
        <w:t xml:space="preserve"> to Authority Required (Telephone)</w:t>
      </w:r>
      <w:r w:rsidR="00175AA1" w:rsidRPr="005B0C61">
        <w:t>.</w:t>
      </w:r>
    </w:p>
    <w:p w14:paraId="51E3E807" w14:textId="77777777" w:rsidR="00D13175" w:rsidRPr="005B0C61" w:rsidRDefault="00D13175" w:rsidP="00D961F9">
      <w:pPr>
        <w:pStyle w:val="3Bodytext"/>
      </w:pPr>
      <w:r w:rsidRPr="005B0C61">
        <w:t xml:space="preserve">The submission did not </w:t>
      </w:r>
      <w:r w:rsidR="00A43D98" w:rsidRPr="005B0C61">
        <w:t xml:space="preserve">present </w:t>
      </w:r>
      <w:r w:rsidRPr="005B0C61">
        <w:t>propose</w:t>
      </w:r>
      <w:r w:rsidR="00A43D98" w:rsidRPr="005B0C61">
        <w:t>d</w:t>
      </w:r>
      <w:r w:rsidRPr="005B0C61">
        <w:t xml:space="preserve"> new </w:t>
      </w:r>
      <w:r w:rsidR="00D80722" w:rsidRPr="005B0C61">
        <w:t>restrictions;</w:t>
      </w:r>
      <w:r w:rsidRPr="005B0C61">
        <w:t xml:space="preserve"> </w:t>
      </w:r>
      <w:r w:rsidR="00D80722" w:rsidRPr="005B0C61">
        <w:t>however,</w:t>
      </w:r>
      <w:r w:rsidRPr="005B0C61">
        <w:t xml:space="preserve"> the requested changes </w:t>
      </w:r>
      <w:r w:rsidR="00512605" w:rsidRPr="005B0C61">
        <w:t xml:space="preserve">would require amendments to the restrictions to facilitate implementation. </w:t>
      </w:r>
    </w:p>
    <w:p w14:paraId="2F49398C" w14:textId="77777777" w:rsidR="00E404D6" w:rsidRPr="005B0C61" w:rsidRDefault="00E404D6" w:rsidP="00175AA1">
      <w:pPr>
        <w:pStyle w:val="5-SubsectionSubheading"/>
        <w:rPr>
          <w:rFonts w:eastAsiaTheme="minorHAnsi"/>
          <w:lang w:eastAsia="en-US"/>
        </w:rPr>
      </w:pPr>
      <w:r w:rsidRPr="005B0C61">
        <w:rPr>
          <w:rFonts w:eastAsiaTheme="minorHAnsi"/>
          <w:lang w:eastAsia="en-US"/>
        </w:rPr>
        <w:lastRenderedPageBreak/>
        <w:t>Treatment Failure Exemption</w:t>
      </w:r>
    </w:p>
    <w:p w14:paraId="27318401" w14:textId="77777777" w:rsidR="00396330" w:rsidRPr="005B0C61" w:rsidRDefault="008F337E" w:rsidP="00D961F9">
      <w:pPr>
        <w:pStyle w:val="3Bodytext"/>
        <w:rPr>
          <w:lang w:eastAsia="en-US"/>
        </w:rPr>
      </w:pPr>
      <w:r w:rsidRPr="005B0C61">
        <w:rPr>
          <w:lang w:eastAsia="en-US"/>
        </w:rPr>
        <w:t xml:space="preserve">Except </w:t>
      </w:r>
      <w:r w:rsidR="00A85462" w:rsidRPr="005B0C61">
        <w:rPr>
          <w:lang w:eastAsia="en-US"/>
        </w:rPr>
        <w:t xml:space="preserve">for </w:t>
      </w:r>
      <w:r w:rsidRPr="005B0C61">
        <w:rPr>
          <w:lang w:eastAsia="en-US"/>
        </w:rPr>
        <w:t xml:space="preserve">the limit of up to 5 treatments in a </w:t>
      </w:r>
      <w:r w:rsidR="0095598B" w:rsidRPr="005B0C61">
        <w:rPr>
          <w:lang w:eastAsia="en-US"/>
        </w:rPr>
        <w:t>lifetime</w:t>
      </w:r>
      <w:r w:rsidRPr="005B0C61">
        <w:rPr>
          <w:lang w:eastAsia="en-US"/>
        </w:rPr>
        <w:t xml:space="preserve"> for </w:t>
      </w:r>
      <w:r w:rsidR="00396330" w:rsidRPr="005B0C61">
        <w:t>s</w:t>
      </w:r>
      <w:r w:rsidRPr="005B0C61">
        <w:t>evere active rheumatoid arthritis,</w:t>
      </w:r>
      <w:r w:rsidRPr="005B0C61">
        <w:rPr>
          <w:lang w:eastAsia="en-US"/>
        </w:rPr>
        <w:t xml:space="preserve"> </w:t>
      </w:r>
      <w:r w:rsidR="00A44A8B" w:rsidRPr="005B0C61">
        <w:rPr>
          <w:lang w:eastAsia="en-US"/>
        </w:rPr>
        <w:t xml:space="preserve">a </w:t>
      </w:r>
      <w:r w:rsidR="006A71F0" w:rsidRPr="005B0C61">
        <w:rPr>
          <w:lang w:eastAsia="en-US"/>
        </w:rPr>
        <w:t xml:space="preserve">limit </w:t>
      </w:r>
      <w:r w:rsidR="00A44A8B" w:rsidRPr="005B0C61">
        <w:rPr>
          <w:lang w:eastAsia="en-US"/>
        </w:rPr>
        <w:t xml:space="preserve">of </w:t>
      </w:r>
      <w:r w:rsidRPr="005B0C61">
        <w:rPr>
          <w:lang w:eastAsia="en-US"/>
        </w:rPr>
        <w:t>up to 3 failures</w:t>
      </w:r>
      <w:r w:rsidR="00A44A8B" w:rsidRPr="005B0C61">
        <w:rPr>
          <w:lang w:eastAsia="en-US"/>
        </w:rPr>
        <w:t xml:space="preserve"> within a treatment cycle</w:t>
      </w:r>
      <w:r w:rsidRPr="005B0C61">
        <w:rPr>
          <w:lang w:eastAsia="en-US"/>
        </w:rPr>
        <w:t xml:space="preserve"> </w:t>
      </w:r>
      <w:r w:rsidR="007E7A07" w:rsidRPr="005B0C61">
        <w:rPr>
          <w:lang w:eastAsia="en-US"/>
        </w:rPr>
        <w:t>before an</w:t>
      </w:r>
      <w:r w:rsidRPr="005B0C61">
        <w:rPr>
          <w:lang w:eastAsia="en-US"/>
        </w:rPr>
        <w:t>-exclusion</w:t>
      </w:r>
      <w:r w:rsidR="007E7A07" w:rsidRPr="005B0C61">
        <w:rPr>
          <w:lang w:eastAsia="en-US"/>
        </w:rPr>
        <w:t xml:space="preserve"> of 5 years</w:t>
      </w:r>
      <w:r w:rsidRPr="005B0C61">
        <w:rPr>
          <w:lang w:eastAsia="en-US"/>
        </w:rPr>
        <w:t xml:space="preserve"> </w:t>
      </w:r>
      <w:r w:rsidR="00A44A8B" w:rsidRPr="005B0C61">
        <w:rPr>
          <w:lang w:eastAsia="en-US"/>
        </w:rPr>
        <w:t>from</w:t>
      </w:r>
      <w:r w:rsidRPr="005B0C61">
        <w:rPr>
          <w:lang w:eastAsia="en-US"/>
        </w:rPr>
        <w:t xml:space="preserve"> treatment </w:t>
      </w:r>
      <w:r w:rsidR="007E7A07" w:rsidRPr="005B0C61">
        <w:rPr>
          <w:lang w:eastAsia="en-US"/>
        </w:rPr>
        <w:t>is applied to</w:t>
      </w:r>
      <w:r w:rsidRPr="005B0C61">
        <w:rPr>
          <w:lang w:eastAsia="en-US"/>
        </w:rPr>
        <w:t xml:space="preserve"> other indications, as shown in </w:t>
      </w:r>
      <w:r w:rsidR="00396330" w:rsidRPr="005B0C61">
        <w:rPr>
          <w:lang w:eastAsia="en-US"/>
        </w:rPr>
        <w:t>T</w:t>
      </w:r>
      <w:r w:rsidRPr="005B0C61">
        <w:rPr>
          <w:lang w:eastAsia="en-US"/>
        </w:rPr>
        <w:t xml:space="preserve">able 1 below. </w:t>
      </w:r>
    </w:p>
    <w:p w14:paraId="31A1F387" w14:textId="77777777" w:rsidR="006A71F0" w:rsidRPr="005B0C61" w:rsidRDefault="006A71F0" w:rsidP="00396330">
      <w:pPr>
        <w:pStyle w:val="Tabletitles"/>
        <w:rPr>
          <w:lang w:eastAsia="en-US"/>
        </w:rPr>
      </w:pPr>
      <w:r w:rsidRPr="005B0C61">
        <w:rPr>
          <w:lang w:eastAsia="en-US"/>
        </w:rPr>
        <w:t xml:space="preserve">Table </w:t>
      </w:r>
      <w:r w:rsidR="001B5B68" w:rsidRPr="005B0C61">
        <w:rPr>
          <w:lang w:eastAsia="en-US"/>
        </w:rPr>
        <w:t>1</w:t>
      </w:r>
      <w:r w:rsidRPr="005B0C61">
        <w:rPr>
          <w:lang w:eastAsia="en-US"/>
        </w:rPr>
        <w:t xml:space="preserve">: </w:t>
      </w:r>
      <w:r w:rsidR="00A43D98" w:rsidRPr="005B0C61">
        <w:rPr>
          <w:lang w:eastAsia="en-US"/>
        </w:rPr>
        <w:t xml:space="preserve">Number of PBS subsidised treatments </w:t>
      </w:r>
      <w:r w:rsidR="00396330" w:rsidRPr="005B0C61">
        <w:rPr>
          <w:lang w:eastAsia="en-US"/>
        </w:rPr>
        <w:t>permitted per indication</w:t>
      </w:r>
    </w:p>
    <w:tbl>
      <w:tblPr>
        <w:tblStyle w:val="TableGrid"/>
        <w:tblW w:w="5000" w:type="pct"/>
        <w:tblLook w:val="04A0" w:firstRow="1" w:lastRow="0" w:firstColumn="1" w:lastColumn="0" w:noHBand="0" w:noVBand="1"/>
        <w:tblCaption w:val="Table 1: Number of PBS subsidised treatments permitted per indication"/>
      </w:tblPr>
      <w:tblGrid>
        <w:gridCol w:w="4674"/>
        <w:gridCol w:w="4342"/>
      </w:tblGrid>
      <w:tr w:rsidR="00D961F9" w14:paraId="6E4CCECA" w14:textId="77777777" w:rsidTr="003D041C">
        <w:trPr>
          <w:tblHeader/>
        </w:trPr>
        <w:tc>
          <w:tcPr>
            <w:tcW w:w="2592" w:type="pct"/>
            <w:shd w:val="clear" w:color="auto" w:fill="auto"/>
            <w:vAlign w:val="center"/>
          </w:tcPr>
          <w:p w14:paraId="2D0861BA" w14:textId="77777777" w:rsidR="00D961F9" w:rsidRPr="006A71F0" w:rsidRDefault="00D961F9" w:rsidP="00264B54">
            <w:pPr>
              <w:pStyle w:val="TableText0"/>
              <w:keepLines/>
              <w:rPr>
                <w:b/>
              </w:rPr>
            </w:pPr>
            <w:r w:rsidRPr="006A71F0">
              <w:rPr>
                <w:b/>
              </w:rPr>
              <w:t xml:space="preserve">Indication </w:t>
            </w:r>
          </w:p>
        </w:tc>
        <w:tc>
          <w:tcPr>
            <w:tcW w:w="2408" w:type="pct"/>
            <w:shd w:val="clear" w:color="auto" w:fill="auto"/>
            <w:vAlign w:val="center"/>
          </w:tcPr>
          <w:p w14:paraId="3599F4B0" w14:textId="77777777" w:rsidR="00D961F9" w:rsidRPr="006A71F0" w:rsidRDefault="00D961F9" w:rsidP="00264B54">
            <w:pPr>
              <w:pStyle w:val="TableText0"/>
              <w:keepLines/>
              <w:rPr>
                <w:b/>
              </w:rPr>
            </w:pPr>
            <w:r w:rsidRPr="006A71F0">
              <w:rPr>
                <w:b/>
              </w:rPr>
              <w:t xml:space="preserve">Number of PBS-subsidised therapies </w:t>
            </w:r>
            <w:r>
              <w:rPr>
                <w:b/>
              </w:rPr>
              <w:t>permitted</w:t>
            </w:r>
          </w:p>
        </w:tc>
      </w:tr>
      <w:tr w:rsidR="00D961F9" w14:paraId="107268D4" w14:textId="77777777" w:rsidTr="00264B54">
        <w:tc>
          <w:tcPr>
            <w:tcW w:w="2592" w:type="pct"/>
            <w:shd w:val="clear" w:color="auto" w:fill="auto"/>
          </w:tcPr>
          <w:p w14:paraId="13A606D5" w14:textId="77777777" w:rsidR="00D961F9" w:rsidRDefault="00D961F9" w:rsidP="00264B54">
            <w:pPr>
              <w:pStyle w:val="TableText0"/>
              <w:keepLines/>
            </w:pPr>
            <w:r w:rsidRPr="00526BDA">
              <w:t>Severe Crohn disease</w:t>
            </w:r>
          </w:p>
          <w:p w14:paraId="6360DF23" w14:textId="77777777" w:rsidR="00D961F9" w:rsidRPr="00526BDA" w:rsidRDefault="00D961F9" w:rsidP="00264B54">
            <w:pPr>
              <w:pStyle w:val="TableText0"/>
              <w:keepLines/>
            </w:pPr>
            <w:r w:rsidRPr="00526BDA">
              <w:t>Complex refractory Fistulising Crohn disease</w:t>
            </w:r>
          </w:p>
          <w:p w14:paraId="165D1FAE" w14:textId="77777777" w:rsidR="00D961F9" w:rsidRPr="00526BDA" w:rsidRDefault="00D961F9" w:rsidP="00264B54">
            <w:pPr>
              <w:pStyle w:val="TableText0"/>
              <w:keepLines/>
            </w:pPr>
            <w:r w:rsidRPr="00526BDA">
              <w:t>Moderate to severe ulcerative colitis</w:t>
            </w:r>
          </w:p>
          <w:p w14:paraId="0D950126" w14:textId="77777777" w:rsidR="00D961F9" w:rsidRPr="00526BDA" w:rsidRDefault="00D961F9" w:rsidP="00264B54">
            <w:pPr>
              <w:pStyle w:val="TableText0"/>
              <w:keepLines/>
            </w:pPr>
            <w:r w:rsidRPr="00526BDA">
              <w:t>Severe active juvenile idiopathic arthritis</w:t>
            </w:r>
          </w:p>
          <w:p w14:paraId="2859C55B" w14:textId="77777777" w:rsidR="00D961F9" w:rsidRPr="00305324" w:rsidRDefault="00D961F9" w:rsidP="00264B54">
            <w:pPr>
              <w:pStyle w:val="TableText0"/>
              <w:keepLines/>
            </w:pPr>
            <w:r w:rsidRPr="007358EF">
              <w:t>Adult patients with a history of juvenile idiopathic arthritis</w:t>
            </w:r>
          </w:p>
          <w:p w14:paraId="16F4F087" w14:textId="77777777" w:rsidR="00D961F9" w:rsidRPr="00526BDA" w:rsidRDefault="00D961F9" w:rsidP="00264B54">
            <w:pPr>
              <w:pStyle w:val="TableText0"/>
              <w:keepLines/>
            </w:pPr>
            <w:r w:rsidRPr="00526BDA">
              <w:t>Severe psoriatic arthritis</w:t>
            </w:r>
          </w:p>
          <w:p w14:paraId="4DBC34EC" w14:textId="77777777" w:rsidR="00D961F9" w:rsidRPr="007358EF" w:rsidRDefault="00D961F9" w:rsidP="00264B54">
            <w:pPr>
              <w:pStyle w:val="TableText0"/>
              <w:keepLines/>
            </w:pPr>
            <w:r w:rsidRPr="00526BDA">
              <w:t>Ankylosing spondylitis</w:t>
            </w:r>
          </w:p>
          <w:p w14:paraId="48471F52" w14:textId="77777777" w:rsidR="00D961F9" w:rsidRDefault="00D961F9" w:rsidP="00264B54">
            <w:pPr>
              <w:pStyle w:val="TableText0"/>
              <w:keepLines/>
            </w:pPr>
            <w:r w:rsidRPr="007358EF">
              <w:t>Severe chronic plaque psoriasis</w:t>
            </w:r>
          </w:p>
        </w:tc>
        <w:tc>
          <w:tcPr>
            <w:tcW w:w="2408" w:type="pct"/>
            <w:shd w:val="clear" w:color="auto" w:fill="auto"/>
            <w:vAlign w:val="center"/>
          </w:tcPr>
          <w:p w14:paraId="6B89619B" w14:textId="77777777" w:rsidR="00D961F9" w:rsidRPr="006A71F0" w:rsidRDefault="00D961F9" w:rsidP="00264B54">
            <w:pPr>
              <w:pStyle w:val="TableText0"/>
              <w:keepLines/>
            </w:pPr>
            <w:r w:rsidRPr="006A71F0">
              <w:t>3 treatments</w:t>
            </w:r>
            <w:r>
              <w:t xml:space="preserve"> </w:t>
            </w:r>
            <w:r w:rsidRPr="00396330">
              <w:rPr>
                <w:i/>
              </w:rPr>
              <w:t>then a 5 year exclusion from treatm</w:t>
            </w:r>
            <w:r>
              <w:rPr>
                <w:i/>
              </w:rPr>
              <w:t>ent with a bDMARD</w:t>
            </w:r>
          </w:p>
        </w:tc>
      </w:tr>
      <w:tr w:rsidR="00D961F9" w14:paraId="2299EB4F" w14:textId="77777777" w:rsidTr="00264B54">
        <w:tc>
          <w:tcPr>
            <w:tcW w:w="2592" w:type="pct"/>
            <w:shd w:val="clear" w:color="auto" w:fill="auto"/>
          </w:tcPr>
          <w:p w14:paraId="102C47B0" w14:textId="77777777" w:rsidR="00D961F9" w:rsidRPr="00232A7D" w:rsidRDefault="00D961F9" w:rsidP="00264B54">
            <w:pPr>
              <w:pStyle w:val="TableText0"/>
              <w:keepLines/>
            </w:pPr>
            <w:r>
              <w:t>Severe active rheumatoid arthritis</w:t>
            </w:r>
          </w:p>
        </w:tc>
        <w:tc>
          <w:tcPr>
            <w:tcW w:w="2408" w:type="pct"/>
            <w:shd w:val="clear" w:color="auto" w:fill="auto"/>
            <w:vAlign w:val="center"/>
          </w:tcPr>
          <w:p w14:paraId="0DC6E709" w14:textId="77777777" w:rsidR="00D961F9" w:rsidRPr="006A71F0" w:rsidRDefault="00D961F9" w:rsidP="00264B54">
            <w:pPr>
              <w:pStyle w:val="TableText0"/>
              <w:keepLines/>
            </w:pPr>
            <w:r w:rsidRPr="006A71F0">
              <w:t>5 treatments</w:t>
            </w:r>
            <w:r>
              <w:t xml:space="preserve"> </w:t>
            </w:r>
            <w:r w:rsidRPr="00396330">
              <w:rPr>
                <w:i/>
              </w:rPr>
              <w:t>in a lifetime.</w:t>
            </w:r>
          </w:p>
        </w:tc>
      </w:tr>
    </w:tbl>
    <w:p w14:paraId="05E50188" w14:textId="77777777" w:rsidR="006A71F0" w:rsidRPr="005B0C61" w:rsidRDefault="006A71F0" w:rsidP="00A43D98">
      <w:pPr>
        <w:pStyle w:val="TableFooter"/>
        <w:keepNext/>
        <w:keepLines/>
        <w:spacing w:after="120"/>
      </w:pPr>
      <w:r w:rsidRPr="005B0C61">
        <w:t xml:space="preserve">Source: </w:t>
      </w:r>
      <w:r w:rsidR="00AF3D85">
        <w:t>T</w:t>
      </w:r>
      <w:r w:rsidRPr="005B0C61">
        <w:t>he submission</w:t>
      </w:r>
      <w:r w:rsidR="00396330" w:rsidRPr="005B0C61">
        <w:t>; italics = text added during evaluation</w:t>
      </w:r>
    </w:p>
    <w:p w14:paraId="3D786AFD" w14:textId="77777777" w:rsidR="00EC6169" w:rsidRPr="005B0C61" w:rsidRDefault="00E404D6" w:rsidP="00D961F9">
      <w:pPr>
        <w:pStyle w:val="3Bodytext"/>
        <w:rPr>
          <w:lang w:eastAsia="en-US"/>
        </w:rPr>
      </w:pPr>
      <w:r w:rsidRPr="005B0C61">
        <w:rPr>
          <w:lang w:eastAsia="en-US"/>
        </w:rPr>
        <w:t xml:space="preserve">For bDMARD-naïve patients the submission proposed that </w:t>
      </w:r>
      <w:r w:rsidR="001B6065" w:rsidRPr="005B0C61">
        <w:rPr>
          <w:lang w:eastAsia="en-US"/>
        </w:rPr>
        <w:t xml:space="preserve">the use of </w:t>
      </w:r>
      <w:r w:rsidR="006A71F0" w:rsidRPr="005B0C61">
        <w:rPr>
          <w:lang w:eastAsia="en-US"/>
        </w:rPr>
        <w:t>a biosimilar</w:t>
      </w:r>
      <w:r w:rsidR="001B6065" w:rsidRPr="005B0C61">
        <w:rPr>
          <w:lang w:eastAsia="en-US"/>
        </w:rPr>
        <w:t xml:space="preserve"> in the first instance would n</w:t>
      </w:r>
      <w:r w:rsidR="00BC5D2B" w:rsidRPr="005B0C61">
        <w:rPr>
          <w:lang w:eastAsia="en-US"/>
        </w:rPr>
        <w:t>ot count as a treatment failure</w:t>
      </w:r>
      <w:r w:rsidR="00D62895" w:rsidRPr="005B0C61">
        <w:rPr>
          <w:lang w:eastAsia="en-US"/>
        </w:rPr>
        <w:t>.</w:t>
      </w:r>
      <w:r w:rsidR="001B6065" w:rsidRPr="005B0C61">
        <w:rPr>
          <w:lang w:eastAsia="en-US"/>
        </w:rPr>
        <w:t xml:space="preserve"> The </w:t>
      </w:r>
      <w:r w:rsidR="003A32EC" w:rsidRPr="005B0C61">
        <w:rPr>
          <w:lang w:eastAsia="en-US"/>
        </w:rPr>
        <w:t>submission</w:t>
      </w:r>
      <w:r w:rsidR="001B6065" w:rsidRPr="005B0C61">
        <w:rPr>
          <w:lang w:eastAsia="en-US"/>
        </w:rPr>
        <w:t xml:space="preserve"> claimed that </w:t>
      </w:r>
      <w:r w:rsidR="00BC5D2B" w:rsidRPr="005B0C61">
        <w:rPr>
          <w:lang w:eastAsia="en-US"/>
        </w:rPr>
        <w:t>the application of this uptake driver would encourage prescribers to choose biosimilars in the first instance and would increase the biosimilar market share in treatment-naïve patients.</w:t>
      </w:r>
      <w:r w:rsidR="00D62895" w:rsidRPr="005B0C61">
        <w:rPr>
          <w:lang w:eastAsia="en-US"/>
        </w:rPr>
        <w:t xml:space="preserve"> </w:t>
      </w:r>
      <w:r w:rsidR="00396330" w:rsidRPr="005B0C61">
        <w:rPr>
          <w:lang w:eastAsia="en-US"/>
        </w:rPr>
        <w:t xml:space="preserve">It is unclear how this would be applied in practice to allow a retrial of the same drug under Initial 2 restriction criteria, as these do not </w:t>
      </w:r>
      <w:r w:rsidR="007E7A07" w:rsidRPr="005B0C61">
        <w:rPr>
          <w:lang w:eastAsia="en-US"/>
        </w:rPr>
        <w:t>allow</w:t>
      </w:r>
      <w:r w:rsidR="00A44A8B" w:rsidRPr="005B0C61">
        <w:rPr>
          <w:lang w:eastAsia="en-US"/>
        </w:rPr>
        <w:t xml:space="preserve"> a </w:t>
      </w:r>
      <w:r w:rsidR="00B66533" w:rsidRPr="005B0C61">
        <w:rPr>
          <w:lang w:eastAsia="en-US"/>
        </w:rPr>
        <w:t>re</w:t>
      </w:r>
      <w:r w:rsidR="00A44A8B" w:rsidRPr="005B0C61">
        <w:rPr>
          <w:lang w:eastAsia="en-US"/>
        </w:rPr>
        <w:t xml:space="preserve">trial of the same drug that </w:t>
      </w:r>
      <w:r w:rsidR="00396330" w:rsidRPr="005B0C61">
        <w:rPr>
          <w:lang w:eastAsia="en-US"/>
        </w:rPr>
        <w:t>a</w:t>
      </w:r>
      <w:r w:rsidR="00A44A8B" w:rsidRPr="005B0C61">
        <w:rPr>
          <w:lang w:eastAsia="en-US"/>
        </w:rPr>
        <w:t xml:space="preserve"> patient had </w:t>
      </w:r>
      <w:r w:rsidR="007E7A07" w:rsidRPr="005B0C61">
        <w:rPr>
          <w:lang w:eastAsia="en-US"/>
        </w:rPr>
        <w:t xml:space="preserve">previously </w:t>
      </w:r>
      <w:r w:rsidR="00A44A8B" w:rsidRPr="005B0C61">
        <w:rPr>
          <w:lang w:eastAsia="en-US"/>
        </w:rPr>
        <w:t xml:space="preserve">failed within </w:t>
      </w:r>
      <w:r w:rsidR="00B66533" w:rsidRPr="005B0C61">
        <w:rPr>
          <w:lang w:eastAsia="en-US"/>
        </w:rPr>
        <w:t>a</w:t>
      </w:r>
      <w:r w:rsidR="00A44A8B" w:rsidRPr="005B0C61">
        <w:rPr>
          <w:lang w:eastAsia="en-US"/>
        </w:rPr>
        <w:t xml:space="preserve"> treatment cycle.</w:t>
      </w:r>
      <w:r w:rsidR="0062087D" w:rsidRPr="005B0C61">
        <w:rPr>
          <w:lang w:eastAsia="en-US"/>
        </w:rPr>
        <w:t xml:space="preserve"> </w:t>
      </w:r>
      <w:r w:rsidR="0062087D" w:rsidRPr="005B0C61">
        <w:t>The sponsor clarified that if a patient failed treatment on the biosimilar, they would no longer be eligible for that drug. This is in line with the current restriction which disallows retrial with the same drug.</w:t>
      </w:r>
    </w:p>
    <w:p w14:paraId="4FAD48AC" w14:textId="77777777" w:rsidR="0062087D" w:rsidRPr="005B0C61" w:rsidRDefault="00255B0E" w:rsidP="00D961F9">
      <w:pPr>
        <w:pStyle w:val="3Bodytext"/>
      </w:pPr>
      <w:r w:rsidRPr="005B0C61">
        <w:t xml:space="preserve">This proposal would effectively </w:t>
      </w:r>
      <w:r w:rsidR="00FA4C27" w:rsidRPr="005B0C61">
        <w:t xml:space="preserve">alter </w:t>
      </w:r>
      <w:r w:rsidRPr="005B0C61">
        <w:t xml:space="preserve">the structure of treatment </w:t>
      </w:r>
      <w:r w:rsidR="0095598B" w:rsidRPr="005B0C61">
        <w:t>cycles, which</w:t>
      </w:r>
      <w:r w:rsidRPr="005B0C61">
        <w:t xml:space="preserve"> is a component of the cost-effectiveness basis on which </w:t>
      </w:r>
      <w:proofErr w:type="spellStart"/>
      <w:r w:rsidRPr="005B0C61">
        <w:t>bDMARDs</w:t>
      </w:r>
      <w:proofErr w:type="spellEnd"/>
      <w:r w:rsidRPr="005B0C61">
        <w:t>/biologics are listed on the PBS, and there may be economic implications associated with the potential for patients to access an additional treatment as part of a treatment cycle.</w:t>
      </w:r>
      <w:r w:rsidR="0062087D" w:rsidRPr="005B0C61">
        <w:t xml:space="preserve"> The sponsor claimed that the economic implications would be limited, as few patients require more than three bDMARD treatments. The sponsor referred to evidence from two DUSC reviews to support this claim (see Table 2). Further, the sponsor claimed that any additional cost due to additional treatment within a cycle would be outweighed by price reductions due to price disclosure</w:t>
      </w:r>
      <w:r w:rsidR="00003AE9" w:rsidRPr="005B0C61">
        <w:t xml:space="preserve"> mechanisms</w:t>
      </w:r>
      <w:r w:rsidR="0062087D" w:rsidRPr="005B0C61">
        <w:t xml:space="preserve">. </w:t>
      </w:r>
    </w:p>
    <w:p w14:paraId="45C9C361" w14:textId="77777777" w:rsidR="0062087D" w:rsidRPr="005B0C61" w:rsidRDefault="0062087D" w:rsidP="00F531C7">
      <w:pPr>
        <w:pStyle w:val="Tabletitles"/>
      </w:pPr>
      <w:r w:rsidRPr="005B0C61">
        <w:t xml:space="preserve">Table 2: Proportion of Patients Requiring 3 or more </w:t>
      </w:r>
      <w:proofErr w:type="spellStart"/>
      <w:r w:rsidRPr="005B0C61">
        <w:t>bDMARDs</w:t>
      </w:r>
      <w:proofErr w:type="spellEnd"/>
    </w:p>
    <w:tbl>
      <w:tblPr>
        <w:tblStyle w:val="TableGrid"/>
        <w:tblW w:w="5000" w:type="pct"/>
        <w:tblLook w:val="04A0" w:firstRow="1" w:lastRow="0" w:firstColumn="1" w:lastColumn="0" w:noHBand="0" w:noVBand="1"/>
        <w:tblCaption w:val="Table 2: Proportion of Patients Requiring 3 or more bDMARDs"/>
      </w:tblPr>
      <w:tblGrid>
        <w:gridCol w:w="1156"/>
        <w:gridCol w:w="1805"/>
        <w:gridCol w:w="1803"/>
        <w:gridCol w:w="1874"/>
        <w:gridCol w:w="2378"/>
      </w:tblGrid>
      <w:tr w:rsidR="0062087D" w:rsidRPr="005B0C61" w14:paraId="6B135E06" w14:textId="77777777" w:rsidTr="003D041C">
        <w:trPr>
          <w:trHeight w:val="560"/>
          <w:tblHeader/>
        </w:trPr>
        <w:tc>
          <w:tcPr>
            <w:tcW w:w="641" w:type="pct"/>
            <w:shd w:val="clear" w:color="auto" w:fill="auto"/>
          </w:tcPr>
          <w:p w14:paraId="6859325C" w14:textId="77777777" w:rsidR="0062087D" w:rsidRPr="005B0C61" w:rsidRDefault="0062087D" w:rsidP="00382B28">
            <w:pPr>
              <w:rPr>
                <w:rFonts w:ascii="Arial Narrow" w:hAnsi="Arial Narrow"/>
                <w:b/>
                <w:bCs/>
                <w:sz w:val="20"/>
                <w:szCs w:val="20"/>
              </w:rPr>
            </w:pPr>
            <w:r w:rsidRPr="005B0C61">
              <w:rPr>
                <w:rFonts w:ascii="Arial Narrow" w:hAnsi="Arial Narrow"/>
                <w:b/>
                <w:bCs/>
                <w:sz w:val="20"/>
                <w:szCs w:val="20"/>
              </w:rPr>
              <w:t>Indication</w:t>
            </w:r>
          </w:p>
        </w:tc>
        <w:tc>
          <w:tcPr>
            <w:tcW w:w="1001" w:type="pct"/>
            <w:shd w:val="clear" w:color="auto" w:fill="auto"/>
          </w:tcPr>
          <w:p w14:paraId="40EDD042" w14:textId="77777777" w:rsidR="0062087D" w:rsidRPr="005B0C61" w:rsidRDefault="0062087D" w:rsidP="00382B28">
            <w:pPr>
              <w:rPr>
                <w:rFonts w:ascii="Arial Narrow" w:hAnsi="Arial Narrow"/>
                <w:b/>
                <w:bCs/>
                <w:sz w:val="20"/>
                <w:szCs w:val="20"/>
              </w:rPr>
            </w:pPr>
            <w:r w:rsidRPr="005B0C61">
              <w:rPr>
                <w:rFonts w:ascii="Arial Narrow" w:hAnsi="Arial Narrow"/>
                <w:b/>
                <w:bCs/>
                <w:sz w:val="20"/>
                <w:szCs w:val="20"/>
              </w:rPr>
              <w:t xml:space="preserve">Patients with an Authority for 3 </w:t>
            </w:r>
            <w:proofErr w:type="spellStart"/>
            <w:r w:rsidRPr="005B0C61">
              <w:rPr>
                <w:rFonts w:ascii="Arial Narrow" w:hAnsi="Arial Narrow"/>
                <w:b/>
                <w:bCs/>
                <w:sz w:val="20"/>
                <w:szCs w:val="20"/>
              </w:rPr>
              <w:t>bDMARDs</w:t>
            </w:r>
            <w:proofErr w:type="spellEnd"/>
          </w:p>
        </w:tc>
        <w:tc>
          <w:tcPr>
            <w:tcW w:w="1000" w:type="pct"/>
            <w:shd w:val="clear" w:color="auto" w:fill="auto"/>
          </w:tcPr>
          <w:p w14:paraId="7E5B4FD6" w14:textId="77777777" w:rsidR="0062087D" w:rsidRPr="005B0C61" w:rsidRDefault="0062087D" w:rsidP="00382B28">
            <w:pPr>
              <w:rPr>
                <w:rFonts w:ascii="Arial Narrow" w:hAnsi="Arial Narrow"/>
                <w:b/>
                <w:bCs/>
                <w:sz w:val="20"/>
                <w:szCs w:val="20"/>
              </w:rPr>
            </w:pPr>
            <w:r w:rsidRPr="005B0C61">
              <w:rPr>
                <w:rFonts w:ascii="Arial Narrow" w:hAnsi="Arial Narrow"/>
                <w:b/>
                <w:bCs/>
                <w:sz w:val="20"/>
                <w:szCs w:val="20"/>
              </w:rPr>
              <w:t xml:space="preserve">Patients with an Authority for 4 </w:t>
            </w:r>
            <w:proofErr w:type="spellStart"/>
            <w:r w:rsidRPr="005B0C61">
              <w:rPr>
                <w:rFonts w:ascii="Arial Narrow" w:hAnsi="Arial Narrow"/>
                <w:b/>
                <w:bCs/>
                <w:sz w:val="20"/>
                <w:szCs w:val="20"/>
              </w:rPr>
              <w:t>bDMARDs</w:t>
            </w:r>
            <w:proofErr w:type="spellEnd"/>
          </w:p>
        </w:tc>
        <w:tc>
          <w:tcPr>
            <w:tcW w:w="1039" w:type="pct"/>
            <w:shd w:val="clear" w:color="auto" w:fill="auto"/>
          </w:tcPr>
          <w:p w14:paraId="1012B91C" w14:textId="77777777" w:rsidR="0062087D" w:rsidRPr="005B0C61" w:rsidRDefault="0062087D" w:rsidP="00382B28">
            <w:pPr>
              <w:rPr>
                <w:rFonts w:ascii="Arial Narrow" w:hAnsi="Arial Narrow"/>
                <w:b/>
                <w:bCs/>
                <w:sz w:val="20"/>
                <w:szCs w:val="20"/>
              </w:rPr>
            </w:pPr>
            <w:r w:rsidRPr="005B0C61">
              <w:rPr>
                <w:rFonts w:ascii="Arial Narrow" w:hAnsi="Arial Narrow"/>
                <w:b/>
                <w:bCs/>
                <w:sz w:val="20"/>
                <w:szCs w:val="20"/>
              </w:rPr>
              <w:t xml:space="preserve">Patients with an Authority for 5 </w:t>
            </w:r>
            <w:proofErr w:type="spellStart"/>
            <w:r w:rsidRPr="005B0C61">
              <w:rPr>
                <w:rFonts w:ascii="Arial Narrow" w:hAnsi="Arial Narrow"/>
                <w:b/>
                <w:bCs/>
                <w:sz w:val="20"/>
                <w:szCs w:val="20"/>
              </w:rPr>
              <w:t>bDMARDs</w:t>
            </w:r>
            <w:proofErr w:type="spellEnd"/>
          </w:p>
        </w:tc>
        <w:tc>
          <w:tcPr>
            <w:tcW w:w="1319" w:type="pct"/>
            <w:shd w:val="clear" w:color="auto" w:fill="auto"/>
          </w:tcPr>
          <w:p w14:paraId="39541E18" w14:textId="77777777" w:rsidR="0062087D" w:rsidRPr="005B0C61" w:rsidRDefault="0062087D" w:rsidP="00382B28">
            <w:pPr>
              <w:rPr>
                <w:rFonts w:ascii="Arial Narrow" w:hAnsi="Arial Narrow"/>
                <w:b/>
                <w:bCs/>
                <w:sz w:val="20"/>
                <w:szCs w:val="20"/>
              </w:rPr>
            </w:pPr>
            <w:r w:rsidRPr="005B0C61">
              <w:rPr>
                <w:rFonts w:ascii="Arial Narrow" w:hAnsi="Arial Narrow"/>
                <w:b/>
                <w:bCs/>
                <w:sz w:val="20"/>
                <w:szCs w:val="20"/>
              </w:rPr>
              <w:t>Reference</w:t>
            </w:r>
          </w:p>
        </w:tc>
      </w:tr>
      <w:tr w:rsidR="0062087D" w:rsidRPr="005B0C61" w14:paraId="70A96806" w14:textId="77777777" w:rsidTr="00D961F9">
        <w:trPr>
          <w:trHeight w:val="174"/>
        </w:trPr>
        <w:tc>
          <w:tcPr>
            <w:tcW w:w="641" w:type="pct"/>
          </w:tcPr>
          <w:p w14:paraId="610B0E2E"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Ankylosing Spondylitis</w:t>
            </w:r>
          </w:p>
        </w:tc>
        <w:tc>
          <w:tcPr>
            <w:tcW w:w="1001" w:type="pct"/>
          </w:tcPr>
          <w:p w14:paraId="002BDA40"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9.2%</w:t>
            </w:r>
          </w:p>
        </w:tc>
        <w:tc>
          <w:tcPr>
            <w:tcW w:w="1000" w:type="pct"/>
          </w:tcPr>
          <w:p w14:paraId="2D606D11"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2.0%</w:t>
            </w:r>
          </w:p>
        </w:tc>
        <w:tc>
          <w:tcPr>
            <w:tcW w:w="1039" w:type="pct"/>
          </w:tcPr>
          <w:p w14:paraId="6744F845"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0.2%</w:t>
            </w:r>
          </w:p>
        </w:tc>
        <w:tc>
          <w:tcPr>
            <w:tcW w:w="1319" w:type="pct"/>
          </w:tcPr>
          <w:p w14:paraId="5BF56826"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2016 DUSC Review, Ankylosing Spondylitis</w:t>
            </w:r>
          </w:p>
        </w:tc>
      </w:tr>
      <w:tr w:rsidR="0062087D" w:rsidRPr="005B0C61" w14:paraId="35F147B8" w14:textId="77777777" w:rsidTr="00D961F9">
        <w:trPr>
          <w:trHeight w:val="186"/>
        </w:trPr>
        <w:tc>
          <w:tcPr>
            <w:tcW w:w="641" w:type="pct"/>
          </w:tcPr>
          <w:p w14:paraId="2E088F70"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Psoriatic Arthritis</w:t>
            </w:r>
          </w:p>
        </w:tc>
        <w:tc>
          <w:tcPr>
            <w:tcW w:w="1001" w:type="pct"/>
          </w:tcPr>
          <w:p w14:paraId="19738CD6"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10-15%</w:t>
            </w:r>
          </w:p>
        </w:tc>
        <w:tc>
          <w:tcPr>
            <w:tcW w:w="2039" w:type="pct"/>
            <w:gridSpan w:val="2"/>
          </w:tcPr>
          <w:p w14:paraId="00EEBCB9"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 xml:space="preserve">“…a very small proportion…” </w:t>
            </w:r>
          </w:p>
        </w:tc>
        <w:tc>
          <w:tcPr>
            <w:tcW w:w="1319" w:type="pct"/>
          </w:tcPr>
          <w:p w14:paraId="61CAA38D" w14:textId="77777777" w:rsidR="0062087D" w:rsidRPr="005B0C61" w:rsidRDefault="0062087D" w:rsidP="00382B28">
            <w:pPr>
              <w:rPr>
                <w:rFonts w:ascii="Arial Narrow" w:hAnsi="Arial Narrow"/>
                <w:sz w:val="20"/>
                <w:szCs w:val="20"/>
              </w:rPr>
            </w:pPr>
            <w:r w:rsidRPr="005B0C61">
              <w:rPr>
                <w:rFonts w:ascii="Arial Narrow" w:hAnsi="Arial Narrow"/>
                <w:sz w:val="20"/>
                <w:szCs w:val="20"/>
              </w:rPr>
              <w:t xml:space="preserve">2015 DUSC Review, Psoriatic Arthritis </w:t>
            </w:r>
          </w:p>
        </w:tc>
      </w:tr>
    </w:tbl>
    <w:p w14:paraId="04592794" w14:textId="77777777" w:rsidR="0062087D" w:rsidRPr="005B0C61" w:rsidRDefault="0062087D" w:rsidP="00F531C7">
      <w:pPr>
        <w:pStyle w:val="TableFigureFooter"/>
      </w:pPr>
      <w:r w:rsidRPr="005B0C61">
        <w:t>Source: pre-PBAC response</w:t>
      </w:r>
    </w:p>
    <w:p w14:paraId="6B50020C" w14:textId="77777777" w:rsidR="00255B0E" w:rsidRPr="005B0C61" w:rsidRDefault="0062087D" w:rsidP="00D961F9">
      <w:pPr>
        <w:pStyle w:val="3Bodytext"/>
        <w:rPr>
          <w:lang w:eastAsia="en-US"/>
        </w:rPr>
      </w:pPr>
      <w:r w:rsidRPr="005B0C61">
        <w:lastRenderedPageBreak/>
        <w:t>This</w:t>
      </w:r>
      <w:r w:rsidR="00255B0E" w:rsidRPr="005B0C61">
        <w:t xml:space="preserve"> proposal falls outside of the biosimilar uptake measures described in item 8.3 of the Medicines Australia Strategic Agreement, and would require consultation with Medicines Australia prior to implementation</w:t>
      </w:r>
      <w:r w:rsidR="000E2EFD" w:rsidRPr="005B0C61">
        <w:t xml:space="preserve"> as well as consideration of any assessment of these measures by the Joint Oversight Committee established under the Strategic Agreement</w:t>
      </w:r>
      <w:r w:rsidR="00255B0E" w:rsidRPr="005B0C61">
        <w:t xml:space="preserve">. </w:t>
      </w:r>
    </w:p>
    <w:p w14:paraId="776B89C8" w14:textId="77777777" w:rsidR="009F20B7" w:rsidRPr="005B0C61" w:rsidRDefault="009F20B7" w:rsidP="00D961F9">
      <w:pPr>
        <w:pStyle w:val="3Bodytext"/>
        <w:rPr>
          <w:lang w:eastAsia="en-US"/>
        </w:rPr>
      </w:pPr>
      <w:r w:rsidRPr="005B0C61">
        <w:t xml:space="preserve">In its pre-PBAC response, the sponsor </w:t>
      </w:r>
      <w:r w:rsidR="001C1FED" w:rsidRPr="005B0C61">
        <w:t>welcomed discussions between the Department and relevant stakeholders, including Medicines Australia, for consideration of the implementation of this uptake driver</w:t>
      </w:r>
      <w:r w:rsidR="005B0C61">
        <w:t xml:space="preserve">. </w:t>
      </w:r>
    </w:p>
    <w:p w14:paraId="7391AE92" w14:textId="77777777" w:rsidR="00E404D6" w:rsidRPr="005B0C61" w:rsidRDefault="00E404D6" w:rsidP="00175AA1">
      <w:pPr>
        <w:pStyle w:val="5-SubsectionSubheading"/>
        <w:rPr>
          <w:lang w:eastAsia="en-US"/>
        </w:rPr>
      </w:pPr>
      <w:r w:rsidRPr="005B0C61">
        <w:rPr>
          <w:lang w:eastAsia="en-US"/>
        </w:rPr>
        <w:t>Lowering the Authority Level of Continuing Prescriptions</w:t>
      </w:r>
    </w:p>
    <w:p w14:paraId="36E30D0D" w14:textId="77777777" w:rsidR="00567121" w:rsidRPr="005B0C61" w:rsidRDefault="00332618" w:rsidP="00D961F9">
      <w:pPr>
        <w:pStyle w:val="3Bodytext"/>
        <w:rPr>
          <w:lang w:eastAsia="en-US"/>
        </w:rPr>
      </w:pPr>
      <w:r w:rsidRPr="005B0C61">
        <w:t>As noted above</w:t>
      </w:r>
      <w:r w:rsidR="00567121" w:rsidRPr="005B0C61">
        <w:t xml:space="preserve"> </w:t>
      </w:r>
      <w:r w:rsidRPr="005B0C61">
        <w:t>(</w:t>
      </w:r>
      <w:r w:rsidR="00567121" w:rsidRPr="005B0C61">
        <w:t>par</w:t>
      </w:r>
      <w:r w:rsidR="00A43D98" w:rsidRPr="005B0C61">
        <w:t>a 2.4</w:t>
      </w:r>
      <w:r w:rsidRPr="005B0C61">
        <w:t>)</w:t>
      </w:r>
      <w:r w:rsidR="00567121" w:rsidRPr="005B0C61">
        <w:t>, the PBAC previously recommended the subsequent continuing treatment phase should be Authority Required (STREAMLINED) for Hadlima, while</w:t>
      </w:r>
      <w:r w:rsidR="007F1315" w:rsidRPr="005B0C61">
        <w:t xml:space="preserve"> that of</w:t>
      </w:r>
      <w:r w:rsidR="00567121" w:rsidRPr="005B0C61">
        <w:t xml:space="preserve"> Humira is maintained as Authority Required (</w:t>
      </w:r>
      <w:r w:rsidRPr="005B0C61">
        <w:t>Written</w:t>
      </w:r>
      <w:r w:rsidR="00567121" w:rsidRPr="005B0C61">
        <w:t xml:space="preserve">). </w:t>
      </w:r>
    </w:p>
    <w:p w14:paraId="3F7888DC" w14:textId="77777777" w:rsidR="00A60065" w:rsidRPr="005B0C61" w:rsidRDefault="00B85C0D" w:rsidP="00D961F9">
      <w:pPr>
        <w:pStyle w:val="3Bodytext"/>
      </w:pPr>
      <w:r w:rsidRPr="005B0C61">
        <w:t xml:space="preserve">The </w:t>
      </w:r>
      <w:r w:rsidR="00567121" w:rsidRPr="005B0C61">
        <w:t xml:space="preserve">submission proposed </w:t>
      </w:r>
      <w:r w:rsidR="002C1C79" w:rsidRPr="005B0C61">
        <w:t>lowering</w:t>
      </w:r>
      <w:r w:rsidR="00567121" w:rsidRPr="005B0C61">
        <w:t xml:space="preserve"> the authority level for first continuing prescriptions</w:t>
      </w:r>
      <w:r w:rsidR="00BC5D2B" w:rsidRPr="005B0C61">
        <w:t xml:space="preserve"> </w:t>
      </w:r>
      <w:r w:rsidR="00567121" w:rsidRPr="005B0C61">
        <w:t>from Authority Required (Telephone) to Authority Required (STREAMLINED) for Hadlima</w:t>
      </w:r>
      <w:r w:rsidR="00BC5D2B" w:rsidRPr="005B0C61">
        <w:t xml:space="preserve"> across all relevant indications</w:t>
      </w:r>
      <w:r w:rsidR="002C1C79" w:rsidRPr="005B0C61">
        <w:t>, while Humira is maintained as Authority Required (</w:t>
      </w:r>
      <w:r w:rsidR="004D4F04" w:rsidRPr="005B0C61">
        <w:t>Written</w:t>
      </w:r>
      <w:r w:rsidR="002C1C79" w:rsidRPr="005B0C61">
        <w:t>)</w:t>
      </w:r>
      <w:r w:rsidR="001B6065" w:rsidRPr="005B0C61">
        <w:t>.</w:t>
      </w:r>
      <w:r w:rsidR="00BC5D2B" w:rsidRPr="005B0C61">
        <w:t xml:space="preserve"> The </w:t>
      </w:r>
      <w:r w:rsidR="00567121" w:rsidRPr="005B0C61">
        <w:t>submission noted</w:t>
      </w:r>
      <w:r w:rsidR="00BC5D2B" w:rsidRPr="005B0C61">
        <w:t xml:space="preserve"> that the PBAC previously considered that the application of </w:t>
      </w:r>
      <w:r w:rsidR="00567121" w:rsidRPr="005B0C61">
        <w:t>Authority Required (STRE</w:t>
      </w:r>
      <w:r w:rsidR="007218F5" w:rsidRPr="005B0C61">
        <w:t>A</w:t>
      </w:r>
      <w:r w:rsidR="00567121" w:rsidRPr="005B0C61">
        <w:t xml:space="preserve">MLINED) </w:t>
      </w:r>
      <w:r w:rsidR="00BC5D2B" w:rsidRPr="005B0C61">
        <w:t>to biosimilar listing</w:t>
      </w:r>
      <w:r w:rsidR="00567121" w:rsidRPr="005B0C61">
        <w:t>s at</w:t>
      </w:r>
      <w:r w:rsidR="00BC5D2B" w:rsidRPr="005B0C61">
        <w:t xml:space="preserve"> all phases of treatment was inappropriate, given the risk of leakage at the initial phase</w:t>
      </w:r>
      <w:r w:rsidR="00A43D98" w:rsidRPr="005B0C61">
        <w:t xml:space="preserve"> </w:t>
      </w:r>
      <w:r w:rsidR="00567121" w:rsidRPr="005B0C61">
        <w:t>(</w:t>
      </w:r>
      <w:r w:rsidR="00A43D98" w:rsidRPr="005B0C61">
        <w:t>para 7.11, etanercept PSD, July 2016 PBAC Meeting</w:t>
      </w:r>
      <w:r w:rsidR="00567121" w:rsidRPr="005B0C61">
        <w:t>)</w:t>
      </w:r>
      <w:r w:rsidR="00BC5D2B" w:rsidRPr="005B0C61">
        <w:t xml:space="preserve">. </w:t>
      </w:r>
    </w:p>
    <w:p w14:paraId="0E27314C" w14:textId="77777777" w:rsidR="002D0B16" w:rsidRPr="005B0C61" w:rsidRDefault="00A60065" w:rsidP="00D961F9">
      <w:pPr>
        <w:pStyle w:val="3Bodytext"/>
        <w:rPr>
          <w:lang w:eastAsia="en-US"/>
        </w:rPr>
      </w:pPr>
      <w:r w:rsidRPr="005B0C61">
        <w:rPr>
          <w:lang w:eastAsia="en-US"/>
        </w:rPr>
        <w:t>T</w:t>
      </w:r>
      <w:r w:rsidR="00BC5D2B" w:rsidRPr="005B0C61">
        <w:rPr>
          <w:lang w:eastAsia="en-US"/>
        </w:rPr>
        <w:t xml:space="preserve">he </w:t>
      </w:r>
      <w:r w:rsidR="00567121" w:rsidRPr="005B0C61">
        <w:rPr>
          <w:lang w:eastAsia="en-US"/>
        </w:rPr>
        <w:t>submission</w:t>
      </w:r>
      <w:r w:rsidR="001B6065" w:rsidRPr="005B0C61">
        <w:rPr>
          <w:lang w:eastAsia="en-US"/>
        </w:rPr>
        <w:t xml:space="preserve"> </w:t>
      </w:r>
      <w:r w:rsidR="00FA4C27" w:rsidRPr="005B0C61">
        <w:rPr>
          <w:lang w:eastAsia="en-US"/>
        </w:rPr>
        <w:t xml:space="preserve">noted </w:t>
      </w:r>
      <w:r w:rsidR="00D5150D" w:rsidRPr="005B0C61">
        <w:rPr>
          <w:lang w:eastAsia="en-US"/>
        </w:rPr>
        <w:t xml:space="preserve">that the current restriction for </w:t>
      </w:r>
      <w:r w:rsidR="00627FBD" w:rsidRPr="005B0C61">
        <w:rPr>
          <w:lang w:eastAsia="en-US"/>
        </w:rPr>
        <w:t>biosimilar</w:t>
      </w:r>
      <w:r w:rsidR="001C081E" w:rsidRPr="005B0C61">
        <w:rPr>
          <w:lang w:eastAsia="en-US"/>
        </w:rPr>
        <w:t xml:space="preserve"> </w:t>
      </w:r>
      <w:r w:rsidR="00D5150D" w:rsidRPr="005B0C61">
        <w:rPr>
          <w:lang w:eastAsia="en-US"/>
        </w:rPr>
        <w:t xml:space="preserve">infliximab for the treatment of </w:t>
      </w:r>
      <w:r w:rsidR="000118AD" w:rsidRPr="005B0C61">
        <w:rPr>
          <w:lang w:eastAsia="en-US"/>
        </w:rPr>
        <w:t xml:space="preserve">moderate to severe </w:t>
      </w:r>
      <w:r w:rsidR="00D5150D" w:rsidRPr="005B0C61">
        <w:rPr>
          <w:lang w:eastAsia="en-US"/>
        </w:rPr>
        <w:t>ulcerative colitis</w:t>
      </w:r>
      <w:r w:rsidR="000118AD" w:rsidRPr="005B0C61">
        <w:rPr>
          <w:lang w:eastAsia="en-US"/>
        </w:rPr>
        <w:t xml:space="preserve"> (UC)</w:t>
      </w:r>
      <w:r w:rsidR="00D5150D" w:rsidRPr="005B0C61">
        <w:rPr>
          <w:lang w:eastAsia="en-US"/>
        </w:rPr>
        <w:t xml:space="preserve"> allows physicians to prescribe continuing therapy </w:t>
      </w:r>
      <w:r w:rsidR="007F1315" w:rsidRPr="005B0C61">
        <w:rPr>
          <w:lang w:eastAsia="en-US"/>
        </w:rPr>
        <w:t xml:space="preserve">with biosimilar brands of infliximab </w:t>
      </w:r>
      <w:r w:rsidR="00A43D98" w:rsidRPr="005B0C61">
        <w:rPr>
          <w:lang w:eastAsia="en-US"/>
        </w:rPr>
        <w:t>as</w:t>
      </w:r>
      <w:r w:rsidRPr="005B0C61">
        <w:rPr>
          <w:lang w:eastAsia="en-US"/>
        </w:rPr>
        <w:t xml:space="preserve"> Authority Required (STREAMLINED)</w:t>
      </w:r>
      <w:r w:rsidR="00893C72" w:rsidRPr="005B0C61">
        <w:rPr>
          <w:lang w:eastAsia="en-US"/>
        </w:rPr>
        <w:t xml:space="preserve"> after 12 weeks of initial therapy</w:t>
      </w:r>
      <w:r w:rsidRPr="005B0C61">
        <w:rPr>
          <w:lang w:eastAsia="en-US"/>
        </w:rPr>
        <w:t>. In contrast</w:t>
      </w:r>
      <w:r w:rsidR="00893C72" w:rsidRPr="005B0C61">
        <w:rPr>
          <w:lang w:eastAsia="en-US"/>
        </w:rPr>
        <w:t xml:space="preserve">, </w:t>
      </w:r>
      <w:r w:rsidRPr="005B0C61">
        <w:rPr>
          <w:lang w:eastAsia="en-US"/>
        </w:rPr>
        <w:t xml:space="preserve">the submission </w:t>
      </w:r>
      <w:r w:rsidR="00FA4C27" w:rsidRPr="005B0C61">
        <w:rPr>
          <w:lang w:eastAsia="en-US"/>
        </w:rPr>
        <w:t xml:space="preserve">noted </w:t>
      </w:r>
      <w:r w:rsidRPr="005B0C61">
        <w:rPr>
          <w:lang w:eastAsia="en-US"/>
        </w:rPr>
        <w:t>that</w:t>
      </w:r>
      <w:r w:rsidR="00893C72" w:rsidRPr="005B0C61">
        <w:rPr>
          <w:lang w:eastAsia="en-US"/>
        </w:rPr>
        <w:t xml:space="preserve"> under the </w:t>
      </w:r>
      <w:r w:rsidRPr="005B0C61">
        <w:rPr>
          <w:lang w:eastAsia="en-US"/>
        </w:rPr>
        <w:t>recommended</w:t>
      </w:r>
      <w:r w:rsidR="00893C72" w:rsidRPr="005B0C61">
        <w:rPr>
          <w:lang w:eastAsia="en-US"/>
        </w:rPr>
        <w:t xml:space="preserve"> adalimumab biosimilar restrictions, physicians are not able to prescribe </w:t>
      </w:r>
      <w:r w:rsidRPr="005B0C61">
        <w:rPr>
          <w:lang w:eastAsia="en-US"/>
        </w:rPr>
        <w:t xml:space="preserve">under Authority Required (STREAMLINED) </w:t>
      </w:r>
      <w:r w:rsidR="00893C72" w:rsidRPr="005B0C61">
        <w:rPr>
          <w:lang w:eastAsia="en-US"/>
        </w:rPr>
        <w:t xml:space="preserve">until </w:t>
      </w:r>
      <w:r w:rsidRPr="005B0C61">
        <w:rPr>
          <w:lang w:eastAsia="en-US"/>
        </w:rPr>
        <w:t>after 24 weeks of initial therapy.</w:t>
      </w:r>
      <w:r w:rsidR="00396330" w:rsidRPr="005B0C61">
        <w:rPr>
          <w:lang w:eastAsia="en-US"/>
        </w:rPr>
        <w:t xml:space="preserve"> The initial supply of infliximab for UC is only sufficient for 16 weeks treatment. To ensure there is no disruption in supply to the patient, the prescriber is encouraged </w:t>
      </w:r>
      <w:r w:rsidR="000118AD" w:rsidRPr="005B0C61">
        <w:rPr>
          <w:lang w:eastAsia="en-US"/>
        </w:rPr>
        <w:t xml:space="preserve">to apply for </w:t>
      </w:r>
      <w:r w:rsidR="0049346E" w:rsidRPr="005B0C61">
        <w:rPr>
          <w:lang w:eastAsia="en-US"/>
        </w:rPr>
        <w:t xml:space="preserve">the </w:t>
      </w:r>
      <w:r w:rsidR="000118AD" w:rsidRPr="005B0C61">
        <w:rPr>
          <w:lang w:eastAsia="en-US"/>
        </w:rPr>
        <w:t xml:space="preserve">continuing treatment from week 12 </w:t>
      </w:r>
      <w:r w:rsidR="0049346E" w:rsidRPr="005B0C61">
        <w:rPr>
          <w:lang w:eastAsia="en-US"/>
        </w:rPr>
        <w:t>for</w:t>
      </w:r>
      <w:r w:rsidR="000118AD" w:rsidRPr="005B0C61">
        <w:rPr>
          <w:lang w:eastAsia="en-US"/>
        </w:rPr>
        <w:t xml:space="preserve"> patients who are responding to treatment. </w:t>
      </w:r>
      <w:r w:rsidR="00F03696" w:rsidRPr="005B0C61">
        <w:rPr>
          <w:lang w:eastAsia="en-US"/>
        </w:rPr>
        <w:t>There is no split between first and subsequent continuing therapy for infliximab, and the lower authority (Authority Required (STREAMLINED)</w:t>
      </w:r>
      <w:r w:rsidR="00003AE9" w:rsidRPr="005B0C61">
        <w:rPr>
          <w:lang w:eastAsia="en-US"/>
        </w:rPr>
        <w:t>)</w:t>
      </w:r>
      <w:r w:rsidR="00F03696" w:rsidRPr="005B0C61">
        <w:rPr>
          <w:lang w:eastAsia="en-US"/>
        </w:rPr>
        <w:t xml:space="preserve"> is applied for continuing treatment for the biosimilar brands. </w:t>
      </w:r>
    </w:p>
    <w:p w14:paraId="109AEE21" w14:textId="77777777" w:rsidR="00E17B63" w:rsidRPr="005B0C61" w:rsidRDefault="00003AE9" w:rsidP="00D961F9">
      <w:pPr>
        <w:pStyle w:val="3Bodytext"/>
        <w:rPr>
          <w:lang w:eastAsia="en-US"/>
        </w:rPr>
      </w:pPr>
      <w:bookmarkStart w:id="2" w:name="_Ref53066684"/>
      <w:r w:rsidRPr="005B0C61">
        <w:t>T</w:t>
      </w:r>
      <w:r w:rsidR="00A60065" w:rsidRPr="005B0C61">
        <w:t>his</w:t>
      </w:r>
      <w:r w:rsidR="00D62895" w:rsidRPr="005B0C61">
        <w:t xml:space="preserve"> request </w:t>
      </w:r>
      <w:r w:rsidR="00F531C7" w:rsidRPr="005B0C61">
        <w:t>fits</w:t>
      </w:r>
      <w:r w:rsidR="00D62895" w:rsidRPr="005B0C61">
        <w:t xml:space="preserve"> within the Medicines Australia Strategic Agreement</w:t>
      </w:r>
      <w:r w:rsidR="00E17B63" w:rsidRPr="005B0C61">
        <w:t>:</w:t>
      </w:r>
      <w:bookmarkEnd w:id="2"/>
    </w:p>
    <w:p w14:paraId="22AE2056" w14:textId="77777777" w:rsidR="008B48C9" w:rsidRPr="005B0C61" w:rsidRDefault="00E17B63" w:rsidP="00D961F9">
      <w:pPr>
        <w:pStyle w:val="3Bodytext"/>
        <w:numPr>
          <w:ilvl w:val="0"/>
          <w:numId w:val="0"/>
        </w:numPr>
        <w:ind w:left="720"/>
      </w:pPr>
      <w:r w:rsidRPr="005B0C61">
        <w:t xml:space="preserve">“a different prescribing process for biosimilars and reference biologics through allowing a lower level of authority to the biosimilar than exists for the reference biologic at the point of introduction of the </w:t>
      </w:r>
      <w:r w:rsidR="00567121" w:rsidRPr="005B0C61">
        <w:t>biosimilar</w:t>
      </w:r>
      <w:r w:rsidRPr="005B0C61">
        <w:t>, which may at commencement of therapy or continuation of therapy (or both)”</w:t>
      </w:r>
      <w:r w:rsidRPr="005B0C61">
        <w:rPr>
          <w:rStyle w:val="FootnoteReference"/>
        </w:rPr>
        <w:footnoteReference w:id="1"/>
      </w:r>
      <w:r w:rsidR="00D62895" w:rsidRPr="005B0C61">
        <w:t>.</w:t>
      </w:r>
    </w:p>
    <w:p w14:paraId="0D1B4D80" w14:textId="77777777" w:rsidR="001F7938" w:rsidRPr="005B0C61" w:rsidRDefault="00E17B63" w:rsidP="00E17B63">
      <w:pPr>
        <w:pStyle w:val="5-SubsectionSubheading"/>
        <w:rPr>
          <w:lang w:eastAsia="en-US"/>
        </w:rPr>
      </w:pPr>
      <w:r w:rsidRPr="005B0C61">
        <w:rPr>
          <w:lang w:eastAsia="en-US"/>
        </w:rPr>
        <w:lastRenderedPageBreak/>
        <w:t>Lowering the authority level for initial prescriptions</w:t>
      </w:r>
    </w:p>
    <w:p w14:paraId="6B78DB33" w14:textId="77777777" w:rsidR="00213CD3" w:rsidRPr="005B0C61" w:rsidRDefault="002C1C79" w:rsidP="00D961F9">
      <w:pPr>
        <w:pStyle w:val="3Bodytext"/>
        <w:rPr>
          <w:lang w:eastAsia="en-US"/>
        </w:rPr>
      </w:pPr>
      <w:r w:rsidRPr="005B0C61">
        <w:rPr>
          <w:lang w:eastAsia="en-US"/>
        </w:rPr>
        <w:t>The submission proposed lowering the authority level for initial prescriptions from Authority Required (Written) to Authority Required (Telephone) for Hadlima, while Humira is maintained as Authority Required (Written). The submission claimed that this would</w:t>
      </w:r>
      <w:r w:rsidR="00C724CD" w:rsidRPr="005B0C61">
        <w:rPr>
          <w:lang w:eastAsia="en-US"/>
        </w:rPr>
        <w:t xml:space="preserve"> encourage </w:t>
      </w:r>
      <w:r w:rsidR="004C3F1D" w:rsidRPr="005B0C61">
        <w:rPr>
          <w:lang w:eastAsia="en-US"/>
        </w:rPr>
        <w:t>physicians to prescribe biosi</w:t>
      </w:r>
      <w:r w:rsidR="000253E2" w:rsidRPr="005B0C61">
        <w:rPr>
          <w:lang w:eastAsia="en-US"/>
        </w:rPr>
        <w:t xml:space="preserve">milar medicines for </w:t>
      </w:r>
      <w:r w:rsidR="00BD1AAA" w:rsidRPr="005B0C61">
        <w:rPr>
          <w:lang w:eastAsia="en-US"/>
        </w:rPr>
        <w:t>treatment-</w:t>
      </w:r>
      <w:r w:rsidR="000253E2" w:rsidRPr="005B0C61">
        <w:rPr>
          <w:lang w:eastAsia="en-US"/>
        </w:rPr>
        <w:t>naïve patients</w:t>
      </w:r>
      <w:r w:rsidR="00D62895" w:rsidRPr="005B0C61">
        <w:rPr>
          <w:lang w:eastAsia="en-US"/>
        </w:rPr>
        <w:t>.</w:t>
      </w:r>
      <w:r w:rsidR="00D62895" w:rsidRPr="005B0C61">
        <w:rPr>
          <w:i/>
          <w:lang w:eastAsia="en-US"/>
        </w:rPr>
        <w:t xml:space="preserve"> </w:t>
      </w:r>
      <w:r w:rsidR="000253E2" w:rsidRPr="005B0C61">
        <w:rPr>
          <w:lang w:eastAsia="en-US"/>
        </w:rPr>
        <w:t xml:space="preserve">The Sponsor </w:t>
      </w:r>
      <w:r w:rsidR="004B74AF" w:rsidRPr="005B0C61">
        <w:rPr>
          <w:lang w:eastAsia="en-US"/>
        </w:rPr>
        <w:t xml:space="preserve">stated </w:t>
      </w:r>
      <w:r w:rsidR="000253E2" w:rsidRPr="005B0C61">
        <w:rPr>
          <w:lang w:eastAsia="en-US"/>
        </w:rPr>
        <w:t>that they were willing to work with the Department on how this would be best implemented by Services Australia</w:t>
      </w:r>
      <w:r w:rsidR="001C081E" w:rsidRPr="005B0C61">
        <w:rPr>
          <w:lang w:eastAsia="en-US"/>
        </w:rPr>
        <w:t xml:space="preserve"> (SA)</w:t>
      </w:r>
      <w:r w:rsidR="000253E2" w:rsidRPr="005B0C61">
        <w:rPr>
          <w:lang w:eastAsia="en-US"/>
        </w:rPr>
        <w:t>.</w:t>
      </w:r>
      <w:r w:rsidR="00213CD3" w:rsidRPr="005B0C61">
        <w:rPr>
          <w:i/>
          <w:lang w:eastAsia="en-US"/>
        </w:rPr>
        <w:t xml:space="preserve"> </w:t>
      </w:r>
    </w:p>
    <w:p w14:paraId="167E1A1B" w14:textId="77777777" w:rsidR="00B85C0D" w:rsidRPr="005B0C61" w:rsidRDefault="00003AE9" w:rsidP="00D961F9">
      <w:pPr>
        <w:pStyle w:val="3Bodytext"/>
        <w:rPr>
          <w:lang w:eastAsia="en-US"/>
        </w:rPr>
      </w:pPr>
      <w:r w:rsidRPr="005B0C61">
        <w:t xml:space="preserve">This </w:t>
      </w:r>
      <w:r w:rsidR="00D62895" w:rsidRPr="005B0C61">
        <w:t>request fits within the Medicines Australia Strategic Agreement</w:t>
      </w:r>
      <w:r w:rsidR="002C1C79" w:rsidRPr="005B0C61">
        <w:t xml:space="preserve"> (refer para </w:t>
      </w:r>
      <w:r w:rsidRPr="005B0C61">
        <w:t>3.11</w:t>
      </w:r>
      <w:r w:rsidR="002C1C79" w:rsidRPr="005B0C61">
        <w:t>)</w:t>
      </w:r>
      <w:r w:rsidR="00D62895" w:rsidRPr="005B0C61">
        <w:t>.</w:t>
      </w:r>
    </w:p>
    <w:p w14:paraId="7EBC4AE8" w14:textId="77777777" w:rsidR="00441949" w:rsidRPr="005B0C61" w:rsidRDefault="00441949" w:rsidP="00D961F9">
      <w:pPr>
        <w:pStyle w:val="Bodytextitalics"/>
        <w:rPr>
          <w:lang w:eastAsia="en-US"/>
        </w:rPr>
      </w:pPr>
      <w:r w:rsidRPr="005B0C61">
        <w:t>For more detail on PBAC’s view, see section 5 PBAC outcome.</w:t>
      </w:r>
    </w:p>
    <w:p w14:paraId="1892A2F7" w14:textId="77777777" w:rsidR="00822F56" w:rsidRPr="005B0C61" w:rsidRDefault="00822F56" w:rsidP="00D961F9">
      <w:pPr>
        <w:pStyle w:val="2-SectionHeading"/>
      </w:pPr>
      <w:r w:rsidRPr="005B0C61">
        <w:t>Consideration of the evidence</w:t>
      </w:r>
    </w:p>
    <w:p w14:paraId="4C829ACC" w14:textId="77777777" w:rsidR="009F511B" w:rsidRPr="005B0C61" w:rsidRDefault="009F511B" w:rsidP="00822F56">
      <w:pPr>
        <w:pStyle w:val="4-SubsectionHeading"/>
        <w:rPr>
          <w:lang w:eastAsia="en-US"/>
        </w:rPr>
      </w:pPr>
      <w:r w:rsidRPr="005B0C61">
        <w:rPr>
          <w:lang w:eastAsia="en-US"/>
        </w:rPr>
        <w:t>Sponsor hearing</w:t>
      </w:r>
    </w:p>
    <w:p w14:paraId="49795F5F" w14:textId="77777777" w:rsidR="009F511B" w:rsidRPr="005B0C61" w:rsidRDefault="00536E42" w:rsidP="00D961F9">
      <w:pPr>
        <w:pStyle w:val="3Bodytext"/>
      </w:pPr>
      <w:r w:rsidRPr="005B0C61">
        <w:t xml:space="preserve">There was no hearing for this item as it was a minor submission. </w:t>
      </w:r>
    </w:p>
    <w:p w14:paraId="504CA27E" w14:textId="77777777" w:rsidR="009F511B" w:rsidRPr="005B0C61" w:rsidRDefault="009F511B" w:rsidP="009F511B">
      <w:pPr>
        <w:pStyle w:val="4-SubsectionHeading"/>
        <w:rPr>
          <w:lang w:eastAsia="en-US"/>
        </w:rPr>
      </w:pPr>
      <w:r w:rsidRPr="005B0C61">
        <w:rPr>
          <w:lang w:eastAsia="en-US"/>
        </w:rPr>
        <w:t xml:space="preserve">Consumer comments </w:t>
      </w:r>
    </w:p>
    <w:p w14:paraId="27029397" w14:textId="77777777" w:rsidR="009F511B" w:rsidRPr="005B0C61" w:rsidRDefault="00B1269E" w:rsidP="00D961F9">
      <w:pPr>
        <w:pStyle w:val="3Bodytext"/>
      </w:pPr>
      <w:r w:rsidRPr="005B0C61">
        <w:t xml:space="preserve">The </w:t>
      </w:r>
      <w:r w:rsidRPr="00D961F9">
        <w:t>PBAC</w:t>
      </w:r>
      <w:r w:rsidRPr="005B0C61">
        <w:t xml:space="preserve"> noted and welcomed the input from organisations (1) via the </w:t>
      </w:r>
      <w:r w:rsidR="004A64AE" w:rsidRPr="005B0C61">
        <w:t xml:space="preserve">Consumer Comments facility on the PBS website. The comments </w:t>
      </w:r>
      <w:r w:rsidR="00003AE9" w:rsidRPr="005B0C61">
        <w:t xml:space="preserve">from Crohn’s and Colitis Australia </w:t>
      </w:r>
      <w:r w:rsidR="004A64AE" w:rsidRPr="005B0C61">
        <w:t xml:space="preserve">described </w:t>
      </w:r>
      <w:r w:rsidR="00305E73" w:rsidRPr="005B0C61">
        <w:t>a range of benefits of listing an</w:t>
      </w:r>
      <w:r w:rsidR="004A64AE" w:rsidRPr="005B0C61">
        <w:t xml:space="preserve"> adalimumab </w:t>
      </w:r>
      <w:r w:rsidR="00305E73" w:rsidRPr="005B0C61">
        <w:t>biosimilar inc</w:t>
      </w:r>
      <w:r w:rsidR="00F531C7" w:rsidRPr="005B0C61">
        <w:t>luding flexibility for consumer</w:t>
      </w:r>
      <w:r w:rsidR="00852640" w:rsidRPr="005B0C61">
        <w:t>s</w:t>
      </w:r>
      <w:r w:rsidR="00305E73" w:rsidRPr="005B0C61">
        <w:t xml:space="preserve">. </w:t>
      </w:r>
    </w:p>
    <w:p w14:paraId="28E4DD33" w14:textId="77777777" w:rsidR="00822F56" w:rsidRPr="005B0C61" w:rsidRDefault="00822F56" w:rsidP="00822F56">
      <w:pPr>
        <w:pStyle w:val="4-SubsectionHeading"/>
        <w:rPr>
          <w:lang w:eastAsia="en-US"/>
        </w:rPr>
      </w:pPr>
      <w:r w:rsidRPr="005B0C61">
        <w:rPr>
          <w:lang w:eastAsia="en-US"/>
        </w:rPr>
        <w:t>Financial implications</w:t>
      </w:r>
    </w:p>
    <w:p w14:paraId="6F06C318" w14:textId="77777777" w:rsidR="000E2EFD" w:rsidRPr="005B0C61" w:rsidRDefault="000E2EFD" w:rsidP="00D961F9">
      <w:pPr>
        <w:pStyle w:val="3Bodytext"/>
        <w:rPr>
          <w:lang w:eastAsia="en-US"/>
        </w:rPr>
      </w:pPr>
      <w:r w:rsidRPr="005B0C61">
        <w:rPr>
          <w:lang w:eastAsia="en-US"/>
        </w:rPr>
        <w:t>The submission modelled the financial impact of the requested changes to three drugs: adalimumab, etanercept and infliximab.</w:t>
      </w:r>
    </w:p>
    <w:p w14:paraId="71775A30" w14:textId="77777777" w:rsidR="000E2EFD" w:rsidRPr="005B0C61" w:rsidRDefault="000E2EFD" w:rsidP="00D961F9">
      <w:pPr>
        <w:pStyle w:val="3Bodytext"/>
        <w:rPr>
          <w:lang w:eastAsia="en-US"/>
        </w:rPr>
      </w:pPr>
      <w:r w:rsidRPr="005B0C61">
        <w:rPr>
          <w:lang w:eastAsia="en-US"/>
        </w:rPr>
        <w:t>The submission’s model used PBS expenditure information derived from publicly available Medicare statistics, and applied historical growth rates to estimate ongoing PBS costs. The submission claimed that the model predict</w:t>
      </w:r>
      <w:r w:rsidR="00003AE9" w:rsidRPr="005B0C61">
        <w:rPr>
          <w:lang w:eastAsia="en-US"/>
        </w:rPr>
        <w:t>ed</w:t>
      </w:r>
      <w:r w:rsidRPr="005B0C61">
        <w:rPr>
          <w:lang w:eastAsia="en-US"/>
        </w:rPr>
        <w:t xml:space="preserve"> the cost reductions that would flow on to the PBS through the operation of existing statutory price reductions and price disclosure mechanisms.</w:t>
      </w:r>
    </w:p>
    <w:p w14:paraId="0ACBE7FD" w14:textId="0E59780F" w:rsidR="000E2EFD" w:rsidRPr="005B0C61" w:rsidRDefault="000E2EFD" w:rsidP="00D961F9">
      <w:pPr>
        <w:pStyle w:val="3Bodytext"/>
        <w:rPr>
          <w:lang w:eastAsia="en-US"/>
        </w:rPr>
      </w:pPr>
      <w:r w:rsidRPr="005B0C61">
        <w:rPr>
          <w:lang w:eastAsia="en-US"/>
        </w:rPr>
        <w:t xml:space="preserve">The submission estimated </w:t>
      </w:r>
      <w:r w:rsidR="00254BE3">
        <w:rPr>
          <w:lang w:eastAsia="en-US"/>
        </w:rPr>
        <w:t>$500 million to &lt; $600 million</w:t>
      </w:r>
      <w:r w:rsidRPr="005B0C61">
        <w:rPr>
          <w:lang w:eastAsia="en-US"/>
        </w:rPr>
        <w:t xml:space="preserve"> in savings </w:t>
      </w:r>
      <w:proofErr w:type="gramStart"/>
      <w:r w:rsidRPr="005B0C61">
        <w:rPr>
          <w:lang w:eastAsia="en-US"/>
        </w:rPr>
        <w:t>between 2021–2030 (inclusive)</w:t>
      </w:r>
      <w:proofErr w:type="gramEnd"/>
      <w:r w:rsidRPr="005B0C61">
        <w:rPr>
          <w:lang w:eastAsia="en-US"/>
        </w:rPr>
        <w:t xml:space="preserve">. The submission estimated an average of </w:t>
      </w:r>
      <w:r w:rsidR="00254BE3">
        <w:rPr>
          <w:lang w:eastAsia="en-US"/>
        </w:rPr>
        <w:t>$20 million to &lt; $30 million</w:t>
      </w:r>
      <w:r w:rsidR="003D041C">
        <w:rPr>
          <w:lang w:eastAsia="en-US"/>
        </w:rPr>
        <w:t xml:space="preserve"> </w:t>
      </w:r>
      <w:r w:rsidRPr="005B0C61">
        <w:rPr>
          <w:lang w:eastAsia="en-US"/>
        </w:rPr>
        <w:t xml:space="preserve">in cost reductions each year in the first 5 years. The submission claimed that adalimumab would account for 61% of the expected reductions. The </w:t>
      </w:r>
      <w:r w:rsidR="00E56360" w:rsidRPr="005B0C61">
        <w:rPr>
          <w:lang w:eastAsia="en-US"/>
        </w:rPr>
        <w:t xml:space="preserve">Department </w:t>
      </w:r>
      <w:r w:rsidR="00003AE9" w:rsidRPr="005B0C61">
        <w:rPr>
          <w:lang w:eastAsia="en-US"/>
        </w:rPr>
        <w:t>was</w:t>
      </w:r>
      <w:r w:rsidR="00E56360" w:rsidRPr="005B0C61">
        <w:rPr>
          <w:lang w:eastAsia="en-US"/>
        </w:rPr>
        <w:t xml:space="preserve"> unable to validate the model’s assumptions and estimates. </w:t>
      </w:r>
    </w:p>
    <w:p w14:paraId="4B8F94D3" w14:textId="77777777" w:rsidR="000E2EFD" w:rsidRPr="005B0C61" w:rsidRDefault="000E2EFD" w:rsidP="00D961F9">
      <w:pPr>
        <w:pStyle w:val="3Bodytext"/>
        <w:rPr>
          <w:lang w:eastAsia="en-US"/>
        </w:rPr>
      </w:pPr>
      <w:r w:rsidRPr="005B0C61">
        <w:rPr>
          <w:lang w:eastAsia="en-US"/>
        </w:rPr>
        <w:t>As a minor submission, the financial estimates have not been independently evaluated</w:t>
      </w:r>
      <w:r w:rsidR="00E56360" w:rsidRPr="005B0C61">
        <w:rPr>
          <w:lang w:eastAsia="en-US"/>
        </w:rPr>
        <w:t>.</w:t>
      </w:r>
    </w:p>
    <w:p w14:paraId="5E4D3A2B" w14:textId="77777777" w:rsidR="00E669A5" w:rsidRPr="005B0C61" w:rsidRDefault="00E669A5" w:rsidP="00F531C7">
      <w:pPr>
        <w:pStyle w:val="2-SectionHeading"/>
      </w:pPr>
      <w:r w:rsidRPr="005B0C61">
        <w:lastRenderedPageBreak/>
        <w:t>PBAC Outcome</w:t>
      </w:r>
    </w:p>
    <w:p w14:paraId="53BD6374" w14:textId="77777777" w:rsidR="00E669A5" w:rsidRPr="00E90497" w:rsidRDefault="00F44A0A" w:rsidP="00D961F9">
      <w:pPr>
        <w:pStyle w:val="3Bodytext"/>
      </w:pPr>
      <w:r w:rsidRPr="00E90497">
        <w:t xml:space="preserve">The PBAC deferred its consideration of the requested </w:t>
      </w:r>
      <w:r w:rsidR="00536547" w:rsidRPr="00E90497">
        <w:t xml:space="preserve">biosimilar uptake drivers for adalimumab (Hadlima) on the basis that </w:t>
      </w:r>
      <w:r w:rsidR="00B37CA5" w:rsidRPr="00E90497">
        <w:t xml:space="preserve">these matters had potentially broader biosimilar policy implications and </w:t>
      </w:r>
      <w:r w:rsidR="0041394C" w:rsidRPr="00E90497">
        <w:t>re</w:t>
      </w:r>
      <w:r w:rsidR="00E235FC" w:rsidRPr="00E90497">
        <w:t>quired further discussions between the Department and relevant stakeholders</w:t>
      </w:r>
      <w:r w:rsidR="0041394C" w:rsidRPr="00E90497">
        <w:t xml:space="preserve"> to ensure</w:t>
      </w:r>
      <w:r w:rsidR="000F510F" w:rsidRPr="00E90497">
        <w:t xml:space="preserve"> appropriate consideration of the proposed uptake drivers</w:t>
      </w:r>
      <w:r w:rsidR="0041394C" w:rsidRPr="00E90497">
        <w:t xml:space="preserve">. </w:t>
      </w:r>
    </w:p>
    <w:p w14:paraId="239D3F32" w14:textId="77777777" w:rsidR="00E669A5" w:rsidRPr="00E90497" w:rsidRDefault="0041394C" w:rsidP="00D961F9">
      <w:pPr>
        <w:pStyle w:val="3Bodytext"/>
      </w:pPr>
      <w:r w:rsidRPr="00E90497">
        <w:t xml:space="preserve">The PBAC noted that </w:t>
      </w:r>
      <w:r w:rsidR="00910E90" w:rsidRPr="00E90497">
        <w:t xml:space="preserve">recent </w:t>
      </w:r>
      <w:r w:rsidRPr="00E90497">
        <w:t xml:space="preserve">data </w:t>
      </w:r>
      <w:r w:rsidR="00003AE9" w:rsidRPr="00E90497">
        <w:t>showed</w:t>
      </w:r>
      <w:r w:rsidRPr="00E90497">
        <w:t xml:space="preserve"> that </w:t>
      </w:r>
      <w:r w:rsidR="002F6577">
        <w:t>market share of PBS listed biosimilars had increased since the implementation of</w:t>
      </w:r>
      <w:r w:rsidR="00E90497">
        <w:t xml:space="preserve"> </w:t>
      </w:r>
      <w:r w:rsidR="00113229">
        <w:t xml:space="preserve">biosimilar </w:t>
      </w:r>
      <w:r w:rsidRPr="00E90497">
        <w:t>uptake</w:t>
      </w:r>
      <w:r w:rsidR="000F510F" w:rsidRPr="00E90497">
        <w:t xml:space="preserve"> drivers. </w:t>
      </w:r>
    </w:p>
    <w:p w14:paraId="628E23C6" w14:textId="4E5493BE" w:rsidR="00404DAD" w:rsidRPr="005B0C61" w:rsidRDefault="00003AE9" w:rsidP="00D961F9">
      <w:pPr>
        <w:pStyle w:val="3Bodytext"/>
        <w:rPr>
          <w:lang w:eastAsia="en-US"/>
        </w:rPr>
      </w:pPr>
      <w:r w:rsidRPr="00E90497">
        <w:t>The</w:t>
      </w:r>
      <w:r w:rsidR="000F2FCD" w:rsidRPr="00E90497">
        <w:t xml:space="preserve"> PBAC noted that </w:t>
      </w:r>
      <w:r w:rsidR="008B234C" w:rsidRPr="00E90497">
        <w:t xml:space="preserve">the request for treatment failure exemption </w:t>
      </w:r>
      <w:r w:rsidRPr="00E90497">
        <w:t>fell</w:t>
      </w:r>
      <w:r w:rsidR="000F2FCD" w:rsidRPr="00E90497">
        <w:t xml:space="preserve"> outside of the biosimilar uptake measures described in the Medicines Australia Strategic Agreement and would require further consideration by the Joint Oversight Committee</w:t>
      </w:r>
      <w:r w:rsidR="005B0C61">
        <w:t>.</w:t>
      </w:r>
      <w:r w:rsidR="003D041C">
        <w:t xml:space="preserve"> </w:t>
      </w:r>
    </w:p>
    <w:p w14:paraId="01FF4F21" w14:textId="77777777" w:rsidR="00003AE9" w:rsidRPr="005B0C61" w:rsidRDefault="005A01EA" w:rsidP="00D961F9">
      <w:pPr>
        <w:pStyle w:val="3Bodytext"/>
        <w:rPr>
          <w:lang w:eastAsia="en-US"/>
        </w:rPr>
      </w:pPr>
      <w:r w:rsidRPr="00E90497">
        <w:t xml:space="preserve">The PBAC considered that </w:t>
      </w:r>
      <w:r w:rsidR="00003AE9" w:rsidRPr="00E90497">
        <w:t>the requested</w:t>
      </w:r>
      <w:r w:rsidRPr="00E90497">
        <w:t xml:space="preserve"> Authority Required (Telephone) </w:t>
      </w:r>
      <w:r w:rsidR="00003AE9" w:rsidRPr="00E90497">
        <w:t xml:space="preserve">for initial prescriptions </w:t>
      </w:r>
      <w:r w:rsidR="00F02DC0" w:rsidRPr="00E90497">
        <w:t>may be difficult to implement and time consuming for prescribers</w:t>
      </w:r>
      <w:r w:rsidR="00297294">
        <w:t>;</w:t>
      </w:r>
      <w:r w:rsidR="00F02DC0" w:rsidRPr="00E90497">
        <w:t xml:space="preserve"> Authority Required (Electronic) may be a preferred option. </w:t>
      </w:r>
      <w:r w:rsidRPr="00E90497">
        <w:t xml:space="preserve">The PBAC considered that the </w:t>
      </w:r>
      <w:r w:rsidR="00404DAD" w:rsidRPr="00E90497">
        <w:t xml:space="preserve">implementation of the </w:t>
      </w:r>
      <w:r w:rsidRPr="00E90497">
        <w:t>lowering of authority levels should be discussed with Services Australia pri</w:t>
      </w:r>
      <w:r w:rsidR="00404DAD" w:rsidRPr="00E90497">
        <w:t xml:space="preserve">or to further consideration. </w:t>
      </w:r>
    </w:p>
    <w:p w14:paraId="3A8B638E" w14:textId="77777777" w:rsidR="00DA1F15" w:rsidRPr="005B0C61" w:rsidRDefault="00DA1F15" w:rsidP="00D961F9">
      <w:pPr>
        <w:pStyle w:val="3Bodytext"/>
        <w:rPr>
          <w:lang w:eastAsia="en-US"/>
        </w:rPr>
      </w:pPr>
      <w:r w:rsidRPr="00E90497">
        <w:t>The PBAC considered that any changes to Hadlima should be flowed on to other biosimilar brands of adalimumab.</w:t>
      </w:r>
    </w:p>
    <w:p w14:paraId="10770BC5" w14:textId="77777777" w:rsidR="00E669A5" w:rsidRPr="00E90497" w:rsidRDefault="00E669A5" w:rsidP="00E669A5">
      <w:pPr>
        <w:spacing w:before="240"/>
        <w:rPr>
          <w:rFonts w:asciiTheme="minorHAnsi" w:hAnsiTheme="minorHAnsi" w:cs="Arial"/>
          <w:b/>
          <w:bCs/>
          <w:snapToGrid w:val="0"/>
        </w:rPr>
      </w:pPr>
      <w:r w:rsidRPr="00E90497">
        <w:rPr>
          <w:rFonts w:asciiTheme="minorHAnsi" w:hAnsiTheme="minorHAnsi" w:cs="Arial"/>
          <w:b/>
          <w:bCs/>
          <w:snapToGrid w:val="0"/>
        </w:rPr>
        <w:t>Outcome:</w:t>
      </w:r>
    </w:p>
    <w:p w14:paraId="420B2C21" w14:textId="77777777" w:rsidR="004B2E98" w:rsidRDefault="006631EF" w:rsidP="0009573A">
      <w:pPr>
        <w:rPr>
          <w:rFonts w:asciiTheme="minorHAnsi" w:hAnsiTheme="minorHAnsi" w:cs="Arial"/>
          <w:bCs/>
          <w:snapToGrid w:val="0"/>
        </w:rPr>
      </w:pPr>
      <w:r w:rsidRPr="00E90497">
        <w:rPr>
          <w:rFonts w:asciiTheme="minorHAnsi" w:hAnsiTheme="minorHAnsi" w:cs="Arial"/>
          <w:bCs/>
          <w:snapToGrid w:val="0"/>
        </w:rPr>
        <w:t>Deferred</w:t>
      </w:r>
    </w:p>
    <w:p w14:paraId="41A8C43B" w14:textId="77777777" w:rsidR="00254BE3" w:rsidRDefault="00254BE3" w:rsidP="0009573A">
      <w:pPr>
        <w:rPr>
          <w:rFonts w:asciiTheme="minorHAnsi" w:hAnsiTheme="minorHAnsi" w:cs="Arial"/>
          <w:bCs/>
          <w:snapToGrid w:val="0"/>
        </w:rPr>
      </w:pPr>
    </w:p>
    <w:p w14:paraId="027CE7E6" w14:textId="77777777" w:rsidR="00254BE3" w:rsidRDefault="00254BE3" w:rsidP="00254BE3">
      <w:pPr>
        <w:pStyle w:val="2-SectionHeading"/>
        <w:rPr>
          <w:bCs/>
          <w:lang w:val="en-GB"/>
        </w:rPr>
      </w:pPr>
      <w:r w:rsidRPr="00C07617">
        <w:t>Context for Decision</w:t>
      </w:r>
    </w:p>
    <w:p w14:paraId="0CD91B94" w14:textId="77777777" w:rsidR="00254BE3" w:rsidRPr="007129F2" w:rsidRDefault="00254BE3" w:rsidP="00254BE3">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9DD740F" w14:textId="48BB1406" w:rsidR="00254BE3" w:rsidRPr="007135C5" w:rsidRDefault="00254BE3" w:rsidP="00254BE3">
      <w:pPr>
        <w:pStyle w:val="2-SectionHeading"/>
      </w:pPr>
      <w:r>
        <w:t>Sponsor’s Comment</w:t>
      </w:r>
    </w:p>
    <w:p w14:paraId="2FBA3514" w14:textId="47F05F7A" w:rsidR="00AD0F6C" w:rsidRDefault="00AD0F6C" w:rsidP="00254BE3">
      <w:pPr>
        <w:spacing w:after="120"/>
        <w:rPr>
          <w:rFonts w:asciiTheme="minorHAnsi" w:hAnsiTheme="minorHAnsi" w:cs="Arial"/>
          <w:bCs/>
        </w:rPr>
      </w:pPr>
      <w:r>
        <w:rPr>
          <w:rFonts w:asciiTheme="minorHAnsi" w:hAnsiTheme="minorHAnsi" w:cs="Arial"/>
          <w:bCs/>
        </w:rPr>
        <w:t>M</w:t>
      </w:r>
      <w:r w:rsidRPr="006D3A8B">
        <w:rPr>
          <w:rFonts w:asciiTheme="minorHAnsi" w:hAnsiTheme="minorHAnsi" w:cs="Arial"/>
          <w:bCs/>
        </w:rPr>
        <w:t xml:space="preserve">SD is disappointed the PBAC has once again deferred consideration of additional biosimilar uptake drivers to support patient and clinician use of biosimilars in line with government policy. We acknowledge the PBAC has reiterated its request for additional consultation between the Department and relevant stakeholders, which should take place as soon as possible. We remain ready to assist in these discussions to progress MSD’s proposal and its </w:t>
      </w:r>
      <w:r w:rsidRPr="006D3A8B">
        <w:rPr>
          <w:rFonts w:asciiTheme="minorHAnsi" w:hAnsiTheme="minorHAnsi" w:cs="Arial"/>
          <w:bCs/>
        </w:rPr>
        <w:lastRenderedPageBreak/>
        <w:t>implementation. This will ensure patients and the health system benefit from the savings generated by the uptake of biosimilars in a timely manner.</w:t>
      </w:r>
    </w:p>
    <w:p w14:paraId="624FFAA5" w14:textId="783752A6" w:rsidR="007135C5" w:rsidRDefault="00DD1949" w:rsidP="00DD1949">
      <w:pPr>
        <w:jc w:val="left"/>
        <w:rPr>
          <w:rFonts w:asciiTheme="minorHAnsi" w:hAnsiTheme="minorHAnsi" w:cs="Arial"/>
          <w:bCs/>
        </w:rPr>
      </w:pPr>
      <w:r>
        <w:rPr>
          <w:rFonts w:asciiTheme="minorHAnsi" w:hAnsiTheme="minorHAnsi" w:cs="Arial"/>
          <w:bCs/>
        </w:rPr>
        <w:br w:type="page"/>
      </w:r>
    </w:p>
    <w:p w14:paraId="3823444E" w14:textId="058EDE06" w:rsidR="007135C5" w:rsidRDefault="007135C5" w:rsidP="00254BE3">
      <w:pPr>
        <w:spacing w:after="120"/>
        <w:rPr>
          <w:rFonts w:asciiTheme="minorHAnsi" w:hAnsiTheme="minorHAnsi" w:cs="Arial"/>
          <w:b/>
          <w:bCs/>
          <w:snapToGrid w:val="0"/>
          <w:color w:val="FF0000"/>
          <w:sz w:val="28"/>
          <w:szCs w:val="28"/>
        </w:rPr>
      </w:pPr>
      <w:r>
        <w:rPr>
          <w:rFonts w:asciiTheme="minorHAnsi" w:hAnsiTheme="minorHAnsi" w:cs="Arial"/>
          <w:b/>
          <w:bCs/>
          <w:snapToGrid w:val="0"/>
          <w:color w:val="FF0000"/>
          <w:sz w:val="28"/>
          <w:szCs w:val="28"/>
        </w:rPr>
        <w:lastRenderedPageBreak/>
        <w:t>Addendum to the November 2020 PBAC Minutes:</w:t>
      </w:r>
    </w:p>
    <w:p w14:paraId="54E850D0" w14:textId="0A655F00" w:rsidR="009A0FFC" w:rsidRPr="009A0FFC" w:rsidRDefault="009A0FFC" w:rsidP="009A0FFC">
      <w:pPr>
        <w:pStyle w:val="1MainTitle"/>
        <w:jc w:val="left"/>
        <w:rPr>
          <w:rFonts w:eastAsia="Calibri"/>
          <w:lang w:eastAsia="en-US"/>
        </w:rPr>
      </w:pPr>
      <w:r>
        <w:rPr>
          <w:rFonts w:eastAsia="Calibri"/>
          <w:lang w:eastAsia="en-US"/>
        </w:rPr>
        <w:t>4.03</w:t>
      </w:r>
      <w:r w:rsidRPr="005B0C61">
        <w:rPr>
          <w:rFonts w:eastAsia="Calibri"/>
          <w:lang w:eastAsia="en-US"/>
        </w:rPr>
        <w:tab/>
        <w:t xml:space="preserve">ADALIMUMAB, </w:t>
      </w:r>
      <w:r w:rsidRPr="005B0C61">
        <w:rPr>
          <w:rFonts w:eastAsia="Calibri"/>
          <w:lang w:eastAsia="en-US"/>
        </w:rPr>
        <w:br/>
        <w:t xml:space="preserve">Injection 40 mg pre-filled syringe, </w:t>
      </w:r>
      <w:r w:rsidRPr="005B0C61">
        <w:rPr>
          <w:rFonts w:eastAsia="Calibri"/>
          <w:lang w:eastAsia="en-US"/>
        </w:rPr>
        <w:br/>
        <w:t xml:space="preserve">Injection 40 mg auto-injector, </w:t>
      </w:r>
      <w:r w:rsidRPr="005B0C61">
        <w:rPr>
          <w:rFonts w:eastAsia="Calibri"/>
          <w:lang w:eastAsia="en-US"/>
        </w:rPr>
        <w:br/>
        <w:t>Hadlima</w:t>
      </w:r>
      <w:r w:rsidRPr="005B0C61">
        <w:rPr>
          <w:rFonts w:eastAsia="Calibri" w:cstheme="minorHAnsi"/>
          <w:lang w:eastAsia="en-US"/>
        </w:rPr>
        <w:t>®</w:t>
      </w:r>
      <w:r w:rsidRPr="005B0C61">
        <w:rPr>
          <w:rFonts w:eastAsia="Calibri"/>
          <w:lang w:eastAsia="en-US"/>
        </w:rPr>
        <w:t xml:space="preserve">, </w:t>
      </w:r>
      <w:r w:rsidRPr="005B0C61">
        <w:rPr>
          <w:rFonts w:eastAsia="Calibri"/>
          <w:lang w:eastAsia="en-US"/>
        </w:rPr>
        <w:br/>
        <w:t xml:space="preserve">Merck, Sharp &amp; Dohme (Australia) Pty Ltd </w:t>
      </w:r>
    </w:p>
    <w:p w14:paraId="3E835EDD" w14:textId="77777777" w:rsidR="007135C5" w:rsidRDefault="007135C5" w:rsidP="007135C5">
      <w:pPr>
        <w:pStyle w:val="2-SectionHeading"/>
        <w:numPr>
          <w:ilvl w:val="0"/>
          <w:numId w:val="1"/>
        </w:numPr>
      </w:pPr>
      <w:r>
        <w:t xml:space="preserve">Background </w:t>
      </w:r>
    </w:p>
    <w:p w14:paraId="50DB13C9" w14:textId="77777777" w:rsidR="007135C5" w:rsidRDefault="007135C5" w:rsidP="007135C5">
      <w:pPr>
        <w:pStyle w:val="3Bodytext"/>
      </w:pPr>
      <w:r>
        <w:t>At its November 2020 meeting, the PBAC deferred making a recommendation regarding</w:t>
      </w:r>
      <w:r w:rsidRPr="00E90497">
        <w:t xml:space="preserve"> the requested biosimilar uptake drivers for adalimumab (Hadlima) on the basis that these matters had potentially broader biosimilar policy implications and required further discussions </w:t>
      </w:r>
      <w:r w:rsidRPr="00694212">
        <w:t>between the Department and</w:t>
      </w:r>
      <w:r w:rsidRPr="00E90497">
        <w:t xml:space="preserve"> relevant stakeholders to ensure appropriate consideration of the proposed uptake drivers.</w:t>
      </w:r>
    </w:p>
    <w:p w14:paraId="7F92D524" w14:textId="77777777" w:rsidR="007135C5" w:rsidRPr="00A07682" w:rsidRDefault="007135C5" w:rsidP="007135C5">
      <w:pPr>
        <w:pStyle w:val="3Bodytext"/>
        <w:rPr>
          <w:b/>
        </w:rPr>
      </w:pPr>
      <w:r>
        <w:t xml:space="preserve">The PBAC noted that, at present, prescribers can use the Online PBS Authorities (OPA) system on Health Professional Online Services (HPOS) to self-serve for authority approval of Authority Required (Telephone/electronic) items. Prescribers receive a real time ‘immediate’ assessment response to these requests and the patient can leave with the prescription. </w:t>
      </w:r>
    </w:p>
    <w:p w14:paraId="3F07BF16" w14:textId="77777777" w:rsidR="007135C5" w:rsidRDefault="007135C5" w:rsidP="007135C5">
      <w:pPr>
        <w:pStyle w:val="2-SectionHeading"/>
        <w:numPr>
          <w:ilvl w:val="0"/>
          <w:numId w:val="1"/>
        </w:numPr>
      </w:pPr>
      <w:r>
        <w:t xml:space="preserve">PBAC Outcome </w:t>
      </w:r>
    </w:p>
    <w:p w14:paraId="273A9652" w14:textId="77777777" w:rsidR="007135C5" w:rsidRPr="00596E3A" w:rsidRDefault="007135C5" w:rsidP="007135C5">
      <w:pPr>
        <w:pStyle w:val="3Bodytext"/>
      </w:pPr>
      <w:r>
        <w:t>The PBAC did not recommend changing the authority levels for Hadlima from Authority Required (Written) to Authority Required (Telephone) for initial prescribing, and from Authority Required (Telephone) to Authority Required (STREAMLINED) for first continuing prescribing. For initial prescribing, t</w:t>
      </w:r>
      <w:r w:rsidRPr="00596E3A">
        <w:t xml:space="preserve">he PBAC considered that a full assessment (written) is appropriate for Hadlima on the basis that the restrictions are complex and require prescribers to provide detailed clinical information to support the relevant PBS authority application. </w:t>
      </w:r>
      <w:r>
        <w:t>With a telephone authority, the PBAC considered it may be difficult and time consuming for Services Australia administrators to ensure that the specific entry criteria are explicitly addressed.</w:t>
      </w:r>
    </w:p>
    <w:p w14:paraId="0DA58DC7" w14:textId="77777777" w:rsidR="007135C5" w:rsidRPr="00694212" w:rsidRDefault="007135C5" w:rsidP="007135C5">
      <w:pPr>
        <w:pStyle w:val="3Bodytext"/>
      </w:pPr>
      <w:r w:rsidRPr="00694212">
        <w:t>The PBAC acknowledged that the Government is committed to promoting the greater use of biosimilar medicines in Australia and will support the introduction of measures that improve the uptake of biosimilar medicines as recommended by the Committee on a case-by-case basis. The PBAC noted that the Department is working with Services Australia to assess the requirements of PBS items which require paper</w:t>
      </w:r>
      <w:r>
        <w:t xml:space="preserve"> based evidence (such as Hadlima</w:t>
      </w:r>
      <w:r w:rsidRPr="00694212">
        <w:t>) and will seek the PBAC’s advice for change where appropriate.</w:t>
      </w:r>
    </w:p>
    <w:p w14:paraId="233CB16F" w14:textId="77777777" w:rsidR="007135C5" w:rsidRPr="00644E15" w:rsidRDefault="007135C5" w:rsidP="007135C5">
      <w:pPr>
        <w:pStyle w:val="3Bodytext"/>
      </w:pPr>
      <w:r>
        <w:t xml:space="preserve">For </w:t>
      </w:r>
      <w:r w:rsidRPr="002661AC">
        <w:t>bDMARD/</w:t>
      </w:r>
      <w:r>
        <w:t xml:space="preserve">biologic-naïve patients, the PBAC noted the sponsor’s request for having </w:t>
      </w:r>
      <w:r w:rsidRPr="002661AC">
        <w:t>the use of a biosimilar in the first instance</w:t>
      </w:r>
      <w:r>
        <w:t xml:space="preserve"> not </w:t>
      </w:r>
      <w:r w:rsidRPr="002661AC">
        <w:t xml:space="preserve">count as a treatment failure as part of </w:t>
      </w:r>
      <w:r w:rsidRPr="002661AC">
        <w:lastRenderedPageBreak/>
        <w:t xml:space="preserve">a treatment cycle, as one of five agents in RA or three agents in AS, </w:t>
      </w:r>
      <w:proofErr w:type="spellStart"/>
      <w:r w:rsidRPr="002661AC">
        <w:t>PsA</w:t>
      </w:r>
      <w:proofErr w:type="spellEnd"/>
      <w:r w:rsidRPr="002661AC">
        <w:t xml:space="preserve"> or</w:t>
      </w:r>
      <w:r>
        <w:t xml:space="preserve"> </w:t>
      </w:r>
      <w:r w:rsidRPr="002661AC">
        <w:t>CPP</w:t>
      </w:r>
      <w:r>
        <w:t xml:space="preserve">. The PBAC reiterated that this request fell outside of the biosimilar uptake measures as agreed under the Strategic Agreements with Medicines Australia (the Strategic Agreements) and acknowledged by GBMA, and would require further consideration by these stakeholders, as well as the Joint Oversight Committee (composed of Department of Health and Medicines Australia representatives) established under the Medicines Australia Strategic Agreement. The PBAC also noted that the pre-PBAC response (p2) stated that, if a patient failed treatment on the biosimilar, they would no longer be eligible for that drug (as per the current restriction which disallows retrial with the same drug). The PBAC did not support this request on the basis that a biosimilar medicine is a highly similar version of a reference biological medicine and contemporary clinical evidence does not support that the biosimilar be exempt from the treatment failure rule. </w:t>
      </w:r>
    </w:p>
    <w:p w14:paraId="6A6FB442" w14:textId="77777777" w:rsidR="007135C5" w:rsidRDefault="007135C5" w:rsidP="007135C5">
      <w:pPr>
        <w:pStyle w:val="4Bodytextnumbered"/>
        <w:ind w:left="0" w:firstLine="0"/>
        <w:rPr>
          <w:snapToGrid w:val="0"/>
        </w:rPr>
      </w:pPr>
      <w:r>
        <w:rPr>
          <w:snapToGrid w:val="0"/>
        </w:rPr>
        <w:br/>
      </w:r>
      <w:r w:rsidRPr="004776A3">
        <w:rPr>
          <w:b/>
          <w:snapToGrid w:val="0"/>
        </w:rPr>
        <w:t>Outcome:</w:t>
      </w:r>
      <w:r>
        <w:rPr>
          <w:snapToGrid w:val="0"/>
        </w:rPr>
        <w:t xml:space="preserve"> </w:t>
      </w:r>
      <w:r>
        <w:rPr>
          <w:snapToGrid w:val="0"/>
        </w:rPr>
        <w:br/>
        <w:t xml:space="preserve">Rejected </w:t>
      </w:r>
      <w:bookmarkStart w:id="3" w:name="_GoBack"/>
      <w:bookmarkEnd w:id="3"/>
    </w:p>
    <w:p w14:paraId="5A632603" w14:textId="77777777" w:rsidR="007135C5" w:rsidRDefault="007135C5" w:rsidP="007135C5">
      <w:pPr>
        <w:pStyle w:val="3Bodytext"/>
        <w:numPr>
          <w:ilvl w:val="0"/>
          <w:numId w:val="0"/>
        </w:numPr>
        <w:ind w:left="720" w:hanging="720"/>
      </w:pPr>
    </w:p>
    <w:p w14:paraId="059317DA" w14:textId="77777777" w:rsidR="007135C5" w:rsidRDefault="007135C5" w:rsidP="007135C5">
      <w:pPr>
        <w:pStyle w:val="2-SectionHeading"/>
        <w:rPr>
          <w:bCs/>
          <w:lang w:val="en-GB"/>
        </w:rPr>
      </w:pPr>
      <w:r w:rsidRPr="00C07617">
        <w:t>Context for Decision</w:t>
      </w:r>
    </w:p>
    <w:p w14:paraId="7706B89E" w14:textId="77777777" w:rsidR="007135C5" w:rsidRPr="007129F2" w:rsidRDefault="007135C5" w:rsidP="007135C5">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7E58EF7" w14:textId="77777777" w:rsidR="007135C5" w:rsidRPr="00CD2989" w:rsidRDefault="007135C5" w:rsidP="007135C5">
      <w:pPr>
        <w:pStyle w:val="2-SectionHeading"/>
      </w:pPr>
      <w:r w:rsidRPr="00CD2989">
        <w:t>Sponsor’s Comment</w:t>
      </w:r>
    </w:p>
    <w:p w14:paraId="15930192" w14:textId="7F4FED6A" w:rsidR="00254BE3" w:rsidRPr="002C5F97" w:rsidRDefault="00CD2989" w:rsidP="0009573A">
      <w:pPr>
        <w:rPr>
          <w:rFonts w:asciiTheme="minorHAnsi" w:hAnsiTheme="minorHAnsi" w:cs="Arial"/>
          <w:bCs/>
          <w:snapToGrid w:val="0"/>
        </w:rPr>
      </w:pPr>
      <w:r w:rsidRPr="00CD2989">
        <w:rPr>
          <w:rFonts w:asciiTheme="minorHAnsi" w:hAnsiTheme="minorHAnsi" w:cs="Arial"/>
          <w:bCs/>
          <w:snapToGrid w:val="0"/>
        </w:rPr>
        <w:t>MSD is disappointed the PBAC has rejected additional biosimilar uptake drivers proposed to support patient and clinician use of biosimilars. We remain ready to engage productively in discussions with the government, PBAC and relevant stakeholders to deliver benefits to patients and the health system.</w:t>
      </w:r>
    </w:p>
    <w:sectPr w:rsidR="00254BE3" w:rsidRPr="002C5F97"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6AFD8" w14:textId="77777777" w:rsidR="00B66BA1" w:rsidRDefault="00B66BA1">
      <w:r>
        <w:separator/>
      </w:r>
    </w:p>
    <w:p w14:paraId="2144D01B" w14:textId="77777777" w:rsidR="00B66BA1" w:rsidRDefault="00B66BA1"/>
  </w:endnote>
  <w:endnote w:type="continuationSeparator" w:id="0">
    <w:p w14:paraId="0B7CF9E8" w14:textId="77777777" w:rsidR="00B66BA1" w:rsidRDefault="00B66BA1">
      <w:r>
        <w:continuationSeparator/>
      </w:r>
    </w:p>
    <w:p w14:paraId="548BF91F" w14:textId="77777777" w:rsidR="00B66BA1" w:rsidRDefault="00B66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109AA" w14:paraId="1994E551" w14:textId="77777777" w:rsidTr="005A3173">
      <w:trPr>
        <w:trHeight w:val="151"/>
      </w:trPr>
      <w:tc>
        <w:tcPr>
          <w:tcW w:w="2250" w:type="pct"/>
          <w:tcBorders>
            <w:top w:val="nil"/>
            <w:left w:val="nil"/>
            <w:bottom w:val="single" w:sz="4" w:space="0" w:color="4F81BD"/>
            <w:right w:val="nil"/>
          </w:tcBorders>
        </w:tcPr>
        <w:p w14:paraId="176BEB6F" w14:textId="77777777" w:rsidR="000109AA" w:rsidRPr="005A3173" w:rsidRDefault="000109AA" w:rsidP="005A3173">
          <w:pPr>
            <w:pStyle w:val="Header"/>
            <w:spacing w:line="276" w:lineRule="auto"/>
            <w:rPr>
              <w:rFonts w:eastAsia="MS Gothic"/>
              <w:b/>
              <w:bCs/>
              <w:color w:val="4F81BD"/>
            </w:rPr>
          </w:pPr>
        </w:p>
      </w:tc>
      <w:tc>
        <w:tcPr>
          <w:tcW w:w="500" w:type="pct"/>
          <w:vMerge w:val="restart"/>
          <w:noWrap/>
          <w:vAlign w:val="center"/>
          <w:hideMark/>
        </w:tcPr>
        <w:p w14:paraId="2233B1BB" w14:textId="77777777" w:rsidR="000109AA" w:rsidRPr="005A3173" w:rsidRDefault="000109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4361373" w14:textId="77777777" w:rsidR="000109AA" w:rsidRPr="005A3173" w:rsidRDefault="000109AA" w:rsidP="005A3173">
          <w:pPr>
            <w:pStyle w:val="Header"/>
            <w:spacing w:line="276" w:lineRule="auto"/>
            <w:rPr>
              <w:rFonts w:eastAsia="MS Gothic"/>
              <w:b/>
              <w:bCs/>
              <w:color w:val="4F81BD"/>
            </w:rPr>
          </w:pPr>
        </w:p>
      </w:tc>
    </w:tr>
    <w:tr w:rsidR="000109AA" w14:paraId="19F4884F" w14:textId="77777777" w:rsidTr="005A3173">
      <w:trPr>
        <w:trHeight w:val="150"/>
      </w:trPr>
      <w:tc>
        <w:tcPr>
          <w:tcW w:w="2250" w:type="pct"/>
          <w:tcBorders>
            <w:top w:val="single" w:sz="4" w:space="0" w:color="4F81BD"/>
            <w:left w:val="nil"/>
            <w:bottom w:val="nil"/>
            <w:right w:val="nil"/>
          </w:tcBorders>
        </w:tcPr>
        <w:p w14:paraId="002E134B" w14:textId="77777777" w:rsidR="000109AA" w:rsidRPr="005A3173" w:rsidRDefault="000109AA" w:rsidP="005A3173">
          <w:pPr>
            <w:pStyle w:val="Header"/>
            <w:spacing w:line="276" w:lineRule="auto"/>
            <w:rPr>
              <w:rFonts w:eastAsia="MS Gothic"/>
              <w:b/>
              <w:bCs/>
              <w:color w:val="4F81BD"/>
            </w:rPr>
          </w:pPr>
        </w:p>
      </w:tc>
      <w:tc>
        <w:tcPr>
          <w:tcW w:w="0" w:type="auto"/>
          <w:vMerge/>
          <w:vAlign w:val="center"/>
          <w:hideMark/>
        </w:tcPr>
        <w:p w14:paraId="02A6E6F0" w14:textId="77777777" w:rsidR="000109AA" w:rsidRPr="005A3173" w:rsidRDefault="000109AA" w:rsidP="005A3173">
          <w:pPr>
            <w:rPr>
              <w:color w:val="365F91"/>
              <w:sz w:val="22"/>
              <w:szCs w:val="22"/>
            </w:rPr>
          </w:pPr>
        </w:p>
      </w:tc>
      <w:tc>
        <w:tcPr>
          <w:tcW w:w="2250" w:type="pct"/>
          <w:tcBorders>
            <w:top w:val="single" w:sz="4" w:space="0" w:color="4F81BD"/>
            <w:left w:val="nil"/>
            <w:bottom w:val="nil"/>
            <w:right w:val="nil"/>
          </w:tcBorders>
        </w:tcPr>
        <w:p w14:paraId="57F62BA0" w14:textId="77777777" w:rsidR="000109AA" w:rsidRPr="005A3173" w:rsidRDefault="000109AA" w:rsidP="005A3173">
          <w:pPr>
            <w:pStyle w:val="Header"/>
            <w:spacing w:line="276" w:lineRule="auto"/>
            <w:rPr>
              <w:rFonts w:eastAsia="MS Gothic"/>
              <w:b/>
              <w:bCs/>
              <w:color w:val="4F81BD"/>
            </w:rPr>
          </w:pPr>
        </w:p>
      </w:tc>
    </w:tr>
  </w:tbl>
  <w:p w14:paraId="551E0787" w14:textId="77777777" w:rsidR="000109AA" w:rsidRDefault="000109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3B529" w14:textId="77777777" w:rsidR="000109AA" w:rsidRDefault="000109AA">
    <w:pPr>
      <w:pStyle w:val="Footer"/>
    </w:pPr>
  </w:p>
  <w:p w14:paraId="1B19CE0C" w14:textId="77777777" w:rsidR="000109AA" w:rsidRDefault="000109A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CA458" w14:textId="77777777" w:rsidR="00385A7D" w:rsidRDefault="00385A7D">
    <w:pPr>
      <w:pStyle w:val="Footer"/>
      <w:jc w:val="center"/>
    </w:pPr>
  </w:p>
  <w:p w14:paraId="25E984C9" w14:textId="49848294" w:rsidR="000109AA" w:rsidRPr="00385A7D" w:rsidRDefault="003B02ED" w:rsidP="00385A7D">
    <w:pPr>
      <w:pStyle w:val="Footer"/>
      <w:jc w:val="center"/>
      <w:rPr>
        <w:b/>
      </w:rPr>
    </w:pPr>
    <w:sdt>
      <w:sdtPr>
        <w:rPr>
          <w:b/>
        </w:rPr>
        <w:id w:val="-1489706099"/>
        <w:docPartObj>
          <w:docPartGallery w:val="Page Numbers (Bottom of Page)"/>
          <w:docPartUnique/>
        </w:docPartObj>
      </w:sdtPr>
      <w:sdtEndPr>
        <w:rPr>
          <w:noProof/>
        </w:rPr>
      </w:sdtEndPr>
      <w:sdtContent>
        <w:r w:rsidR="00385A7D" w:rsidRPr="00385A7D">
          <w:rPr>
            <w:b/>
          </w:rPr>
          <w:fldChar w:fldCharType="begin"/>
        </w:r>
        <w:r w:rsidR="00385A7D" w:rsidRPr="00385A7D">
          <w:rPr>
            <w:b/>
          </w:rPr>
          <w:instrText xml:space="preserve"> PAGE   \* MERGEFORMAT </w:instrText>
        </w:r>
        <w:r w:rsidR="00385A7D" w:rsidRPr="00385A7D">
          <w:rPr>
            <w:b/>
          </w:rPr>
          <w:fldChar w:fldCharType="separate"/>
        </w:r>
        <w:r>
          <w:rPr>
            <w:b/>
            <w:noProof/>
          </w:rPr>
          <w:t>1</w:t>
        </w:r>
        <w:r w:rsidR="00385A7D" w:rsidRPr="00385A7D">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0109AA" w14:paraId="3477C438" w14:textId="77777777" w:rsidTr="005A3173">
      <w:trPr>
        <w:trHeight w:val="151"/>
      </w:trPr>
      <w:tc>
        <w:tcPr>
          <w:tcW w:w="2250" w:type="pct"/>
          <w:tcBorders>
            <w:top w:val="nil"/>
            <w:left w:val="nil"/>
            <w:bottom w:val="single" w:sz="4" w:space="0" w:color="4F81BD"/>
            <w:right w:val="nil"/>
          </w:tcBorders>
        </w:tcPr>
        <w:p w14:paraId="76137099" w14:textId="77777777" w:rsidR="000109AA" w:rsidRPr="005A3173" w:rsidRDefault="000109AA" w:rsidP="005A3173">
          <w:pPr>
            <w:pStyle w:val="Header"/>
            <w:spacing w:line="276" w:lineRule="auto"/>
            <w:rPr>
              <w:rFonts w:eastAsia="MS Gothic"/>
              <w:b/>
              <w:bCs/>
              <w:color w:val="4F81BD"/>
            </w:rPr>
          </w:pPr>
        </w:p>
      </w:tc>
      <w:tc>
        <w:tcPr>
          <w:tcW w:w="500" w:type="pct"/>
          <w:vMerge w:val="restart"/>
          <w:noWrap/>
          <w:vAlign w:val="center"/>
          <w:hideMark/>
        </w:tcPr>
        <w:p w14:paraId="62D386A1" w14:textId="77777777" w:rsidR="000109AA" w:rsidRPr="005A3173" w:rsidRDefault="000109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E0C1CD" w14:textId="77777777" w:rsidR="000109AA" w:rsidRPr="005A3173" w:rsidRDefault="000109AA" w:rsidP="005A3173">
          <w:pPr>
            <w:pStyle w:val="Header"/>
            <w:spacing w:line="276" w:lineRule="auto"/>
            <w:rPr>
              <w:rFonts w:eastAsia="MS Gothic"/>
              <w:b/>
              <w:bCs/>
              <w:color w:val="4F81BD"/>
            </w:rPr>
          </w:pPr>
        </w:p>
      </w:tc>
    </w:tr>
    <w:tr w:rsidR="000109AA" w14:paraId="68DE5708" w14:textId="77777777" w:rsidTr="005A3173">
      <w:trPr>
        <w:trHeight w:val="150"/>
      </w:trPr>
      <w:tc>
        <w:tcPr>
          <w:tcW w:w="2250" w:type="pct"/>
          <w:tcBorders>
            <w:top w:val="single" w:sz="4" w:space="0" w:color="4F81BD"/>
            <w:left w:val="nil"/>
            <w:bottom w:val="nil"/>
            <w:right w:val="nil"/>
          </w:tcBorders>
        </w:tcPr>
        <w:p w14:paraId="71AF5DA6" w14:textId="77777777" w:rsidR="000109AA" w:rsidRPr="005A3173" w:rsidRDefault="000109AA" w:rsidP="005A3173">
          <w:pPr>
            <w:pStyle w:val="Header"/>
            <w:spacing w:line="276" w:lineRule="auto"/>
            <w:rPr>
              <w:rFonts w:eastAsia="MS Gothic"/>
              <w:b/>
              <w:bCs/>
              <w:color w:val="4F81BD"/>
            </w:rPr>
          </w:pPr>
        </w:p>
      </w:tc>
      <w:tc>
        <w:tcPr>
          <w:tcW w:w="0" w:type="auto"/>
          <w:vMerge/>
          <w:vAlign w:val="center"/>
          <w:hideMark/>
        </w:tcPr>
        <w:p w14:paraId="6FA8AA2E" w14:textId="77777777" w:rsidR="000109AA" w:rsidRPr="005A3173" w:rsidRDefault="000109AA" w:rsidP="005A3173">
          <w:pPr>
            <w:rPr>
              <w:color w:val="365F91"/>
              <w:sz w:val="22"/>
              <w:szCs w:val="22"/>
            </w:rPr>
          </w:pPr>
        </w:p>
      </w:tc>
      <w:tc>
        <w:tcPr>
          <w:tcW w:w="2250" w:type="pct"/>
          <w:tcBorders>
            <w:top w:val="single" w:sz="4" w:space="0" w:color="4F81BD"/>
            <w:left w:val="nil"/>
            <w:bottom w:val="nil"/>
            <w:right w:val="nil"/>
          </w:tcBorders>
        </w:tcPr>
        <w:p w14:paraId="349590BC" w14:textId="77777777" w:rsidR="000109AA" w:rsidRPr="005A3173" w:rsidRDefault="000109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109AA" w14:paraId="1FEACEB4" w14:textId="77777777" w:rsidTr="005A3173">
      <w:trPr>
        <w:trHeight w:val="151"/>
      </w:trPr>
      <w:tc>
        <w:tcPr>
          <w:tcW w:w="2250" w:type="pct"/>
          <w:tcBorders>
            <w:top w:val="nil"/>
            <w:left w:val="nil"/>
            <w:bottom w:val="single" w:sz="4" w:space="0" w:color="4F81BD"/>
            <w:right w:val="nil"/>
          </w:tcBorders>
        </w:tcPr>
        <w:p w14:paraId="34BDCCD6" w14:textId="77777777" w:rsidR="000109AA" w:rsidRPr="005A3173" w:rsidRDefault="000109AA" w:rsidP="005A3173">
          <w:pPr>
            <w:pStyle w:val="Header"/>
            <w:spacing w:line="276" w:lineRule="auto"/>
            <w:rPr>
              <w:rFonts w:eastAsia="MS Gothic"/>
              <w:b/>
              <w:bCs/>
              <w:color w:val="4F81BD"/>
            </w:rPr>
          </w:pPr>
        </w:p>
      </w:tc>
      <w:tc>
        <w:tcPr>
          <w:tcW w:w="500" w:type="pct"/>
          <w:vMerge w:val="restart"/>
          <w:noWrap/>
          <w:vAlign w:val="center"/>
          <w:hideMark/>
        </w:tcPr>
        <w:p w14:paraId="7067FC0A" w14:textId="77777777" w:rsidR="000109AA" w:rsidRPr="005A3173" w:rsidRDefault="000109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03D04B7" w14:textId="77777777" w:rsidR="000109AA" w:rsidRPr="005A3173" w:rsidRDefault="000109AA" w:rsidP="005A3173">
          <w:pPr>
            <w:pStyle w:val="Header"/>
            <w:spacing w:line="276" w:lineRule="auto"/>
            <w:rPr>
              <w:rFonts w:eastAsia="MS Gothic"/>
              <w:b/>
              <w:bCs/>
              <w:color w:val="4F81BD"/>
            </w:rPr>
          </w:pPr>
        </w:p>
      </w:tc>
    </w:tr>
    <w:tr w:rsidR="000109AA" w14:paraId="4E123E02" w14:textId="77777777" w:rsidTr="005A3173">
      <w:trPr>
        <w:trHeight w:val="150"/>
      </w:trPr>
      <w:tc>
        <w:tcPr>
          <w:tcW w:w="2250" w:type="pct"/>
          <w:tcBorders>
            <w:top w:val="single" w:sz="4" w:space="0" w:color="4F81BD"/>
            <w:left w:val="nil"/>
            <w:bottom w:val="nil"/>
            <w:right w:val="nil"/>
          </w:tcBorders>
        </w:tcPr>
        <w:p w14:paraId="0E088A4A" w14:textId="77777777" w:rsidR="000109AA" w:rsidRPr="005A3173" w:rsidRDefault="000109AA" w:rsidP="005A3173">
          <w:pPr>
            <w:pStyle w:val="Header"/>
            <w:spacing w:line="276" w:lineRule="auto"/>
            <w:rPr>
              <w:rFonts w:eastAsia="MS Gothic"/>
              <w:b/>
              <w:bCs/>
              <w:color w:val="4F81BD"/>
            </w:rPr>
          </w:pPr>
        </w:p>
      </w:tc>
      <w:tc>
        <w:tcPr>
          <w:tcW w:w="0" w:type="auto"/>
          <w:vMerge/>
          <w:vAlign w:val="center"/>
          <w:hideMark/>
        </w:tcPr>
        <w:p w14:paraId="78ADE384" w14:textId="77777777" w:rsidR="000109AA" w:rsidRPr="005A3173" w:rsidRDefault="000109AA" w:rsidP="005A3173">
          <w:pPr>
            <w:rPr>
              <w:color w:val="365F91"/>
              <w:sz w:val="22"/>
              <w:szCs w:val="22"/>
            </w:rPr>
          </w:pPr>
        </w:p>
      </w:tc>
      <w:tc>
        <w:tcPr>
          <w:tcW w:w="2250" w:type="pct"/>
          <w:tcBorders>
            <w:top w:val="single" w:sz="4" w:space="0" w:color="4F81BD"/>
            <w:left w:val="nil"/>
            <w:bottom w:val="nil"/>
            <w:right w:val="nil"/>
          </w:tcBorders>
        </w:tcPr>
        <w:p w14:paraId="41FE265B" w14:textId="77777777" w:rsidR="000109AA" w:rsidRPr="005A3173" w:rsidRDefault="000109AA" w:rsidP="005A3173">
          <w:pPr>
            <w:pStyle w:val="Header"/>
            <w:spacing w:line="276" w:lineRule="auto"/>
            <w:rPr>
              <w:rFonts w:eastAsia="MS Gothic"/>
              <w:b/>
              <w:bCs/>
              <w:color w:val="4F81BD"/>
            </w:rPr>
          </w:pPr>
        </w:p>
      </w:tc>
    </w:tr>
  </w:tbl>
  <w:p w14:paraId="2CE1C179" w14:textId="77777777" w:rsidR="000109AA" w:rsidRPr="007C0F57" w:rsidRDefault="000109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254BE3">
      <w:rPr>
        <w:rStyle w:val="PageNumber"/>
        <w:noProof/>
      </w:rPr>
      <w:t>1</w:t>
    </w:r>
    <w:r>
      <w:rPr>
        <w:rStyle w:val="PageNumber"/>
      </w:rPr>
      <w:fldChar w:fldCharType="end"/>
    </w:r>
    <w:r w:rsidRPr="007C0F57">
      <w:rPr>
        <w:b/>
        <w:i/>
        <w:sz w:val="20"/>
        <w:szCs w:val="20"/>
      </w:rPr>
      <w:t>BAC Meeting</w:t>
    </w:r>
  </w:p>
  <w:p w14:paraId="6BC80443" w14:textId="77777777" w:rsidR="000109AA" w:rsidRPr="007C0F57" w:rsidRDefault="000109AA" w:rsidP="007C0F57">
    <w:pPr>
      <w:pStyle w:val="Footer"/>
      <w:jc w:val="center"/>
      <w:rPr>
        <w:b/>
        <w:i/>
        <w:sz w:val="20"/>
        <w:szCs w:val="20"/>
      </w:rPr>
    </w:pPr>
    <w:r w:rsidRPr="007C0F57">
      <w:rPr>
        <w:b/>
        <w:i/>
        <w:sz w:val="20"/>
        <w:szCs w:val="20"/>
      </w:rPr>
      <w:t>Commercial-in-Confidence</w:t>
    </w:r>
  </w:p>
  <w:p w14:paraId="73587F37" w14:textId="77777777" w:rsidR="000109AA" w:rsidRDefault="000109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88676" w14:textId="77777777" w:rsidR="00B66BA1" w:rsidRDefault="00B66BA1">
      <w:r>
        <w:separator/>
      </w:r>
    </w:p>
    <w:p w14:paraId="211B2746" w14:textId="77777777" w:rsidR="00B66BA1" w:rsidRDefault="00B66BA1"/>
  </w:footnote>
  <w:footnote w:type="continuationSeparator" w:id="0">
    <w:p w14:paraId="08F7EC84" w14:textId="77777777" w:rsidR="00B66BA1" w:rsidRDefault="00B66BA1">
      <w:r>
        <w:continuationSeparator/>
      </w:r>
    </w:p>
    <w:p w14:paraId="2A392B5E" w14:textId="77777777" w:rsidR="00B66BA1" w:rsidRDefault="00B66BA1"/>
  </w:footnote>
  <w:footnote w:id="1">
    <w:p w14:paraId="2806FE03" w14:textId="77777777" w:rsidR="00E17B63" w:rsidRDefault="00E17B63" w:rsidP="00E17B63">
      <w:pPr>
        <w:pStyle w:val="FootnoteText"/>
        <w:jc w:val="left"/>
      </w:pPr>
      <w:r>
        <w:rPr>
          <w:rStyle w:val="FootnoteReference"/>
        </w:rPr>
        <w:footnoteRef/>
      </w:r>
      <w:r>
        <w:t xml:space="preserve"> Item 8.3.1, </w:t>
      </w:r>
      <w:r w:rsidRPr="00E17B63">
        <w:rPr>
          <w:i/>
        </w:rPr>
        <w:t>Medicines Australia Strategic Agreement</w:t>
      </w:r>
      <w:r>
        <w:t xml:space="preserve">, available at: </w:t>
      </w:r>
      <w:hyperlink r:id="rId1" w:history="1">
        <w:r w:rsidRPr="00E73357">
          <w:rPr>
            <w:rStyle w:val="Hyperlink"/>
          </w:rPr>
          <w:t>https://www1.health.gov.au/internet/main/publishing.nsf/Content/landmark-compact-Medicines-Aust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109AA" w:rsidRPr="008E0D90" w14:paraId="3C89BC2B" w14:textId="77777777" w:rsidTr="00A06225">
      <w:trPr>
        <w:trHeight w:val="151"/>
      </w:trPr>
      <w:tc>
        <w:tcPr>
          <w:tcW w:w="2389" w:type="pct"/>
          <w:tcBorders>
            <w:top w:val="nil"/>
            <w:left w:val="nil"/>
            <w:bottom w:val="single" w:sz="4" w:space="0" w:color="4F81BD"/>
            <w:right w:val="nil"/>
          </w:tcBorders>
        </w:tcPr>
        <w:p w14:paraId="079CEB28" w14:textId="77777777" w:rsidR="000109AA" w:rsidRPr="00A06225" w:rsidRDefault="000109AA">
          <w:pPr>
            <w:pStyle w:val="Header"/>
            <w:spacing w:line="276" w:lineRule="auto"/>
            <w:rPr>
              <w:rFonts w:ascii="Cambria" w:eastAsia="MS Gothic" w:hAnsi="Cambria"/>
              <w:b/>
              <w:bCs/>
              <w:color w:val="4F81BD"/>
            </w:rPr>
          </w:pPr>
        </w:p>
      </w:tc>
      <w:tc>
        <w:tcPr>
          <w:tcW w:w="333" w:type="pct"/>
          <w:vMerge w:val="restart"/>
          <w:noWrap/>
          <w:vAlign w:val="center"/>
          <w:hideMark/>
        </w:tcPr>
        <w:p w14:paraId="29F61CD9" w14:textId="77777777" w:rsidR="000109AA" w:rsidRPr="00A06225" w:rsidRDefault="000109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1BD76F7" w14:textId="77777777" w:rsidR="000109AA" w:rsidRPr="00A06225" w:rsidRDefault="000109AA">
          <w:pPr>
            <w:pStyle w:val="Header"/>
            <w:spacing w:line="276" w:lineRule="auto"/>
            <w:rPr>
              <w:rFonts w:ascii="Cambria" w:eastAsia="MS Gothic" w:hAnsi="Cambria"/>
              <w:b/>
              <w:bCs/>
              <w:color w:val="4F81BD"/>
            </w:rPr>
          </w:pPr>
        </w:p>
      </w:tc>
    </w:tr>
    <w:tr w:rsidR="000109AA" w:rsidRPr="008E0D90" w14:paraId="1784E9D9" w14:textId="77777777" w:rsidTr="00A06225">
      <w:trPr>
        <w:trHeight w:val="150"/>
      </w:trPr>
      <w:tc>
        <w:tcPr>
          <w:tcW w:w="2389" w:type="pct"/>
          <w:tcBorders>
            <w:top w:val="single" w:sz="4" w:space="0" w:color="4F81BD"/>
            <w:left w:val="nil"/>
            <w:bottom w:val="nil"/>
            <w:right w:val="nil"/>
          </w:tcBorders>
        </w:tcPr>
        <w:p w14:paraId="0B04A0AE" w14:textId="77777777" w:rsidR="000109AA" w:rsidRPr="00A06225" w:rsidRDefault="000109AA">
          <w:pPr>
            <w:pStyle w:val="Header"/>
            <w:spacing w:line="276" w:lineRule="auto"/>
            <w:rPr>
              <w:rFonts w:ascii="Cambria" w:eastAsia="MS Gothic" w:hAnsi="Cambria"/>
              <w:b/>
              <w:bCs/>
              <w:color w:val="4F81BD"/>
            </w:rPr>
          </w:pPr>
        </w:p>
      </w:tc>
      <w:tc>
        <w:tcPr>
          <w:tcW w:w="0" w:type="auto"/>
          <w:vMerge/>
          <w:vAlign w:val="center"/>
          <w:hideMark/>
        </w:tcPr>
        <w:p w14:paraId="4B94EBA2" w14:textId="77777777" w:rsidR="000109AA" w:rsidRPr="00A06225" w:rsidRDefault="000109AA">
          <w:pPr>
            <w:rPr>
              <w:rFonts w:ascii="Cambria" w:hAnsi="Cambria"/>
              <w:color w:val="4F81BD"/>
              <w:sz w:val="22"/>
              <w:szCs w:val="22"/>
            </w:rPr>
          </w:pPr>
        </w:p>
      </w:tc>
      <w:tc>
        <w:tcPr>
          <w:tcW w:w="2278" w:type="pct"/>
          <w:tcBorders>
            <w:top w:val="single" w:sz="4" w:space="0" w:color="4F81BD"/>
            <w:left w:val="nil"/>
            <w:bottom w:val="nil"/>
            <w:right w:val="nil"/>
          </w:tcBorders>
        </w:tcPr>
        <w:p w14:paraId="2B207713" w14:textId="77777777" w:rsidR="000109AA" w:rsidRPr="00A06225" w:rsidRDefault="000109AA">
          <w:pPr>
            <w:pStyle w:val="Header"/>
            <w:spacing w:line="276" w:lineRule="auto"/>
            <w:rPr>
              <w:rFonts w:ascii="Cambria" w:eastAsia="MS Gothic" w:hAnsi="Cambria"/>
              <w:b/>
              <w:bCs/>
              <w:color w:val="4F81BD"/>
            </w:rPr>
          </w:pPr>
        </w:p>
      </w:tc>
    </w:tr>
  </w:tbl>
  <w:p w14:paraId="610BEA6B" w14:textId="77777777" w:rsidR="000109AA" w:rsidRDefault="000109AA">
    <w:pPr>
      <w:pStyle w:val="Header"/>
    </w:pPr>
  </w:p>
  <w:p w14:paraId="212CFABE" w14:textId="77777777" w:rsidR="000109AA" w:rsidRDefault="000109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EA28" w14:textId="77777777" w:rsidR="00DD1949" w:rsidRPr="00351D1F" w:rsidRDefault="00DD1949" w:rsidP="00DD1949">
    <w:pPr>
      <w:keepNext/>
      <w:tabs>
        <w:tab w:val="center" w:pos="4153"/>
        <w:tab w:val="right" w:pos="8306"/>
      </w:tabs>
      <w:ind w:left="360"/>
      <w:jc w:val="center"/>
      <w:rPr>
        <w:rFonts w:cs="Arial"/>
        <w:i/>
        <w:color w:val="808080"/>
      </w:rPr>
    </w:pPr>
    <w:r>
      <w:rPr>
        <w:rFonts w:cs="Arial"/>
        <w:i/>
        <w:color w:val="808080"/>
      </w:rPr>
      <w:t>Public Summary Document</w:t>
    </w:r>
    <w:r w:rsidRPr="00351D1F">
      <w:rPr>
        <w:rFonts w:cs="Arial"/>
        <w:i/>
        <w:color w:val="808080"/>
      </w:rPr>
      <w:t xml:space="preserve"> – </w:t>
    </w:r>
    <w:r>
      <w:rPr>
        <w:rFonts w:cs="Arial"/>
        <w:i/>
        <w:color w:val="808080"/>
      </w:rPr>
      <w:t>November 2020</w:t>
    </w:r>
    <w:r w:rsidRPr="00351D1F">
      <w:rPr>
        <w:rFonts w:cs="Arial"/>
        <w:i/>
        <w:color w:val="808080"/>
      </w:rPr>
      <w:t xml:space="preserve"> PBAC Meeting</w:t>
    </w:r>
    <w:r>
      <w:rPr>
        <w:rFonts w:cs="Arial"/>
        <w:i/>
        <w:color w:val="808080"/>
      </w:rPr>
      <w:t xml:space="preserve"> with December 2020 Addendum</w:t>
    </w:r>
  </w:p>
  <w:p w14:paraId="647797C4" w14:textId="6758D204" w:rsidR="00385A7D" w:rsidRPr="00385A7D" w:rsidRDefault="00385A7D" w:rsidP="00385A7D">
    <w:pPr>
      <w:pStyle w:val="NoSpacing"/>
      <w:jc w:val="center"/>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1FAB1715"/>
    <w:multiLevelType w:val="hybridMultilevel"/>
    <w:tmpl w:val="81F04E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F621A"/>
    <w:multiLevelType w:val="hybridMultilevel"/>
    <w:tmpl w:val="B61284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4C3EE5"/>
    <w:multiLevelType w:val="hybridMultilevel"/>
    <w:tmpl w:val="4C3C0B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8554881"/>
    <w:multiLevelType w:val="hybridMultilevel"/>
    <w:tmpl w:val="5D227F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6A7CD4"/>
    <w:multiLevelType w:val="hybridMultilevel"/>
    <w:tmpl w:val="53CC2D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3290C67"/>
    <w:multiLevelType w:val="hybridMultilevel"/>
    <w:tmpl w:val="F0464356"/>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74B3837"/>
    <w:multiLevelType w:val="hybridMultilevel"/>
    <w:tmpl w:val="B7D609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84D033C"/>
    <w:multiLevelType w:val="multilevel"/>
    <w:tmpl w:val="A3EC34C8"/>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C7638"/>
    <w:multiLevelType w:val="hybridMultilevel"/>
    <w:tmpl w:val="36EA3EF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EF008E3"/>
    <w:multiLevelType w:val="hybridMultilevel"/>
    <w:tmpl w:val="CEF4F0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0"/>
  </w:num>
  <w:num w:numId="3">
    <w:abstractNumId w:val="25"/>
  </w:num>
  <w:num w:numId="4">
    <w:abstractNumId w:val="20"/>
  </w:num>
  <w:num w:numId="5">
    <w:abstractNumId w:val="29"/>
  </w:num>
  <w:num w:numId="6">
    <w:abstractNumId w:val="23"/>
  </w:num>
  <w:num w:numId="7">
    <w:abstractNumId w:val="16"/>
  </w:num>
  <w:num w:numId="8">
    <w:abstractNumId w:val="21"/>
  </w:num>
  <w:num w:numId="9">
    <w:abstractNumId w:val="13"/>
  </w:num>
  <w:num w:numId="10">
    <w:abstractNumId w:val="1"/>
  </w:num>
  <w:num w:numId="11">
    <w:abstractNumId w:val="6"/>
  </w:num>
  <w:num w:numId="12">
    <w:abstractNumId w:val="28"/>
  </w:num>
  <w:num w:numId="13">
    <w:abstractNumId w:val="22"/>
  </w:num>
  <w:num w:numId="14">
    <w:abstractNumId w:val="15"/>
  </w:num>
  <w:num w:numId="15">
    <w:abstractNumId w:val="14"/>
  </w:num>
  <w:num w:numId="16">
    <w:abstractNumId w:val="25"/>
  </w:num>
  <w:num w:numId="17">
    <w:abstractNumId w:val="4"/>
  </w:num>
  <w:num w:numId="18">
    <w:abstractNumId w:val="17"/>
  </w:num>
  <w:num w:numId="19">
    <w:abstractNumId w:val="9"/>
  </w:num>
  <w:num w:numId="20">
    <w:abstractNumId w:val="24"/>
  </w:num>
  <w:num w:numId="21">
    <w:abstractNumId w:val="12"/>
  </w:num>
  <w:num w:numId="22">
    <w:abstractNumId w:val="26"/>
  </w:num>
  <w:num w:numId="23">
    <w:abstractNumId w:val="30"/>
  </w:num>
  <w:num w:numId="24">
    <w:abstractNumId w:val="18"/>
  </w:num>
  <w:num w:numId="25">
    <w:abstractNumId w:val="5"/>
  </w:num>
  <w:num w:numId="26">
    <w:abstractNumId w:val="27"/>
  </w:num>
  <w:num w:numId="27">
    <w:abstractNumId w:val="19"/>
  </w:num>
  <w:num w:numId="28">
    <w:abstractNumId w:val="3"/>
  </w:num>
  <w:num w:numId="29">
    <w:abstractNumId w:val="2"/>
  </w:num>
  <w:num w:numId="30">
    <w:abstractNumId w:val="8"/>
  </w:num>
  <w:num w:numId="31">
    <w:abstractNumId w:val="10"/>
  </w:num>
  <w:num w:numId="32">
    <w:abstractNumId w:val="7"/>
  </w:num>
  <w:num w:numId="3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AE9"/>
    <w:rsid w:val="000109AA"/>
    <w:rsid w:val="000118AD"/>
    <w:rsid w:val="00011A59"/>
    <w:rsid w:val="00016A41"/>
    <w:rsid w:val="000214D1"/>
    <w:rsid w:val="0002464A"/>
    <w:rsid w:val="000253E2"/>
    <w:rsid w:val="0003106B"/>
    <w:rsid w:val="00034905"/>
    <w:rsid w:val="000421A1"/>
    <w:rsid w:val="0004240E"/>
    <w:rsid w:val="00045E26"/>
    <w:rsid w:val="000514B5"/>
    <w:rsid w:val="00060E64"/>
    <w:rsid w:val="00066755"/>
    <w:rsid w:val="000763D5"/>
    <w:rsid w:val="00077143"/>
    <w:rsid w:val="00082169"/>
    <w:rsid w:val="000918CB"/>
    <w:rsid w:val="00091B06"/>
    <w:rsid w:val="000951C4"/>
    <w:rsid w:val="0009573A"/>
    <w:rsid w:val="00095ADA"/>
    <w:rsid w:val="000969AD"/>
    <w:rsid w:val="000A3AA2"/>
    <w:rsid w:val="000A44B2"/>
    <w:rsid w:val="000A52F6"/>
    <w:rsid w:val="000B44C3"/>
    <w:rsid w:val="000B558D"/>
    <w:rsid w:val="000B7F9C"/>
    <w:rsid w:val="000C5F95"/>
    <w:rsid w:val="000C6996"/>
    <w:rsid w:val="000D09E9"/>
    <w:rsid w:val="000D113F"/>
    <w:rsid w:val="000D23BA"/>
    <w:rsid w:val="000E2EFD"/>
    <w:rsid w:val="000E5EA1"/>
    <w:rsid w:val="000E681E"/>
    <w:rsid w:val="000F0003"/>
    <w:rsid w:val="000F2FCD"/>
    <w:rsid w:val="000F3384"/>
    <w:rsid w:val="000F455D"/>
    <w:rsid w:val="000F4E6A"/>
    <w:rsid w:val="000F510F"/>
    <w:rsid w:val="000F7354"/>
    <w:rsid w:val="00101ABE"/>
    <w:rsid w:val="00102202"/>
    <w:rsid w:val="00104227"/>
    <w:rsid w:val="0010606A"/>
    <w:rsid w:val="001107BF"/>
    <w:rsid w:val="00113229"/>
    <w:rsid w:val="00113649"/>
    <w:rsid w:val="00117779"/>
    <w:rsid w:val="00120D9D"/>
    <w:rsid w:val="0012417C"/>
    <w:rsid w:val="0012749D"/>
    <w:rsid w:val="00142395"/>
    <w:rsid w:val="00142714"/>
    <w:rsid w:val="001452ED"/>
    <w:rsid w:val="0014629F"/>
    <w:rsid w:val="00147D84"/>
    <w:rsid w:val="001549C1"/>
    <w:rsid w:val="00162BDD"/>
    <w:rsid w:val="00162D4E"/>
    <w:rsid w:val="00163329"/>
    <w:rsid w:val="001636FE"/>
    <w:rsid w:val="00164623"/>
    <w:rsid w:val="001652DE"/>
    <w:rsid w:val="00165B64"/>
    <w:rsid w:val="00175AA1"/>
    <w:rsid w:val="00180713"/>
    <w:rsid w:val="00180720"/>
    <w:rsid w:val="001830CE"/>
    <w:rsid w:val="0018643B"/>
    <w:rsid w:val="00196307"/>
    <w:rsid w:val="001A33EA"/>
    <w:rsid w:val="001A4C4F"/>
    <w:rsid w:val="001A76FB"/>
    <w:rsid w:val="001B017F"/>
    <w:rsid w:val="001B2BBC"/>
    <w:rsid w:val="001B3A40"/>
    <w:rsid w:val="001B3FFE"/>
    <w:rsid w:val="001B5129"/>
    <w:rsid w:val="001B5B68"/>
    <w:rsid w:val="001B6065"/>
    <w:rsid w:val="001B7EFC"/>
    <w:rsid w:val="001C081E"/>
    <w:rsid w:val="001C0B4C"/>
    <w:rsid w:val="001C1195"/>
    <w:rsid w:val="001C1FED"/>
    <w:rsid w:val="001C2E42"/>
    <w:rsid w:val="001D1F5F"/>
    <w:rsid w:val="001E06D2"/>
    <w:rsid w:val="001E1F42"/>
    <w:rsid w:val="001F005B"/>
    <w:rsid w:val="001F1850"/>
    <w:rsid w:val="001F3189"/>
    <w:rsid w:val="001F7938"/>
    <w:rsid w:val="00203FAC"/>
    <w:rsid w:val="00213CD3"/>
    <w:rsid w:val="00213CFB"/>
    <w:rsid w:val="0021553C"/>
    <w:rsid w:val="0021557B"/>
    <w:rsid w:val="002174FD"/>
    <w:rsid w:val="00217BE1"/>
    <w:rsid w:val="002206C0"/>
    <w:rsid w:val="00225D18"/>
    <w:rsid w:val="002304DD"/>
    <w:rsid w:val="002311F1"/>
    <w:rsid w:val="00231488"/>
    <w:rsid w:val="00234252"/>
    <w:rsid w:val="00237AC6"/>
    <w:rsid w:val="00244490"/>
    <w:rsid w:val="00245B9C"/>
    <w:rsid w:val="00253499"/>
    <w:rsid w:val="00254BE3"/>
    <w:rsid w:val="002551A4"/>
    <w:rsid w:val="00255B0E"/>
    <w:rsid w:val="00257664"/>
    <w:rsid w:val="00265151"/>
    <w:rsid w:val="00266509"/>
    <w:rsid w:val="00271842"/>
    <w:rsid w:val="00271BA1"/>
    <w:rsid w:val="00275D32"/>
    <w:rsid w:val="002762FA"/>
    <w:rsid w:val="00277505"/>
    <w:rsid w:val="002823B6"/>
    <w:rsid w:val="00294274"/>
    <w:rsid w:val="0029458F"/>
    <w:rsid w:val="00297294"/>
    <w:rsid w:val="002A0E04"/>
    <w:rsid w:val="002A104C"/>
    <w:rsid w:val="002A1EF7"/>
    <w:rsid w:val="002A494D"/>
    <w:rsid w:val="002A4960"/>
    <w:rsid w:val="002B0AE0"/>
    <w:rsid w:val="002B1AE6"/>
    <w:rsid w:val="002B1D51"/>
    <w:rsid w:val="002B2DE8"/>
    <w:rsid w:val="002B30F8"/>
    <w:rsid w:val="002B388A"/>
    <w:rsid w:val="002B5020"/>
    <w:rsid w:val="002B5596"/>
    <w:rsid w:val="002C1C79"/>
    <w:rsid w:val="002C212F"/>
    <w:rsid w:val="002C5F97"/>
    <w:rsid w:val="002C7485"/>
    <w:rsid w:val="002C7B6E"/>
    <w:rsid w:val="002D0B16"/>
    <w:rsid w:val="002D283A"/>
    <w:rsid w:val="002D4543"/>
    <w:rsid w:val="002E3153"/>
    <w:rsid w:val="002E5292"/>
    <w:rsid w:val="002E6895"/>
    <w:rsid w:val="002E72CA"/>
    <w:rsid w:val="002F56C2"/>
    <w:rsid w:val="002F600D"/>
    <w:rsid w:val="002F6577"/>
    <w:rsid w:val="00300AD6"/>
    <w:rsid w:val="00300B1B"/>
    <w:rsid w:val="003019D0"/>
    <w:rsid w:val="00301E4E"/>
    <w:rsid w:val="00305E73"/>
    <w:rsid w:val="003064AF"/>
    <w:rsid w:val="00310B68"/>
    <w:rsid w:val="00317C6C"/>
    <w:rsid w:val="00320CD3"/>
    <w:rsid w:val="00326E79"/>
    <w:rsid w:val="003301B1"/>
    <w:rsid w:val="00331189"/>
    <w:rsid w:val="00332618"/>
    <w:rsid w:val="0033263D"/>
    <w:rsid w:val="0033518A"/>
    <w:rsid w:val="003367EF"/>
    <w:rsid w:val="00340E80"/>
    <w:rsid w:val="00341AE4"/>
    <w:rsid w:val="00342302"/>
    <w:rsid w:val="003476EE"/>
    <w:rsid w:val="003541DD"/>
    <w:rsid w:val="00356E5B"/>
    <w:rsid w:val="003633A6"/>
    <w:rsid w:val="00367612"/>
    <w:rsid w:val="003678C0"/>
    <w:rsid w:val="003736C9"/>
    <w:rsid w:val="00374022"/>
    <w:rsid w:val="00384988"/>
    <w:rsid w:val="00385A7D"/>
    <w:rsid w:val="003872CF"/>
    <w:rsid w:val="00396330"/>
    <w:rsid w:val="0039782C"/>
    <w:rsid w:val="003A32EC"/>
    <w:rsid w:val="003A5B4A"/>
    <w:rsid w:val="003A5D95"/>
    <w:rsid w:val="003B02ED"/>
    <w:rsid w:val="003B0E9E"/>
    <w:rsid w:val="003B23C5"/>
    <w:rsid w:val="003B2A75"/>
    <w:rsid w:val="003B6124"/>
    <w:rsid w:val="003C093A"/>
    <w:rsid w:val="003C1ECF"/>
    <w:rsid w:val="003C2FB5"/>
    <w:rsid w:val="003D041C"/>
    <w:rsid w:val="003D24C5"/>
    <w:rsid w:val="003D25C6"/>
    <w:rsid w:val="003D4AC4"/>
    <w:rsid w:val="003D5271"/>
    <w:rsid w:val="003D63B7"/>
    <w:rsid w:val="003D74C5"/>
    <w:rsid w:val="003E468B"/>
    <w:rsid w:val="003E62BD"/>
    <w:rsid w:val="003F0C3A"/>
    <w:rsid w:val="003F1606"/>
    <w:rsid w:val="003F3228"/>
    <w:rsid w:val="003F5C8C"/>
    <w:rsid w:val="003F63CE"/>
    <w:rsid w:val="003F775A"/>
    <w:rsid w:val="00400E55"/>
    <w:rsid w:val="0040128E"/>
    <w:rsid w:val="0040216B"/>
    <w:rsid w:val="00404DAD"/>
    <w:rsid w:val="00406C9B"/>
    <w:rsid w:val="0041394C"/>
    <w:rsid w:val="00415033"/>
    <w:rsid w:val="00423D9F"/>
    <w:rsid w:val="004252EC"/>
    <w:rsid w:val="00430D39"/>
    <w:rsid w:val="00441949"/>
    <w:rsid w:val="00445929"/>
    <w:rsid w:val="004465BD"/>
    <w:rsid w:val="00446938"/>
    <w:rsid w:val="00461A44"/>
    <w:rsid w:val="004666E5"/>
    <w:rsid w:val="00466ADA"/>
    <w:rsid w:val="004702BB"/>
    <w:rsid w:val="0047494B"/>
    <w:rsid w:val="00476245"/>
    <w:rsid w:val="00477A9B"/>
    <w:rsid w:val="00483035"/>
    <w:rsid w:val="0048429F"/>
    <w:rsid w:val="00484B1F"/>
    <w:rsid w:val="00485940"/>
    <w:rsid w:val="004904B9"/>
    <w:rsid w:val="0049346E"/>
    <w:rsid w:val="00496662"/>
    <w:rsid w:val="004A2484"/>
    <w:rsid w:val="004A5A85"/>
    <w:rsid w:val="004A64AE"/>
    <w:rsid w:val="004A71D1"/>
    <w:rsid w:val="004A7C5B"/>
    <w:rsid w:val="004B10D2"/>
    <w:rsid w:val="004B1845"/>
    <w:rsid w:val="004B2E98"/>
    <w:rsid w:val="004B5640"/>
    <w:rsid w:val="004B74AF"/>
    <w:rsid w:val="004C03D0"/>
    <w:rsid w:val="004C1BD7"/>
    <w:rsid w:val="004C31FE"/>
    <w:rsid w:val="004C3F1D"/>
    <w:rsid w:val="004C524C"/>
    <w:rsid w:val="004C5FFA"/>
    <w:rsid w:val="004C691D"/>
    <w:rsid w:val="004C6C07"/>
    <w:rsid w:val="004D153E"/>
    <w:rsid w:val="004D4F04"/>
    <w:rsid w:val="004D4FF6"/>
    <w:rsid w:val="004E692D"/>
    <w:rsid w:val="004E7D87"/>
    <w:rsid w:val="004F2553"/>
    <w:rsid w:val="004F58CA"/>
    <w:rsid w:val="00501554"/>
    <w:rsid w:val="00501F59"/>
    <w:rsid w:val="00502AFE"/>
    <w:rsid w:val="00503AD7"/>
    <w:rsid w:val="00504E0C"/>
    <w:rsid w:val="005109D4"/>
    <w:rsid w:val="00512605"/>
    <w:rsid w:val="00514CD7"/>
    <w:rsid w:val="00520D6A"/>
    <w:rsid w:val="00521BAA"/>
    <w:rsid w:val="0052280E"/>
    <w:rsid w:val="00522DB6"/>
    <w:rsid w:val="0052792D"/>
    <w:rsid w:val="005319B2"/>
    <w:rsid w:val="00531F6A"/>
    <w:rsid w:val="00532402"/>
    <w:rsid w:val="00532C74"/>
    <w:rsid w:val="00534E2E"/>
    <w:rsid w:val="00536547"/>
    <w:rsid w:val="00536E42"/>
    <w:rsid w:val="00544129"/>
    <w:rsid w:val="00544552"/>
    <w:rsid w:val="00545130"/>
    <w:rsid w:val="0055286A"/>
    <w:rsid w:val="00555745"/>
    <w:rsid w:val="00557D4F"/>
    <w:rsid w:val="0056484E"/>
    <w:rsid w:val="00567121"/>
    <w:rsid w:val="00575697"/>
    <w:rsid w:val="005764CD"/>
    <w:rsid w:val="00577C4D"/>
    <w:rsid w:val="00580532"/>
    <w:rsid w:val="00581932"/>
    <w:rsid w:val="005963BB"/>
    <w:rsid w:val="005A01EA"/>
    <w:rsid w:val="005A3173"/>
    <w:rsid w:val="005A3223"/>
    <w:rsid w:val="005A3DA3"/>
    <w:rsid w:val="005A52C4"/>
    <w:rsid w:val="005B0C61"/>
    <w:rsid w:val="005C1F90"/>
    <w:rsid w:val="005C4F73"/>
    <w:rsid w:val="005D03AB"/>
    <w:rsid w:val="005D3AD8"/>
    <w:rsid w:val="005D5017"/>
    <w:rsid w:val="005D63FA"/>
    <w:rsid w:val="005E0D82"/>
    <w:rsid w:val="005E1333"/>
    <w:rsid w:val="005E1F06"/>
    <w:rsid w:val="005E3136"/>
    <w:rsid w:val="005E507D"/>
    <w:rsid w:val="00601A91"/>
    <w:rsid w:val="00602BA3"/>
    <w:rsid w:val="00604420"/>
    <w:rsid w:val="00605B63"/>
    <w:rsid w:val="00605F9A"/>
    <w:rsid w:val="00606EED"/>
    <w:rsid w:val="00607564"/>
    <w:rsid w:val="00612E34"/>
    <w:rsid w:val="00614159"/>
    <w:rsid w:val="0061672E"/>
    <w:rsid w:val="00616C5F"/>
    <w:rsid w:val="00616DAC"/>
    <w:rsid w:val="00617C00"/>
    <w:rsid w:val="0062087D"/>
    <w:rsid w:val="006263BF"/>
    <w:rsid w:val="0062748A"/>
    <w:rsid w:val="00627FBD"/>
    <w:rsid w:val="00630A2C"/>
    <w:rsid w:val="00630CFE"/>
    <w:rsid w:val="0063682E"/>
    <w:rsid w:val="00642DA8"/>
    <w:rsid w:val="006436CD"/>
    <w:rsid w:val="00651169"/>
    <w:rsid w:val="00653D69"/>
    <w:rsid w:val="006552E6"/>
    <w:rsid w:val="00655794"/>
    <w:rsid w:val="00657C63"/>
    <w:rsid w:val="006631EF"/>
    <w:rsid w:val="006670BE"/>
    <w:rsid w:val="00670A76"/>
    <w:rsid w:val="006711AA"/>
    <w:rsid w:val="00672B57"/>
    <w:rsid w:val="00673F1F"/>
    <w:rsid w:val="00675622"/>
    <w:rsid w:val="0067747D"/>
    <w:rsid w:val="006818D5"/>
    <w:rsid w:val="00681CA4"/>
    <w:rsid w:val="006861A4"/>
    <w:rsid w:val="0069039D"/>
    <w:rsid w:val="006906DB"/>
    <w:rsid w:val="00691E6C"/>
    <w:rsid w:val="00693DFB"/>
    <w:rsid w:val="0069501D"/>
    <w:rsid w:val="00696129"/>
    <w:rsid w:val="00697CF2"/>
    <w:rsid w:val="006A12A5"/>
    <w:rsid w:val="006A4DE1"/>
    <w:rsid w:val="006A5E20"/>
    <w:rsid w:val="006A71F0"/>
    <w:rsid w:val="006B0D94"/>
    <w:rsid w:val="006B485D"/>
    <w:rsid w:val="006C334C"/>
    <w:rsid w:val="006C708E"/>
    <w:rsid w:val="006D14E7"/>
    <w:rsid w:val="006D4444"/>
    <w:rsid w:val="006D6493"/>
    <w:rsid w:val="006D6EC7"/>
    <w:rsid w:val="006E1BCD"/>
    <w:rsid w:val="006E69A7"/>
    <w:rsid w:val="006F0A71"/>
    <w:rsid w:val="006F40C2"/>
    <w:rsid w:val="006F5125"/>
    <w:rsid w:val="006F6C7B"/>
    <w:rsid w:val="006F733D"/>
    <w:rsid w:val="00702B6F"/>
    <w:rsid w:val="00706A2F"/>
    <w:rsid w:val="0070718E"/>
    <w:rsid w:val="00710259"/>
    <w:rsid w:val="0071031F"/>
    <w:rsid w:val="007115B8"/>
    <w:rsid w:val="0071340B"/>
    <w:rsid w:val="007135C5"/>
    <w:rsid w:val="00715BBB"/>
    <w:rsid w:val="007174BB"/>
    <w:rsid w:val="0072025D"/>
    <w:rsid w:val="007218F5"/>
    <w:rsid w:val="0073137C"/>
    <w:rsid w:val="00732EB2"/>
    <w:rsid w:val="007353D3"/>
    <w:rsid w:val="00740D20"/>
    <w:rsid w:val="0074156B"/>
    <w:rsid w:val="0074204E"/>
    <w:rsid w:val="00747092"/>
    <w:rsid w:val="007555E8"/>
    <w:rsid w:val="0076420C"/>
    <w:rsid w:val="00765291"/>
    <w:rsid w:val="00771D07"/>
    <w:rsid w:val="00773BE3"/>
    <w:rsid w:val="007743DD"/>
    <w:rsid w:val="00774E2C"/>
    <w:rsid w:val="007753C2"/>
    <w:rsid w:val="007838B8"/>
    <w:rsid w:val="007915BA"/>
    <w:rsid w:val="007948BF"/>
    <w:rsid w:val="00797A12"/>
    <w:rsid w:val="007B33D5"/>
    <w:rsid w:val="007B3DDC"/>
    <w:rsid w:val="007B72A6"/>
    <w:rsid w:val="007B75CF"/>
    <w:rsid w:val="007C0F57"/>
    <w:rsid w:val="007C381D"/>
    <w:rsid w:val="007C40B6"/>
    <w:rsid w:val="007C729F"/>
    <w:rsid w:val="007D2A77"/>
    <w:rsid w:val="007D503D"/>
    <w:rsid w:val="007E191B"/>
    <w:rsid w:val="007E1D28"/>
    <w:rsid w:val="007E7A07"/>
    <w:rsid w:val="007F0021"/>
    <w:rsid w:val="007F1315"/>
    <w:rsid w:val="007F2641"/>
    <w:rsid w:val="007F3F23"/>
    <w:rsid w:val="007F5E52"/>
    <w:rsid w:val="007F7C36"/>
    <w:rsid w:val="00806796"/>
    <w:rsid w:val="00811CC0"/>
    <w:rsid w:val="008151D6"/>
    <w:rsid w:val="00821527"/>
    <w:rsid w:val="00822F56"/>
    <w:rsid w:val="008268BB"/>
    <w:rsid w:val="00826F6D"/>
    <w:rsid w:val="008306F3"/>
    <w:rsid w:val="00830E40"/>
    <w:rsid w:val="00835C62"/>
    <w:rsid w:val="00843EE8"/>
    <w:rsid w:val="00846056"/>
    <w:rsid w:val="00847EC0"/>
    <w:rsid w:val="00852640"/>
    <w:rsid w:val="00855FD6"/>
    <w:rsid w:val="00856DDD"/>
    <w:rsid w:val="00863E68"/>
    <w:rsid w:val="008647B5"/>
    <w:rsid w:val="008718C1"/>
    <w:rsid w:val="00875DCB"/>
    <w:rsid w:val="00882085"/>
    <w:rsid w:val="00883188"/>
    <w:rsid w:val="008848C3"/>
    <w:rsid w:val="00893C72"/>
    <w:rsid w:val="00894667"/>
    <w:rsid w:val="00896E22"/>
    <w:rsid w:val="00897D58"/>
    <w:rsid w:val="00897F22"/>
    <w:rsid w:val="008A0B39"/>
    <w:rsid w:val="008A1956"/>
    <w:rsid w:val="008A2F8E"/>
    <w:rsid w:val="008A4937"/>
    <w:rsid w:val="008A50F1"/>
    <w:rsid w:val="008A59D9"/>
    <w:rsid w:val="008A6819"/>
    <w:rsid w:val="008B234C"/>
    <w:rsid w:val="008B2EC0"/>
    <w:rsid w:val="008B48C9"/>
    <w:rsid w:val="008D1B5C"/>
    <w:rsid w:val="008D20AE"/>
    <w:rsid w:val="008D2F0C"/>
    <w:rsid w:val="008D3C82"/>
    <w:rsid w:val="008D447E"/>
    <w:rsid w:val="008D6703"/>
    <w:rsid w:val="008D6D7F"/>
    <w:rsid w:val="008D7A41"/>
    <w:rsid w:val="008E1396"/>
    <w:rsid w:val="008E2C72"/>
    <w:rsid w:val="008E3680"/>
    <w:rsid w:val="008E5870"/>
    <w:rsid w:val="008F0213"/>
    <w:rsid w:val="008F035D"/>
    <w:rsid w:val="008F1434"/>
    <w:rsid w:val="008F337E"/>
    <w:rsid w:val="008F54C3"/>
    <w:rsid w:val="008F7355"/>
    <w:rsid w:val="009023DC"/>
    <w:rsid w:val="009027C5"/>
    <w:rsid w:val="009057AE"/>
    <w:rsid w:val="009067B7"/>
    <w:rsid w:val="009070D8"/>
    <w:rsid w:val="00910E90"/>
    <w:rsid w:val="00917CB3"/>
    <w:rsid w:val="00917D69"/>
    <w:rsid w:val="009215C4"/>
    <w:rsid w:val="00923014"/>
    <w:rsid w:val="00926560"/>
    <w:rsid w:val="00930937"/>
    <w:rsid w:val="009324A6"/>
    <w:rsid w:val="00933E6C"/>
    <w:rsid w:val="00937958"/>
    <w:rsid w:val="00941602"/>
    <w:rsid w:val="00942160"/>
    <w:rsid w:val="0095126A"/>
    <w:rsid w:val="0095146F"/>
    <w:rsid w:val="00951FFC"/>
    <w:rsid w:val="0095565D"/>
    <w:rsid w:val="0095598B"/>
    <w:rsid w:val="00956E0D"/>
    <w:rsid w:val="00957944"/>
    <w:rsid w:val="009602C5"/>
    <w:rsid w:val="00962223"/>
    <w:rsid w:val="00965AAC"/>
    <w:rsid w:val="00966D0D"/>
    <w:rsid w:val="0096783C"/>
    <w:rsid w:val="009722B3"/>
    <w:rsid w:val="009726BA"/>
    <w:rsid w:val="00974C21"/>
    <w:rsid w:val="00975948"/>
    <w:rsid w:val="00977BF3"/>
    <w:rsid w:val="009803E4"/>
    <w:rsid w:val="00980B0E"/>
    <w:rsid w:val="009836A3"/>
    <w:rsid w:val="009855A8"/>
    <w:rsid w:val="00986B92"/>
    <w:rsid w:val="009913F4"/>
    <w:rsid w:val="0099465B"/>
    <w:rsid w:val="00997CC7"/>
    <w:rsid w:val="009A0CDD"/>
    <w:rsid w:val="009A0FFC"/>
    <w:rsid w:val="009A3168"/>
    <w:rsid w:val="009A61CA"/>
    <w:rsid w:val="009B0C64"/>
    <w:rsid w:val="009B0F67"/>
    <w:rsid w:val="009C1058"/>
    <w:rsid w:val="009C703C"/>
    <w:rsid w:val="009D206E"/>
    <w:rsid w:val="009D3CAA"/>
    <w:rsid w:val="009D6532"/>
    <w:rsid w:val="009E2E8E"/>
    <w:rsid w:val="009E40E1"/>
    <w:rsid w:val="009F0EFA"/>
    <w:rsid w:val="009F20B7"/>
    <w:rsid w:val="009F4E46"/>
    <w:rsid w:val="009F511B"/>
    <w:rsid w:val="009F5B65"/>
    <w:rsid w:val="009F5F2E"/>
    <w:rsid w:val="00A01432"/>
    <w:rsid w:val="00A06225"/>
    <w:rsid w:val="00A128E6"/>
    <w:rsid w:val="00A144D3"/>
    <w:rsid w:val="00A22AC3"/>
    <w:rsid w:val="00A23F3F"/>
    <w:rsid w:val="00A24067"/>
    <w:rsid w:val="00A2744D"/>
    <w:rsid w:val="00A349A8"/>
    <w:rsid w:val="00A34E6C"/>
    <w:rsid w:val="00A36398"/>
    <w:rsid w:val="00A37C8D"/>
    <w:rsid w:val="00A4020E"/>
    <w:rsid w:val="00A40FB5"/>
    <w:rsid w:val="00A42826"/>
    <w:rsid w:val="00A429B3"/>
    <w:rsid w:val="00A43D98"/>
    <w:rsid w:val="00A44A8B"/>
    <w:rsid w:val="00A5273B"/>
    <w:rsid w:val="00A53A9D"/>
    <w:rsid w:val="00A55FEE"/>
    <w:rsid w:val="00A57422"/>
    <w:rsid w:val="00A60065"/>
    <w:rsid w:val="00A62C1A"/>
    <w:rsid w:val="00A6426D"/>
    <w:rsid w:val="00A65145"/>
    <w:rsid w:val="00A665C1"/>
    <w:rsid w:val="00A673A4"/>
    <w:rsid w:val="00A70622"/>
    <w:rsid w:val="00A70977"/>
    <w:rsid w:val="00A70D58"/>
    <w:rsid w:val="00A744F9"/>
    <w:rsid w:val="00A77613"/>
    <w:rsid w:val="00A81851"/>
    <w:rsid w:val="00A8390C"/>
    <w:rsid w:val="00A85462"/>
    <w:rsid w:val="00A86AE0"/>
    <w:rsid w:val="00A928BD"/>
    <w:rsid w:val="00A97DE9"/>
    <w:rsid w:val="00AA12CD"/>
    <w:rsid w:val="00AA4C06"/>
    <w:rsid w:val="00AA4D1C"/>
    <w:rsid w:val="00AA52FD"/>
    <w:rsid w:val="00AB1833"/>
    <w:rsid w:val="00AB5856"/>
    <w:rsid w:val="00AC193C"/>
    <w:rsid w:val="00AC4DE5"/>
    <w:rsid w:val="00AC5206"/>
    <w:rsid w:val="00AD0F6C"/>
    <w:rsid w:val="00AD4322"/>
    <w:rsid w:val="00AE11A5"/>
    <w:rsid w:val="00AE13E2"/>
    <w:rsid w:val="00AE22D3"/>
    <w:rsid w:val="00AE293E"/>
    <w:rsid w:val="00AE5A49"/>
    <w:rsid w:val="00AE7C88"/>
    <w:rsid w:val="00AF1622"/>
    <w:rsid w:val="00AF195B"/>
    <w:rsid w:val="00AF3D85"/>
    <w:rsid w:val="00AF62DF"/>
    <w:rsid w:val="00AF68CC"/>
    <w:rsid w:val="00AF70D7"/>
    <w:rsid w:val="00B06478"/>
    <w:rsid w:val="00B07BA2"/>
    <w:rsid w:val="00B07CFB"/>
    <w:rsid w:val="00B1059E"/>
    <w:rsid w:val="00B12388"/>
    <w:rsid w:val="00B1269E"/>
    <w:rsid w:val="00B16273"/>
    <w:rsid w:val="00B170A5"/>
    <w:rsid w:val="00B176C8"/>
    <w:rsid w:val="00B17EE5"/>
    <w:rsid w:val="00B205AA"/>
    <w:rsid w:val="00B22E84"/>
    <w:rsid w:val="00B233AD"/>
    <w:rsid w:val="00B23E25"/>
    <w:rsid w:val="00B25F75"/>
    <w:rsid w:val="00B26B3F"/>
    <w:rsid w:val="00B27407"/>
    <w:rsid w:val="00B2778F"/>
    <w:rsid w:val="00B33635"/>
    <w:rsid w:val="00B37CA5"/>
    <w:rsid w:val="00B42AF4"/>
    <w:rsid w:val="00B43E90"/>
    <w:rsid w:val="00B467DC"/>
    <w:rsid w:val="00B46CA0"/>
    <w:rsid w:val="00B56118"/>
    <w:rsid w:val="00B66533"/>
    <w:rsid w:val="00B66BA1"/>
    <w:rsid w:val="00B6773F"/>
    <w:rsid w:val="00B70EB3"/>
    <w:rsid w:val="00B7525E"/>
    <w:rsid w:val="00B760FB"/>
    <w:rsid w:val="00B767AB"/>
    <w:rsid w:val="00B801BA"/>
    <w:rsid w:val="00B83398"/>
    <w:rsid w:val="00B84D5C"/>
    <w:rsid w:val="00B85C0D"/>
    <w:rsid w:val="00B87A93"/>
    <w:rsid w:val="00B95421"/>
    <w:rsid w:val="00BA2DA8"/>
    <w:rsid w:val="00BA347C"/>
    <w:rsid w:val="00BB5C49"/>
    <w:rsid w:val="00BB69F5"/>
    <w:rsid w:val="00BB7EC3"/>
    <w:rsid w:val="00BC4B9A"/>
    <w:rsid w:val="00BC5D2B"/>
    <w:rsid w:val="00BD02C3"/>
    <w:rsid w:val="00BD1AAA"/>
    <w:rsid w:val="00BD674D"/>
    <w:rsid w:val="00BD7483"/>
    <w:rsid w:val="00BD784C"/>
    <w:rsid w:val="00BE020A"/>
    <w:rsid w:val="00BE13DF"/>
    <w:rsid w:val="00BE596B"/>
    <w:rsid w:val="00BF092C"/>
    <w:rsid w:val="00BF27A0"/>
    <w:rsid w:val="00BF4CB6"/>
    <w:rsid w:val="00C00DA7"/>
    <w:rsid w:val="00C02093"/>
    <w:rsid w:val="00C04CDE"/>
    <w:rsid w:val="00C103B1"/>
    <w:rsid w:val="00C12768"/>
    <w:rsid w:val="00C12D70"/>
    <w:rsid w:val="00C21B09"/>
    <w:rsid w:val="00C2673A"/>
    <w:rsid w:val="00C27B58"/>
    <w:rsid w:val="00C35996"/>
    <w:rsid w:val="00C4747E"/>
    <w:rsid w:val="00C5151E"/>
    <w:rsid w:val="00C5342C"/>
    <w:rsid w:val="00C53B2B"/>
    <w:rsid w:val="00C53D49"/>
    <w:rsid w:val="00C60272"/>
    <w:rsid w:val="00C603D4"/>
    <w:rsid w:val="00C6256A"/>
    <w:rsid w:val="00C70FEE"/>
    <w:rsid w:val="00C710E2"/>
    <w:rsid w:val="00C71C3F"/>
    <w:rsid w:val="00C724CD"/>
    <w:rsid w:val="00C7409E"/>
    <w:rsid w:val="00C74D6D"/>
    <w:rsid w:val="00C76E76"/>
    <w:rsid w:val="00C77891"/>
    <w:rsid w:val="00C858BA"/>
    <w:rsid w:val="00C91449"/>
    <w:rsid w:val="00C92D10"/>
    <w:rsid w:val="00CA48D9"/>
    <w:rsid w:val="00CB1193"/>
    <w:rsid w:val="00CB4767"/>
    <w:rsid w:val="00CB493D"/>
    <w:rsid w:val="00CC3B97"/>
    <w:rsid w:val="00CC6C0D"/>
    <w:rsid w:val="00CD2989"/>
    <w:rsid w:val="00CD6408"/>
    <w:rsid w:val="00CE10C4"/>
    <w:rsid w:val="00CE27B5"/>
    <w:rsid w:val="00CE6DAF"/>
    <w:rsid w:val="00CF410A"/>
    <w:rsid w:val="00D003A5"/>
    <w:rsid w:val="00D00DBC"/>
    <w:rsid w:val="00D0321E"/>
    <w:rsid w:val="00D07A8A"/>
    <w:rsid w:val="00D13175"/>
    <w:rsid w:val="00D1455A"/>
    <w:rsid w:val="00D22093"/>
    <w:rsid w:val="00D31150"/>
    <w:rsid w:val="00D3138B"/>
    <w:rsid w:val="00D3280C"/>
    <w:rsid w:val="00D3406A"/>
    <w:rsid w:val="00D35D45"/>
    <w:rsid w:val="00D40B11"/>
    <w:rsid w:val="00D441F1"/>
    <w:rsid w:val="00D4572C"/>
    <w:rsid w:val="00D469B2"/>
    <w:rsid w:val="00D5150D"/>
    <w:rsid w:val="00D54B09"/>
    <w:rsid w:val="00D55E96"/>
    <w:rsid w:val="00D62895"/>
    <w:rsid w:val="00D65658"/>
    <w:rsid w:val="00D72B6F"/>
    <w:rsid w:val="00D741EB"/>
    <w:rsid w:val="00D7679C"/>
    <w:rsid w:val="00D80722"/>
    <w:rsid w:val="00D820F3"/>
    <w:rsid w:val="00D83605"/>
    <w:rsid w:val="00D84934"/>
    <w:rsid w:val="00D91271"/>
    <w:rsid w:val="00D919F5"/>
    <w:rsid w:val="00D93C8B"/>
    <w:rsid w:val="00D94F03"/>
    <w:rsid w:val="00D961F9"/>
    <w:rsid w:val="00DA0A82"/>
    <w:rsid w:val="00DA0D14"/>
    <w:rsid w:val="00DA1F15"/>
    <w:rsid w:val="00DA1FC9"/>
    <w:rsid w:val="00DA2CB5"/>
    <w:rsid w:val="00DA4BAC"/>
    <w:rsid w:val="00DB0151"/>
    <w:rsid w:val="00DB4A03"/>
    <w:rsid w:val="00DC2C3E"/>
    <w:rsid w:val="00DC4880"/>
    <w:rsid w:val="00DD1949"/>
    <w:rsid w:val="00DE6D27"/>
    <w:rsid w:val="00DF01F8"/>
    <w:rsid w:val="00DF20F7"/>
    <w:rsid w:val="00DF217D"/>
    <w:rsid w:val="00DF26A7"/>
    <w:rsid w:val="00DF3277"/>
    <w:rsid w:val="00DF7919"/>
    <w:rsid w:val="00E0207E"/>
    <w:rsid w:val="00E03912"/>
    <w:rsid w:val="00E078D9"/>
    <w:rsid w:val="00E10293"/>
    <w:rsid w:val="00E15627"/>
    <w:rsid w:val="00E164B3"/>
    <w:rsid w:val="00E16910"/>
    <w:rsid w:val="00E17B63"/>
    <w:rsid w:val="00E235FC"/>
    <w:rsid w:val="00E24E09"/>
    <w:rsid w:val="00E27234"/>
    <w:rsid w:val="00E30A09"/>
    <w:rsid w:val="00E3495C"/>
    <w:rsid w:val="00E404D6"/>
    <w:rsid w:val="00E42BDB"/>
    <w:rsid w:val="00E44CAC"/>
    <w:rsid w:val="00E45408"/>
    <w:rsid w:val="00E56360"/>
    <w:rsid w:val="00E57EEB"/>
    <w:rsid w:val="00E62D94"/>
    <w:rsid w:val="00E64F37"/>
    <w:rsid w:val="00E65E54"/>
    <w:rsid w:val="00E661C7"/>
    <w:rsid w:val="00E669A5"/>
    <w:rsid w:val="00E80155"/>
    <w:rsid w:val="00E8134B"/>
    <w:rsid w:val="00E81E0D"/>
    <w:rsid w:val="00E81F28"/>
    <w:rsid w:val="00E848C0"/>
    <w:rsid w:val="00E90497"/>
    <w:rsid w:val="00E91B96"/>
    <w:rsid w:val="00E93D1E"/>
    <w:rsid w:val="00E941A1"/>
    <w:rsid w:val="00E95CE3"/>
    <w:rsid w:val="00EA252F"/>
    <w:rsid w:val="00EA2825"/>
    <w:rsid w:val="00EA6518"/>
    <w:rsid w:val="00EA7466"/>
    <w:rsid w:val="00EA7EDE"/>
    <w:rsid w:val="00EB0B63"/>
    <w:rsid w:val="00EB1936"/>
    <w:rsid w:val="00EB1FBF"/>
    <w:rsid w:val="00EB37BE"/>
    <w:rsid w:val="00EB5088"/>
    <w:rsid w:val="00EC28ED"/>
    <w:rsid w:val="00EC4621"/>
    <w:rsid w:val="00EC585E"/>
    <w:rsid w:val="00EC6169"/>
    <w:rsid w:val="00ED1644"/>
    <w:rsid w:val="00ED2593"/>
    <w:rsid w:val="00ED7D55"/>
    <w:rsid w:val="00ED7D9C"/>
    <w:rsid w:val="00EE31A2"/>
    <w:rsid w:val="00EF0069"/>
    <w:rsid w:val="00EF44A0"/>
    <w:rsid w:val="00EF4FED"/>
    <w:rsid w:val="00EF6FB3"/>
    <w:rsid w:val="00F007C6"/>
    <w:rsid w:val="00F0172E"/>
    <w:rsid w:val="00F02DC0"/>
    <w:rsid w:val="00F03696"/>
    <w:rsid w:val="00F050BD"/>
    <w:rsid w:val="00F05657"/>
    <w:rsid w:val="00F10E37"/>
    <w:rsid w:val="00F17ED6"/>
    <w:rsid w:val="00F209D5"/>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44A0A"/>
    <w:rsid w:val="00F44AA4"/>
    <w:rsid w:val="00F5007E"/>
    <w:rsid w:val="00F50EC4"/>
    <w:rsid w:val="00F52232"/>
    <w:rsid w:val="00F531C7"/>
    <w:rsid w:val="00F550CF"/>
    <w:rsid w:val="00F57A6D"/>
    <w:rsid w:val="00F638CC"/>
    <w:rsid w:val="00F64C9E"/>
    <w:rsid w:val="00F64CC1"/>
    <w:rsid w:val="00F72317"/>
    <w:rsid w:val="00F80475"/>
    <w:rsid w:val="00F8247A"/>
    <w:rsid w:val="00F82E5C"/>
    <w:rsid w:val="00F87895"/>
    <w:rsid w:val="00F95986"/>
    <w:rsid w:val="00F9629A"/>
    <w:rsid w:val="00F97EFC"/>
    <w:rsid w:val="00FA1BDD"/>
    <w:rsid w:val="00FA305C"/>
    <w:rsid w:val="00FA4C27"/>
    <w:rsid w:val="00FA4DD5"/>
    <w:rsid w:val="00FA5883"/>
    <w:rsid w:val="00FA6055"/>
    <w:rsid w:val="00FB0B39"/>
    <w:rsid w:val="00FB322F"/>
    <w:rsid w:val="00FB442F"/>
    <w:rsid w:val="00FC118C"/>
    <w:rsid w:val="00FC1929"/>
    <w:rsid w:val="00FC5B46"/>
    <w:rsid w:val="00FD5397"/>
    <w:rsid w:val="00FD5CCB"/>
    <w:rsid w:val="00FD6D8E"/>
    <w:rsid w:val="00FE0663"/>
    <w:rsid w:val="00FE0E94"/>
    <w:rsid w:val="00FE28B2"/>
    <w:rsid w:val="00FE3CD9"/>
    <w:rsid w:val="00FE7E23"/>
    <w:rsid w:val="00FF00BD"/>
    <w:rsid w:val="00FF1ED4"/>
    <w:rsid w:val="00FF22A8"/>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C1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D961F9"/>
    <w:pPr>
      <w:numPr>
        <w:ilvl w:val="1"/>
        <w:numId w:val="1"/>
      </w:numPr>
      <w:jc w:val="both"/>
    </w:pPr>
    <w:rPr>
      <w:rFonts w:eastAsiaTheme="minorHAnsi" w:cstheme="minorBidi"/>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D961F9"/>
    <w:rPr>
      <w:rFonts w:asciiTheme="minorHAnsi" w:eastAsiaTheme="minorHAnsi" w:hAnsiTheme="minorHAnsi" w:cstheme="minorBidi"/>
      <w:snapToGrid w:val="0"/>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val="0"/>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FootnoteText">
    <w:name w:val="footnote text"/>
    <w:basedOn w:val="Normal"/>
    <w:link w:val="FootnoteTextChar"/>
    <w:semiHidden/>
    <w:unhideWhenUsed/>
    <w:rsid w:val="00E17B63"/>
    <w:rPr>
      <w:sz w:val="20"/>
      <w:szCs w:val="20"/>
    </w:rPr>
  </w:style>
  <w:style w:type="character" w:customStyle="1" w:styleId="FootnoteTextChar">
    <w:name w:val="Footnote Text Char"/>
    <w:basedOn w:val="DefaultParagraphFont"/>
    <w:link w:val="FootnoteText"/>
    <w:semiHidden/>
    <w:rsid w:val="00E17B63"/>
    <w:rPr>
      <w:rFonts w:ascii="Calibri" w:hAnsi="Calibri"/>
    </w:rPr>
  </w:style>
  <w:style w:type="character" w:styleId="FootnoteReference">
    <w:name w:val="footnote reference"/>
    <w:basedOn w:val="DefaultParagraphFont"/>
    <w:semiHidden/>
    <w:unhideWhenUsed/>
    <w:rsid w:val="00E17B63"/>
    <w:rPr>
      <w:vertAlign w:val="superscript"/>
    </w:rPr>
  </w:style>
  <w:style w:type="character" w:styleId="Strong">
    <w:name w:val="Strong"/>
    <w:basedOn w:val="DefaultParagraphFont"/>
    <w:uiPriority w:val="22"/>
    <w:qFormat/>
    <w:rsid w:val="007F5E52"/>
    <w:rPr>
      <w:b/>
      <w:bCs/>
    </w:rPr>
  </w:style>
  <w:style w:type="paragraph" w:customStyle="1" w:styleId="4bulletpoint">
    <w:name w:val="4. bullet point"/>
    <w:basedOn w:val="ListParagraph"/>
    <w:link w:val="4bulletpointChar"/>
    <w:qFormat/>
    <w:rsid w:val="00231488"/>
    <w:pPr>
      <w:widowControl w:val="0"/>
      <w:numPr>
        <w:numId w:val="26"/>
      </w:numPr>
      <w:ind w:left="1077" w:hanging="357"/>
      <w:jc w:val="both"/>
    </w:pPr>
    <w:rPr>
      <w:lang w:eastAsia="en-US"/>
    </w:rPr>
  </w:style>
  <w:style w:type="character" w:customStyle="1" w:styleId="4bulletpointChar">
    <w:name w:val="4. bullet point Char"/>
    <w:basedOn w:val="DefaultParagraphFont"/>
    <w:link w:val="4bulletpoint"/>
    <w:rsid w:val="00231488"/>
    <w:rPr>
      <w:rFonts w:asciiTheme="minorHAnsi" w:hAnsiTheme="minorHAnsi" w:cs="Arial"/>
      <w:snapToGrid w:val="0"/>
      <w:sz w:val="24"/>
      <w:szCs w:val="24"/>
      <w:lang w:eastAsia="en-US"/>
    </w:rPr>
  </w:style>
  <w:style w:type="character" w:customStyle="1" w:styleId="normaltextrun">
    <w:name w:val="normaltextrun"/>
    <w:basedOn w:val="DefaultParagraphFont"/>
    <w:rsid w:val="0062087D"/>
  </w:style>
  <w:style w:type="paragraph" w:customStyle="1" w:styleId="paragraph">
    <w:name w:val="paragraph"/>
    <w:basedOn w:val="Normal"/>
    <w:rsid w:val="0062087D"/>
    <w:pPr>
      <w:spacing w:before="100" w:beforeAutospacing="1" w:after="100" w:afterAutospacing="1"/>
      <w:jc w:val="left"/>
    </w:pPr>
    <w:rPr>
      <w:rFonts w:ascii="Times New Roman" w:hAnsi="Times New Roman"/>
    </w:rPr>
  </w:style>
  <w:style w:type="paragraph" w:customStyle="1" w:styleId="4Bodytextnumbered">
    <w:name w:val="4. Body text numbered"/>
    <w:basedOn w:val="ListParagraph"/>
    <w:qFormat/>
    <w:rsid w:val="007135C5"/>
    <w:pPr>
      <w:ind w:left="720" w:hanging="720"/>
      <w:jc w:val="both"/>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06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1.health.gov.au/internet/main/publishing.nsf/Content/landmark-compact-Medicines-A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5FFE-51B2-4653-8DD2-57740D39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2777</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2021-02-19T06:32:00Z</dcterms:created>
  <dcterms:modified xsi:type="dcterms:W3CDTF">2021-04-05T08:25:00Z</dcterms:modified>
</cp:coreProperties>
</file>