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E12BDF" w:rsidRDefault="00131E96" w:rsidP="004A6040">
      <w:pPr>
        <w:pStyle w:val="1-MainHeading"/>
      </w:pPr>
      <w:bookmarkStart w:id="0" w:name="_GoBack"/>
      <w:bookmarkEnd w:id="0"/>
      <w:r w:rsidRPr="00E12BDF">
        <w:t>5.11</w:t>
      </w:r>
      <w:r w:rsidR="00163F66" w:rsidRPr="00E12BDF">
        <w:tab/>
      </w:r>
      <w:r w:rsidR="005100A3" w:rsidRPr="00E12BDF">
        <w:t>TAFAMIDIS</w:t>
      </w:r>
      <w:r w:rsidR="002B2253" w:rsidRPr="00E12BDF">
        <w:t xml:space="preserve">, </w:t>
      </w:r>
      <w:r w:rsidR="00163F66" w:rsidRPr="00E12BDF">
        <w:br/>
      </w:r>
      <w:r w:rsidR="00CE1EE1" w:rsidRPr="00E12BDF">
        <w:t xml:space="preserve">Capsule </w:t>
      </w:r>
      <w:r w:rsidR="00493116" w:rsidRPr="00E12BDF">
        <w:t>61</w:t>
      </w:r>
      <w:r w:rsidR="00CE1EE1" w:rsidRPr="00E12BDF">
        <w:t xml:space="preserve"> </w:t>
      </w:r>
      <w:r w:rsidR="00493116" w:rsidRPr="00E12BDF">
        <w:t>mg</w:t>
      </w:r>
      <w:r w:rsidR="002B2253" w:rsidRPr="00E12BDF">
        <w:t xml:space="preserve">, </w:t>
      </w:r>
      <w:r w:rsidR="00163F66" w:rsidRPr="00E12BDF">
        <w:br/>
      </w:r>
      <w:r w:rsidR="005100A3" w:rsidRPr="00E12BDF">
        <w:t>Vyndamax</w:t>
      </w:r>
      <w:r w:rsidR="005100A3" w:rsidRPr="00E12BDF" w:rsidDel="005100A3">
        <w:t xml:space="preserve"> </w:t>
      </w:r>
      <w:r w:rsidR="00B60939" w:rsidRPr="00E12BDF">
        <w:rPr>
          <w:vertAlign w:val="superscript"/>
        </w:rPr>
        <w:t>®</w:t>
      </w:r>
      <w:r w:rsidR="002B2253" w:rsidRPr="00E12BDF">
        <w:t xml:space="preserve">, </w:t>
      </w:r>
      <w:r w:rsidR="004A6040" w:rsidRPr="00E12BDF">
        <w:br/>
      </w:r>
      <w:r w:rsidR="005100A3" w:rsidRPr="00E12BDF">
        <w:t xml:space="preserve">Pfizer </w:t>
      </w:r>
      <w:r w:rsidR="007A31AF" w:rsidRPr="00E12BDF">
        <w:t xml:space="preserve">Australia </w:t>
      </w:r>
      <w:r w:rsidR="005100A3" w:rsidRPr="00E12BDF">
        <w:t>Pty Ltd</w:t>
      </w:r>
      <w:r w:rsidR="00B60939" w:rsidRPr="00E12BDF">
        <w:t>.</w:t>
      </w:r>
    </w:p>
    <w:p w:rsidR="00B50DB8" w:rsidRPr="00E12BDF" w:rsidRDefault="00B50DB8" w:rsidP="004A6040">
      <w:pPr>
        <w:pStyle w:val="2-SectionHeading"/>
      </w:pPr>
      <w:bookmarkStart w:id="1" w:name="_Toc40868587"/>
      <w:r w:rsidRPr="00E12BDF">
        <w:t xml:space="preserve">Purpose of </w:t>
      </w:r>
      <w:r w:rsidR="00CD7193" w:rsidRPr="00E12BDF">
        <w:t>s</w:t>
      </w:r>
      <w:r w:rsidR="00BB3A45" w:rsidRPr="00E12BDF">
        <w:t>ubmission</w:t>
      </w:r>
      <w:bookmarkEnd w:id="1"/>
    </w:p>
    <w:p w:rsidR="002C2775" w:rsidRPr="00E12BDF" w:rsidRDefault="007170DA" w:rsidP="00732743">
      <w:pPr>
        <w:pStyle w:val="ExecSumBodyText"/>
      </w:pPr>
      <w:r w:rsidRPr="00E12BDF">
        <w:t xml:space="preserve">The submission requested </w:t>
      </w:r>
      <w:r w:rsidR="00732743" w:rsidRPr="00E12BDF">
        <w:t xml:space="preserve">an </w:t>
      </w:r>
      <w:r w:rsidR="00FF07CF" w:rsidRPr="00E12BDF">
        <w:t>A</w:t>
      </w:r>
      <w:r w:rsidR="00732743" w:rsidRPr="00E12BDF">
        <w:t xml:space="preserve">uthority </w:t>
      </w:r>
      <w:r w:rsidR="00FF07CF" w:rsidRPr="00E12BDF">
        <w:t>R</w:t>
      </w:r>
      <w:r w:rsidR="00732743" w:rsidRPr="00E12BDF">
        <w:t>equired (written) listing for tafamidis</w:t>
      </w:r>
      <w:r w:rsidR="00EF3A7E" w:rsidRPr="00E12BDF">
        <w:t xml:space="preserve"> 61 mg capsule</w:t>
      </w:r>
      <w:r w:rsidR="004D6262" w:rsidRPr="00E12BDF">
        <w:t>s</w:t>
      </w:r>
      <w:r w:rsidR="00732743" w:rsidRPr="00E12BDF">
        <w:t>,</w:t>
      </w:r>
      <w:r w:rsidR="008B1757" w:rsidRPr="00E12BDF">
        <w:t xml:space="preserve"> for </w:t>
      </w:r>
      <w:r w:rsidR="0050174E" w:rsidRPr="00E12BDF">
        <w:t xml:space="preserve">the </w:t>
      </w:r>
      <w:r w:rsidR="008B1757" w:rsidRPr="00E12BDF">
        <w:t xml:space="preserve">treatment of </w:t>
      </w:r>
      <w:r w:rsidR="00EF3A7E" w:rsidRPr="00E12BDF">
        <w:t>p</w:t>
      </w:r>
      <w:r w:rsidR="00732743" w:rsidRPr="00E12BDF">
        <w:t>atients with transthyretin amyloid cardiomyopathy (ATTR-CM) with evidence of cardiac involvement by echocardiography</w:t>
      </w:r>
      <w:r w:rsidR="00DD18BF" w:rsidRPr="00E12BDF">
        <w:t xml:space="preserve"> and</w:t>
      </w:r>
      <w:r w:rsidR="00732743" w:rsidRPr="00E12BDF">
        <w:t xml:space="preserve"> with </w:t>
      </w:r>
      <w:r w:rsidR="00DD18BF" w:rsidRPr="00E12BDF">
        <w:t>a history of heart failure.</w:t>
      </w:r>
      <w:r w:rsidR="008B1757" w:rsidRPr="00E12BDF">
        <w:t xml:space="preserve"> </w:t>
      </w:r>
    </w:p>
    <w:p w:rsidR="00C2778B" w:rsidRPr="00E12BDF" w:rsidRDefault="005750C5" w:rsidP="004E18E9">
      <w:pPr>
        <w:pStyle w:val="ExecSumBodyText"/>
      </w:pPr>
      <w:r w:rsidRPr="00E12BDF">
        <w:t xml:space="preserve">Listing was requested on the basis of a </w:t>
      </w:r>
      <w:r w:rsidR="00732743" w:rsidRPr="00E12BDF">
        <w:t>cost effectiveness</w:t>
      </w:r>
      <w:r w:rsidRPr="00E12BDF">
        <w:t xml:space="preserve"> analysis versus </w:t>
      </w:r>
      <w:r w:rsidR="00732743" w:rsidRPr="00E12BDF">
        <w:t>standard management of ATTR-CM (best supportive care)</w:t>
      </w:r>
      <w:r w:rsidRPr="00E12BDF">
        <w:t xml:space="preserve">. </w:t>
      </w:r>
      <w:r w:rsidR="00732743" w:rsidRPr="00E12BDF">
        <w:t>The PBAC has not previously considered tafamidis.</w:t>
      </w:r>
    </w:p>
    <w:p w:rsidR="008B1757" w:rsidRPr="00E12BDF" w:rsidRDefault="00732743" w:rsidP="00230DB1">
      <w:pPr>
        <w:pStyle w:val="TableFigureCaption"/>
      </w:pPr>
      <w:r w:rsidRPr="00E12BDF">
        <w:t>Table 1</w:t>
      </w:r>
      <w:r w:rsidR="008B1757" w:rsidRPr="00E12BDF">
        <w:t>:</w:t>
      </w:r>
      <w:r w:rsidR="00BC591F" w:rsidRPr="00E12BDF">
        <w:t xml:space="preserve"> </w:t>
      </w:r>
      <w:r w:rsidR="008B1757" w:rsidRPr="00E12BDF">
        <w:t>Key components of the clinical issue addressed by the submission</w:t>
      </w:r>
      <w:r w:rsidR="007170DA" w:rsidRPr="00E12BDF">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E12BDF" w:rsidTr="002A2ADE">
        <w:trPr>
          <w:cantSplit/>
          <w:tblHeader/>
        </w:trPr>
        <w:tc>
          <w:tcPr>
            <w:tcW w:w="924" w:type="pct"/>
            <w:shd w:val="clear" w:color="auto" w:fill="auto"/>
          </w:tcPr>
          <w:p w:rsidR="008B1757" w:rsidRPr="00E12BDF" w:rsidRDefault="008B1757" w:rsidP="004A6040">
            <w:pPr>
              <w:pStyle w:val="Tableheadingrow"/>
              <w:rPr>
                <w:szCs w:val="20"/>
                <w:lang w:val="en-AU"/>
              </w:rPr>
            </w:pPr>
            <w:r w:rsidRPr="00E12BDF">
              <w:rPr>
                <w:lang w:val="en-AU"/>
              </w:rPr>
              <w:t>Component</w:t>
            </w:r>
          </w:p>
        </w:tc>
        <w:tc>
          <w:tcPr>
            <w:tcW w:w="4076" w:type="pct"/>
            <w:shd w:val="clear" w:color="auto" w:fill="auto"/>
          </w:tcPr>
          <w:p w:rsidR="008B1757" w:rsidRPr="00E12BDF" w:rsidRDefault="008B1757" w:rsidP="004A6040">
            <w:pPr>
              <w:pStyle w:val="Tableheadingrow"/>
              <w:rPr>
                <w:lang w:val="en-AU"/>
              </w:rPr>
            </w:pPr>
            <w:r w:rsidRPr="00E12BDF">
              <w:rPr>
                <w:lang w:val="en-AU"/>
              </w:rPr>
              <w:t>Description</w:t>
            </w:r>
          </w:p>
        </w:tc>
      </w:tr>
      <w:tr w:rsidR="00732743" w:rsidRPr="00E12BDF" w:rsidTr="002A2ADE">
        <w:trPr>
          <w:cantSplit/>
        </w:trPr>
        <w:tc>
          <w:tcPr>
            <w:tcW w:w="924" w:type="pct"/>
            <w:shd w:val="clear" w:color="auto" w:fill="auto"/>
          </w:tcPr>
          <w:p w:rsidR="00732743" w:rsidRPr="00E12BDF" w:rsidRDefault="00732743" w:rsidP="00732743">
            <w:pPr>
              <w:pStyle w:val="TableText"/>
            </w:pPr>
            <w:r w:rsidRPr="00E12BDF">
              <w:t>Population</w:t>
            </w:r>
          </w:p>
        </w:tc>
        <w:tc>
          <w:tcPr>
            <w:tcW w:w="4076" w:type="pct"/>
            <w:shd w:val="clear" w:color="auto" w:fill="auto"/>
          </w:tcPr>
          <w:p w:rsidR="00732743" w:rsidRPr="00E12BDF" w:rsidRDefault="00732743" w:rsidP="00732743">
            <w:pPr>
              <w:pStyle w:val="TableText"/>
              <w:rPr>
                <w:szCs w:val="20"/>
              </w:rPr>
            </w:pPr>
            <w:r w:rsidRPr="00E12BDF">
              <w:rPr>
                <w:szCs w:val="20"/>
              </w:rPr>
              <w:t xml:space="preserve">Patients with transthyretin amyloid cardiomyopathy with </w:t>
            </w:r>
            <w:r w:rsidRPr="00E12BDF">
              <w:t>evidence of cardiac involvement by echocardiography with an end-diastolic interventricular septal wall thickness ≥ 12 mm.</w:t>
            </w:r>
          </w:p>
        </w:tc>
      </w:tr>
      <w:tr w:rsidR="00732743" w:rsidRPr="00E12BDF" w:rsidTr="002A2ADE">
        <w:trPr>
          <w:cantSplit/>
        </w:trPr>
        <w:tc>
          <w:tcPr>
            <w:tcW w:w="924" w:type="pct"/>
            <w:shd w:val="clear" w:color="auto" w:fill="auto"/>
          </w:tcPr>
          <w:p w:rsidR="00732743" w:rsidRPr="00E12BDF" w:rsidRDefault="00732743" w:rsidP="00732743">
            <w:pPr>
              <w:pStyle w:val="TableText"/>
            </w:pPr>
            <w:r w:rsidRPr="00E12BDF">
              <w:t>Intervention</w:t>
            </w:r>
          </w:p>
        </w:tc>
        <w:tc>
          <w:tcPr>
            <w:tcW w:w="4076" w:type="pct"/>
            <w:shd w:val="clear" w:color="auto" w:fill="auto"/>
          </w:tcPr>
          <w:p w:rsidR="00732743" w:rsidRPr="00E12BDF" w:rsidRDefault="00732743" w:rsidP="00732743">
            <w:pPr>
              <w:pStyle w:val="TableText"/>
            </w:pPr>
            <w:r w:rsidRPr="00E12BDF">
              <w:t>Tafamidis 61 mg capsule, once daily.</w:t>
            </w:r>
          </w:p>
        </w:tc>
      </w:tr>
      <w:tr w:rsidR="00732743" w:rsidRPr="00E12BDF" w:rsidTr="002A2ADE">
        <w:trPr>
          <w:cantSplit/>
        </w:trPr>
        <w:tc>
          <w:tcPr>
            <w:tcW w:w="924" w:type="pct"/>
            <w:shd w:val="clear" w:color="auto" w:fill="auto"/>
          </w:tcPr>
          <w:p w:rsidR="00732743" w:rsidRPr="00E12BDF" w:rsidRDefault="00732743" w:rsidP="00732743">
            <w:pPr>
              <w:pStyle w:val="TableText"/>
            </w:pPr>
            <w:r w:rsidRPr="00E12BDF">
              <w:t>Comparator</w:t>
            </w:r>
          </w:p>
        </w:tc>
        <w:tc>
          <w:tcPr>
            <w:tcW w:w="4076" w:type="pct"/>
            <w:shd w:val="clear" w:color="auto" w:fill="auto"/>
          </w:tcPr>
          <w:p w:rsidR="00732743" w:rsidRPr="00E12BDF" w:rsidRDefault="00732743" w:rsidP="00732743">
            <w:pPr>
              <w:pStyle w:val="TableText"/>
            </w:pPr>
            <w:r w:rsidRPr="00E12BDF">
              <w:rPr>
                <w:szCs w:val="18"/>
              </w:rPr>
              <w:t>Standard heart failure management (e.g. diuretics and anti-arrhythmic medicines).</w:t>
            </w:r>
          </w:p>
        </w:tc>
      </w:tr>
      <w:tr w:rsidR="00732743" w:rsidRPr="00E12BDF" w:rsidTr="002A2ADE">
        <w:trPr>
          <w:cantSplit/>
        </w:trPr>
        <w:tc>
          <w:tcPr>
            <w:tcW w:w="924" w:type="pct"/>
            <w:shd w:val="clear" w:color="auto" w:fill="auto"/>
          </w:tcPr>
          <w:p w:rsidR="00732743" w:rsidRPr="00E12BDF" w:rsidRDefault="00732743" w:rsidP="00732743">
            <w:pPr>
              <w:pStyle w:val="TableText"/>
            </w:pPr>
            <w:r w:rsidRPr="00E12BDF">
              <w:t>Outcomes</w:t>
            </w:r>
          </w:p>
        </w:tc>
        <w:tc>
          <w:tcPr>
            <w:tcW w:w="4076" w:type="pct"/>
            <w:shd w:val="clear" w:color="auto" w:fill="auto"/>
          </w:tcPr>
          <w:p w:rsidR="00732743" w:rsidRPr="00E12BDF" w:rsidRDefault="00732743" w:rsidP="00732743">
            <w:pPr>
              <w:pStyle w:val="TableText"/>
            </w:pPr>
            <w:r w:rsidRPr="00E12BDF">
              <w:t>Mortality, cardiovascular-related hospitalisations, functional measures (6 Minute Walk Test), quality of life (KCCQ-OS score, EQ-5D-3L).</w:t>
            </w:r>
          </w:p>
        </w:tc>
      </w:tr>
      <w:tr w:rsidR="00732743" w:rsidRPr="00E12BDF" w:rsidTr="002A2ADE">
        <w:trPr>
          <w:cantSplit/>
        </w:trPr>
        <w:tc>
          <w:tcPr>
            <w:tcW w:w="924" w:type="pct"/>
            <w:shd w:val="clear" w:color="auto" w:fill="auto"/>
          </w:tcPr>
          <w:p w:rsidR="00732743" w:rsidRPr="00E12BDF" w:rsidRDefault="00732743" w:rsidP="00732743">
            <w:pPr>
              <w:pStyle w:val="TableText"/>
            </w:pPr>
            <w:r w:rsidRPr="00E12BDF">
              <w:t>Clinical claim</w:t>
            </w:r>
          </w:p>
        </w:tc>
        <w:tc>
          <w:tcPr>
            <w:tcW w:w="4076" w:type="pct"/>
            <w:shd w:val="clear" w:color="auto" w:fill="auto"/>
          </w:tcPr>
          <w:p w:rsidR="00732743" w:rsidRPr="00E12BDF" w:rsidRDefault="00732743" w:rsidP="00732743">
            <w:pPr>
              <w:pStyle w:val="TableText"/>
              <w:rPr>
                <w:rFonts w:eastAsia="Times New Roman" w:cs="Arial"/>
                <w:bCs w:val="0"/>
                <w:snapToGrid w:val="0"/>
                <w:color w:val="0066FF"/>
                <w:szCs w:val="20"/>
              </w:rPr>
            </w:pPr>
            <w:r w:rsidRPr="00E12BDF">
              <w:t xml:space="preserve">Tafamidis </w:t>
            </w:r>
            <w:r w:rsidRPr="00E12BDF">
              <w:rPr>
                <w:szCs w:val="18"/>
              </w:rPr>
              <w:t>has superior efficacy and non-inferior safety to standard heart failure management.</w:t>
            </w:r>
          </w:p>
        </w:tc>
      </w:tr>
    </w:tbl>
    <w:p w:rsidR="004E43B2" w:rsidRPr="00E12BDF" w:rsidRDefault="008B1757" w:rsidP="004A6040">
      <w:pPr>
        <w:pStyle w:val="TableFigureFooter"/>
      </w:pPr>
      <w:r w:rsidRPr="00E12BDF">
        <w:t xml:space="preserve">Source: </w:t>
      </w:r>
      <w:r w:rsidR="00956231" w:rsidRPr="00E12BDF">
        <w:t>Table 1.1.1, p.24 of the submission</w:t>
      </w:r>
      <w:r w:rsidRPr="00E12BDF">
        <w:t>.</w:t>
      </w:r>
    </w:p>
    <w:p w:rsidR="00732743" w:rsidRPr="00E12BDF" w:rsidRDefault="00732743" w:rsidP="004A6040">
      <w:pPr>
        <w:pStyle w:val="TableFigureFooter"/>
        <w:rPr>
          <w:sz w:val="20"/>
        </w:rPr>
      </w:pPr>
      <w:r w:rsidRPr="00E12BDF">
        <w:t xml:space="preserve">Abbreviations: EQ-5D-3L, EuroQoL 5 dimension 3 level questionnaire; </w:t>
      </w:r>
      <w:r w:rsidRPr="00E12BDF">
        <w:rPr>
          <w:szCs w:val="18"/>
        </w:rPr>
        <w:t>KCCQ-OS, Kansas City Cardiomyopathy Questionnaire - overall score.</w:t>
      </w:r>
    </w:p>
    <w:p w:rsidR="005C25FF" w:rsidRPr="00E12BDF" w:rsidRDefault="005C25FF" w:rsidP="004A6040">
      <w:pPr>
        <w:pStyle w:val="2-SectionHeading"/>
      </w:pPr>
      <w:bookmarkStart w:id="2" w:name="_Toc40868588"/>
      <w:r w:rsidRPr="00E12BDF">
        <w:t>Background</w:t>
      </w:r>
      <w:bookmarkEnd w:id="2"/>
    </w:p>
    <w:p w:rsidR="005C25FF" w:rsidRPr="00E12BDF" w:rsidRDefault="005C25FF" w:rsidP="004A6040">
      <w:pPr>
        <w:pStyle w:val="3-SubsectionHeading"/>
      </w:pPr>
      <w:bookmarkStart w:id="3" w:name="_Toc22897638"/>
      <w:bookmarkStart w:id="4" w:name="_Toc40868589"/>
      <w:r w:rsidRPr="00E12BDF">
        <w:t>Registration status</w:t>
      </w:r>
      <w:bookmarkEnd w:id="3"/>
      <w:bookmarkEnd w:id="4"/>
    </w:p>
    <w:p w:rsidR="005C25FF" w:rsidRPr="00E12BDF" w:rsidRDefault="001B728B" w:rsidP="004E18E9">
      <w:pPr>
        <w:pStyle w:val="ExecSumBodyText"/>
      </w:pPr>
      <w:r w:rsidRPr="00E12BDF">
        <w:t>Tafamidis 61 mg and tafamidis meglumine 20 mg were registered by the TGA for “the treatment of adult patients with wild-type or hereditary transthyretin amyloid cardiomyopathy (ATTR-CM)” on 16 March 2020.</w:t>
      </w:r>
    </w:p>
    <w:p w:rsidR="001B728B" w:rsidRPr="00E12BDF" w:rsidRDefault="00EF3A7E" w:rsidP="004E18E9">
      <w:pPr>
        <w:pStyle w:val="ExecSumBodyText"/>
      </w:pPr>
      <w:r w:rsidRPr="00E12BDF">
        <w:t>Tafamidis 61 mg is considered bioequivalent to tafamidis meglumine 80 mg formulation (four 20 mg capsules), used in the key clinical trial (TGA Clinical Evaluation Report: Round 2, p.58).</w:t>
      </w:r>
    </w:p>
    <w:p w:rsidR="00972D2D" w:rsidRPr="00E12BDF" w:rsidRDefault="00480ECA" w:rsidP="004E18E9">
      <w:pPr>
        <w:pStyle w:val="ExecSumBodyText"/>
      </w:pPr>
      <w:r w:rsidRPr="00E12BDF">
        <w:t>The Advisory Committee on Medicines (ACM) advised that ideally, tafamidis would be administered to patients prior to reaching New York Heart Association (NYHA) Class III ATTR-CM, as the major efficacy benefits of tafamidis were demonstrated in NYHA Classes I and II. However, the ACM considered the efficacy of tafamidis in NYHA Class III to be acceptable (Resolution of the Advisory Committee on Medicines, Meeting 19).</w:t>
      </w:r>
    </w:p>
    <w:p w:rsidR="00480ECA" w:rsidRPr="00E12BDF" w:rsidRDefault="00972D2D" w:rsidP="001200F0">
      <w:pPr>
        <w:pStyle w:val="ExecSumBodyText"/>
        <w:numPr>
          <w:ilvl w:val="0"/>
          <w:numId w:val="0"/>
        </w:numPr>
        <w:ind w:left="720"/>
        <w:rPr>
          <w:i/>
        </w:rPr>
      </w:pPr>
      <w:r w:rsidRPr="00E12BDF">
        <w:rPr>
          <w:i/>
        </w:rPr>
        <w:t>For more detail on PBAC’s view, see section 7 PBAC outcome.</w:t>
      </w:r>
    </w:p>
    <w:p w:rsidR="00B60939" w:rsidRPr="00E12BDF" w:rsidRDefault="00B50DB8" w:rsidP="003D53B9">
      <w:pPr>
        <w:pStyle w:val="2-SectionHeading"/>
        <w:tabs>
          <w:tab w:val="left" w:pos="993"/>
        </w:tabs>
      </w:pPr>
      <w:bookmarkStart w:id="5" w:name="_Toc40868590"/>
      <w:r w:rsidRPr="00E12BDF">
        <w:lastRenderedPageBreak/>
        <w:t>Requested listing</w:t>
      </w:r>
      <w:bookmarkEnd w:id="5"/>
    </w:p>
    <w:p w:rsidR="00504D74" w:rsidRPr="00E12BDF" w:rsidRDefault="00E83ECA" w:rsidP="00BC7D43">
      <w:pPr>
        <w:pStyle w:val="ExecSumBodyText"/>
        <w:rPr>
          <w:rFonts w:ascii="Calibri" w:hAnsi="Calibri" w:cs="Calibri"/>
          <w:bCs/>
          <w:snapToGrid/>
        </w:rPr>
      </w:pPr>
      <w:r w:rsidRPr="00E12BDF">
        <w:rPr>
          <w:rFonts w:ascii="Calibri" w:hAnsi="Calibri" w:cs="Calibri"/>
          <w:bCs/>
          <w:snapToGrid/>
        </w:rPr>
        <w:t xml:space="preserve">The restriction requested in the submission is outlined below. The PBAC’s suggested additions are added in italics and suggested deletions are crossed out with strikethrough. </w:t>
      </w:r>
    </w:p>
    <w:tbl>
      <w:tblPr>
        <w:tblW w:w="4994" w:type="pct"/>
        <w:tblInd w:w="5" w:type="dxa"/>
        <w:tblCellMar>
          <w:left w:w="28" w:type="dxa"/>
          <w:right w:w="28" w:type="dxa"/>
        </w:tblCellMar>
        <w:tblLook w:val="0000" w:firstRow="0" w:lastRow="0" w:firstColumn="0" w:lastColumn="0" w:noHBand="0" w:noVBand="0"/>
      </w:tblPr>
      <w:tblGrid>
        <w:gridCol w:w="2962"/>
        <w:gridCol w:w="1136"/>
        <w:gridCol w:w="712"/>
        <w:gridCol w:w="1846"/>
        <w:gridCol w:w="914"/>
        <w:gridCol w:w="1446"/>
      </w:tblGrid>
      <w:tr w:rsidR="003517F9" w:rsidRPr="00E12BDF" w:rsidTr="00497A1F">
        <w:trPr>
          <w:cantSplit/>
          <w:trHeight w:val="463"/>
        </w:trPr>
        <w:tc>
          <w:tcPr>
            <w:tcW w:w="1636" w:type="pct"/>
            <w:tcBorders>
              <w:top w:val="single" w:sz="4" w:space="0" w:color="auto"/>
              <w:bottom w:val="single" w:sz="4" w:space="0" w:color="auto"/>
            </w:tcBorders>
            <w:vAlign w:val="center"/>
          </w:tcPr>
          <w:p w:rsidR="00617E12" w:rsidRPr="00E12BDF" w:rsidRDefault="00617E12" w:rsidP="00617E12">
            <w:pPr>
              <w:keepNext/>
              <w:jc w:val="left"/>
              <w:rPr>
                <w:rFonts w:ascii="Arial Narrow" w:hAnsi="Arial Narrow"/>
                <w:b/>
                <w:sz w:val="20"/>
              </w:rPr>
            </w:pPr>
            <w:r w:rsidRPr="00E12BDF">
              <w:rPr>
                <w:rFonts w:ascii="Arial Narrow" w:hAnsi="Arial Narrow"/>
                <w:b/>
                <w:sz w:val="20"/>
              </w:rPr>
              <w:t>Name, Restriction,</w:t>
            </w:r>
          </w:p>
          <w:p w:rsidR="00617E12" w:rsidRPr="00E12BDF" w:rsidRDefault="00617E12" w:rsidP="00617E12">
            <w:pPr>
              <w:keepNext/>
              <w:jc w:val="left"/>
              <w:rPr>
                <w:rFonts w:ascii="Arial Narrow" w:hAnsi="Arial Narrow"/>
                <w:b/>
                <w:sz w:val="20"/>
              </w:rPr>
            </w:pPr>
            <w:r w:rsidRPr="00E12BDF">
              <w:rPr>
                <w:rFonts w:ascii="Arial Narrow" w:hAnsi="Arial Narrow"/>
                <w:b/>
                <w:sz w:val="20"/>
              </w:rPr>
              <w:t>Manner of administration and form</w:t>
            </w:r>
          </w:p>
        </w:tc>
        <w:tc>
          <w:tcPr>
            <w:tcW w:w="628" w:type="pct"/>
            <w:tcBorders>
              <w:top w:val="single" w:sz="4" w:space="0" w:color="auto"/>
              <w:bottom w:val="single" w:sz="4" w:space="0" w:color="auto"/>
            </w:tcBorders>
            <w:vAlign w:val="center"/>
          </w:tcPr>
          <w:p w:rsidR="00617E12" w:rsidRPr="00E12BDF" w:rsidRDefault="00617E12" w:rsidP="00617E12">
            <w:pPr>
              <w:keepNext/>
              <w:jc w:val="center"/>
              <w:rPr>
                <w:rFonts w:ascii="Arial Narrow" w:hAnsi="Arial Narrow"/>
                <w:b/>
                <w:sz w:val="20"/>
              </w:rPr>
            </w:pPr>
            <w:r w:rsidRPr="00E12BDF">
              <w:rPr>
                <w:rFonts w:ascii="Arial Narrow" w:hAnsi="Arial Narrow"/>
                <w:b/>
                <w:sz w:val="20"/>
              </w:rPr>
              <w:t>Max.</w:t>
            </w:r>
          </w:p>
          <w:p w:rsidR="00617E12" w:rsidRPr="00E12BDF" w:rsidRDefault="00617E12" w:rsidP="00497A1F">
            <w:pPr>
              <w:keepNext/>
              <w:jc w:val="center"/>
              <w:rPr>
                <w:rFonts w:ascii="Arial Narrow" w:hAnsi="Arial Narrow"/>
                <w:b/>
                <w:sz w:val="20"/>
              </w:rPr>
            </w:pPr>
            <w:r w:rsidRPr="00E12BDF">
              <w:rPr>
                <w:rFonts w:ascii="Arial Narrow" w:hAnsi="Arial Narrow"/>
                <w:b/>
                <w:sz w:val="20"/>
              </w:rPr>
              <w:t>Qty</w:t>
            </w:r>
            <w:r w:rsidR="00591957" w:rsidRPr="00E12BDF">
              <w:rPr>
                <w:rFonts w:ascii="Arial Narrow" w:hAnsi="Arial Narrow"/>
                <w:b/>
                <w:sz w:val="20"/>
              </w:rPr>
              <w:t xml:space="preserve"> </w:t>
            </w:r>
          </w:p>
        </w:tc>
        <w:tc>
          <w:tcPr>
            <w:tcW w:w="394" w:type="pct"/>
            <w:tcBorders>
              <w:top w:val="single" w:sz="4" w:space="0" w:color="auto"/>
              <w:bottom w:val="single" w:sz="4" w:space="0" w:color="auto"/>
            </w:tcBorders>
            <w:vAlign w:val="center"/>
          </w:tcPr>
          <w:p w:rsidR="00617E12" w:rsidRPr="00E12BDF" w:rsidRDefault="00617E12" w:rsidP="00617E12">
            <w:pPr>
              <w:keepNext/>
              <w:jc w:val="center"/>
              <w:rPr>
                <w:rFonts w:ascii="Arial Narrow" w:hAnsi="Arial Narrow"/>
                <w:b/>
                <w:sz w:val="20"/>
              </w:rPr>
            </w:pPr>
            <w:r w:rsidRPr="00E12BDF">
              <w:rPr>
                <w:rFonts w:ascii="Arial Narrow" w:hAnsi="Arial Narrow" w:cs="Times New Roman"/>
                <w:b/>
                <w:sz w:val="20"/>
              </w:rPr>
              <w:t>№</w:t>
            </w:r>
            <w:r w:rsidRPr="00E12BDF">
              <w:rPr>
                <w:rFonts w:ascii="Arial Narrow" w:hAnsi="Arial Narrow"/>
                <w:b/>
                <w:sz w:val="20"/>
              </w:rPr>
              <w:t>.of</w:t>
            </w:r>
          </w:p>
          <w:p w:rsidR="00617E12" w:rsidRPr="00E12BDF" w:rsidRDefault="00617E12" w:rsidP="00617E12">
            <w:pPr>
              <w:keepNext/>
              <w:jc w:val="center"/>
              <w:rPr>
                <w:rFonts w:ascii="Arial Narrow" w:hAnsi="Arial Narrow"/>
                <w:b/>
                <w:sz w:val="20"/>
              </w:rPr>
            </w:pPr>
            <w:r w:rsidRPr="00E12BDF">
              <w:rPr>
                <w:rFonts w:ascii="Arial Narrow" w:hAnsi="Arial Narrow"/>
                <w:b/>
                <w:sz w:val="20"/>
              </w:rPr>
              <w:t>Rpts</w:t>
            </w:r>
          </w:p>
        </w:tc>
        <w:tc>
          <w:tcPr>
            <w:tcW w:w="1021" w:type="pct"/>
            <w:tcBorders>
              <w:top w:val="single" w:sz="4" w:space="0" w:color="auto"/>
              <w:bottom w:val="single" w:sz="4" w:space="0" w:color="auto"/>
            </w:tcBorders>
            <w:vAlign w:val="center"/>
          </w:tcPr>
          <w:p w:rsidR="00617E12" w:rsidRPr="00E12BDF" w:rsidRDefault="00617E12" w:rsidP="00497A1F">
            <w:pPr>
              <w:keepNext/>
              <w:jc w:val="center"/>
              <w:rPr>
                <w:rFonts w:ascii="Arial Narrow" w:hAnsi="Arial Narrow"/>
                <w:b/>
                <w:sz w:val="20"/>
              </w:rPr>
            </w:pPr>
            <w:r w:rsidRPr="00E12BDF">
              <w:rPr>
                <w:rFonts w:ascii="Arial Narrow" w:hAnsi="Arial Narrow"/>
                <w:b/>
                <w:sz w:val="20"/>
              </w:rPr>
              <w:t>Dispensed Price for Max. Qty</w:t>
            </w:r>
            <w:r w:rsidR="00591957" w:rsidRPr="00E12BDF">
              <w:rPr>
                <w:rFonts w:ascii="Arial Narrow" w:hAnsi="Arial Narrow"/>
                <w:b/>
                <w:sz w:val="20"/>
              </w:rPr>
              <w:t xml:space="preserve"> </w:t>
            </w:r>
          </w:p>
        </w:tc>
        <w:tc>
          <w:tcPr>
            <w:tcW w:w="1304" w:type="pct"/>
            <w:gridSpan w:val="2"/>
            <w:tcBorders>
              <w:top w:val="single" w:sz="4" w:space="0" w:color="auto"/>
              <w:bottom w:val="single" w:sz="4" w:space="0" w:color="auto"/>
            </w:tcBorders>
            <w:vAlign w:val="center"/>
          </w:tcPr>
          <w:p w:rsidR="00617E12" w:rsidRPr="00E12BDF" w:rsidRDefault="00617E12" w:rsidP="00617E12">
            <w:pPr>
              <w:keepNext/>
              <w:jc w:val="center"/>
              <w:rPr>
                <w:rFonts w:ascii="Arial Narrow" w:hAnsi="Arial Narrow"/>
                <w:b/>
                <w:sz w:val="20"/>
              </w:rPr>
            </w:pPr>
            <w:r w:rsidRPr="00E12BDF">
              <w:rPr>
                <w:rFonts w:ascii="Arial Narrow" w:hAnsi="Arial Narrow"/>
                <w:b/>
                <w:sz w:val="20"/>
              </w:rPr>
              <w:t>Proprietary Name and Manufacturer</w:t>
            </w:r>
          </w:p>
        </w:tc>
      </w:tr>
      <w:tr w:rsidR="00497A1F" w:rsidRPr="00E12BDF" w:rsidTr="00497A1F">
        <w:trPr>
          <w:cantSplit/>
          <w:trHeight w:val="567"/>
        </w:trPr>
        <w:tc>
          <w:tcPr>
            <w:tcW w:w="1636" w:type="pct"/>
            <w:vAlign w:val="center"/>
          </w:tcPr>
          <w:p w:rsidR="00617E12" w:rsidRPr="00E12BDF" w:rsidRDefault="00497A1F" w:rsidP="00617E12">
            <w:pPr>
              <w:keepNext/>
              <w:jc w:val="left"/>
              <w:rPr>
                <w:rFonts w:ascii="Arial Narrow" w:hAnsi="Arial Narrow"/>
                <w:sz w:val="20"/>
              </w:rPr>
            </w:pPr>
            <w:r w:rsidRPr="00E12BDF">
              <w:rPr>
                <w:rFonts w:ascii="Arial Narrow" w:hAnsi="Arial Narrow"/>
                <w:smallCaps/>
                <w:sz w:val="20"/>
              </w:rPr>
              <w:t>Tafamidis</w:t>
            </w:r>
          </w:p>
          <w:p w:rsidR="00617E12" w:rsidRPr="00E12BDF" w:rsidRDefault="00497A1F" w:rsidP="00617E12">
            <w:pPr>
              <w:keepNext/>
              <w:jc w:val="left"/>
              <w:rPr>
                <w:rFonts w:ascii="Arial Narrow" w:hAnsi="Arial Narrow"/>
                <w:sz w:val="20"/>
              </w:rPr>
            </w:pPr>
            <w:r w:rsidRPr="00E12BDF">
              <w:rPr>
                <w:rFonts w:ascii="Arial Narrow" w:hAnsi="Arial Narrow"/>
                <w:sz w:val="20"/>
              </w:rPr>
              <w:t>61 mg capsules (30)</w:t>
            </w:r>
          </w:p>
        </w:tc>
        <w:tc>
          <w:tcPr>
            <w:tcW w:w="628" w:type="pct"/>
            <w:vAlign w:val="center"/>
          </w:tcPr>
          <w:p w:rsidR="00617E12" w:rsidRPr="00E12BDF" w:rsidRDefault="00497A1F" w:rsidP="00617E12">
            <w:pPr>
              <w:keepNext/>
              <w:jc w:val="center"/>
              <w:rPr>
                <w:rFonts w:ascii="Arial Narrow" w:hAnsi="Arial Narrow"/>
                <w:sz w:val="20"/>
              </w:rPr>
            </w:pPr>
            <w:r w:rsidRPr="00E12BDF">
              <w:rPr>
                <w:rFonts w:ascii="Arial Narrow" w:hAnsi="Arial Narrow"/>
                <w:sz w:val="20"/>
              </w:rPr>
              <w:t>1</w:t>
            </w:r>
          </w:p>
        </w:tc>
        <w:tc>
          <w:tcPr>
            <w:tcW w:w="394" w:type="pct"/>
            <w:vAlign w:val="center"/>
          </w:tcPr>
          <w:p w:rsidR="00617E12" w:rsidRPr="00E12BDF" w:rsidRDefault="00497A1F" w:rsidP="00617E12">
            <w:pPr>
              <w:keepNext/>
              <w:jc w:val="center"/>
              <w:rPr>
                <w:rFonts w:ascii="Arial Narrow" w:hAnsi="Arial Narrow"/>
                <w:sz w:val="20"/>
              </w:rPr>
            </w:pPr>
            <w:r w:rsidRPr="00E12BDF">
              <w:rPr>
                <w:rFonts w:ascii="Arial Narrow" w:hAnsi="Arial Narrow"/>
                <w:sz w:val="20"/>
              </w:rPr>
              <w:t>5</w:t>
            </w:r>
          </w:p>
        </w:tc>
        <w:tc>
          <w:tcPr>
            <w:tcW w:w="1021" w:type="pct"/>
            <w:vAlign w:val="center"/>
          </w:tcPr>
          <w:p w:rsidR="00617E12" w:rsidRPr="00E12BDF" w:rsidRDefault="00617E12" w:rsidP="00497A1F">
            <w:pPr>
              <w:keepNext/>
              <w:jc w:val="center"/>
              <w:rPr>
                <w:rFonts w:ascii="Arial Narrow" w:hAnsi="Arial Narrow"/>
                <w:sz w:val="20"/>
              </w:rPr>
            </w:pPr>
            <w:r w:rsidRPr="00E12BDF">
              <w:rPr>
                <w:rFonts w:ascii="Arial Narrow" w:hAnsi="Arial Narrow"/>
                <w:sz w:val="20"/>
              </w:rPr>
              <w:t>$</w:t>
            </w:r>
            <w:r w:rsidR="00851F31">
              <w:rPr>
                <w:rFonts w:ascii="Arial Narrow" w:hAnsi="Arial Narrow"/>
                <w:noProof/>
                <w:color w:val="000000"/>
                <w:sz w:val="20"/>
                <w:highlight w:val="black"/>
              </w:rPr>
              <w:t>'''''''''''''''''''</w:t>
            </w:r>
            <w:r w:rsidR="00851F31" w:rsidRPr="00E12BDF">
              <w:rPr>
                <w:rFonts w:ascii="Arial Narrow" w:hAnsi="Arial Narrow"/>
                <w:sz w:val="20"/>
              </w:rPr>
              <w:t xml:space="preserve"> </w:t>
            </w:r>
            <w:r w:rsidR="00497A1F" w:rsidRPr="00E12BDF">
              <w:rPr>
                <w:rFonts w:ascii="Arial Narrow" w:hAnsi="Arial Narrow"/>
                <w:sz w:val="20"/>
              </w:rPr>
              <w:t>(published)</w:t>
            </w:r>
          </w:p>
          <w:p w:rsidR="00497A1F" w:rsidRPr="00E12BDF" w:rsidRDefault="00497A1F" w:rsidP="00497A1F">
            <w:pPr>
              <w:keepNext/>
              <w:jc w:val="center"/>
              <w:rPr>
                <w:rFonts w:ascii="Arial Narrow" w:hAnsi="Arial Narrow"/>
                <w:sz w:val="20"/>
              </w:rPr>
            </w:pPr>
            <w:r w:rsidRPr="00E12BDF">
              <w:rPr>
                <w:rFonts w:ascii="Arial Narrow" w:hAnsi="Arial Narrow"/>
                <w:sz w:val="20"/>
              </w:rPr>
              <w:t>$</w:t>
            </w:r>
            <w:r w:rsidR="005F357F">
              <w:rPr>
                <w:rFonts w:ascii="Arial Narrow" w:hAnsi="Arial Narrow"/>
                <w:noProof/>
                <w:color w:val="000000"/>
                <w:sz w:val="20"/>
                <w:highlight w:val="black"/>
              </w:rPr>
              <w:t>'''''''''''''''</w:t>
            </w:r>
            <w:r w:rsidRPr="00E12BDF">
              <w:rPr>
                <w:rFonts w:ascii="Arial Narrow" w:hAnsi="Arial Narrow"/>
                <w:sz w:val="20"/>
              </w:rPr>
              <w:t xml:space="preserve"> (effective)</w:t>
            </w:r>
          </w:p>
        </w:tc>
        <w:tc>
          <w:tcPr>
            <w:tcW w:w="505" w:type="pct"/>
            <w:vAlign w:val="center"/>
          </w:tcPr>
          <w:p w:rsidR="00617E12" w:rsidRPr="00E12BDF" w:rsidRDefault="00497A1F" w:rsidP="00617E12">
            <w:pPr>
              <w:keepNext/>
              <w:jc w:val="center"/>
              <w:rPr>
                <w:rFonts w:ascii="Arial Narrow" w:hAnsi="Arial Narrow"/>
                <w:sz w:val="20"/>
              </w:rPr>
            </w:pPr>
            <w:r w:rsidRPr="00E12BDF">
              <w:rPr>
                <w:rFonts w:ascii="Arial Narrow" w:hAnsi="Arial Narrow"/>
                <w:sz w:val="20"/>
              </w:rPr>
              <w:t>Vyndamax</w:t>
            </w:r>
            <w:r w:rsidRPr="00E12BDF">
              <w:rPr>
                <w:rFonts w:ascii="Arial Narrow" w:hAnsi="Arial Narrow"/>
                <w:sz w:val="20"/>
                <w:vertAlign w:val="superscript"/>
              </w:rPr>
              <w:t>®</w:t>
            </w:r>
          </w:p>
        </w:tc>
        <w:tc>
          <w:tcPr>
            <w:tcW w:w="799" w:type="pct"/>
            <w:vAlign w:val="center"/>
          </w:tcPr>
          <w:p w:rsidR="00591957" w:rsidRPr="00E12BDF" w:rsidRDefault="00497A1F" w:rsidP="00EC0DD9">
            <w:pPr>
              <w:keepNext/>
              <w:jc w:val="center"/>
              <w:rPr>
                <w:rFonts w:ascii="Arial Narrow" w:hAnsi="Arial Narrow"/>
                <w:sz w:val="20"/>
              </w:rPr>
            </w:pPr>
            <w:r w:rsidRPr="00E12BDF">
              <w:rPr>
                <w:rFonts w:ascii="Arial Narrow" w:hAnsi="Arial Narrow"/>
                <w:sz w:val="20"/>
              </w:rPr>
              <w:t>Pfizer Australia Pty Ltd</w:t>
            </w:r>
          </w:p>
        </w:tc>
      </w:tr>
    </w:tbl>
    <w:p w:rsidR="00FF3BF2" w:rsidRPr="00E12BDF" w:rsidRDefault="00FF3BF2" w:rsidP="00FF3BF2">
      <w:pPr>
        <w:rPr>
          <w:rFonts w:ascii="Arial Narrow" w:hAnsi="Arial Narrow"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A09EB" w:rsidRPr="00E12BDF" w:rsidTr="00CA09EB">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CF5B6B">
            <w:pPr>
              <w:rPr>
                <w:rFonts w:ascii="Arial Narrow" w:eastAsia="Calibri" w:hAnsi="Arial Narrow" w:cs="Calibri"/>
                <w:sz w:val="18"/>
                <w:szCs w:val="18"/>
                <w:lang w:eastAsia="en-US"/>
              </w:rPr>
            </w:pPr>
            <w:r w:rsidRPr="00E12BDF">
              <w:rPr>
                <w:rFonts w:ascii="Arial Narrow" w:eastAsia="Calibri" w:hAnsi="Arial Narrow" w:cs="Calibri"/>
                <w:b/>
                <w:sz w:val="18"/>
                <w:szCs w:val="18"/>
                <w:lang w:eastAsia="en-US"/>
              </w:rPr>
              <w:t xml:space="preserve">Category / Program:   </w:t>
            </w:r>
            <w:r w:rsidRPr="00E12BDF">
              <w:rPr>
                <w:rFonts w:ascii="Arial Narrow" w:eastAsia="Calibri" w:hAnsi="Arial Narrow" w:cs="Calibri"/>
                <w:sz w:val="18"/>
                <w:szCs w:val="18"/>
                <w:lang w:eastAsia="en-US"/>
              </w:rPr>
              <w:t xml:space="preserve">GENERAL – General Schedule (Code GE) </w:t>
            </w:r>
          </w:p>
        </w:tc>
      </w:tr>
      <w:tr w:rsidR="00CA09EB" w:rsidRPr="00E12BDF" w:rsidTr="00CA09EB">
        <w:trPr>
          <w:trHeight w:val="366"/>
        </w:trPr>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8A56A0">
            <w:pPr>
              <w:rPr>
                <w:rFonts w:ascii="Arial Narrow" w:eastAsia="Calibri" w:hAnsi="Arial Narrow" w:cs="Calibri"/>
                <w:sz w:val="18"/>
                <w:szCs w:val="18"/>
                <w:lang w:eastAsia="en-US"/>
              </w:rPr>
            </w:pPr>
            <w:r w:rsidRPr="00E12BDF">
              <w:rPr>
                <w:rFonts w:ascii="Arial Narrow" w:eastAsia="Calibri" w:hAnsi="Arial Narrow" w:cs="Calibri"/>
                <w:b/>
                <w:sz w:val="18"/>
                <w:szCs w:val="18"/>
                <w:lang w:eastAsia="en-US"/>
              </w:rPr>
              <w:t xml:space="preserve">Prescriber type:  </w:t>
            </w:r>
            <w:r w:rsidRPr="00E12BDF">
              <w:rPr>
                <w:rFonts w:ascii="Arial Narrow" w:eastAsia="Calibri" w:hAnsi="Arial Narrow" w:cs="Calibri"/>
                <w:sz w:val="18"/>
                <w:szCs w:val="18"/>
                <w:lang w:eastAsia="en-US"/>
              </w:rPr>
              <w:fldChar w:fldCharType="begin">
                <w:ffData>
                  <w:name w:val=""/>
                  <w:enabled/>
                  <w:calcOnExit w:val="0"/>
                  <w:checkBox>
                    <w:sizeAuto/>
                    <w:default w:val="1"/>
                  </w:checkBox>
                </w:ffData>
              </w:fldChar>
            </w:r>
            <w:r w:rsidRPr="00E12BDF">
              <w:rPr>
                <w:rFonts w:ascii="Arial Narrow" w:eastAsia="Calibri" w:hAnsi="Arial Narrow" w:cs="Calibri"/>
                <w:sz w:val="18"/>
                <w:szCs w:val="18"/>
                <w:lang w:eastAsia="en-US"/>
              </w:rPr>
              <w:instrText xml:space="preserve"> FORMCHECKBOX </w:instrText>
            </w:r>
            <w:r w:rsidR="00313B04">
              <w:rPr>
                <w:rFonts w:ascii="Arial Narrow" w:eastAsia="Calibri" w:hAnsi="Arial Narrow" w:cs="Calibri"/>
                <w:sz w:val="18"/>
                <w:szCs w:val="18"/>
                <w:lang w:eastAsia="en-US"/>
              </w:rPr>
            </w:r>
            <w:r w:rsidR="00313B04">
              <w:rPr>
                <w:rFonts w:ascii="Arial Narrow" w:eastAsia="Calibri" w:hAnsi="Arial Narrow" w:cs="Calibri"/>
                <w:sz w:val="18"/>
                <w:szCs w:val="18"/>
                <w:lang w:eastAsia="en-US"/>
              </w:rPr>
              <w:fldChar w:fldCharType="separate"/>
            </w:r>
            <w:r w:rsidRPr="00E12BDF">
              <w:rPr>
                <w:rFonts w:ascii="Arial Narrow" w:eastAsia="Calibri" w:hAnsi="Arial Narrow" w:cs="Calibri"/>
                <w:sz w:val="18"/>
                <w:szCs w:val="18"/>
                <w:lang w:eastAsia="en-US"/>
              </w:rPr>
              <w:fldChar w:fldCharType="end"/>
            </w:r>
            <w:r w:rsidRPr="00E12BDF">
              <w:rPr>
                <w:rFonts w:ascii="Arial Narrow" w:eastAsia="Calibri" w:hAnsi="Arial Narrow" w:cs="Calibri"/>
                <w:sz w:val="18"/>
                <w:szCs w:val="18"/>
                <w:lang w:eastAsia="en-US"/>
              </w:rPr>
              <w:t xml:space="preserve">Medical Practitioners  </w:t>
            </w:r>
          </w:p>
        </w:tc>
      </w:tr>
      <w:tr w:rsidR="00CA09EB" w:rsidRPr="00E12BDF" w:rsidTr="00CA09EB">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CF5B6B">
            <w:pPr>
              <w:rPr>
                <w:rFonts w:ascii="Arial Narrow" w:eastAsia="Calibri" w:hAnsi="Arial Narrow" w:cs="Calibri"/>
                <w:b/>
                <w:sz w:val="18"/>
                <w:szCs w:val="18"/>
                <w:lang w:eastAsia="en-US"/>
              </w:rPr>
            </w:pPr>
            <w:r w:rsidRPr="00E12BDF">
              <w:rPr>
                <w:rFonts w:ascii="Arial Narrow" w:eastAsia="Calibri" w:hAnsi="Arial Narrow" w:cs="Calibri"/>
                <w:b/>
                <w:sz w:val="18"/>
                <w:szCs w:val="18"/>
                <w:lang w:eastAsia="en-US"/>
              </w:rPr>
              <w:t xml:space="preserve">Restriction </w:t>
            </w:r>
            <w:r w:rsidR="008A56A0" w:rsidRPr="00E12BDF">
              <w:rPr>
                <w:rFonts w:ascii="Arial Narrow" w:eastAsia="Calibri" w:hAnsi="Arial Narrow" w:cs="Calibri"/>
                <w:b/>
                <w:sz w:val="18"/>
                <w:szCs w:val="18"/>
                <w:lang w:eastAsia="en-US"/>
              </w:rPr>
              <w:t xml:space="preserve">type </w:t>
            </w:r>
            <w:r w:rsidRPr="00E12BDF">
              <w:rPr>
                <w:rFonts w:ascii="Arial Narrow" w:eastAsia="Calibri" w:hAnsi="Arial Narrow" w:cs="Calibri"/>
                <w:b/>
                <w:sz w:val="18"/>
                <w:szCs w:val="18"/>
                <w:lang w:eastAsia="en-US"/>
              </w:rPr>
              <w:t>/ Method:</w:t>
            </w:r>
          </w:p>
          <w:p w:rsidR="00CA09EB" w:rsidRPr="00E12BDF" w:rsidRDefault="00CA09EB" w:rsidP="008A56A0">
            <w:pPr>
              <w:rPr>
                <w:rFonts w:ascii="Arial Narrow" w:eastAsia="Calibri" w:hAnsi="Arial Narrow" w:cs="Calibri"/>
                <w:sz w:val="18"/>
                <w:szCs w:val="18"/>
                <w:lang w:eastAsia="en-US"/>
              </w:rPr>
            </w:pPr>
            <w:r w:rsidRPr="00E12BDF">
              <w:rPr>
                <w:rFonts w:ascii="Arial Narrow" w:eastAsia="Calibri" w:hAnsi="Arial Narrow"/>
                <w:sz w:val="18"/>
                <w:szCs w:val="18"/>
                <w:lang w:eastAsia="en-US"/>
              </w:rPr>
              <w:fldChar w:fldCharType="begin">
                <w:ffData>
                  <w:name w:val=""/>
                  <w:enabled/>
                  <w:calcOnExit w:val="0"/>
                  <w:checkBox>
                    <w:sizeAuto/>
                    <w:default w:val="1"/>
                  </w:checkBox>
                </w:ffData>
              </w:fldChar>
            </w:r>
            <w:r w:rsidRPr="00E12BDF">
              <w:rPr>
                <w:rFonts w:ascii="Arial Narrow" w:eastAsia="Calibri" w:hAnsi="Arial Narrow"/>
                <w:sz w:val="18"/>
                <w:szCs w:val="18"/>
                <w:lang w:eastAsia="en-US"/>
              </w:rPr>
              <w:instrText xml:space="preserve"> FORMCHECKBOX </w:instrText>
            </w:r>
            <w:r w:rsidR="00313B04">
              <w:rPr>
                <w:rFonts w:ascii="Arial Narrow" w:eastAsia="Calibri" w:hAnsi="Arial Narrow"/>
                <w:sz w:val="18"/>
                <w:szCs w:val="18"/>
                <w:lang w:eastAsia="en-US"/>
              </w:rPr>
            </w:r>
            <w:r w:rsidR="00313B04">
              <w:rPr>
                <w:rFonts w:ascii="Arial Narrow" w:eastAsia="Calibri" w:hAnsi="Arial Narrow"/>
                <w:sz w:val="18"/>
                <w:szCs w:val="18"/>
                <w:lang w:eastAsia="en-US"/>
              </w:rPr>
              <w:fldChar w:fldCharType="separate"/>
            </w:r>
            <w:r w:rsidRPr="00E12BDF">
              <w:rPr>
                <w:rFonts w:ascii="Arial Narrow" w:eastAsia="Calibri" w:hAnsi="Arial Narrow"/>
                <w:sz w:val="18"/>
                <w:szCs w:val="18"/>
                <w:lang w:eastAsia="en-US"/>
              </w:rPr>
              <w:fldChar w:fldCharType="end"/>
            </w:r>
            <w:r w:rsidRPr="00E12BDF">
              <w:rPr>
                <w:rFonts w:ascii="Arial Narrow" w:eastAsia="Calibri" w:hAnsi="Arial Narrow"/>
                <w:sz w:val="18"/>
                <w:szCs w:val="18"/>
                <w:lang w:eastAsia="en-US"/>
              </w:rPr>
              <w:t xml:space="preserve">Authority Required – non-immediate/delayed assessment by </w:t>
            </w:r>
            <w:r w:rsidR="008A56A0" w:rsidRPr="00E12BDF">
              <w:rPr>
                <w:rFonts w:ascii="Arial Narrow" w:eastAsia="Calibri" w:hAnsi="Arial Narrow"/>
                <w:sz w:val="18"/>
                <w:szCs w:val="18"/>
                <w:lang w:eastAsia="en-US"/>
              </w:rPr>
              <w:t xml:space="preserve">Services Australia </w:t>
            </w:r>
            <w:r w:rsidRPr="00E12BDF">
              <w:rPr>
                <w:rFonts w:ascii="Arial Narrow" w:eastAsia="Calibri" w:hAnsi="Arial Narrow"/>
                <w:sz w:val="18"/>
                <w:szCs w:val="18"/>
                <w:lang w:eastAsia="en-US"/>
              </w:rPr>
              <w:t xml:space="preserve">(In-writing </w:t>
            </w:r>
            <w:r w:rsidR="006636E4" w:rsidRPr="00E12BDF">
              <w:rPr>
                <w:rFonts w:ascii="Arial Narrow" w:eastAsia="Calibri" w:hAnsi="Arial Narrow"/>
                <w:sz w:val="18"/>
                <w:szCs w:val="18"/>
                <w:lang w:eastAsia="en-US"/>
              </w:rPr>
              <w:t>only via mail/postal service or</w:t>
            </w:r>
            <w:r w:rsidRPr="00E12BDF">
              <w:rPr>
                <w:rFonts w:ascii="Arial Narrow" w:eastAsia="Calibri" w:hAnsi="Arial Narrow"/>
                <w:sz w:val="18"/>
                <w:szCs w:val="18"/>
                <w:lang w:eastAsia="en-US"/>
              </w:rPr>
              <w:t xml:space="preserve"> electronic upload to Hobart)</w:t>
            </w:r>
          </w:p>
        </w:tc>
      </w:tr>
      <w:tr w:rsidR="00CA09EB" w:rsidRPr="00E12BDF" w:rsidTr="00CA09EB">
        <w:tc>
          <w:tcPr>
            <w:tcW w:w="5000" w:type="pct"/>
            <w:tcBorders>
              <w:left w:val="single" w:sz="4" w:space="0" w:color="auto"/>
            </w:tcBorders>
            <w:vAlign w:val="center"/>
          </w:tcPr>
          <w:p w:rsidR="00CA09EB" w:rsidRPr="00E12BDF" w:rsidRDefault="00CA09EB" w:rsidP="00CF5B6B">
            <w:pPr>
              <w:jc w:val="left"/>
              <w:rPr>
                <w:rFonts w:ascii="Arial Narrow" w:hAnsi="Arial Narrow" w:cs="Calibri"/>
                <w:b/>
                <w:bCs/>
                <w:sz w:val="18"/>
                <w:szCs w:val="18"/>
              </w:rPr>
            </w:pPr>
            <w:r w:rsidRPr="00E12BDF">
              <w:rPr>
                <w:rFonts w:ascii="Arial Narrow" w:hAnsi="Arial Narrow" w:cs="Calibri"/>
                <w:b/>
                <w:bCs/>
                <w:sz w:val="18"/>
                <w:szCs w:val="18"/>
              </w:rPr>
              <w:t xml:space="preserve">Condition: </w:t>
            </w:r>
            <w:r w:rsidRPr="00E12BDF">
              <w:rPr>
                <w:rFonts w:ascii="Arial Narrow" w:hAnsi="Arial Narrow" w:cs="Calibri"/>
                <w:bCs/>
                <w:sz w:val="18"/>
                <w:szCs w:val="18"/>
              </w:rPr>
              <w:t xml:space="preserve">Transthyretin amyloid cardiomyopathy </w:t>
            </w:r>
            <w:r w:rsidRPr="00E12BDF">
              <w:rPr>
                <w:rFonts w:ascii="Arial Narrow" w:hAnsi="Arial Narrow" w:cs="Calibri"/>
                <w:bCs/>
                <w:strike/>
                <w:sz w:val="18"/>
                <w:szCs w:val="18"/>
              </w:rPr>
              <w:t>(ATTR-CM) due to wild type or variant transthyretin</w:t>
            </w:r>
          </w:p>
        </w:tc>
      </w:tr>
      <w:tr w:rsidR="00CA09EB" w:rsidRPr="00E12BDF" w:rsidTr="00CA09EB">
        <w:trPr>
          <w:trHeight w:val="336"/>
        </w:trPr>
        <w:tc>
          <w:tcPr>
            <w:tcW w:w="5000" w:type="pct"/>
            <w:vAlign w:val="center"/>
            <w:hideMark/>
          </w:tcPr>
          <w:p w:rsidR="00CA09EB" w:rsidRPr="00E12BDF" w:rsidRDefault="00CA09EB" w:rsidP="00AD173D">
            <w:pPr>
              <w:jc w:val="left"/>
              <w:rPr>
                <w:rFonts w:ascii="Arial Narrow" w:hAnsi="Arial Narrow" w:cs="Calibri"/>
                <w:sz w:val="18"/>
                <w:szCs w:val="18"/>
              </w:rPr>
            </w:pPr>
            <w:r w:rsidRPr="00E12BDF">
              <w:rPr>
                <w:rFonts w:ascii="Arial Narrow" w:hAnsi="Arial Narrow" w:cs="Calibri"/>
                <w:b/>
                <w:bCs/>
                <w:sz w:val="18"/>
                <w:szCs w:val="18"/>
              </w:rPr>
              <w:t>Indication:</w:t>
            </w:r>
            <w:r w:rsidRPr="00E12BDF">
              <w:rPr>
                <w:rFonts w:ascii="Arial Narrow" w:hAnsi="Arial Narrow" w:cs="Calibri"/>
                <w:sz w:val="18"/>
                <w:szCs w:val="18"/>
              </w:rPr>
              <w:t xml:space="preserve"> Transthyretin amyloid cardiomyopathy</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sz w:val="18"/>
                <w:szCs w:val="18"/>
              </w:rPr>
            </w:pPr>
            <w:r w:rsidRPr="00E12BDF">
              <w:rPr>
                <w:rFonts w:ascii="Arial Narrow" w:hAnsi="Arial Narrow" w:cs="Calibri"/>
                <w:b/>
                <w:bCs/>
                <w:sz w:val="18"/>
                <w:szCs w:val="18"/>
              </w:rPr>
              <w:t>Treatment Phase:</w:t>
            </w:r>
            <w:r w:rsidRPr="00E12BDF">
              <w:rPr>
                <w:rFonts w:ascii="Arial Narrow" w:hAnsi="Arial Narrow" w:cs="Calibri"/>
                <w:sz w:val="18"/>
                <w:szCs w:val="18"/>
              </w:rPr>
              <w:t xml:space="preserve"> Initial treatment</w:t>
            </w:r>
          </w:p>
        </w:tc>
      </w:tr>
      <w:tr w:rsidR="00CA09EB" w:rsidRPr="00E12BDF" w:rsidTr="00CA09EB">
        <w:tc>
          <w:tcPr>
            <w:tcW w:w="5000" w:type="pct"/>
            <w:vAlign w:val="center"/>
          </w:tcPr>
          <w:p w:rsidR="00CA09EB" w:rsidRPr="00E12BDF" w:rsidRDefault="00CA09EB" w:rsidP="00CF5B6B">
            <w:pPr>
              <w:jc w:val="left"/>
              <w:rPr>
                <w:rFonts w:ascii="Arial Narrow" w:hAnsi="Arial Narrow" w:cs="Calibri"/>
                <w:b/>
                <w:bCs/>
                <w:i/>
                <w:sz w:val="18"/>
                <w:szCs w:val="18"/>
              </w:rPr>
            </w:pPr>
            <w:r w:rsidRPr="00E12BDF">
              <w:rPr>
                <w:rFonts w:ascii="Arial Narrow" w:hAnsi="Arial Narrow" w:cs="Calibri"/>
                <w:b/>
                <w:bCs/>
                <w:i/>
                <w:sz w:val="18"/>
                <w:szCs w:val="18"/>
              </w:rPr>
              <w:t>Clinical criteria:</w:t>
            </w:r>
          </w:p>
        </w:tc>
      </w:tr>
      <w:tr w:rsidR="00CA09EB" w:rsidRPr="00E12BDF" w:rsidTr="00CA09EB">
        <w:tc>
          <w:tcPr>
            <w:tcW w:w="5000" w:type="pct"/>
            <w:vAlign w:val="center"/>
          </w:tcPr>
          <w:p w:rsidR="00CA09EB" w:rsidRPr="00E12BDF" w:rsidRDefault="00CA09EB" w:rsidP="00CF5B6B">
            <w:pPr>
              <w:jc w:val="left"/>
              <w:rPr>
                <w:rFonts w:ascii="Arial Narrow" w:hAnsi="Arial Narrow" w:cs="Calibri"/>
                <w:b/>
                <w:bCs/>
                <w:i/>
                <w:sz w:val="18"/>
                <w:szCs w:val="18"/>
              </w:rPr>
            </w:pPr>
            <w:r w:rsidRPr="00E12BDF">
              <w:rPr>
                <w:rFonts w:ascii="Arial Narrow" w:hAnsi="Arial Narrow" w:cs="Calibri"/>
                <w:bCs/>
                <w:i/>
                <w:sz w:val="18"/>
                <w:szCs w:val="18"/>
              </w:rPr>
              <w:t xml:space="preserve">The condition must be wild type transthyretin amyloidosis; or </w:t>
            </w:r>
          </w:p>
        </w:tc>
      </w:tr>
      <w:tr w:rsidR="00CA09EB" w:rsidRPr="00E12BDF" w:rsidTr="00CA09EB">
        <w:tc>
          <w:tcPr>
            <w:tcW w:w="5000" w:type="pct"/>
            <w:vAlign w:val="center"/>
          </w:tcPr>
          <w:p w:rsidR="00CA09EB" w:rsidRPr="00E12BDF" w:rsidRDefault="00CA09EB" w:rsidP="00CF5B6B">
            <w:pPr>
              <w:jc w:val="left"/>
              <w:rPr>
                <w:rFonts w:ascii="Arial Narrow" w:hAnsi="Arial Narrow" w:cs="Calibri"/>
                <w:b/>
                <w:bCs/>
                <w:i/>
                <w:sz w:val="18"/>
                <w:szCs w:val="18"/>
              </w:rPr>
            </w:pPr>
            <w:r w:rsidRPr="00E12BDF">
              <w:rPr>
                <w:rFonts w:ascii="Arial Narrow" w:hAnsi="Arial Narrow" w:cs="Calibri"/>
                <w:bCs/>
                <w:i/>
                <w:sz w:val="18"/>
                <w:szCs w:val="18"/>
              </w:rPr>
              <w:t>The condition must be variant transthyretin type amyloidosis</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
                <w:bCs/>
                <w:i/>
                <w:sz w:val="18"/>
                <w:szCs w:val="18"/>
              </w:rPr>
              <w:t>Clinical criteria:</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sz w:val="18"/>
                <w:szCs w:val="18"/>
              </w:rPr>
            </w:pPr>
            <w:r w:rsidRPr="00E12BDF">
              <w:rPr>
                <w:rFonts w:ascii="Arial Narrow" w:hAnsi="Arial Narrow" w:cs="Calibri"/>
                <w:sz w:val="18"/>
                <w:szCs w:val="18"/>
              </w:rPr>
              <w:t xml:space="preserve">Patient </w:t>
            </w:r>
            <w:r w:rsidRPr="00E12BDF">
              <w:rPr>
                <w:rFonts w:ascii="Arial Narrow" w:hAnsi="Arial Narrow" w:cs="Calibri"/>
                <w:i/>
                <w:sz w:val="18"/>
                <w:szCs w:val="18"/>
              </w:rPr>
              <w:t xml:space="preserve">must have evidence or </w:t>
            </w:r>
            <w:r w:rsidRPr="00E12BDF">
              <w:rPr>
                <w:rFonts w:ascii="Arial Narrow" w:hAnsi="Arial Narrow" w:cs="Calibri"/>
                <w:strike/>
                <w:sz w:val="18"/>
                <w:szCs w:val="18"/>
              </w:rPr>
              <w:t>has a</w:t>
            </w:r>
            <w:r w:rsidRPr="00E12BDF">
              <w:rPr>
                <w:rFonts w:ascii="Arial Narrow" w:hAnsi="Arial Narrow" w:cs="Calibri"/>
                <w:sz w:val="18"/>
                <w:szCs w:val="18"/>
              </w:rPr>
              <w:t xml:space="preserve"> history of heart failure </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i/>
                <w:sz w:val="18"/>
                <w:szCs w:val="18"/>
              </w:rPr>
            </w:pPr>
            <w:r w:rsidRPr="00E12BDF">
              <w:rPr>
                <w:rFonts w:ascii="Arial Narrow" w:hAnsi="Arial Narrow" w:cs="Calibri"/>
                <w:b/>
                <w:bCs/>
                <w:i/>
                <w:sz w:val="18"/>
                <w:szCs w:val="18"/>
              </w:rPr>
              <w:t>AND</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i/>
                <w:sz w:val="18"/>
                <w:szCs w:val="18"/>
              </w:rPr>
              <w:t>Patient must have New York Heart Association Class I to III heart failure</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
                <w:bCs/>
                <w:i/>
                <w:sz w:val="18"/>
                <w:szCs w:val="18"/>
              </w:rPr>
              <w:t>AND</w:t>
            </w:r>
          </w:p>
        </w:tc>
      </w:tr>
      <w:tr w:rsidR="00CA09EB" w:rsidRPr="00E12BDF" w:rsidTr="00CA09EB">
        <w:tc>
          <w:tcPr>
            <w:tcW w:w="5000" w:type="pct"/>
            <w:vAlign w:val="center"/>
          </w:tcPr>
          <w:p w:rsidR="00CA09EB" w:rsidRPr="00E12BDF" w:rsidRDefault="00CA09EB" w:rsidP="00660199">
            <w:pPr>
              <w:jc w:val="left"/>
              <w:rPr>
                <w:rFonts w:ascii="Arial Narrow" w:hAnsi="Arial Narrow" w:cs="Calibri"/>
                <w:b/>
                <w:bCs/>
                <w:sz w:val="18"/>
                <w:szCs w:val="18"/>
              </w:rPr>
            </w:pPr>
            <w:r w:rsidRPr="00660199">
              <w:rPr>
                <w:rFonts w:ascii="Arial Narrow" w:hAnsi="Arial Narrow" w:cs="Calibri"/>
                <w:bCs/>
                <w:sz w:val="18"/>
                <w:szCs w:val="18"/>
              </w:rPr>
              <w:t>Patient</w:t>
            </w:r>
            <w:r w:rsidRPr="00E12BDF">
              <w:rPr>
                <w:rFonts w:ascii="Arial Narrow" w:hAnsi="Arial Narrow" w:cs="Calibri"/>
                <w:bCs/>
                <w:i/>
                <w:sz w:val="18"/>
                <w:szCs w:val="18"/>
              </w:rPr>
              <w:t xml:space="preserve"> </w:t>
            </w:r>
            <w:r w:rsidR="007F7C7A">
              <w:rPr>
                <w:rFonts w:ascii="Arial Narrow" w:hAnsi="Arial Narrow" w:cs="Calibri"/>
                <w:bCs/>
                <w:i/>
                <w:sz w:val="18"/>
                <w:szCs w:val="18"/>
              </w:rPr>
              <w:t xml:space="preserve">must </w:t>
            </w:r>
            <w:r w:rsidR="00660199">
              <w:rPr>
                <w:rFonts w:ascii="Arial Narrow" w:hAnsi="Arial Narrow" w:cs="Calibri"/>
                <w:bCs/>
                <w:i/>
                <w:sz w:val="18"/>
                <w:szCs w:val="18"/>
              </w:rPr>
              <w:t>have</w:t>
            </w:r>
            <w:r w:rsidRPr="00E12BDF">
              <w:rPr>
                <w:rFonts w:ascii="Arial Narrow" w:hAnsi="Arial Narrow" w:cs="Calibri"/>
                <w:bCs/>
                <w:sz w:val="18"/>
                <w:szCs w:val="18"/>
              </w:rPr>
              <w:t xml:space="preserve"> </w:t>
            </w:r>
            <w:r w:rsidRPr="00E12BDF">
              <w:rPr>
                <w:rFonts w:ascii="Arial Narrow" w:hAnsi="Arial Narrow" w:cs="Calibri"/>
                <w:bCs/>
                <w:strike/>
                <w:sz w:val="18"/>
                <w:szCs w:val="18"/>
              </w:rPr>
              <w:t xml:space="preserve">evidence of cardiac involvement by echocardiography with </w:t>
            </w:r>
            <w:r w:rsidRPr="00E12BDF">
              <w:rPr>
                <w:rFonts w:ascii="Arial Narrow" w:hAnsi="Arial Narrow" w:cs="Calibri"/>
                <w:bCs/>
                <w:sz w:val="18"/>
                <w:szCs w:val="18"/>
              </w:rPr>
              <w:t xml:space="preserve">an end-diastolic interventricular septal wall thickness </w:t>
            </w:r>
            <w:r w:rsidRPr="00E12BDF">
              <w:rPr>
                <w:rFonts w:ascii="Arial Narrow" w:hAnsi="Arial Narrow" w:cs="Calibri"/>
                <w:bCs/>
                <w:strike/>
                <w:sz w:val="18"/>
                <w:szCs w:val="18"/>
              </w:rPr>
              <w:t xml:space="preserve">≥ </w:t>
            </w:r>
            <w:r w:rsidRPr="00E12BDF">
              <w:rPr>
                <w:rFonts w:ascii="Arial Narrow" w:hAnsi="Arial Narrow" w:cs="Calibri"/>
                <w:bCs/>
                <w:i/>
                <w:sz w:val="18"/>
                <w:szCs w:val="18"/>
              </w:rPr>
              <w:t xml:space="preserve">of at least </w:t>
            </w:r>
            <w:r w:rsidRPr="00E12BDF">
              <w:rPr>
                <w:rFonts w:ascii="Arial Narrow" w:hAnsi="Arial Narrow" w:cs="Calibri"/>
                <w:bCs/>
                <w:sz w:val="18"/>
                <w:szCs w:val="18"/>
              </w:rPr>
              <w:t>12 mm</w:t>
            </w:r>
          </w:p>
        </w:tc>
      </w:tr>
      <w:tr w:rsidR="00CA09EB" w:rsidRPr="00E12BDF" w:rsidTr="00CA09EB">
        <w:tc>
          <w:tcPr>
            <w:tcW w:w="5000" w:type="pct"/>
            <w:vAlign w:val="center"/>
          </w:tcPr>
          <w:p w:rsidR="00CA09EB" w:rsidRPr="00E12BDF" w:rsidRDefault="008B5FA6" w:rsidP="008B5FA6">
            <w:pPr>
              <w:jc w:val="left"/>
              <w:rPr>
                <w:rFonts w:ascii="Arial Narrow" w:eastAsia="Arial" w:hAnsi="Arial Narrow"/>
                <w:sz w:val="18"/>
                <w:szCs w:val="18"/>
                <w:lang w:eastAsia="en-US"/>
              </w:rPr>
            </w:pPr>
            <w:r w:rsidRPr="00E12BDF">
              <w:rPr>
                <w:rFonts w:ascii="Arial Narrow" w:hAnsi="Arial Narrow" w:cs="Calibri"/>
                <w:b/>
                <w:bCs/>
                <w:sz w:val="18"/>
                <w:szCs w:val="18"/>
              </w:rPr>
              <w:t>AND</w:t>
            </w:r>
            <w:r w:rsidR="00CA09EB" w:rsidRPr="00E12BDF">
              <w:rPr>
                <w:rFonts w:ascii="Arial Narrow" w:eastAsia="Arial" w:hAnsi="Arial Narrow"/>
                <w:sz w:val="18"/>
                <w:szCs w:val="18"/>
                <w:lang w:eastAsia="en-US"/>
              </w:rPr>
              <w:t xml:space="preserve"> </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i/>
                <w:sz w:val="18"/>
                <w:szCs w:val="18"/>
              </w:rPr>
              <w:t>The condition must have the presence of transthyretin precursor protein</w:t>
            </w:r>
            <w:r w:rsidR="007F7C7A">
              <w:rPr>
                <w:rFonts w:ascii="Arial Narrow" w:hAnsi="Arial Narrow" w:cs="Calibri"/>
                <w:bCs/>
                <w:i/>
                <w:sz w:val="18"/>
                <w:szCs w:val="18"/>
              </w:rPr>
              <w:t xml:space="preserve"> in cardiac tissue</w:t>
            </w:r>
            <w:r w:rsidRPr="00E12BDF">
              <w:rPr>
                <w:rFonts w:ascii="Arial Narrow" w:hAnsi="Arial Narrow" w:cs="Calibri"/>
                <w:bCs/>
                <w:i/>
                <w:sz w:val="18"/>
                <w:szCs w:val="18"/>
              </w:rPr>
              <w:t xml:space="preserve"> as identified by </w:t>
            </w:r>
            <w:r w:rsidRPr="00E12BDF">
              <w:rPr>
                <w:rFonts w:ascii="Arial Narrow" w:eastAsia="Calibri" w:hAnsi="Arial Narrow" w:cs="Calibri"/>
                <w:i/>
                <w:iCs/>
                <w:sz w:val="18"/>
                <w:szCs w:val="18"/>
                <w:lang w:eastAsia="en-US"/>
              </w:rPr>
              <w:t>one of the following</w:t>
            </w:r>
            <w:r w:rsidRPr="00E12BDF">
              <w:rPr>
                <w:rFonts w:ascii="Arial Narrow" w:hAnsi="Arial Narrow" w:cs="Calibri"/>
                <w:bCs/>
                <w:i/>
                <w:sz w:val="18"/>
                <w:szCs w:val="18"/>
              </w:rPr>
              <w:t>:</w:t>
            </w:r>
          </w:p>
          <w:p w:rsidR="00CA09EB" w:rsidRPr="00E12BDF" w:rsidRDefault="00CA09EB" w:rsidP="00CF5B6B">
            <w:pPr>
              <w:pStyle w:val="ListParagraph"/>
              <w:numPr>
                <w:ilvl w:val="0"/>
                <w:numId w:val="14"/>
              </w:numPr>
              <w:jc w:val="left"/>
              <w:rPr>
                <w:rFonts w:ascii="Arial Narrow" w:hAnsi="Arial Narrow" w:cs="Calibri"/>
                <w:bCs/>
                <w:i/>
                <w:sz w:val="18"/>
                <w:szCs w:val="18"/>
              </w:rPr>
            </w:pPr>
            <w:r w:rsidRPr="00E12BDF">
              <w:rPr>
                <w:rFonts w:ascii="Arial Narrow" w:hAnsi="Arial Narrow" w:cs="Calibri"/>
                <w:bCs/>
                <w:i/>
                <w:sz w:val="18"/>
                <w:szCs w:val="18"/>
              </w:rPr>
              <w:t xml:space="preserve">histological confirmation with either immunohistochemistry (confirmed by amyloid expert centre) or mass spectrometry; or </w:t>
            </w:r>
          </w:p>
          <w:p w:rsidR="00CA09EB" w:rsidRPr="00E12BDF" w:rsidRDefault="00CA09EB" w:rsidP="004F23B2">
            <w:pPr>
              <w:pStyle w:val="ListParagraph"/>
              <w:numPr>
                <w:ilvl w:val="0"/>
                <w:numId w:val="14"/>
              </w:numPr>
              <w:jc w:val="left"/>
              <w:rPr>
                <w:rFonts w:ascii="Arial Narrow" w:hAnsi="Arial Narrow" w:cs="Calibri"/>
                <w:bCs/>
                <w:i/>
                <w:sz w:val="18"/>
                <w:szCs w:val="18"/>
              </w:rPr>
            </w:pPr>
            <w:r w:rsidRPr="00E12BDF">
              <w:rPr>
                <w:rFonts w:ascii="Arial Narrow" w:hAnsi="Arial Narrow" w:cs="Calibri"/>
                <w:bCs/>
                <w:i/>
                <w:sz w:val="18"/>
                <w:szCs w:val="18"/>
              </w:rPr>
              <w:t>Grade 2/3 bone scintigraphy with technetium-labelled radioactive tracer in addition to negative results for monoclonal protein on each of the following three tests: serum immunofixation and electrophoresis; urine immunofixation and electrophoresis; and serum free light chains.</w:t>
            </w:r>
          </w:p>
        </w:tc>
      </w:tr>
      <w:tr w:rsidR="00CA09EB" w:rsidRPr="00E12BDF" w:rsidTr="00CA09EB">
        <w:tc>
          <w:tcPr>
            <w:tcW w:w="5000" w:type="pct"/>
            <w:vAlign w:val="center"/>
          </w:tcPr>
          <w:p w:rsidR="00CA09EB" w:rsidRPr="00E12BDF" w:rsidRDefault="008B5FA6" w:rsidP="00CF5B6B">
            <w:pPr>
              <w:jc w:val="left"/>
              <w:rPr>
                <w:rFonts w:ascii="Arial Narrow" w:hAnsi="Arial Narrow" w:cs="Calibri"/>
                <w:bCs/>
                <w:i/>
                <w:sz w:val="18"/>
                <w:szCs w:val="18"/>
              </w:rPr>
            </w:pPr>
            <w:r w:rsidRPr="00E12BDF">
              <w:rPr>
                <w:rFonts w:ascii="Arial Narrow" w:hAnsi="Arial Narrow" w:cs="Calibri"/>
                <w:b/>
                <w:bCs/>
                <w:sz w:val="18"/>
                <w:szCs w:val="18"/>
              </w:rPr>
              <w:t>AND</w:t>
            </w:r>
            <w:r w:rsidR="00CA09EB" w:rsidRPr="00E12BDF">
              <w:rPr>
                <w:rFonts w:ascii="Arial Narrow" w:eastAsia="Arial" w:hAnsi="Arial Narrow"/>
                <w:sz w:val="18"/>
                <w:szCs w:val="18"/>
                <w:lang w:eastAsia="en-US"/>
              </w:rPr>
              <w:t xml:space="preserve"> </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i/>
                <w:sz w:val="18"/>
                <w:szCs w:val="18"/>
              </w:rPr>
              <w:t xml:space="preserve">Patient must have an estimated glomerular filtration rate (eGFR) greater than 25 </w:t>
            </w:r>
            <w:r w:rsidR="007F7C7A" w:rsidRPr="00E12BDF">
              <w:rPr>
                <w:rFonts w:ascii="Arial Narrow" w:hAnsi="Arial Narrow" w:cs="Calibri"/>
                <w:bCs/>
                <w:i/>
                <w:sz w:val="18"/>
                <w:szCs w:val="18"/>
              </w:rPr>
              <w:t>m</w:t>
            </w:r>
            <w:r w:rsidR="007F7C7A">
              <w:rPr>
                <w:rFonts w:ascii="Arial Narrow" w:hAnsi="Arial Narrow" w:cs="Calibri"/>
                <w:bCs/>
                <w:i/>
                <w:sz w:val="18"/>
                <w:szCs w:val="18"/>
              </w:rPr>
              <w:t>L</w:t>
            </w:r>
            <w:r w:rsidRPr="00E12BDF">
              <w:rPr>
                <w:rFonts w:ascii="Arial Narrow" w:hAnsi="Arial Narrow" w:cs="Calibri"/>
                <w:bCs/>
                <w:i/>
                <w:sz w:val="18"/>
                <w:szCs w:val="18"/>
              </w:rPr>
              <w:t>/minute/1.73m</w:t>
            </w:r>
            <w:r w:rsidRPr="00E12BDF">
              <w:rPr>
                <w:rFonts w:ascii="Arial Narrow" w:hAnsi="Arial Narrow" w:cs="Calibri"/>
                <w:bCs/>
                <w:i/>
                <w:sz w:val="18"/>
                <w:szCs w:val="18"/>
                <w:vertAlign w:val="superscript"/>
              </w:rPr>
              <w:t>2</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hAnsi="Arial Narrow" w:cs="Calibri"/>
                <w:b/>
                <w:bCs/>
                <w:color w:val="333333"/>
                <w:sz w:val="18"/>
                <w:szCs w:val="18"/>
              </w:rPr>
              <w:t>Treatment criteria:</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i/>
                <w:sz w:val="18"/>
                <w:szCs w:val="18"/>
              </w:rPr>
            </w:pPr>
            <w:r w:rsidRPr="00E12BDF">
              <w:rPr>
                <w:rFonts w:ascii="Arial Narrow" w:eastAsia="Calibri" w:hAnsi="Arial Narrow" w:cs="Calibri"/>
                <w:iCs/>
                <w:sz w:val="18"/>
                <w:szCs w:val="18"/>
                <w:lang w:eastAsia="en-US"/>
              </w:rPr>
              <w:t xml:space="preserve">Must be treated by a </w:t>
            </w:r>
            <w:r w:rsidRPr="00E12BDF">
              <w:rPr>
                <w:rFonts w:ascii="Arial Narrow" w:eastAsia="Calibri" w:hAnsi="Arial Narrow" w:cs="Calibri"/>
                <w:i/>
                <w:iCs/>
                <w:sz w:val="18"/>
                <w:szCs w:val="18"/>
                <w:lang w:eastAsia="en-US"/>
              </w:rPr>
              <w:t xml:space="preserve">specialist </w:t>
            </w:r>
            <w:r w:rsidRPr="00E12BDF">
              <w:rPr>
                <w:rFonts w:ascii="Arial Narrow" w:eastAsia="Calibri" w:hAnsi="Arial Narrow" w:cs="Calibri"/>
                <w:iCs/>
                <w:sz w:val="18"/>
                <w:szCs w:val="18"/>
                <w:lang w:eastAsia="en-US"/>
              </w:rPr>
              <w:t>cardiologist</w:t>
            </w:r>
            <w:r w:rsidRPr="006F1185">
              <w:rPr>
                <w:rFonts w:ascii="Arial Narrow" w:eastAsia="Calibri" w:hAnsi="Arial Narrow" w:cs="Calibri"/>
                <w:iCs/>
                <w:strike/>
                <w:sz w:val="18"/>
                <w:szCs w:val="18"/>
                <w:lang w:eastAsia="en-US"/>
              </w:rPr>
              <w:t>; or</w:t>
            </w:r>
          </w:p>
        </w:tc>
      </w:tr>
      <w:tr w:rsidR="00CA09EB" w:rsidRPr="00E12BDF" w:rsidTr="00CA09EB">
        <w:tc>
          <w:tcPr>
            <w:tcW w:w="5000" w:type="pct"/>
            <w:vAlign w:val="center"/>
          </w:tcPr>
          <w:p w:rsidR="00CA09EB" w:rsidRPr="00630418" w:rsidRDefault="00CA09EB" w:rsidP="00CF5B6B">
            <w:pPr>
              <w:jc w:val="left"/>
              <w:rPr>
                <w:rFonts w:ascii="Arial Narrow" w:hAnsi="Arial Narrow" w:cs="Calibri"/>
                <w:bCs/>
                <w:i/>
                <w:strike/>
                <w:sz w:val="18"/>
                <w:szCs w:val="18"/>
              </w:rPr>
            </w:pPr>
            <w:r w:rsidRPr="00630418">
              <w:rPr>
                <w:rFonts w:ascii="Arial Narrow" w:eastAsia="Calibri" w:hAnsi="Arial Narrow" w:cs="Calibri"/>
                <w:iCs/>
                <w:strike/>
                <w:sz w:val="18"/>
                <w:szCs w:val="18"/>
                <w:lang w:eastAsia="en-US"/>
              </w:rPr>
              <w:t>Must be treated by a consultant physician with experience in the management of amyloid disorders</w:t>
            </w:r>
          </w:p>
        </w:tc>
      </w:tr>
      <w:tr w:rsidR="00CA09EB" w:rsidRPr="00E12BDF" w:rsidTr="00CA09EB">
        <w:tc>
          <w:tcPr>
            <w:tcW w:w="5000" w:type="pct"/>
            <w:vAlign w:val="center"/>
          </w:tcPr>
          <w:p w:rsidR="00CA09EB" w:rsidRPr="00E12BDF" w:rsidRDefault="00CA09EB" w:rsidP="00CF5B6B">
            <w:pPr>
              <w:jc w:val="left"/>
              <w:rPr>
                <w:rFonts w:ascii="Arial Narrow" w:eastAsia="Calibri" w:hAnsi="Arial Narrow" w:cs="Calibri"/>
                <w:i/>
                <w:iCs/>
                <w:sz w:val="18"/>
                <w:szCs w:val="18"/>
                <w:lang w:eastAsia="en-US"/>
              </w:rPr>
            </w:pPr>
            <w:r w:rsidRPr="00E12BDF">
              <w:rPr>
                <w:rFonts w:ascii="Arial Narrow" w:eastAsia="Calibri" w:hAnsi="Arial Narrow" w:cs="Calibri"/>
                <w:b/>
                <w:i/>
                <w:iCs/>
                <w:sz w:val="18"/>
                <w:szCs w:val="18"/>
                <w:lang w:eastAsia="en-US"/>
              </w:rPr>
              <w:t>Prescribing Instructions:</w:t>
            </w:r>
            <w:r w:rsidRPr="00E12BDF">
              <w:rPr>
                <w:rFonts w:ascii="Arial Narrow" w:eastAsia="Calibri" w:hAnsi="Arial Narrow" w:cs="Calibri"/>
                <w:i/>
                <w:iCs/>
                <w:sz w:val="18"/>
                <w:szCs w:val="18"/>
                <w:lang w:eastAsia="en-US"/>
              </w:rPr>
              <w:t xml:space="preserve"> Evidence or history of heart failure must comprise one of the following:</w:t>
            </w:r>
          </w:p>
          <w:p w:rsidR="00CA09EB" w:rsidRPr="00E12BDF" w:rsidRDefault="00CA09EB" w:rsidP="00CF5B6B">
            <w:pPr>
              <w:pStyle w:val="ListParagraph"/>
              <w:numPr>
                <w:ilvl w:val="0"/>
                <w:numId w:val="15"/>
              </w:numPr>
              <w:jc w:val="left"/>
              <w:rPr>
                <w:rFonts w:ascii="Arial Narrow" w:eastAsia="Calibri" w:hAnsi="Arial Narrow" w:cs="Calibri"/>
                <w:i/>
                <w:iCs/>
                <w:sz w:val="18"/>
                <w:szCs w:val="18"/>
                <w:lang w:eastAsia="en-US"/>
              </w:rPr>
            </w:pPr>
            <w:r w:rsidRPr="00E12BDF">
              <w:rPr>
                <w:rFonts w:ascii="Arial Narrow" w:eastAsia="Calibri" w:hAnsi="Arial Narrow" w:cs="Calibri"/>
                <w:i/>
                <w:iCs/>
                <w:sz w:val="18"/>
                <w:szCs w:val="18"/>
                <w:lang w:eastAsia="en-US"/>
              </w:rPr>
              <w:t xml:space="preserve">History of one or more hospitalisations for heart failure,  </w:t>
            </w:r>
          </w:p>
          <w:p w:rsidR="00CA09EB" w:rsidRPr="00E12BDF" w:rsidRDefault="00CA09EB" w:rsidP="00CF5B6B">
            <w:pPr>
              <w:pStyle w:val="ListParagraph"/>
              <w:numPr>
                <w:ilvl w:val="0"/>
                <w:numId w:val="15"/>
              </w:numPr>
              <w:jc w:val="left"/>
              <w:rPr>
                <w:rFonts w:ascii="Arial Narrow" w:eastAsia="Calibri" w:hAnsi="Arial Narrow" w:cs="Calibri"/>
                <w:i/>
                <w:iCs/>
                <w:sz w:val="18"/>
                <w:szCs w:val="18"/>
                <w:lang w:eastAsia="en-US"/>
              </w:rPr>
            </w:pPr>
            <w:r w:rsidRPr="00E12BDF">
              <w:rPr>
                <w:rFonts w:ascii="Arial Narrow" w:eastAsia="Calibri" w:hAnsi="Arial Narrow" w:cs="Calibri"/>
                <w:i/>
                <w:iCs/>
                <w:sz w:val="18"/>
                <w:szCs w:val="18"/>
                <w:lang w:eastAsia="en-US"/>
              </w:rPr>
              <w:t>Clinical evidence of heart failure without hospitalisation that required treatment with a diuretic for improvement</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sz w:val="18"/>
                <w:szCs w:val="18"/>
              </w:rPr>
            </w:pPr>
            <w:r w:rsidRPr="00E12BDF">
              <w:rPr>
                <w:rFonts w:ascii="Arial Narrow" w:hAnsi="Arial Narrow" w:cs="Calibri"/>
                <w:b/>
                <w:bCs/>
                <w:sz w:val="18"/>
                <w:szCs w:val="18"/>
              </w:rPr>
              <w:t>Administrative Advice:</w:t>
            </w:r>
            <w:r w:rsidRPr="00E12BDF">
              <w:rPr>
                <w:rFonts w:ascii="Arial Narrow" w:hAnsi="Arial Narrow" w:cs="Calibri"/>
                <w:bCs/>
                <w:sz w:val="18"/>
                <w:szCs w:val="18"/>
              </w:rPr>
              <w:t xml:space="preserve"> The authority application must be made in writing and must include:</w:t>
            </w:r>
          </w:p>
          <w:p w:rsidR="00CA09EB" w:rsidRPr="00E12BDF" w:rsidRDefault="00CA09EB" w:rsidP="00CF5B6B">
            <w:pPr>
              <w:jc w:val="left"/>
              <w:rPr>
                <w:rFonts w:ascii="Arial Narrow" w:hAnsi="Arial Narrow" w:cs="Calibri"/>
                <w:bCs/>
                <w:sz w:val="18"/>
                <w:szCs w:val="18"/>
              </w:rPr>
            </w:pPr>
            <w:r w:rsidRPr="00E12BDF">
              <w:rPr>
                <w:rFonts w:ascii="Arial Narrow" w:hAnsi="Arial Narrow" w:cs="Calibri"/>
                <w:bCs/>
                <w:sz w:val="18"/>
                <w:szCs w:val="18"/>
              </w:rPr>
              <w:t>(1) a completed authority prescription form; and</w:t>
            </w:r>
          </w:p>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sz w:val="18"/>
                <w:szCs w:val="18"/>
              </w:rPr>
              <w:t xml:space="preserve">(2) a completed Transthyretin Amyloid Cardiomyopathy (ATTR-CM) PBS Authority Application - Supporting Information Form </w:t>
            </w:r>
            <w:r w:rsidRPr="00E12BDF">
              <w:rPr>
                <w:rFonts w:ascii="Arial Narrow" w:hAnsi="Arial Narrow" w:cs="Calibri"/>
                <w:bCs/>
                <w:i/>
                <w:sz w:val="18"/>
                <w:szCs w:val="18"/>
              </w:rPr>
              <w:t>which seeks details of the following: (to be finalised)</w:t>
            </w:r>
            <w:r w:rsidRPr="00E12BDF">
              <w:rPr>
                <w:rFonts w:ascii="Arial Narrow" w:hAnsi="Arial Narrow" w:cs="Calibri"/>
                <w:bCs/>
                <w:sz w:val="18"/>
                <w:szCs w:val="18"/>
              </w:rPr>
              <w:t xml:space="preserve"> </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sz w:val="18"/>
                <w:szCs w:val="18"/>
              </w:rPr>
            </w:pPr>
            <w:r w:rsidRPr="00E12BDF">
              <w:rPr>
                <w:rFonts w:ascii="Arial Narrow" w:hAnsi="Arial Narrow" w:cs="Calibri"/>
                <w:b/>
                <w:bCs/>
                <w:sz w:val="18"/>
                <w:szCs w:val="18"/>
              </w:rPr>
              <w:t>Administrative Advice:</w:t>
            </w:r>
            <w:r w:rsidRPr="00E12BDF">
              <w:rPr>
                <w:rFonts w:ascii="Arial Narrow" w:hAnsi="Arial Narrow" w:cs="Calibri"/>
                <w:bCs/>
                <w:sz w:val="18"/>
                <w:szCs w:val="18"/>
              </w:rPr>
              <w:t xml:space="preserve"> Any queries concerning the arrangements to prescribe may be directed to the </w:t>
            </w:r>
            <w:r w:rsidRPr="00E12BDF">
              <w:rPr>
                <w:rFonts w:ascii="Arial Narrow" w:hAnsi="Arial Narrow" w:cs="Calibri"/>
                <w:bCs/>
                <w:strike/>
                <w:sz w:val="18"/>
                <w:szCs w:val="18"/>
              </w:rPr>
              <w:t>Department of Human Services</w:t>
            </w:r>
            <w:r w:rsidRPr="00E12BDF">
              <w:rPr>
                <w:rFonts w:ascii="Arial Narrow" w:hAnsi="Arial Narrow" w:cs="Calibri"/>
                <w:bCs/>
                <w:sz w:val="18"/>
                <w:szCs w:val="18"/>
              </w:rPr>
              <w:t xml:space="preserve"> </w:t>
            </w:r>
            <w:r w:rsidRPr="00E12BDF">
              <w:rPr>
                <w:rFonts w:ascii="Arial Narrow" w:hAnsi="Arial Narrow" w:cs="Calibri"/>
                <w:bCs/>
                <w:i/>
                <w:sz w:val="18"/>
                <w:szCs w:val="18"/>
              </w:rPr>
              <w:t>Services Australia</w:t>
            </w:r>
            <w:r w:rsidRPr="00E12BDF">
              <w:rPr>
                <w:rFonts w:ascii="Arial Narrow" w:hAnsi="Arial Narrow" w:cs="Calibri"/>
                <w:bCs/>
                <w:sz w:val="18"/>
                <w:szCs w:val="18"/>
              </w:rPr>
              <w:t xml:space="preserve"> on 1800 700 270 (hours of operation 8 a.m. to 5 p.m. EST Monday to Friday). </w:t>
            </w:r>
          </w:p>
          <w:p w:rsidR="00CA09EB" w:rsidRPr="00E12BDF" w:rsidRDefault="00CA09EB" w:rsidP="00CF5B6B">
            <w:pPr>
              <w:jc w:val="left"/>
              <w:rPr>
                <w:rFonts w:ascii="Arial Narrow" w:hAnsi="Arial Narrow" w:cs="Calibri"/>
                <w:bCs/>
                <w:sz w:val="18"/>
                <w:szCs w:val="18"/>
              </w:rPr>
            </w:pPr>
          </w:p>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sz w:val="18"/>
                <w:szCs w:val="18"/>
              </w:rPr>
              <w:t xml:space="preserve">Prescribing information (including Authority Application forms and other relevant documentation as applicable) is available on the </w:t>
            </w:r>
            <w:r w:rsidRPr="00E12BDF">
              <w:rPr>
                <w:rFonts w:ascii="Arial Narrow" w:hAnsi="Arial Narrow" w:cs="Calibri"/>
                <w:bCs/>
                <w:strike/>
                <w:sz w:val="18"/>
                <w:szCs w:val="18"/>
              </w:rPr>
              <w:t xml:space="preserve">Department of Human Services website at www.humanservices.gov.au </w:t>
            </w:r>
            <w:r w:rsidRPr="00E12BDF">
              <w:rPr>
                <w:rFonts w:ascii="Arial Narrow" w:hAnsi="Arial Narrow" w:cs="Calibri"/>
                <w:bCs/>
                <w:i/>
                <w:sz w:val="18"/>
                <w:szCs w:val="18"/>
              </w:rPr>
              <w:t>Services Australia website at www.servicesaustralia.gov.au</w:t>
            </w:r>
          </w:p>
          <w:p w:rsidR="00CA09EB" w:rsidRPr="00E12BDF" w:rsidRDefault="00CA09EB" w:rsidP="00CF5B6B">
            <w:pPr>
              <w:jc w:val="left"/>
              <w:rPr>
                <w:rFonts w:ascii="Arial Narrow" w:hAnsi="Arial Narrow" w:cs="Calibri"/>
                <w:bCs/>
                <w:sz w:val="18"/>
                <w:szCs w:val="18"/>
              </w:rPr>
            </w:pPr>
          </w:p>
          <w:p w:rsidR="00CA09EB" w:rsidRPr="00E12BDF" w:rsidRDefault="00CA09EB" w:rsidP="00CF5B6B">
            <w:pPr>
              <w:jc w:val="left"/>
              <w:rPr>
                <w:rFonts w:ascii="Arial Narrow" w:hAnsi="Arial Narrow" w:cs="Calibri"/>
                <w:bCs/>
                <w:sz w:val="18"/>
                <w:szCs w:val="18"/>
              </w:rPr>
            </w:pPr>
            <w:r w:rsidRPr="00E12BDF">
              <w:rPr>
                <w:rFonts w:ascii="Arial Narrow" w:hAnsi="Arial Narrow" w:cs="Calibri"/>
                <w:bCs/>
                <w:sz w:val="18"/>
                <w:szCs w:val="18"/>
              </w:rPr>
              <w:t xml:space="preserve">Applications for authority to prescribe should be </w:t>
            </w:r>
            <w:r w:rsidRPr="00E12BDF">
              <w:rPr>
                <w:rFonts w:ascii="Arial Narrow" w:hAnsi="Arial Narrow" w:cs="Calibri"/>
                <w:bCs/>
                <w:strike/>
                <w:sz w:val="18"/>
                <w:szCs w:val="18"/>
              </w:rPr>
              <w:t>forwarded to:</w:t>
            </w:r>
            <w:r w:rsidRPr="00E12BDF">
              <w:rPr>
                <w:rFonts w:ascii="Arial Narrow" w:hAnsi="Arial Narrow" w:cs="Calibri"/>
                <w:bCs/>
                <w:sz w:val="18"/>
                <w:szCs w:val="18"/>
              </w:rPr>
              <w:t xml:space="preserve"> </w:t>
            </w:r>
            <w:r w:rsidRPr="00E12BDF">
              <w:rPr>
                <w:rFonts w:ascii="Arial Narrow" w:hAnsi="Arial Narrow" w:cs="Calibri"/>
                <w:bCs/>
                <w:i/>
                <w:sz w:val="18"/>
                <w:szCs w:val="18"/>
              </w:rPr>
              <w:t>submitted online using the form upload facility in Health Professional Online Services (HPOS) at www.servicesaustralia.gov.au/hpos</w:t>
            </w:r>
          </w:p>
          <w:p w:rsidR="00CA09EB" w:rsidRPr="00E12BDF" w:rsidRDefault="00CA09EB" w:rsidP="00CF5B6B">
            <w:pPr>
              <w:jc w:val="left"/>
              <w:rPr>
                <w:rFonts w:ascii="Arial Narrow" w:hAnsi="Arial Narrow" w:cs="Calibri"/>
                <w:bCs/>
                <w:i/>
                <w:sz w:val="18"/>
                <w:szCs w:val="18"/>
              </w:rPr>
            </w:pPr>
          </w:p>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i/>
                <w:sz w:val="18"/>
                <w:szCs w:val="18"/>
              </w:rPr>
              <w:t>Or mailed to:</w:t>
            </w:r>
          </w:p>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i/>
                <w:sz w:val="18"/>
                <w:szCs w:val="18"/>
              </w:rPr>
              <w:t>Services Australia</w:t>
            </w:r>
          </w:p>
          <w:p w:rsidR="00CA09EB" w:rsidRPr="00E12BDF" w:rsidRDefault="00CA09EB" w:rsidP="00CF5B6B">
            <w:pPr>
              <w:jc w:val="left"/>
              <w:rPr>
                <w:rFonts w:ascii="Arial Narrow" w:hAnsi="Arial Narrow" w:cs="Calibri"/>
                <w:bCs/>
                <w:strike/>
                <w:sz w:val="18"/>
                <w:szCs w:val="18"/>
              </w:rPr>
            </w:pPr>
            <w:r w:rsidRPr="00E12BDF">
              <w:rPr>
                <w:rFonts w:ascii="Arial Narrow" w:hAnsi="Arial Narrow" w:cs="Calibri"/>
                <w:bCs/>
                <w:strike/>
                <w:sz w:val="18"/>
                <w:szCs w:val="18"/>
              </w:rPr>
              <w:t>Department of Human Services</w:t>
            </w:r>
          </w:p>
          <w:p w:rsidR="00CA09EB" w:rsidRPr="00E12BDF" w:rsidRDefault="00CA09EB" w:rsidP="00CF5B6B">
            <w:pPr>
              <w:jc w:val="left"/>
              <w:rPr>
                <w:rFonts w:ascii="Arial Narrow" w:hAnsi="Arial Narrow" w:cs="Calibri"/>
                <w:bCs/>
                <w:sz w:val="18"/>
                <w:szCs w:val="18"/>
              </w:rPr>
            </w:pPr>
            <w:r w:rsidRPr="00E12BDF">
              <w:rPr>
                <w:rFonts w:ascii="Arial Narrow" w:hAnsi="Arial Narrow" w:cs="Calibri"/>
                <w:bCs/>
                <w:sz w:val="18"/>
                <w:szCs w:val="18"/>
              </w:rPr>
              <w:t xml:space="preserve">Complex Drugs </w:t>
            </w:r>
          </w:p>
          <w:p w:rsidR="00CA09EB" w:rsidRPr="00E12BDF" w:rsidRDefault="00CA09EB" w:rsidP="00CF5B6B">
            <w:pPr>
              <w:jc w:val="left"/>
              <w:rPr>
                <w:rFonts w:ascii="Arial Narrow" w:hAnsi="Arial Narrow" w:cs="Calibri"/>
                <w:bCs/>
                <w:sz w:val="18"/>
                <w:szCs w:val="18"/>
              </w:rPr>
            </w:pPr>
            <w:r w:rsidRPr="00E12BDF">
              <w:rPr>
                <w:rFonts w:ascii="Arial Narrow" w:hAnsi="Arial Narrow" w:cs="Calibri"/>
                <w:bCs/>
                <w:sz w:val="18"/>
                <w:szCs w:val="18"/>
              </w:rPr>
              <w:t xml:space="preserve">Reply Paid 9826 </w:t>
            </w:r>
          </w:p>
          <w:p w:rsidR="00CA09EB" w:rsidRPr="00E12BDF" w:rsidRDefault="00CA09EB" w:rsidP="00CF5B6B">
            <w:pPr>
              <w:jc w:val="left"/>
              <w:rPr>
                <w:rFonts w:ascii="Arial Narrow" w:hAnsi="Arial Narrow" w:cs="Calibri"/>
                <w:bCs/>
                <w:i/>
                <w:sz w:val="18"/>
                <w:szCs w:val="18"/>
              </w:rPr>
            </w:pPr>
            <w:r w:rsidRPr="00E12BDF">
              <w:rPr>
                <w:rFonts w:ascii="Arial Narrow" w:hAnsi="Arial Narrow" w:cs="Calibri"/>
                <w:bCs/>
                <w:sz w:val="18"/>
                <w:szCs w:val="18"/>
              </w:rPr>
              <w:t>HOBART TAS 7001</w:t>
            </w:r>
          </w:p>
        </w:tc>
      </w:tr>
      <w:tr w:rsidR="00CA09EB" w:rsidRPr="00E12BDF" w:rsidTr="00CA09EB">
        <w:tc>
          <w:tcPr>
            <w:tcW w:w="5000" w:type="pct"/>
            <w:vAlign w:val="center"/>
            <w:hideMark/>
          </w:tcPr>
          <w:p w:rsidR="00CA09EB" w:rsidRPr="00E12BDF" w:rsidRDefault="00CA09EB" w:rsidP="00CF5B6B">
            <w:p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lastRenderedPageBreak/>
              <w:t>Patient has documented ATTR-CM (variant or wild-type) as demonstrated by either:</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Negative results for monoclonal protein on all three tests: </w:t>
            </w:r>
          </w:p>
          <w:p w:rsidR="00CA09EB" w:rsidRPr="00E12BDF" w:rsidRDefault="00CA09EB" w:rsidP="00CF5B6B">
            <w:pPr>
              <w:numPr>
                <w:ilvl w:val="0"/>
                <w:numId w:val="6"/>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immunofixation and electrophoresis AND </w:t>
            </w:r>
          </w:p>
          <w:p w:rsidR="00CA09EB" w:rsidRPr="00E12BDF" w:rsidRDefault="00CA09EB" w:rsidP="00CF5B6B">
            <w:pPr>
              <w:numPr>
                <w:ilvl w:val="0"/>
                <w:numId w:val="6"/>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urine immunofixation and electrophoresis, AND </w:t>
            </w:r>
          </w:p>
          <w:p w:rsidR="00CA09EB" w:rsidRPr="00E12BDF" w:rsidRDefault="00CA09EB" w:rsidP="00CF5B6B">
            <w:pPr>
              <w:numPr>
                <w:ilvl w:val="0"/>
                <w:numId w:val="6"/>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free light chains; </w:t>
            </w:r>
          </w:p>
          <w:p w:rsidR="00CA09EB" w:rsidRPr="00E12BDF" w:rsidRDefault="00CA09EB" w:rsidP="00CF5B6B">
            <w:pPr>
              <w:tabs>
                <w:tab w:val="left" w:pos="358"/>
              </w:tabs>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ab/>
            </w:r>
            <w:r w:rsidRPr="00E12BDF">
              <w:rPr>
                <w:rFonts w:ascii="Arial Narrow" w:eastAsia="Arial" w:hAnsi="Arial Narrow"/>
                <w:strike/>
                <w:sz w:val="18"/>
                <w:szCs w:val="18"/>
                <w:u w:val="single"/>
                <w:lang w:eastAsia="en-US"/>
              </w:rPr>
              <w:t>AND</w:t>
            </w:r>
            <w:r w:rsidRPr="00E12BDF">
              <w:rPr>
                <w:rFonts w:ascii="Arial Narrow" w:eastAsia="Arial" w:hAnsi="Arial Narrow"/>
                <w:strike/>
                <w:sz w:val="18"/>
                <w:szCs w:val="18"/>
                <w:lang w:eastAsia="en-US"/>
              </w:rPr>
              <w:t xml:space="preserve"> </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Transthyretin precursor protein identified by:</w:t>
            </w:r>
          </w:p>
          <w:p w:rsidR="00CA09EB" w:rsidRPr="00E12BDF" w:rsidRDefault="00CA09EB" w:rsidP="00CF5B6B">
            <w:pPr>
              <w:numPr>
                <w:ilvl w:val="1"/>
                <w:numId w:val="7"/>
              </w:numPr>
              <w:jc w:val="left"/>
              <w:rPr>
                <w:rFonts w:ascii="Arial Narrow" w:eastAsia="Arial" w:hAnsi="Arial Narrow"/>
                <w:strike/>
                <w:sz w:val="18"/>
                <w:szCs w:val="18"/>
                <w:u w:val="single"/>
                <w:lang w:eastAsia="en-US"/>
              </w:rPr>
            </w:pPr>
            <w:r w:rsidRPr="00E12BDF">
              <w:rPr>
                <w:rFonts w:ascii="Arial Narrow" w:eastAsia="Arial" w:hAnsi="Arial Narrow"/>
                <w:strike/>
                <w:sz w:val="18"/>
                <w:szCs w:val="18"/>
                <w:u w:val="single"/>
                <w:lang w:eastAsia="en-US"/>
              </w:rPr>
              <w:t>Grade 2 or 3</w:t>
            </w:r>
            <w:r w:rsidRPr="00E12BDF">
              <w:rPr>
                <w:rFonts w:ascii="Arial Narrow" w:eastAsia="Arial" w:hAnsi="Arial Narrow"/>
                <w:strike/>
                <w:sz w:val="18"/>
                <w:szCs w:val="18"/>
                <w:lang w:eastAsia="en-US"/>
              </w:rPr>
              <w:t xml:space="preserve"> on bone scintigraphy with technetium-labelled radioactive tracer e.g., 99mTC-DPD [99mTC-3,3-diphosphono-1,2-propano-dicarboxylic acid], 99mTC- PYP [pyrophosphate] or 99mTC-HDP [99mTC-labelled hydroxymethylene diphosphate (HMDP)]; </w:t>
            </w:r>
            <w:r w:rsidRPr="00E12BDF">
              <w:rPr>
                <w:rFonts w:ascii="Arial Narrow" w:eastAsia="Arial" w:hAnsi="Arial Narrow"/>
                <w:strike/>
                <w:sz w:val="18"/>
                <w:szCs w:val="18"/>
                <w:u w:val="single"/>
                <w:lang w:eastAsia="en-US"/>
              </w:rPr>
              <w:t>OR</w:t>
            </w:r>
          </w:p>
          <w:p w:rsidR="00CA09EB" w:rsidRPr="00E12BDF" w:rsidRDefault="00CA09EB" w:rsidP="00CF5B6B">
            <w:pPr>
              <w:numPr>
                <w:ilvl w:val="1"/>
                <w:numId w:val="7"/>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Histological confirmation with immunohistochemistry (confirmed by amyloid expert centre) or mass spectrometry;</w:t>
            </w:r>
          </w:p>
          <w:p w:rsidR="00CA09EB" w:rsidRPr="00E12BDF" w:rsidRDefault="00CA09EB" w:rsidP="00CF5B6B">
            <w:pPr>
              <w:jc w:val="left"/>
              <w:rPr>
                <w:rFonts w:ascii="Arial Narrow" w:eastAsia="Arial" w:hAnsi="Arial Narrow"/>
                <w:strike/>
                <w:sz w:val="18"/>
                <w:szCs w:val="18"/>
                <w:u w:val="single"/>
                <w:lang w:eastAsia="en-US"/>
              </w:rPr>
            </w:pPr>
            <w:r w:rsidRPr="00E12BDF">
              <w:rPr>
                <w:rFonts w:ascii="Arial Narrow" w:eastAsia="Arial" w:hAnsi="Arial Narrow"/>
                <w:strike/>
                <w:sz w:val="18"/>
                <w:szCs w:val="18"/>
                <w:u w:val="single"/>
                <w:lang w:eastAsia="en-US"/>
              </w:rPr>
              <w:t>OR</w:t>
            </w:r>
            <w:r w:rsidRPr="00E12BDF">
              <w:rPr>
                <w:rFonts w:ascii="Arial Narrow" w:eastAsia="Arial" w:hAnsi="Arial Narrow"/>
                <w:strike/>
                <w:sz w:val="18"/>
                <w:szCs w:val="18"/>
                <w:lang w:eastAsia="en-US"/>
              </w:rPr>
              <w:t xml:space="preserve"> </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Negative results for monoclonal protein </w:t>
            </w:r>
            <w:r w:rsidRPr="00E12BDF">
              <w:rPr>
                <w:rFonts w:ascii="Arial Narrow" w:eastAsia="Arial" w:hAnsi="Arial Narrow"/>
                <w:strike/>
                <w:sz w:val="18"/>
                <w:szCs w:val="18"/>
                <w:u w:val="single"/>
                <w:lang w:eastAsia="en-US"/>
              </w:rPr>
              <w:t>on all three test</w:t>
            </w:r>
            <w:r w:rsidRPr="00E12BDF">
              <w:rPr>
                <w:rFonts w:ascii="Arial Narrow" w:eastAsia="Arial" w:hAnsi="Arial Narrow"/>
                <w:strike/>
                <w:sz w:val="18"/>
                <w:szCs w:val="18"/>
                <w:lang w:eastAsia="en-US"/>
              </w:rPr>
              <w:t xml:space="preserve">s: </w:t>
            </w:r>
          </w:p>
          <w:p w:rsidR="00CA09EB" w:rsidRPr="00E12BDF" w:rsidRDefault="00CA09EB" w:rsidP="00CF5B6B">
            <w:pPr>
              <w:numPr>
                <w:ilvl w:val="1"/>
                <w:numId w:val="7"/>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immunofixation and electrophoresis AND </w:t>
            </w:r>
          </w:p>
          <w:p w:rsidR="00CA09EB" w:rsidRPr="00E12BDF" w:rsidRDefault="00CA09EB" w:rsidP="00CF5B6B">
            <w:pPr>
              <w:numPr>
                <w:ilvl w:val="1"/>
                <w:numId w:val="7"/>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urine immunofixation and electrophoresis, AND </w:t>
            </w:r>
          </w:p>
          <w:p w:rsidR="00CA09EB" w:rsidRPr="00E12BDF" w:rsidRDefault="00CA09EB" w:rsidP="00CF5B6B">
            <w:pPr>
              <w:numPr>
                <w:ilvl w:val="1"/>
                <w:numId w:val="7"/>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free light chains; </w:t>
            </w:r>
          </w:p>
          <w:p w:rsidR="00CA09EB" w:rsidRPr="00E12BDF" w:rsidRDefault="00CA09EB" w:rsidP="00CF5B6B">
            <w:pPr>
              <w:tabs>
                <w:tab w:val="left" w:pos="358"/>
              </w:tabs>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ab/>
            </w:r>
            <w:r w:rsidRPr="00E12BDF">
              <w:rPr>
                <w:rFonts w:ascii="Arial Narrow" w:eastAsia="Arial" w:hAnsi="Arial Narrow"/>
                <w:strike/>
                <w:sz w:val="18"/>
                <w:szCs w:val="18"/>
                <w:u w:val="single"/>
                <w:lang w:eastAsia="en-US"/>
              </w:rPr>
              <w:t>AND</w:t>
            </w:r>
            <w:r w:rsidRPr="00E12BDF">
              <w:rPr>
                <w:rFonts w:ascii="Arial Narrow" w:eastAsia="Arial" w:hAnsi="Arial Narrow"/>
                <w:strike/>
                <w:sz w:val="18"/>
                <w:szCs w:val="18"/>
                <w:lang w:eastAsia="en-US"/>
              </w:rPr>
              <w:t xml:space="preserve"> </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Transthyretin precursor protein identified by: </w:t>
            </w:r>
          </w:p>
          <w:p w:rsidR="00CA09EB" w:rsidRPr="00E12BDF" w:rsidRDefault="00CA09EB" w:rsidP="00CF5B6B">
            <w:pPr>
              <w:numPr>
                <w:ilvl w:val="1"/>
                <w:numId w:val="8"/>
              </w:numPr>
              <w:jc w:val="left"/>
              <w:rPr>
                <w:rFonts w:ascii="Arial Narrow" w:eastAsia="Arial" w:hAnsi="Arial Narrow"/>
                <w:strike/>
                <w:sz w:val="18"/>
                <w:szCs w:val="18"/>
                <w:u w:val="single"/>
                <w:lang w:eastAsia="en-US"/>
              </w:rPr>
            </w:pPr>
            <w:r w:rsidRPr="00E12BDF">
              <w:rPr>
                <w:rFonts w:ascii="Arial Narrow" w:eastAsia="Arial" w:hAnsi="Arial Narrow"/>
                <w:strike/>
                <w:sz w:val="18"/>
                <w:szCs w:val="18"/>
                <w:u w:val="single"/>
                <w:lang w:eastAsia="en-US"/>
              </w:rPr>
              <w:t>Grade 1</w:t>
            </w:r>
            <w:r w:rsidRPr="00E12BDF">
              <w:rPr>
                <w:rFonts w:ascii="Arial Narrow" w:eastAsia="Arial" w:hAnsi="Arial Narrow"/>
                <w:strike/>
                <w:sz w:val="18"/>
                <w:szCs w:val="18"/>
                <w:lang w:eastAsia="en-US"/>
              </w:rPr>
              <w:t xml:space="preserve"> on bone scintigraphy with technetium-labelled radioactive tracer e.g., 99mTC-DPD [99mTC-3,3-diphosphono-1,2-propano-dicarboxylic acid], 99mTC- PYP [pyrophosphate] or 99mTC-HDP [99mTC-labelled hydroxymethylene diphosphate (HMDP)]; </w:t>
            </w:r>
            <w:r w:rsidRPr="00E12BDF">
              <w:rPr>
                <w:rFonts w:ascii="Arial Narrow" w:eastAsia="Arial" w:hAnsi="Arial Narrow"/>
                <w:strike/>
                <w:sz w:val="18"/>
                <w:szCs w:val="18"/>
                <w:u w:val="single"/>
                <w:lang w:eastAsia="en-US"/>
              </w:rPr>
              <w:t xml:space="preserve">AND </w:t>
            </w:r>
          </w:p>
          <w:p w:rsidR="00CA09EB" w:rsidRPr="00E12BDF" w:rsidRDefault="00CA09EB" w:rsidP="00CF5B6B">
            <w:pPr>
              <w:numPr>
                <w:ilvl w:val="1"/>
                <w:numId w:val="8"/>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Histological confirmation with immunohistochemistry (confirmed by amyloid expert centre) or mass spectrometry; </w:t>
            </w:r>
          </w:p>
          <w:p w:rsidR="00CA09EB" w:rsidRPr="00E12BDF" w:rsidRDefault="00CA09EB" w:rsidP="00CF5B6B">
            <w:pPr>
              <w:jc w:val="left"/>
              <w:rPr>
                <w:rFonts w:ascii="Arial Narrow" w:eastAsia="Arial" w:hAnsi="Arial Narrow"/>
                <w:strike/>
                <w:sz w:val="18"/>
                <w:szCs w:val="18"/>
                <w:lang w:eastAsia="en-US"/>
              </w:rPr>
            </w:pPr>
            <w:r w:rsidRPr="00E12BDF">
              <w:rPr>
                <w:rFonts w:ascii="Arial Narrow" w:eastAsia="Arial" w:hAnsi="Arial Narrow"/>
                <w:strike/>
                <w:sz w:val="18"/>
                <w:szCs w:val="18"/>
                <w:u w:val="single"/>
                <w:lang w:eastAsia="en-US"/>
              </w:rPr>
              <w:t>OR</w:t>
            </w:r>
            <w:r w:rsidRPr="00E12BDF">
              <w:rPr>
                <w:rFonts w:ascii="Arial Narrow" w:eastAsia="Arial" w:hAnsi="Arial Narrow"/>
                <w:strike/>
                <w:sz w:val="18"/>
                <w:szCs w:val="18"/>
                <w:lang w:eastAsia="en-US"/>
              </w:rPr>
              <w:t xml:space="preserve"> </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Positive result for monoclonal protein on </w:t>
            </w:r>
            <w:r w:rsidRPr="00E12BDF">
              <w:rPr>
                <w:rFonts w:ascii="Arial Narrow" w:eastAsia="Arial" w:hAnsi="Arial Narrow"/>
                <w:strike/>
                <w:sz w:val="18"/>
                <w:szCs w:val="18"/>
                <w:u w:val="single"/>
                <w:lang w:eastAsia="en-US"/>
              </w:rPr>
              <w:t>one of the following three tests</w:t>
            </w:r>
            <w:r w:rsidRPr="00E12BDF">
              <w:rPr>
                <w:rFonts w:ascii="Arial Narrow" w:eastAsia="Arial" w:hAnsi="Arial Narrow"/>
                <w:strike/>
                <w:sz w:val="18"/>
                <w:szCs w:val="18"/>
                <w:lang w:eastAsia="en-US"/>
              </w:rPr>
              <w:t>:</w:t>
            </w:r>
          </w:p>
          <w:p w:rsidR="00CA09EB" w:rsidRPr="00E12BDF" w:rsidRDefault="00CA09EB" w:rsidP="00CF5B6B">
            <w:pPr>
              <w:numPr>
                <w:ilvl w:val="0"/>
                <w:numId w:val="9"/>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immunofixation and electrophoresis OR </w:t>
            </w:r>
          </w:p>
          <w:p w:rsidR="00CA09EB" w:rsidRPr="00E12BDF" w:rsidRDefault="00CA09EB" w:rsidP="00CF5B6B">
            <w:pPr>
              <w:numPr>
                <w:ilvl w:val="0"/>
                <w:numId w:val="9"/>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urine immunofixation and electrophoresis OR </w:t>
            </w:r>
          </w:p>
          <w:p w:rsidR="00CA09EB" w:rsidRPr="00E12BDF" w:rsidRDefault="00CA09EB" w:rsidP="00CF5B6B">
            <w:pPr>
              <w:numPr>
                <w:ilvl w:val="0"/>
                <w:numId w:val="9"/>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 xml:space="preserve">serum free light chains; </w:t>
            </w:r>
          </w:p>
          <w:p w:rsidR="00CA09EB" w:rsidRPr="00E12BDF" w:rsidRDefault="00CA09EB" w:rsidP="00CF5B6B">
            <w:pPr>
              <w:tabs>
                <w:tab w:val="left" w:pos="376"/>
              </w:tabs>
              <w:jc w:val="left"/>
              <w:rPr>
                <w:rFonts w:ascii="Arial Narrow" w:eastAsia="Arial" w:hAnsi="Arial Narrow"/>
                <w:strike/>
                <w:sz w:val="18"/>
                <w:szCs w:val="18"/>
                <w:u w:val="single"/>
                <w:lang w:eastAsia="en-US"/>
              </w:rPr>
            </w:pPr>
            <w:r w:rsidRPr="00E12BDF">
              <w:rPr>
                <w:rFonts w:ascii="Arial Narrow" w:eastAsia="Arial" w:hAnsi="Arial Narrow"/>
                <w:strike/>
                <w:sz w:val="18"/>
                <w:szCs w:val="18"/>
                <w:lang w:eastAsia="en-US"/>
              </w:rPr>
              <w:tab/>
            </w:r>
            <w:r w:rsidRPr="00E12BDF">
              <w:rPr>
                <w:rFonts w:ascii="Arial Narrow" w:eastAsia="Arial" w:hAnsi="Arial Narrow"/>
                <w:strike/>
                <w:sz w:val="18"/>
                <w:szCs w:val="18"/>
                <w:u w:val="single"/>
                <w:lang w:eastAsia="en-US"/>
              </w:rPr>
              <w:t xml:space="preserve">AND </w:t>
            </w:r>
          </w:p>
          <w:p w:rsidR="00CA09EB" w:rsidRPr="00E12BDF" w:rsidRDefault="00CA09EB" w:rsidP="00CF5B6B">
            <w:pPr>
              <w:numPr>
                <w:ilvl w:val="0"/>
                <w:numId w:val="5"/>
              </w:numPr>
              <w:jc w:val="left"/>
              <w:rPr>
                <w:rFonts w:ascii="Arial Narrow" w:eastAsia="Arial" w:hAnsi="Arial Narrow"/>
                <w:strike/>
                <w:sz w:val="18"/>
                <w:szCs w:val="18"/>
                <w:lang w:eastAsia="en-US"/>
              </w:rPr>
            </w:pPr>
            <w:r w:rsidRPr="00E12BDF">
              <w:rPr>
                <w:rFonts w:ascii="Arial Narrow" w:eastAsia="Arial" w:hAnsi="Arial Narrow"/>
                <w:strike/>
                <w:sz w:val="18"/>
                <w:szCs w:val="18"/>
                <w:lang w:eastAsia="en-US"/>
              </w:rPr>
              <w:t>Transthyretin precursor protein identified by:</w:t>
            </w:r>
          </w:p>
          <w:p w:rsidR="00CA09EB" w:rsidRPr="00E12BDF" w:rsidRDefault="00CA09EB" w:rsidP="00CF5B6B">
            <w:pPr>
              <w:numPr>
                <w:ilvl w:val="1"/>
                <w:numId w:val="10"/>
              </w:numPr>
              <w:jc w:val="left"/>
              <w:rPr>
                <w:rFonts w:ascii="Arial Narrow" w:eastAsia="Arial" w:hAnsi="Arial Narrow"/>
                <w:strike/>
                <w:sz w:val="18"/>
                <w:szCs w:val="18"/>
                <w:u w:val="single"/>
                <w:lang w:eastAsia="en-US"/>
              </w:rPr>
            </w:pPr>
            <w:r w:rsidRPr="00E12BDF">
              <w:rPr>
                <w:rFonts w:ascii="Arial Narrow" w:eastAsia="Arial" w:hAnsi="Arial Narrow"/>
                <w:strike/>
                <w:sz w:val="18"/>
                <w:szCs w:val="18"/>
                <w:u w:val="single"/>
                <w:lang w:eastAsia="en-US"/>
              </w:rPr>
              <w:t>Grade 1, 2 or 3</w:t>
            </w:r>
            <w:r w:rsidRPr="00E12BDF">
              <w:rPr>
                <w:rFonts w:ascii="Arial Narrow" w:eastAsia="Arial" w:hAnsi="Arial Narrow"/>
                <w:strike/>
                <w:sz w:val="18"/>
                <w:szCs w:val="18"/>
                <w:lang w:eastAsia="en-US"/>
              </w:rPr>
              <w:t xml:space="preserve"> on bone scintigraphy with technetium-labelled radioactive tracer e.g., 99mTC-DPD [99mTC-3,3-diphosphono-1,2-propano-dicarboxylic acid], 99mTC- PYP [pyrophosphate] or 99mTC-HDP [99mTC-labelled hydroxymethylene diphosphate (HMDP)]; </w:t>
            </w:r>
            <w:r w:rsidRPr="00E12BDF">
              <w:rPr>
                <w:rFonts w:ascii="Arial Narrow" w:eastAsia="Arial" w:hAnsi="Arial Narrow"/>
                <w:strike/>
                <w:sz w:val="18"/>
                <w:szCs w:val="18"/>
                <w:u w:val="single"/>
                <w:lang w:eastAsia="en-US"/>
              </w:rPr>
              <w:t>AND</w:t>
            </w:r>
          </w:p>
          <w:p w:rsidR="00CA09EB" w:rsidRPr="00E12BDF" w:rsidRDefault="00CA09EB" w:rsidP="00CF5B6B">
            <w:pPr>
              <w:numPr>
                <w:ilvl w:val="1"/>
                <w:numId w:val="10"/>
              </w:numPr>
              <w:jc w:val="left"/>
              <w:rPr>
                <w:rFonts w:ascii="Arial Narrow" w:eastAsia="Arial" w:hAnsi="Arial Narrow"/>
                <w:sz w:val="18"/>
                <w:szCs w:val="18"/>
                <w:u w:val="single"/>
                <w:lang w:eastAsia="en-US"/>
              </w:rPr>
            </w:pPr>
            <w:r w:rsidRPr="00E12BDF">
              <w:rPr>
                <w:rFonts w:ascii="Arial Narrow" w:eastAsia="Arial" w:hAnsi="Arial Narrow"/>
                <w:strike/>
                <w:sz w:val="18"/>
                <w:szCs w:val="18"/>
                <w:lang w:eastAsia="en-US"/>
              </w:rPr>
              <w:t xml:space="preserve">Histological confirmation with immunohistochemistry (confirmed by amyloid expert centre) or mass spectrometry. </w:t>
            </w:r>
          </w:p>
        </w:tc>
      </w:tr>
    </w:tbl>
    <w:p w:rsidR="00FF3BF2" w:rsidRPr="00E12BDF" w:rsidRDefault="00FF3BF2" w:rsidP="00FF3BF2">
      <w:pPr>
        <w:spacing w:after="160" w:line="259" w:lineRule="auto"/>
        <w:jc w:val="left"/>
        <w:rPr>
          <w:rFonts w:eastAsia="Calibri" w:cs="Calibri"/>
          <w:lang w:eastAsia="en-US"/>
        </w:rPr>
      </w:pPr>
    </w:p>
    <w:p w:rsidR="00FF3BF2" w:rsidRPr="00E12BDF" w:rsidRDefault="00FF3BF2" w:rsidP="00FF3BF2">
      <w:pPr>
        <w:spacing w:after="160" w:line="259" w:lineRule="auto"/>
        <w:jc w:val="left"/>
        <w:rPr>
          <w:rFonts w:ascii="Arial Narrow" w:eastAsia="Calibri" w:hAnsi="Arial Narrow" w:cs="Calibri"/>
          <w:b/>
          <w:sz w:val="18"/>
          <w:szCs w:val="18"/>
          <w:lang w:eastAsia="en-US"/>
        </w:rPr>
      </w:pPr>
      <w:r w:rsidRPr="00E12BDF">
        <w:rPr>
          <w:rFonts w:ascii="Arial Narrow" w:eastAsia="Calibri" w:hAnsi="Arial Narrow" w:cs="Calibri"/>
          <w:b/>
          <w:sz w:val="18"/>
          <w:szCs w:val="18"/>
          <w:lang w:eastAsia="en-US"/>
        </w:rPr>
        <w:t>Tafamidis: continuing treatment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A09EB" w:rsidRPr="00E12BDF" w:rsidTr="00CA09EB">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CF5B6B">
            <w:pPr>
              <w:rPr>
                <w:rFonts w:ascii="Arial Narrow" w:eastAsia="Calibri" w:hAnsi="Arial Narrow" w:cs="Calibri"/>
                <w:sz w:val="18"/>
                <w:szCs w:val="18"/>
                <w:lang w:eastAsia="en-US"/>
              </w:rPr>
            </w:pPr>
            <w:r w:rsidRPr="00E12BDF">
              <w:rPr>
                <w:rFonts w:ascii="Arial Narrow" w:eastAsia="Calibri" w:hAnsi="Arial Narrow" w:cs="Calibri"/>
                <w:b/>
                <w:sz w:val="18"/>
                <w:szCs w:val="18"/>
                <w:lang w:eastAsia="en-US"/>
              </w:rPr>
              <w:t xml:space="preserve">Category / Program:   </w:t>
            </w:r>
            <w:r w:rsidRPr="00E12BDF">
              <w:rPr>
                <w:rFonts w:ascii="Arial Narrow" w:eastAsia="Calibri" w:hAnsi="Arial Narrow" w:cs="Calibri"/>
                <w:sz w:val="18"/>
                <w:szCs w:val="18"/>
                <w:lang w:eastAsia="en-US"/>
              </w:rPr>
              <w:t xml:space="preserve">GENERAL – General Schedule (Code GE) </w:t>
            </w:r>
          </w:p>
        </w:tc>
      </w:tr>
      <w:tr w:rsidR="00CA09EB" w:rsidRPr="00E12BDF" w:rsidTr="00CA09EB">
        <w:trPr>
          <w:trHeight w:val="289"/>
        </w:trPr>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8A56A0">
            <w:pPr>
              <w:rPr>
                <w:rFonts w:ascii="Arial Narrow" w:eastAsia="Calibri" w:hAnsi="Arial Narrow" w:cs="Calibri"/>
                <w:sz w:val="18"/>
                <w:szCs w:val="18"/>
                <w:lang w:eastAsia="en-US"/>
              </w:rPr>
            </w:pPr>
            <w:r w:rsidRPr="00E12BDF">
              <w:rPr>
                <w:rFonts w:ascii="Arial Narrow" w:eastAsia="Calibri" w:hAnsi="Arial Narrow" w:cs="Calibri"/>
                <w:b/>
                <w:sz w:val="18"/>
                <w:szCs w:val="18"/>
                <w:lang w:eastAsia="en-US"/>
              </w:rPr>
              <w:t xml:space="preserve">Prescriber type:  </w:t>
            </w:r>
            <w:r w:rsidRPr="00E12BDF">
              <w:rPr>
                <w:rFonts w:ascii="Arial Narrow" w:eastAsia="Calibri" w:hAnsi="Arial Narrow" w:cs="Calibri"/>
                <w:sz w:val="18"/>
                <w:szCs w:val="18"/>
                <w:lang w:eastAsia="en-US"/>
              </w:rPr>
              <w:fldChar w:fldCharType="begin">
                <w:ffData>
                  <w:name w:val=""/>
                  <w:enabled/>
                  <w:calcOnExit w:val="0"/>
                  <w:checkBox>
                    <w:sizeAuto/>
                    <w:default w:val="1"/>
                  </w:checkBox>
                </w:ffData>
              </w:fldChar>
            </w:r>
            <w:r w:rsidRPr="00E12BDF">
              <w:rPr>
                <w:rFonts w:ascii="Arial Narrow" w:eastAsia="Calibri" w:hAnsi="Arial Narrow" w:cs="Calibri"/>
                <w:sz w:val="18"/>
                <w:szCs w:val="18"/>
                <w:lang w:eastAsia="en-US"/>
              </w:rPr>
              <w:instrText xml:space="preserve"> FORMCHECKBOX </w:instrText>
            </w:r>
            <w:r w:rsidR="00313B04">
              <w:rPr>
                <w:rFonts w:ascii="Arial Narrow" w:eastAsia="Calibri" w:hAnsi="Arial Narrow" w:cs="Calibri"/>
                <w:sz w:val="18"/>
                <w:szCs w:val="18"/>
                <w:lang w:eastAsia="en-US"/>
              </w:rPr>
            </w:r>
            <w:r w:rsidR="00313B04">
              <w:rPr>
                <w:rFonts w:ascii="Arial Narrow" w:eastAsia="Calibri" w:hAnsi="Arial Narrow" w:cs="Calibri"/>
                <w:sz w:val="18"/>
                <w:szCs w:val="18"/>
                <w:lang w:eastAsia="en-US"/>
              </w:rPr>
              <w:fldChar w:fldCharType="separate"/>
            </w:r>
            <w:r w:rsidRPr="00E12BDF">
              <w:rPr>
                <w:rFonts w:ascii="Arial Narrow" w:eastAsia="Calibri" w:hAnsi="Arial Narrow" w:cs="Calibri"/>
                <w:sz w:val="18"/>
                <w:szCs w:val="18"/>
                <w:lang w:eastAsia="en-US"/>
              </w:rPr>
              <w:fldChar w:fldCharType="end"/>
            </w:r>
            <w:r w:rsidRPr="00E12BDF">
              <w:rPr>
                <w:rFonts w:ascii="Arial Narrow" w:eastAsia="Calibri" w:hAnsi="Arial Narrow" w:cs="Calibri"/>
                <w:sz w:val="18"/>
                <w:szCs w:val="18"/>
                <w:lang w:eastAsia="en-US"/>
              </w:rPr>
              <w:t xml:space="preserve">Medical Practitioners  </w:t>
            </w:r>
          </w:p>
        </w:tc>
      </w:tr>
      <w:tr w:rsidR="00CA09EB" w:rsidRPr="00E12BDF" w:rsidTr="00CA09EB">
        <w:tc>
          <w:tcPr>
            <w:tcW w:w="5000" w:type="pct"/>
            <w:tcBorders>
              <w:top w:val="single" w:sz="4" w:space="0" w:color="auto"/>
              <w:left w:val="single" w:sz="4" w:space="0" w:color="auto"/>
              <w:bottom w:val="single" w:sz="4" w:space="0" w:color="auto"/>
              <w:right w:val="single" w:sz="4" w:space="0" w:color="auto"/>
            </w:tcBorders>
          </w:tcPr>
          <w:p w:rsidR="00CA09EB" w:rsidRPr="00E12BDF" w:rsidRDefault="00CA09EB" w:rsidP="008A56A0">
            <w:pPr>
              <w:rPr>
                <w:rFonts w:ascii="Arial Narrow" w:eastAsia="Calibri" w:hAnsi="Arial Narrow" w:cs="Calibri"/>
                <w:b/>
                <w:sz w:val="18"/>
                <w:szCs w:val="18"/>
                <w:lang w:eastAsia="en-US"/>
              </w:rPr>
            </w:pPr>
            <w:r w:rsidRPr="00E12BDF">
              <w:rPr>
                <w:rFonts w:ascii="Arial Narrow" w:eastAsia="Calibri" w:hAnsi="Arial Narrow" w:cs="Calibri"/>
                <w:b/>
                <w:sz w:val="18"/>
                <w:szCs w:val="18"/>
                <w:lang w:eastAsia="en-US"/>
              </w:rPr>
              <w:t xml:space="preserve">Restriction </w:t>
            </w:r>
            <w:r w:rsidR="008A56A0" w:rsidRPr="00E12BDF">
              <w:rPr>
                <w:rFonts w:ascii="Arial Narrow" w:eastAsia="Calibri" w:hAnsi="Arial Narrow" w:cs="Calibri"/>
                <w:b/>
                <w:sz w:val="18"/>
                <w:szCs w:val="18"/>
                <w:lang w:eastAsia="en-US"/>
              </w:rPr>
              <w:t xml:space="preserve">type </w:t>
            </w:r>
            <w:r w:rsidRPr="00E12BDF">
              <w:rPr>
                <w:rFonts w:ascii="Arial Narrow" w:eastAsia="Calibri" w:hAnsi="Arial Narrow" w:cs="Calibri"/>
                <w:b/>
                <w:sz w:val="18"/>
                <w:szCs w:val="18"/>
                <w:lang w:eastAsia="en-US"/>
              </w:rPr>
              <w:t>/ Method:</w:t>
            </w:r>
            <w:r w:rsidR="008A56A0" w:rsidRPr="00E12BDF">
              <w:rPr>
                <w:rFonts w:ascii="Arial Narrow" w:eastAsia="Calibri" w:hAnsi="Arial Narrow" w:cs="Calibri"/>
                <w:b/>
                <w:sz w:val="18"/>
                <w:szCs w:val="18"/>
                <w:lang w:eastAsia="en-US"/>
              </w:rPr>
              <w:t xml:space="preserve"> </w:t>
            </w:r>
            <w:r w:rsidRPr="00E12BDF">
              <w:rPr>
                <w:rFonts w:ascii="Arial Narrow" w:eastAsia="Calibri" w:hAnsi="Arial Narrow"/>
                <w:sz w:val="18"/>
                <w:szCs w:val="18"/>
                <w:lang w:eastAsia="en-US"/>
              </w:rPr>
              <w:fldChar w:fldCharType="begin">
                <w:ffData>
                  <w:name w:val="Check3"/>
                  <w:enabled/>
                  <w:calcOnExit w:val="0"/>
                  <w:checkBox>
                    <w:sizeAuto/>
                    <w:default w:val="1"/>
                  </w:checkBox>
                </w:ffData>
              </w:fldChar>
            </w:r>
            <w:r w:rsidRPr="00E12BDF">
              <w:rPr>
                <w:rFonts w:ascii="Arial Narrow" w:eastAsia="Calibri" w:hAnsi="Arial Narrow"/>
                <w:sz w:val="18"/>
                <w:szCs w:val="18"/>
                <w:lang w:eastAsia="en-US"/>
              </w:rPr>
              <w:instrText xml:space="preserve"> FORMCHECKBOX </w:instrText>
            </w:r>
            <w:r w:rsidR="00313B04">
              <w:rPr>
                <w:rFonts w:ascii="Arial Narrow" w:eastAsia="Calibri" w:hAnsi="Arial Narrow"/>
                <w:sz w:val="18"/>
                <w:szCs w:val="18"/>
                <w:lang w:eastAsia="en-US"/>
              </w:rPr>
            </w:r>
            <w:r w:rsidR="00313B04">
              <w:rPr>
                <w:rFonts w:ascii="Arial Narrow" w:eastAsia="Calibri" w:hAnsi="Arial Narrow"/>
                <w:sz w:val="18"/>
                <w:szCs w:val="18"/>
                <w:lang w:eastAsia="en-US"/>
              </w:rPr>
              <w:fldChar w:fldCharType="separate"/>
            </w:r>
            <w:r w:rsidRPr="00E12BDF">
              <w:rPr>
                <w:rFonts w:ascii="Arial Narrow" w:eastAsia="Calibri" w:hAnsi="Arial Narrow"/>
                <w:sz w:val="18"/>
                <w:szCs w:val="18"/>
                <w:lang w:eastAsia="en-US"/>
              </w:rPr>
              <w:fldChar w:fldCharType="end"/>
            </w:r>
            <w:r w:rsidRPr="00E12BDF">
              <w:rPr>
                <w:rFonts w:ascii="Arial Narrow" w:eastAsia="Calibri" w:hAnsi="Arial Narrow"/>
                <w:sz w:val="18"/>
                <w:szCs w:val="18"/>
                <w:lang w:eastAsia="en-US"/>
              </w:rPr>
              <w:t xml:space="preserve">Authority Required – immediate/real time assessment by </w:t>
            </w:r>
            <w:r w:rsidR="008A56A0" w:rsidRPr="00E12BDF">
              <w:rPr>
                <w:rFonts w:ascii="Arial Narrow" w:eastAsia="Calibri" w:hAnsi="Arial Narrow"/>
                <w:sz w:val="18"/>
                <w:szCs w:val="18"/>
                <w:lang w:eastAsia="en-US"/>
              </w:rPr>
              <w:t xml:space="preserve">Services Australia </w:t>
            </w:r>
            <w:r w:rsidRPr="00E12BDF">
              <w:rPr>
                <w:rFonts w:ascii="Arial Narrow" w:eastAsia="Calibri" w:hAnsi="Arial Narrow"/>
                <w:sz w:val="18"/>
                <w:szCs w:val="18"/>
                <w:lang w:eastAsia="en-US"/>
              </w:rPr>
              <w:t>(telephone/online)</w:t>
            </w:r>
          </w:p>
        </w:tc>
      </w:tr>
      <w:tr w:rsidR="00CA09EB" w:rsidRPr="00E12BDF" w:rsidTr="00CA09EB">
        <w:tc>
          <w:tcPr>
            <w:tcW w:w="5000" w:type="pct"/>
            <w:tcBorders>
              <w:left w:val="single" w:sz="4" w:space="0" w:color="auto"/>
            </w:tcBorders>
            <w:vAlign w:val="center"/>
          </w:tcPr>
          <w:p w:rsidR="00CA09EB" w:rsidRPr="00E12BDF" w:rsidRDefault="00CA09EB" w:rsidP="00CF5B6B">
            <w:pPr>
              <w:jc w:val="left"/>
              <w:rPr>
                <w:rFonts w:ascii="Arial Narrow" w:hAnsi="Arial Narrow" w:cs="Calibri"/>
                <w:b/>
                <w:bCs/>
                <w:color w:val="333333"/>
                <w:sz w:val="18"/>
                <w:szCs w:val="18"/>
              </w:rPr>
            </w:pPr>
            <w:r w:rsidRPr="00E12BDF">
              <w:rPr>
                <w:rFonts w:ascii="Arial Narrow" w:hAnsi="Arial Narrow" w:cs="Calibri"/>
                <w:b/>
                <w:bCs/>
                <w:color w:val="333333"/>
                <w:sz w:val="18"/>
                <w:szCs w:val="18"/>
              </w:rPr>
              <w:t xml:space="preserve">Condition: </w:t>
            </w:r>
            <w:r w:rsidRPr="00E12BDF">
              <w:rPr>
                <w:rFonts w:ascii="Arial Narrow" w:hAnsi="Arial Narrow" w:cs="Calibri"/>
                <w:bCs/>
                <w:color w:val="333333"/>
                <w:sz w:val="18"/>
                <w:szCs w:val="18"/>
              </w:rPr>
              <w:t xml:space="preserve">Transthyretin amyloid cardiomyopathy </w:t>
            </w:r>
            <w:r w:rsidRPr="00E12BDF">
              <w:rPr>
                <w:rFonts w:ascii="Arial Narrow" w:hAnsi="Arial Narrow" w:cs="Calibri"/>
                <w:bCs/>
                <w:strike/>
                <w:color w:val="333333"/>
                <w:sz w:val="18"/>
                <w:szCs w:val="18"/>
              </w:rPr>
              <w:t>(ATTR-CM) due to wild type or variant transthyretin</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
                <w:bCs/>
                <w:color w:val="333333"/>
                <w:sz w:val="18"/>
                <w:szCs w:val="18"/>
              </w:rPr>
              <w:t>Indication:</w:t>
            </w:r>
            <w:r w:rsidRPr="00E12BDF">
              <w:rPr>
                <w:rFonts w:ascii="Arial Narrow" w:hAnsi="Arial Narrow" w:cs="Calibri"/>
                <w:color w:val="333333"/>
                <w:sz w:val="18"/>
                <w:szCs w:val="18"/>
              </w:rPr>
              <w:t xml:space="preserve"> Transthyretin amyloid cardiomyopathy</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
                <w:bCs/>
                <w:color w:val="333333"/>
                <w:sz w:val="18"/>
                <w:szCs w:val="18"/>
              </w:rPr>
              <w:t>Treatment Phase:</w:t>
            </w:r>
            <w:r w:rsidRPr="00E12BDF">
              <w:rPr>
                <w:rFonts w:ascii="Arial Narrow" w:hAnsi="Arial Narrow" w:cs="Calibri"/>
                <w:color w:val="333333"/>
                <w:sz w:val="18"/>
                <w:szCs w:val="18"/>
              </w:rPr>
              <w:t xml:space="preserve"> Continu</w:t>
            </w:r>
            <w:r w:rsidRPr="00E12BDF">
              <w:rPr>
                <w:rFonts w:ascii="Arial Narrow" w:hAnsi="Arial Narrow" w:cs="Calibri"/>
                <w:strike/>
                <w:color w:val="333333"/>
                <w:sz w:val="18"/>
                <w:szCs w:val="18"/>
              </w:rPr>
              <w:t>ed</w:t>
            </w:r>
            <w:r w:rsidRPr="00E12BDF">
              <w:rPr>
                <w:rFonts w:ascii="Arial Narrow" w:hAnsi="Arial Narrow" w:cs="Calibri"/>
                <w:i/>
                <w:color w:val="333333"/>
                <w:sz w:val="18"/>
                <w:szCs w:val="18"/>
              </w:rPr>
              <w:t xml:space="preserve">ing </w:t>
            </w:r>
            <w:r w:rsidRPr="00E12BDF">
              <w:rPr>
                <w:rFonts w:ascii="Arial Narrow" w:hAnsi="Arial Narrow" w:cs="Calibri"/>
                <w:color w:val="333333"/>
                <w:sz w:val="18"/>
                <w:szCs w:val="18"/>
              </w:rPr>
              <w:t xml:space="preserve"> treatment</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
                <w:bCs/>
                <w:color w:val="333333"/>
                <w:sz w:val="18"/>
                <w:szCs w:val="18"/>
              </w:rPr>
              <w:t>Clinical criteria:</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color w:val="333333"/>
                <w:sz w:val="18"/>
                <w:szCs w:val="18"/>
              </w:rPr>
              <w:t xml:space="preserve">Patient must have </w:t>
            </w:r>
            <w:r w:rsidRPr="00E12BDF">
              <w:rPr>
                <w:rFonts w:ascii="Arial Narrow" w:hAnsi="Arial Narrow" w:cs="Calibri"/>
                <w:i/>
                <w:color w:val="333333"/>
                <w:sz w:val="18"/>
                <w:szCs w:val="18"/>
              </w:rPr>
              <w:t xml:space="preserve">previously </w:t>
            </w:r>
            <w:r w:rsidRPr="00E12BDF">
              <w:rPr>
                <w:rFonts w:ascii="Arial Narrow" w:hAnsi="Arial Narrow" w:cs="Calibri"/>
                <w:color w:val="333333"/>
                <w:sz w:val="18"/>
                <w:szCs w:val="18"/>
              </w:rPr>
              <w:t xml:space="preserve">received </w:t>
            </w:r>
            <w:r w:rsidRPr="00E12BDF">
              <w:rPr>
                <w:rFonts w:ascii="Arial Narrow" w:hAnsi="Arial Narrow" w:cs="Calibri"/>
                <w:strike/>
                <w:color w:val="333333"/>
                <w:sz w:val="18"/>
                <w:szCs w:val="18"/>
              </w:rPr>
              <w:t>prior</w:t>
            </w:r>
            <w:r w:rsidRPr="00E12BDF">
              <w:rPr>
                <w:rFonts w:ascii="Arial Narrow" w:hAnsi="Arial Narrow" w:cs="Calibri"/>
                <w:color w:val="333333"/>
                <w:sz w:val="18"/>
                <w:szCs w:val="18"/>
              </w:rPr>
              <w:t xml:space="preserve"> PBS-subsidised treatment with this drug for this condition</w:t>
            </w:r>
          </w:p>
        </w:tc>
      </w:tr>
      <w:tr w:rsidR="00CA09EB" w:rsidRPr="00E12BDF" w:rsidTr="00CA09EB">
        <w:tc>
          <w:tcPr>
            <w:tcW w:w="5000" w:type="pct"/>
            <w:vAlign w:val="center"/>
          </w:tcPr>
          <w:p w:rsidR="00CA09EB" w:rsidRPr="00E12BDF" w:rsidRDefault="006C1CA5" w:rsidP="00CF5B6B">
            <w:pPr>
              <w:jc w:val="left"/>
              <w:rPr>
                <w:rFonts w:ascii="Arial Narrow" w:hAnsi="Arial Narrow" w:cs="Calibri"/>
                <w:color w:val="333333"/>
                <w:sz w:val="18"/>
                <w:szCs w:val="18"/>
              </w:rPr>
            </w:pPr>
            <w:r w:rsidRPr="00E12BDF">
              <w:rPr>
                <w:rFonts w:ascii="Arial Narrow" w:hAnsi="Arial Narrow" w:cs="Calibri"/>
                <w:b/>
                <w:bCs/>
                <w:sz w:val="18"/>
                <w:szCs w:val="18"/>
              </w:rPr>
              <w:t>AND</w:t>
            </w:r>
            <w:r w:rsidR="00CA09EB" w:rsidRPr="00E12BDF">
              <w:rPr>
                <w:rFonts w:ascii="Arial Narrow" w:eastAsia="Arial" w:hAnsi="Arial Narrow"/>
                <w:sz w:val="18"/>
                <w:szCs w:val="18"/>
                <w:lang w:eastAsia="en-US"/>
              </w:rPr>
              <w:t xml:space="preserve"> </w:t>
            </w:r>
          </w:p>
        </w:tc>
      </w:tr>
      <w:tr w:rsidR="00CA09EB" w:rsidRPr="00E12BDF" w:rsidTr="00CA09EB">
        <w:tc>
          <w:tcPr>
            <w:tcW w:w="5000" w:type="pct"/>
            <w:vAlign w:val="center"/>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Cs/>
                <w:i/>
                <w:sz w:val="18"/>
                <w:szCs w:val="18"/>
              </w:rPr>
              <w:t>Patient must have an estimated glomerular filtration rate (eGFR) greater than 25 ml/minute/1.73m</w:t>
            </w:r>
            <w:r w:rsidRPr="00E12BDF">
              <w:rPr>
                <w:rFonts w:ascii="Arial Narrow" w:hAnsi="Arial Narrow" w:cs="Calibri"/>
                <w:bCs/>
                <w:i/>
                <w:sz w:val="18"/>
                <w:szCs w:val="18"/>
                <w:vertAlign w:val="superscript"/>
              </w:rPr>
              <w:t>2</w:t>
            </w:r>
          </w:p>
        </w:tc>
      </w:tr>
      <w:tr w:rsidR="00CA09EB" w:rsidRPr="00E12BDF" w:rsidTr="00CA09EB">
        <w:tc>
          <w:tcPr>
            <w:tcW w:w="5000" w:type="pct"/>
            <w:vAlign w:val="center"/>
          </w:tcPr>
          <w:p w:rsidR="00CA09EB" w:rsidRPr="00E12BDF" w:rsidRDefault="006C1CA5" w:rsidP="00CF5B6B">
            <w:pPr>
              <w:jc w:val="left"/>
              <w:rPr>
                <w:rFonts w:ascii="Arial Narrow" w:hAnsi="Arial Narrow" w:cs="Calibri"/>
                <w:color w:val="333333"/>
                <w:sz w:val="18"/>
                <w:szCs w:val="18"/>
              </w:rPr>
            </w:pPr>
            <w:r w:rsidRPr="00E12BDF">
              <w:rPr>
                <w:rFonts w:ascii="Arial Narrow" w:hAnsi="Arial Narrow" w:cs="Calibri"/>
                <w:b/>
                <w:bCs/>
                <w:sz w:val="18"/>
                <w:szCs w:val="18"/>
              </w:rPr>
              <w:t>AND</w:t>
            </w:r>
            <w:r w:rsidR="00CA09EB" w:rsidRPr="00E12BDF">
              <w:rPr>
                <w:rFonts w:ascii="Arial Narrow" w:hAnsi="Arial Narrow" w:cs="Calibri"/>
                <w:b/>
                <w:bCs/>
                <w:sz w:val="18"/>
                <w:szCs w:val="18"/>
              </w:rPr>
              <w:t>:</w:t>
            </w:r>
          </w:p>
        </w:tc>
      </w:tr>
      <w:tr w:rsidR="00CA09EB" w:rsidRPr="00E12BDF" w:rsidTr="00CA09EB">
        <w:tc>
          <w:tcPr>
            <w:tcW w:w="5000" w:type="pct"/>
            <w:vAlign w:val="center"/>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Cs/>
                <w:i/>
                <w:sz w:val="18"/>
                <w:szCs w:val="18"/>
              </w:rPr>
              <w:lastRenderedPageBreak/>
              <w:t>Patient must have New York Heart Association Class I to III heart failure</w:t>
            </w:r>
          </w:p>
        </w:tc>
      </w:tr>
      <w:tr w:rsidR="00CA09EB" w:rsidRPr="00E12BDF" w:rsidTr="00CA09EB">
        <w:tc>
          <w:tcPr>
            <w:tcW w:w="5000" w:type="pct"/>
            <w:vAlign w:val="center"/>
            <w:hideMark/>
          </w:tcPr>
          <w:p w:rsidR="00CA09EB" w:rsidRPr="00E12BDF" w:rsidRDefault="00CA09EB" w:rsidP="00CF5B6B">
            <w:pPr>
              <w:jc w:val="left"/>
              <w:rPr>
                <w:rFonts w:ascii="Arial Narrow" w:hAnsi="Arial Narrow" w:cs="Calibri"/>
                <w:color w:val="333333"/>
                <w:sz w:val="18"/>
                <w:szCs w:val="18"/>
              </w:rPr>
            </w:pPr>
            <w:r w:rsidRPr="00E12BDF">
              <w:rPr>
                <w:rFonts w:ascii="Arial Narrow" w:hAnsi="Arial Narrow" w:cs="Calibri"/>
                <w:b/>
                <w:bCs/>
                <w:color w:val="333333"/>
                <w:sz w:val="18"/>
                <w:szCs w:val="18"/>
              </w:rPr>
              <w:t>Treatment criteria:</w:t>
            </w:r>
          </w:p>
        </w:tc>
      </w:tr>
      <w:tr w:rsidR="00CA09EB" w:rsidRPr="00E12BDF" w:rsidTr="00CA09EB">
        <w:tc>
          <w:tcPr>
            <w:tcW w:w="5000" w:type="pct"/>
            <w:vAlign w:val="center"/>
            <w:hideMark/>
          </w:tcPr>
          <w:p w:rsidR="00CA09EB" w:rsidRPr="00E12BDF" w:rsidRDefault="00CA09EB" w:rsidP="00CF5B6B">
            <w:pPr>
              <w:autoSpaceDE w:val="0"/>
              <w:autoSpaceDN w:val="0"/>
              <w:adjustRightInd w:val="0"/>
              <w:jc w:val="left"/>
              <w:rPr>
                <w:rFonts w:ascii="Arial Narrow" w:eastAsia="Calibri" w:hAnsi="Arial Narrow" w:cs="Calibri"/>
                <w:iCs/>
                <w:sz w:val="18"/>
                <w:szCs w:val="18"/>
                <w:lang w:eastAsia="en-US"/>
              </w:rPr>
            </w:pPr>
            <w:r w:rsidRPr="00E12BDF">
              <w:rPr>
                <w:rFonts w:ascii="Arial Narrow" w:eastAsia="Calibri" w:hAnsi="Arial Narrow" w:cs="Calibri"/>
                <w:iCs/>
                <w:sz w:val="18"/>
                <w:szCs w:val="18"/>
                <w:lang w:eastAsia="en-US"/>
              </w:rPr>
              <w:t xml:space="preserve">Must be treated by a </w:t>
            </w:r>
            <w:r w:rsidRPr="00E12BDF">
              <w:rPr>
                <w:rFonts w:ascii="Arial Narrow" w:eastAsia="Calibri" w:hAnsi="Arial Narrow" w:cs="Calibri"/>
                <w:i/>
                <w:iCs/>
                <w:sz w:val="18"/>
                <w:szCs w:val="18"/>
                <w:lang w:eastAsia="en-US"/>
              </w:rPr>
              <w:t>specialist</w:t>
            </w:r>
            <w:r w:rsidRPr="00E12BDF">
              <w:rPr>
                <w:rFonts w:ascii="Arial Narrow" w:eastAsia="Calibri" w:hAnsi="Arial Narrow" w:cs="Calibri"/>
                <w:iCs/>
                <w:sz w:val="18"/>
                <w:szCs w:val="18"/>
                <w:lang w:eastAsia="en-US"/>
              </w:rPr>
              <w:t xml:space="preserve"> cardiologist; or</w:t>
            </w:r>
          </w:p>
        </w:tc>
      </w:tr>
      <w:tr w:rsidR="00CA09EB" w:rsidRPr="00E12BDF" w:rsidTr="00CA09EB">
        <w:tc>
          <w:tcPr>
            <w:tcW w:w="5000" w:type="pct"/>
            <w:vAlign w:val="center"/>
          </w:tcPr>
          <w:p w:rsidR="00CA09EB" w:rsidRDefault="00CA09EB" w:rsidP="00CF5B6B">
            <w:pPr>
              <w:autoSpaceDE w:val="0"/>
              <w:autoSpaceDN w:val="0"/>
              <w:adjustRightInd w:val="0"/>
              <w:jc w:val="left"/>
              <w:rPr>
                <w:rFonts w:ascii="Arial Narrow" w:eastAsia="Calibri" w:hAnsi="Arial Narrow" w:cs="Calibri"/>
                <w:iCs/>
                <w:strike/>
                <w:sz w:val="18"/>
                <w:szCs w:val="18"/>
                <w:lang w:eastAsia="en-US"/>
              </w:rPr>
            </w:pPr>
            <w:r w:rsidRPr="00630418">
              <w:rPr>
                <w:rFonts w:ascii="Arial Narrow" w:eastAsia="Calibri" w:hAnsi="Arial Narrow" w:cs="Calibri"/>
                <w:iCs/>
                <w:strike/>
                <w:sz w:val="18"/>
                <w:szCs w:val="18"/>
                <w:lang w:eastAsia="en-US"/>
              </w:rPr>
              <w:t>Must be treated by a consultant physician with experience in the management of amyloid disorders</w:t>
            </w:r>
          </w:p>
          <w:p w:rsidR="003D53B9" w:rsidRPr="003D53B9" w:rsidRDefault="003D53B9" w:rsidP="00CF5B6B">
            <w:pPr>
              <w:autoSpaceDE w:val="0"/>
              <w:autoSpaceDN w:val="0"/>
              <w:adjustRightInd w:val="0"/>
              <w:jc w:val="left"/>
              <w:rPr>
                <w:rFonts w:ascii="Arial Narrow" w:eastAsia="Calibri" w:hAnsi="Arial Narrow" w:cs="Calibri"/>
                <w:i/>
                <w:iCs/>
                <w:strike/>
                <w:sz w:val="18"/>
                <w:szCs w:val="18"/>
                <w:lang w:eastAsia="en-US"/>
              </w:rPr>
            </w:pPr>
            <w:r w:rsidRPr="003D53B9">
              <w:rPr>
                <w:rFonts w:ascii="Arial Narrow" w:eastAsia="Calibri" w:hAnsi="Arial Narrow" w:cs="Calibri"/>
                <w:i/>
                <w:iCs/>
                <w:sz w:val="18"/>
                <w:szCs w:val="18"/>
                <w:lang w:eastAsia="en-US"/>
              </w:rPr>
              <w:t>Must be treated in consultation with a specialist cardiologist</w:t>
            </w:r>
          </w:p>
        </w:tc>
      </w:tr>
      <w:tr w:rsidR="00CA09EB" w:rsidRPr="00E12BDF" w:rsidTr="00CA09EB">
        <w:tc>
          <w:tcPr>
            <w:tcW w:w="5000" w:type="pct"/>
            <w:vAlign w:val="center"/>
          </w:tcPr>
          <w:p w:rsidR="00CA09EB" w:rsidRPr="00E12BDF" w:rsidRDefault="00CA09EB" w:rsidP="00CF5B6B">
            <w:pPr>
              <w:jc w:val="left"/>
              <w:rPr>
                <w:rFonts w:ascii="Arial Narrow" w:hAnsi="Arial Narrow" w:cs="Calibri"/>
                <w:b/>
                <w:bCs/>
                <w:i/>
                <w:color w:val="333333"/>
                <w:sz w:val="18"/>
                <w:szCs w:val="18"/>
              </w:rPr>
            </w:pPr>
            <w:r w:rsidRPr="00E12BDF">
              <w:rPr>
                <w:rFonts w:ascii="Arial Narrow" w:hAnsi="Arial Narrow" w:cs="Calibri"/>
                <w:b/>
                <w:bCs/>
                <w:i/>
                <w:color w:val="333333"/>
                <w:sz w:val="18"/>
                <w:szCs w:val="18"/>
              </w:rPr>
              <w:t>Prescribing Instructions:</w:t>
            </w:r>
          </w:p>
          <w:p w:rsidR="00CA09EB" w:rsidRPr="00E12BDF" w:rsidRDefault="00CA09EB" w:rsidP="00CF5B6B">
            <w:pPr>
              <w:jc w:val="left"/>
              <w:rPr>
                <w:rFonts w:ascii="Arial Narrow" w:hAnsi="Arial Narrow" w:cs="Calibri"/>
                <w:bCs/>
                <w:i/>
                <w:color w:val="333333"/>
                <w:sz w:val="18"/>
                <w:szCs w:val="18"/>
              </w:rPr>
            </w:pPr>
            <w:r w:rsidRPr="00E12BDF">
              <w:rPr>
                <w:rFonts w:ascii="Arial Narrow" w:hAnsi="Arial Narrow" w:cs="Calibri"/>
                <w:bCs/>
                <w:i/>
                <w:color w:val="333333"/>
                <w:sz w:val="18"/>
                <w:szCs w:val="18"/>
              </w:rPr>
              <w:t>The treatment must be ceased if any of the following occur:</w:t>
            </w:r>
          </w:p>
          <w:p w:rsidR="00CA09EB" w:rsidRPr="00E12BDF" w:rsidRDefault="00CA09EB" w:rsidP="00CF5B6B">
            <w:pPr>
              <w:pStyle w:val="ListParagraph"/>
              <w:numPr>
                <w:ilvl w:val="0"/>
                <w:numId w:val="16"/>
              </w:numPr>
              <w:jc w:val="left"/>
              <w:rPr>
                <w:rFonts w:ascii="Arial Narrow" w:hAnsi="Arial Narrow" w:cs="Calibri"/>
                <w:bCs/>
                <w:i/>
                <w:color w:val="333333"/>
                <w:sz w:val="18"/>
                <w:szCs w:val="18"/>
              </w:rPr>
            </w:pPr>
            <w:r w:rsidRPr="00E12BDF">
              <w:rPr>
                <w:rFonts w:ascii="Arial Narrow" w:hAnsi="Arial Narrow" w:cs="Calibri"/>
                <w:bCs/>
                <w:i/>
                <w:color w:val="333333"/>
                <w:sz w:val="18"/>
                <w:szCs w:val="18"/>
              </w:rPr>
              <w:t xml:space="preserve">Patient progresses to </w:t>
            </w:r>
            <w:r w:rsidRPr="00E12BDF">
              <w:rPr>
                <w:rFonts w:ascii="Arial Narrow" w:hAnsi="Arial Narrow" w:cs="Calibri"/>
                <w:bCs/>
                <w:i/>
                <w:sz w:val="18"/>
                <w:szCs w:val="18"/>
              </w:rPr>
              <w:t>New York Heart Association</w:t>
            </w:r>
            <w:r w:rsidRPr="00E12BDF">
              <w:rPr>
                <w:rFonts w:ascii="Arial Narrow" w:hAnsi="Arial Narrow" w:cs="Calibri"/>
                <w:bCs/>
                <w:i/>
                <w:color w:val="333333"/>
                <w:sz w:val="18"/>
                <w:szCs w:val="18"/>
              </w:rPr>
              <w:t xml:space="preserve"> Class IV heart failure, or </w:t>
            </w:r>
          </w:p>
          <w:p w:rsidR="007F7C7A" w:rsidRDefault="00CA09EB" w:rsidP="00CF5B6B">
            <w:pPr>
              <w:pStyle w:val="ListParagraph"/>
              <w:numPr>
                <w:ilvl w:val="0"/>
                <w:numId w:val="16"/>
              </w:numPr>
              <w:jc w:val="left"/>
              <w:rPr>
                <w:rFonts w:ascii="Arial Narrow" w:hAnsi="Arial Narrow" w:cs="Calibri"/>
                <w:bCs/>
                <w:i/>
                <w:color w:val="333333"/>
                <w:sz w:val="18"/>
                <w:szCs w:val="18"/>
              </w:rPr>
            </w:pPr>
            <w:r w:rsidRPr="00E12BDF">
              <w:rPr>
                <w:rFonts w:ascii="Arial Narrow" w:hAnsi="Arial Narrow" w:cs="Calibri"/>
                <w:bCs/>
                <w:i/>
                <w:color w:val="333333"/>
                <w:sz w:val="18"/>
                <w:szCs w:val="18"/>
              </w:rPr>
              <w:t xml:space="preserve">Patient receives a heart / liver transplant, or </w:t>
            </w:r>
          </w:p>
          <w:p w:rsidR="00CA09EB" w:rsidRPr="00E12BDF" w:rsidRDefault="007F7C7A" w:rsidP="00CF5B6B">
            <w:pPr>
              <w:pStyle w:val="ListParagraph"/>
              <w:numPr>
                <w:ilvl w:val="0"/>
                <w:numId w:val="16"/>
              </w:numPr>
              <w:jc w:val="left"/>
              <w:rPr>
                <w:rFonts w:ascii="Arial Narrow" w:hAnsi="Arial Narrow" w:cs="Calibri"/>
                <w:bCs/>
                <w:i/>
                <w:color w:val="333333"/>
                <w:sz w:val="18"/>
                <w:szCs w:val="18"/>
              </w:rPr>
            </w:pPr>
            <w:r>
              <w:rPr>
                <w:rFonts w:ascii="Arial Narrow" w:hAnsi="Arial Narrow" w:cs="Calibri"/>
                <w:bCs/>
                <w:i/>
                <w:color w:val="333333"/>
                <w:sz w:val="18"/>
                <w:szCs w:val="18"/>
              </w:rPr>
              <w:t xml:space="preserve">Patient receives </w:t>
            </w:r>
            <w:r w:rsidR="00CA09EB" w:rsidRPr="00E12BDF">
              <w:rPr>
                <w:rFonts w:ascii="Arial Narrow" w:hAnsi="Arial Narrow" w:cs="Calibri"/>
                <w:bCs/>
                <w:i/>
                <w:color w:val="333333"/>
                <w:sz w:val="18"/>
                <w:szCs w:val="18"/>
              </w:rPr>
              <w:t>an implanted cardiac ventricular assist device</w:t>
            </w:r>
          </w:p>
        </w:tc>
      </w:tr>
      <w:tr w:rsidR="00CA09EB" w:rsidRPr="00E12BDF" w:rsidTr="00CA09EB">
        <w:tc>
          <w:tcPr>
            <w:tcW w:w="5000" w:type="pct"/>
            <w:vAlign w:val="center"/>
          </w:tcPr>
          <w:p w:rsidR="00CA09EB" w:rsidRPr="00E12BDF" w:rsidRDefault="00CA09EB" w:rsidP="00CF5B6B">
            <w:pPr>
              <w:jc w:val="left"/>
              <w:rPr>
                <w:rFonts w:ascii="Arial Narrow" w:hAnsi="Arial Narrow" w:cs="Calibri"/>
                <w:b/>
                <w:bCs/>
                <w:i/>
                <w:color w:val="333333"/>
                <w:sz w:val="18"/>
                <w:szCs w:val="18"/>
              </w:rPr>
            </w:pPr>
            <w:r w:rsidRPr="00E12BDF">
              <w:rPr>
                <w:rFonts w:ascii="Arial Narrow" w:hAnsi="Arial Narrow" w:cs="Calibri"/>
                <w:b/>
                <w:bCs/>
                <w:i/>
                <w:color w:val="333333"/>
                <w:sz w:val="18"/>
                <w:szCs w:val="18"/>
              </w:rPr>
              <w:t xml:space="preserve">Administrative Advice: </w:t>
            </w:r>
          </w:p>
          <w:p w:rsidR="00CA09EB" w:rsidRPr="00E12BDF" w:rsidRDefault="00CA09EB" w:rsidP="00CF5B6B">
            <w:pPr>
              <w:jc w:val="left"/>
              <w:rPr>
                <w:rFonts w:ascii="Arial Narrow" w:hAnsi="Arial Narrow" w:cs="Calibri"/>
                <w:b/>
                <w:bCs/>
                <w:strike/>
                <w:color w:val="333333"/>
                <w:sz w:val="18"/>
                <w:szCs w:val="18"/>
              </w:rPr>
            </w:pPr>
            <w:r w:rsidRPr="00E12BDF">
              <w:rPr>
                <w:rFonts w:ascii="Arial Narrow" w:hAnsi="Arial Narrow" w:cs="Calibri"/>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CA09EB" w:rsidRPr="00E12BDF" w:rsidTr="00CA09EB">
        <w:tc>
          <w:tcPr>
            <w:tcW w:w="5000" w:type="pct"/>
            <w:vAlign w:val="center"/>
          </w:tcPr>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
                <w:bCs/>
                <w:strike/>
                <w:color w:val="333333"/>
                <w:sz w:val="18"/>
                <w:szCs w:val="18"/>
              </w:rPr>
              <w:t>Administrative Advice:</w:t>
            </w:r>
            <w:r w:rsidRPr="00E12BDF">
              <w:rPr>
                <w:rFonts w:ascii="Arial Narrow" w:hAnsi="Arial Narrow" w:cs="Calibri"/>
                <w:bCs/>
                <w:strike/>
                <w:color w:val="333333"/>
                <w:sz w:val="18"/>
                <w:szCs w:val="18"/>
              </w:rPr>
              <w:t xml:space="preserve"> Any queries concerning the arrangements to prescribe may be directed to the Department of Human Services on 1800 700 270 (hours of operation 8 a.m. to 5 p.m. EST Monday to Friday). </w:t>
            </w:r>
          </w:p>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Cs/>
                <w:strike/>
                <w:color w:val="333333"/>
                <w:sz w:val="18"/>
                <w:szCs w:val="18"/>
              </w:rPr>
              <w:t>Prescribing information (including Authority Application forms and other relevant documentation as applicable) is available on the Department of Human Services website at www.humanservices.gov.au</w:t>
            </w:r>
          </w:p>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Cs/>
                <w:strike/>
                <w:color w:val="333333"/>
                <w:sz w:val="18"/>
                <w:szCs w:val="18"/>
              </w:rPr>
              <w:t xml:space="preserve">Applications for authority to prescribe should be forwarded to: </w:t>
            </w:r>
          </w:p>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Cs/>
                <w:strike/>
                <w:color w:val="333333"/>
                <w:sz w:val="18"/>
                <w:szCs w:val="18"/>
              </w:rPr>
              <w:t>Department of Human Services</w:t>
            </w:r>
          </w:p>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Cs/>
                <w:strike/>
                <w:color w:val="333333"/>
                <w:sz w:val="18"/>
                <w:szCs w:val="18"/>
              </w:rPr>
              <w:t xml:space="preserve">Complex Drugs </w:t>
            </w:r>
          </w:p>
          <w:p w:rsidR="00CA09EB" w:rsidRPr="00E12BDF" w:rsidRDefault="00CA09EB" w:rsidP="00CF5B6B">
            <w:pPr>
              <w:jc w:val="left"/>
              <w:rPr>
                <w:rFonts w:ascii="Arial Narrow" w:hAnsi="Arial Narrow" w:cs="Calibri"/>
                <w:bCs/>
                <w:strike/>
                <w:color w:val="333333"/>
                <w:sz w:val="18"/>
                <w:szCs w:val="18"/>
              </w:rPr>
            </w:pPr>
            <w:r w:rsidRPr="00E12BDF">
              <w:rPr>
                <w:rFonts w:ascii="Arial Narrow" w:hAnsi="Arial Narrow" w:cs="Calibri"/>
                <w:bCs/>
                <w:strike/>
                <w:color w:val="333333"/>
                <w:sz w:val="18"/>
                <w:szCs w:val="18"/>
              </w:rPr>
              <w:t xml:space="preserve">Reply Paid 9826 </w:t>
            </w:r>
          </w:p>
          <w:p w:rsidR="00CA09EB" w:rsidRPr="00E12BDF" w:rsidRDefault="00CA09EB" w:rsidP="00CF5B6B">
            <w:pPr>
              <w:jc w:val="left"/>
              <w:rPr>
                <w:rFonts w:ascii="Arial Narrow" w:hAnsi="Arial Narrow" w:cs="Calibri"/>
                <w:b/>
                <w:bCs/>
                <w:color w:val="333333"/>
                <w:sz w:val="18"/>
                <w:szCs w:val="18"/>
              </w:rPr>
            </w:pPr>
            <w:r w:rsidRPr="00E12BDF">
              <w:rPr>
                <w:rFonts w:ascii="Arial Narrow" w:hAnsi="Arial Narrow" w:cs="Calibri"/>
                <w:bCs/>
                <w:strike/>
                <w:color w:val="333333"/>
                <w:sz w:val="18"/>
                <w:szCs w:val="18"/>
              </w:rPr>
              <w:t>HOBART TAS 7001</w:t>
            </w:r>
          </w:p>
        </w:tc>
      </w:tr>
    </w:tbl>
    <w:p w:rsidR="00504D74" w:rsidRPr="00E12BDF" w:rsidRDefault="00504D74" w:rsidP="00497A1F">
      <w:pPr>
        <w:pStyle w:val="TableFigureFooter"/>
      </w:pPr>
    </w:p>
    <w:p w:rsidR="00861B1D" w:rsidRPr="00E12BDF" w:rsidRDefault="00480ECA" w:rsidP="00861B1D">
      <w:pPr>
        <w:pStyle w:val="ExecSumBodyText"/>
      </w:pPr>
      <w:r w:rsidRPr="00E12BDF">
        <w:t xml:space="preserve">The submission proposed a special pricing arrangement with </w:t>
      </w:r>
      <w:r w:rsidR="00431FC6" w:rsidRPr="00E12BDF">
        <w:t xml:space="preserve">a rebate of </w:t>
      </w:r>
      <w:r w:rsidR="005F357F">
        <w:rPr>
          <w:noProof/>
          <w:color w:val="000000"/>
          <w:highlight w:val="black"/>
        </w:rPr>
        <w:t>''''''''</w:t>
      </w:r>
      <w:r w:rsidR="00431FC6" w:rsidRPr="00E12BDF">
        <w:t>% on the published price (</w:t>
      </w:r>
      <w:r w:rsidRPr="00E12BDF">
        <w:t>effective price of $</w:t>
      </w:r>
      <w:r w:rsidR="005F357F">
        <w:rPr>
          <w:noProof/>
          <w:color w:val="000000"/>
          <w:highlight w:val="black"/>
        </w:rPr>
        <w:t>''''''''''''</w:t>
      </w:r>
      <w:r w:rsidRPr="00E12BDF">
        <w:t xml:space="preserve"> DPMQ)</w:t>
      </w:r>
      <w:r w:rsidR="00406093" w:rsidRPr="00E12BDF">
        <w:t>.</w:t>
      </w:r>
    </w:p>
    <w:p w:rsidR="00DC7B2E" w:rsidRPr="00E12BDF" w:rsidRDefault="00480ECA" w:rsidP="00DC7B2E">
      <w:pPr>
        <w:pStyle w:val="ExecSumBodyText"/>
      </w:pPr>
      <w:r w:rsidRPr="00E12BDF">
        <w:t>The proposed listing is for the tafamidis 61 mg free acid formulation</w:t>
      </w:r>
      <w:r w:rsidR="00CA09EB" w:rsidRPr="00E12BDF">
        <w:t xml:space="preserve"> </w:t>
      </w:r>
      <w:r w:rsidR="00DC7B2E" w:rsidRPr="00E12BDF">
        <w:t>which is considered to be bioequivalent to tafamidis meglumine 80 mg formulation that was used in the key trial</w:t>
      </w:r>
      <w:r w:rsidRPr="00E12BDF">
        <w:t xml:space="preserve">. The sponsor has not requested </w:t>
      </w:r>
      <w:r w:rsidR="00DC7B2E" w:rsidRPr="00E12BDF">
        <w:t xml:space="preserve">PBS </w:t>
      </w:r>
      <w:r w:rsidRPr="00E12BDF">
        <w:t>listing of the tafamidis meglumine 20 mg formulation.</w:t>
      </w:r>
    </w:p>
    <w:p w:rsidR="00591957" w:rsidRPr="00E12BDF" w:rsidRDefault="001A6871" w:rsidP="003C3B31">
      <w:pPr>
        <w:pStyle w:val="ExecSumBodyText"/>
      </w:pPr>
      <w:r w:rsidRPr="00E12BDF">
        <w:t>The</w:t>
      </w:r>
      <w:r w:rsidR="00FD390A" w:rsidRPr="00E12BDF">
        <w:t xml:space="preserve"> TGA</w:t>
      </w:r>
      <w:r w:rsidRPr="00E12BDF">
        <w:t xml:space="preserve"> Delegate’s Overview noted that </w:t>
      </w:r>
      <w:r w:rsidR="00DC7B2E" w:rsidRPr="00E12BDF">
        <w:t>the sponsor only proposed registration of the higher dose regimen (80</w:t>
      </w:r>
      <w:r w:rsidR="00183E10" w:rsidRPr="00E12BDF">
        <w:t xml:space="preserve"> </w:t>
      </w:r>
      <w:r w:rsidR="00DC7B2E" w:rsidRPr="00E12BDF">
        <w:t>mg tafamidis meglumine or 61</w:t>
      </w:r>
      <w:r w:rsidR="00183E10" w:rsidRPr="00E12BDF">
        <w:t xml:space="preserve"> </w:t>
      </w:r>
      <w:r w:rsidR="00DC7B2E" w:rsidRPr="00E12BDF">
        <w:t>mg tafamidis free acid daily), and that</w:t>
      </w:r>
      <w:r w:rsidRPr="00E12BDF">
        <w:t xml:space="preserve"> ‘most efficacy variables showed a similar benefit between 20</w:t>
      </w:r>
      <w:r w:rsidR="00183E10" w:rsidRPr="00E12BDF">
        <w:t xml:space="preserve"> </w:t>
      </w:r>
      <w:r w:rsidRPr="00E12BDF">
        <w:t>mg and 80</w:t>
      </w:r>
      <w:r w:rsidR="00183E10" w:rsidRPr="00E12BDF">
        <w:t xml:space="preserve"> </w:t>
      </w:r>
      <w:r w:rsidRPr="00E12BDF">
        <w:t>mg daily dosing of tafamidis meglumine however NT-proBNP results sugges</w:t>
      </w:r>
      <w:r w:rsidR="00DC7B2E" w:rsidRPr="00E12BDF">
        <w:t>ted a better profile with 80 mg</w:t>
      </w:r>
      <w:r w:rsidRPr="00E12BDF">
        <w:t>’</w:t>
      </w:r>
      <w:r w:rsidR="00DC7B2E" w:rsidRPr="00E12BDF">
        <w:t>.</w:t>
      </w:r>
      <w:r w:rsidRPr="00E12BDF">
        <w:t xml:space="preserve"> The Advisory Committee on Medicines (ACM) resolution ‘noted that uncertainty exists regarding the optimal dosing for tafamidis. While there is no significant difference in efficacy between the two doses, the 80</w:t>
      </w:r>
      <w:r w:rsidR="00633100" w:rsidRPr="00E12BDF">
        <w:t xml:space="preserve"> </w:t>
      </w:r>
      <w:r w:rsidRPr="00E12BDF">
        <w:t>mg dose outcomes appear to be slightly more favourable compared to the 20</w:t>
      </w:r>
      <w:r w:rsidR="00633100" w:rsidRPr="00E12BDF">
        <w:t xml:space="preserve"> </w:t>
      </w:r>
      <w:r w:rsidRPr="00E12BDF">
        <w:t>mg dose, so the ACM indicated a preference for the 80</w:t>
      </w:r>
      <w:r w:rsidR="00633100" w:rsidRPr="00E12BDF">
        <w:t xml:space="preserve"> </w:t>
      </w:r>
      <w:r w:rsidRPr="00E12BDF">
        <w:t>mg dose’</w:t>
      </w:r>
      <w:r w:rsidR="00633100" w:rsidRPr="00E12BDF">
        <w:t xml:space="preserve">. </w:t>
      </w:r>
      <w:r w:rsidR="008B5FA6" w:rsidRPr="00E12BDF">
        <w:t>The Product Information states that the recommended dose of tafamidis is 61 mg once daily (bioequivalent to 80 mg tafamidis meglumine</w:t>
      </w:r>
      <w:r w:rsidR="00F46072" w:rsidRPr="00E12BDF">
        <w:t>)</w:t>
      </w:r>
      <w:r w:rsidR="008B5FA6" w:rsidRPr="00E12BDF">
        <w:t xml:space="preserve">. </w:t>
      </w:r>
      <w:r w:rsidR="00633100" w:rsidRPr="00E12BDF">
        <w:t xml:space="preserve">The </w:t>
      </w:r>
      <w:r w:rsidR="00024627" w:rsidRPr="00E12BDF">
        <w:t>Economics Sub Committee (</w:t>
      </w:r>
      <w:r w:rsidR="00633100" w:rsidRPr="00E12BDF">
        <w:t>ESC</w:t>
      </w:r>
      <w:r w:rsidR="00024627" w:rsidRPr="00E12BDF">
        <w:t>)</w:t>
      </w:r>
      <w:r w:rsidR="00633100" w:rsidRPr="00E12BDF">
        <w:t xml:space="preserve"> noted that, while the safety profile of the two dosing regimens appeared to be broadly similar, this was based on a relatively small clinical trial exposure.</w:t>
      </w:r>
      <w:r w:rsidR="0012523C" w:rsidRPr="00E12BDF">
        <w:t xml:space="preserve"> The </w:t>
      </w:r>
      <w:r w:rsidR="00DC7B2E" w:rsidRPr="00E12BDF">
        <w:t>ESC request</w:t>
      </w:r>
      <w:r w:rsidR="00F12D7A" w:rsidRPr="00E12BDF">
        <w:t>ed</w:t>
      </w:r>
      <w:r w:rsidR="00DC7B2E" w:rsidRPr="00E12BDF">
        <w:t xml:space="preserve"> that</w:t>
      </w:r>
      <w:r w:rsidR="00633100" w:rsidRPr="00E12BDF">
        <w:t xml:space="preserve">, in light of the </w:t>
      </w:r>
      <w:r w:rsidR="006636E4" w:rsidRPr="00E12BDF">
        <w:t xml:space="preserve">similar </w:t>
      </w:r>
      <w:r w:rsidR="00633100" w:rsidRPr="00E12BDF">
        <w:t>efficacy between the 20 mg and 80 mg doses,</w:t>
      </w:r>
      <w:r w:rsidR="00DC7B2E" w:rsidRPr="00E12BDF">
        <w:t xml:space="preserve"> the </w:t>
      </w:r>
      <w:r w:rsidR="0012523C" w:rsidRPr="00E12BDF">
        <w:t>sponsor provide further information as to why it ha</w:t>
      </w:r>
      <w:r w:rsidR="00125F4D" w:rsidRPr="00E12BDF">
        <w:t>d</w:t>
      </w:r>
      <w:r w:rsidR="0012523C" w:rsidRPr="00E12BDF">
        <w:t xml:space="preserve"> not sought TGA registration and PBS listing of the 20</w:t>
      </w:r>
      <w:r w:rsidR="00DC7B2E" w:rsidRPr="00E12BDF">
        <w:t xml:space="preserve"> </w:t>
      </w:r>
      <w:r w:rsidR="0012523C" w:rsidRPr="00E12BDF">
        <w:t xml:space="preserve">mg </w:t>
      </w:r>
      <w:r w:rsidR="006636E4" w:rsidRPr="00E12BDF">
        <w:t>once daily dose</w:t>
      </w:r>
      <w:r w:rsidR="00DC7B2E" w:rsidRPr="00E12BDF">
        <w:t xml:space="preserve"> that was also used in the trial</w:t>
      </w:r>
      <w:r w:rsidR="0012523C" w:rsidRPr="00E12BDF">
        <w:t>.</w:t>
      </w:r>
      <w:r w:rsidR="00DC7B2E" w:rsidRPr="00E12BDF">
        <w:t xml:space="preserve"> </w:t>
      </w:r>
      <w:r w:rsidR="00660A22" w:rsidRPr="00E12BDF">
        <w:t xml:space="preserve">The pre-PBAC response </w:t>
      </w:r>
      <w:r w:rsidR="00125F4D" w:rsidRPr="00E12BDF">
        <w:t>sta</w:t>
      </w:r>
      <w:r w:rsidR="001A341F" w:rsidRPr="00E12BDF">
        <w:t>ted</w:t>
      </w:r>
      <w:r w:rsidR="00F12D7A" w:rsidRPr="00E12BDF">
        <w:t xml:space="preserve"> that </w:t>
      </w:r>
      <w:r w:rsidR="006636E4" w:rsidRPr="00E12BDF">
        <w:t>the 80 mg dose was associated with</w:t>
      </w:r>
      <w:r w:rsidR="008B5FA6" w:rsidRPr="00E12BDF">
        <w:t>: more favourable results for the outcome of NT-proBNP;</w:t>
      </w:r>
      <w:r w:rsidR="006636E4" w:rsidRPr="00E12BDF">
        <w:t xml:space="preserve"> a greater degree of transthyretin tetramer stabilisation</w:t>
      </w:r>
      <w:r w:rsidR="003C3B31">
        <w:t>;</w:t>
      </w:r>
      <w:r w:rsidR="006636E4" w:rsidRPr="00E12BDF">
        <w:t xml:space="preserve"> and a more favourable result for the </w:t>
      </w:r>
      <w:r w:rsidR="006C412C" w:rsidRPr="00E12BDF">
        <w:t>outcome of all-cause mortality</w:t>
      </w:r>
      <w:r w:rsidR="003C3B31">
        <w:t xml:space="preserve"> </w:t>
      </w:r>
      <w:r w:rsidR="003C3B31" w:rsidRPr="003C3B31">
        <w:t>when adjusted for age</w:t>
      </w:r>
      <w:r w:rsidR="006C412C" w:rsidRPr="00E12BDF">
        <w:t>.</w:t>
      </w:r>
      <w:r w:rsidR="007F7C7A">
        <w:t xml:space="preserve"> The </w:t>
      </w:r>
      <w:r w:rsidR="007F7C7A">
        <w:lastRenderedPageBreak/>
        <w:t>PBAC noted that all-cause mortality was numerically better for the 20mg dose (27.3%) compared to the 80mg dose (30.7%)</w:t>
      </w:r>
      <w:r w:rsidR="00E747FE">
        <w:t xml:space="preserve"> at 30 months</w:t>
      </w:r>
      <w:r w:rsidR="007F7C7A">
        <w:t>.</w:t>
      </w:r>
      <w:r w:rsidR="00576196">
        <w:t xml:space="preserve"> The PBAC also noted that a number of other results (e</w:t>
      </w:r>
      <w:r w:rsidR="00895956">
        <w:t>.</w:t>
      </w:r>
      <w:r w:rsidR="00576196">
        <w:t>g</w:t>
      </w:r>
      <w:r w:rsidR="00895956">
        <w:t>.</w:t>
      </w:r>
      <w:r w:rsidR="00576196">
        <w:t xml:space="preserve"> cardiovascular </w:t>
      </w:r>
      <w:r w:rsidR="00953C79">
        <w:t xml:space="preserve">mortality, cardiovascular </w:t>
      </w:r>
      <w:r w:rsidR="00576196">
        <w:t>hospitalisations</w:t>
      </w:r>
      <w:r w:rsidR="00953C79">
        <w:t xml:space="preserve">) </w:t>
      </w:r>
      <w:r w:rsidR="00C65DF5">
        <w:t>had</w:t>
      </w:r>
      <w:r w:rsidR="00E747FE">
        <w:t xml:space="preserve"> point estimates </w:t>
      </w:r>
      <w:r w:rsidR="00C65DF5">
        <w:t xml:space="preserve">that </w:t>
      </w:r>
      <w:r w:rsidR="00953C79">
        <w:t>were numerically in favour of the 20 mg dose over the 80 mg dose. Hence</w:t>
      </w:r>
      <w:r w:rsidR="00576196">
        <w:t xml:space="preserve">, </w:t>
      </w:r>
      <w:r w:rsidR="00953C79">
        <w:t>the PBAC remained un</w:t>
      </w:r>
      <w:r w:rsidR="00576196">
        <w:t>convinced that there was any evidence to support the dose of 80 mg rather than 20 mg.</w:t>
      </w:r>
    </w:p>
    <w:p w:rsidR="00CA703C" w:rsidRPr="00E12BDF" w:rsidRDefault="00CA703C" w:rsidP="00CA703C">
      <w:pPr>
        <w:pStyle w:val="ExecSumBodyText"/>
      </w:pPr>
      <w:r w:rsidRPr="00E12BDF">
        <w:rPr>
          <w:rFonts w:eastAsia="Calibri"/>
        </w:rPr>
        <w:t xml:space="preserve">The </w:t>
      </w:r>
      <w:r w:rsidR="008A56A0" w:rsidRPr="00E12BDF">
        <w:rPr>
          <w:rFonts w:eastAsia="Calibri"/>
        </w:rPr>
        <w:t xml:space="preserve">targeted patient population identified through the </w:t>
      </w:r>
      <w:r w:rsidRPr="00E12BDF">
        <w:rPr>
          <w:rFonts w:eastAsia="Calibri"/>
        </w:rPr>
        <w:t>requested restriction is broader than the inclusion criteria in the key clinical trial</w:t>
      </w:r>
      <w:r w:rsidR="005A7FD5" w:rsidRPr="00E12BDF">
        <w:rPr>
          <w:rFonts w:eastAsia="Calibri"/>
        </w:rPr>
        <w:t xml:space="preserve"> supporting the </w:t>
      </w:r>
      <w:r w:rsidR="00BD466D">
        <w:rPr>
          <w:rFonts w:eastAsia="Calibri"/>
        </w:rPr>
        <w:t>submission</w:t>
      </w:r>
      <w:r w:rsidRPr="00E12BDF">
        <w:rPr>
          <w:rFonts w:eastAsia="Calibri"/>
        </w:rPr>
        <w:t xml:space="preserve">, the ATTR-ACT trial, which required patients to have ≥ 1 prior hospitalisations for heart failure or clinical evidence of heart failure requiring treatment with a diuretic, and excluding patients with NYHA class IV heart failure, and patients with reduced functional capacity (i.e. patients unable to achieve </w:t>
      </w:r>
      <w:r w:rsidRPr="00E12BDF">
        <w:rPr>
          <w:rFonts w:eastAsia="Calibri" w:cs="Calibri"/>
        </w:rPr>
        <w:t>≥</w:t>
      </w:r>
      <w:r w:rsidRPr="00E12BDF">
        <w:rPr>
          <w:rFonts w:eastAsia="Calibri"/>
        </w:rPr>
        <w:t xml:space="preserve"> 100 metres on the 6MWT). Overall, th</w:t>
      </w:r>
      <w:r w:rsidR="006C1CA5" w:rsidRPr="00E12BDF">
        <w:rPr>
          <w:rFonts w:eastAsia="Calibri"/>
        </w:rPr>
        <w:t>e requested restriction included</w:t>
      </w:r>
      <w:r w:rsidRPr="00E12BDF">
        <w:rPr>
          <w:rFonts w:eastAsia="Calibri"/>
        </w:rPr>
        <w:t xml:space="preserve"> a broader section of the ATTR-CM population, including patients with a greater burden of more </w:t>
      </w:r>
      <w:r w:rsidR="00111B62">
        <w:rPr>
          <w:rFonts w:eastAsia="Calibri"/>
        </w:rPr>
        <w:t>severe</w:t>
      </w:r>
      <w:r w:rsidR="00111B62" w:rsidRPr="00E12BDF">
        <w:rPr>
          <w:rFonts w:eastAsia="Calibri"/>
        </w:rPr>
        <w:t xml:space="preserve"> </w:t>
      </w:r>
      <w:r w:rsidRPr="00E12BDF">
        <w:rPr>
          <w:rFonts w:eastAsia="Calibri"/>
        </w:rPr>
        <w:t xml:space="preserve">heart failure. </w:t>
      </w:r>
      <w:r w:rsidRPr="00E12BDF">
        <w:rPr>
          <w:rFonts w:eastAsia="Calibri" w:cstheme="minorHAnsi"/>
        </w:rPr>
        <w:t xml:space="preserve">The </w:t>
      </w:r>
      <w:r w:rsidR="00721730">
        <w:rPr>
          <w:rFonts w:eastAsia="Calibri" w:cstheme="minorHAnsi"/>
        </w:rPr>
        <w:t>Pre-Sub-Committee Response (</w:t>
      </w:r>
      <w:r w:rsidRPr="00E12BDF">
        <w:rPr>
          <w:rFonts w:eastAsia="Calibri" w:cstheme="minorHAnsi"/>
        </w:rPr>
        <w:t>PSCR) argued that this was an appropriate extrapolation of the trial, but the ESC</w:t>
      </w:r>
      <w:r w:rsidR="0051446B" w:rsidRPr="00E12BDF">
        <w:rPr>
          <w:rFonts w:eastAsia="Calibri" w:cstheme="minorHAnsi"/>
        </w:rPr>
        <w:t xml:space="preserve"> and DUSC</w:t>
      </w:r>
      <w:r w:rsidRPr="00E12BDF">
        <w:rPr>
          <w:rFonts w:eastAsia="Calibri" w:cstheme="minorHAnsi"/>
        </w:rPr>
        <w:t xml:space="preserve"> considered that the eligibility criteria should match the clinical trial </w:t>
      </w:r>
      <w:r w:rsidR="0090250F" w:rsidRPr="00E12BDF">
        <w:rPr>
          <w:rFonts w:eastAsia="Calibri" w:cstheme="minorHAnsi"/>
        </w:rPr>
        <w:t xml:space="preserve">more closely </w:t>
      </w:r>
      <w:r w:rsidR="006A707E" w:rsidRPr="00E12BDF">
        <w:rPr>
          <w:rFonts w:eastAsia="Calibri" w:cstheme="minorHAnsi"/>
        </w:rPr>
        <w:t>and that variation from this would l</w:t>
      </w:r>
      <w:r w:rsidR="001F024D" w:rsidRPr="00E12BDF">
        <w:rPr>
          <w:rFonts w:eastAsia="Calibri" w:cstheme="minorHAnsi"/>
        </w:rPr>
        <w:t>i</w:t>
      </w:r>
      <w:r w:rsidR="006A707E" w:rsidRPr="00E12BDF">
        <w:rPr>
          <w:rFonts w:eastAsia="Calibri" w:cstheme="minorHAnsi"/>
        </w:rPr>
        <w:t xml:space="preserve">kely lead to reduced overall benefit and hence </w:t>
      </w:r>
      <w:r w:rsidR="001F024D" w:rsidRPr="00E12BDF">
        <w:rPr>
          <w:rFonts w:eastAsia="Calibri" w:cstheme="minorHAnsi"/>
        </w:rPr>
        <w:t>a higher ICER</w:t>
      </w:r>
      <w:r w:rsidRPr="00E12BDF">
        <w:rPr>
          <w:rFonts w:eastAsia="Calibri" w:cstheme="minorHAnsi"/>
        </w:rPr>
        <w:t>.</w:t>
      </w:r>
    </w:p>
    <w:p w:rsidR="00DF70D7" w:rsidRPr="00E12BDF" w:rsidRDefault="0090250F" w:rsidP="00A019E2">
      <w:pPr>
        <w:pStyle w:val="ExecSumBodyText"/>
      </w:pPr>
      <w:r w:rsidRPr="00E12BDF">
        <w:t>As such, t</w:t>
      </w:r>
      <w:r w:rsidR="001E3533" w:rsidRPr="00E12BDF">
        <w:t>h</w:t>
      </w:r>
      <w:r w:rsidR="00DD18BF" w:rsidRPr="00E12BDF">
        <w:t xml:space="preserve">e </w:t>
      </w:r>
      <w:r w:rsidR="00861B1D" w:rsidRPr="00E12BDF">
        <w:t xml:space="preserve">ESC </w:t>
      </w:r>
      <w:r w:rsidRPr="00E12BDF">
        <w:t xml:space="preserve">and the PBAC </w:t>
      </w:r>
      <w:r w:rsidR="00861B1D" w:rsidRPr="00E12BDF">
        <w:t xml:space="preserve">considered that the </w:t>
      </w:r>
      <w:r w:rsidR="00DD18BF" w:rsidRPr="00E12BDF">
        <w:t xml:space="preserve">requested restriction </w:t>
      </w:r>
      <w:r w:rsidR="00120316" w:rsidRPr="00E12BDF">
        <w:t>c</w:t>
      </w:r>
      <w:r w:rsidR="00861B1D" w:rsidRPr="00E12BDF">
        <w:t>ould</w:t>
      </w:r>
      <w:r w:rsidR="00120316" w:rsidRPr="00E12BDF">
        <w:t xml:space="preserve"> be simplified</w:t>
      </w:r>
      <w:r w:rsidR="00B52264" w:rsidRPr="00E12BDF">
        <w:t>, and more</w:t>
      </w:r>
      <w:r w:rsidR="001E3533" w:rsidRPr="00E12BDF">
        <w:t xml:space="preserve"> closely align</w:t>
      </w:r>
      <w:r w:rsidR="00B52264" w:rsidRPr="00E12BDF">
        <w:t>ed</w:t>
      </w:r>
      <w:r w:rsidR="001E3533" w:rsidRPr="00E12BDF">
        <w:t xml:space="preserve"> with the ATTR-ACT trial inclusion/exclusion criteria</w:t>
      </w:r>
      <w:r w:rsidR="00B52264" w:rsidRPr="00E12BDF">
        <w:t xml:space="preserve"> by requiring patients to have</w:t>
      </w:r>
      <w:r w:rsidR="00DF70D7" w:rsidRPr="00E12BDF">
        <w:t>:</w:t>
      </w:r>
    </w:p>
    <w:p w:rsidR="00C93245" w:rsidRPr="00E12BDF" w:rsidRDefault="00106719" w:rsidP="00861B1D">
      <w:pPr>
        <w:pStyle w:val="ExecSumBodyText"/>
        <w:numPr>
          <w:ilvl w:val="0"/>
          <w:numId w:val="5"/>
        </w:numPr>
        <w:ind w:left="1276"/>
        <w:contextualSpacing/>
      </w:pPr>
      <w:r w:rsidRPr="00E12BDF">
        <w:t>e</w:t>
      </w:r>
      <w:r w:rsidR="00C93245" w:rsidRPr="00E12BDF">
        <w:t>vidence or history of heart failure</w:t>
      </w:r>
      <w:r w:rsidR="001A4A6D" w:rsidRPr="00E12BDF">
        <w:t xml:space="preserve"> (</w:t>
      </w:r>
      <w:r w:rsidR="00460508" w:rsidRPr="00E12BDF">
        <w:t xml:space="preserve">history of </w:t>
      </w:r>
      <w:r w:rsidR="00B52264" w:rsidRPr="00E12BDF">
        <w:rPr>
          <w:rFonts w:cstheme="minorHAnsi"/>
        </w:rPr>
        <w:t>≥</w:t>
      </w:r>
      <w:r w:rsidR="00B52264" w:rsidRPr="00E12BDF">
        <w:t xml:space="preserve"> 1 </w:t>
      </w:r>
      <w:r w:rsidR="00460508" w:rsidRPr="00E12BDF">
        <w:t>hospitalisations for heart failure, or clinical evidence of heart failure without hospitalisation that required treatment with a diuretic for improvement</w:t>
      </w:r>
      <w:r w:rsidR="000F2016" w:rsidRPr="00E12BDF">
        <w:t>)</w:t>
      </w:r>
      <w:r w:rsidR="00B52264" w:rsidRPr="00E12BDF">
        <w:t>;</w:t>
      </w:r>
      <w:r w:rsidR="00C93245" w:rsidRPr="00E12BDF">
        <w:t xml:space="preserve"> </w:t>
      </w:r>
      <w:r w:rsidR="00C93245" w:rsidRPr="00E12BDF">
        <w:rPr>
          <w:u w:val="single"/>
        </w:rPr>
        <w:t>AND</w:t>
      </w:r>
    </w:p>
    <w:p w:rsidR="00C93245" w:rsidRPr="00E12BDF" w:rsidRDefault="00C93245" w:rsidP="00861B1D">
      <w:pPr>
        <w:pStyle w:val="ExecSumBodyText"/>
        <w:numPr>
          <w:ilvl w:val="0"/>
          <w:numId w:val="5"/>
        </w:numPr>
        <w:ind w:left="1276"/>
        <w:contextualSpacing/>
      </w:pPr>
      <w:r w:rsidRPr="00E12BDF">
        <w:t>NYHA Class I-III</w:t>
      </w:r>
      <w:r w:rsidR="00B52264" w:rsidRPr="00E12BDF">
        <w:t>;</w:t>
      </w:r>
      <w:r w:rsidRPr="00E12BDF">
        <w:t xml:space="preserve"> </w:t>
      </w:r>
      <w:r w:rsidRPr="00E12BDF">
        <w:rPr>
          <w:u w:val="single"/>
        </w:rPr>
        <w:t>AND</w:t>
      </w:r>
    </w:p>
    <w:p w:rsidR="00C93245" w:rsidRPr="00E12BDF" w:rsidRDefault="00106719" w:rsidP="00106719">
      <w:pPr>
        <w:pStyle w:val="ExecSumBodyText"/>
        <w:numPr>
          <w:ilvl w:val="0"/>
          <w:numId w:val="5"/>
        </w:numPr>
        <w:ind w:left="1276"/>
        <w:contextualSpacing/>
      </w:pPr>
      <w:r w:rsidRPr="00E12BDF">
        <w:t>echocardiography showing an end-diastolic</w:t>
      </w:r>
      <w:r w:rsidR="00C93245" w:rsidRPr="00E12BDF">
        <w:t xml:space="preserve"> </w:t>
      </w:r>
      <w:r w:rsidR="001A4A6D" w:rsidRPr="00E12BDF">
        <w:t>intervent</w:t>
      </w:r>
      <w:r w:rsidRPr="00E12BDF">
        <w:t>ricular septal wall thickness ≥ </w:t>
      </w:r>
      <w:r w:rsidR="001A4A6D" w:rsidRPr="00E12BDF">
        <w:t>12 mm</w:t>
      </w:r>
      <w:r w:rsidR="00B52264" w:rsidRPr="00E12BDF">
        <w:t>;</w:t>
      </w:r>
      <w:r w:rsidR="001A4A6D" w:rsidRPr="00E12BDF">
        <w:t xml:space="preserve"> </w:t>
      </w:r>
      <w:r w:rsidR="00C93245" w:rsidRPr="00E12BDF">
        <w:rPr>
          <w:u w:val="single"/>
        </w:rPr>
        <w:t>AND</w:t>
      </w:r>
    </w:p>
    <w:p w:rsidR="00460508" w:rsidRPr="00E12BDF" w:rsidRDefault="00106719" w:rsidP="00861B1D">
      <w:pPr>
        <w:pStyle w:val="ExecSumBodyText"/>
        <w:numPr>
          <w:ilvl w:val="0"/>
          <w:numId w:val="5"/>
        </w:numPr>
        <w:ind w:left="1276"/>
        <w:contextualSpacing/>
      </w:pPr>
      <w:r w:rsidRPr="00E12BDF">
        <w:t>t</w:t>
      </w:r>
      <w:r w:rsidR="00460508" w:rsidRPr="00E12BDF">
        <w:t>ransthyretin precursor protein identified by either:</w:t>
      </w:r>
    </w:p>
    <w:p w:rsidR="00C93245" w:rsidRPr="00E12BDF" w:rsidRDefault="00C93245" w:rsidP="007C76DF">
      <w:pPr>
        <w:pStyle w:val="ExecSumBodyText"/>
        <w:numPr>
          <w:ilvl w:val="1"/>
          <w:numId w:val="13"/>
        </w:numPr>
        <w:ind w:left="1560" w:hanging="284"/>
        <w:contextualSpacing/>
      </w:pPr>
      <w:r w:rsidRPr="00E12BDF">
        <w:t>Histological confirmation</w:t>
      </w:r>
      <w:r w:rsidR="00460508" w:rsidRPr="00E12BDF">
        <w:t xml:space="preserve"> by immunohistochemistry (confirmed by amyloid expert centre) or mass spectrometry</w:t>
      </w:r>
      <w:r w:rsidR="00B52264" w:rsidRPr="00E12BDF">
        <w:t>;</w:t>
      </w:r>
      <w:r w:rsidRPr="00E12BDF">
        <w:t xml:space="preserve"> </w:t>
      </w:r>
      <w:r w:rsidRPr="00E12BDF">
        <w:rPr>
          <w:u w:val="single"/>
        </w:rPr>
        <w:t>OR</w:t>
      </w:r>
    </w:p>
    <w:p w:rsidR="00C93245" w:rsidRPr="00E12BDF" w:rsidRDefault="00C93245" w:rsidP="007C76DF">
      <w:pPr>
        <w:pStyle w:val="ExecSumBodyText"/>
        <w:numPr>
          <w:ilvl w:val="1"/>
          <w:numId w:val="13"/>
        </w:numPr>
        <w:ind w:left="1560" w:hanging="284"/>
      </w:pPr>
      <w:r w:rsidRPr="00E12BDF">
        <w:t>Grade 2</w:t>
      </w:r>
      <w:r w:rsidR="00460508" w:rsidRPr="00E12BDF">
        <w:t xml:space="preserve"> or 3</w:t>
      </w:r>
      <w:r w:rsidRPr="00E12BDF">
        <w:t xml:space="preserve"> </w:t>
      </w:r>
      <w:r w:rsidR="000F2016" w:rsidRPr="00E12BDF">
        <w:t xml:space="preserve">on </w:t>
      </w:r>
      <w:r w:rsidRPr="00E12BDF">
        <w:t xml:space="preserve">bone </w:t>
      </w:r>
      <w:r w:rsidR="000F2016" w:rsidRPr="00E12BDF">
        <w:t xml:space="preserve">scintigraphy with technetium-labelled radioactive tracer and negative results for monoclonal protein on all three </w:t>
      </w:r>
      <w:r w:rsidR="00460508" w:rsidRPr="00E12BDF">
        <w:t xml:space="preserve">tests </w:t>
      </w:r>
      <w:r w:rsidR="001A4A6D" w:rsidRPr="00E12BDF">
        <w:t xml:space="preserve">(serum and urine </w:t>
      </w:r>
      <w:r w:rsidR="000F2016" w:rsidRPr="00E12BDF">
        <w:t>immunofixation and electrophoresis</w:t>
      </w:r>
      <w:r w:rsidR="001A4A6D" w:rsidRPr="00E12BDF">
        <w:t xml:space="preserve">, </w:t>
      </w:r>
      <w:r w:rsidR="000F2016" w:rsidRPr="00E12BDF">
        <w:t xml:space="preserve">and </w:t>
      </w:r>
      <w:r w:rsidR="001A4A6D" w:rsidRPr="00E12BDF">
        <w:t xml:space="preserve">serum </w:t>
      </w:r>
      <w:r w:rsidR="000F2016" w:rsidRPr="00E12BDF">
        <w:t xml:space="preserve">free </w:t>
      </w:r>
      <w:r w:rsidR="001A4A6D" w:rsidRPr="00E12BDF">
        <w:t>light chains)</w:t>
      </w:r>
      <w:r w:rsidR="00B52264" w:rsidRPr="00E12BDF">
        <w:t>.</w:t>
      </w:r>
    </w:p>
    <w:p w:rsidR="00DD4191" w:rsidRPr="00E12BDF" w:rsidRDefault="00406093" w:rsidP="008D16D1">
      <w:pPr>
        <w:pStyle w:val="ExecSumBodyText"/>
      </w:pPr>
      <w:r w:rsidRPr="00E12BDF">
        <w:t>The requested restriction include</w:t>
      </w:r>
      <w:r w:rsidR="00B62435" w:rsidRPr="00E12BDF">
        <w:t>d</w:t>
      </w:r>
      <w:r w:rsidRPr="00E12BDF">
        <w:t xml:space="preserve"> all patients with ATTR-CM regardless of severity of heart failure (i.e. </w:t>
      </w:r>
      <w:r w:rsidR="00E46290" w:rsidRPr="00E12BDF">
        <w:t>New York Heart Association (NYHA)</w:t>
      </w:r>
      <w:r w:rsidRPr="00E12BDF">
        <w:t xml:space="preserve"> classifications I – IV)</w:t>
      </w:r>
      <w:r w:rsidR="00FF07CF" w:rsidRPr="00E12BDF">
        <w:t xml:space="preserve">, which is </w:t>
      </w:r>
      <w:r w:rsidRPr="00E12BDF">
        <w:t xml:space="preserve">a broader population than the population in the key clinical trial (NYHA class I-III). </w:t>
      </w:r>
      <w:r w:rsidR="001A4A6D" w:rsidRPr="00E12BDF">
        <w:t xml:space="preserve">The PSCR stated that </w:t>
      </w:r>
      <w:r w:rsidR="00861B1D" w:rsidRPr="00E12BDF">
        <w:t>the sponsor</w:t>
      </w:r>
      <w:r w:rsidR="001A4A6D" w:rsidRPr="00E12BDF">
        <w:t xml:space="preserve"> was ‘not opposed to restriction of initiation of tafamidis to patients with Class I-III symptoms with the endorsement of clinicians and other relevant stakeholders’. The ESC </w:t>
      </w:r>
      <w:r w:rsidR="008B5FA6" w:rsidRPr="00E12BDF">
        <w:t xml:space="preserve">and </w:t>
      </w:r>
      <w:r w:rsidR="003D53B9">
        <w:t>PBAC</w:t>
      </w:r>
      <w:r w:rsidR="008B5FA6" w:rsidRPr="00E12BDF">
        <w:t xml:space="preserve"> </w:t>
      </w:r>
      <w:r w:rsidR="001A4A6D" w:rsidRPr="00E12BDF">
        <w:t xml:space="preserve">considered that the restriction should exclude patients with NYHA </w:t>
      </w:r>
      <w:r w:rsidR="000F2016" w:rsidRPr="00E12BDF">
        <w:t>C</w:t>
      </w:r>
      <w:r w:rsidR="001A4A6D" w:rsidRPr="00E12BDF">
        <w:t>lass I</w:t>
      </w:r>
      <w:r w:rsidR="000F2016" w:rsidRPr="00E12BDF">
        <w:t>V</w:t>
      </w:r>
      <w:r w:rsidR="003D53B9">
        <w:t xml:space="preserve"> and eGFR &lt;25mL</w:t>
      </w:r>
      <w:r w:rsidR="001A4A6D" w:rsidRPr="00E12BDF">
        <w:t>/min</w:t>
      </w:r>
      <w:r w:rsidR="00861B1D" w:rsidRPr="00E12BDF">
        <w:t>/1.73m</w:t>
      </w:r>
      <w:r w:rsidR="00861B1D" w:rsidRPr="00E12BDF">
        <w:rPr>
          <w:vertAlign w:val="superscript"/>
        </w:rPr>
        <w:t>2</w:t>
      </w:r>
      <w:r w:rsidR="00861B1D" w:rsidRPr="00E12BDF">
        <w:t xml:space="preserve"> to align</w:t>
      </w:r>
      <w:r w:rsidR="00913BEA" w:rsidRPr="00E12BDF">
        <w:t xml:space="preserve"> more closely</w:t>
      </w:r>
      <w:r w:rsidR="00861B1D" w:rsidRPr="00E12BDF">
        <w:t xml:space="preserve"> with the key clinical trial</w:t>
      </w:r>
      <w:r w:rsidR="001A4A6D" w:rsidRPr="00E12BDF">
        <w:t>.</w:t>
      </w:r>
    </w:p>
    <w:p w:rsidR="005A3FC8" w:rsidRPr="00E12BDF" w:rsidRDefault="005A3FC8" w:rsidP="009F3C76">
      <w:pPr>
        <w:pStyle w:val="ExecSumBodyText"/>
      </w:pPr>
      <w:r w:rsidRPr="00E12BDF">
        <w:lastRenderedPageBreak/>
        <w:t xml:space="preserve">The continuing restriction </w:t>
      </w:r>
      <w:r w:rsidR="00861B1D" w:rsidRPr="00E12BDF">
        <w:t xml:space="preserve">proposed in the submission </w:t>
      </w:r>
      <w:r w:rsidR="00DD4191" w:rsidRPr="00E12BDF">
        <w:t>d</w:t>
      </w:r>
      <w:r w:rsidR="00913BEA" w:rsidRPr="00E12BDF">
        <w:t>id</w:t>
      </w:r>
      <w:r w:rsidR="00DD4191" w:rsidRPr="00E12BDF">
        <w:t xml:space="preserve"> not </w:t>
      </w:r>
      <w:r w:rsidRPr="00E12BDF">
        <w:t xml:space="preserve">include criteria for measuring response or a stopping rule. </w:t>
      </w:r>
      <w:r w:rsidR="003B7D35" w:rsidRPr="00E12BDF">
        <w:t xml:space="preserve">DUSC considered that the lack of discontinuation criteria could lead to patients receiving life-long treatment at substantial cost, which may not realise a clinical benefit. </w:t>
      </w:r>
      <w:r w:rsidR="00A019E2" w:rsidRPr="00E12BDF">
        <w:t xml:space="preserve">The ESC </w:t>
      </w:r>
      <w:r w:rsidR="003B7D35" w:rsidRPr="00E12BDF">
        <w:t xml:space="preserve">and PBAC </w:t>
      </w:r>
      <w:r w:rsidR="001A4A6D" w:rsidRPr="00E12BDF">
        <w:t xml:space="preserve">considered </w:t>
      </w:r>
      <w:r w:rsidR="00861B1D" w:rsidRPr="00E12BDF">
        <w:t>that</w:t>
      </w:r>
      <w:r w:rsidR="00913BEA" w:rsidRPr="00E12BDF">
        <w:t xml:space="preserve"> </w:t>
      </w:r>
      <w:r w:rsidRPr="00E12BDF">
        <w:t xml:space="preserve">patients who progress to NYHA </w:t>
      </w:r>
      <w:r w:rsidR="001A4A6D" w:rsidRPr="00E12BDF">
        <w:t>C</w:t>
      </w:r>
      <w:r w:rsidRPr="00E12BDF">
        <w:t xml:space="preserve">lass IV, or </w:t>
      </w:r>
      <w:r w:rsidR="00861B1D" w:rsidRPr="00E12BDF">
        <w:t xml:space="preserve">who </w:t>
      </w:r>
      <w:r w:rsidRPr="00E12BDF">
        <w:t>receive a heart or liver transplant or an implanted cardiac ventricular assist device</w:t>
      </w:r>
      <w:r w:rsidR="00861B1D" w:rsidRPr="00E12BDF">
        <w:t xml:space="preserve"> should be required to discontinue tafamidis in line with the ATTR-ACT trial exclusion criteria</w:t>
      </w:r>
      <w:r w:rsidR="00A019E2" w:rsidRPr="00E12BDF">
        <w:t>.</w:t>
      </w:r>
    </w:p>
    <w:p w:rsidR="00406093" w:rsidRPr="00E12BDF" w:rsidRDefault="00406093" w:rsidP="00AE10C7">
      <w:pPr>
        <w:pStyle w:val="ExecSumBodyText"/>
      </w:pPr>
      <w:r w:rsidRPr="00E12BDF">
        <w:t xml:space="preserve">The sponsor submitted an application to the Medicare Services Advisory Committee (MSAC) requesting MBS listing of bone scintigraphy for the diagnosis of ATTR-CM, as a codependent submission with the tafamidis submission to the PBAC (MSAC Public Summary Document 1584, 76th MSAC meeting 1-2 August 2019). MSAC noted that the proposed new services can </w:t>
      </w:r>
      <w:r w:rsidR="005A7FD5" w:rsidRPr="00E12BDF">
        <w:t xml:space="preserve">already </w:t>
      </w:r>
      <w:r w:rsidRPr="00E12BDF">
        <w:t xml:space="preserve">be performed under existing MBS bone study items (61446 and 61449) and </w:t>
      </w:r>
      <w:r w:rsidR="00643646" w:rsidRPr="00E12BDF">
        <w:t xml:space="preserve">so considered </w:t>
      </w:r>
      <w:r w:rsidRPr="00E12BDF">
        <w:t xml:space="preserve">that a HTA assessment of </w:t>
      </w:r>
      <w:r w:rsidR="005A7FD5" w:rsidRPr="00E12BDF">
        <w:t xml:space="preserve">their </w:t>
      </w:r>
      <w:r w:rsidRPr="00E12BDF">
        <w:t>safety and effectiveness was not necessary. MSAC advised the PBAC that the diagnostic performance of cardiac scintigraphy via bone studies should be considered acceptably similar to endomyocardial biopsy for the purposes of determining eligibility for tafamidis for the treatment of ATTR-CM.</w:t>
      </w:r>
      <w:r w:rsidR="00AE10C7" w:rsidRPr="00E12BDF">
        <w:t xml:space="preserve"> The </w:t>
      </w:r>
      <w:r w:rsidR="007E3CB9" w:rsidRPr="00E12BDF">
        <w:t>ES</w:t>
      </w:r>
      <w:r w:rsidR="00AE10C7" w:rsidRPr="00E12BDF">
        <w:t xml:space="preserve">C noted that this was in the context of the algorithm for </w:t>
      </w:r>
      <w:r w:rsidR="00C21576" w:rsidRPr="00E12BDF">
        <w:t xml:space="preserve">the </w:t>
      </w:r>
      <w:r w:rsidR="00AE10C7" w:rsidRPr="00E12BDF">
        <w:t>diagnos</w:t>
      </w:r>
      <w:r w:rsidR="00C21576" w:rsidRPr="00E12BDF">
        <w:t>i</w:t>
      </w:r>
      <w:r w:rsidR="00AE10C7" w:rsidRPr="00E12BDF">
        <w:t xml:space="preserve">s of ATTR-CM, which the </w:t>
      </w:r>
      <w:r w:rsidR="007E3CB9" w:rsidRPr="00E12BDF">
        <w:t>ES</w:t>
      </w:r>
      <w:r w:rsidR="00AE10C7" w:rsidRPr="00E12BDF">
        <w:t>C considered would also include negative screens for monoclonal protein.</w:t>
      </w:r>
    </w:p>
    <w:p w:rsidR="00847D1E" w:rsidRPr="00E12BDF" w:rsidRDefault="00847D1E" w:rsidP="00847D1E">
      <w:pPr>
        <w:pStyle w:val="ExecSumBodyText"/>
      </w:pPr>
      <w:r w:rsidRPr="00E12BDF">
        <w:t>The clinical trial (ATTR-ACT) required endomyocardial biopsy to confirm the diagnosis of ATTR-CM. Eligibility under the proposed restriction uses a combination of screening for monoclonal protein, tissue biopsy for transthyretin</w:t>
      </w:r>
      <w:r w:rsidRPr="00E12BDF" w:rsidDel="00633100">
        <w:t xml:space="preserve"> </w:t>
      </w:r>
      <w:r w:rsidRPr="00E12BDF">
        <w:t xml:space="preserve">protein (immunohistochemistry or mass spectrometry) and bone scintigraphy using one of three different technetium-based bone scintigraphic techniques. Data supporting the use of bone scintigraphy (Gillmore et al 2016) indicates a positive predictive value of 99 to 100% for the diagnosis of ATTR-CM using the criteria proposed in the restriction. However, the ESC and PBAC noted that these data were derived from referrals to a specialised amyloid centre and may not be </w:t>
      </w:r>
      <w:r w:rsidR="00B34760" w:rsidRPr="00E12BDF">
        <w:t>reproduc</w:t>
      </w:r>
      <w:r w:rsidR="00B34760">
        <w:t>ible</w:t>
      </w:r>
      <w:r w:rsidR="00B34760" w:rsidRPr="00E12BDF">
        <w:t xml:space="preserve"> </w:t>
      </w:r>
      <w:r w:rsidRPr="00E12BDF">
        <w:t xml:space="preserve">in non-specialised centres. The ESC and PBAC considered that this could </w:t>
      </w:r>
      <w:r w:rsidR="00B34760">
        <w:t xml:space="preserve">potentially </w:t>
      </w:r>
      <w:r w:rsidRPr="00E12BDF">
        <w:t>lead to over-diagnosis, especially as use of bone scintigraphy in this clinical situation is evolving.</w:t>
      </w:r>
      <w:r w:rsidR="00B34760">
        <w:t xml:space="preserve"> This would be especially of potential concern in centres which had lower levels of experience with bone scintigraphy for the diagnosis of amyloid. The PBAC also noted that the interpretation of bone scintigraphy was somewhat subjective and felt that there may be considerable advantages in having </w:t>
      </w:r>
      <w:r w:rsidR="00895956">
        <w:t xml:space="preserve">a </w:t>
      </w:r>
      <w:r w:rsidR="00B34760">
        <w:t xml:space="preserve">more </w:t>
      </w:r>
      <w:r w:rsidR="00895956">
        <w:t>uniform approach to</w:t>
      </w:r>
      <w:r w:rsidR="00B34760">
        <w:t xml:space="preserve"> interpretation of the bone scintigraphy tests. </w:t>
      </w:r>
    </w:p>
    <w:p w:rsidR="003D53B9" w:rsidRDefault="003D53B9" w:rsidP="008B5FA6">
      <w:pPr>
        <w:pStyle w:val="ExecSumBodyText"/>
      </w:pPr>
      <w:r>
        <w:t xml:space="preserve">The PBAC considered that the treatment criteria </w:t>
      </w:r>
      <w:r w:rsidR="006F1185">
        <w:t xml:space="preserve">in the initial treatment setting </w:t>
      </w:r>
      <w:r>
        <w:t>should limit use to patients who are treated by a specialist cardiologist. The PBAC considered that, in the continuing setting, treatment</w:t>
      </w:r>
      <w:r w:rsidRPr="003D53B9">
        <w:t xml:space="preserve"> in consultation with a specialist cardiologist</w:t>
      </w:r>
      <w:r>
        <w:t xml:space="preserve"> would also be appropriate. </w:t>
      </w:r>
    </w:p>
    <w:p w:rsidR="008B5FA6" w:rsidRPr="00E12BDF" w:rsidRDefault="008B5FA6" w:rsidP="008B5FA6">
      <w:pPr>
        <w:pStyle w:val="ExecSumBodyText"/>
      </w:pPr>
      <w:r w:rsidRPr="00E12BDF">
        <w:t xml:space="preserve">The submission requested a grandfather restriction. The submission indicated that approximately </w:t>
      </w:r>
      <w:r w:rsidR="00D42BD7">
        <w:t xml:space="preserve">less than 10,000 </w:t>
      </w:r>
      <w:r w:rsidRPr="00E12BDF">
        <w:t>patients will require grandfather access. The Secretariat note</w:t>
      </w:r>
      <w:r w:rsidR="000E065D" w:rsidRPr="00E12BDF">
        <w:t>d</w:t>
      </w:r>
      <w:r w:rsidRPr="00E12BDF">
        <w:t xml:space="preserve"> that a grandfather restriction may not be required as patients </w:t>
      </w:r>
      <w:r w:rsidRPr="00E12BDF">
        <w:lastRenderedPageBreak/>
        <w:t xml:space="preserve">receiving non-PBS subsidised tafamidis would be eligible </w:t>
      </w:r>
      <w:r w:rsidR="000E065D" w:rsidRPr="00E12BDF">
        <w:t>for</w:t>
      </w:r>
      <w:r w:rsidRPr="00E12BDF">
        <w:t xml:space="preserve"> tafamidis through the initial restriction (provided they meet the PBS criteria) given that no timeframe was specified regarding the recency of test results.</w:t>
      </w:r>
      <w:r w:rsidR="00B34760">
        <w:t xml:space="preserve"> The PBAC agreed that any grandfather clause would have to be aligned with the initial restriction. </w:t>
      </w:r>
    </w:p>
    <w:p w:rsidR="00714573" w:rsidRPr="00E12BDF" w:rsidRDefault="00714573" w:rsidP="00714573">
      <w:pPr>
        <w:pStyle w:val="ExecSumBodyText"/>
      </w:pPr>
      <w:r w:rsidRPr="00E12BDF">
        <w:t xml:space="preserve">DUSC considered there is a risk of use outside the intended restriction in patients with minimal symptoms who meet imaging criteria for ATTR-CM, particularly as asymptomatic amyloid deposition increases in prevalence with age. The PBAC agreed with DUSC that there is a high risk of use outside the </w:t>
      </w:r>
      <w:r w:rsidR="00C65DF5">
        <w:t xml:space="preserve">intended </w:t>
      </w:r>
      <w:r w:rsidRPr="00E12BDF">
        <w:t xml:space="preserve">restriction. </w:t>
      </w:r>
    </w:p>
    <w:p w:rsidR="00972D2D" w:rsidRPr="00E12BDF" w:rsidRDefault="00972D2D" w:rsidP="000E065D">
      <w:pPr>
        <w:pStyle w:val="ExecSumBodyText"/>
        <w:numPr>
          <w:ilvl w:val="0"/>
          <w:numId w:val="0"/>
        </w:numPr>
        <w:ind w:left="720"/>
        <w:rPr>
          <w:i/>
        </w:rPr>
      </w:pPr>
      <w:r w:rsidRPr="00E12BDF">
        <w:rPr>
          <w:i/>
        </w:rPr>
        <w:t>For more detail on PBAC’s view, see section 7 PBAC outcome.</w:t>
      </w:r>
    </w:p>
    <w:p w:rsidR="00B50DB8" w:rsidRPr="00E12BDF" w:rsidRDefault="00203181" w:rsidP="004E18E9">
      <w:pPr>
        <w:pStyle w:val="2-SectionHeading"/>
      </w:pPr>
      <w:bookmarkStart w:id="6" w:name="_Toc40868591"/>
      <w:r w:rsidRPr="00E12BDF">
        <w:t xml:space="preserve">Population and </w:t>
      </w:r>
      <w:r w:rsidR="008E0D3C" w:rsidRPr="00E12BDF">
        <w:t>d</w:t>
      </w:r>
      <w:r w:rsidRPr="00E12BDF">
        <w:t>isease</w:t>
      </w:r>
      <w:bookmarkEnd w:id="6"/>
    </w:p>
    <w:p w:rsidR="00894489" w:rsidRPr="00E12BDF" w:rsidRDefault="00406093" w:rsidP="004E18E9">
      <w:pPr>
        <w:pStyle w:val="ExecSumBodyText"/>
        <w:rPr>
          <w:color w:val="0066FF"/>
        </w:rPr>
      </w:pPr>
      <w:r w:rsidRPr="00E12BDF">
        <w:t xml:space="preserve">ATTR-CM is a rare, late onset, progressive disease, characterised by extracellular deposition of misfolded transthyretin (TTR) amyloid fibrils in the cardiac atrial and ventricular walls, and/or direct amyloid proteotoxicity (Siddiqi et al. 2018). Amyloid fibril deposition results in progressive </w:t>
      </w:r>
      <w:r w:rsidR="00697980" w:rsidRPr="00E12BDF">
        <w:t>increase in myocardial thickness</w:t>
      </w:r>
      <w:r w:rsidRPr="00E12BDF">
        <w:t>, restrictive cardiomyopathy with diastolic dysfunction (with or without systolic dysfunction) and progressive heart failure (Donnelly and Hanna 2017; Mankad and Shah 2017). Fibril infiltration around cardiac conduction tissue may result in cardiac arrhythmias (e.g. atrial fibrillation), atrio</w:t>
      </w:r>
      <w:r w:rsidR="00B632B8" w:rsidRPr="00E12BDF">
        <w:t>ventricular conduction defects</w:t>
      </w:r>
      <w:r w:rsidR="00697980" w:rsidRPr="00E12BDF">
        <w:t xml:space="preserve"> or even sudden cardiac death</w:t>
      </w:r>
      <w:r w:rsidRPr="00E12BDF">
        <w:t>.</w:t>
      </w:r>
      <w:r w:rsidR="00F97A78" w:rsidRPr="00E12BDF">
        <w:rPr>
          <w:color w:val="0066FF"/>
        </w:rPr>
        <w:t xml:space="preserve"> </w:t>
      </w:r>
    </w:p>
    <w:p w:rsidR="00CD299E" w:rsidRPr="00E12BDF" w:rsidRDefault="00406093" w:rsidP="004525C0">
      <w:pPr>
        <w:pStyle w:val="ExecSumBodyText"/>
        <w:rPr>
          <w:color w:val="0066FF"/>
        </w:rPr>
      </w:pPr>
      <w:r w:rsidRPr="00E12BDF">
        <w:t>ATTR-CM is related to either a wild TTR genotype (ATTRwt</w:t>
      </w:r>
      <w:r w:rsidR="00D455C6" w:rsidRPr="00E12BDF">
        <w:t>; most common</w:t>
      </w:r>
      <w:r w:rsidRPr="00E12BDF">
        <w:t xml:space="preserve">), or </w:t>
      </w:r>
      <w:r w:rsidRPr="00E12BDF">
        <w:rPr>
          <w:rFonts w:eastAsia="OTNEJMQuadraat"/>
        </w:rPr>
        <w:t xml:space="preserve">an autosomal dominant, </w:t>
      </w:r>
      <w:r w:rsidRPr="00E12BDF">
        <w:t xml:space="preserve">inherited or variant TTR </w:t>
      </w:r>
      <w:r w:rsidR="00E26C27" w:rsidRPr="00E12BDF">
        <w:t>genotype</w:t>
      </w:r>
      <w:r w:rsidRPr="00E12BDF">
        <w:t xml:space="preserve"> (ATTRm)</w:t>
      </w:r>
      <w:r w:rsidR="00EC3395" w:rsidRPr="00E12BDF">
        <w:t xml:space="preserve">, </w:t>
      </w:r>
      <w:r w:rsidRPr="00E12BDF">
        <w:t>and is most prevalent in males ≥ 60 years of age</w:t>
      </w:r>
      <w:r w:rsidR="00EC3395" w:rsidRPr="00E12BDF">
        <w:t>,</w:t>
      </w:r>
      <w:r w:rsidRPr="00E12BDF">
        <w:t xml:space="preserve"> </w:t>
      </w:r>
      <w:r w:rsidR="00FF07CF" w:rsidRPr="00E12BDF">
        <w:t xml:space="preserve">with </w:t>
      </w:r>
      <w:r w:rsidRPr="00E12BDF">
        <w:t xml:space="preserve">prevalence increasing with age (Siddiqi et al. 2018). </w:t>
      </w:r>
      <w:r w:rsidR="002041A9" w:rsidRPr="00E12BDF">
        <w:t xml:space="preserve">Disease trajectory is </w:t>
      </w:r>
      <w:r w:rsidR="00D455C6" w:rsidRPr="00E12BDF">
        <w:t xml:space="preserve">heterogeneous </w:t>
      </w:r>
      <w:r w:rsidR="002041A9" w:rsidRPr="00E12BDF">
        <w:t xml:space="preserve">between TTR genotypes </w:t>
      </w:r>
      <w:r w:rsidR="00D455C6" w:rsidRPr="00E12BDF">
        <w:t xml:space="preserve">in </w:t>
      </w:r>
      <w:r w:rsidR="00B632B8" w:rsidRPr="00E12BDF">
        <w:t xml:space="preserve">terms of </w:t>
      </w:r>
      <w:r w:rsidR="00D455C6" w:rsidRPr="00E12BDF">
        <w:t xml:space="preserve">organ involvement, </w:t>
      </w:r>
      <w:r w:rsidRPr="00E12BDF">
        <w:t>age of onset, presentation and prognosis</w:t>
      </w:r>
      <w:r w:rsidR="002041A9" w:rsidRPr="00E12BDF">
        <w:t xml:space="preserve">, </w:t>
      </w:r>
      <w:r w:rsidR="00697980" w:rsidRPr="00E12BDF">
        <w:t>while</w:t>
      </w:r>
      <w:r w:rsidR="00D455C6" w:rsidRPr="00E12BDF">
        <w:t xml:space="preserve"> </w:t>
      </w:r>
      <w:r w:rsidR="002041A9" w:rsidRPr="00E12BDF">
        <w:t>t</w:t>
      </w:r>
      <w:r w:rsidR="00D455C6" w:rsidRPr="00E12BDF">
        <w:t xml:space="preserve">he ATTRm genotype </w:t>
      </w:r>
      <w:r w:rsidR="002041A9" w:rsidRPr="00E12BDF">
        <w:t xml:space="preserve">also </w:t>
      </w:r>
      <w:r w:rsidRPr="00E12BDF">
        <w:t xml:space="preserve">varies </w:t>
      </w:r>
      <w:r w:rsidR="002041A9" w:rsidRPr="00E12BDF">
        <w:t xml:space="preserve">between mutations in terms of </w:t>
      </w:r>
      <w:r w:rsidRPr="00E12BDF">
        <w:t>prevalence</w:t>
      </w:r>
      <w:r w:rsidR="00EC3395" w:rsidRPr="00E12BDF">
        <w:t>,</w:t>
      </w:r>
      <w:r w:rsidRPr="00E12BDF">
        <w:t xml:space="preserve"> pattern of organ involvement</w:t>
      </w:r>
      <w:r w:rsidR="002041A9" w:rsidRPr="00E12BDF">
        <w:t>, prognosis, race and region</w:t>
      </w:r>
      <w:r w:rsidRPr="00E12BDF">
        <w:t>.</w:t>
      </w:r>
      <w:r w:rsidR="004525C0" w:rsidRPr="00E12BDF">
        <w:t xml:space="preserve"> </w:t>
      </w:r>
    </w:p>
    <w:p w:rsidR="007627BE" w:rsidRPr="00E12BDF" w:rsidRDefault="00E90FE7" w:rsidP="004E18E9">
      <w:pPr>
        <w:pStyle w:val="ExecSumBodyText"/>
        <w:rPr>
          <w:color w:val="0066FF"/>
        </w:rPr>
      </w:pPr>
      <w:r w:rsidRPr="00E12BDF">
        <w:rPr>
          <w:rFonts w:cstheme="minorHAnsi"/>
        </w:rPr>
        <w:t>In current clinical practice, d</w:t>
      </w:r>
      <w:r w:rsidR="002041A9" w:rsidRPr="00E12BDF">
        <w:rPr>
          <w:rFonts w:cstheme="minorHAnsi"/>
        </w:rPr>
        <w:t>iagnosis</w:t>
      </w:r>
      <w:r w:rsidR="00406093" w:rsidRPr="00E12BDF">
        <w:rPr>
          <w:rFonts w:cstheme="minorHAnsi"/>
        </w:rPr>
        <w:t xml:space="preserve"> of ATTR-CM is frequently delayed until the presentation of progressive heart failure. Median survival after diagnosis in untreated patients has been estimated to be 2.5 years for ATTRm and 3.5 years for ATTRwt, with death most likely due to cardiovascular causes (cardiac arrhythmia, heart failure; Dungu et al. 2012; Maurer et al. 2017; Ruberg et al. 2012).</w:t>
      </w:r>
      <w:r w:rsidR="00062043" w:rsidRPr="00E12BDF">
        <w:t xml:space="preserve"> </w:t>
      </w:r>
    </w:p>
    <w:p w:rsidR="009F05BE" w:rsidRPr="00E12BDF" w:rsidRDefault="001430CD" w:rsidP="009F05BE">
      <w:pPr>
        <w:pStyle w:val="ExecSumBodyText"/>
      </w:pPr>
      <w:r w:rsidRPr="00E12BDF">
        <w:t xml:space="preserve">ATTR-CM is suspected in patients </w:t>
      </w:r>
      <w:r w:rsidR="003D7071" w:rsidRPr="00E12BDF">
        <w:t>with</w:t>
      </w:r>
      <w:r w:rsidRPr="00E12BDF">
        <w:t xml:space="preserve"> heart failure with preserved ejection fraction (HFpEF) </w:t>
      </w:r>
      <w:r w:rsidR="00F85B38" w:rsidRPr="00E12BDF">
        <w:t>with left ventricular hypertrophy</w:t>
      </w:r>
      <w:r w:rsidR="000B272A">
        <w:t xml:space="preserve"> (end-diastolic wall thickness &gt;12mm)</w:t>
      </w:r>
      <w:r w:rsidR="00F85B38" w:rsidRPr="00E12BDF">
        <w:t xml:space="preserve">, </w:t>
      </w:r>
      <w:r w:rsidRPr="00E12BDF">
        <w:t xml:space="preserve">particularly in the presence of extracardiac manifestations of amyloidosis (e.g. bilateral carpal tunnel syndrome) or a family history of ATTR-CM. </w:t>
      </w:r>
      <w:r w:rsidR="00E90FE7" w:rsidRPr="00E12BDF">
        <w:t xml:space="preserve">The submission proposed that diagnosis would </w:t>
      </w:r>
      <w:r w:rsidR="000B272A">
        <w:t xml:space="preserve">then </w:t>
      </w:r>
      <w:r w:rsidR="00E90FE7" w:rsidRPr="00E12BDF">
        <w:t>be</w:t>
      </w:r>
      <w:r w:rsidRPr="00E12BDF">
        <w:t xml:space="preserve"> confirmed </w:t>
      </w:r>
      <w:r w:rsidR="009F05BE" w:rsidRPr="00E12BDF">
        <w:t xml:space="preserve">by </w:t>
      </w:r>
      <w:r w:rsidRPr="00E12BDF">
        <w:t xml:space="preserve">the </w:t>
      </w:r>
      <w:r w:rsidR="00F85B38" w:rsidRPr="00E12BDF">
        <w:t xml:space="preserve">absence </w:t>
      </w:r>
      <w:r w:rsidRPr="00E12BDF">
        <w:t xml:space="preserve">of monoclonal protein, </w:t>
      </w:r>
      <w:r w:rsidR="00F85B38" w:rsidRPr="00E12BDF">
        <w:t xml:space="preserve">positive </w:t>
      </w:r>
      <w:r w:rsidRPr="00E12BDF">
        <w:t>radionuclide imaging (</w:t>
      </w:r>
      <w:r w:rsidR="00697980" w:rsidRPr="00E12BDF">
        <w:t xml:space="preserve">bone </w:t>
      </w:r>
      <w:r w:rsidRPr="00E12BDF">
        <w:t xml:space="preserve">scintigraphy studies) and/or endomyocardial biopsy </w:t>
      </w:r>
      <w:r w:rsidR="00C32444" w:rsidRPr="00E12BDF">
        <w:t>(</w:t>
      </w:r>
      <w:r w:rsidRPr="00E12BDF">
        <w:t xml:space="preserve">where diagnosis cannot be </w:t>
      </w:r>
      <w:r w:rsidR="009F05BE" w:rsidRPr="00E12BDF">
        <w:t>confirmed</w:t>
      </w:r>
      <w:r w:rsidRPr="00E12BDF">
        <w:t xml:space="preserve"> by less invasive tests</w:t>
      </w:r>
      <w:r w:rsidR="00C32444" w:rsidRPr="00E12BDF">
        <w:t>)</w:t>
      </w:r>
      <w:r w:rsidRPr="00E12BDF">
        <w:t>.</w:t>
      </w:r>
      <w:r w:rsidR="00072794" w:rsidRPr="00E12BDF">
        <w:t xml:space="preserve"> The submission acknowledged that increased use of scintigraphy in the Australian setting may increase early diagnosis of ATTR-CM and identify additional patients currently undiagnosed or misdiagnosed.</w:t>
      </w:r>
    </w:p>
    <w:p w:rsidR="000E065D" w:rsidRPr="00E12BDF" w:rsidRDefault="004525C0" w:rsidP="000E065D">
      <w:pPr>
        <w:pStyle w:val="ExecSumBodyText"/>
      </w:pPr>
      <w:r w:rsidRPr="00E12BDF">
        <w:lastRenderedPageBreak/>
        <w:t>A recent review (Driggin and Maurer 2019) of the epidemiology of ATTR-CM reported studies identifying up to 40% of patients with HFpEF exhibiting ATTRwt at autopsy. In addition, the screening with scintigraphy of 120 hospitalised elderly patients with HFpEF and increased ventricular wall thickness &gt;12 mm on echocardiography, showed 13% exhibited uptake consistent with ATTRwt cardiac amyloidosis (Gonzarles-Lopez et al. 2015).</w:t>
      </w:r>
    </w:p>
    <w:p w:rsidR="004525C0" w:rsidRPr="00E12BDF" w:rsidRDefault="00112F75" w:rsidP="000E065D">
      <w:pPr>
        <w:pStyle w:val="ExecSumBodyText"/>
      </w:pPr>
      <w:r w:rsidRPr="00E12BDF">
        <w:t>The ESC con</w:t>
      </w:r>
      <w:r w:rsidR="006478A5" w:rsidRPr="00E12BDF">
        <w:t>sidered there would be a considerable</w:t>
      </w:r>
      <w:r w:rsidRPr="00E12BDF">
        <w:t xml:space="preserve"> increase in</w:t>
      </w:r>
      <w:r w:rsidR="00CD299E" w:rsidRPr="00E12BDF">
        <w:t xml:space="preserve"> patients diagnosed</w:t>
      </w:r>
      <w:r w:rsidRPr="00E12BDF">
        <w:t xml:space="preserve"> with </w:t>
      </w:r>
      <w:r w:rsidR="00E90FE7" w:rsidRPr="00E12BDF">
        <w:t xml:space="preserve">ATTR-CM under </w:t>
      </w:r>
      <w:r w:rsidRPr="00E12BDF">
        <w:t>the new clinical management algorithm</w:t>
      </w:r>
      <w:r w:rsidR="007A0032" w:rsidRPr="00E12BDF">
        <w:t xml:space="preserve"> and if tafamidis were available</w:t>
      </w:r>
      <w:r w:rsidRPr="00E12BDF">
        <w:t>.</w:t>
      </w:r>
      <w:r w:rsidR="00F85B38" w:rsidRPr="00E12BDF">
        <w:t xml:space="preserve"> The ESC also considered that some of these newly diagnosed patients may have more benign clinical courses and that the overall natural history of ATTR-CM may evolve with changing diagnostic paradigms.</w:t>
      </w:r>
      <w:r w:rsidR="000E065D" w:rsidRPr="00E12BDF">
        <w:t xml:space="preserve"> </w:t>
      </w:r>
      <w:r w:rsidR="000E065D" w:rsidRPr="00E12BDF">
        <w:rPr>
          <w:rFonts w:cstheme="minorHAnsi"/>
        </w:rPr>
        <w:t>The pre-PBAC response argued that earlier diagnosis of ATTR-CM would result in a greater proportion of eligible patients being in lower NYHA classes, in whom tafamidis is more cost-effective. However, the PBAC considered that the overall impact of diagnosing patients significantly earlier in the clinical course of the condition was unknown.</w:t>
      </w:r>
    </w:p>
    <w:p w:rsidR="001430CD" w:rsidRPr="00E12BDF" w:rsidRDefault="001430CD" w:rsidP="004E18E9">
      <w:pPr>
        <w:pStyle w:val="ExecSumBodyText"/>
      </w:pPr>
      <w:r w:rsidRPr="00E12BDF">
        <w:rPr>
          <w:rFonts w:cstheme="minorHAnsi"/>
        </w:rPr>
        <w:t xml:space="preserve">Tafamidis </w:t>
      </w:r>
      <w:r w:rsidRPr="00E12BDF">
        <w:t>is a novel, small molecule, first in class oral therapy that attaches to thyroxine binding sites on the TTR tetramer, inhibiting tetramer dissociation and destabilisation. This inhibits the amyloidogenesis of aggregation-prone misfolded monomers, reducing the amyloid related direct cellular toxicity (proteotoxicity) and extracellular amyloid fibril deposition that result in cardiac dysfunction (i.e. ATTR-CM).</w:t>
      </w:r>
    </w:p>
    <w:p w:rsidR="00972D2D" w:rsidRPr="00E12BDF" w:rsidRDefault="00972D2D" w:rsidP="006746DF">
      <w:pPr>
        <w:pStyle w:val="ExecSumBodyText"/>
        <w:numPr>
          <w:ilvl w:val="0"/>
          <w:numId w:val="0"/>
        </w:numPr>
        <w:ind w:left="720"/>
        <w:rPr>
          <w:i/>
        </w:rPr>
      </w:pPr>
      <w:r w:rsidRPr="00E12BDF">
        <w:rPr>
          <w:i/>
        </w:rPr>
        <w:t>For more detail on PBAC’s view, see section 7 PBAC outcome.</w:t>
      </w:r>
    </w:p>
    <w:p w:rsidR="00B50DB8" w:rsidRPr="00E12BDF" w:rsidRDefault="00B50DB8" w:rsidP="004E18E9">
      <w:pPr>
        <w:pStyle w:val="2-SectionHeading"/>
      </w:pPr>
      <w:bookmarkStart w:id="7" w:name="_Toc40868592"/>
      <w:r w:rsidRPr="00E12BDF">
        <w:t>Comparator</w:t>
      </w:r>
      <w:bookmarkEnd w:id="7"/>
    </w:p>
    <w:p w:rsidR="00A05472" w:rsidRPr="00E12BDF" w:rsidRDefault="009F05BE" w:rsidP="00882E3C">
      <w:pPr>
        <w:pStyle w:val="ExecSumBodyText"/>
        <w:rPr>
          <w:snapToGrid/>
        </w:rPr>
      </w:pPr>
      <w:r w:rsidRPr="00E12BDF">
        <w:t xml:space="preserve">The submission nominated standard management of the symptoms of ATTR-CM (diuretic and/or anti-arrhythmic medicines) as the main comparator. The main argument provided in support of this nomination was that tafamidis is a first-in-field disease modifying medicine for the treatment of ATTR-CM, and that there are no other pharmacological treatments available that reduce amyloid formation or deposition, and disease progression in ATTR-CM. </w:t>
      </w:r>
      <w:r w:rsidR="00C32444" w:rsidRPr="00E12BDF">
        <w:t xml:space="preserve">The ESC </w:t>
      </w:r>
      <w:r w:rsidR="00DF70D7" w:rsidRPr="00E12BDF">
        <w:t>considered</w:t>
      </w:r>
      <w:r w:rsidR="00662FD9" w:rsidRPr="00E12BDF">
        <w:t xml:space="preserve"> </w:t>
      </w:r>
      <w:r w:rsidR="00C32444" w:rsidRPr="00E12BDF">
        <w:t>that s</w:t>
      </w:r>
      <w:r w:rsidRPr="00E12BDF">
        <w:t xml:space="preserve">tandard management of ATTR-CM </w:t>
      </w:r>
      <w:r w:rsidR="00B62435" w:rsidRPr="00E12BDF">
        <w:t>was</w:t>
      </w:r>
      <w:r w:rsidRPr="00E12BDF">
        <w:t xml:space="preserve"> the appropriate comparator, but </w:t>
      </w:r>
      <w:r w:rsidR="00C32444" w:rsidRPr="00E12BDF">
        <w:t xml:space="preserve">also </w:t>
      </w:r>
      <w:r w:rsidR="00DF70D7" w:rsidRPr="00E12BDF">
        <w:t>considered</w:t>
      </w:r>
      <w:r w:rsidR="00C32444" w:rsidRPr="00E12BDF">
        <w:t xml:space="preserve"> that </w:t>
      </w:r>
      <w:r w:rsidRPr="00E12BDF">
        <w:t>treatment with tafamidis w</w:t>
      </w:r>
      <w:r w:rsidR="00B62435" w:rsidRPr="00E12BDF">
        <w:t>ould</w:t>
      </w:r>
      <w:r w:rsidRPr="00E12BDF">
        <w:t xml:space="preserve"> be concomitant with ongoing standard management in clinical practice.</w:t>
      </w:r>
    </w:p>
    <w:p w:rsidR="00072794" w:rsidRPr="00E12BDF" w:rsidRDefault="00072794" w:rsidP="00B632B8">
      <w:pPr>
        <w:pStyle w:val="ExecSumBodyText"/>
        <w:rPr>
          <w:color w:val="0066FF"/>
        </w:rPr>
      </w:pPr>
      <w:r w:rsidRPr="00E12BDF">
        <w:t xml:space="preserve">The clinical management algorithm positions tafamidis as the only disease modifying agent available to patients, as an alternative to standard management alone. </w:t>
      </w:r>
      <w:r w:rsidR="00B632B8" w:rsidRPr="00E12BDF">
        <w:t xml:space="preserve">Standard management in ATTR-CM </w:t>
      </w:r>
      <w:r w:rsidR="00B62435" w:rsidRPr="00E12BDF">
        <w:t>was</w:t>
      </w:r>
      <w:r w:rsidR="00B632B8" w:rsidRPr="00E12BDF">
        <w:t xml:space="preserve"> not defined in the submission but is expected to be consistent with the management of restrictive cardiomyopathy (i.e. diuretics, </w:t>
      </w:r>
      <w:r w:rsidR="00C32444" w:rsidRPr="00E12BDF">
        <w:t>anti-</w:t>
      </w:r>
      <w:r w:rsidR="00B632B8" w:rsidRPr="00E12BDF">
        <w:t>arrhythmics and management of conduction defects).</w:t>
      </w:r>
    </w:p>
    <w:p w:rsidR="002C2775" w:rsidRPr="00E12BDF" w:rsidRDefault="009F05BE" w:rsidP="002E4F02">
      <w:pPr>
        <w:pStyle w:val="ExecSumBodyText"/>
      </w:pPr>
      <w:r w:rsidRPr="00E12BDF">
        <w:t xml:space="preserve">The submission acknowledged that heart transplant is also a </w:t>
      </w:r>
      <w:r w:rsidR="00072794" w:rsidRPr="00E12BDF">
        <w:t>disease modifying procedure for severe progressed ATTR-CM</w:t>
      </w:r>
      <w:r w:rsidRPr="00E12BDF">
        <w:t xml:space="preserve">, but suggested this procedure is </w:t>
      </w:r>
      <w:r w:rsidR="00C32444" w:rsidRPr="00E12BDF">
        <w:t>not commonly</w:t>
      </w:r>
      <w:r w:rsidRPr="00E12BDF">
        <w:t xml:space="preserve"> performed in Australian clinical practice</w:t>
      </w:r>
      <w:r w:rsidR="00C32444" w:rsidRPr="00E12BDF">
        <w:t xml:space="preserve"> due to organ donor shortages</w:t>
      </w:r>
      <w:r w:rsidR="00ED5BD4" w:rsidRPr="00E12BDF">
        <w:t>.</w:t>
      </w:r>
      <w:r w:rsidRPr="00E12BDF">
        <w:t xml:space="preserve"> </w:t>
      </w:r>
      <w:r w:rsidR="00F85B38" w:rsidRPr="00E12BDF">
        <w:t xml:space="preserve">The ESC noted that mechanical cardiac assist devices are also a potential treatment, either </w:t>
      </w:r>
      <w:r w:rsidR="00F85B38" w:rsidRPr="00E12BDF">
        <w:lastRenderedPageBreak/>
        <w:t xml:space="preserve">as a bridge-to-transplant or as destination therapy, but are not disease modifying. </w:t>
      </w:r>
      <w:r w:rsidRPr="00E12BDF">
        <w:t xml:space="preserve">The submission also noted that </w:t>
      </w:r>
      <w:r w:rsidR="00072794" w:rsidRPr="00E12BDF">
        <w:t xml:space="preserve">diflunisal, a long acting non-steroidal anti-inflammatory medicine, is a potential near market comparator. Diflunisal is not currently listed on the Australian Register of Therapeutic Goods, but </w:t>
      </w:r>
      <w:r w:rsidR="003D7071" w:rsidRPr="00E12BDF">
        <w:t>is</w:t>
      </w:r>
      <w:r w:rsidR="00072794" w:rsidRPr="00E12BDF">
        <w:t xml:space="preserve"> used (off-label) in some patients with ATTR-CM, despite the absence of clinical evidence supporting its efficacy and safety in this setting.</w:t>
      </w:r>
      <w:r w:rsidR="00C32444" w:rsidRPr="00E12BDF">
        <w:t xml:space="preserve"> The ESC </w:t>
      </w:r>
      <w:r w:rsidR="00DF70D7" w:rsidRPr="00E12BDF">
        <w:t>considered</w:t>
      </w:r>
      <w:r w:rsidR="00C32444" w:rsidRPr="00E12BDF">
        <w:t xml:space="preserve"> that diflunisal </w:t>
      </w:r>
      <w:r w:rsidR="00B62435" w:rsidRPr="00E12BDF">
        <w:t>wa</w:t>
      </w:r>
      <w:r w:rsidR="00C32444" w:rsidRPr="00E12BDF">
        <w:t xml:space="preserve">s not an appropriate </w:t>
      </w:r>
      <w:r w:rsidR="00F85B38" w:rsidRPr="00E12BDF">
        <w:t>comparator and that it was reasonable not to include heart transplantation or mechanical assist devices as comparators</w:t>
      </w:r>
      <w:r w:rsidR="00C32444" w:rsidRPr="00E12BDF">
        <w:t>.</w:t>
      </w:r>
    </w:p>
    <w:p w:rsidR="00972D2D" w:rsidRPr="00E12BDF" w:rsidRDefault="00972D2D" w:rsidP="006746DF">
      <w:pPr>
        <w:pStyle w:val="ExecSumBodyText"/>
        <w:numPr>
          <w:ilvl w:val="0"/>
          <w:numId w:val="0"/>
        </w:numPr>
        <w:ind w:left="720"/>
        <w:rPr>
          <w:i/>
        </w:rPr>
      </w:pPr>
      <w:r w:rsidRPr="00E12BDF">
        <w:rPr>
          <w:i/>
        </w:rPr>
        <w:t>For more detail on PBAC’s view, see section 7 PBAC outcome.</w:t>
      </w:r>
    </w:p>
    <w:p w:rsidR="00223D5A" w:rsidRPr="00E12BDF" w:rsidRDefault="00223D5A" w:rsidP="00223D5A">
      <w:pPr>
        <w:pStyle w:val="2-SectionHeading"/>
        <w:numPr>
          <w:ilvl w:val="0"/>
          <w:numId w:val="1"/>
        </w:numPr>
      </w:pPr>
      <w:bookmarkStart w:id="8" w:name="_Toc40868593"/>
      <w:bookmarkStart w:id="9" w:name="_Toc22897640"/>
      <w:r w:rsidRPr="00E12BDF">
        <w:t>Consideration of the evidence</w:t>
      </w:r>
      <w:bookmarkEnd w:id="8"/>
    </w:p>
    <w:p w:rsidR="00D7033B" w:rsidRPr="00E12BDF" w:rsidRDefault="00D7033B" w:rsidP="00445C85">
      <w:pPr>
        <w:widowControl w:val="0"/>
        <w:spacing w:before="240" w:line="276" w:lineRule="auto"/>
        <w:outlineLvl w:val="1"/>
        <w:rPr>
          <w:rFonts w:asciiTheme="minorHAnsi" w:eastAsiaTheme="majorEastAsia" w:hAnsiTheme="minorHAnsi" w:cstheme="majorBidi"/>
          <w:b/>
          <w:i/>
          <w:spacing w:val="5"/>
          <w:kern w:val="28"/>
          <w:sz w:val="28"/>
          <w:szCs w:val="36"/>
        </w:rPr>
      </w:pPr>
      <w:bookmarkStart w:id="10" w:name="_Toc40868594"/>
      <w:r w:rsidRPr="00E12BDF">
        <w:rPr>
          <w:rFonts w:asciiTheme="minorHAnsi" w:eastAsiaTheme="majorEastAsia" w:hAnsiTheme="minorHAnsi" w:cstheme="majorBidi"/>
          <w:b/>
          <w:i/>
          <w:spacing w:val="5"/>
          <w:kern w:val="28"/>
          <w:sz w:val="28"/>
          <w:szCs w:val="36"/>
        </w:rPr>
        <w:t>Sponsor hearing</w:t>
      </w:r>
    </w:p>
    <w:p w:rsidR="00D7033B" w:rsidRPr="00E12BDF" w:rsidRDefault="00D7033B" w:rsidP="00D7033B">
      <w:pPr>
        <w:widowControl w:val="0"/>
        <w:numPr>
          <w:ilvl w:val="1"/>
          <w:numId w:val="1"/>
        </w:numPr>
        <w:spacing w:after="120"/>
        <w:rPr>
          <w:rFonts w:asciiTheme="minorHAnsi" w:hAnsiTheme="minorHAnsi"/>
          <w:bCs/>
          <w:snapToGrid w:val="0"/>
        </w:rPr>
      </w:pPr>
      <w:r w:rsidRPr="00E12BDF">
        <w:rPr>
          <w:rFonts w:asciiTheme="minorHAnsi" w:hAnsiTheme="minorHAnsi"/>
          <w:bCs/>
          <w:snapToGrid w:val="0"/>
        </w:rPr>
        <w:t>There was no hearing for this item.</w:t>
      </w:r>
    </w:p>
    <w:p w:rsidR="00D7033B" w:rsidRPr="00E12BDF" w:rsidRDefault="00D7033B" w:rsidP="00445C85">
      <w:pPr>
        <w:widowControl w:val="0"/>
        <w:spacing w:before="240" w:line="276" w:lineRule="auto"/>
        <w:outlineLvl w:val="1"/>
        <w:rPr>
          <w:rFonts w:asciiTheme="minorHAnsi" w:hAnsiTheme="minorHAnsi"/>
          <w:b/>
          <w:bCs/>
          <w:i/>
          <w:snapToGrid w:val="0"/>
          <w:sz w:val="28"/>
          <w:szCs w:val="28"/>
        </w:rPr>
      </w:pPr>
      <w:r w:rsidRPr="00E12BDF">
        <w:rPr>
          <w:rFonts w:asciiTheme="minorHAnsi" w:hAnsiTheme="minorHAnsi"/>
          <w:b/>
          <w:bCs/>
          <w:i/>
          <w:snapToGrid w:val="0"/>
          <w:sz w:val="28"/>
          <w:szCs w:val="28"/>
        </w:rPr>
        <w:t>Consumer comments</w:t>
      </w:r>
    </w:p>
    <w:p w:rsidR="00CB5B55" w:rsidRPr="00E12BDF" w:rsidRDefault="00D7033B" w:rsidP="00471EDB">
      <w:pPr>
        <w:widowControl w:val="0"/>
        <w:numPr>
          <w:ilvl w:val="1"/>
          <w:numId w:val="1"/>
        </w:numPr>
        <w:spacing w:after="120"/>
        <w:rPr>
          <w:snapToGrid w:val="0"/>
        </w:rPr>
      </w:pPr>
      <w:r w:rsidRPr="00E12BDF">
        <w:rPr>
          <w:rFonts w:asciiTheme="minorHAnsi" w:hAnsiTheme="minorHAnsi"/>
          <w:bCs/>
          <w:snapToGrid w:val="0"/>
        </w:rPr>
        <w:t>The PBAC noted and welcomed the input from individuals (10), health care professionals (2) and organisations (3) via the Consumer Comments f</w:t>
      </w:r>
      <w:r w:rsidR="00CB5B55" w:rsidRPr="00E12BDF">
        <w:rPr>
          <w:rFonts w:asciiTheme="minorHAnsi" w:hAnsiTheme="minorHAnsi"/>
          <w:bCs/>
          <w:snapToGrid w:val="0"/>
        </w:rPr>
        <w:t>acility on the PBS website.</w:t>
      </w:r>
      <w:r w:rsidR="00311C04" w:rsidRPr="00E12BDF">
        <w:rPr>
          <w:rFonts w:asciiTheme="minorHAnsi" w:hAnsiTheme="minorHAnsi"/>
          <w:bCs/>
          <w:snapToGrid w:val="0"/>
        </w:rPr>
        <w:t xml:space="preserve"> </w:t>
      </w:r>
      <w:r w:rsidR="007E569C" w:rsidRPr="00E12BDF">
        <w:rPr>
          <w:rFonts w:asciiTheme="minorHAnsi" w:hAnsiTheme="minorHAnsi"/>
          <w:bCs/>
          <w:snapToGrid w:val="0"/>
        </w:rPr>
        <w:t>Comments from health care professionals</w:t>
      </w:r>
      <w:r w:rsidR="007E569C" w:rsidRPr="00E12BDF">
        <w:rPr>
          <w:bCs/>
        </w:rPr>
        <w:t xml:space="preserve"> </w:t>
      </w:r>
      <w:r w:rsidR="00FA2CFE" w:rsidRPr="00E12BDF">
        <w:rPr>
          <w:bCs/>
        </w:rPr>
        <w:t>described the benefits of using tafamidis early in the disease trajectory. C</w:t>
      </w:r>
      <w:r w:rsidR="007F4EE4" w:rsidRPr="00E12BDF">
        <w:rPr>
          <w:bCs/>
        </w:rPr>
        <w:t>omments</w:t>
      </w:r>
      <w:r w:rsidR="00FA2CFE" w:rsidRPr="00E12BDF">
        <w:rPr>
          <w:bCs/>
        </w:rPr>
        <w:t xml:space="preserve"> from consumers</w:t>
      </w:r>
      <w:r w:rsidR="007F4EE4" w:rsidRPr="00E12BDF">
        <w:rPr>
          <w:bCs/>
        </w:rPr>
        <w:t xml:space="preserve"> described the </w:t>
      </w:r>
      <w:r w:rsidR="00311C04" w:rsidRPr="00E12BDF">
        <w:rPr>
          <w:bCs/>
        </w:rPr>
        <w:t>lack of current treatments</w:t>
      </w:r>
      <w:r w:rsidR="00FA2CFE" w:rsidRPr="00E12BDF">
        <w:rPr>
          <w:bCs/>
        </w:rPr>
        <w:t xml:space="preserve"> and</w:t>
      </w:r>
      <w:r w:rsidR="00311C04" w:rsidRPr="00E12BDF">
        <w:rPr>
          <w:bCs/>
        </w:rPr>
        <w:t xml:space="preserve"> the </w:t>
      </w:r>
      <w:r w:rsidR="00563A11" w:rsidRPr="00E12BDF">
        <w:rPr>
          <w:bCs/>
        </w:rPr>
        <w:t>high unmet need for effective treatments</w:t>
      </w:r>
      <w:r w:rsidR="007F4EE4" w:rsidRPr="00E12BDF">
        <w:rPr>
          <w:bCs/>
        </w:rPr>
        <w:t xml:space="preserve">. </w:t>
      </w:r>
      <w:r w:rsidR="00445C85" w:rsidRPr="00E12BDF">
        <w:rPr>
          <w:snapToGrid w:val="0"/>
        </w:rPr>
        <w:t xml:space="preserve">The comments described </w:t>
      </w:r>
      <w:r w:rsidR="007F4EE4" w:rsidRPr="00E12BDF">
        <w:t xml:space="preserve">the </w:t>
      </w:r>
      <w:r w:rsidR="00C243D0" w:rsidRPr="00E12BDF">
        <w:rPr>
          <w:snapToGrid w:val="0"/>
        </w:rPr>
        <w:t xml:space="preserve">fear </w:t>
      </w:r>
      <w:r w:rsidR="007F4EE4" w:rsidRPr="00E12BDF">
        <w:t xml:space="preserve">of disease progression given the poor prognosis, and the significant impact that </w:t>
      </w:r>
      <w:r w:rsidR="00CB5B55" w:rsidRPr="00E12BDF">
        <w:rPr>
          <w:snapToGrid w:val="0"/>
        </w:rPr>
        <w:t>symptoms (</w:t>
      </w:r>
      <w:r w:rsidR="00C243D0" w:rsidRPr="00E12BDF">
        <w:rPr>
          <w:snapToGrid w:val="0"/>
        </w:rPr>
        <w:t>shortne</w:t>
      </w:r>
      <w:r w:rsidR="00CB5B55" w:rsidRPr="00E12BDF">
        <w:rPr>
          <w:snapToGrid w:val="0"/>
        </w:rPr>
        <w:t>ss of breath,</w:t>
      </w:r>
      <w:r w:rsidR="00C243D0" w:rsidRPr="00E12BDF">
        <w:rPr>
          <w:snapToGrid w:val="0"/>
        </w:rPr>
        <w:t xml:space="preserve"> fatigue</w:t>
      </w:r>
      <w:r w:rsidR="00CB5B55" w:rsidRPr="00E12BDF">
        <w:rPr>
          <w:snapToGrid w:val="0"/>
        </w:rPr>
        <w:t>)</w:t>
      </w:r>
      <w:r w:rsidR="007F4EE4" w:rsidRPr="00E12BDF">
        <w:t xml:space="preserve"> have on </w:t>
      </w:r>
      <w:r w:rsidR="00311C04" w:rsidRPr="00E12BDF">
        <w:t xml:space="preserve">a </w:t>
      </w:r>
      <w:r w:rsidR="007F4EE4" w:rsidRPr="00E12BDF">
        <w:t>patient’s quality of life and ability to carry out day-to-day functions.</w:t>
      </w:r>
      <w:r w:rsidR="00C243D0" w:rsidRPr="00E12BDF">
        <w:rPr>
          <w:snapToGrid w:val="0"/>
        </w:rPr>
        <w:t xml:space="preserve"> </w:t>
      </w:r>
      <w:r w:rsidR="00CB5B55" w:rsidRPr="00E12BDF">
        <w:rPr>
          <w:snapToGrid w:val="0"/>
        </w:rPr>
        <w:t>Individuals highlighted t</w:t>
      </w:r>
      <w:r w:rsidR="00C243D0" w:rsidRPr="00E12BDF">
        <w:rPr>
          <w:snapToGrid w:val="0"/>
        </w:rPr>
        <w:t>he psychological burd</w:t>
      </w:r>
      <w:r w:rsidR="00CB5B55" w:rsidRPr="00E12BDF">
        <w:rPr>
          <w:snapToGrid w:val="0"/>
        </w:rPr>
        <w:t xml:space="preserve">en of having </w:t>
      </w:r>
      <w:r w:rsidR="00BF27BD">
        <w:rPr>
          <w:snapToGrid w:val="0"/>
        </w:rPr>
        <w:t xml:space="preserve">had positive genetic testing for </w:t>
      </w:r>
      <w:r w:rsidR="00CB5B55" w:rsidRPr="00E12BDF">
        <w:rPr>
          <w:snapToGrid w:val="0"/>
        </w:rPr>
        <w:t xml:space="preserve">hereditary (variant) ATTR-CM </w:t>
      </w:r>
      <w:r w:rsidR="00BF27BD">
        <w:rPr>
          <w:snapToGrid w:val="0"/>
        </w:rPr>
        <w:t xml:space="preserve">and waiting for the disease to develop or </w:t>
      </w:r>
      <w:r w:rsidR="00F74F03" w:rsidRPr="00E12BDF">
        <w:rPr>
          <w:snapToGrid w:val="0"/>
        </w:rPr>
        <w:t xml:space="preserve">watching the gradual decline in </w:t>
      </w:r>
      <w:r w:rsidR="00BF27BD">
        <w:rPr>
          <w:snapToGrid w:val="0"/>
        </w:rPr>
        <w:t xml:space="preserve">physical </w:t>
      </w:r>
      <w:r w:rsidR="00F74F03" w:rsidRPr="00E12BDF">
        <w:rPr>
          <w:snapToGrid w:val="0"/>
        </w:rPr>
        <w:t>function</w:t>
      </w:r>
      <w:r w:rsidR="00BF27BD">
        <w:rPr>
          <w:snapToGrid w:val="0"/>
        </w:rPr>
        <w:t>ing</w:t>
      </w:r>
      <w:r w:rsidR="00F74F03" w:rsidRPr="00E12BDF">
        <w:rPr>
          <w:snapToGrid w:val="0"/>
        </w:rPr>
        <w:t xml:space="preserve"> </w:t>
      </w:r>
      <w:r w:rsidR="00BF27BD">
        <w:rPr>
          <w:snapToGrid w:val="0"/>
        </w:rPr>
        <w:t>in family members with the disease</w:t>
      </w:r>
      <w:r w:rsidR="00F74F03" w:rsidRPr="00E12BDF">
        <w:rPr>
          <w:snapToGrid w:val="0"/>
        </w:rPr>
        <w:t>.</w:t>
      </w:r>
      <w:r w:rsidR="00CB5B55" w:rsidRPr="00E12BDF">
        <w:rPr>
          <w:snapToGrid w:val="0"/>
        </w:rPr>
        <w:t xml:space="preserve"> </w:t>
      </w:r>
      <w:r w:rsidR="00AB40F0" w:rsidRPr="00E12BDF">
        <w:rPr>
          <w:snapToGrid w:val="0"/>
        </w:rPr>
        <w:t>Comment</w:t>
      </w:r>
      <w:r w:rsidR="00C243D0" w:rsidRPr="00E12BDF">
        <w:rPr>
          <w:snapToGrid w:val="0"/>
        </w:rPr>
        <w:t>s</w:t>
      </w:r>
      <w:r w:rsidR="00AB40F0" w:rsidRPr="00E12BDF">
        <w:rPr>
          <w:snapToGrid w:val="0"/>
        </w:rPr>
        <w:t xml:space="preserve"> from </w:t>
      </w:r>
      <w:r w:rsidR="00311C04" w:rsidRPr="00E12BDF">
        <w:rPr>
          <w:snapToGrid w:val="0"/>
        </w:rPr>
        <w:t xml:space="preserve">a </w:t>
      </w:r>
      <w:r w:rsidR="00AB40F0" w:rsidRPr="00E12BDF">
        <w:rPr>
          <w:snapToGrid w:val="0"/>
        </w:rPr>
        <w:t>patient</w:t>
      </w:r>
      <w:r w:rsidR="00C243D0" w:rsidRPr="00E12BDF">
        <w:rPr>
          <w:snapToGrid w:val="0"/>
        </w:rPr>
        <w:t xml:space="preserve"> </w:t>
      </w:r>
      <w:r w:rsidR="00CB5B55" w:rsidRPr="00E12BDF">
        <w:rPr>
          <w:snapToGrid w:val="0"/>
        </w:rPr>
        <w:t>taking</w:t>
      </w:r>
      <w:r w:rsidR="00C243D0" w:rsidRPr="00E12BDF">
        <w:rPr>
          <w:snapToGrid w:val="0"/>
        </w:rPr>
        <w:t xml:space="preserve"> tafamidis</w:t>
      </w:r>
      <w:r w:rsidRPr="00E12BDF">
        <w:rPr>
          <w:snapToGrid w:val="0"/>
        </w:rPr>
        <w:t xml:space="preserve"> described a ran</w:t>
      </w:r>
      <w:r w:rsidR="00CB5B55" w:rsidRPr="00E12BDF">
        <w:rPr>
          <w:snapToGrid w:val="0"/>
        </w:rPr>
        <w:t>ge of benefits</w:t>
      </w:r>
      <w:r w:rsidRPr="00E12BDF">
        <w:rPr>
          <w:snapToGrid w:val="0"/>
        </w:rPr>
        <w:t xml:space="preserve"> including </w:t>
      </w:r>
      <w:r w:rsidR="007F4EE4" w:rsidRPr="00E12BDF">
        <w:t>an increase in quality of life</w:t>
      </w:r>
      <w:r w:rsidRPr="00E12BDF">
        <w:rPr>
          <w:snapToGrid w:val="0"/>
        </w:rPr>
        <w:t xml:space="preserve">. </w:t>
      </w:r>
    </w:p>
    <w:p w:rsidR="00B60939" w:rsidRPr="00E12BDF" w:rsidRDefault="00B60939" w:rsidP="002E4F02">
      <w:pPr>
        <w:pStyle w:val="3-SubsectionHeading"/>
      </w:pPr>
      <w:r w:rsidRPr="00E12BDF">
        <w:t>Clinical trials</w:t>
      </w:r>
      <w:bookmarkEnd w:id="9"/>
      <w:bookmarkEnd w:id="10"/>
    </w:p>
    <w:p w:rsidR="003D7071" w:rsidRPr="00E12BDF" w:rsidRDefault="003D7071" w:rsidP="002E4F02">
      <w:pPr>
        <w:pStyle w:val="ExecSumBodyText"/>
        <w:rPr>
          <w:color w:val="0066FF"/>
        </w:rPr>
      </w:pPr>
      <w:r w:rsidRPr="00E12BDF">
        <w:t xml:space="preserve">The submission was based on one randomised placebo controlled trial (ATTR-ACT) comparing tafamidis meglumine in combination with standard management to standard management alone, in patients with transthyretin amyloid cardiomyopathy with evidence of cardiac involvement by echocardiography with an end-diastolic interventricular septal wall thickness ≥ 12 mm. </w:t>
      </w:r>
    </w:p>
    <w:p w:rsidR="00E46290" w:rsidRPr="00E12BDF" w:rsidRDefault="003D7071" w:rsidP="00E46290">
      <w:pPr>
        <w:pStyle w:val="ExecSumBodyText"/>
        <w:rPr>
          <w:color w:val="0066FF"/>
        </w:rPr>
      </w:pPr>
      <w:r w:rsidRPr="00E12BDF">
        <w:t>A claim of superior efficacy and non-inferior safety was made on the</w:t>
      </w:r>
      <w:r w:rsidR="00C02608" w:rsidRPr="00E12BDF">
        <w:t xml:space="preserve"> primary and secondary</w:t>
      </w:r>
      <w:r w:rsidRPr="00E12BDF">
        <w:t xml:space="preserve"> outcomes of all-cause mortality, cardiovascular hospitalisations, the six minute walk test (6MWT) and the Kansas City Cardiomyopathy Questionnaire – overall score (KCCQ-OS). </w:t>
      </w:r>
      <w:r w:rsidR="00E46290" w:rsidRPr="00E12BDF">
        <w:t>Pre-specified subgroup analyses were presented by NYHA heart failure classification and TTR genotype for key outcomes.</w:t>
      </w:r>
    </w:p>
    <w:p w:rsidR="003D7071" w:rsidRPr="00E12BDF" w:rsidRDefault="003D7071" w:rsidP="002E4F02">
      <w:pPr>
        <w:pStyle w:val="ExecSumBodyText"/>
        <w:rPr>
          <w:color w:val="0066FF"/>
        </w:rPr>
      </w:pPr>
      <w:r w:rsidRPr="00E12BDF">
        <w:lastRenderedPageBreak/>
        <w:t xml:space="preserve">The submission also presented preliminary </w:t>
      </w:r>
      <w:r w:rsidR="00FF07CF" w:rsidRPr="00E12BDF">
        <w:t>results</w:t>
      </w:r>
      <w:r w:rsidRPr="00E12BDF">
        <w:t xml:space="preserve"> for patients who completed the ATTR-ACT trial and continued into Study B3461045 (N</w:t>
      </w:r>
      <w:r w:rsidRPr="00E12BDF">
        <w:rPr>
          <w:rFonts w:cs="Calibri"/>
        </w:rPr>
        <w:t>≈</w:t>
      </w:r>
      <w:r w:rsidRPr="00E12BDF">
        <w:t>2000; an ongoing, long term, open label, safety study of tafamidis meglumine 20 mg and 80 mg; patients receiving placebo were randomised 1:2 to tafamidis meglumine 20 mg or 80 mg treatment arms). Evaluation of Study B3461045 could not be conducted due to insufficient information available in the submission and the published literature.</w:t>
      </w:r>
    </w:p>
    <w:p w:rsidR="00862502" w:rsidRPr="00E12BDF" w:rsidRDefault="00A73134" w:rsidP="002E4F02">
      <w:pPr>
        <w:pStyle w:val="ExecSumBodyText"/>
      </w:pPr>
      <w:r w:rsidRPr="00E12BDF">
        <w:rPr>
          <w:snapToGrid/>
        </w:rPr>
        <w:t>Details of the trials</w:t>
      </w:r>
      <w:r w:rsidR="003D7071" w:rsidRPr="00E12BDF">
        <w:rPr>
          <w:snapToGrid/>
        </w:rPr>
        <w:t xml:space="preserve"> </w:t>
      </w:r>
      <w:r w:rsidRPr="00E12BDF">
        <w:rPr>
          <w:snapToGrid/>
        </w:rPr>
        <w:t>presented in the submission are provided in the table below.</w:t>
      </w:r>
    </w:p>
    <w:p w:rsidR="008E0D3C" w:rsidRPr="00E12BDF" w:rsidRDefault="003D7071" w:rsidP="00230DB1">
      <w:pPr>
        <w:pStyle w:val="TableFigureCaption"/>
      </w:pPr>
      <w:r w:rsidRPr="00E12BDF">
        <w:t>Table 2</w:t>
      </w:r>
      <w:r w:rsidR="008E0D3C" w:rsidRPr="00E12BDF">
        <w:t>:</w:t>
      </w:r>
      <w:r w:rsidR="00BC591F" w:rsidRPr="00E12BDF">
        <w:t xml:space="preserve"> </w:t>
      </w:r>
      <w:r w:rsidR="008E0D3C" w:rsidRPr="00E12BDF">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5104"/>
        <w:gridCol w:w="2642"/>
      </w:tblGrid>
      <w:tr w:rsidR="003D7071" w:rsidRPr="00E12BDF" w:rsidTr="00351BDA">
        <w:trPr>
          <w:tblHeader/>
        </w:trPr>
        <w:tc>
          <w:tcPr>
            <w:tcW w:w="705" w:type="pct"/>
            <w:vAlign w:val="center"/>
          </w:tcPr>
          <w:p w:rsidR="003D7071" w:rsidRPr="00E12BDF" w:rsidRDefault="003D7071" w:rsidP="00351BDA">
            <w:pPr>
              <w:pStyle w:val="Tableheadingrow"/>
              <w:rPr>
                <w:lang w:val="en-AU"/>
              </w:rPr>
            </w:pPr>
            <w:r w:rsidRPr="00E12BDF">
              <w:rPr>
                <w:lang w:val="en-AU"/>
              </w:rPr>
              <w:t>Trial ID</w:t>
            </w:r>
          </w:p>
        </w:tc>
        <w:tc>
          <w:tcPr>
            <w:tcW w:w="2830" w:type="pct"/>
            <w:vAlign w:val="center"/>
          </w:tcPr>
          <w:p w:rsidR="003D7071" w:rsidRPr="00E12BDF" w:rsidRDefault="003D7071" w:rsidP="00351BDA">
            <w:pPr>
              <w:pStyle w:val="Tableheadingrow"/>
              <w:rPr>
                <w:lang w:val="en-AU"/>
              </w:rPr>
            </w:pPr>
            <w:r w:rsidRPr="00E12BDF">
              <w:rPr>
                <w:lang w:val="en-AU"/>
              </w:rPr>
              <w:t>Protocol title/ Publication title</w:t>
            </w:r>
          </w:p>
        </w:tc>
        <w:tc>
          <w:tcPr>
            <w:tcW w:w="1466" w:type="pct"/>
            <w:vAlign w:val="center"/>
          </w:tcPr>
          <w:p w:rsidR="003D7071" w:rsidRPr="00E12BDF" w:rsidRDefault="003D7071" w:rsidP="00351BDA">
            <w:pPr>
              <w:pStyle w:val="Tableheadingrow"/>
              <w:rPr>
                <w:lang w:val="en-AU"/>
              </w:rPr>
            </w:pPr>
            <w:r w:rsidRPr="00E12BDF">
              <w:rPr>
                <w:lang w:val="en-AU"/>
              </w:rPr>
              <w:t>Publication citation</w:t>
            </w:r>
          </w:p>
        </w:tc>
      </w:tr>
      <w:tr w:rsidR="003D7071" w:rsidRPr="00E12BDF" w:rsidTr="00351BDA">
        <w:tc>
          <w:tcPr>
            <w:tcW w:w="705" w:type="pct"/>
            <w:tcBorders>
              <w:bottom w:val="nil"/>
            </w:tcBorders>
          </w:tcPr>
          <w:p w:rsidR="003D7071" w:rsidRPr="00E12BDF" w:rsidRDefault="003D7071" w:rsidP="00351BDA">
            <w:pPr>
              <w:pStyle w:val="TableText"/>
            </w:pPr>
            <w:r w:rsidRPr="00E12BDF">
              <w:t>ATTR-ACT</w:t>
            </w:r>
          </w:p>
          <w:p w:rsidR="003D7071" w:rsidRPr="00E12BDF" w:rsidRDefault="003D7071" w:rsidP="00351BDA">
            <w:pPr>
              <w:pStyle w:val="TableText"/>
            </w:pPr>
            <w:r w:rsidRPr="00E12BDF">
              <w:t>(B3461028)</w:t>
            </w:r>
          </w:p>
          <w:p w:rsidR="003D7071" w:rsidRPr="00E12BDF" w:rsidRDefault="003D7071" w:rsidP="00351BDA">
            <w:pPr>
              <w:pStyle w:val="TableText"/>
            </w:pPr>
            <w:r w:rsidRPr="00E12BDF">
              <w:t xml:space="preserve">(NCT01994889) </w:t>
            </w:r>
          </w:p>
        </w:tc>
        <w:tc>
          <w:tcPr>
            <w:tcW w:w="2830" w:type="pct"/>
            <w:tcBorders>
              <w:bottom w:val="nil"/>
            </w:tcBorders>
          </w:tcPr>
          <w:p w:rsidR="003D7071" w:rsidRPr="00E12BDF" w:rsidRDefault="003D7071" w:rsidP="00351BDA">
            <w:pPr>
              <w:pStyle w:val="TableText"/>
              <w:spacing w:after="120"/>
              <w:rPr>
                <w:szCs w:val="18"/>
              </w:rPr>
            </w:pPr>
            <w:r w:rsidRPr="00E12BDF">
              <w:rPr>
                <w:szCs w:val="18"/>
              </w:rPr>
              <w:t xml:space="preserve">A </w:t>
            </w:r>
            <w:r w:rsidR="00E26C27" w:rsidRPr="00E12BDF">
              <w:rPr>
                <w:szCs w:val="18"/>
              </w:rPr>
              <w:t>multicentre</w:t>
            </w:r>
            <w:r w:rsidRPr="00E12BDF">
              <w:rPr>
                <w:szCs w:val="18"/>
              </w:rPr>
              <w:t>, international, phase 3, double-blind, placebo-controlled, randomized study to evaluate the efficacy, safety, and tolerability of daily oral dosing of tafamidis meglumine (PF-06291826) 20 mg or 80 mg in comparison to placebo in subjects diagnosed with transthyretin cardiomyopathy (TTR-CM).</w:t>
            </w:r>
          </w:p>
        </w:tc>
        <w:tc>
          <w:tcPr>
            <w:tcW w:w="1466" w:type="pct"/>
            <w:tcBorders>
              <w:bottom w:val="nil"/>
            </w:tcBorders>
          </w:tcPr>
          <w:p w:rsidR="003D7071" w:rsidRPr="00E12BDF" w:rsidRDefault="003D7071" w:rsidP="00351BDA">
            <w:pPr>
              <w:pStyle w:val="TableText"/>
              <w:spacing w:after="120"/>
            </w:pPr>
            <w:r w:rsidRPr="00E12BDF">
              <w:t>Report date: 28 August 2018</w:t>
            </w:r>
          </w:p>
        </w:tc>
      </w:tr>
      <w:tr w:rsidR="003D7071" w:rsidRPr="00E12BDF" w:rsidTr="00351BDA">
        <w:tc>
          <w:tcPr>
            <w:tcW w:w="705" w:type="pct"/>
            <w:tcBorders>
              <w:top w:val="nil"/>
              <w:bottom w:val="nil"/>
            </w:tcBorders>
          </w:tcPr>
          <w:p w:rsidR="003D7071" w:rsidRPr="00E12BDF" w:rsidRDefault="003D7071" w:rsidP="00351BDA">
            <w:pPr>
              <w:pStyle w:val="TableText"/>
            </w:pPr>
          </w:p>
        </w:tc>
        <w:tc>
          <w:tcPr>
            <w:tcW w:w="2830" w:type="pct"/>
            <w:tcBorders>
              <w:top w:val="nil"/>
              <w:bottom w:val="nil"/>
            </w:tcBorders>
          </w:tcPr>
          <w:p w:rsidR="003D7071" w:rsidRPr="00E12BDF" w:rsidRDefault="003D7071" w:rsidP="00351BDA">
            <w:pPr>
              <w:pStyle w:val="TableText"/>
              <w:spacing w:after="120"/>
              <w:rPr>
                <w:szCs w:val="18"/>
              </w:rPr>
            </w:pPr>
            <w:r w:rsidRPr="00E12BDF">
              <w:rPr>
                <w:szCs w:val="18"/>
              </w:rPr>
              <w:t xml:space="preserve">Maurer MS et al. Tafamidis treatment for patients with transthyretin amyloid cardiomyopathy. </w:t>
            </w:r>
          </w:p>
        </w:tc>
        <w:tc>
          <w:tcPr>
            <w:tcW w:w="1466" w:type="pct"/>
            <w:tcBorders>
              <w:top w:val="nil"/>
              <w:bottom w:val="nil"/>
            </w:tcBorders>
          </w:tcPr>
          <w:p w:rsidR="003D7071" w:rsidRPr="00E12BDF" w:rsidRDefault="003D7071" w:rsidP="00351BDA">
            <w:pPr>
              <w:pStyle w:val="TableText"/>
              <w:spacing w:after="120"/>
              <w:rPr>
                <w:szCs w:val="18"/>
              </w:rPr>
            </w:pPr>
            <w:r w:rsidRPr="00E12BDF">
              <w:rPr>
                <w:i/>
                <w:szCs w:val="18"/>
              </w:rPr>
              <w:t>New England Journal of Medicine</w:t>
            </w:r>
            <w:r w:rsidRPr="00E12BDF">
              <w:rPr>
                <w:szCs w:val="18"/>
              </w:rPr>
              <w:t>, 2018; 379(11): 1007-1016.</w:t>
            </w:r>
          </w:p>
        </w:tc>
      </w:tr>
      <w:tr w:rsidR="003D7071" w:rsidRPr="00E12BDF" w:rsidTr="00351BDA">
        <w:tc>
          <w:tcPr>
            <w:tcW w:w="705" w:type="pct"/>
            <w:tcBorders>
              <w:top w:val="nil"/>
              <w:bottom w:val="single" w:sz="4" w:space="0" w:color="auto"/>
            </w:tcBorders>
          </w:tcPr>
          <w:p w:rsidR="003D7071" w:rsidRPr="00E12BDF" w:rsidRDefault="003D7071" w:rsidP="00351BDA">
            <w:pPr>
              <w:pStyle w:val="TableText"/>
            </w:pPr>
          </w:p>
        </w:tc>
        <w:tc>
          <w:tcPr>
            <w:tcW w:w="2830" w:type="pct"/>
            <w:tcBorders>
              <w:top w:val="nil"/>
              <w:bottom w:val="single" w:sz="4" w:space="0" w:color="auto"/>
            </w:tcBorders>
          </w:tcPr>
          <w:p w:rsidR="003D7071" w:rsidRPr="00E12BDF" w:rsidRDefault="003D7071" w:rsidP="00351BDA">
            <w:pPr>
              <w:pStyle w:val="TableText"/>
              <w:spacing w:after="120"/>
              <w:rPr>
                <w:szCs w:val="18"/>
              </w:rPr>
            </w:pPr>
            <w:r w:rsidRPr="00E12BDF">
              <w:rPr>
                <w:szCs w:val="18"/>
              </w:rPr>
              <w:t>Grogan M et al. Efficacy of tafamidis in patients with hereditary or wild-type transthyretin amyloid cardiomyopathy: further results from the ATTR-ACT Trial. Journal of heart and lung transplantation, 2019, 38(4):S204.</w:t>
            </w:r>
          </w:p>
        </w:tc>
        <w:tc>
          <w:tcPr>
            <w:tcW w:w="1466" w:type="pct"/>
            <w:tcBorders>
              <w:top w:val="nil"/>
              <w:bottom w:val="single" w:sz="4" w:space="0" w:color="auto"/>
            </w:tcBorders>
          </w:tcPr>
          <w:p w:rsidR="003D7071" w:rsidRPr="00E12BDF" w:rsidRDefault="003D7071" w:rsidP="00351BDA">
            <w:pPr>
              <w:pStyle w:val="TableText"/>
              <w:spacing w:after="120"/>
              <w:rPr>
                <w:i/>
                <w:szCs w:val="18"/>
              </w:rPr>
            </w:pPr>
            <w:r w:rsidRPr="00E12BDF">
              <w:rPr>
                <w:i/>
                <w:szCs w:val="18"/>
              </w:rPr>
              <w:t>Journal of Heart and Lung Transplantation</w:t>
            </w:r>
            <w:r w:rsidRPr="00E12BDF">
              <w:rPr>
                <w:szCs w:val="18"/>
              </w:rPr>
              <w:t>, 2019, 38(4):S204.</w:t>
            </w:r>
          </w:p>
        </w:tc>
      </w:tr>
      <w:tr w:rsidR="003D7071" w:rsidRPr="00E12BDF" w:rsidTr="00351BDA">
        <w:tc>
          <w:tcPr>
            <w:tcW w:w="705" w:type="pct"/>
            <w:tcBorders>
              <w:top w:val="single" w:sz="4" w:space="0" w:color="auto"/>
              <w:bottom w:val="single" w:sz="4" w:space="0" w:color="auto"/>
            </w:tcBorders>
          </w:tcPr>
          <w:p w:rsidR="003D7071" w:rsidRPr="00E12BDF" w:rsidRDefault="003D7071" w:rsidP="00351BDA">
            <w:pPr>
              <w:pStyle w:val="TableText"/>
            </w:pPr>
            <w:r w:rsidRPr="00E12BDF">
              <w:t xml:space="preserve">B3461045 </w:t>
            </w:r>
          </w:p>
          <w:p w:rsidR="003D7071" w:rsidRPr="00E12BDF" w:rsidRDefault="003D7071" w:rsidP="00351BDA">
            <w:pPr>
              <w:pStyle w:val="TableText"/>
            </w:pPr>
            <w:r w:rsidRPr="00E12BDF">
              <w:t>(extension study)</w:t>
            </w:r>
          </w:p>
        </w:tc>
        <w:tc>
          <w:tcPr>
            <w:tcW w:w="2830" w:type="pct"/>
            <w:tcBorders>
              <w:top w:val="single" w:sz="4" w:space="0" w:color="auto"/>
              <w:bottom w:val="single" w:sz="4" w:space="0" w:color="auto"/>
            </w:tcBorders>
          </w:tcPr>
          <w:p w:rsidR="003D7071" w:rsidRPr="00E12BDF" w:rsidRDefault="003D7071" w:rsidP="00351BDA">
            <w:pPr>
              <w:pStyle w:val="TableText"/>
              <w:spacing w:after="120"/>
              <w:rPr>
                <w:szCs w:val="18"/>
              </w:rPr>
            </w:pPr>
            <w:r w:rsidRPr="00E12BDF">
              <w:rPr>
                <w:szCs w:val="18"/>
              </w:rPr>
              <w:t>Elliot P et al. Interim analysis of data from a long-term, extension trial of tafamidis meglumine in patients with transthyretin amyloid cardiomyopathy (ongoing).</w:t>
            </w:r>
          </w:p>
        </w:tc>
        <w:tc>
          <w:tcPr>
            <w:tcW w:w="1466" w:type="pct"/>
            <w:tcBorders>
              <w:top w:val="single" w:sz="4" w:space="0" w:color="auto"/>
              <w:bottom w:val="single" w:sz="4" w:space="0" w:color="auto"/>
            </w:tcBorders>
          </w:tcPr>
          <w:p w:rsidR="003D7071" w:rsidRPr="00E12BDF" w:rsidRDefault="003D7071" w:rsidP="00351BDA">
            <w:pPr>
              <w:pStyle w:val="TableText"/>
              <w:spacing w:after="120"/>
              <w:rPr>
                <w:i/>
                <w:szCs w:val="18"/>
              </w:rPr>
            </w:pPr>
            <w:r w:rsidRPr="00E12BDF">
              <w:rPr>
                <w:i/>
                <w:szCs w:val="18"/>
              </w:rPr>
              <w:t xml:space="preserve">European Heart Journal, </w:t>
            </w:r>
            <w:r w:rsidRPr="00E12BDF">
              <w:rPr>
                <w:szCs w:val="18"/>
              </w:rPr>
              <w:t>2019: 40(Supplement 1, October 2019), 1169.</w:t>
            </w:r>
          </w:p>
        </w:tc>
      </w:tr>
    </w:tbl>
    <w:p w:rsidR="003D7071" w:rsidRPr="00E12BDF" w:rsidRDefault="003D7071" w:rsidP="003D7071">
      <w:pPr>
        <w:pStyle w:val="TableFigureFooter"/>
        <w:rPr>
          <w:sz w:val="20"/>
        </w:rPr>
      </w:pPr>
      <w:r w:rsidRPr="00E12BDF">
        <w:t>Source: Table 2.2.1, p.47 of the submission.</w:t>
      </w:r>
    </w:p>
    <w:p w:rsidR="007F1017" w:rsidRPr="00E12BDF" w:rsidRDefault="008F120A" w:rsidP="00EC5836">
      <w:pPr>
        <w:pStyle w:val="ExecSumBodyText"/>
        <w:rPr>
          <w:color w:val="0066FF"/>
        </w:rPr>
      </w:pPr>
      <w:r w:rsidRPr="00E12BDF">
        <w:t xml:space="preserve">The key features of the </w:t>
      </w:r>
      <w:r w:rsidR="007C02A7" w:rsidRPr="00E12BDF">
        <w:t>trials</w:t>
      </w:r>
      <w:r w:rsidRPr="00E12BDF">
        <w:t xml:space="preserve"> are summarised in the table below.</w:t>
      </w:r>
      <w:r w:rsidR="00BC591F" w:rsidRPr="00E12BDF">
        <w:t xml:space="preserve"> </w:t>
      </w:r>
    </w:p>
    <w:p w:rsidR="007F1017" w:rsidRPr="00E12BDF" w:rsidRDefault="0023384B" w:rsidP="00230DB1">
      <w:pPr>
        <w:pStyle w:val="TableFigureCaption"/>
      </w:pPr>
      <w:r w:rsidRPr="00E12BDF">
        <w:t>Table 3</w:t>
      </w:r>
      <w:r w:rsidR="007F1017" w:rsidRPr="00E12BDF">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9"/>
        <w:gridCol w:w="1911"/>
        <w:gridCol w:w="1133"/>
        <w:gridCol w:w="693"/>
        <w:gridCol w:w="1546"/>
        <w:gridCol w:w="1448"/>
        <w:gridCol w:w="1367"/>
      </w:tblGrid>
      <w:tr w:rsidR="00B41614" w:rsidRPr="00E12BDF" w:rsidTr="0057793E">
        <w:trPr>
          <w:cantSplit/>
          <w:tblHeader/>
        </w:trPr>
        <w:tc>
          <w:tcPr>
            <w:tcW w:w="510" w:type="pct"/>
            <w:shd w:val="clear" w:color="auto" w:fill="auto"/>
            <w:vAlign w:val="center"/>
          </w:tcPr>
          <w:p w:rsidR="007F1017" w:rsidRPr="00E12BDF" w:rsidRDefault="007F1017" w:rsidP="001E34DF">
            <w:pPr>
              <w:pStyle w:val="Tableheadingrow"/>
              <w:rPr>
                <w:lang w:val="en-AU"/>
              </w:rPr>
            </w:pPr>
            <w:r w:rsidRPr="00E12BDF">
              <w:rPr>
                <w:lang w:val="en-AU"/>
              </w:rPr>
              <w:t>Trial</w:t>
            </w:r>
          </w:p>
        </w:tc>
        <w:tc>
          <w:tcPr>
            <w:tcW w:w="1060" w:type="pct"/>
            <w:shd w:val="clear" w:color="auto" w:fill="auto"/>
            <w:vAlign w:val="center"/>
          </w:tcPr>
          <w:p w:rsidR="007F1017" w:rsidRPr="00E12BDF" w:rsidRDefault="007F1017" w:rsidP="00EC5836">
            <w:pPr>
              <w:pStyle w:val="Tableheadingrow"/>
              <w:jc w:val="center"/>
              <w:rPr>
                <w:lang w:val="en-AU"/>
              </w:rPr>
            </w:pPr>
            <w:r w:rsidRPr="00E12BDF">
              <w:rPr>
                <w:lang w:val="en-AU"/>
              </w:rPr>
              <w:t>N</w:t>
            </w:r>
          </w:p>
        </w:tc>
        <w:tc>
          <w:tcPr>
            <w:tcW w:w="628" w:type="pct"/>
            <w:shd w:val="clear" w:color="auto" w:fill="auto"/>
            <w:vAlign w:val="center"/>
          </w:tcPr>
          <w:p w:rsidR="007F1017" w:rsidRPr="00E12BDF" w:rsidRDefault="007F1017" w:rsidP="00EC5836">
            <w:pPr>
              <w:pStyle w:val="Tableheadingrow"/>
              <w:jc w:val="center"/>
              <w:rPr>
                <w:lang w:val="en-AU"/>
              </w:rPr>
            </w:pPr>
            <w:r w:rsidRPr="00E12BDF">
              <w:rPr>
                <w:lang w:val="en-AU"/>
              </w:rPr>
              <w:t>Design/ duration</w:t>
            </w:r>
          </w:p>
        </w:tc>
        <w:tc>
          <w:tcPr>
            <w:tcW w:w="384" w:type="pct"/>
            <w:shd w:val="clear" w:color="auto" w:fill="auto"/>
            <w:vAlign w:val="center"/>
          </w:tcPr>
          <w:p w:rsidR="007F1017" w:rsidRPr="00E12BDF" w:rsidRDefault="007F1017" w:rsidP="00EC5836">
            <w:pPr>
              <w:pStyle w:val="Tableheadingrow"/>
              <w:jc w:val="center"/>
              <w:rPr>
                <w:lang w:val="en-AU"/>
              </w:rPr>
            </w:pPr>
            <w:r w:rsidRPr="00E12BDF">
              <w:rPr>
                <w:lang w:val="en-AU"/>
              </w:rPr>
              <w:t>Risk of bias</w:t>
            </w:r>
          </w:p>
        </w:tc>
        <w:tc>
          <w:tcPr>
            <w:tcW w:w="857" w:type="pct"/>
            <w:shd w:val="clear" w:color="auto" w:fill="auto"/>
            <w:vAlign w:val="center"/>
          </w:tcPr>
          <w:p w:rsidR="007F1017" w:rsidRPr="00E12BDF" w:rsidRDefault="007F1017" w:rsidP="00EC5836">
            <w:pPr>
              <w:pStyle w:val="Tableheadingrow"/>
              <w:jc w:val="center"/>
              <w:rPr>
                <w:lang w:val="en-AU"/>
              </w:rPr>
            </w:pPr>
            <w:r w:rsidRPr="00E12BDF">
              <w:rPr>
                <w:lang w:val="en-AU"/>
              </w:rPr>
              <w:t>Patient population</w:t>
            </w:r>
          </w:p>
        </w:tc>
        <w:tc>
          <w:tcPr>
            <w:tcW w:w="803" w:type="pct"/>
            <w:shd w:val="clear" w:color="auto" w:fill="auto"/>
            <w:vAlign w:val="center"/>
          </w:tcPr>
          <w:p w:rsidR="007F1017" w:rsidRPr="00E12BDF" w:rsidRDefault="00FF07CF" w:rsidP="00FF07CF">
            <w:pPr>
              <w:pStyle w:val="Tableheadingrow"/>
              <w:jc w:val="center"/>
              <w:rPr>
                <w:lang w:val="en-AU"/>
              </w:rPr>
            </w:pPr>
            <w:r w:rsidRPr="00E12BDF">
              <w:rPr>
                <w:lang w:val="en-AU"/>
              </w:rPr>
              <w:t>Outcome</w:t>
            </w:r>
            <w:r w:rsidR="007F1017" w:rsidRPr="00E12BDF">
              <w:rPr>
                <w:lang w:val="en-AU"/>
              </w:rPr>
              <w:t>s</w:t>
            </w:r>
          </w:p>
        </w:tc>
        <w:tc>
          <w:tcPr>
            <w:tcW w:w="758" w:type="pct"/>
            <w:shd w:val="clear" w:color="auto" w:fill="auto"/>
            <w:vAlign w:val="center"/>
          </w:tcPr>
          <w:p w:rsidR="007F1017" w:rsidRPr="00E12BDF" w:rsidRDefault="007F1017" w:rsidP="00EC5836">
            <w:pPr>
              <w:pStyle w:val="Tableheadingrow"/>
              <w:jc w:val="center"/>
              <w:rPr>
                <w:lang w:val="en-AU"/>
              </w:rPr>
            </w:pPr>
            <w:r w:rsidRPr="00E12BDF">
              <w:rPr>
                <w:lang w:val="en-AU"/>
              </w:rPr>
              <w:t>Use in modelled evaluation</w:t>
            </w:r>
          </w:p>
        </w:tc>
      </w:tr>
      <w:tr w:rsidR="00FF07CF" w:rsidRPr="00E12BDF" w:rsidTr="0057793E">
        <w:trPr>
          <w:cantSplit/>
        </w:trPr>
        <w:tc>
          <w:tcPr>
            <w:tcW w:w="510" w:type="pct"/>
            <w:shd w:val="clear" w:color="auto" w:fill="auto"/>
            <w:vAlign w:val="center"/>
          </w:tcPr>
          <w:p w:rsidR="00FF07CF" w:rsidRPr="00E12BDF" w:rsidRDefault="00FF07CF" w:rsidP="00FF07CF">
            <w:pPr>
              <w:pStyle w:val="TableText"/>
            </w:pPr>
            <w:r w:rsidRPr="00E12BDF">
              <w:t>ATTR-ACT</w:t>
            </w:r>
          </w:p>
        </w:tc>
        <w:tc>
          <w:tcPr>
            <w:tcW w:w="1060" w:type="pct"/>
            <w:shd w:val="clear" w:color="auto" w:fill="auto"/>
            <w:vAlign w:val="center"/>
          </w:tcPr>
          <w:p w:rsidR="00FF07CF" w:rsidRPr="00E12BDF" w:rsidRDefault="00FF07CF" w:rsidP="00FF07CF">
            <w:pPr>
              <w:pStyle w:val="TableText"/>
              <w:jc w:val="center"/>
            </w:pPr>
            <w:r w:rsidRPr="00E12BDF">
              <w:t xml:space="preserve">Tafamidis meglumine </w:t>
            </w:r>
            <w:r w:rsidRPr="00E12BDF">
              <w:br/>
              <w:t>20 mg (N=88);</w:t>
            </w:r>
          </w:p>
          <w:p w:rsidR="00FF07CF" w:rsidRPr="00E12BDF" w:rsidRDefault="00FF07CF" w:rsidP="00FF07CF">
            <w:pPr>
              <w:pStyle w:val="TableText"/>
              <w:jc w:val="center"/>
            </w:pPr>
            <w:r w:rsidRPr="00E12BDF">
              <w:t xml:space="preserve">Tafamidis meglumine </w:t>
            </w:r>
            <w:r w:rsidRPr="00E12BDF">
              <w:br/>
              <w:t>80 mg (N=176);</w:t>
            </w:r>
          </w:p>
          <w:p w:rsidR="00FF07CF" w:rsidRPr="00E12BDF" w:rsidRDefault="00FF07CF" w:rsidP="00FF07CF">
            <w:pPr>
              <w:pStyle w:val="TableText"/>
              <w:jc w:val="center"/>
            </w:pPr>
            <w:r w:rsidRPr="00E12BDF">
              <w:t>Placebo (N=177)</w:t>
            </w:r>
          </w:p>
        </w:tc>
        <w:tc>
          <w:tcPr>
            <w:tcW w:w="628" w:type="pct"/>
            <w:shd w:val="clear" w:color="auto" w:fill="auto"/>
            <w:vAlign w:val="center"/>
          </w:tcPr>
          <w:p w:rsidR="00FF07CF" w:rsidRPr="00E12BDF" w:rsidRDefault="00FF07CF" w:rsidP="00FF07CF">
            <w:pPr>
              <w:pStyle w:val="TableText"/>
              <w:jc w:val="center"/>
            </w:pPr>
            <w:r w:rsidRPr="00E12BDF">
              <w:t xml:space="preserve">R, DB, PC, MC, </w:t>
            </w:r>
          </w:p>
          <w:p w:rsidR="00091023" w:rsidRPr="00E12BDF" w:rsidRDefault="00FF07CF" w:rsidP="00091023">
            <w:pPr>
              <w:pStyle w:val="TableText"/>
              <w:jc w:val="center"/>
            </w:pPr>
            <w:r w:rsidRPr="00E12BDF">
              <w:t>30 months</w:t>
            </w:r>
            <w:r w:rsidR="00091023" w:rsidRPr="00E12BDF">
              <w:rPr>
                <w:vertAlign w:val="superscript"/>
              </w:rPr>
              <w:t>a</w:t>
            </w:r>
          </w:p>
        </w:tc>
        <w:tc>
          <w:tcPr>
            <w:tcW w:w="384" w:type="pct"/>
            <w:shd w:val="clear" w:color="auto" w:fill="auto"/>
            <w:vAlign w:val="center"/>
          </w:tcPr>
          <w:p w:rsidR="00FF07CF" w:rsidRPr="00E12BDF" w:rsidRDefault="00FF07CF" w:rsidP="00FF07CF">
            <w:pPr>
              <w:pStyle w:val="TableText"/>
              <w:jc w:val="center"/>
            </w:pPr>
            <w:r w:rsidRPr="00E12BDF">
              <w:t>Unclear</w:t>
            </w:r>
          </w:p>
        </w:tc>
        <w:tc>
          <w:tcPr>
            <w:tcW w:w="857" w:type="pct"/>
            <w:shd w:val="clear" w:color="auto" w:fill="auto"/>
            <w:vAlign w:val="center"/>
          </w:tcPr>
          <w:p w:rsidR="00FF07CF" w:rsidRPr="00E12BDF" w:rsidRDefault="00FF07CF" w:rsidP="00FF07CF">
            <w:pPr>
              <w:pStyle w:val="TableText"/>
              <w:jc w:val="center"/>
            </w:pPr>
            <w:r w:rsidRPr="00E12BDF">
              <w:t>18-90 years,</w:t>
            </w:r>
          </w:p>
          <w:p w:rsidR="00FF07CF" w:rsidRPr="00E12BDF" w:rsidRDefault="00FF07CF" w:rsidP="00091023">
            <w:pPr>
              <w:pStyle w:val="TableText"/>
              <w:jc w:val="center"/>
              <w:rPr>
                <w:vertAlign w:val="superscript"/>
              </w:rPr>
            </w:pPr>
            <w:r w:rsidRPr="00E12BDF">
              <w:t xml:space="preserve">ATTR-CM with cardiovascular involvement </w:t>
            </w:r>
            <w:r w:rsidR="00091023" w:rsidRPr="00E12BDF">
              <w:rPr>
                <w:vertAlign w:val="superscript"/>
              </w:rPr>
              <w:t>b</w:t>
            </w:r>
          </w:p>
        </w:tc>
        <w:tc>
          <w:tcPr>
            <w:tcW w:w="803" w:type="pct"/>
            <w:shd w:val="clear" w:color="auto" w:fill="auto"/>
            <w:vAlign w:val="center"/>
          </w:tcPr>
          <w:p w:rsidR="00FF07CF" w:rsidRPr="00E12BDF" w:rsidRDefault="00FF07CF" w:rsidP="00FF07CF">
            <w:pPr>
              <w:pStyle w:val="TableText"/>
              <w:jc w:val="center"/>
            </w:pPr>
            <w:r w:rsidRPr="00E12BDF">
              <w:t>All-cause mortality, cardiovascular mortality,</w:t>
            </w:r>
          </w:p>
          <w:p w:rsidR="00FF07CF" w:rsidRPr="00E12BDF" w:rsidRDefault="00FF07CF" w:rsidP="00FF07CF">
            <w:pPr>
              <w:pStyle w:val="TableText"/>
              <w:jc w:val="center"/>
            </w:pPr>
            <w:r w:rsidRPr="00E12BDF">
              <w:t>cardiovascular hospitalisation,</w:t>
            </w:r>
          </w:p>
          <w:p w:rsidR="00FF07CF" w:rsidRPr="00E12BDF" w:rsidRDefault="00FF07CF" w:rsidP="00FF07CF">
            <w:pPr>
              <w:pStyle w:val="TableText"/>
              <w:jc w:val="center"/>
            </w:pPr>
            <w:r w:rsidRPr="00E12BDF">
              <w:t xml:space="preserve">6MWT, </w:t>
            </w:r>
          </w:p>
          <w:p w:rsidR="00FF07CF" w:rsidRPr="00E12BDF" w:rsidRDefault="00FF07CF" w:rsidP="00FF07CF">
            <w:pPr>
              <w:pStyle w:val="TableText"/>
              <w:jc w:val="center"/>
            </w:pPr>
            <w:r w:rsidRPr="00E12BDF">
              <w:t>KCCQ-OS,</w:t>
            </w:r>
          </w:p>
          <w:p w:rsidR="00FF07CF" w:rsidRPr="00E12BDF" w:rsidRDefault="00FF07CF" w:rsidP="00FF07CF">
            <w:pPr>
              <w:pStyle w:val="TableText"/>
              <w:jc w:val="center"/>
            </w:pPr>
            <w:r w:rsidRPr="00E12BDF">
              <w:t>EQ-5D-3L</w:t>
            </w:r>
          </w:p>
        </w:tc>
        <w:tc>
          <w:tcPr>
            <w:tcW w:w="758" w:type="pct"/>
            <w:shd w:val="clear" w:color="auto" w:fill="auto"/>
            <w:vAlign w:val="center"/>
          </w:tcPr>
          <w:p w:rsidR="00FF07CF" w:rsidRPr="00E12BDF" w:rsidRDefault="00FF07CF" w:rsidP="00FF07CF">
            <w:pPr>
              <w:pStyle w:val="TableText"/>
              <w:jc w:val="center"/>
            </w:pPr>
            <w:r w:rsidRPr="00E12BDF">
              <w:t>All-cause mortality (best supportive care arm); cardiovascular hospitalisation; treatment discontinuation; utilities</w:t>
            </w:r>
          </w:p>
        </w:tc>
      </w:tr>
      <w:tr w:rsidR="00FF07CF" w:rsidRPr="00E12BDF" w:rsidTr="0057793E">
        <w:trPr>
          <w:cantSplit/>
        </w:trPr>
        <w:tc>
          <w:tcPr>
            <w:tcW w:w="510" w:type="pct"/>
            <w:shd w:val="clear" w:color="auto" w:fill="auto"/>
            <w:vAlign w:val="center"/>
          </w:tcPr>
          <w:p w:rsidR="00FF07CF" w:rsidRPr="00E12BDF" w:rsidRDefault="00FF07CF" w:rsidP="00FF07CF">
            <w:pPr>
              <w:pStyle w:val="TableText"/>
            </w:pPr>
            <w:r w:rsidRPr="00E12BDF">
              <w:t xml:space="preserve">B3461045 </w:t>
            </w:r>
          </w:p>
          <w:p w:rsidR="00FF07CF" w:rsidRPr="00E12BDF" w:rsidRDefault="00FF07CF" w:rsidP="00091023">
            <w:pPr>
              <w:pStyle w:val="TableText"/>
              <w:rPr>
                <w:vertAlign w:val="superscript"/>
              </w:rPr>
            </w:pPr>
            <w:r w:rsidRPr="00E12BDF">
              <w:t>(extension study)</w:t>
            </w:r>
            <w:r w:rsidR="00091023" w:rsidRPr="00E12BDF">
              <w:rPr>
                <w:vertAlign w:val="superscript"/>
              </w:rPr>
              <w:t>c</w:t>
            </w:r>
          </w:p>
        </w:tc>
        <w:tc>
          <w:tcPr>
            <w:tcW w:w="1060" w:type="pct"/>
            <w:shd w:val="clear" w:color="auto" w:fill="auto"/>
            <w:vAlign w:val="center"/>
          </w:tcPr>
          <w:p w:rsidR="00FF07CF" w:rsidRPr="00E12BDF" w:rsidRDefault="00FF07CF" w:rsidP="00FF07CF">
            <w:pPr>
              <w:pStyle w:val="TableText"/>
              <w:jc w:val="center"/>
            </w:pPr>
            <w:r w:rsidRPr="00E12BDF">
              <w:t>Continuing tafamidis (N=170);</w:t>
            </w:r>
          </w:p>
          <w:p w:rsidR="00FF07CF" w:rsidRPr="00E12BDF" w:rsidRDefault="00FF07CF" w:rsidP="00FF07CF">
            <w:pPr>
              <w:pStyle w:val="TableText"/>
              <w:jc w:val="center"/>
            </w:pPr>
            <w:r w:rsidRPr="00E12BDF">
              <w:t>Switch to tafamidis (N=82);</w:t>
            </w:r>
          </w:p>
        </w:tc>
        <w:tc>
          <w:tcPr>
            <w:tcW w:w="628" w:type="pct"/>
            <w:shd w:val="clear" w:color="auto" w:fill="auto"/>
            <w:vAlign w:val="center"/>
          </w:tcPr>
          <w:p w:rsidR="00FF07CF" w:rsidRPr="00E12BDF" w:rsidRDefault="00FF07CF" w:rsidP="00FF07CF">
            <w:pPr>
              <w:pStyle w:val="TableText"/>
              <w:jc w:val="center"/>
            </w:pPr>
            <w:r w:rsidRPr="00E12BDF">
              <w:t>30 months</w:t>
            </w:r>
            <w:r w:rsidR="00091023" w:rsidRPr="00E12BDF">
              <w:rPr>
                <w:vertAlign w:val="superscript"/>
              </w:rPr>
              <w:t>a</w:t>
            </w:r>
          </w:p>
          <w:p w:rsidR="00091023" w:rsidRPr="00E12BDF" w:rsidRDefault="00091023" w:rsidP="00FF07CF">
            <w:pPr>
              <w:pStyle w:val="TableText"/>
              <w:jc w:val="center"/>
            </w:pPr>
            <w:r w:rsidRPr="00E12BDF">
              <w:t>(ongoing)</w:t>
            </w:r>
          </w:p>
        </w:tc>
        <w:tc>
          <w:tcPr>
            <w:tcW w:w="384" w:type="pct"/>
            <w:shd w:val="clear" w:color="auto" w:fill="auto"/>
            <w:vAlign w:val="center"/>
          </w:tcPr>
          <w:p w:rsidR="00FF07CF" w:rsidRPr="00E12BDF" w:rsidRDefault="00FF07CF" w:rsidP="00FF07CF">
            <w:pPr>
              <w:pStyle w:val="TableText"/>
              <w:jc w:val="center"/>
            </w:pPr>
            <w:r w:rsidRPr="00E12BDF">
              <w:t>NK</w:t>
            </w:r>
          </w:p>
        </w:tc>
        <w:tc>
          <w:tcPr>
            <w:tcW w:w="857" w:type="pct"/>
            <w:shd w:val="clear" w:color="auto" w:fill="auto"/>
            <w:vAlign w:val="center"/>
          </w:tcPr>
          <w:p w:rsidR="00FF07CF" w:rsidRPr="00E12BDF" w:rsidRDefault="00FF07CF" w:rsidP="00FF07CF">
            <w:pPr>
              <w:pStyle w:val="TableText"/>
              <w:jc w:val="center"/>
            </w:pPr>
            <w:r w:rsidRPr="00E12BDF">
              <w:t>NR</w:t>
            </w:r>
          </w:p>
        </w:tc>
        <w:tc>
          <w:tcPr>
            <w:tcW w:w="803" w:type="pct"/>
            <w:shd w:val="clear" w:color="auto" w:fill="auto"/>
            <w:vAlign w:val="center"/>
          </w:tcPr>
          <w:p w:rsidR="00FF07CF" w:rsidRPr="00E12BDF" w:rsidRDefault="00FF07CF" w:rsidP="00FF07CF">
            <w:pPr>
              <w:pStyle w:val="TableText"/>
              <w:jc w:val="center"/>
            </w:pPr>
            <w:r w:rsidRPr="00E12BDF">
              <w:t>All-cause mortality, cardiovascular hospitalisation</w:t>
            </w:r>
          </w:p>
        </w:tc>
        <w:tc>
          <w:tcPr>
            <w:tcW w:w="758" w:type="pct"/>
            <w:shd w:val="clear" w:color="auto" w:fill="auto"/>
            <w:vAlign w:val="center"/>
          </w:tcPr>
          <w:p w:rsidR="00FF07CF" w:rsidRPr="00E12BDF" w:rsidRDefault="00FF07CF" w:rsidP="00FF07CF">
            <w:pPr>
              <w:pStyle w:val="TableText"/>
              <w:jc w:val="center"/>
              <w:rPr>
                <w:highlight w:val="yellow"/>
              </w:rPr>
            </w:pPr>
            <w:r w:rsidRPr="00E12BDF">
              <w:t>All-cause survival (tafamidis arm)</w:t>
            </w:r>
          </w:p>
        </w:tc>
      </w:tr>
    </w:tbl>
    <w:p w:rsidR="00045017" w:rsidRPr="00E12BDF" w:rsidRDefault="00045017" w:rsidP="00EC5836">
      <w:pPr>
        <w:pStyle w:val="TableFigureFooter"/>
      </w:pPr>
      <w:r w:rsidRPr="00E12BDF">
        <w:t xml:space="preserve">Source: </w:t>
      </w:r>
      <w:r w:rsidR="0057793E" w:rsidRPr="00E12BDF">
        <w:t>Section 2.4 of the sub</w:t>
      </w:r>
      <w:r w:rsidR="00936EFD" w:rsidRPr="00E12BDF">
        <w:t>m</w:t>
      </w:r>
      <w:r w:rsidR="0057793E" w:rsidRPr="00E12BDF">
        <w:t>ission</w:t>
      </w:r>
      <w:r w:rsidR="0023384B" w:rsidRPr="00E12BDF">
        <w:t>; Elliot (2019).</w:t>
      </w:r>
    </w:p>
    <w:p w:rsidR="00620C25" w:rsidRPr="00E12BDF" w:rsidRDefault="00936EFD" w:rsidP="00EC5836">
      <w:pPr>
        <w:pStyle w:val="TableFigureFooter"/>
      </w:pPr>
      <w:r w:rsidRPr="00E12BDF">
        <w:t xml:space="preserve">Abbreviations: </w:t>
      </w:r>
      <w:r w:rsidRPr="00E12BDF">
        <w:rPr>
          <w:szCs w:val="18"/>
        </w:rPr>
        <w:t>6MWT, six minute walk test;</w:t>
      </w:r>
      <w:r w:rsidRPr="00E12BDF">
        <w:t xml:space="preserve"> </w:t>
      </w:r>
      <w:r w:rsidRPr="00E12BDF">
        <w:rPr>
          <w:szCs w:val="18"/>
        </w:rPr>
        <w:t>ATTR-CM, transthyretin amyloid cardiomyopathy</w:t>
      </w:r>
      <w:r w:rsidRPr="00E12BDF">
        <w:t xml:space="preserve">; </w:t>
      </w:r>
      <w:r w:rsidR="00620C25" w:rsidRPr="00E12BDF">
        <w:t>DB</w:t>
      </w:r>
      <w:r w:rsidRPr="00E12BDF">
        <w:t xml:space="preserve">, </w:t>
      </w:r>
      <w:r w:rsidR="00620C25" w:rsidRPr="00E12BDF">
        <w:t xml:space="preserve">double blind; </w:t>
      </w:r>
      <w:r w:rsidRPr="00E12BDF">
        <w:rPr>
          <w:szCs w:val="18"/>
        </w:rPr>
        <w:t>EQ-5D, European quality of life 5 dimension questionnaire;</w:t>
      </w:r>
      <w:r w:rsidRPr="00E12BDF">
        <w:t xml:space="preserve"> </w:t>
      </w:r>
      <w:r w:rsidRPr="00E12BDF">
        <w:rPr>
          <w:szCs w:val="18"/>
        </w:rPr>
        <w:t xml:space="preserve">KCCQ, Kansas City Cardiomyopathy Questionnaire; </w:t>
      </w:r>
      <w:r w:rsidR="00620C25" w:rsidRPr="00E12BDF">
        <w:t>MC</w:t>
      </w:r>
      <w:r w:rsidRPr="00E12BDF">
        <w:t xml:space="preserve">, </w:t>
      </w:r>
      <w:r w:rsidR="00620C25" w:rsidRPr="00E12BDF">
        <w:t xml:space="preserve">multi-centre; </w:t>
      </w:r>
      <w:r w:rsidR="0023384B" w:rsidRPr="00E12BDF">
        <w:t xml:space="preserve">NK, not known; NR, not reported; </w:t>
      </w:r>
      <w:r w:rsidRPr="00E12BDF">
        <w:t xml:space="preserve">PC, placebo controlled; </w:t>
      </w:r>
      <w:r w:rsidR="00620C25" w:rsidRPr="00E12BDF">
        <w:t>R</w:t>
      </w:r>
      <w:r w:rsidRPr="00E12BDF">
        <w:t xml:space="preserve">, </w:t>
      </w:r>
      <w:r w:rsidR="00620C25" w:rsidRPr="00E12BDF">
        <w:t>randomised.</w:t>
      </w:r>
    </w:p>
    <w:p w:rsidR="00091023" w:rsidRPr="00E12BDF" w:rsidRDefault="00091023" w:rsidP="00EC5836">
      <w:pPr>
        <w:pStyle w:val="TableFigureFooter"/>
      </w:pPr>
      <w:r w:rsidRPr="00E12BDF">
        <w:rPr>
          <w:vertAlign w:val="superscript"/>
        </w:rPr>
        <w:t>a</w:t>
      </w:r>
      <w:r w:rsidRPr="00E12BDF">
        <w:t xml:space="preserve"> ATTR-ACT treatment phase duration. Median duration of follow up was not reported. The B3461045 extension study is intended to provide at least an additional 30 months of data, but is ongoing.</w:t>
      </w:r>
    </w:p>
    <w:p w:rsidR="007C02A7" w:rsidRPr="00E12BDF" w:rsidRDefault="00091023" w:rsidP="00EC5836">
      <w:pPr>
        <w:pStyle w:val="TableFigureFooter"/>
      </w:pPr>
      <w:r w:rsidRPr="00E12BDF">
        <w:rPr>
          <w:vertAlign w:val="superscript"/>
        </w:rPr>
        <w:t>b</w:t>
      </w:r>
      <w:r w:rsidRPr="00E12BDF">
        <w:t xml:space="preserve"> </w:t>
      </w:r>
      <w:r w:rsidR="007C02A7" w:rsidRPr="00E12BDF">
        <w:t>Evidence of cardiac involvement by echocardiography with an end-diastolic interventricular septal wall thickness ≥ 12 mm.</w:t>
      </w:r>
    </w:p>
    <w:p w:rsidR="007C02A7" w:rsidRPr="00E12BDF" w:rsidRDefault="00091023" w:rsidP="00EC5836">
      <w:pPr>
        <w:pStyle w:val="TableFigureFooter"/>
      </w:pPr>
      <w:r w:rsidRPr="00E12BDF">
        <w:rPr>
          <w:vertAlign w:val="superscript"/>
        </w:rPr>
        <w:t>c</w:t>
      </w:r>
      <w:r w:rsidRPr="00E12BDF">
        <w:t xml:space="preserve"> </w:t>
      </w:r>
      <w:r w:rsidR="007C02A7" w:rsidRPr="00E12BDF">
        <w:t>Study features based on preliminary results published in conference poster presentation, for patients continuing from ATTR-ACT.</w:t>
      </w:r>
    </w:p>
    <w:p w:rsidR="00091023" w:rsidRPr="00E12BDF" w:rsidRDefault="00091023" w:rsidP="00EC5836">
      <w:pPr>
        <w:pStyle w:val="TableFigureFooter"/>
      </w:pPr>
    </w:p>
    <w:p w:rsidR="00045017" w:rsidRPr="00E12BDF" w:rsidRDefault="00351BDA" w:rsidP="00C02608">
      <w:pPr>
        <w:pStyle w:val="ExecSumBodyText"/>
      </w:pPr>
      <w:r w:rsidRPr="00E12BDF">
        <w:t xml:space="preserve">The ATTR-ACT trial may be subject to attrition bias as larger proportions of patients allocated to the placebo arm of ATTR-ACT discontinued participation (30.5%) compared to patients allocated to tafamidis 80 mg (21.6%) and tafamidis 20 mg (15.9%), and larger proportions of patients discontinuing participation allocated to placebo (68.5%) were not explained (i.e. “no longer willing to participate”), compared to tafamidis 80 mg (44.7%) and tafamidis 20 mg (57.1%). Given no patients were lost to follow up at 30 months after randomisation, it </w:t>
      </w:r>
      <w:r w:rsidR="000A62B7" w:rsidRPr="00E12BDF">
        <w:t>was</w:t>
      </w:r>
      <w:r w:rsidRPr="00E12BDF">
        <w:t xml:space="preserve"> unclear if this impacted results. </w:t>
      </w:r>
      <w:r w:rsidR="00C02608" w:rsidRPr="00E12BDF">
        <w:t>The PSCR noted that attrition in the active treatment arm is common in trials of medications that are effective.</w:t>
      </w:r>
    </w:p>
    <w:p w:rsidR="007F1017" w:rsidRPr="00E12BDF" w:rsidRDefault="00351BDA" w:rsidP="00C02608">
      <w:pPr>
        <w:pStyle w:val="ExecSumBodyText"/>
      </w:pPr>
      <w:r w:rsidRPr="00E12BDF">
        <w:t>The ATTR-ACT trial included patients with a confirmed diagnosis of ATTRwt or ATTRm genotype ATTR-CM,</w:t>
      </w:r>
      <w:r w:rsidR="00C02608" w:rsidRPr="00E12BDF">
        <w:t xml:space="preserve"> based on biopsy results. The ESC noted that bone scintigraphy was not used in the ATTR-ACT trial for diagnosis, but that reasonable evidence </w:t>
      </w:r>
      <w:r w:rsidR="006C412C" w:rsidRPr="00E12BDF">
        <w:t xml:space="preserve">exists to </w:t>
      </w:r>
      <w:r w:rsidR="00C02608" w:rsidRPr="00E12BDF">
        <w:t xml:space="preserve">support bone scintigraphy </w:t>
      </w:r>
      <w:r w:rsidR="006C412C" w:rsidRPr="00E12BDF">
        <w:t>for this purpose</w:t>
      </w:r>
      <w:r w:rsidR="00C02608" w:rsidRPr="00E12BDF">
        <w:t>. Patients also required</w:t>
      </w:r>
      <w:r w:rsidRPr="00E12BDF">
        <w:t xml:space="preserve"> a history of </w:t>
      </w:r>
      <w:r w:rsidRPr="00E12BDF">
        <w:rPr>
          <w:rFonts w:cs="Calibri"/>
        </w:rPr>
        <w:t>one or more</w:t>
      </w:r>
      <w:r w:rsidRPr="00E12BDF">
        <w:t xml:space="preserve"> hospitalisations for heart failure, or clinical evidence of heart failure without hospitalisation that required treatment with a diuretic for improvement. Patients were required to demonstrate a serum NT-proBNP concentration ≥ 600 pg/mL, and be able to complete &gt; 100 metres on the 6 minute walk test at screening. Baseline demographic characteristics were similar between treatment arms, with a mean age of 73.3-75.2 years in a predominantly male (88.7-94.3%), Caucasian (77.3-85.2%) population. Patients with the ATTRwt genotype comprised approximately 75% of each treatment arm.</w:t>
      </w:r>
      <w:r w:rsidR="00407CA7">
        <w:t xml:space="preserve"> The PBAC noted that the clinical trial design had aimed to recruit at least 30% subjects with the ATTRm genotype.</w:t>
      </w:r>
    </w:p>
    <w:p w:rsidR="00351BDA" w:rsidRPr="00E12BDF" w:rsidRDefault="00407CA7" w:rsidP="00EC5836">
      <w:pPr>
        <w:pStyle w:val="ExecSumBodyText"/>
      </w:pPr>
      <w:r>
        <w:t xml:space="preserve">The </w:t>
      </w:r>
      <w:r w:rsidR="00A51E46">
        <w:t xml:space="preserve">PBAC considered that the </w:t>
      </w:r>
      <w:r>
        <w:t xml:space="preserve">ATTR-ACT trial may have been subject to selection bias. </w:t>
      </w:r>
      <w:r w:rsidR="00351BDA" w:rsidRPr="00E12BDF">
        <w:t>Smaller proportions of patients reported NYHA class III heart failure at baseline in the tafamidis 20 mg (26.1%) and 80 mg (31.3%) treatment arms (pooled 29.5%), compared to the placebo arm (35.6%), primarily in patients with the ATTRwt genotype (tafamidis 20 mg 15.9%; tafamidis 80 mg 19.9%; placebo 24.9%). The smaller proportions of patients in the tafamidis treatment arms with more severe NYHA class III heart failure at baseline compared to placebo, may have biased trial outcomes in favour of tafamidis.</w:t>
      </w:r>
    </w:p>
    <w:p w:rsidR="0038450C" w:rsidRPr="00E12BDF" w:rsidRDefault="0038450C" w:rsidP="00351BDA">
      <w:pPr>
        <w:pStyle w:val="ExecSumBodyText"/>
      </w:pPr>
      <w:r w:rsidRPr="00E12BDF">
        <w:t xml:space="preserve">The primary efficacy analysis in the ATTR-ACT trial was a </w:t>
      </w:r>
      <w:r w:rsidRPr="00E12BDF">
        <w:rPr>
          <w:color w:val="000000"/>
        </w:rPr>
        <w:t xml:space="preserve">Finkelstein-Schoenfeld prioritised pairwise comparison </w:t>
      </w:r>
      <w:r w:rsidRPr="00E12BDF">
        <w:t xml:space="preserve">(a generalisation of the Wilcoxon rank-sum test) </w:t>
      </w:r>
      <w:r w:rsidRPr="00E12BDF">
        <w:rPr>
          <w:color w:val="000000"/>
        </w:rPr>
        <w:t xml:space="preserve">of all-cause mortality and frequency of cardiovascular related hospitalisations. The analysis </w:t>
      </w:r>
      <w:r w:rsidR="00F9321C" w:rsidRPr="00E12BDF">
        <w:rPr>
          <w:color w:val="000000"/>
        </w:rPr>
        <w:t>was</w:t>
      </w:r>
      <w:r w:rsidRPr="00E12BDF">
        <w:rPr>
          <w:color w:val="000000"/>
        </w:rPr>
        <w:t xml:space="preserve"> based on </w:t>
      </w:r>
      <w:r w:rsidRPr="00E12BDF">
        <w:rPr>
          <w:lang w:eastAsia="nl-NL"/>
        </w:rPr>
        <w:t xml:space="preserve">hierarchical pairwise comparisons between all patients by strata (ATTRm and ATTRwt genotypes; NYHA class I + II and NYHA class III), first by all-cause mortality </w:t>
      </w:r>
      <w:r w:rsidR="00023CEB" w:rsidRPr="00E12BDF">
        <w:rPr>
          <w:lang w:eastAsia="nl-NL"/>
        </w:rPr>
        <w:t>(</w:t>
      </w:r>
      <w:r w:rsidRPr="00E12BDF">
        <w:rPr>
          <w:lang w:eastAsia="nl-NL"/>
        </w:rPr>
        <w:t>or duration of survival time if both dead</w:t>
      </w:r>
      <w:r w:rsidR="00023CEB" w:rsidRPr="00E12BDF">
        <w:rPr>
          <w:lang w:eastAsia="nl-NL"/>
        </w:rPr>
        <w:t>)</w:t>
      </w:r>
      <w:r w:rsidRPr="00E12BDF">
        <w:rPr>
          <w:lang w:eastAsia="nl-NL"/>
        </w:rPr>
        <w:t xml:space="preserve">, and then by </w:t>
      </w:r>
      <w:r w:rsidRPr="00E12BDF">
        <w:rPr>
          <w:color w:val="000000"/>
        </w:rPr>
        <w:t xml:space="preserve">cardiovascular related hospitalisations </w:t>
      </w:r>
      <w:r w:rsidR="00023CEB" w:rsidRPr="00E12BDF">
        <w:rPr>
          <w:color w:val="000000"/>
        </w:rPr>
        <w:t>(</w:t>
      </w:r>
      <w:r w:rsidRPr="00E12BDF">
        <w:rPr>
          <w:color w:val="000000"/>
        </w:rPr>
        <w:t>if both alive at 30 months</w:t>
      </w:r>
      <w:r w:rsidR="00023CEB" w:rsidRPr="00E12BDF">
        <w:rPr>
          <w:color w:val="000000"/>
        </w:rPr>
        <w:t>)</w:t>
      </w:r>
      <w:r w:rsidRPr="00E12BDF">
        <w:rPr>
          <w:color w:val="000000"/>
        </w:rPr>
        <w:t xml:space="preserve">. The result of each comparison </w:t>
      </w:r>
      <w:r w:rsidRPr="00E12BDF">
        <w:rPr>
          <w:lang w:eastAsia="nl-NL"/>
        </w:rPr>
        <w:t xml:space="preserve">assigns a score of +1 (better), 0 (no difference) or -1 (worse) based on one of six possible scenarios. Scores are summed overall and by strata, </w:t>
      </w:r>
      <w:r w:rsidR="00A67075" w:rsidRPr="00E12BDF">
        <w:rPr>
          <w:lang w:eastAsia="nl-NL"/>
        </w:rPr>
        <w:t>to</w:t>
      </w:r>
      <w:r w:rsidRPr="00E12BDF">
        <w:rPr>
          <w:lang w:eastAsia="nl-NL"/>
        </w:rPr>
        <w:t xml:space="preserve"> generate the test statistics (</w:t>
      </w:r>
      <w:r w:rsidRPr="00E12BDF">
        <w:t xml:space="preserve">i.e. </w:t>
      </w:r>
      <w:r w:rsidRPr="00E12BDF">
        <w:rPr>
          <w:lang w:eastAsia="nl-NL"/>
        </w:rPr>
        <w:t>p-values)</w:t>
      </w:r>
      <w:r w:rsidR="00A67075" w:rsidRPr="00E12BDF">
        <w:rPr>
          <w:lang w:eastAsia="nl-NL"/>
        </w:rPr>
        <w:t>.</w:t>
      </w:r>
      <w:r w:rsidRPr="00E12BDF">
        <w:t xml:space="preserve"> The use of the Finkelstein-Schoenfeld prioritised pairwise comparison provides a composite outcome in which a substantial treatment </w:t>
      </w:r>
      <w:r w:rsidRPr="00E12BDF">
        <w:lastRenderedPageBreak/>
        <w:t>difference in either or both of the included measures results in rejection of the null hypothesis</w:t>
      </w:r>
      <w:r w:rsidR="003431EA" w:rsidRPr="00E12BDF">
        <w:t xml:space="preserve"> (noting that the method</w:t>
      </w:r>
      <w:r w:rsidR="00C02608" w:rsidRPr="00E12BDF">
        <w:t xml:space="preserve"> provides prioritisation to all cause mortality</w:t>
      </w:r>
      <w:r w:rsidR="003431EA" w:rsidRPr="00E12BDF">
        <w:t>)</w:t>
      </w:r>
      <w:r w:rsidRPr="00E12BDF">
        <w:t xml:space="preserve"> and should be interpreted in conjunction with the results of the individual component outcomes.</w:t>
      </w:r>
      <w:r w:rsidR="00234F90" w:rsidRPr="00E12BDF">
        <w:t xml:space="preserve"> The ESC considered this </w:t>
      </w:r>
      <w:r w:rsidR="003431EA" w:rsidRPr="00E12BDF">
        <w:t xml:space="preserve">method of </w:t>
      </w:r>
      <w:r w:rsidR="00234F90" w:rsidRPr="00E12BDF">
        <w:t>analysis</w:t>
      </w:r>
      <w:r w:rsidR="003431EA" w:rsidRPr="00E12BDF">
        <w:t xml:space="preserve"> was</w:t>
      </w:r>
      <w:r w:rsidR="00234F90" w:rsidRPr="00E12BDF">
        <w:t xml:space="preserve"> valid and appropriate</w:t>
      </w:r>
      <w:r w:rsidR="003431EA" w:rsidRPr="00E12BDF">
        <w:t xml:space="preserve"> </w:t>
      </w:r>
      <w:r w:rsidR="00C13537" w:rsidRPr="00E12BDF">
        <w:t>in the context of a</w:t>
      </w:r>
      <w:r w:rsidR="003431EA" w:rsidRPr="00E12BDF">
        <w:t xml:space="preserve"> relatively small sample size</w:t>
      </w:r>
      <w:r w:rsidR="00A26458" w:rsidRPr="00E12BDF">
        <w:t>.</w:t>
      </w:r>
    </w:p>
    <w:p w:rsidR="00B60939" w:rsidRPr="00E12BDF" w:rsidRDefault="00B60939" w:rsidP="00EC5836">
      <w:pPr>
        <w:pStyle w:val="3-SubsectionHeading"/>
      </w:pPr>
      <w:bookmarkStart w:id="11" w:name="_Toc22897641"/>
      <w:bookmarkStart w:id="12" w:name="_Toc40868595"/>
      <w:r w:rsidRPr="00E12BDF">
        <w:t>Comparative effectiveness</w:t>
      </w:r>
      <w:bookmarkEnd w:id="11"/>
      <w:bookmarkEnd w:id="12"/>
    </w:p>
    <w:p w:rsidR="00351BDA" w:rsidRPr="00E12BDF" w:rsidRDefault="00E46290" w:rsidP="00E46290">
      <w:pPr>
        <w:pStyle w:val="ExecSumBodyText"/>
      </w:pPr>
      <w:r w:rsidRPr="00E12BDF">
        <w:t>Table 4 summarises time to all-cause mortality by tafamidis dose for the ATTR-ACT trial at 30 months (ITT). Figure 1 (below) show</w:t>
      </w:r>
      <w:r w:rsidR="00C73270" w:rsidRPr="00E12BDF">
        <w:t>s the</w:t>
      </w:r>
      <w:r w:rsidRPr="00E12BDF">
        <w:t xml:space="preserve"> Kaplan-Meier plots of time to all-cause mortality by tafamidis dose and pooled tafamidis treatment arms versus placebo.</w:t>
      </w:r>
    </w:p>
    <w:p w:rsidR="00E46290" w:rsidRPr="00E12BDF" w:rsidRDefault="0012339C" w:rsidP="00E46290">
      <w:pPr>
        <w:pStyle w:val="TableFigureCaption"/>
      </w:pPr>
      <w:r w:rsidRPr="00E12BDF">
        <w:t>Table 4</w:t>
      </w:r>
      <w:r w:rsidR="00E46290" w:rsidRPr="00E12BDF">
        <w:t>: Summary of all-cause mortality events for ATTR-ACT (ITT; randomisation to 30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710"/>
        <w:gridCol w:w="1710"/>
        <w:gridCol w:w="1710"/>
        <w:gridCol w:w="1470"/>
      </w:tblGrid>
      <w:tr w:rsidR="00E46290" w:rsidRPr="00E12BDF" w:rsidTr="00385258">
        <w:trPr>
          <w:tblHeader/>
        </w:trPr>
        <w:tc>
          <w:tcPr>
            <w:tcW w:w="1341" w:type="pct"/>
            <w:vAlign w:val="center"/>
          </w:tcPr>
          <w:p w:rsidR="00E46290" w:rsidRPr="00E12BDF" w:rsidRDefault="00E46290" w:rsidP="00F62870">
            <w:pPr>
              <w:pStyle w:val="Tableheadingrow"/>
              <w:tabs>
                <w:tab w:val="left" w:pos="175"/>
              </w:tabs>
              <w:rPr>
                <w:lang w:val="en-AU"/>
              </w:rPr>
            </w:pPr>
            <w:r w:rsidRPr="00E12BDF">
              <w:rPr>
                <w:lang w:val="en-AU"/>
              </w:rPr>
              <w:t>Events, n (%)</w:t>
            </w:r>
          </w:p>
        </w:tc>
        <w:tc>
          <w:tcPr>
            <w:tcW w:w="948" w:type="pct"/>
            <w:vAlign w:val="center"/>
          </w:tcPr>
          <w:p w:rsidR="00E46290" w:rsidRPr="00E12BDF" w:rsidRDefault="00E46290" w:rsidP="00F62870">
            <w:pPr>
              <w:pStyle w:val="Tableheadingrow"/>
              <w:jc w:val="center"/>
              <w:rPr>
                <w:szCs w:val="20"/>
                <w:lang w:val="en-AU"/>
              </w:rPr>
            </w:pPr>
            <w:r w:rsidRPr="00E12BDF">
              <w:rPr>
                <w:szCs w:val="20"/>
                <w:lang w:val="en-AU"/>
              </w:rPr>
              <w:t>Tafamidis 20 mg</w:t>
            </w:r>
          </w:p>
        </w:tc>
        <w:tc>
          <w:tcPr>
            <w:tcW w:w="948" w:type="pct"/>
            <w:vAlign w:val="center"/>
          </w:tcPr>
          <w:p w:rsidR="00E46290" w:rsidRPr="00E12BDF" w:rsidRDefault="00E46290" w:rsidP="00F62870">
            <w:pPr>
              <w:pStyle w:val="Tableheadingrow"/>
              <w:jc w:val="center"/>
              <w:rPr>
                <w:szCs w:val="20"/>
                <w:lang w:val="en-AU"/>
              </w:rPr>
            </w:pPr>
            <w:r w:rsidRPr="00E12BDF">
              <w:rPr>
                <w:szCs w:val="20"/>
                <w:lang w:val="en-AU"/>
              </w:rPr>
              <w:t>Tafamidis 80 mg</w:t>
            </w:r>
          </w:p>
        </w:tc>
        <w:tc>
          <w:tcPr>
            <w:tcW w:w="948" w:type="pct"/>
            <w:vAlign w:val="center"/>
          </w:tcPr>
          <w:p w:rsidR="00E46290" w:rsidRPr="00E12BDF" w:rsidRDefault="00E46290" w:rsidP="00F62870">
            <w:pPr>
              <w:pStyle w:val="Tableheadingrow"/>
              <w:jc w:val="center"/>
              <w:rPr>
                <w:szCs w:val="20"/>
                <w:lang w:val="en-AU"/>
              </w:rPr>
            </w:pPr>
            <w:r w:rsidRPr="00E12BDF">
              <w:rPr>
                <w:szCs w:val="20"/>
                <w:lang w:val="en-AU"/>
              </w:rPr>
              <w:t>Tafamidis pooled</w:t>
            </w:r>
          </w:p>
        </w:tc>
        <w:tc>
          <w:tcPr>
            <w:tcW w:w="815" w:type="pct"/>
            <w:vAlign w:val="center"/>
          </w:tcPr>
          <w:p w:rsidR="00E46290" w:rsidRPr="00E12BDF" w:rsidRDefault="00E46290" w:rsidP="00F62870">
            <w:pPr>
              <w:pStyle w:val="Tableheadingrow"/>
              <w:jc w:val="center"/>
              <w:rPr>
                <w:szCs w:val="20"/>
                <w:lang w:val="en-AU"/>
              </w:rPr>
            </w:pPr>
            <w:r w:rsidRPr="00E12BDF">
              <w:rPr>
                <w:szCs w:val="20"/>
                <w:lang w:val="en-AU"/>
              </w:rPr>
              <w:t>Placebo</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N</w:t>
            </w:r>
          </w:p>
        </w:tc>
        <w:tc>
          <w:tcPr>
            <w:tcW w:w="948" w:type="pct"/>
            <w:vAlign w:val="center"/>
          </w:tcPr>
          <w:p w:rsidR="00E46290" w:rsidRPr="00E12BDF" w:rsidRDefault="00E46290" w:rsidP="00F62870">
            <w:pPr>
              <w:pStyle w:val="TableText"/>
              <w:jc w:val="center"/>
              <w:rPr>
                <w:szCs w:val="20"/>
              </w:rPr>
            </w:pPr>
            <w:r w:rsidRPr="00E12BDF">
              <w:rPr>
                <w:szCs w:val="20"/>
              </w:rPr>
              <w:t>88</w:t>
            </w:r>
          </w:p>
        </w:tc>
        <w:tc>
          <w:tcPr>
            <w:tcW w:w="948" w:type="pct"/>
            <w:vAlign w:val="center"/>
          </w:tcPr>
          <w:p w:rsidR="00E46290" w:rsidRPr="00E12BDF" w:rsidRDefault="00E46290" w:rsidP="00F62870">
            <w:pPr>
              <w:pStyle w:val="TableText"/>
              <w:jc w:val="center"/>
              <w:rPr>
                <w:szCs w:val="20"/>
              </w:rPr>
            </w:pPr>
            <w:r w:rsidRPr="00E12BDF">
              <w:rPr>
                <w:szCs w:val="20"/>
              </w:rPr>
              <w:t>176</w:t>
            </w:r>
          </w:p>
        </w:tc>
        <w:tc>
          <w:tcPr>
            <w:tcW w:w="948" w:type="pct"/>
            <w:vAlign w:val="center"/>
          </w:tcPr>
          <w:p w:rsidR="00E46290" w:rsidRPr="00E12BDF" w:rsidRDefault="00E46290" w:rsidP="00F62870">
            <w:pPr>
              <w:pStyle w:val="TableText"/>
              <w:jc w:val="center"/>
              <w:rPr>
                <w:szCs w:val="20"/>
              </w:rPr>
            </w:pPr>
            <w:r w:rsidRPr="00E12BDF">
              <w:rPr>
                <w:szCs w:val="20"/>
              </w:rPr>
              <w:t>264</w:t>
            </w:r>
          </w:p>
        </w:tc>
        <w:tc>
          <w:tcPr>
            <w:tcW w:w="815" w:type="pct"/>
            <w:vAlign w:val="center"/>
          </w:tcPr>
          <w:p w:rsidR="00E46290" w:rsidRPr="00E12BDF" w:rsidRDefault="00E46290" w:rsidP="00F62870">
            <w:pPr>
              <w:pStyle w:val="TableText"/>
              <w:jc w:val="center"/>
              <w:rPr>
                <w:szCs w:val="20"/>
              </w:rPr>
            </w:pPr>
            <w:r w:rsidRPr="00E12BDF">
              <w:rPr>
                <w:szCs w:val="20"/>
              </w:rPr>
              <w:t>177</w:t>
            </w:r>
          </w:p>
        </w:tc>
      </w:tr>
      <w:tr w:rsidR="00E46290" w:rsidRPr="00E12BDF" w:rsidTr="00385258">
        <w:tc>
          <w:tcPr>
            <w:tcW w:w="1341" w:type="pct"/>
            <w:vAlign w:val="center"/>
          </w:tcPr>
          <w:p w:rsidR="00E46290" w:rsidRPr="00E12BDF" w:rsidRDefault="00E46290" w:rsidP="00F62870">
            <w:pPr>
              <w:pStyle w:val="TableText"/>
              <w:tabs>
                <w:tab w:val="left" w:pos="175"/>
              </w:tabs>
              <w:rPr>
                <w:vertAlign w:val="superscript"/>
              </w:rPr>
            </w:pPr>
            <w:r w:rsidRPr="00E12BDF">
              <w:t>All-cause mortality events</w:t>
            </w:r>
            <w:r w:rsidRPr="00E12BDF">
              <w:rPr>
                <w:vertAlign w:val="superscript"/>
              </w:rPr>
              <w:t>a</w:t>
            </w:r>
          </w:p>
        </w:tc>
        <w:tc>
          <w:tcPr>
            <w:tcW w:w="948" w:type="pct"/>
          </w:tcPr>
          <w:p w:rsidR="00E46290" w:rsidRPr="00E12BDF" w:rsidRDefault="00E46290" w:rsidP="00F62870">
            <w:pPr>
              <w:pStyle w:val="TableText"/>
              <w:jc w:val="center"/>
              <w:rPr>
                <w:rFonts w:eastAsia="Times New Roman"/>
                <w:color w:val="000000"/>
                <w:szCs w:val="20"/>
              </w:rPr>
            </w:pPr>
            <w:r w:rsidRPr="00E12BDF">
              <w:rPr>
                <w:rFonts w:eastAsia="Times New Roman"/>
                <w:color w:val="000000"/>
                <w:szCs w:val="20"/>
              </w:rPr>
              <w:t>24 (27.3%)</w:t>
            </w:r>
          </w:p>
        </w:tc>
        <w:tc>
          <w:tcPr>
            <w:tcW w:w="948" w:type="pct"/>
          </w:tcPr>
          <w:p w:rsidR="00E46290" w:rsidRPr="00E12BDF" w:rsidRDefault="00E46290" w:rsidP="00F62870">
            <w:pPr>
              <w:pStyle w:val="TableText"/>
              <w:jc w:val="center"/>
              <w:rPr>
                <w:rFonts w:eastAsia="Times New Roman"/>
                <w:color w:val="000000"/>
                <w:szCs w:val="20"/>
              </w:rPr>
            </w:pPr>
            <w:r w:rsidRPr="00E12BDF">
              <w:rPr>
                <w:rFonts w:eastAsia="Times New Roman"/>
                <w:color w:val="000000"/>
                <w:szCs w:val="20"/>
              </w:rPr>
              <w:t>54 (30.7%)</w:t>
            </w:r>
          </w:p>
        </w:tc>
        <w:tc>
          <w:tcPr>
            <w:tcW w:w="948" w:type="pct"/>
          </w:tcPr>
          <w:p w:rsidR="00E46290" w:rsidRPr="00E12BDF" w:rsidRDefault="00E46290" w:rsidP="00F62870">
            <w:pPr>
              <w:pStyle w:val="TableText"/>
              <w:jc w:val="center"/>
              <w:rPr>
                <w:rFonts w:eastAsia="Times New Roman"/>
                <w:color w:val="000000"/>
                <w:szCs w:val="20"/>
              </w:rPr>
            </w:pPr>
            <w:r w:rsidRPr="00E12BDF">
              <w:rPr>
                <w:rFonts w:eastAsia="Times New Roman"/>
                <w:color w:val="000000"/>
                <w:szCs w:val="20"/>
              </w:rPr>
              <w:t>78 (29.5%)</w:t>
            </w:r>
          </w:p>
        </w:tc>
        <w:tc>
          <w:tcPr>
            <w:tcW w:w="815" w:type="pct"/>
          </w:tcPr>
          <w:p w:rsidR="00E46290" w:rsidRPr="00E12BDF" w:rsidRDefault="00E46290" w:rsidP="00F62870">
            <w:pPr>
              <w:pStyle w:val="TableText"/>
              <w:jc w:val="center"/>
              <w:rPr>
                <w:rFonts w:eastAsia="Times New Roman"/>
                <w:color w:val="000000"/>
                <w:szCs w:val="20"/>
              </w:rPr>
            </w:pPr>
            <w:r w:rsidRPr="00E12BDF">
              <w:rPr>
                <w:rFonts w:eastAsia="Times New Roman"/>
                <w:color w:val="000000"/>
                <w:szCs w:val="20"/>
              </w:rPr>
              <w:t>76 (42.9%)</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Total deaths</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23 (26.1%)</w:t>
            </w:r>
          </w:p>
        </w:tc>
        <w:tc>
          <w:tcPr>
            <w:tcW w:w="948" w:type="pct"/>
            <w:shd w:val="clear" w:color="auto" w:fill="auto"/>
          </w:tcPr>
          <w:p w:rsidR="00E46290" w:rsidRPr="00E12BDF" w:rsidRDefault="00E46290" w:rsidP="00F62870">
            <w:pPr>
              <w:pStyle w:val="TableText"/>
              <w:jc w:val="center"/>
              <w:rPr>
                <w:szCs w:val="20"/>
                <w:vertAlign w:val="superscript"/>
              </w:rPr>
            </w:pPr>
            <w:r w:rsidRPr="00E12BDF">
              <w:rPr>
                <w:rFonts w:eastAsia="Times New Roman"/>
                <w:color w:val="000000"/>
                <w:szCs w:val="20"/>
              </w:rPr>
              <w:t>46 (26.1%)</w:t>
            </w:r>
          </w:p>
        </w:tc>
        <w:tc>
          <w:tcPr>
            <w:tcW w:w="948" w:type="pct"/>
            <w:shd w:val="clear" w:color="auto" w:fill="auto"/>
          </w:tcPr>
          <w:p w:rsidR="00E46290" w:rsidRPr="00E12BDF" w:rsidRDefault="00E46290" w:rsidP="00F62870">
            <w:pPr>
              <w:pStyle w:val="TableText"/>
              <w:jc w:val="center"/>
              <w:rPr>
                <w:szCs w:val="20"/>
              </w:rPr>
            </w:pPr>
            <w:r w:rsidRPr="00E12BDF">
              <w:rPr>
                <w:rFonts w:eastAsia="Times New Roman"/>
                <w:color w:val="000000"/>
                <w:szCs w:val="20"/>
              </w:rPr>
              <w:t>69 (26.1%)</w:t>
            </w:r>
          </w:p>
        </w:tc>
        <w:tc>
          <w:tcPr>
            <w:tcW w:w="815" w:type="pct"/>
          </w:tcPr>
          <w:p w:rsidR="00E46290" w:rsidRPr="00E12BDF" w:rsidRDefault="00E46290" w:rsidP="00F62870">
            <w:pPr>
              <w:pStyle w:val="TableText"/>
              <w:jc w:val="center"/>
              <w:rPr>
                <w:szCs w:val="20"/>
              </w:rPr>
            </w:pPr>
            <w:r w:rsidRPr="00E12BDF">
              <w:rPr>
                <w:rFonts w:eastAsia="Times New Roman"/>
                <w:color w:val="000000"/>
                <w:szCs w:val="20"/>
              </w:rPr>
              <w:t>72 (40.7%)</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Heart transplants</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1 (1.1%)</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6 (3.4%)</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7 (2.7%)</w:t>
            </w:r>
          </w:p>
        </w:tc>
        <w:tc>
          <w:tcPr>
            <w:tcW w:w="815" w:type="pct"/>
          </w:tcPr>
          <w:p w:rsidR="00E46290" w:rsidRPr="00E12BDF" w:rsidRDefault="00E46290" w:rsidP="00F62870">
            <w:pPr>
              <w:pStyle w:val="TableText"/>
              <w:jc w:val="center"/>
              <w:rPr>
                <w:szCs w:val="20"/>
              </w:rPr>
            </w:pPr>
            <w:r w:rsidRPr="00E12BDF">
              <w:rPr>
                <w:rFonts w:eastAsia="Times New Roman"/>
                <w:color w:val="000000"/>
                <w:szCs w:val="20"/>
              </w:rPr>
              <w:t>4 (2.3%)</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Cardiac device implants</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0</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2 (1.1%)</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2 (0.8%)</w:t>
            </w:r>
          </w:p>
        </w:tc>
        <w:tc>
          <w:tcPr>
            <w:tcW w:w="815" w:type="pct"/>
          </w:tcPr>
          <w:p w:rsidR="00E46290" w:rsidRPr="00E12BDF" w:rsidRDefault="00E46290" w:rsidP="00F62870">
            <w:pPr>
              <w:pStyle w:val="TableText"/>
              <w:jc w:val="center"/>
              <w:rPr>
                <w:szCs w:val="20"/>
              </w:rPr>
            </w:pPr>
            <w:r w:rsidRPr="00E12BDF">
              <w:rPr>
                <w:rFonts w:eastAsia="Times New Roman"/>
                <w:color w:val="000000"/>
                <w:szCs w:val="20"/>
              </w:rPr>
              <w:t>0</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Censored</w:t>
            </w:r>
            <w:r w:rsidRPr="00E12BDF">
              <w:rPr>
                <w:vertAlign w:val="superscript"/>
              </w:rPr>
              <w:t>b</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64 (72.7%)</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122 (69.3%)</w:t>
            </w:r>
          </w:p>
        </w:tc>
        <w:tc>
          <w:tcPr>
            <w:tcW w:w="948" w:type="pct"/>
          </w:tcPr>
          <w:p w:rsidR="00E46290" w:rsidRPr="00E12BDF" w:rsidRDefault="00E46290" w:rsidP="00F62870">
            <w:pPr>
              <w:pStyle w:val="TableText"/>
              <w:jc w:val="center"/>
              <w:rPr>
                <w:szCs w:val="20"/>
              </w:rPr>
            </w:pPr>
            <w:r w:rsidRPr="00E12BDF">
              <w:rPr>
                <w:rFonts w:eastAsia="Times New Roman"/>
                <w:color w:val="000000"/>
                <w:szCs w:val="20"/>
              </w:rPr>
              <w:t>186 (70.5%)</w:t>
            </w:r>
          </w:p>
        </w:tc>
        <w:tc>
          <w:tcPr>
            <w:tcW w:w="815" w:type="pct"/>
          </w:tcPr>
          <w:p w:rsidR="00E46290" w:rsidRPr="00E12BDF" w:rsidRDefault="00E46290" w:rsidP="00F62870">
            <w:pPr>
              <w:pStyle w:val="TableText"/>
              <w:jc w:val="center"/>
              <w:rPr>
                <w:szCs w:val="20"/>
              </w:rPr>
            </w:pPr>
            <w:r w:rsidRPr="00E12BDF">
              <w:rPr>
                <w:rFonts w:eastAsia="Times New Roman"/>
                <w:color w:val="000000"/>
                <w:szCs w:val="20"/>
              </w:rPr>
              <w:t>101 (57.1%)</w:t>
            </w:r>
          </w:p>
        </w:tc>
      </w:tr>
      <w:tr w:rsidR="00E46290" w:rsidRPr="00E12BDF" w:rsidTr="00385258">
        <w:tc>
          <w:tcPr>
            <w:tcW w:w="5000" w:type="pct"/>
            <w:gridSpan w:val="5"/>
            <w:vAlign w:val="center"/>
          </w:tcPr>
          <w:p w:rsidR="00E46290" w:rsidRPr="00E12BDF" w:rsidRDefault="00E46290" w:rsidP="00F62870">
            <w:pPr>
              <w:pStyle w:val="TableText"/>
              <w:ind w:left="-75" w:right="-85"/>
              <w:rPr>
                <w:szCs w:val="20"/>
              </w:rPr>
            </w:pPr>
            <w:r w:rsidRPr="00E12BDF">
              <w:t>Kaplan-Meier estimates of time to event (months) by Quartiles (95% CI)</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 xml:space="preserve">25% </w:t>
            </w:r>
          </w:p>
        </w:tc>
        <w:tc>
          <w:tcPr>
            <w:tcW w:w="948" w:type="pct"/>
            <w:vAlign w:val="center"/>
          </w:tcPr>
          <w:p w:rsidR="00E46290" w:rsidRPr="00E12BDF" w:rsidRDefault="00E46290" w:rsidP="00F62870">
            <w:pPr>
              <w:pStyle w:val="TableText"/>
              <w:ind w:left="-75" w:right="-85"/>
              <w:jc w:val="center"/>
              <w:rPr>
                <w:szCs w:val="20"/>
              </w:rPr>
            </w:pPr>
            <w:r w:rsidRPr="00E12BDF">
              <w:rPr>
                <w:szCs w:val="20"/>
              </w:rPr>
              <w:t>26.0 (14.5, NE)</w:t>
            </w:r>
          </w:p>
        </w:tc>
        <w:tc>
          <w:tcPr>
            <w:tcW w:w="948" w:type="pct"/>
            <w:vAlign w:val="center"/>
          </w:tcPr>
          <w:p w:rsidR="00E46290" w:rsidRPr="00E12BDF" w:rsidRDefault="00E46290" w:rsidP="00F62870">
            <w:pPr>
              <w:pStyle w:val="TableText"/>
              <w:ind w:left="-75" w:right="-85"/>
              <w:jc w:val="center"/>
              <w:rPr>
                <w:szCs w:val="20"/>
              </w:rPr>
            </w:pPr>
            <w:r w:rsidRPr="00E12BDF">
              <w:rPr>
                <w:szCs w:val="20"/>
              </w:rPr>
              <w:t>24.6 (18.6, NE)</w:t>
            </w:r>
          </w:p>
        </w:tc>
        <w:tc>
          <w:tcPr>
            <w:tcW w:w="948" w:type="pct"/>
            <w:vAlign w:val="center"/>
          </w:tcPr>
          <w:p w:rsidR="00E46290" w:rsidRPr="00E12BDF" w:rsidRDefault="00E46290" w:rsidP="00F62870">
            <w:pPr>
              <w:pStyle w:val="TableText"/>
              <w:ind w:left="-75" w:right="-85"/>
              <w:jc w:val="center"/>
              <w:rPr>
                <w:szCs w:val="20"/>
              </w:rPr>
            </w:pPr>
            <w:r w:rsidRPr="00E12BDF">
              <w:rPr>
                <w:szCs w:val="20"/>
              </w:rPr>
              <w:t>25.9 (19.8, NE)</w:t>
            </w:r>
          </w:p>
        </w:tc>
        <w:tc>
          <w:tcPr>
            <w:tcW w:w="815" w:type="pct"/>
            <w:vAlign w:val="center"/>
          </w:tcPr>
          <w:p w:rsidR="00E46290" w:rsidRPr="00E12BDF" w:rsidRDefault="00E46290" w:rsidP="00F62870">
            <w:pPr>
              <w:pStyle w:val="TableText"/>
              <w:ind w:left="-75" w:right="-85"/>
              <w:jc w:val="center"/>
              <w:rPr>
                <w:szCs w:val="20"/>
              </w:rPr>
            </w:pPr>
            <w:r w:rsidRPr="00E12BDF">
              <w:rPr>
                <w:szCs w:val="20"/>
              </w:rPr>
              <w:t>20.9 (17.1, 23.0)</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 xml:space="preserve">50% </w:t>
            </w:r>
          </w:p>
        </w:tc>
        <w:tc>
          <w:tcPr>
            <w:tcW w:w="948" w:type="pct"/>
            <w:vAlign w:val="center"/>
          </w:tcPr>
          <w:p w:rsidR="00E46290" w:rsidRPr="00E12BDF" w:rsidRDefault="00E46290" w:rsidP="00F62870">
            <w:pPr>
              <w:pStyle w:val="TableText"/>
              <w:ind w:left="-75" w:right="-85"/>
              <w:jc w:val="center"/>
              <w:rPr>
                <w:szCs w:val="20"/>
              </w:rPr>
            </w:pPr>
            <w:r w:rsidRPr="00E12BDF">
              <w:rPr>
                <w:szCs w:val="20"/>
              </w:rPr>
              <w:t>NE</w:t>
            </w:r>
          </w:p>
        </w:tc>
        <w:tc>
          <w:tcPr>
            <w:tcW w:w="948" w:type="pct"/>
            <w:vAlign w:val="center"/>
          </w:tcPr>
          <w:p w:rsidR="00E46290" w:rsidRPr="00E12BDF" w:rsidRDefault="00E46290" w:rsidP="00F62870">
            <w:pPr>
              <w:pStyle w:val="TableText"/>
              <w:ind w:left="-75" w:right="-85"/>
              <w:jc w:val="center"/>
              <w:rPr>
                <w:szCs w:val="20"/>
              </w:rPr>
            </w:pPr>
            <w:r w:rsidRPr="00E12BDF">
              <w:rPr>
                <w:szCs w:val="20"/>
              </w:rPr>
              <w:t>NE</w:t>
            </w:r>
          </w:p>
        </w:tc>
        <w:tc>
          <w:tcPr>
            <w:tcW w:w="948" w:type="pct"/>
            <w:vAlign w:val="center"/>
          </w:tcPr>
          <w:p w:rsidR="00E46290" w:rsidRPr="00E12BDF" w:rsidRDefault="00E46290" w:rsidP="00F62870">
            <w:pPr>
              <w:pStyle w:val="TableText"/>
              <w:ind w:left="-75" w:right="-85"/>
              <w:jc w:val="center"/>
              <w:rPr>
                <w:b/>
                <w:szCs w:val="20"/>
              </w:rPr>
            </w:pPr>
            <w:r w:rsidRPr="00E12BDF">
              <w:rPr>
                <w:szCs w:val="20"/>
              </w:rPr>
              <w:t>NE</w:t>
            </w:r>
          </w:p>
        </w:tc>
        <w:tc>
          <w:tcPr>
            <w:tcW w:w="815" w:type="pct"/>
            <w:vAlign w:val="center"/>
          </w:tcPr>
          <w:p w:rsidR="00E46290" w:rsidRPr="00E12BDF" w:rsidRDefault="00E46290" w:rsidP="00F62870">
            <w:pPr>
              <w:pStyle w:val="TableText"/>
              <w:ind w:left="-75" w:right="-85"/>
              <w:jc w:val="center"/>
              <w:rPr>
                <w:szCs w:val="20"/>
              </w:rPr>
            </w:pPr>
            <w:r w:rsidRPr="00E12BDF">
              <w:rPr>
                <w:szCs w:val="20"/>
              </w:rPr>
              <w:t>NE (29.7, NE)</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ab/>
              <w:t>75%</w:t>
            </w:r>
          </w:p>
        </w:tc>
        <w:tc>
          <w:tcPr>
            <w:tcW w:w="948" w:type="pct"/>
            <w:vAlign w:val="center"/>
          </w:tcPr>
          <w:p w:rsidR="00E46290" w:rsidRPr="00E12BDF" w:rsidRDefault="00E46290" w:rsidP="00F62870">
            <w:pPr>
              <w:pStyle w:val="TableText"/>
              <w:ind w:left="-75" w:right="-85"/>
              <w:jc w:val="center"/>
              <w:rPr>
                <w:szCs w:val="20"/>
              </w:rPr>
            </w:pPr>
            <w:r w:rsidRPr="00E12BDF">
              <w:rPr>
                <w:szCs w:val="20"/>
              </w:rPr>
              <w:t>NE</w:t>
            </w:r>
          </w:p>
        </w:tc>
        <w:tc>
          <w:tcPr>
            <w:tcW w:w="948" w:type="pct"/>
            <w:vAlign w:val="center"/>
          </w:tcPr>
          <w:p w:rsidR="00E46290" w:rsidRPr="00E12BDF" w:rsidRDefault="00E46290" w:rsidP="00F62870">
            <w:pPr>
              <w:pStyle w:val="TableText"/>
              <w:ind w:left="-75" w:right="-85"/>
              <w:jc w:val="center"/>
              <w:rPr>
                <w:szCs w:val="20"/>
              </w:rPr>
            </w:pPr>
            <w:r w:rsidRPr="00E12BDF">
              <w:rPr>
                <w:szCs w:val="20"/>
              </w:rPr>
              <w:t>NE</w:t>
            </w:r>
          </w:p>
        </w:tc>
        <w:tc>
          <w:tcPr>
            <w:tcW w:w="948" w:type="pct"/>
            <w:vAlign w:val="center"/>
          </w:tcPr>
          <w:p w:rsidR="00E46290" w:rsidRPr="00E12BDF" w:rsidRDefault="00E46290" w:rsidP="00F62870">
            <w:pPr>
              <w:pStyle w:val="TableText"/>
              <w:ind w:left="-75" w:right="-85"/>
              <w:jc w:val="center"/>
              <w:rPr>
                <w:szCs w:val="20"/>
              </w:rPr>
            </w:pPr>
            <w:r w:rsidRPr="00E12BDF">
              <w:rPr>
                <w:szCs w:val="20"/>
              </w:rPr>
              <w:t>NE</w:t>
            </w:r>
          </w:p>
        </w:tc>
        <w:tc>
          <w:tcPr>
            <w:tcW w:w="815" w:type="pct"/>
            <w:vAlign w:val="center"/>
          </w:tcPr>
          <w:p w:rsidR="00E46290" w:rsidRPr="00E12BDF" w:rsidRDefault="00E46290" w:rsidP="00F62870">
            <w:pPr>
              <w:pStyle w:val="TableText"/>
              <w:ind w:left="-75" w:right="-85"/>
              <w:jc w:val="center"/>
              <w:rPr>
                <w:szCs w:val="20"/>
              </w:rPr>
            </w:pPr>
            <w:r w:rsidRPr="00E12BDF">
              <w:rPr>
                <w:szCs w:val="20"/>
              </w:rPr>
              <w:t>NE</w:t>
            </w:r>
          </w:p>
        </w:tc>
      </w:tr>
      <w:tr w:rsidR="00E46290" w:rsidRPr="00E12BDF" w:rsidTr="00385258">
        <w:tc>
          <w:tcPr>
            <w:tcW w:w="1341" w:type="pct"/>
            <w:vAlign w:val="center"/>
          </w:tcPr>
          <w:p w:rsidR="00E46290" w:rsidRPr="00E12BDF" w:rsidRDefault="00E46290" w:rsidP="00F62870">
            <w:pPr>
              <w:pStyle w:val="TableText"/>
              <w:tabs>
                <w:tab w:val="left" w:pos="175"/>
              </w:tabs>
            </w:pPr>
            <w:r w:rsidRPr="00E12BDF">
              <w:t>Cox proportional hazard ratio vs placebo (95% CI)</w:t>
            </w:r>
          </w:p>
        </w:tc>
        <w:tc>
          <w:tcPr>
            <w:tcW w:w="948" w:type="pct"/>
            <w:vAlign w:val="center"/>
          </w:tcPr>
          <w:p w:rsidR="00E46290" w:rsidRPr="00E12BDF" w:rsidRDefault="00E46290" w:rsidP="00F62870">
            <w:pPr>
              <w:pStyle w:val="TableText"/>
              <w:ind w:left="-75" w:right="-85"/>
              <w:jc w:val="center"/>
              <w:rPr>
                <w:szCs w:val="20"/>
              </w:rPr>
            </w:pPr>
            <w:r w:rsidRPr="00E12BDF">
              <w:rPr>
                <w:szCs w:val="20"/>
              </w:rPr>
              <w:t>0.715 (0.450, 1.137)</w:t>
            </w:r>
          </w:p>
        </w:tc>
        <w:tc>
          <w:tcPr>
            <w:tcW w:w="948" w:type="pct"/>
            <w:vAlign w:val="center"/>
          </w:tcPr>
          <w:p w:rsidR="00E46290" w:rsidRPr="00E12BDF" w:rsidRDefault="00E46290" w:rsidP="00F62870">
            <w:pPr>
              <w:pStyle w:val="TableText"/>
              <w:ind w:left="-75" w:right="-85"/>
              <w:jc w:val="center"/>
              <w:rPr>
                <w:b/>
                <w:szCs w:val="20"/>
              </w:rPr>
            </w:pPr>
            <w:r w:rsidRPr="00E12BDF">
              <w:rPr>
                <w:b/>
                <w:szCs w:val="20"/>
              </w:rPr>
              <w:t>0.690 (0.487, 0.979)</w:t>
            </w:r>
          </w:p>
        </w:tc>
        <w:tc>
          <w:tcPr>
            <w:tcW w:w="948" w:type="pct"/>
            <w:vAlign w:val="center"/>
          </w:tcPr>
          <w:p w:rsidR="00E46290" w:rsidRPr="00E12BDF" w:rsidRDefault="00E46290" w:rsidP="00F62870">
            <w:pPr>
              <w:pStyle w:val="TableText"/>
              <w:ind w:left="-75" w:right="-85"/>
              <w:jc w:val="center"/>
              <w:rPr>
                <w:b/>
                <w:szCs w:val="20"/>
              </w:rPr>
            </w:pPr>
            <w:r w:rsidRPr="00E12BDF">
              <w:rPr>
                <w:b/>
                <w:szCs w:val="20"/>
              </w:rPr>
              <w:t>0.698 (0.508, 0.958)</w:t>
            </w:r>
          </w:p>
        </w:tc>
        <w:tc>
          <w:tcPr>
            <w:tcW w:w="815" w:type="pct"/>
            <w:vAlign w:val="center"/>
          </w:tcPr>
          <w:p w:rsidR="00E46290" w:rsidRPr="00E12BDF" w:rsidRDefault="00E46290" w:rsidP="00F62870">
            <w:pPr>
              <w:pStyle w:val="TableText"/>
              <w:ind w:left="-75" w:right="-85"/>
              <w:jc w:val="center"/>
              <w:rPr>
                <w:szCs w:val="20"/>
              </w:rPr>
            </w:pPr>
            <w:r w:rsidRPr="00E12BDF">
              <w:rPr>
                <w:szCs w:val="20"/>
              </w:rPr>
              <w:t>-</w:t>
            </w:r>
          </w:p>
        </w:tc>
      </w:tr>
    </w:tbl>
    <w:p w:rsidR="00E46290" w:rsidRPr="00E12BDF" w:rsidRDefault="00E46290" w:rsidP="00E46290">
      <w:pPr>
        <w:pStyle w:val="TableFigureFooter"/>
      </w:pPr>
      <w:r w:rsidRPr="00E12BDF">
        <w:t>Source: Table 2.5.3, p.80 and Table 2.5.12, p.107 of the submission. Statistically significant results in bold.</w:t>
      </w:r>
    </w:p>
    <w:p w:rsidR="00E46290" w:rsidRPr="00E12BDF" w:rsidRDefault="00E46290" w:rsidP="00E46290">
      <w:pPr>
        <w:pStyle w:val="TableFigureFooter"/>
      </w:pPr>
      <w:r w:rsidRPr="00E12BDF">
        <w:t>Abbreviations: CI, confidence interval; ITT, intention-to-treat; NE, not evaluable.</w:t>
      </w:r>
    </w:p>
    <w:p w:rsidR="00E46290" w:rsidRPr="00E12BDF" w:rsidRDefault="00E46290" w:rsidP="00E46290">
      <w:pPr>
        <w:pStyle w:val="TableFigureFooter"/>
      </w:pPr>
      <w:r w:rsidRPr="00E12BDF">
        <w:rPr>
          <w:vertAlign w:val="superscript"/>
        </w:rPr>
        <w:t>a</w:t>
      </w:r>
      <w:r w:rsidRPr="00E12BDF">
        <w:t xml:space="preserve"> Heart transplant or implantation of a cardiac mechanical assist device handled as death.</w:t>
      </w:r>
    </w:p>
    <w:p w:rsidR="00E46290" w:rsidRPr="00E12BDF" w:rsidRDefault="00E46290" w:rsidP="000D5C4B">
      <w:pPr>
        <w:pStyle w:val="TableFigureFooter"/>
        <w:spacing w:after="240"/>
      </w:pPr>
      <w:r w:rsidRPr="00E12BDF">
        <w:rPr>
          <w:vertAlign w:val="superscript"/>
        </w:rPr>
        <w:t>b</w:t>
      </w:r>
      <w:r w:rsidRPr="00E12BDF">
        <w:t xml:space="preserve"> Censored alive at time of analysis.</w:t>
      </w:r>
    </w:p>
    <w:p w:rsidR="00E46290" w:rsidRPr="00E12BDF" w:rsidRDefault="0012339C" w:rsidP="00E46290">
      <w:pPr>
        <w:pStyle w:val="TableFigureCaption"/>
        <w:keepLines/>
      </w:pPr>
      <w:r w:rsidRPr="00E12BDF">
        <w:lastRenderedPageBreak/>
        <w:t xml:space="preserve">Figure </w:t>
      </w:r>
      <w:r w:rsidR="00E46290" w:rsidRPr="00E12BDF">
        <w:t>1: Kaplan-Meier plot of time to all-cause mortality for tafamidis by dose versus placebo in ATTR-ACT (ITT)</w:t>
      </w:r>
    </w:p>
    <w:p w:rsidR="00E46290" w:rsidRPr="00E12BDF" w:rsidRDefault="00E46290" w:rsidP="00E46290">
      <w:pPr>
        <w:kinsoku w:val="0"/>
        <w:overflowPunct w:val="0"/>
        <w:autoSpaceDE w:val="0"/>
        <w:autoSpaceDN w:val="0"/>
        <w:adjustRightInd w:val="0"/>
        <w:jc w:val="left"/>
        <w:rPr>
          <w:rFonts w:ascii="Times New Roman" w:hAnsi="Times New Roman" w:cs="Times New Roman"/>
          <w:sz w:val="20"/>
          <w:szCs w:val="20"/>
        </w:rPr>
      </w:pPr>
      <w:r w:rsidRPr="00E12BDF">
        <w:rPr>
          <w:rFonts w:ascii="Times New Roman" w:hAnsi="Times New Roman" w:cs="Times New Roman"/>
          <w:noProof/>
          <w:sz w:val="20"/>
          <w:szCs w:val="20"/>
        </w:rPr>
        <w:drawing>
          <wp:inline distT="0" distB="0" distL="0" distR="0" wp14:anchorId="71D8CE2B" wp14:editId="256A3AA3">
            <wp:extent cx="5677469" cy="313893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424" cy="3166552"/>
                    </a:xfrm>
                    <a:prstGeom prst="rect">
                      <a:avLst/>
                    </a:prstGeom>
                    <a:noFill/>
                    <a:ln>
                      <a:noFill/>
                    </a:ln>
                  </pic:spPr>
                </pic:pic>
              </a:graphicData>
            </a:graphic>
          </wp:inline>
        </w:drawing>
      </w:r>
    </w:p>
    <w:p w:rsidR="00E46290" w:rsidRPr="00E12BDF" w:rsidRDefault="00E46290" w:rsidP="00E46290">
      <w:pPr>
        <w:pStyle w:val="TableFigureFooter"/>
      </w:pPr>
    </w:p>
    <w:p w:rsidR="00E46290" w:rsidRPr="00E12BDF" w:rsidRDefault="00E46290" w:rsidP="00E46290">
      <w:pPr>
        <w:pStyle w:val="TableFigureFooter"/>
      </w:pPr>
      <w:r w:rsidRPr="00E12BDF">
        <w:t>Source: Figure 15, p.128 of the ATTR-ACT Clinical Study Report.</w:t>
      </w:r>
    </w:p>
    <w:p w:rsidR="00E46290" w:rsidRPr="00E12BDF" w:rsidRDefault="00E46290" w:rsidP="00E46290">
      <w:pPr>
        <w:pStyle w:val="TableFigureFooter"/>
      </w:pPr>
      <w:r w:rsidRPr="00E12BDF">
        <w:t>Abbreviations: ITT, intention-to-treat.</w:t>
      </w:r>
    </w:p>
    <w:p w:rsidR="00E46290" w:rsidRPr="00E12BDF" w:rsidRDefault="00E46290" w:rsidP="00E46290">
      <w:pPr>
        <w:pStyle w:val="TableFigureFooter"/>
      </w:pPr>
      <w:r w:rsidRPr="00E12BDF">
        <w:t>Note: Heart transplant and implantation of a cardiac mechanical assist device handled as deaths.</w:t>
      </w:r>
    </w:p>
    <w:p w:rsidR="00E46290" w:rsidRPr="00E12BDF" w:rsidRDefault="00E46290" w:rsidP="00E46290"/>
    <w:p w:rsidR="0012339C" w:rsidRPr="00E12BDF" w:rsidRDefault="00E46290" w:rsidP="004A1D6A">
      <w:pPr>
        <w:pStyle w:val="ExecSumBodyText"/>
      </w:pPr>
      <w:r w:rsidRPr="00E12BDF">
        <w:t>All-cause mortality was lower in the tafamidis 80 mg (30.7%) and pooled tafamidis (29.5%) treatment arms at 30 months compared to placebo (42.9%), with the Cox-proportional hazard ratios demonstrating a statistically significant reduction in the risk of death of 31.0% for tafamidis 80 mg and 30.2% for pooled tafamidis, relative to placebo. The observed treatment effect of tafamidis on all-cause mortality emerged after approximately 18 months of treatment</w:t>
      </w:r>
      <w:r w:rsidR="00DC1118" w:rsidRPr="00E12BDF">
        <w:t>, consistent with the slow, progressive disease trajectory of ATTR-CM</w:t>
      </w:r>
      <w:r w:rsidRPr="00E12BDF">
        <w:t>.</w:t>
      </w:r>
    </w:p>
    <w:p w:rsidR="00E46290" w:rsidRPr="00E12BDF" w:rsidRDefault="0012339C" w:rsidP="00E46290">
      <w:pPr>
        <w:pStyle w:val="ExecSumBodyText"/>
      </w:pPr>
      <w:r w:rsidRPr="00E12BDF">
        <w:t>Table 5</w:t>
      </w:r>
      <w:r w:rsidR="00E46290" w:rsidRPr="00E12BDF">
        <w:t xml:space="preserve"> </w:t>
      </w:r>
      <w:r w:rsidRPr="00E12BDF">
        <w:t xml:space="preserve">summarises cardiovascular mortality by tafamidis dose for the ATTR-ACT trial at 30 months (ITT). Figure 2 (below) show Kaplan-Meier plots of time to event </w:t>
      </w:r>
      <w:r w:rsidR="0034119B" w:rsidRPr="00E12BDF">
        <w:t xml:space="preserve">for </w:t>
      </w:r>
      <w:r w:rsidRPr="00E12BDF">
        <w:t>cardiovascular mortality by tafamidis dose and pooled tafamidis treatment arms versus placebo</w:t>
      </w:r>
      <w:r w:rsidR="00E46290" w:rsidRPr="00E12BDF">
        <w:t>.</w:t>
      </w:r>
    </w:p>
    <w:p w:rsidR="0012339C" w:rsidRPr="00E12BDF" w:rsidRDefault="0012339C" w:rsidP="0012339C">
      <w:pPr>
        <w:pStyle w:val="TableFigureCaption"/>
        <w:jc w:val="both"/>
      </w:pPr>
      <w:r w:rsidRPr="00E12BDF">
        <w:lastRenderedPageBreak/>
        <w:t>Table 5: Summary of time to cardiovascular mortality by tafamidis dose for ATTR-ACT (ITT; randomisation to 30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614"/>
        <w:gridCol w:w="1614"/>
        <w:gridCol w:w="1614"/>
        <w:gridCol w:w="1612"/>
      </w:tblGrid>
      <w:tr w:rsidR="0012339C" w:rsidRPr="00E12BDF" w:rsidTr="00385258">
        <w:trPr>
          <w:tblHeader/>
        </w:trPr>
        <w:tc>
          <w:tcPr>
            <w:tcW w:w="1421" w:type="pct"/>
            <w:vAlign w:val="center"/>
          </w:tcPr>
          <w:p w:rsidR="0012339C" w:rsidRPr="00E12BDF" w:rsidRDefault="0012339C" w:rsidP="00090DFE">
            <w:pPr>
              <w:pStyle w:val="Tableheadingrow"/>
              <w:tabs>
                <w:tab w:val="left" w:pos="175"/>
              </w:tabs>
              <w:ind w:right="-69"/>
              <w:rPr>
                <w:lang w:val="en-AU"/>
              </w:rPr>
            </w:pPr>
            <w:r w:rsidRPr="00E12BDF">
              <w:rPr>
                <w:lang w:val="en-AU"/>
              </w:rPr>
              <w:t xml:space="preserve">Cardiovascular </w:t>
            </w:r>
            <w:r w:rsidR="00090DFE" w:rsidRPr="00E12BDF">
              <w:rPr>
                <w:lang w:val="en-AU"/>
              </w:rPr>
              <w:t>mortality</w:t>
            </w:r>
            <w:r w:rsidRPr="00E12BDF">
              <w:rPr>
                <w:lang w:val="en-AU"/>
              </w:rPr>
              <w:t xml:space="preserve"> events, n (%)</w:t>
            </w:r>
          </w:p>
        </w:tc>
        <w:tc>
          <w:tcPr>
            <w:tcW w:w="895" w:type="pct"/>
            <w:vAlign w:val="center"/>
          </w:tcPr>
          <w:p w:rsidR="0012339C" w:rsidRPr="00E12BDF" w:rsidRDefault="0012339C" w:rsidP="00F62870">
            <w:pPr>
              <w:pStyle w:val="Tableheadingrow"/>
              <w:jc w:val="center"/>
              <w:rPr>
                <w:szCs w:val="20"/>
                <w:lang w:val="en-AU"/>
              </w:rPr>
            </w:pPr>
            <w:r w:rsidRPr="00E12BDF">
              <w:rPr>
                <w:szCs w:val="20"/>
                <w:lang w:val="en-AU"/>
              </w:rPr>
              <w:t xml:space="preserve">Tafamidis </w:t>
            </w:r>
          </w:p>
          <w:p w:rsidR="0012339C" w:rsidRPr="00E12BDF" w:rsidRDefault="0012339C" w:rsidP="00F62870">
            <w:pPr>
              <w:pStyle w:val="Tableheadingrow"/>
              <w:jc w:val="center"/>
              <w:rPr>
                <w:szCs w:val="20"/>
                <w:lang w:val="en-AU"/>
              </w:rPr>
            </w:pPr>
            <w:r w:rsidRPr="00E12BDF">
              <w:rPr>
                <w:szCs w:val="20"/>
                <w:lang w:val="en-AU"/>
              </w:rPr>
              <w:t>20 mg</w:t>
            </w:r>
          </w:p>
        </w:tc>
        <w:tc>
          <w:tcPr>
            <w:tcW w:w="895" w:type="pct"/>
            <w:vAlign w:val="center"/>
          </w:tcPr>
          <w:p w:rsidR="0012339C" w:rsidRPr="00E12BDF" w:rsidRDefault="0012339C" w:rsidP="00F62870">
            <w:pPr>
              <w:pStyle w:val="Tableheadingrow"/>
              <w:jc w:val="center"/>
              <w:rPr>
                <w:szCs w:val="20"/>
                <w:lang w:val="en-AU"/>
              </w:rPr>
            </w:pPr>
            <w:r w:rsidRPr="00E12BDF">
              <w:rPr>
                <w:szCs w:val="20"/>
                <w:lang w:val="en-AU"/>
              </w:rPr>
              <w:t xml:space="preserve">Tafamidis </w:t>
            </w:r>
          </w:p>
          <w:p w:rsidR="0012339C" w:rsidRPr="00E12BDF" w:rsidRDefault="0012339C" w:rsidP="00F62870">
            <w:pPr>
              <w:pStyle w:val="Tableheadingrow"/>
              <w:jc w:val="center"/>
              <w:rPr>
                <w:szCs w:val="20"/>
                <w:lang w:val="en-AU"/>
              </w:rPr>
            </w:pPr>
            <w:r w:rsidRPr="00E12BDF">
              <w:rPr>
                <w:szCs w:val="20"/>
                <w:lang w:val="en-AU"/>
              </w:rPr>
              <w:t>80 mg</w:t>
            </w:r>
          </w:p>
        </w:tc>
        <w:tc>
          <w:tcPr>
            <w:tcW w:w="895" w:type="pct"/>
            <w:vAlign w:val="center"/>
          </w:tcPr>
          <w:p w:rsidR="0012339C" w:rsidRPr="00E12BDF" w:rsidRDefault="0012339C" w:rsidP="00F62870">
            <w:pPr>
              <w:pStyle w:val="Tableheadingrow"/>
              <w:jc w:val="center"/>
              <w:rPr>
                <w:szCs w:val="20"/>
                <w:lang w:val="en-AU"/>
              </w:rPr>
            </w:pPr>
            <w:r w:rsidRPr="00E12BDF">
              <w:rPr>
                <w:szCs w:val="20"/>
                <w:lang w:val="en-AU"/>
              </w:rPr>
              <w:t>Tafamidis pooled</w:t>
            </w:r>
          </w:p>
        </w:tc>
        <w:tc>
          <w:tcPr>
            <w:tcW w:w="895" w:type="pct"/>
            <w:vAlign w:val="center"/>
          </w:tcPr>
          <w:p w:rsidR="0012339C" w:rsidRPr="00E12BDF" w:rsidRDefault="0012339C" w:rsidP="00F62870">
            <w:pPr>
              <w:pStyle w:val="Tableheadingrow"/>
              <w:jc w:val="center"/>
              <w:rPr>
                <w:szCs w:val="20"/>
                <w:lang w:val="en-AU"/>
              </w:rPr>
            </w:pPr>
            <w:r w:rsidRPr="00E12BDF">
              <w:rPr>
                <w:szCs w:val="20"/>
                <w:lang w:val="en-AU"/>
              </w:rPr>
              <w:t>Placebo</w:t>
            </w:r>
          </w:p>
        </w:tc>
      </w:tr>
      <w:tr w:rsidR="0012339C" w:rsidRPr="00E12BDF" w:rsidTr="00385258">
        <w:tc>
          <w:tcPr>
            <w:tcW w:w="1421" w:type="pct"/>
            <w:vAlign w:val="center"/>
          </w:tcPr>
          <w:p w:rsidR="0012339C" w:rsidRPr="00E12BDF" w:rsidRDefault="0012339C" w:rsidP="00F62870">
            <w:pPr>
              <w:pStyle w:val="TableText"/>
              <w:tabs>
                <w:tab w:val="left" w:pos="175"/>
              </w:tabs>
              <w:ind w:right="-69"/>
            </w:pPr>
            <w:r w:rsidRPr="00E12BDF">
              <w:t>N</w:t>
            </w:r>
          </w:p>
        </w:tc>
        <w:tc>
          <w:tcPr>
            <w:tcW w:w="895" w:type="pct"/>
            <w:vAlign w:val="center"/>
          </w:tcPr>
          <w:p w:rsidR="0012339C" w:rsidRPr="00E12BDF" w:rsidRDefault="0012339C" w:rsidP="00F62870">
            <w:pPr>
              <w:pStyle w:val="TableText"/>
              <w:jc w:val="center"/>
              <w:rPr>
                <w:szCs w:val="20"/>
              </w:rPr>
            </w:pPr>
            <w:r w:rsidRPr="00E12BDF">
              <w:rPr>
                <w:szCs w:val="20"/>
              </w:rPr>
              <w:t>88</w:t>
            </w:r>
          </w:p>
        </w:tc>
        <w:tc>
          <w:tcPr>
            <w:tcW w:w="895" w:type="pct"/>
            <w:vAlign w:val="center"/>
          </w:tcPr>
          <w:p w:rsidR="0012339C" w:rsidRPr="00E12BDF" w:rsidRDefault="0012339C" w:rsidP="00F62870">
            <w:pPr>
              <w:pStyle w:val="TableText"/>
              <w:jc w:val="center"/>
              <w:rPr>
                <w:szCs w:val="20"/>
              </w:rPr>
            </w:pPr>
            <w:r w:rsidRPr="00E12BDF">
              <w:rPr>
                <w:szCs w:val="20"/>
              </w:rPr>
              <w:t>176</w:t>
            </w:r>
          </w:p>
        </w:tc>
        <w:tc>
          <w:tcPr>
            <w:tcW w:w="895" w:type="pct"/>
            <w:vAlign w:val="center"/>
          </w:tcPr>
          <w:p w:rsidR="0012339C" w:rsidRPr="00E12BDF" w:rsidRDefault="0012339C" w:rsidP="00F62870">
            <w:pPr>
              <w:pStyle w:val="TableText"/>
              <w:jc w:val="center"/>
              <w:rPr>
                <w:szCs w:val="20"/>
              </w:rPr>
            </w:pPr>
            <w:r w:rsidRPr="00E12BDF">
              <w:rPr>
                <w:szCs w:val="20"/>
              </w:rPr>
              <w:t>264</w:t>
            </w:r>
          </w:p>
        </w:tc>
        <w:tc>
          <w:tcPr>
            <w:tcW w:w="895" w:type="pct"/>
            <w:vAlign w:val="center"/>
          </w:tcPr>
          <w:p w:rsidR="0012339C" w:rsidRPr="00E12BDF" w:rsidRDefault="0012339C" w:rsidP="00F62870">
            <w:pPr>
              <w:pStyle w:val="TableText"/>
              <w:jc w:val="center"/>
              <w:rPr>
                <w:szCs w:val="20"/>
              </w:rPr>
            </w:pPr>
            <w:r w:rsidRPr="00E12BDF">
              <w:rPr>
                <w:szCs w:val="20"/>
              </w:rPr>
              <w:t>177</w:t>
            </w:r>
          </w:p>
        </w:tc>
      </w:tr>
      <w:tr w:rsidR="0012339C" w:rsidRPr="00E12BDF" w:rsidTr="00385258">
        <w:tc>
          <w:tcPr>
            <w:tcW w:w="1421" w:type="pct"/>
            <w:tcBorders>
              <w:bottom w:val="single" w:sz="4" w:space="0" w:color="auto"/>
            </w:tcBorders>
            <w:vAlign w:val="center"/>
          </w:tcPr>
          <w:p w:rsidR="0012339C" w:rsidRPr="00E12BDF" w:rsidRDefault="0012339C" w:rsidP="00F62870">
            <w:pPr>
              <w:pStyle w:val="TableText"/>
              <w:tabs>
                <w:tab w:val="left" w:pos="175"/>
              </w:tabs>
              <w:ind w:right="-69"/>
              <w:rPr>
                <w:vertAlign w:val="superscript"/>
              </w:rPr>
            </w:pPr>
            <w:r w:rsidRPr="00E12BDF">
              <w:t>Cardiovascular mor</w:t>
            </w:r>
            <w:r w:rsidR="0001437B" w:rsidRPr="00E12BDF">
              <w:t>t</w:t>
            </w:r>
            <w:r w:rsidRPr="00E12BDF">
              <w:t>ality events</w:t>
            </w:r>
            <w:r w:rsidRPr="00E12BDF">
              <w:rPr>
                <w:vertAlign w:val="superscript"/>
              </w:rPr>
              <w:t>a</w:t>
            </w:r>
          </w:p>
        </w:tc>
        <w:tc>
          <w:tcPr>
            <w:tcW w:w="895" w:type="pct"/>
            <w:vAlign w:val="center"/>
          </w:tcPr>
          <w:p w:rsidR="0012339C" w:rsidRPr="00E12BDF" w:rsidRDefault="0012339C" w:rsidP="00F62870">
            <w:pPr>
              <w:pStyle w:val="TableText"/>
              <w:jc w:val="center"/>
              <w:rPr>
                <w:rFonts w:eastAsia="Times New Roman"/>
                <w:color w:val="000000"/>
                <w:szCs w:val="20"/>
              </w:rPr>
            </w:pPr>
            <w:r w:rsidRPr="00E12BDF">
              <w:rPr>
                <w:rFonts w:eastAsia="Times New Roman"/>
                <w:color w:val="000000"/>
                <w:szCs w:val="20"/>
              </w:rPr>
              <w:t>19 (21.6%)</w:t>
            </w:r>
          </w:p>
        </w:tc>
        <w:tc>
          <w:tcPr>
            <w:tcW w:w="895" w:type="pct"/>
            <w:vAlign w:val="center"/>
          </w:tcPr>
          <w:p w:rsidR="0012339C" w:rsidRPr="00E12BDF" w:rsidRDefault="0012339C" w:rsidP="00F62870">
            <w:pPr>
              <w:pStyle w:val="TableText"/>
              <w:jc w:val="center"/>
              <w:rPr>
                <w:rFonts w:eastAsia="Times New Roman"/>
                <w:color w:val="000000"/>
                <w:szCs w:val="20"/>
              </w:rPr>
            </w:pPr>
            <w:r w:rsidRPr="00E12BDF">
              <w:rPr>
                <w:rFonts w:eastAsia="Times New Roman"/>
                <w:color w:val="000000"/>
                <w:szCs w:val="20"/>
              </w:rPr>
              <w:t>45 (25.6%)</w:t>
            </w:r>
          </w:p>
        </w:tc>
        <w:tc>
          <w:tcPr>
            <w:tcW w:w="895" w:type="pct"/>
            <w:vAlign w:val="center"/>
          </w:tcPr>
          <w:p w:rsidR="0012339C" w:rsidRPr="00E12BDF" w:rsidRDefault="0012339C" w:rsidP="00F62870">
            <w:pPr>
              <w:pStyle w:val="TableText"/>
              <w:jc w:val="center"/>
              <w:rPr>
                <w:rFonts w:eastAsia="Times New Roman"/>
                <w:color w:val="000000"/>
                <w:szCs w:val="20"/>
              </w:rPr>
            </w:pPr>
            <w:r w:rsidRPr="00E12BDF">
              <w:rPr>
                <w:rFonts w:eastAsia="Times New Roman"/>
                <w:color w:val="000000"/>
                <w:szCs w:val="20"/>
              </w:rPr>
              <w:t>64 (24.2%)</w:t>
            </w:r>
          </w:p>
        </w:tc>
        <w:tc>
          <w:tcPr>
            <w:tcW w:w="895" w:type="pct"/>
            <w:vAlign w:val="center"/>
          </w:tcPr>
          <w:p w:rsidR="0012339C" w:rsidRPr="00E12BDF" w:rsidRDefault="0012339C" w:rsidP="00F62870">
            <w:pPr>
              <w:pStyle w:val="TableText"/>
              <w:jc w:val="center"/>
              <w:rPr>
                <w:rFonts w:eastAsia="Times New Roman"/>
                <w:color w:val="000000"/>
                <w:szCs w:val="20"/>
              </w:rPr>
            </w:pPr>
            <w:r w:rsidRPr="00E12BDF">
              <w:rPr>
                <w:rFonts w:eastAsia="Times New Roman"/>
                <w:color w:val="000000"/>
                <w:szCs w:val="20"/>
              </w:rPr>
              <w:t>63 (35.6%)</w:t>
            </w:r>
          </w:p>
        </w:tc>
      </w:tr>
      <w:tr w:rsidR="0012339C" w:rsidRPr="00E12BDF" w:rsidTr="00385258">
        <w:tc>
          <w:tcPr>
            <w:tcW w:w="1421" w:type="pct"/>
            <w:tcBorders>
              <w:bottom w:val="single" w:sz="4" w:space="0" w:color="auto"/>
            </w:tcBorders>
            <w:vAlign w:val="center"/>
          </w:tcPr>
          <w:p w:rsidR="0012339C" w:rsidRPr="00E12BDF" w:rsidRDefault="0012339C" w:rsidP="00F62870">
            <w:pPr>
              <w:pStyle w:val="TableText"/>
              <w:tabs>
                <w:tab w:val="left" w:pos="175"/>
              </w:tabs>
              <w:ind w:right="-69"/>
            </w:pPr>
            <w:r w:rsidRPr="00E12BDF">
              <w:tab/>
              <w:t>Cardiovascular deaths</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18 (20.5%)</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37 (21.0%)</w:t>
            </w:r>
            <w:r w:rsidRPr="00E12BDF">
              <w:rPr>
                <w:szCs w:val="20"/>
              </w:rPr>
              <w:t xml:space="preserve"> </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55 (20.8%)</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59 (33.3%)</w:t>
            </w:r>
          </w:p>
        </w:tc>
      </w:tr>
      <w:tr w:rsidR="0012339C" w:rsidRPr="00E12BDF" w:rsidTr="00385258">
        <w:tc>
          <w:tcPr>
            <w:tcW w:w="1421" w:type="pct"/>
            <w:tcBorders>
              <w:top w:val="single" w:sz="4" w:space="0" w:color="auto"/>
            </w:tcBorders>
            <w:vAlign w:val="center"/>
          </w:tcPr>
          <w:p w:rsidR="0012339C" w:rsidRPr="00E12BDF" w:rsidRDefault="0012339C" w:rsidP="00F62870">
            <w:pPr>
              <w:pStyle w:val="TableText"/>
              <w:tabs>
                <w:tab w:val="left" w:pos="175"/>
              </w:tabs>
              <w:ind w:right="-69"/>
            </w:pPr>
            <w:r w:rsidRPr="00E12BDF">
              <w:tab/>
              <w:t>Heart transplants</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1 (1.1%)</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6 (3.4%)</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7 (2.7%)</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4 (2.3%)</w:t>
            </w:r>
          </w:p>
        </w:tc>
      </w:tr>
      <w:tr w:rsidR="0012339C" w:rsidRPr="00E12BDF" w:rsidTr="00385258">
        <w:tc>
          <w:tcPr>
            <w:tcW w:w="1421" w:type="pct"/>
            <w:vAlign w:val="center"/>
          </w:tcPr>
          <w:p w:rsidR="0012339C" w:rsidRPr="00E12BDF" w:rsidRDefault="0012339C" w:rsidP="00F62870">
            <w:pPr>
              <w:pStyle w:val="TableText"/>
              <w:tabs>
                <w:tab w:val="left" w:pos="175"/>
              </w:tabs>
              <w:ind w:right="-69"/>
            </w:pPr>
            <w:r w:rsidRPr="00E12BDF">
              <w:tab/>
              <w:t>Cardiac device implants</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0</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2 (1.1%)</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2 (0.8%)</w:t>
            </w:r>
          </w:p>
        </w:tc>
        <w:tc>
          <w:tcPr>
            <w:tcW w:w="895" w:type="pct"/>
          </w:tcPr>
          <w:p w:rsidR="0012339C" w:rsidRPr="00E12BDF" w:rsidRDefault="0012339C" w:rsidP="00F62870">
            <w:pPr>
              <w:pStyle w:val="TableText"/>
              <w:jc w:val="center"/>
              <w:rPr>
                <w:szCs w:val="20"/>
              </w:rPr>
            </w:pPr>
            <w:r w:rsidRPr="00E12BDF">
              <w:rPr>
                <w:rFonts w:eastAsia="Times New Roman"/>
                <w:color w:val="000000"/>
                <w:szCs w:val="20"/>
              </w:rPr>
              <w:t>0</w:t>
            </w:r>
          </w:p>
        </w:tc>
      </w:tr>
      <w:tr w:rsidR="0012339C" w:rsidRPr="00E12BDF" w:rsidTr="00385258">
        <w:tc>
          <w:tcPr>
            <w:tcW w:w="1421" w:type="pct"/>
            <w:vAlign w:val="center"/>
          </w:tcPr>
          <w:p w:rsidR="0012339C" w:rsidRPr="00E12BDF" w:rsidRDefault="0012339C" w:rsidP="00F62870">
            <w:pPr>
              <w:pStyle w:val="TableText"/>
              <w:tabs>
                <w:tab w:val="left" w:pos="175"/>
              </w:tabs>
              <w:ind w:right="-69"/>
              <w:rPr>
                <w:vertAlign w:val="superscript"/>
              </w:rPr>
            </w:pPr>
            <w:r w:rsidRPr="00E12BDF">
              <w:t>Censored</w:t>
            </w:r>
            <w:r w:rsidRPr="00E12BDF">
              <w:rPr>
                <w:vertAlign w:val="superscript"/>
              </w:rPr>
              <w:t>b</w:t>
            </w:r>
          </w:p>
        </w:tc>
        <w:tc>
          <w:tcPr>
            <w:tcW w:w="895" w:type="pct"/>
          </w:tcPr>
          <w:p w:rsidR="0012339C" w:rsidRPr="00E12BDF" w:rsidRDefault="0012339C" w:rsidP="00F62870">
            <w:pPr>
              <w:pStyle w:val="TableText"/>
              <w:ind w:left="-89" w:right="-71"/>
              <w:jc w:val="center"/>
              <w:rPr>
                <w:szCs w:val="20"/>
              </w:rPr>
            </w:pPr>
            <w:r w:rsidRPr="00E12BDF">
              <w:rPr>
                <w:rFonts w:eastAsia="Times New Roman"/>
                <w:color w:val="000000"/>
                <w:szCs w:val="20"/>
              </w:rPr>
              <w:t>69 (78.4%)</w:t>
            </w:r>
          </w:p>
        </w:tc>
        <w:tc>
          <w:tcPr>
            <w:tcW w:w="895" w:type="pct"/>
          </w:tcPr>
          <w:p w:rsidR="0012339C" w:rsidRPr="00E12BDF" w:rsidRDefault="0012339C" w:rsidP="00F62870">
            <w:pPr>
              <w:pStyle w:val="TableText"/>
              <w:ind w:left="-89" w:right="-71"/>
              <w:jc w:val="center"/>
              <w:rPr>
                <w:szCs w:val="20"/>
              </w:rPr>
            </w:pPr>
            <w:r w:rsidRPr="00E12BDF">
              <w:rPr>
                <w:rFonts w:eastAsia="Times New Roman"/>
                <w:color w:val="000000"/>
                <w:szCs w:val="20"/>
              </w:rPr>
              <w:t>131 (74.4%)</w:t>
            </w:r>
          </w:p>
        </w:tc>
        <w:tc>
          <w:tcPr>
            <w:tcW w:w="895" w:type="pct"/>
          </w:tcPr>
          <w:p w:rsidR="0012339C" w:rsidRPr="00E12BDF" w:rsidRDefault="0012339C" w:rsidP="00F62870">
            <w:pPr>
              <w:pStyle w:val="TableText"/>
              <w:ind w:left="-89" w:right="-71"/>
              <w:jc w:val="center"/>
              <w:rPr>
                <w:szCs w:val="20"/>
              </w:rPr>
            </w:pPr>
            <w:r w:rsidRPr="00E12BDF">
              <w:rPr>
                <w:rFonts w:eastAsia="Times New Roman"/>
                <w:color w:val="000000"/>
                <w:szCs w:val="20"/>
              </w:rPr>
              <w:t>200 (75.8%)</w:t>
            </w:r>
          </w:p>
        </w:tc>
        <w:tc>
          <w:tcPr>
            <w:tcW w:w="895" w:type="pct"/>
          </w:tcPr>
          <w:p w:rsidR="0012339C" w:rsidRPr="00E12BDF" w:rsidRDefault="0012339C" w:rsidP="00F62870">
            <w:pPr>
              <w:pStyle w:val="TableText"/>
              <w:ind w:left="-89" w:right="-71"/>
              <w:jc w:val="center"/>
              <w:rPr>
                <w:szCs w:val="20"/>
              </w:rPr>
            </w:pPr>
            <w:r w:rsidRPr="00E12BDF">
              <w:rPr>
                <w:rFonts w:eastAsia="Times New Roman"/>
                <w:color w:val="000000"/>
                <w:szCs w:val="20"/>
              </w:rPr>
              <w:t>114 (64.4%)</w:t>
            </w:r>
          </w:p>
        </w:tc>
      </w:tr>
      <w:tr w:rsidR="0012339C" w:rsidRPr="00E12BDF" w:rsidTr="00385258">
        <w:tc>
          <w:tcPr>
            <w:tcW w:w="5000" w:type="pct"/>
            <w:gridSpan w:val="5"/>
            <w:vAlign w:val="center"/>
          </w:tcPr>
          <w:p w:rsidR="0012339C" w:rsidRPr="00E12BDF" w:rsidRDefault="0012339C" w:rsidP="00F62870">
            <w:pPr>
              <w:pStyle w:val="TableText"/>
              <w:ind w:left="-89" w:right="-71"/>
              <w:rPr>
                <w:rFonts w:eastAsia="Times New Roman"/>
                <w:color w:val="000000"/>
                <w:szCs w:val="20"/>
              </w:rPr>
            </w:pPr>
            <w:r w:rsidRPr="00E12BDF">
              <w:t>Kaplan-Meier estimates of time to event (months) by Quartiles (95% CI)</w:t>
            </w:r>
          </w:p>
        </w:tc>
      </w:tr>
      <w:tr w:rsidR="0012339C" w:rsidRPr="00E12BDF" w:rsidTr="00385258">
        <w:tc>
          <w:tcPr>
            <w:tcW w:w="1421" w:type="pct"/>
            <w:vAlign w:val="center"/>
          </w:tcPr>
          <w:p w:rsidR="0012339C" w:rsidRPr="00E12BDF" w:rsidRDefault="0012339C" w:rsidP="00F62870">
            <w:pPr>
              <w:pStyle w:val="TableText"/>
              <w:tabs>
                <w:tab w:val="left" w:pos="175"/>
              </w:tabs>
              <w:ind w:right="-69"/>
            </w:pPr>
            <w:r w:rsidRPr="00E12BDF">
              <w:tab/>
              <w:t xml:space="preserve">25% </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NE (21.2, 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28.4 (21.3, 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29.8 (23.7, 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22.1 (18.8, 27.1)</w:t>
            </w:r>
          </w:p>
        </w:tc>
      </w:tr>
      <w:tr w:rsidR="0012339C" w:rsidRPr="00E12BDF" w:rsidTr="00385258">
        <w:tc>
          <w:tcPr>
            <w:tcW w:w="1421" w:type="pct"/>
            <w:vAlign w:val="center"/>
          </w:tcPr>
          <w:p w:rsidR="0012339C" w:rsidRPr="00E12BDF" w:rsidRDefault="0012339C" w:rsidP="00F62870">
            <w:pPr>
              <w:pStyle w:val="TableText"/>
              <w:tabs>
                <w:tab w:val="left" w:pos="175"/>
              </w:tabs>
              <w:ind w:right="-69"/>
            </w:pPr>
            <w:r w:rsidRPr="00E12BDF">
              <w:tab/>
              <w:t>50% &amp; 75%</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NE</w:t>
            </w:r>
          </w:p>
        </w:tc>
        <w:tc>
          <w:tcPr>
            <w:tcW w:w="895" w:type="pct"/>
            <w:vAlign w:val="center"/>
          </w:tcPr>
          <w:p w:rsidR="0012339C" w:rsidRPr="00E12BDF" w:rsidRDefault="0012339C" w:rsidP="00F62870">
            <w:pPr>
              <w:pStyle w:val="TableText"/>
              <w:ind w:left="-89" w:right="-71"/>
              <w:jc w:val="center"/>
              <w:rPr>
                <w:rFonts w:eastAsia="Times New Roman"/>
                <w:color w:val="000000"/>
                <w:szCs w:val="20"/>
              </w:rPr>
            </w:pPr>
            <w:r w:rsidRPr="00E12BDF">
              <w:rPr>
                <w:szCs w:val="20"/>
              </w:rPr>
              <w:t>NE</w:t>
            </w:r>
          </w:p>
        </w:tc>
      </w:tr>
      <w:tr w:rsidR="0012339C" w:rsidRPr="00E12BDF" w:rsidTr="00385258">
        <w:tc>
          <w:tcPr>
            <w:tcW w:w="1421" w:type="pct"/>
            <w:vAlign w:val="center"/>
          </w:tcPr>
          <w:p w:rsidR="0012339C" w:rsidRPr="00E12BDF" w:rsidRDefault="0012339C" w:rsidP="00F62870">
            <w:pPr>
              <w:pStyle w:val="TableText"/>
              <w:tabs>
                <w:tab w:val="left" w:pos="175"/>
              </w:tabs>
            </w:pPr>
            <w:r w:rsidRPr="00E12BDF">
              <w:t xml:space="preserve">Hazard ratio vs placebo </w:t>
            </w:r>
          </w:p>
          <w:p w:rsidR="0012339C" w:rsidRPr="00E12BDF" w:rsidRDefault="0012339C" w:rsidP="00F62870">
            <w:pPr>
              <w:pStyle w:val="TableText"/>
              <w:tabs>
                <w:tab w:val="left" w:pos="175"/>
              </w:tabs>
              <w:ind w:right="-69"/>
            </w:pPr>
            <w:r w:rsidRPr="00E12BDF">
              <w:t>(95% CI)</w:t>
            </w:r>
          </w:p>
        </w:tc>
        <w:tc>
          <w:tcPr>
            <w:tcW w:w="895" w:type="pct"/>
            <w:vAlign w:val="center"/>
          </w:tcPr>
          <w:p w:rsidR="0012339C" w:rsidRPr="00E12BDF" w:rsidRDefault="0012339C" w:rsidP="00F62870">
            <w:pPr>
              <w:pStyle w:val="TableText"/>
              <w:ind w:left="-89" w:right="-71"/>
              <w:jc w:val="center"/>
              <w:rPr>
                <w:szCs w:val="20"/>
              </w:rPr>
            </w:pPr>
            <w:r w:rsidRPr="00E12BDF">
              <w:rPr>
                <w:szCs w:val="20"/>
              </w:rPr>
              <w:t>0.678 (0.404, 1.139)</w:t>
            </w:r>
          </w:p>
        </w:tc>
        <w:tc>
          <w:tcPr>
            <w:tcW w:w="895" w:type="pct"/>
            <w:vAlign w:val="center"/>
          </w:tcPr>
          <w:p w:rsidR="0012339C" w:rsidRPr="00E12BDF" w:rsidRDefault="0012339C" w:rsidP="00F62870">
            <w:pPr>
              <w:pStyle w:val="TableText"/>
              <w:ind w:left="-89" w:right="-71"/>
              <w:jc w:val="center"/>
              <w:rPr>
                <w:szCs w:val="20"/>
              </w:rPr>
            </w:pPr>
            <w:r w:rsidRPr="00E12BDF">
              <w:rPr>
                <w:szCs w:val="20"/>
              </w:rPr>
              <w:t>0.690 (0.470, 1.012)</w:t>
            </w:r>
          </w:p>
        </w:tc>
        <w:tc>
          <w:tcPr>
            <w:tcW w:w="895" w:type="pct"/>
            <w:vAlign w:val="center"/>
          </w:tcPr>
          <w:p w:rsidR="0012339C" w:rsidRPr="00E12BDF" w:rsidRDefault="0012339C" w:rsidP="00F62870">
            <w:pPr>
              <w:pStyle w:val="TableText"/>
              <w:ind w:left="-89" w:right="-71"/>
              <w:jc w:val="center"/>
              <w:rPr>
                <w:b/>
                <w:szCs w:val="20"/>
              </w:rPr>
            </w:pPr>
            <w:r w:rsidRPr="00E12BDF">
              <w:rPr>
                <w:b/>
                <w:szCs w:val="20"/>
              </w:rPr>
              <w:t>0.691 (0.488, 0.980)</w:t>
            </w:r>
          </w:p>
        </w:tc>
        <w:tc>
          <w:tcPr>
            <w:tcW w:w="895" w:type="pct"/>
            <w:vAlign w:val="center"/>
          </w:tcPr>
          <w:p w:rsidR="0012339C" w:rsidRPr="00E12BDF" w:rsidRDefault="0012339C" w:rsidP="00F62870">
            <w:pPr>
              <w:pStyle w:val="TableText"/>
              <w:ind w:left="-89" w:right="-71"/>
              <w:jc w:val="center"/>
              <w:rPr>
                <w:szCs w:val="20"/>
              </w:rPr>
            </w:pPr>
            <w:r w:rsidRPr="00E12BDF">
              <w:rPr>
                <w:szCs w:val="20"/>
              </w:rPr>
              <w:t>-</w:t>
            </w:r>
          </w:p>
        </w:tc>
      </w:tr>
    </w:tbl>
    <w:p w:rsidR="0012339C" w:rsidRPr="00E12BDF" w:rsidRDefault="0012339C" w:rsidP="0012339C">
      <w:pPr>
        <w:pStyle w:val="TableFigureFooter"/>
      </w:pPr>
      <w:r w:rsidRPr="00E12BDF">
        <w:t>Source: Table 2.5.7, p.92 of the submission; Table 17, p.113 of the ATTR-ACT Clinical Study Report. Statistically significant results in bold.</w:t>
      </w:r>
    </w:p>
    <w:p w:rsidR="0012339C" w:rsidRPr="00E12BDF" w:rsidRDefault="0012339C" w:rsidP="0012339C">
      <w:pPr>
        <w:pStyle w:val="TableFigureFooter"/>
      </w:pPr>
      <w:r w:rsidRPr="00E12BDF">
        <w:t xml:space="preserve">Abbreviations: CI, confidence interval; ITT, intention-to-treat; </w:t>
      </w:r>
      <w:r w:rsidRPr="00E12BDF">
        <w:rPr>
          <w:szCs w:val="18"/>
        </w:rPr>
        <w:t>NYHA, New York Heart Association heart failure classification; TTR, transthyretin</w:t>
      </w:r>
      <w:r w:rsidRPr="00E12BDF">
        <w:t>.</w:t>
      </w:r>
    </w:p>
    <w:p w:rsidR="0012339C" w:rsidRPr="00E12BDF" w:rsidRDefault="0012339C" w:rsidP="0012339C">
      <w:pPr>
        <w:pStyle w:val="TableFigureFooter"/>
      </w:pPr>
      <w:r w:rsidRPr="00E12BDF">
        <w:rPr>
          <w:vertAlign w:val="superscript"/>
        </w:rPr>
        <w:t>a</w:t>
      </w:r>
      <w:r w:rsidRPr="00E12BDF">
        <w:t xml:space="preserve"> Heart transplant or implantation of a cardiac mechanical assist device handled as death.</w:t>
      </w:r>
    </w:p>
    <w:p w:rsidR="0012339C" w:rsidRPr="00E12BDF" w:rsidRDefault="0012339C" w:rsidP="000D5C4B">
      <w:pPr>
        <w:pStyle w:val="TableFigureFooter"/>
        <w:spacing w:after="240"/>
      </w:pPr>
      <w:r w:rsidRPr="00E12BDF">
        <w:rPr>
          <w:vertAlign w:val="superscript"/>
        </w:rPr>
        <w:t>b</w:t>
      </w:r>
      <w:r w:rsidRPr="00E12BDF">
        <w:t xml:space="preserve"> Censored alive at time of analysis.</w:t>
      </w:r>
    </w:p>
    <w:p w:rsidR="0012339C" w:rsidRPr="00E12BDF" w:rsidRDefault="0012339C" w:rsidP="0012339C">
      <w:pPr>
        <w:pStyle w:val="TableFigureCaption"/>
        <w:keepLines/>
      </w:pPr>
      <w:r w:rsidRPr="00E12BDF">
        <w:t>Figure 2: Kaplan-Meier plot of time to cardiovascular mortality by tafamidis dose versus placebo in ATTR-ACT (ITT)</w:t>
      </w:r>
    </w:p>
    <w:p w:rsidR="0012339C" w:rsidRPr="00E12BDF" w:rsidRDefault="0012339C" w:rsidP="0012339C">
      <w:pPr>
        <w:pStyle w:val="Tableheadingrow"/>
        <w:rPr>
          <w:lang w:val="en-AU"/>
        </w:rPr>
      </w:pPr>
      <w:r w:rsidRPr="00E12BDF">
        <w:rPr>
          <w:noProof/>
          <w:lang w:val="en-AU"/>
        </w:rPr>
        <w:drawing>
          <wp:inline distT="0" distB="0" distL="0" distR="0" wp14:anchorId="28F6D2DB" wp14:editId="2003F22E">
            <wp:extent cx="5732145" cy="31838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famidis 1b.jpg"/>
                    <pic:cNvPicPr/>
                  </pic:nvPicPr>
                  <pic:blipFill>
                    <a:blip r:embed="rId9">
                      <a:extLst>
                        <a:ext uri="{28A0092B-C50C-407E-A947-70E740481C1C}">
                          <a14:useLocalDpi xmlns:a14="http://schemas.microsoft.com/office/drawing/2010/main" val="0"/>
                        </a:ext>
                      </a:extLst>
                    </a:blip>
                    <a:stretch>
                      <a:fillRect/>
                    </a:stretch>
                  </pic:blipFill>
                  <pic:spPr>
                    <a:xfrm>
                      <a:off x="0" y="0"/>
                      <a:ext cx="5732145" cy="3183890"/>
                    </a:xfrm>
                    <a:prstGeom prst="rect">
                      <a:avLst/>
                    </a:prstGeom>
                  </pic:spPr>
                </pic:pic>
              </a:graphicData>
            </a:graphic>
          </wp:inline>
        </w:drawing>
      </w:r>
    </w:p>
    <w:p w:rsidR="0012339C" w:rsidRPr="00E12BDF" w:rsidRDefault="0012339C" w:rsidP="0012339C">
      <w:pPr>
        <w:pStyle w:val="TableFigureFooter"/>
      </w:pPr>
      <w:r w:rsidRPr="00E12BDF">
        <w:t>Source: Figure 14, p.112 of the ATTR-ACT Clinical Study Report.</w:t>
      </w:r>
    </w:p>
    <w:p w:rsidR="0012339C" w:rsidRPr="00E12BDF" w:rsidRDefault="0012339C" w:rsidP="0012339C">
      <w:pPr>
        <w:pStyle w:val="TableFigureFooter"/>
      </w:pPr>
      <w:r w:rsidRPr="00E12BDF">
        <w:t>Abbreviations: ITT, intention-to-treat.</w:t>
      </w:r>
    </w:p>
    <w:p w:rsidR="0012339C" w:rsidRPr="00E12BDF" w:rsidRDefault="0012339C" w:rsidP="0012339C">
      <w:pPr>
        <w:pStyle w:val="ExecSumBodyText"/>
      </w:pPr>
      <w:r w:rsidRPr="00E12BDF">
        <w:rPr>
          <w:color w:val="000000"/>
        </w:rPr>
        <w:t xml:space="preserve">Cardiovascular mortality was lower in the tafamidis 20 mg (21.6%), tafamidis 80 mg (25.6%) and pooled tafamidis (24.2%) treatment arms at 30 months compared to placebo (35.6%), with the Cox-proportional hazard ratios demonstrating a statistically significant reduction in the risk of death of 30.9% for the pooled tafamidis treatment arms relative to placebo. </w:t>
      </w:r>
      <w:r w:rsidRPr="00E12BDF">
        <w:t xml:space="preserve">There was no statistically significant difference in time to event cardiovascular mortality between tafamidis 20 mg or tafamidis 80 mg compared </w:t>
      </w:r>
      <w:r w:rsidRPr="00E12BDF">
        <w:lastRenderedPageBreak/>
        <w:t xml:space="preserve">to placebo. </w:t>
      </w:r>
      <w:r w:rsidRPr="00E12BDF">
        <w:rPr>
          <w:color w:val="000000"/>
        </w:rPr>
        <w:t>As in all-cause mortality, the observed treatment effect of tafamidis on cardiovascular mortality emerged after approximately 18 months of treatment</w:t>
      </w:r>
      <w:r w:rsidRPr="00E12BDF">
        <w:t>.</w:t>
      </w:r>
    </w:p>
    <w:p w:rsidR="0012339C" w:rsidRPr="00E12BDF" w:rsidRDefault="0012339C" w:rsidP="0012339C">
      <w:pPr>
        <w:pStyle w:val="ExecSumBodyText"/>
      </w:pPr>
      <w:r w:rsidRPr="00E12BDF">
        <w:t>Kaplan Meier plots of all-cause mortality for the ATTR-ACT treatment period and B3461045 extension study, for those patients continuing treatment with tafamidis versus those patients switching from placebo to tafamidis showed a 36% reduction in all-cause mortality for patients continuing tafamidis (n=170 continuing, 88/264 events, 33.3%) versus patients switching from placebo to tafamidis (n=82 continuing, 89/177 events, 50.3%), at a median follow up of 36 months (HR 0.64, 95% CI [0.47, 0.85]).</w:t>
      </w:r>
    </w:p>
    <w:p w:rsidR="0012339C" w:rsidRPr="00E12BDF" w:rsidRDefault="0012339C" w:rsidP="00385258">
      <w:pPr>
        <w:pStyle w:val="ExecSumBodyText"/>
        <w:keepNext/>
      </w:pPr>
      <w:r w:rsidRPr="00E12BDF">
        <w:t>Table 6 summarises the frequency of cardiovascular related hospitalisations by tafamidis dose for the ATTR-ACT trial from randomisation to 30 months (ITT).</w:t>
      </w:r>
    </w:p>
    <w:p w:rsidR="0012339C" w:rsidRPr="00E12BDF" w:rsidRDefault="0012339C" w:rsidP="00385258">
      <w:pPr>
        <w:pStyle w:val="TableFigureCaption"/>
      </w:pPr>
      <w:r w:rsidRPr="00E12BDF">
        <w:t>Table 6: Summary of the frequency of cardiovascular hospitalisation events by tafamidis dose for ATTR-ACT (ITT; randomisation to 30 months)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6"/>
        <w:gridCol w:w="1656"/>
        <w:gridCol w:w="1655"/>
        <w:gridCol w:w="1655"/>
        <w:gridCol w:w="1596"/>
      </w:tblGrid>
      <w:tr w:rsidR="0012339C" w:rsidRPr="00E12BDF" w:rsidTr="00F62870">
        <w:trPr>
          <w:tblHeader/>
        </w:trPr>
        <w:tc>
          <w:tcPr>
            <w:tcW w:w="1341" w:type="pct"/>
            <w:vAlign w:val="center"/>
          </w:tcPr>
          <w:p w:rsidR="0012339C" w:rsidRPr="00E12BDF" w:rsidRDefault="0012339C" w:rsidP="00385258">
            <w:pPr>
              <w:pStyle w:val="Tableheadingrow"/>
              <w:tabs>
                <w:tab w:val="left" w:pos="175"/>
              </w:tabs>
              <w:ind w:right="117"/>
              <w:rPr>
                <w:lang w:val="en-AU"/>
              </w:rPr>
            </w:pPr>
            <w:r w:rsidRPr="00E12BDF">
              <w:rPr>
                <w:lang w:val="en-AU"/>
              </w:rPr>
              <w:t>Cardiovascular hospitalisation events</w:t>
            </w:r>
          </w:p>
        </w:tc>
        <w:tc>
          <w:tcPr>
            <w:tcW w:w="923" w:type="pct"/>
            <w:vAlign w:val="center"/>
          </w:tcPr>
          <w:p w:rsidR="0012339C" w:rsidRPr="00E12BDF" w:rsidRDefault="0012339C" w:rsidP="00385258">
            <w:pPr>
              <w:pStyle w:val="Tableheadingrow"/>
              <w:jc w:val="center"/>
              <w:rPr>
                <w:szCs w:val="20"/>
                <w:lang w:val="en-AU"/>
              </w:rPr>
            </w:pPr>
            <w:r w:rsidRPr="00E12BDF">
              <w:rPr>
                <w:szCs w:val="20"/>
                <w:lang w:val="en-AU"/>
              </w:rPr>
              <w:t xml:space="preserve">Tafamidis </w:t>
            </w:r>
          </w:p>
          <w:p w:rsidR="0012339C" w:rsidRPr="00E12BDF" w:rsidRDefault="0012339C" w:rsidP="00385258">
            <w:pPr>
              <w:pStyle w:val="Tableheadingrow"/>
              <w:jc w:val="center"/>
              <w:rPr>
                <w:szCs w:val="20"/>
                <w:lang w:val="en-AU"/>
              </w:rPr>
            </w:pPr>
            <w:r w:rsidRPr="00E12BDF">
              <w:rPr>
                <w:szCs w:val="20"/>
                <w:lang w:val="en-AU"/>
              </w:rPr>
              <w:t>20 mg</w:t>
            </w:r>
          </w:p>
        </w:tc>
        <w:tc>
          <w:tcPr>
            <w:tcW w:w="923" w:type="pct"/>
            <w:vAlign w:val="center"/>
          </w:tcPr>
          <w:p w:rsidR="0012339C" w:rsidRPr="00E12BDF" w:rsidRDefault="0012339C" w:rsidP="00385258">
            <w:pPr>
              <w:pStyle w:val="Tableheadingrow"/>
              <w:jc w:val="center"/>
              <w:rPr>
                <w:szCs w:val="20"/>
                <w:lang w:val="en-AU"/>
              </w:rPr>
            </w:pPr>
            <w:r w:rsidRPr="00E12BDF">
              <w:rPr>
                <w:szCs w:val="20"/>
                <w:lang w:val="en-AU"/>
              </w:rPr>
              <w:t xml:space="preserve">Tafamidis </w:t>
            </w:r>
          </w:p>
          <w:p w:rsidR="0012339C" w:rsidRPr="00E12BDF" w:rsidRDefault="0012339C" w:rsidP="00385258">
            <w:pPr>
              <w:pStyle w:val="Tableheadingrow"/>
              <w:jc w:val="center"/>
              <w:rPr>
                <w:szCs w:val="20"/>
                <w:lang w:val="en-AU"/>
              </w:rPr>
            </w:pPr>
            <w:r w:rsidRPr="00E12BDF">
              <w:rPr>
                <w:szCs w:val="20"/>
                <w:lang w:val="en-AU"/>
              </w:rPr>
              <w:t>80 mg</w:t>
            </w:r>
          </w:p>
        </w:tc>
        <w:tc>
          <w:tcPr>
            <w:tcW w:w="923" w:type="pct"/>
            <w:vAlign w:val="center"/>
          </w:tcPr>
          <w:p w:rsidR="0012339C" w:rsidRPr="00E12BDF" w:rsidRDefault="0012339C" w:rsidP="00385258">
            <w:pPr>
              <w:pStyle w:val="Tableheadingrow"/>
              <w:jc w:val="center"/>
              <w:rPr>
                <w:szCs w:val="20"/>
                <w:lang w:val="en-AU"/>
              </w:rPr>
            </w:pPr>
            <w:r w:rsidRPr="00E12BDF">
              <w:rPr>
                <w:szCs w:val="20"/>
                <w:lang w:val="en-AU"/>
              </w:rPr>
              <w:t>Tafamidis pooled</w:t>
            </w:r>
          </w:p>
        </w:tc>
        <w:tc>
          <w:tcPr>
            <w:tcW w:w="890" w:type="pct"/>
            <w:vAlign w:val="center"/>
          </w:tcPr>
          <w:p w:rsidR="0012339C" w:rsidRPr="00E12BDF" w:rsidRDefault="0012339C" w:rsidP="00385258">
            <w:pPr>
              <w:pStyle w:val="Tableheadingrow"/>
              <w:jc w:val="center"/>
              <w:rPr>
                <w:szCs w:val="20"/>
                <w:lang w:val="en-AU"/>
              </w:rPr>
            </w:pPr>
            <w:r w:rsidRPr="00E12BDF">
              <w:rPr>
                <w:szCs w:val="20"/>
                <w:lang w:val="en-AU"/>
              </w:rPr>
              <w:t>Placebo</w:t>
            </w:r>
          </w:p>
        </w:tc>
      </w:tr>
      <w:tr w:rsidR="0012339C" w:rsidRPr="00E12BDF" w:rsidTr="00F62870">
        <w:tc>
          <w:tcPr>
            <w:tcW w:w="1341" w:type="pct"/>
            <w:vAlign w:val="center"/>
          </w:tcPr>
          <w:p w:rsidR="0012339C" w:rsidRPr="00E12BDF" w:rsidRDefault="0012339C" w:rsidP="00385258">
            <w:pPr>
              <w:pStyle w:val="TableText"/>
              <w:tabs>
                <w:tab w:val="left" w:pos="175"/>
              </w:tabs>
              <w:ind w:right="-69"/>
            </w:pPr>
            <w:r w:rsidRPr="00E12BDF">
              <w:t>N</w:t>
            </w:r>
          </w:p>
        </w:tc>
        <w:tc>
          <w:tcPr>
            <w:tcW w:w="923" w:type="pct"/>
            <w:vAlign w:val="center"/>
          </w:tcPr>
          <w:p w:rsidR="0012339C" w:rsidRPr="00E12BDF" w:rsidRDefault="0012339C" w:rsidP="00385258">
            <w:pPr>
              <w:pStyle w:val="TableText"/>
              <w:jc w:val="center"/>
              <w:rPr>
                <w:szCs w:val="20"/>
              </w:rPr>
            </w:pPr>
            <w:r w:rsidRPr="00E12BDF">
              <w:rPr>
                <w:szCs w:val="20"/>
              </w:rPr>
              <w:t>88</w:t>
            </w:r>
          </w:p>
        </w:tc>
        <w:tc>
          <w:tcPr>
            <w:tcW w:w="923" w:type="pct"/>
            <w:vAlign w:val="center"/>
          </w:tcPr>
          <w:p w:rsidR="0012339C" w:rsidRPr="00E12BDF" w:rsidRDefault="0012339C" w:rsidP="00385258">
            <w:pPr>
              <w:pStyle w:val="TableText"/>
              <w:jc w:val="center"/>
              <w:rPr>
                <w:szCs w:val="20"/>
              </w:rPr>
            </w:pPr>
            <w:r w:rsidRPr="00E12BDF">
              <w:rPr>
                <w:szCs w:val="20"/>
              </w:rPr>
              <w:t>176</w:t>
            </w:r>
          </w:p>
        </w:tc>
        <w:tc>
          <w:tcPr>
            <w:tcW w:w="923" w:type="pct"/>
            <w:vAlign w:val="center"/>
          </w:tcPr>
          <w:p w:rsidR="0012339C" w:rsidRPr="00E12BDF" w:rsidRDefault="0012339C" w:rsidP="00385258">
            <w:pPr>
              <w:pStyle w:val="TableText"/>
              <w:jc w:val="center"/>
              <w:rPr>
                <w:szCs w:val="20"/>
              </w:rPr>
            </w:pPr>
            <w:r w:rsidRPr="00E12BDF">
              <w:rPr>
                <w:szCs w:val="20"/>
              </w:rPr>
              <w:t>264</w:t>
            </w:r>
          </w:p>
        </w:tc>
        <w:tc>
          <w:tcPr>
            <w:tcW w:w="890" w:type="pct"/>
            <w:vAlign w:val="center"/>
          </w:tcPr>
          <w:p w:rsidR="0012339C" w:rsidRPr="00E12BDF" w:rsidRDefault="0012339C" w:rsidP="00385258">
            <w:pPr>
              <w:pStyle w:val="TableText"/>
              <w:jc w:val="center"/>
              <w:rPr>
                <w:szCs w:val="20"/>
              </w:rPr>
            </w:pPr>
            <w:r w:rsidRPr="00E12BDF">
              <w:rPr>
                <w:szCs w:val="20"/>
              </w:rPr>
              <w:t>177</w:t>
            </w:r>
          </w:p>
        </w:tc>
      </w:tr>
      <w:tr w:rsidR="0012339C" w:rsidRPr="00E12BDF" w:rsidTr="00F62870">
        <w:tc>
          <w:tcPr>
            <w:tcW w:w="1341" w:type="pct"/>
            <w:tcBorders>
              <w:bottom w:val="single" w:sz="4" w:space="0" w:color="auto"/>
            </w:tcBorders>
            <w:vAlign w:val="center"/>
          </w:tcPr>
          <w:p w:rsidR="0012339C" w:rsidRPr="00E12BDF" w:rsidRDefault="0012339C" w:rsidP="00385258">
            <w:pPr>
              <w:pStyle w:val="TableText"/>
              <w:tabs>
                <w:tab w:val="left" w:pos="175"/>
              </w:tabs>
              <w:ind w:right="-69"/>
            </w:pPr>
            <w:r w:rsidRPr="00E12BDF">
              <w:t>Patients experiencing events,</w:t>
            </w:r>
          </w:p>
          <w:p w:rsidR="0012339C" w:rsidRPr="00E12BDF" w:rsidRDefault="0012339C" w:rsidP="00385258">
            <w:pPr>
              <w:pStyle w:val="TableText"/>
              <w:tabs>
                <w:tab w:val="left" w:pos="175"/>
              </w:tabs>
              <w:ind w:right="-69"/>
            </w:pPr>
            <w:r w:rsidRPr="00E12BDF">
              <w:t>n (%)</w:t>
            </w:r>
          </w:p>
        </w:tc>
        <w:tc>
          <w:tcPr>
            <w:tcW w:w="923" w:type="pct"/>
            <w:vAlign w:val="center"/>
          </w:tcPr>
          <w:p w:rsidR="0012339C" w:rsidRPr="00E12BDF" w:rsidRDefault="0012339C" w:rsidP="00385258">
            <w:pPr>
              <w:pStyle w:val="TableText"/>
              <w:jc w:val="center"/>
              <w:rPr>
                <w:rFonts w:eastAsia="Times New Roman"/>
                <w:color w:val="000000"/>
                <w:szCs w:val="20"/>
              </w:rPr>
            </w:pPr>
            <w:r w:rsidRPr="00E12BDF">
              <w:rPr>
                <w:rFonts w:eastAsia="Times New Roman"/>
                <w:color w:val="000000"/>
                <w:szCs w:val="20"/>
              </w:rPr>
              <w:t>42 (47.5%)</w:t>
            </w:r>
          </w:p>
        </w:tc>
        <w:tc>
          <w:tcPr>
            <w:tcW w:w="923" w:type="pct"/>
            <w:vAlign w:val="center"/>
          </w:tcPr>
          <w:p w:rsidR="0012339C" w:rsidRPr="00E12BDF" w:rsidRDefault="0012339C" w:rsidP="00385258">
            <w:pPr>
              <w:pStyle w:val="TableText"/>
              <w:jc w:val="center"/>
              <w:rPr>
                <w:rFonts w:eastAsia="Times New Roman"/>
                <w:color w:val="000000"/>
                <w:szCs w:val="20"/>
              </w:rPr>
            </w:pPr>
            <w:r w:rsidRPr="00E12BDF">
              <w:rPr>
                <w:rFonts w:eastAsia="Times New Roman"/>
                <w:color w:val="000000"/>
                <w:szCs w:val="20"/>
              </w:rPr>
              <w:t>96 (54.5%)</w:t>
            </w:r>
          </w:p>
        </w:tc>
        <w:tc>
          <w:tcPr>
            <w:tcW w:w="923" w:type="pct"/>
            <w:vAlign w:val="center"/>
          </w:tcPr>
          <w:p w:rsidR="0012339C" w:rsidRPr="00E12BDF" w:rsidRDefault="0012339C" w:rsidP="00385258">
            <w:pPr>
              <w:pStyle w:val="TableText"/>
              <w:jc w:val="center"/>
              <w:rPr>
                <w:rFonts w:eastAsia="Times New Roman"/>
                <w:color w:val="000000"/>
                <w:szCs w:val="20"/>
              </w:rPr>
            </w:pPr>
            <w:r w:rsidRPr="00E12BDF">
              <w:rPr>
                <w:rFonts w:eastAsia="Times New Roman"/>
                <w:color w:val="000000"/>
                <w:szCs w:val="20"/>
              </w:rPr>
              <w:t>138 (52.3%)</w:t>
            </w:r>
          </w:p>
        </w:tc>
        <w:tc>
          <w:tcPr>
            <w:tcW w:w="890" w:type="pct"/>
            <w:vAlign w:val="center"/>
          </w:tcPr>
          <w:p w:rsidR="0012339C" w:rsidRPr="00E12BDF" w:rsidRDefault="0012339C" w:rsidP="00385258">
            <w:pPr>
              <w:pStyle w:val="TableText"/>
              <w:jc w:val="center"/>
              <w:rPr>
                <w:rFonts w:eastAsia="Times New Roman"/>
                <w:color w:val="000000"/>
                <w:szCs w:val="20"/>
              </w:rPr>
            </w:pPr>
            <w:r w:rsidRPr="00E12BDF">
              <w:rPr>
                <w:rFonts w:eastAsia="Times New Roman"/>
                <w:color w:val="000000"/>
                <w:szCs w:val="20"/>
              </w:rPr>
              <w:t>107 (60.5%)</w:t>
            </w:r>
          </w:p>
        </w:tc>
      </w:tr>
      <w:tr w:rsidR="0012339C" w:rsidRPr="00E12BDF" w:rsidTr="00F62870">
        <w:tc>
          <w:tcPr>
            <w:tcW w:w="1341" w:type="pct"/>
            <w:tcBorders>
              <w:bottom w:val="single" w:sz="4" w:space="0" w:color="auto"/>
            </w:tcBorders>
            <w:vAlign w:val="center"/>
          </w:tcPr>
          <w:p w:rsidR="0012339C" w:rsidRPr="00E12BDF" w:rsidRDefault="0012339C" w:rsidP="00385258">
            <w:pPr>
              <w:pStyle w:val="TableText"/>
              <w:tabs>
                <w:tab w:val="left" w:pos="175"/>
              </w:tabs>
              <w:ind w:right="-69"/>
            </w:pPr>
            <w:r w:rsidRPr="00E12BDF">
              <w:t>Mean (SD) cardiovascular hospitalisations per year</w:t>
            </w:r>
            <w:r w:rsidRPr="00E12BDF">
              <w:rPr>
                <w:vertAlign w:val="superscript"/>
              </w:rPr>
              <w:t>a</w:t>
            </w:r>
          </w:p>
        </w:tc>
        <w:tc>
          <w:tcPr>
            <w:tcW w:w="923" w:type="pct"/>
            <w:vAlign w:val="center"/>
          </w:tcPr>
          <w:p w:rsidR="0012339C" w:rsidRPr="00E12BDF" w:rsidRDefault="0012339C" w:rsidP="00385258">
            <w:pPr>
              <w:pStyle w:val="TableText"/>
              <w:jc w:val="center"/>
              <w:rPr>
                <w:szCs w:val="20"/>
              </w:rPr>
            </w:pPr>
            <w:r w:rsidRPr="00E12BDF">
              <w:rPr>
                <w:szCs w:val="20"/>
              </w:rPr>
              <w:t>0.976 (2.117)</w:t>
            </w:r>
          </w:p>
        </w:tc>
        <w:tc>
          <w:tcPr>
            <w:tcW w:w="923" w:type="pct"/>
            <w:vAlign w:val="center"/>
          </w:tcPr>
          <w:p w:rsidR="0012339C" w:rsidRPr="00E12BDF" w:rsidRDefault="0012339C" w:rsidP="00385258">
            <w:pPr>
              <w:pStyle w:val="TableText"/>
              <w:jc w:val="center"/>
              <w:rPr>
                <w:szCs w:val="20"/>
              </w:rPr>
            </w:pPr>
            <w:r w:rsidRPr="00E12BDF">
              <w:rPr>
                <w:szCs w:val="20"/>
              </w:rPr>
              <w:t>1.010 (2.360)</w:t>
            </w:r>
          </w:p>
        </w:tc>
        <w:tc>
          <w:tcPr>
            <w:tcW w:w="923" w:type="pct"/>
            <w:vAlign w:val="center"/>
          </w:tcPr>
          <w:p w:rsidR="0012339C" w:rsidRPr="00E12BDF" w:rsidRDefault="0012339C" w:rsidP="00385258">
            <w:pPr>
              <w:pStyle w:val="TableText"/>
              <w:jc w:val="center"/>
              <w:rPr>
                <w:szCs w:val="20"/>
              </w:rPr>
            </w:pPr>
            <w:r w:rsidRPr="00E12BDF">
              <w:rPr>
                <w:rFonts w:eastAsia="Times New Roman"/>
                <w:color w:val="000000"/>
                <w:szCs w:val="20"/>
              </w:rPr>
              <w:t>0.999 (2.278)</w:t>
            </w:r>
          </w:p>
        </w:tc>
        <w:tc>
          <w:tcPr>
            <w:tcW w:w="890" w:type="pct"/>
            <w:vAlign w:val="center"/>
          </w:tcPr>
          <w:p w:rsidR="0012339C" w:rsidRPr="00E12BDF" w:rsidRDefault="0012339C" w:rsidP="00385258">
            <w:pPr>
              <w:pStyle w:val="TableText"/>
              <w:jc w:val="center"/>
              <w:rPr>
                <w:szCs w:val="20"/>
              </w:rPr>
            </w:pPr>
            <w:r w:rsidRPr="00E12BDF">
              <w:rPr>
                <w:rFonts w:eastAsia="Times New Roman"/>
                <w:color w:val="000000"/>
                <w:szCs w:val="20"/>
              </w:rPr>
              <w:t>0.884 (1.203)</w:t>
            </w:r>
          </w:p>
        </w:tc>
      </w:tr>
      <w:tr w:rsidR="0012339C" w:rsidRPr="00E12BDF" w:rsidTr="00F62870">
        <w:tc>
          <w:tcPr>
            <w:tcW w:w="1341" w:type="pct"/>
            <w:tcBorders>
              <w:top w:val="single" w:sz="4" w:space="0" w:color="auto"/>
            </w:tcBorders>
            <w:vAlign w:val="center"/>
          </w:tcPr>
          <w:p w:rsidR="0012339C" w:rsidRPr="00E12BDF" w:rsidRDefault="0012339C" w:rsidP="00385258">
            <w:pPr>
              <w:pStyle w:val="TableText"/>
              <w:tabs>
                <w:tab w:val="left" w:pos="175"/>
              </w:tabs>
              <w:ind w:right="-69"/>
            </w:pPr>
            <w:r w:rsidRPr="00E12BDF">
              <w:t>Median (range) cardiovascular hospitalisations per year</w:t>
            </w:r>
            <w:r w:rsidRPr="00E12BDF">
              <w:rPr>
                <w:vertAlign w:val="superscript"/>
              </w:rPr>
              <w:t>a</w:t>
            </w:r>
          </w:p>
        </w:tc>
        <w:tc>
          <w:tcPr>
            <w:tcW w:w="923" w:type="pct"/>
            <w:vAlign w:val="center"/>
          </w:tcPr>
          <w:p w:rsidR="0012339C" w:rsidRPr="00E12BDF" w:rsidRDefault="0012339C" w:rsidP="00385258">
            <w:pPr>
              <w:pStyle w:val="TableText"/>
              <w:jc w:val="center"/>
              <w:rPr>
                <w:szCs w:val="20"/>
              </w:rPr>
            </w:pPr>
            <w:r w:rsidRPr="00E12BDF">
              <w:rPr>
                <w:szCs w:val="20"/>
              </w:rPr>
              <w:t>0 (0, 12.04)</w:t>
            </w:r>
          </w:p>
        </w:tc>
        <w:tc>
          <w:tcPr>
            <w:tcW w:w="923" w:type="pct"/>
            <w:vAlign w:val="center"/>
          </w:tcPr>
          <w:p w:rsidR="0012339C" w:rsidRPr="00E12BDF" w:rsidRDefault="0012339C" w:rsidP="00385258">
            <w:pPr>
              <w:pStyle w:val="TableText"/>
              <w:jc w:val="center"/>
              <w:rPr>
                <w:szCs w:val="20"/>
              </w:rPr>
            </w:pPr>
            <w:r w:rsidRPr="00E12BDF">
              <w:rPr>
                <w:szCs w:val="20"/>
              </w:rPr>
              <w:t>0.397 (0, 21.49)</w:t>
            </w:r>
          </w:p>
        </w:tc>
        <w:tc>
          <w:tcPr>
            <w:tcW w:w="923" w:type="pct"/>
            <w:vAlign w:val="center"/>
          </w:tcPr>
          <w:p w:rsidR="0012339C" w:rsidRPr="00E12BDF" w:rsidRDefault="0012339C" w:rsidP="00385258">
            <w:pPr>
              <w:pStyle w:val="TableText"/>
              <w:jc w:val="center"/>
              <w:rPr>
                <w:szCs w:val="20"/>
              </w:rPr>
            </w:pPr>
            <w:r w:rsidRPr="00E12BDF">
              <w:rPr>
                <w:szCs w:val="20"/>
              </w:rPr>
              <w:t>0.395 (0, 21.49)</w:t>
            </w:r>
          </w:p>
        </w:tc>
        <w:tc>
          <w:tcPr>
            <w:tcW w:w="890" w:type="pct"/>
            <w:vAlign w:val="center"/>
          </w:tcPr>
          <w:p w:rsidR="0012339C" w:rsidRPr="00E12BDF" w:rsidRDefault="0012339C" w:rsidP="00385258">
            <w:pPr>
              <w:pStyle w:val="TableText"/>
              <w:jc w:val="center"/>
              <w:rPr>
                <w:szCs w:val="20"/>
              </w:rPr>
            </w:pPr>
            <w:r w:rsidRPr="00E12BDF">
              <w:rPr>
                <w:szCs w:val="20"/>
              </w:rPr>
              <w:t>0.403 (0, 7.23)</w:t>
            </w:r>
          </w:p>
        </w:tc>
      </w:tr>
      <w:tr w:rsidR="0012339C" w:rsidRPr="00E12BDF" w:rsidTr="00F62870">
        <w:tc>
          <w:tcPr>
            <w:tcW w:w="1341" w:type="pct"/>
            <w:vAlign w:val="center"/>
          </w:tcPr>
          <w:p w:rsidR="0012339C" w:rsidRPr="00E12BDF" w:rsidRDefault="0012339C" w:rsidP="00385258">
            <w:pPr>
              <w:pStyle w:val="TableText"/>
              <w:tabs>
                <w:tab w:val="left" w:pos="175"/>
              </w:tabs>
              <w:ind w:right="-69"/>
              <w:rPr>
                <w:vertAlign w:val="superscript"/>
              </w:rPr>
            </w:pPr>
            <w:r w:rsidRPr="00E12BDF">
              <w:t>Frequency of cardiovascular hospitalisations (95% CI)</w:t>
            </w:r>
            <w:r w:rsidRPr="00E12BDF">
              <w:rPr>
                <w:vertAlign w:val="superscript"/>
              </w:rPr>
              <w:t>b</w:t>
            </w:r>
          </w:p>
        </w:tc>
        <w:tc>
          <w:tcPr>
            <w:tcW w:w="923" w:type="pct"/>
            <w:vAlign w:val="center"/>
          </w:tcPr>
          <w:p w:rsidR="0012339C" w:rsidRPr="00E12BDF" w:rsidRDefault="0012339C" w:rsidP="00385258">
            <w:pPr>
              <w:pStyle w:val="TableText"/>
              <w:ind w:left="-89" w:right="-71"/>
              <w:jc w:val="center"/>
              <w:rPr>
                <w:szCs w:val="20"/>
              </w:rPr>
            </w:pPr>
            <w:r w:rsidRPr="00E12BDF">
              <w:rPr>
                <w:szCs w:val="20"/>
              </w:rPr>
              <w:t>0.464 (0.371, 0.581)</w:t>
            </w:r>
          </w:p>
        </w:tc>
        <w:tc>
          <w:tcPr>
            <w:tcW w:w="923" w:type="pct"/>
            <w:vAlign w:val="center"/>
          </w:tcPr>
          <w:p w:rsidR="0012339C" w:rsidRPr="00E12BDF" w:rsidRDefault="0012339C" w:rsidP="00385258">
            <w:pPr>
              <w:pStyle w:val="TableText"/>
              <w:ind w:left="-89" w:right="-71"/>
              <w:jc w:val="center"/>
              <w:rPr>
                <w:szCs w:val="20"/>
              </w:rPr>
            </w:pPr>
            <w:r w:rsidRPr="00E12BDF">
              <w:rPr>
                <w:szCs w:val="20"/>
              </w:rPr>
              <w:t>0.491 (0.421, 0.572</w:t>
            </w:r>
          </w:p>
        </w:tc>
        <w:tc>
          <w:tcPr>
            <w:tcW w:w="923" w:type="pct"/>
            <w:vAlign w:val="center"/>
          </w:tcPr>
          <w:p w:rsidR="0012339C" w:rsidRPr="00E12BDF" w:rsidRDefault="0012339C" w:rsidP="00385258">
            <w:pPr>
              <w:pStyle w:val="TableText"/>
              <w:ind w:left="-89" w:right="-71"/>
              <w:jc w:val="center"/>
              <w:rPr>
                <w:szCs w:val="20"/>
              </w:rPr>
            </w:pPr>
            <w:r w:rsidRPr="00E12BDF">
              <w:rPr>
                <w:szCs w:val="20"/>
              </w:rPr>
              <w:t>0.475 (0.418, 0.540)</w:t>
            </w:r>
          </w:p>
        </w:tc>
        <w:tc>
          <w:tcPr>
            <w:tcW w:w="890" w:type="pct"/>
            <w:vAlign w:val="center"/>
          </w:tcPr>
          <w:p w:rsidR="0012339C" w:rsidRPr="00E12BDF" w:rsidRDefault="0012339C" w:rsidP="00385258">
            <w:pPr>
              <w:pStyle w:val="TableText"/>
              <w:ind w:left="-89" w:right="-71"/>
              <w:jc w:val="center"/>
              <w:rPr>
                <w:szCs w:val="20"/>
              </w:rPr>
            </w:pPr>
            <w:r w:rsidRPr="00E12BDF">
              <w:rPr>
                <w:szCs w:val="20"/>
              </w:rPr>
              <w:t>0.702 (0.617, 0.799)</w:t>
            </w:r>
          </w:p>
        </w:tc>
      </w:tr>
      <w:tr w:rsidR="0012339C" w:rsidRPr="00E12BDF" w:rsidTr="00F62870">
        <w:tc>
          <w:tcPr>
            <w:tcW w:w="1341" w:type="pct"/>
            <w:vAlign w:val="center"/>
          </w:tcPr>
          <w:p w:rsidR="0012339C" w:rsidRPr="00E12BDF" w:rsidRDefault="0012339C" w:rsidP="00385258">
            <w:pPr>
              <w:pStyle w:val="TableText"/>
              <w:tabs>
                <w:tab w:val="left" w:pos="175"/>
              </w:tabs>
              <w:ind w:right="-69"/>
            </w:pPr>
            <w:r w:rsidRPr="00E12BDF">
              <w:t xml:space="preserve">Relative risk vs placebo </w:t>
            </w:r>
          </w:p>
          <w:p w:rsidR="0012339C" w:rsidRPr="00E12BDF" w:rsidRDefault="0012339C" w:rsidP="00385258">
            <w:pPr>
              <w:pStyle w:val="TableText"/>
              <w:tabs>
                <w:tab w:val="left" w:pos="175"/>
              </w:tabs>
              <w:ind w:right="-69"/>
            </w:pPr>
            <w:r w:rsidRPr="00E12BDF">
              <w:t>(95% CI)</w:t>
            </w:r>
          </w:p>
        </w:tc>
        <w:tc>
          <w:tcPr>
            <w:tcW w:w="923" w:type="pct"/>
            <w:vAlign w:val="center"/>
          </w:tcPr>
          <w:p w:rsidR="0012339C" w:rsidRPr="00E12BDF" w:rsidRDefault="0012339C" w:rsidP="00385258">
            <w:pPr>
              <w:pStyle w:val="TableText"/>
              <w:ind w:left="-89" w:right="-71"/>
              <w:jc w:val="center"/>
              <w:rPr>
                <w:b/>
                <w:szCs w:val="20"/>
              </w:rPr>
            </w:pPr>
            <w:r w:rsidRPr="00E12BDF">
              <w:rPr>
                <w:b/>
                <w:szCs w:val="20"/>
              </w:rPr>
              <w:t>0.661 (0.511, 0.856)</w:t>
            </w:r>
          </w:p>
        </w:tc>
        <w:tc>
          <w:tcPr>
            <w:tcW w:w="923" w:type="pct"/>
            <w:vAlign w:val="center"/>
          </w:tcPr>
          <w:p w:rsidR="0012339C" w:rsidRPr="00E12BDF" w:rsidRDefault="0012339C" w:rsidP="00385258">
            <w:pPr>
              <w:pStyle w:val="TableText"/>
              <w:ind w:left="-89" w:right="-71"/>
              <w:jc w:val="center"/>
              <w:rPr>
                <w:b/>
                <w:szCs w:val="20"/>
              </w:rPr>
            </w:pPr>
            <w:r w:rsidRPr="00E12BDF">
              <w:rPr>
                <w:b/>
                <w:szCs w:val="20"/>
              </w:rPr>
              <w:t>0.699 (0.572, 0.855)</w:t>
            </w:r>
          </w:p>
        </w:tc>
        <w:tc>
          <w:tcPr>
            <w:tcW w:w="923" w:type="pct"/>
            <w:vAlign w:val="center"/>
          </w:tcPr>
          <w:p w:rsidR="0012339C" w:rsidRPr="00E12BDF" w:rsidRDefault="0012339C" w:rsidP="00385258">
            <w:pPr>
              <w:pStyle w:val="TableText"/>
              <w:ind w:left="-89" w:right="-71"/>
              <w:jc w:val="center"/>
              <w:rPr>
                <w:b/>
                <w:szCs w:val="20"/>
              </w:rPr>
            </w:pPr>
            <w:r w:rsidRPr="00E12BDF">
              <w:rPr>
                <w:b/>
                <w:szCs w:val="20"/>
              </w:rPr>
              <w:t>0.676 (0.564, 0.811)</w:t>
            </w:r>
          </w:p>
        </w:tc>
        <w:tc>
          <w:tcPr>
            <w:tcW w:w="890" w:type="pct"/>
            <w:vAlign w:val="center"/>
          </w:tcPr>
          <w:p w:rsidR="0012339C" w:rsidRPr="00E12BDF" w:rsidRDefault="0012339C" w:rsidP="00385258">
            <w:pPr>
              <w:pStyle w:val="TableText"/>
              <w:ind w:left="-89" w:right="-71"/>
              <w:jc w:val="center"/>
              <w:rPr>
                <w:szCs w:val="20"/>
              </w:rPr>
            </w:pPr>
            <w:r w:rsidRPr="00E12BDF">
              <w:rPr>
                <w:szCs w:val="20"/>
              </w:rPr>
              <w:t>-</w:t>
            </w:r>
          </w:p>
        </w:tc>
      </w:tr>
    </w:tbl>
    <w:p w:rsidR="0012339C" w:rsidRPr="00E12BDF" w:rsidRDefault="0012339C" w:rsidP="00385258">
      <w:pPr>
        <w:pStyle w:val="TableFigureFooter"/>
        <w:keepNext/>
      </w:pPr>
      <w:r w:rsidRPr="00E12BDF">
        <w:t>Source: Table 2.5.4, p.81 and Table 2.5.13, p.107 of the submission. Statistically significant results in bold.</w:t>
      </w:r>
    </w:p>
    <w:p w:rsidR="0012339C" w:rsidRPr="00E12BDF" w:rsidRDefault="0012339C" w:rsidP="00385258">
      <w:pPr>
        <w:pStyle w:val="TableFigureFooter"/>
        <w:keepNext/>
      </w:pPr>
      <w:r w:rsidRPr="00E12BDF">
        <w:t xml:space="preserve">Abbreviations: CI, confidence interval; ITT, intention-to-treat; </w:t>
      </w:r>
      <w:r w:rsidRPr="00E12BDF">
        <w:rPr>
          <w:szCs w:val="18"/>
        </w:rPr>
        <w:t>NYHA, New York Heart Association heart failure classification; SD, standard deviation; TTR, transthyretin</w:t>
      </w:r>
      <w:r w:rsidRPr="00E12BDF">
        <w:t>.</w:t>
      </w:r>
    </w:p>
    <w:p w:rsidR="0012339C" w:rsidRPr="00E12BDF" w:rsidRDefault="0012339C" w:rsidP="00385258">
      <w:pPr>
        <w:pStyle w:val="TableFigureFooter"/>
        <w:keepNext/>
      </w:pPr>
      <w:r w:rsidRPr="00E12BDF">
        <w:rPr>
          <w:vertAlign w:val="superscript"/>
        </w:rPr>
        <w:t>a</w:t>
      </w:r>
      <w:r w:rsidRPr="00E12BDF">
        <w:t xml:space="preserve"> Cardiovascular-related hospitalisations per year calculated as (patient’s number of cardiovascular hospitalisations)/(duration on study in years).</w:t>
      </w:r>
    </w:p>
    <w:p w:rsidR="0012339C" w:rsidRPr="00E12BDF" w:rsidRDefault="0012339C" w:rsidP="000D5C4B">
      <w:pPr>
        <w:pStyle w:val="TableFigureFooter"/>
        <w:spacing w:after="240"/>
        <w:rPr>
          <w:sz w:val="20"/>
        </w:rPr>
      </w:pPr>
      <w:r w:rsidRPr="00E12BDF">
        <w:rPr>
          <w:vertAlign w:val="superscript"/>
        </w:rPr>
        <w:t>b</w:t>
      </w:r>
      <w:r w:rsidRPr="00E12BDF">
        <w:t xml:space="preserve"> Poisson regression analysis with treatment, TTR genotype, NYHA baseline classification (NYHA I &amp; II; NYHA III), treatment-by-TTR genotype interaction, and treatment by NYHA baseline classification interaction terms as factors, adjusted for treatment duration. </w:t>
      </w:r>
    </w:p>
    <w:p w:rsidR="0012339C" w:rsidRPr="00E12BDF" w:rsidRDefault="00684D1B" w:rsidP="0012339C">
      <w:pPr>
        <w:pStyle w:val="ExecSumBodyText"/>
      </w:pPr>
      <w:r w:rsidRPr="00E12BDF">
        <w:t>Low</w:t>
      </w:r>
      <w:r w:rsidR="0012339C" w:rsidRPr="00E12BDF">
        <w:t>er proportions of patients experienced cardiovascular hospitalisation events in the tafamidis 20</w:t>
      </w:r>
      <w:r w:rsidR="00F9321C" w:rsidRPr="00E12BDF">
        <w:t xml:space="preserve"> </w:t>
      </w:r>
      <w:r w:rsidR="0012339C" w:rsidRPr="00E12BDF">
        <w:t>mg (47.5%) and tafamidis 80 mg (54.5%) treatment arms compared to placebo (60.5%). The median number of hospitalisations per year was similar between the tafamidis 80 mg and placebo arms. However, when estimates were reported as mean number of hospitalisations per year, patients in the placebo arm had similar or slightly lower events (0.884) compared to tafamidis treated patients</w:t>
      </w:r>
      <w:r w:rsidR="004A1D6A" w:rsidRPr="00E12BDF">
        <w:t xml:space="preserve"> (0.999 in the pooled population).</w:t>
      </w:r>
      <w:r w:rsidR="0012339C" w:rsidRPr="00E12BDF">
        <w:t xml:space="preserve"> </w:t>
      </w:r>
    </w:p>
    <w:p w:rsidR="0012339C" w:rsidRPr="00E12BDF" w:rsidRDefault="0012339C" w:rsidP="0012339C">
      <w:pPr>
        <w:pStyle w:val="ExecSumBodyText"/>
      </w:pPr>
      <w:r w:rsidRPr="00E12BDF">
        <w:t xml:space="preserve">Comparisons between treatment arms based on a Poisson regression analysis with treatment, TTR genotype, NYHA baseline classification, treatment-by-TTR genotype interaction, and </w:t>
      </w:r>
      <w:r w:rsidR="00EB6931" w:rsidRPr="00E12BDF">
        <w:t>treatment-by-</w:t>
      </w:r>
      <w:r w:rsidRPr="00E12BDF">
        <w:t xml:space="preserve">NYHA baseline classification interaction terms as factors, </w:t>
      </w:r>
      <w:r w:rsidR="004A1D6A" w:rsidRPr="00E12BDF">
        <w:t xml:space="preserve">and </w:t>
      </w:r>
      <w:r w:rsidRPr="00E12BDF">
        <w:t xml:space="preserve">adjusted for treatment duration, showed the risk of cardiovascular hospitalisation was 33.9% lower for tafamidis 20 mg, 30.0% lower for tafamidis 80 mg and 32.4% lower for the pooled tafamidis arms compared to placebo. The reasons for </w:t>
      </w:r>
      <w:r w:rsidRPr="00E12BDF">
        <w:lastRenderedPageBreak/>
        <w:t>the differences in estimates between mean and median cardiovascular hospitalisations per year and frequency of cardiovascular hospitalisation was unclear.</w:t>
      </w:r>
    </w:p>
    <w:p w:rsidR="0012339C" w:rsidRPr="00E12BDF" w:rsidRDefault="0038450C" w:rsidP="00385258">
      <w:pPr>
        <w:pStyle w:val="ExecSumBodyText"/>
        <w:keepNext/>
      </w:pPr>
      <w:r w:rsidRPr="00E12BDF">
        <w:t>Table 7</w:t>
      </w:r>
      <w:r w:rsidR="0012339C" w:rsidRPr="00E12BDF">
        <w:t xml:space="preserve"> </w:t>
      </w:r>
      <w:r w:rsidRPr="00E12BDF">
        <w:t>summarises the results of the primary outcome in the ATTR-ACT trial; the Finkelstein-Schoenfeld prioritised pairwise comparison of all-cause mortality and cardiovascular hospitalisation for tafamidis versus placebo (ITT).</w:t>
      </w:r>
    </w:p>
    <w:p w:rsidR="0038450C" w:rsidRPr="00E12BDF" w:rsidRDefault="0038450C" w:rsidP="00385258">
      <w:pPr>
        <w:pStyle w:val="TableFigureCaption"/>
      </w:pPr>
      <w:r w:rsidRPr="00E12BDF">
        <w:t>Table 7: Finkelstein-Schoenfeld analysis of all-cause mortality and frequency of cardiovascular hospitalisation for tafamidis versus placebo for ATTR-ACT (ITT)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7"/>
        <w:gridCol w:w="1568"/>
        <w:gridCol w:w="1569"/>
        <w:gridCol w:w="1569"/>
        <w:gridCol w:w="1564"/>
      </w:tblGrid>
      <w:tr w:rsidR="0038450C" w:rsidRPr="00E12BDF" w:rsidTr="00F62870">
        <w:trPr>
          <w:tblHeader/>
        </w:trPr>
        <w:tc>
          <w:tcPr>
            <w:tcW w:w="1504" w:type="pct"/>
            <w:gridSpan w:val="2"/>
            <w:vAlign w:val="center"/>
          </w:tcPr>
          <w:p w:rsidR="0038450C" w:rsidRPr="00E12BDF" w:rsidRDefault="0038450C" w:rsidP="00F62870">
            <w:pPr>
              <w:pStyle w:val="Tableheadingrow"/>
              <w:rPr>
                <w:szCs w:val="20"/>
                <w:lang w:val="en-AU"/>
              </w:rPr>
            </w:pPr>
          </w:p>
        </w:tc>
        <w:tc>
          <w:tcPr>
            <w:tcW w:w="874" w:type="pct"/>
            <w:vAlign w:val="center"/>
          </w:tcPr>
          <w:p w:rsidR="0038450C" w:rsidRPr="00E12BDF" w:rsidRDefault="0038450C" w:rsidP="00F62870">
            <w:pPr>
              <w:pStyle w:val="Tableheadingrow"/>
              <w:jc w:val="center"/>
              <w:rPr>
                <w:szCs w:val="20"/>
                <w:lang w:val="en-AU"/>
              </w:rPr>
            </w:pPr>
            <w:r w:rsidRPr="00E12BDF">
              <w:rPr>
                <w:szCs w:val="20"/>
                <w:lang w:val="en-AU"/>
              </w:rPr>
              <w:t>Tafamidis</w:t>
            </w:r>
          </w:p>
          <w:p w:rsidR="0038450C" w:rsidRPr="00E12BDF" w:rsidRDefault="0038450C" w:rsidP="00F62870">
            <w:pPr>
              <w:pStyle w:val="Tableheadingrow"/>
              <w:jc w:val="center"/>
              <w:rPr>
                <w:szCs w:val="20"/>
                <w:lang w:val="en-AU"/>
              </w:rPr>
            </w:pPr>
            <w:r w:rsidRPr="00E12BDF">
              <w:rPr>
                <w:szCs w:val="20"/>
                <w:lang w:val="en-AU"/>
              </w:rPr>
              <w:t>20 mg</w:t>
            </w:r>
          </w:p>
        </w:tc>
        <w:tc>
          <w:tcPr>
            <w:tcW w:w="874" w:type="pct"/>
            <w:vAlign w:val="center"/>
          </w:tcPr>
          <w:p w:rsidR="0038450C" w:rsidRPr="00E12BDF" w:rsidRDefault="0038450C" w:rsidP="00F62870">
            <w:pPr>
              <w:pStyle w:val="Tableheadingrow"/>
              <w:jc w:val="center"/>
              <w:rPr>
                <w:szCs w:val="20"/>
                <w:lang w:val="en-AU"/>
              </w:rPr>
            </w:pPr>
            <w:r w:rsidRPr="00E12BDF">
              <w:rPr>
                <w:szCs w:val="20"/>
                <w:lang w:val="en-AU"/>
              </w:rPr>
              <w:t>Tafamidis</w:t>
            </w:r>
          </w:p>
          <w:p w:rsidR="0038450C" w:rsidRPr="00E12BDF" w:rsidRDefault="0038450C" w:rsidP="00F62870">
            <w:pPr>
              <w:pStyle w:val="Tableheadingrow"/>
              <w:jc w:val="center"/>
              <w:rPr>
                <w:szCs w:val="20"/>
                <w:lang w:val="en-AU"/>
              </w:rPr>
            </w:pPr>
            <w:r w:rsidRPr="00E12BDF">
              <w:rPr>
                <w:szCs w:val="20"/>
                <w:lang w:val="en-AU"/>
              </w:rPr>
              <w:t>80 mg</w:t>
            </w:r>
          </w:p>
        </w:tc>
        <w:tc>
          <w:tcPr>
            <w:tcW w:w="874" w:type="pct"/>
            <w:vAlign w:val="center"/>
          </w:tcPr>
          <w:p w:rsidR="0038450C" w:rsidRPr="00E12BDF" w:rsidRDefault="0038450C" w:rsidP="00F62870">
            <w:pPr>
              <w:pStyle w:val="Tableheadingrow"/>
              <w:jc w:val="center"/>
              <w:rPr>
                <w:szCs w:val="20"/>
                <w:lang w:val="en-AU"/>
              </w:rPr>
            </w:pPr>
            <w:r w:rsidRPr="00E12BDF">
              <w:rPr>
                <w:szCs w:val="20"/>
                <w:lang w:val="en-AU"/>
              </w:rPr>
              <w:t>Tafamidis pooled</w:t>
            </w:r>
          </w:p>
        </w:tc>
        <w:tc>
          <w:tcPr>
            <w:tcW w:w="874" w:type="pct"/>
            <w:vAlign w:val="center"/>
          </w:tcPr>
          <w:p w:rsidR="0038450C" w:rsidRPr="00E12BDF" w:rsidRDefault="0038450C" w:rsidP="00F62870">
            <w:pPr>
              <w:pStyle w:val="Tableheadingrow"/>
              <w:jc w:val="center"/>
              <w:rPr>
                <w:szCs w:val="20"/>
                <w:lang w:val="en-AU"/>
              </w:rPr>
            </w:pPr>
            <w:r w:rsidRPr="00E12BDF">
              <w:rPr>
                <w:szCs w:val="20"/>
                <w:lang w:val="en-AU"/>
              </w:rPr>
              <w:t>Placebo</w:t>
            </w:r>
          </w:p>
        </w:tc>
      </w:tr>
      <w:tr w:rsidR="0038450C" w:rsidRPr="00E12BDF" w:rsidTr="00F62870">
        <w:tc>
          <w:tcPr>
            <w:tcW w:w="1500" w:type="pct"/>
            <w:vAlign w:val="center"/>
          </w:tcPr>
          <w:p w:rsidR="0038450C" w:rsidRPr="00E12BDF" w:rsidRDefault="0038450C" w:rsidP="00F62870">
            <w:pPr>
              <w:pStyle w:val="TableText"/>
              <w:tabs>
                <w:tab w:val="left" w:pos="175"/>
              </w:tabs>
            </w:pPr>
            <w:r w:rsidRPr="00E12BDF">
              <w:t>N</w:t>
            </w:r>
          </w:p>
        </w:tc>
        <w:tc>
          <w:tcPr>
            <w:tcW w:w="875" w:type="pct"/>
            <w:gridSpan w:val="2"/>
            <w:vAlign w:val="center"/>
          </w:tcPr>
          <w:p w:rsidR="0038450C" w:rsidRPr="00E12BDF" w:rsidRDefault="0038450C" w:rsidP="00F62870">
            <w:pPr>
              <w:pStyle w:val="TableText"/>
              <w:jc w:val="center"/>
              <w:rPr>
                <w:szCs w:val="20"/>
              </w:rPr>
            </w:pPr>
            <w:r w:rsidRPr="00E12BDF">
              <w:rPr>
                <w:szCs w:val="20"/>
              </w:rPr>
              <w:t>88</w:t>
            </w:r>
          </w:p>
        </w:tc>
        <w:tc>
          <w:tcPr>
            <w:tcW w:w="875" w:type="pct"/>
            <w:vAlign w:val="center"/>
          </w:tcPr>
          <w:p w:rsidR="0038450C" w:rsidRPr="00E12BDF" w:rsidRDefault="0038450C" w:rsidP="00F62870">
            <w:pPr>
              <w:pStyle w:val="TableText"/>
              <w:jc w:val="center"/>
              <w:rPr>
                <w:szCs w:val="20"/>
              </w:rPr>
            </w:pPr>
            <w:r w:rsidRPr="00E12BDF">
              <w:rPr>
                <w:szCs w:val="20"/>
              </w:rPr>
              <w:t>176</w:t>
            </w:r>
          </w:p>
        </w:tc>
        <w:tc>
          <w:tcPr>
            <w:tcW w:w="875" w:type="pct"/>
            <w:vAlign w:val="center"/>
          </w:tcPr>
          <w:p w:rsidR="0038450C" w:rsidRPr="00E12BDF" w:rsidRDefault="0038450C" w:rsidP="00F62870">
            <w:pPr>
              <w:pStyle w:val="TableText"/>
              <w:jc w:val="center"/>
              <w:rPr>
                <w:szCs w:val="20"/>
              </w:rPr>
            </w:pPr>
            <w:r w:rsidRPr="00E12BDF">
              <w:rPr>
                <w:szCs w:val="20"/>
              </w:rPr>
              <w:t>264</w:t>
            </w:r>
          </w:p>
        </w:tc>
        <w:tc>
          <w:tcPr>
            <w:tcW w:w="875" w:type="pct"/>
            <w:vAlign w:val="center"/>
          </w:tcPr>
          <w:p w:rsidR="0038450C" w:rsidRPr="00E12BDF" w:rsidRDefault="0038450C" w:rsidP="00F62870">
            <w:pPr>
              <w:pStyle w:val="TableText"/>
              <w:jc w:val="center"/>
              <w:rPr>
                <w:szCs w:val="20"/>
              </w:rPr>
            </w:pPr>
            <w:r w:rsidRPr="00E12BDF">
              <w:rPr>
                <w:szCs w:val="20"/>
              </w:rPr>
              <w:t>177</w:t>
            </w:r>
          </w:p>
        </w:tc>
      </w:tr>
      <w:tr w:rsidR="0038450C" w:rsidRPr="00E12BDF" w:rsidTr="00F62870">
        <w:tc>
          <w:tcPr>
            <w:tcW w:w="1504" w:type="pct"/>
            <w:gridSpan w:val="2"/>
            <w:vAlign w:val="center"/>
          </w:tcPr>
          <w:p w:rsidR="0038450C" w:rsidRPr="00E12BDF" w:rsidRDefault="0038450C" w:rsidP="00F62870">
            <w:pPr>
              <w:pStyle w:val="TableText"/>
              <w:tabs>
                <w:tab w:val="left" w:pos="175"/>
              </w:tabs>
            </w:pPr>
            <w:r w:rsidRPr="00E12BDF">
              <w:t xml:space="preserve">Number of subjects alive at </w:t>
            </w:r>
          </w:p>
          <w:p w:rsidR="0038450C" w:rsidRPr="00E12BDF" w:rsidRDefault="0038450C" w:rsidP="00F62870">
            <w:pPr>
              <w:pStyle w:val="TableText"/>
              <w:tabs>
                <w:tab w:val="left" w:pos="175"/>
              </w:tabs>
            </w:pPr>
            <w:r w:rsidRPr="00E12BDF">
              <w:t>30 months, n (%)</w:t>
            </w:r>
            <w:r w:rsidRPr="00E12BDF">
              <w:rPr>
                <w:vertAlign w:val="superscript"/>
              </w:rPr>
              <w:t>a</w:t>
            </w:r>
            <w:r w:rsidRPr="00E12BDF">
              <w:t xml:space="preserve"> </w:t>
            </w:r>
          </w:p>
        </w:tc>
        <w:tc>
          <w:tcPr>
            <w:tcW w:w="874" w:type="pct"/>
            <w:vAlign w:val="center"/>
          </w:tcPr>
          <w:p w:rsidR="0038450C" w:rsidRPr="00E12BDF" w:rsidRDefault="0038450C" w:rsidP="00F62870">
            <w:pPr>
              <w:pStyle w:val="TableText"/>
              <w:jc w:val="center"/>
              <w:rPr>
                <w:szCs w:val="20"/>
              </w:rPr>
            </w:pPr>
            <w:r w:rsidRPr="00E12BDF">
              <w:rPr>
                <w:szCs w:val="20"/>
              </w:rPr>
              <w:t>64 (72.7%)</w:t>
            </w:r>
          </w:p>
        </w:tc>
        <w:tc>
          <w:tcPr>
            <w:tcW w:w="874" w:type="pct"/>
            <w:vAlign w:val="center"/>
          </w:tcPr>
          <w:p w:rsidR="0038450C" w:rsidRPr="00E12BDF" w:rsidRDefault="0038450C" w:rsidP="00F62870">
            <w:pPr>
              <w:pStyle w:val="TableText"/>
              <w:jc w:val="center"/>
              <w:rPr>
                <w:szCs w:val="20"/>
              </w:rPr>
            </w:pPr>
            <w:r w:rsidRPr="00E12BDF">
              <w:rPr>
                <w:szCs w:val="20"/>
              </w:rPr>
              <w:t>122 (69.3%)</w:t>
            </w:r>
          </w:p>
        </w:tc>
        <w:tc>
          <w:tcPr>
            <w:tcW w:w="874" w:type="pct"/>
            <w:vAlign w:val="center"/>
          </w:tcPr>
          <w:p w:rsidR="0038450C" w:rsidRPr="00E12BDF" w:rsidRDefault="0038450C" w:rsidP="00F62870">
            <w:pPr>
              <w:pStyle w:val="TableText"/>
              <w:jc w:val="center"/>
              <w:rPr>
                <w:szCs w:val="20"/>
              </w:rPr>
            </w:pPr>
            <w:r w:rsidRPr="00E12BDF">
              <w:t>186 (70.5%)</w:t>
            </w:r>
          </w:p>
        </w:tc>
        <w:tc>
          <w:tcPr>
            <w:tcW w:w="874" w:type="pct"/>
            <w:vAlign w:val="center"/>
          </w:tcPr>
          <w:p w:rsidR="0038450C" w:rsidRPr="00E12BDF" w:rsidRDefault="0038450C" w:rsidP="00F62870">
            <w:pPr>
              <w:pStyle w:val="TableText"/>
              <w:jc w:val="center"/>
              <w:rPr>
                <w:szCs w:val="20"/>
              </w:rPr>
            </w:pPr>
            <w:r w:rsidRPr="00E12BDF">
              <w:t>101 (57.1%)</w:t>
            </w:r>
          </w:p>
        </w:tc>
      </w:tr>
      <w:tr w:rsidR="0038450C" w:rsidRPr="00E12BDF" w:rsidTr="00F62870">
        <w:tc>
          <w:tcPr>
            <w:tcW w:w="1504" w:type="pct"/>
            <w:gridSpan w:val="2"/>
            <w:vAlign w:val="center"/>
          </w:tcPr>
          <w:p w:rsidR="0038450C" w:rsidRPr="00E12BDF" w:rsidRDefault="0038450C" w:rsidP="00F62870">
            <w:pPr>
              <w:pStyle w:val="TableText"/>
              <w:rPr>
                <w:szCs w:val="20"/>
                <w:vertAlign w:val="superscript"/>
              </w:rPr>
            </w:pPr>
            <w:r w:rsidRPr="00E12BDF">
              <w:t>Average number/patient/year of cardiovascular hospitalisations at 30 months</w:t>
            </w:r>
            <w:r w:rsidRPr="00E12BDF">
              <w:rPr>
                <w:vertAlign w:val="superscript"/>
              </w:rPr>
              <w:t>b</w:t>
            </w:r>
          </w:p>
        </w:tc>
        <w:tc>
          <w:tcPr>
            <w:tcW w:w="874" w:type="pct"/>
            <w:vAlign w:val="center"/>
          </w:tcPr>
          <w:p w:rsidR="0038450C" w:rsidRPr="00E12BDF" w:rsidRDefault="0038450C" w:rsidP="00F62870">
            <w:pPr>
              <w:pStyle w:val="TableText"/>
              <w:jc w:val="center"/>
            </w:pPr>
            <w:r w:rsidRPr="00E12BDF">
              <w:t>0.218</w:t>
            </w:r>
          </w:p>
        </w:tc>
        <w:tc>
          <w:tcPr>
            <w:tcW w:w="874" w:type="pct"/>
            <w:vAlign w:val="center"/>
          </w:tcPr>
          <w:p w:rsidR="0038450C" w:rsidRPr="00E12BDF" w:rsidRDefault="0038450C" w:rsidP="00F62870">
            <w:pPr>
              <w:pStyle w:val="TableText"/>
              <w:jc w:val="center"/>
            </w:pPr>
            <w:r w:rsidRPr="00E12BDF">
              <w:t>0.339</w:t>
            </w:r>
          </w:p>
        </w:tc>
        <w:tc>
          <w:tcPr>
            <w:tcW w:w="874" w:type="pct"/>
            <w:vAlign w:val="center"/>
          </w:tcPr>
          <w:p w:rsidR="0038450C" w:rsidRPr="00E12BDF" w:rsidRDefault="0038450C" w:rsidP="00F62870">
            <w:pPr>
              <w:pStyle w:val="TableText"/>
              <w:jc w:val="center"/>
              <w:rPr>
                <w:szCs w:val="20"/>
              </w:rPr>
            </w:pPr>
            <w:r w:rsidRPr="00E12BDF">
              <w:t>0.297</w:t>
            </w:r>
          </w:p>
        </w:tc>
        <w:tc>
          <w:tcPr>
            <w:tcW w:w="874" w:type="pct"/>
            <w:vAlign w:val="center"/>
          </w:tcPr>
          <w:p w:rsidR="0038450C" w:rsidRPr="00E12BDF" w:rsidRDefault="0038450C" w:rsidP="00F62870">
            <w:pPr>
              <w:pStyle w:val="TableText"/>
              <w:jc w:val="center"/>
              <w:rPr>
                <w:szCs w:val="20"/>
              </w:rPr>
            </w:pPr>
            <w:r w:rsidRPr="00E12BDF">
              <w:t>0.455</w:t>
            </w:r>
          </w:p>
        </w:tc>
      </w:tr>
      <w:tr w:rsidR="0038450C" w:rsidRPr="00E12BDF" w:rsidTr="00F62870">
        <w:tc>
          <w:tcPr>
            <w:tcW w:w="1504" w:type="pct"/>
            <w:gridSpan w:val="2"/>
            <w:vAlign w:val="center"/>
          </w:tcPr>
          <w:p w:rsidR="0038450C" w:rsidRPr="00E12BDF" w:rsidRDefault="0038450C" w:rsidP="00F62870">
            <w:pPr>
              <w:pStyle w:val="TableText"/>
              <w:rPr>
                <w:szCs w:val="20"/>
              </w:rPr>
            </w:pPr>
            <w:r w:rsidRPr="00E12BDF">
              <w:t xml:space="preserve">Finkelstein-Schoenfeld analysis versus placebo (p-value) </w:t>
            </w:r>
          </w:p>
        </w:tc>
        <w:tc>
          <w:tcPr>
            <w:tcW w:w="874" w:type="pct"/>
            <w:vAlign w:val="center"/>
          </w:tcPr>
          <w:p w:rsidR="0038450C" w:rsidRPr="00E12BDF" w:rsidRDefault="0038450C" w:rsidP="00F62870">
            <w:pPr>
              <w:pStyle w:val="TableText"/>
              <w:jc w:val="center"/>
              <w:rPr>
                <w:b/>
              </w:rPr>
            </w:pPr>
            <w:r w:rsidRPr="00E12BDF">
              <w:rPr>
                <w:b/>
              </w:rPr>
              <w:t>p = 0.0048</w:t>
            </w:r>
          </w:p>
        </w:tc>
        <w:tc>
          <w:tcPr>
            <w:tcW w:w="874" w:type="pct"/>
            <w:vAlign w:val="center"/>
          </w:tcPr>
          <w:p w:rsidR="0038450C" w:rsidRPr="00E12BDF" w:rsidRDefault="0038450C" w:rsidP="00F62870">
            <w:pPr>
              <w:pStyle w:val="TableText"/>
              <w:jc w:val="center"/>
              <w:rPr>
                <w:b/>
              </w:rPr>
            </w:pPr>
            <w:r w:rsidRPr="00E12BDF">
              <w:rPr>
                <w:b/>
              </w:rPr>
              <w:t>p = 0.0030</w:t>
            </w:r>
          </w:p>
        </w:tc>
        <w:tc>
          <w:tcPr>
            <w:tcW w:w="874" w:type="pct"/>
            <w:vAlign w:val="center"/>
          </w:tcPr>
          <w:p w:rsidR="0038450C" w:rsidRPr="00E12BDF" w:rsidRDefault="0038450C" w:rsidP="00F62870">
            <w:pPr>
              <w:pStyle w:val="TableText"/>
              <w:jc w:val="center"/>
              <w:rPr>
                <w:b/>
                <w:szCs w:val="20"/>
              </w:rPr>
            </w:pPr>
            <w:r w:rsidRPr="00E12BDF">
              <w:rPr>
                <w:b/>
              </w:rPr>
              <w:t xml:space="preserve">  p = 0.0006</w:t>
            </w:r>
          </w:p>
        </w:tc>
        <w:tc>
          <w:tcPr>
            <w:tcW w:w="874" w:type="pct"/>
            <w:vAlign w:val="center"/>
          </w:tcPr>
          <w:p w:rsidR="0038450C" w:rsidRPr="00E12BDF" w:rsidRDefault="0038450C" w:rsidP="00F62870">
            <w:pPr>
              <w:pStyle w:val="TableText"/>
              <w:jc w:val="center"/>
              <w:rPr>
                <w:b/>
                <w:szCs w:val="20"/>
              </w:rPr>
            </w:pPr>
            <w:r w:rsidRPr="00E12BDF">
              <w:rPr>
                <w:b/>
                <w:szCs w:val="20"/>
              </w:rPr>
              <w:t>-</w:t>
            </w:r>
          </w:p>
        </w:tc>
      </w:tr>
    </w:tbl>
    <w:p w:rsidR="0038450C" w:rsidRPr="00E12BDF" w:rsidRDefault="0038450C" w:rsidP="0038450C">
      <w:pPr>
        <w:pStyle w:val="TableFigureFooter"/>
      </w:pPr>
      <w:r w:rsidRPr="00E12BDF">
        <w:t>Source: Table 2.5.1, p.77 of the submission. Statistically significant results in bold.</w:t>
      </w:r>
    </w:p>
    <w:p w:rsidR="0038450C" w:rsidRPr="00E12BDF" w:rsidRDefault="0038450C" w:rsidP="0038450C">
      <w:pPr>
        <w:pStyle w:val="TableFigureFooter"/>
      </w:pPr>
      <w:r w:rsidRPr="00E12BDF">
        <w:t>Abbreviations: ITT, intention-to-treat.</w:t>
      </w:r>
    </w:p>
    <w:p w:rsidR="0038450C" w:rsidRPr="00E12BDF" w:rsidRDefault="0038450C" w:rsidP="0038450C">
      <w:pPr>
        <w:pStyle w:val="TableFigureFooter"/>
      </w:pPr>
      <w:r w:rsidRPr="00E12BDF">
        <w:rPr>
          <w:vertAlign w:val="superscript"/>
        </w:rPr>
        <w:t>a</w:t>
      </w:r>
      <w:r w:rsidRPr="00E12BDF">
        <w:t xml:space="preserve"> Heart transplant or implantation of a cardiac mechanical assist device handled as death.</w:t>
      </w:r>
    </w:p>
    <w:p w:rsidR="0012339C" w:rsidRPr="00E12BDF" w:rsidRDefault="0038450C" w:rsidP="0038450C">
      <w:pPr>
        <w:pStyle w:val="TableFigureFooter"/>
      </w:pPr>
      <w:r w:rsidRPr="00E12BDF">
        <w:rPr>
          <w:vertAlign w:val="superscript"/>
        </w:rPr>
        <w:t xml:space="preserve">b </w:t>
      </w:r>
      <w:r w:rsidRPr="00E12BDF">
        <w:t>Calculated as [patient’s number of hospitalisations] / [study duration in years] among those alive at 30 months.</w:t>
      </w:r>
    </w:p>
    <w:p w:rsidR="0038450C" w:rsidRPr="00E12BDF" w:rsidRDefault="0038450C" w:rsidP="0038450C">
      <w:pPr>
        <w:pStyle w:val="ExecSumBodyText"/>
      </w:pPr>
      <w:r w:rsidRPr="00E12BDF">
        <w:t>In the primary outcome for the ATTR-ACT trial, the Finkelstein-Schoenfeld prioritised pairwise comparison of all-cause mortality and cardiovascular hospitalisations showed statistically significant results in favour of tafamidis 20 mg, tafamidis 80 mg and the pooled tafamidis treatment arm, versus placebo, suggesting a statistically significant difference between tafamidis and placebo in at least one or both outcomes. The average number of cardiovascular-related hospitalisations per patient per year amongst those alive at 30 months was lowest in patients treated with tafamidis 20 mg (0.218), compared to tafamidis 80 mg (0.339) and placebo (0.455). Similarly, the proportion of patients alive at 30 months was larger in the tafamidis 20 mg treatment arm (72.7%) compared to tafamidis 80 mg (69.3%) and placebo (57.1%).</w:t>
      </w:r>
      <w:r w:rsidR="005F30E7" w:rsidRPr="00E12BDF">
        <w:t xml:space="preserve"> </w:t>
      </w:r>
    </w:p>
    <w:p w:rsidR="00F40032" w:rsidRPr="00E12BDF" w:rsidRDefault="00E714D8" w:rsidP="00E33E28">
      <w:pPr>
        <w:pStyle w:val="ExecSumBodyText"/>
      </w:pPr>
      <w:r w:rsidRPr="00E12BDF">
        <w:t xml:space="preserve">A key secondary end point </w:t>
      </w:r>
      <w:r w:rsidR="0072556A" w:rsidRPr="00E12BDF">
        <w:t>was</w:t>
      </w:r>
      <w:r w:rsidRPr="00E12BDF">
        <w:t xml:space="preserve"> the </w:t>
      </w:r>
      <w:r w:rsidR="0072556A" w:rsidRPr="00E12BDF">
        <w:t xml:space="preserve">least squares mean </w:t>
      </w:r>
      <w:r w:rsidRPr="00E12BDF">
        <w:t xml:space="preserve">change from baseline to month 30 in the distance walked during the 6MWT. </w:t>
      </w:r>
      <w:r w:rsidR="00C93245" w:rsidRPr="00E12BDF">
        <w:t xml:space="preserve">The month 30 least squares mean change from baseline in distance walked for the pooled tafamidis and placebo groups was </w:t>
      </w:r>
      <w:r w:rsidR="00C93245" w:rsidRPr="00E12BDF">
        <w:noBreakHyphen/>
        <w:t>54.87 (standard error: 5.07) and -130.55 (standard error: 9.80) met</w:t>
      </w:r>
      <w:r w:rsidR="00F9321C" w:rsidRPr="00E12BDF">
        <w:t>re</w:t>
      </w:r>
      <w:r w:rsidR="00C93245" w:rsidRPr="00E12BDF">
        <w:t xml:space="preserve">s, respectively. </w:t>
      </w:r>
      <w:r w:rsidRPr="00E12BDF">
        <w:t>Tafamidis (pooled treatment arms) reduced the decline in the distance walked during the 6MWT as compared with placebo by approximately 75.7 metres (standard error</w:t>
      </w:r>
      <w:r w:rsidR="00C93245" w:rsidRPr="00E12BDF">
        <w:t>:</w:t>
      </w:r>
      <w:r w:rsidRPr="00E12BDF">
        <w:t xml:space="preserve"> 9.24; P&lt;0.001</w:t>
      </w:r>
      <w:r w:rsidR="00C93245" w:rsidRPr="00E12BDF">
        <w:t>)</w:t>
      </w:r>
      <w:r w:rsidR="0072556A" w:rsidRPr="00E12BDF">
        <w:t>.</w:t>
      </w:r>
      <w:r w:rsidR="00A67075" w:rsidRPr="00E12BDF">
        <w:t xml:space="preserve"> In the ATTR-ACT trial, larger proportions of patients receiving placebo recorded incomplete or not properly administered 6MWT (24.7% and 29.5% respectively), compared to the tafamidis 20 mg (18.3% and 19.7%) and tafamidis 80 mg (14.6% and 17.4%) treatment arms (Table 5, p.75 of the Tafamidis Clinical Study Report). Given the likely variability between centres in 6MWT conduct and methodology (Giannitsi et al. 2019), and the larger proportions of placebo patients with incomplete or not properly administered tests in the ATTR-ACT trial, the 6MWT may not accurately reflect differences in patient functional capacity.</w:t>
      </w:r>
      <w:r w:rsidR="00AD6CD8" w:rsidRPr="00E12BDF">
        <w:t xml:space="preserve"> </w:t>
      </w:r>
      <w:r w:rsidR="004A1D6A" w:rsidRPr="00E12BDF">
        <w:t xml:space="preserve">The PSCR </w:t>
      </w:r>
      <w:r w:rsidR="004A1D6A" w:rsidRPr="00E12BDF">
        <w:lastRenderedPageBreak/>
        <w:t>recognised discrepancies in the administration of the 6MW</w:t>
      </w:r>
      <w:r w:rsidR="00C93245" w:rsidRPr="00E12BDF">
        <w:t>T</w:t>
      </w:r>
      <w:r w:rsidR="004A1D6A" w:rsidRPr="00E12BDF">
        <w:t xml:space="preserve"> between centres, but claimed that this did</w:t>
      </w:r>
      <w:r w:rsidR="00C93245" w:rsidRPr="00E12BDF">
        <w:t xml:space="preserve"> </w:t>
      </w:r>
      <w:r w:rsidR="004A1D6A" w:rsidRPr="00E12BDF">
        <w:t>n</w:t>
      </w:r>
      <w:r w:rsidR="00C93245" w:rsidRPr="00E12BDF">
        <w:t>o</w:t>
      </w:r>
      <w:r w:rsidR="004A1D6A" w:rsidRPr="00E12BDF">
        <w:t>t alter the differential benefit of the outcome.</w:t>
      </w:r>
      <w:r w:rsidR="0027153B" w:rsidRPr="00E12BDF">
        <w:t xml:space="preserve"> </w:t>
      </w:r>
    </w:p>
    <w:p w:rsidR="00A67075" w:rsidRPr="00E12BDF" w:rsidRDefault="00A67075" w:rsidP="0038450C">
      <w:pPr>
        <w:pStyle w:val="ExecSumBodyText"/>
      </w:pPr>
      <w:r w:rsidRPr="00E12BDF">
        <w:t>Patients treated with tafamidis reported statistically significantly smaller mean reductions in the KCCQ-OS compared to placebo. However, scores were not consistent across all domains, and mean domain scores reported for symptom-stability and self-efficacy were not statistically significant.</w:t>
      </w:r>
    </w:p>
    <w:p w:rsidR="00A67075" w:rsidRPr="00E12BDF" w:rsidRDefault="00A67075" w:rsidP="00A67075">
      <w:pPr>
        <w:pStyle w:val="ExecSumBodyText"/>
      </w:pPr>
      <w:r w:rsidRPr="00E12BDF">
        <w:t xml:space="preserve">Baseline mean EQ-5D-3L scores </w:t>
      </w:r>
      <w:r w:rsidR="00FF07CF" w:rsidRPr="00E12BDF">
        <w:t>were</w:t>
      </w:r>
      <w:r w:rsidRPr="00E12BDF">
        <w:t xml:space="preserve"> similar between treatment arms</w:t>
      </w:r>
      <w:r w:rsidR="007277F0" w:rsidRPr="00E12BDF">
        <w:t xml:space="preserve"> (tafamidis pooled </w:t>
      </w:r>
      <w:r w:rsidR="00FF07CF" w:rsidRPr="00E12BDF">
        <w:t>0</w:t>
      </w:r>
      <w:r w:rsidR="007277F0" w:rsidRPr="00E12BDF">
        <w:t>.802; placebo 0.800),</w:t>
      </w:r>
      <w:r w:rsidRPr="00E12BDF">
        <w:t xml:space="preserve"> with a larger decline in quality of life over 30 months observed in the placebo treatment arm </w:t>
      </w:r>
      <w:r w:rsidR="007277F0" w:rsidRPr="00E12BDF">
        <w:t xml:space="preserve">(-0.14) </w:t>
      </w:r>
      <w:r w:rsidRPr="00E12BDF">
        <w:t>compared to the pooled tafamidis treatment arms</w:t>
      </w:r>
      <w:r w:rsidR="007277F0" w:rsidRPr="00E12BDF">
        <w:t xml:space="preserve"> (-0.05; least squares mean difference favouring tafamidis of 0.09, 95% CI[0.05, 0.12])</w:t>
      </w:r>
      <w:r w:rsidRPr="00E12BDF">
        <w:t>. EQ-5D-3L results by NYHA classification show substantial differences between NYHA classes, consistent with disease progression.</w:t>
      </w:r>
    </w:p>
    <w:p w:rsidR="007277F0" w:rsidRPr="00E12BDF" w:rsidRDefault="007277F0" w:rsidP="00A67075">
      <w:pPr>
        <w:pStyle w:val="ExecSumBodyText"/>
      </w:pPr>
      <w:r w:rsidRPr="00E12BDF">
        <w:t>Figure 3 summarises the results of the subgroup analyses for all-cause mortality and cardiovascular hospitalisations with p-values by the Finkelstein-Schoenfeld methodology.</w:t>
      </w:r>
    </w:p>
    <w:p w:rsidR="007277F0" w:rsidRPr="00E12BDF" w:rsidRDefault="00112B9B" w:rsidP="007277F0">
      <w:pPr>
        <w:rPr>
          <w:rFonts w:ascii="Arial Narrow" w:hAnsi="Arial Narrow"/>
          <w:b/>
          <w:sz w:val="20"/>
          <w:szCs w:val="20"/>
        </w:rPr>
      </w:pPr>
      <w:r w:rsidRPr="00E12BDF">
        <w:rPr>
          <w:rFonts w:ascii="Arial Narrow" w:hAnsi="Arial Narrow"/>
          <w:b/>
          <w:sz w:val="20"/>
          <w:szCs w:val="20"/>
        </w:rPr>
        <w:t>Figure 3</w:t>
      </w:r>
      <w:r w:rsidR="007277F0" w:rsidRPr="00E12BDF">
        <w:rPr>
          <w:rFonts w:ascii="Arial Narrow" w:hAnsi="Arial Narrow"/>
          <w:b/>
          <w:sz w:val="20"/>
          <w:szCs w:val="20"/>
        </w:rPr>
        <w:t>: Summary of pre-specified subgroup analyses of all-cause mortality and cardiovascular related hospitalisations in the ATTR-ACT trial (ITT)</w:t>
      </w:r>
    </w:p>
    <w:p w:rsidR="007277F0" w:rsidRPr="00E12BDF" w:rsidRDefault="007277F0" w:rsidP="007277F0">
      <w:r w:rsidRPr="00E12BDF">
        <w:rPr>
          <w:noProof/>
        </w:rPr>
        <w:drawing>
          <wp:inline distT="0" distB="0" distL="0" distR="0" wp14:anchorId="38745329" wp14:editId="61A71493">
            <wp:extent cx="5630469" cy="2225615"/>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a:lum contrast="7000"/>
                      <a:extLst>
                        <a:ext uri="{28A0092B-C50C-407E-A947-70E740481C1C}">
                          <a14:useLocalDpi xmlns:a14="http://schemas.microsoft.com/office/drawing/2010/main" val="0"/>
                        </a:ext>
                      </a:extLst>
                    </a:blip>
                    <a:srcRect l="753" t="1489" r="967" b="2495"/>
                    <a:stretch/>
                  </pic:blipFill>
                  <pic:spPr bwMode="auto">
                    <a:xfrm>
                      <a:off x="0" y="0"/>
                      <a:ext cx="5633568" cy="2226840"/>
                    </a:xfrm>
                    <a:prstGeom prst="rect">
                      <a:avLst/>
                    </a:prstGeom>
                    <a:noFill/>
                    <a:ln>
                      <a:noFill/>
                    </a:ln>
                    <a:extLst>
                      <a:ext uri="{53640926-AAD7-44D8-BBD7-CCE9431645EC}">
                        <a14:shadowObscured xmlns:a14="http://schemas.microsoft.com/office/drawing/2010/main"/>
                      </a:ext>
                    </a:extLst>
                  </pic:spPr>
                </pic:pic>
              </a:graphicData>
            </a:graphic>
          </wp:inline>
        </w:drawing>
      </w:r>
    </w:p>
    <w:p w:rsidR="007277F0" w:rsidRPr="00E12BDF" w:rsidRDefault="007277F0" w:rsidP="007277F0">
      <w:pPr>
        <w:pStyle w:val="TableFooter"/>
      </w:pPr>
      <w:r w:rsidRPr="00E12BDF">
        <w:t>Source: Figure 2.6.1, p.128 of the submission.</w:t>
      </w:r>
    </w:p>
    <w:p w:rsidR="007277F0" w:rsidRPr="00E12BDF" w:rsidRDefault="007277F0" w:rsidP="00680376">
      <w:pPr>
        <w:pStyle w:val="TableFooter"/>
      </w:pPr>
      <w:r w:rsidRPr="00E12BDF">
        <w:t xml:space="preserve">Abbreviations: ATTRm, variant transthyretin amyloidosis; ATTRwt, wild type transthyretin amyloidosis; CI, confidence interval; ITT, intention-to-treat; NYHA, New York Heart Association classification; TTR, transthyretin. </w:t>
      </w:r>
    </w:p>
    <w:p w:rsidR="004E684C" w:rsidRPr="00E12BDF" w:rsidRDefault="004E684C" w:rsidP="00680376">
      <w:pPr>
        <w:pStyle w:val="TableFooter"/>
      </w:pPr>
      <w:r w:rsidRPr="00E12BDF">
        <w:t>These were stated to be pre-specified subgroups in Maurer et al, 2018.</w:t>
      </w:r>
    </w:p>
    <w:p w:rsidR="00C10B8C" w:rsidRPr="00E12BDF" w:rsidRDefault="007277F0" w:rsidP="004A1D6A">
      <w:pPr>
        <w:pStyle w:val="ExecSumBodyText"/>
      </w:pPr>
      <w:r w:rsidRPr="00E12BDF">
        <w:t>Tests for treatment effect interaction indicate no statistically significant interaction by TTR genotype.</w:t>
      </w:r>
      <w:r w:rsidRPr="00E12BDF" w:rsidDel="00274373">
        <w:t xml:space="preserve"> </w:t>
      </w:r>
      <w:r w:rsidRPr="00E12BDF">
        <w:t>However, interaction tests indicate that NYHA class is a treatment effect modifier for cardiovascular hospitalisation, with results indicating an increased risk of cardiovascular hospitalisation in patients with NYHA class III treated with tafamidis</w:t>
      </w:r>
      <w:r w:rsidR="004A1D6A" w:rsidRPr="00E12BDF">
        <w:t xml:space="preserve"> compared to placebo</w:t>
      </w:r>
      <w:r w:rsidRPr="00E12BDF">
        <w:t xml:space="preserve">. The submission argued that the increased risk of hospitalisation </w:t>
      </w:r>
      <w:r w:rsidRPr="00E12BDF">
        <w:rPr>
          <w:rFonts w:eastAsia="OTNEJMQuadraat"/>
        </w:rPr>
        <w:t xml:space="preserve">was due to increased survival with tafamidis treatment in patients with severe heart failure. </w:t>
      </w:r>
      <w:r w:rsidR="001C2371" w:rsidRPr="00E12BDF">
        <w:rPr>
          <w:rFonts w:eastAsia="OTNEJMQuadraat"/>
        </w:rPr>
        <w:t>The submission did not provide any data to support this argument.</w:t>
      </w:r>
      <w:r w:rsidR="004A1D6A" w:rsidRPr="00E12BDF">
        <w:t xml:space="preserve"> </w:t>
      </w:r>
      <w:r w:rsidR="001C2371" w:rsidRPr="00E12BDF">
        <w:rPr>
          <w:rFonts w:eastAsia="OTNEJMQuadraat"/>
        </w:rPr>
        <w:t xml:space="preserve">Subgroup analyses provided in the submission suggest a small improvement in all-cause mortality in the NHYA III population which was not statistically significant (55.1% in the pooled tafamidis arm, versus 61.9% in the placebo </w:t>
      </w:r>
      <w:r w:rsidR="001C2371" w:rsidRPr="00E12BDF">
        <w:rPr>
          <w:rFonts w:eastAsia="OTNEJMQuadraat"/>
        </w:rPr>
        <w:lastRenderedPageBreak/>
        <w:t>arm; HR: 0.84, 95% CI [0.54, 1.30]) although the trial was not designed to show a difference in this</w:t>
      </w:r>
      <w:r w:rsidR="006122CF" w:rsidRPr="00E12BDF">
        <w:rPr>
          <w:rFonts w:eastAsia="OTNEJMQuadraat"/>
        </w:rPr>
        <w:t xml:space="preserve"> subgroup</w:t>
      </w:r>
      <w:r w:rsidR="001C2371" w:rsidRPr="00E12BDF">
        <w:rPr>
          <w:rFonts w:eastAsia="OTNEJMQuadraat"/>
        </w:rPr>
        <w:t>.</w:t>
      </w:r>
      <w:r w:rsidR="001C2371" w:rsidRPr="00E12BDF" w:rsidDel="001C2371">
        <w:rPr>
          <w:rFonts w:eastAsia="OTNEJMQuadraat"/>
        </w:rPr>
        <w:t xml:space="preserve"> </w:t>
      </w:r>
    </w:p>
    <w:p w:rsidR="00187CB4" w:rsidRPr="00E12BDF" w:rsidRDefault="00187CB4" w:rsidP="00B002B1">
      <w:pPr>
        <w:pStyle w:val="ExecSumBodyText"/>
      </w:pPr>
      <w:r w:rsidRPr="00E12BDF">
        <w:rPr>
          <w:rFonts w:eastAsia="OTNEJMQuadraat"/>
        </w:rPr>
        <w:t>The PSCR stated that ‘some caution should also be exercised in the interpretation of the high rate of cardiovascular related hospitalisations observed in the NYHA Class III patient subgroup</w:t>
      </w:r>
      <w:r w:rsidR="00B002B1" w:rsidRPr="00E12BDF">
        <w:rPr>
          <w:rFonts w:eastAsia="OTNEJMQuadraat"/>
        </w:rPr>
        <w:t>’</w:t>
      </w:r>
      <w:r w:rsidRPr="00E12BDF">
        <w:rPr>
          <w:rFonts w:eastAsia="OTNEJMQuadraat"/>
        </w:rPr>
        <w:t xml:space="preserve">. The PSCR argued that, when assessing hospitalisation rates by quartiles of 6MWT, rather than NYHA class (which the PSCR claimed was a </w:t>
      </w:r>
      <w:r w:rsidR="003C1586" w:rsidRPr="00E12BDF">
        <w:rPr>
          <w:rFonts w:eastAsia="OTNEJMQuadraat"/>
        </w:rPr>
        <w:t xml:space="preserve">more objective </w:t>
      </w:r>
      <w:r w:rsidRPr="00E12BDF">
        <w:rPr>
          <w:rFonts w:eastAsia="OTNEJMQuadraat"/>
        </w:rPr>
        <w:t xml:space="preserve">measure of functional capacity, without providing evidence to support this), the increased hospitalisation rate seen with tafamidis over placebo was </w:t>
      </w:r>
      <w:r w:rsidR="003C1586" w:rsidRPr="00E12BDF">
        <w:rPr>
          <w:rFonts w:eastAsia="OTNEJMQuadraat"/>
        </w:rPr>
        <w:t>argued</w:t>
      </w:r>
      <w:r w:rsidRPr="00E12BDF">
        <w:rPr>
          <w:rFonts w:eastAsia="OTNEJMQuadraat"/>
        </w:rPr>
        <w:t xml:space="preserve"> to be attributable to a lower than expected hospitalisation rate in the placebo arm </w:t>
      </w:r>
      <w:r w:rsidR="003C1586" w:rsidRPr="00E12BDF">
        <w:rPr>
          <w:rFonts w:eastAsia="OTNEJMQuadraat"/>
        </w:rPr>
        <w:t xml:space="preserve">in the most severe 6MWT quartile </w:t>
      </w:r>
      <w:r w:rsidRPr="00E12BDF">
        <w:rPr>
          <w:rFonts w:eastAsia="OTNEJMQuadraat"/>
        </w:rPr>
        <w:t>(</w:t>
      </w:r>
      <w:r w:rsidR="003C1586" w:rsidRPr="00E12BDF">
        <w:rPr>
          <w:rFonts w:eastAsia="OTNEJMQuadraat"/>
        </w:rPr>
        <w:t xml:space="preserve">which the PSCR termed a </w:t>
      </w:r>
      <w:r w:rsidRPr="00E12BDF">
        <w:rPr>
          <w:rFonts w:eastAsia="OTNEJMQuadraat"/>
        </w:rPr>
        <w:t xml:space="preserve">“paradoxical </w:t>
      </w:r>
      <w:r w:rsidR="003C1586" w:rsidRPr="00E12BDF">
        <w:rPr>
          <w:rFonts w:eastAsia="OTNEJMQuadraat"/>
        </w:rPr>
        <w:t>pattern of behaviour in the placebo group</w:t>
      </w:r>
      <w:r w:rsidRPr="00E12BDF">
        <w:rPr>
          <w:rFonts w:eastAsia="OTNEJMQuadraat"/>
        </w:rPr>
        <w:t>”), rather than a higher rate in the tafamidis arm. Th</w:t>
      </w:r>
      <w:r w:rsidR="003C1586" w:rsidRPr="00E12BDF">
        <w:rPr>
          <w:rFonts w:eastAsia="OTNEJMQuadraat"/>
        </w:rPr>
        <w:t>e ESC considered that the</w:t>
      </w:r>
      <w:r w:rsidRPr="00E12BDF">
        <w:rPr>
          <w:rFonts w:eastAsia="OTNEJMQuadraat"/>
        </w:rPr>
        <w:t xml:space="preserve"> </w:t>
      </w:r>
      <w:r w:rsidR="003C1586" w:rsidRPr="00E12BDF">
        <w:rPr>
          <w:rFonts w:eastAsia="OTNEJMQuadraat"/>
        </w:rPr>
        <w:t>increased rate of hospit</w:t>
      </w:r>
      <w:r w:rsidR="00B002B1" w:rsidRPr="00E12BDF">
        <w:rPr>
          <w:rFonts w:eastAsia="OTNEJMQuadraat"/>
        </w:rPr>
        <w:t>a</w:t>
      </w:r>
      <w:r w:rsidR="003C1586" w:rsidRPr="00E12BDF">
        <w:rPr>
          <w:rFonts w:eastAsia="OTNEJMQuadraat"/>
        </w:rPr>
        <w:t xml:space="preserve">lisations </w:t>
      </w:r>
      <w:r w:rsidR="00B002B1" w:rsidRPr="00E12BDF">
        <w:rPr>
          <w:rFonts w:eastAsia="OTNEJMQuadraat"/>
        </w:rPr>
        <w:t xml:space="preserve">in patients with NYHA Class III treated with tafamidis compared to placebo </w:t>
      </w:r>
      <w:r w:rsidRPr="00E12BDF">
        <w:rPr>
          <w:rFonts w:eastAsia="OTNEJMQuadraat"/>
        </w:rPr>
        <w:t>was not adequately explained</w:t>
      </w:r>
      <w:r w:rsidR="00B002B1" w:rsidRPr="00E12BDF">
        <w:rPr>
          <w:rFonts w:eastAsia="OTNEJMQuadraat"/>
        </w:rPr>
        <w:t xml:space="preserve">, and </w:t>
      </w:r>
      <w:r w:rsidR="00322EC9">
        <w:rPr>
          <w:rFonts w:eastAsia="OTNEJMQuadraat"/>
        </w:rPr>
        <w:t>remained</w:t>
      </w:r>
      <w:r w:rsidR="00322EC9" w:rsidRPr="00E12BDF">
        <w:rPr>
          <w:rFonts w:eastAsia="OTNEJMQuadraat"/>
        </w:rPr>
        <w:t xml:space="preserve"> </w:t>
      </w:r>
      <w:r w:rsidR="00B002B1" w:rsidRPr="00E12BDF">
        <w:rPr>
          <w:rFonts w:eastAsia="OTNEJMQuadraat"/>
        </w:rPr>
        <w:t>a</w:t>
      </w:r>
      <w:r w:rsidR="00C03899" w:rsidRPr="00E12BDF">
        <w:rPr>
          <w:rFonts w:eastAsia="OTNEJMQuadraat"/>
        </w:rPr>
        <w:t xml:space="preserve"> significant concern</w:t>
      </w:r>
      <w:r w:rsidR="00B002B1" w:rsidRPr="00E12BDF">
        <w:rPr>
          <w:rFonts w:eastAsia="OTNEJMQuadraat"/>
        </w:rPr>
        <w:t xml:space="preserve"> because a large proportion of patients in clinical practice will be NYHA Class III</w:t>
      </w:r>
      <w:r w:rsidR="00EA51DE" w:rsidRPr="00E12BDF">
        <w:rPr>
          <w:rFonts w:eastAsia="OTNEJMQuadraat"/>
        </w:rPr>
        <w:t xml:space="preserve"> (the submission estimate</w:t>
      </w:r>
      <w:r w:rsidR="00F44D69" w:rsidRPr="00E12BDF">
        <w:rPr>
          <w:rFonts w:eastAsia="OTNEJMQuadraat"/>
        </w:rPr>
        <w:t>d</w:t>
      </w:r>
      <w:r w:rsidR="00EA51DE" w:rsidRPr="00E12BDF">
        <w:rPr>
          <w:rFonts w:eastAsia="OTNEJMQuadraat"/>
        </w:rPr>
        <w:t xml:space="preserve"> that 37% of patients treated with tafamidis would have NYHA Class III)</w:t>
      </w:r>
      <w:r w:rsidRPr="00E12BDF">
        <w:rPr>
          <w:rFonts w:eastAsia="OTNEJMQuadraat"/>
        </w:rPr>
        <w:t>.</w:t>
      </w:r>
    </w:p>
    <w:p w:rsidR="002F419E" w:rsidRPr="00E12BDF" w:rsidRDefault="002F419E" w:rsidP="00A16AFF">
      <w:pPr>
        <w:pStyle w:val="ExecSumBodyText"/>
      </w:pPr>
      <w:r w:rsidRPr="00E12BDF">
        <w:t>Table 8 summarises the mortality risk in the placebo arm of each of the subgroup populations.</w:t>
      </w:r>
    </w:p>
    <w:p w:rsidR="002F419E" w:rsidRPr="00E12BDF" w:rsidRDefault="002F419E" w:rsidP="002F419E">
      <w:pPr>
        <w:rPr>
          <w:rFonts w:ascii="Arial Narrow" w:hAnsi="Arial Narrow"/>
          <w:b/>
          <w:sz w:val="20"/>
        </w:rPr>
      </w:pPr>
      <w:r w:rsidRPr="00E12BDF">
        <w:rPr>
          <w:rFonts w:ascii="Arial Narrow" w:hAnsi="Arial Narrow"/>
          <w:b/>
          <w:sz w:val="20"/>
        </w:rPr>
        <w:t>Table 8: Mortality risk in the placebo arm of subgroup populations</w:t>
      </w:r>
    </w:p>
    <w:tbl>
      <w:tblPr>
        <w:tblStyle w:val="TableGrid"/>
        <w:tblW w:w="0" w:type="auto"/>
        <w:tblLook w:val="04A0" w:firstRow="1" w:lastRow="0" w:firstColumn="1" w:lastColumn="0" w:noHBand="0" w:noVBand="1"/>
      </w:tblPr>
      <w:tblGrid>
        <w:gridCol w:w="3005"/>
        <w:gridCol w:w="3005"/>
        <w:gridCol w:w="3006"/>
      </w:tblGrid>
      <w:tr w:rsidR="002F419E" w:rsidRPr="00E12BDF" w:rsidTr="00FF07CF">
        <w:tc>
          <w:tcPr>
            <w:tcW w:w="3005" w:type="dxa"/>
          </w:tcPr>
          <w:p w:rsidR="002F419E" w:rsidRPr="00E12BDF" w:rsidRDefault="002F419E" w:rsidP="00FF07CF">
            <w:pPr>
              <w:rPr>
                <w:rFonts w:ascii="Arial Narrow" w:hAnsi="Arial Narrow"/>
                <w:b/>
                <w:sz w:val="20"/>
              </w:rPr>
            </w:pPr>
            <w:r w:rsidRPr="00E12BDF">
              <w:rPr>
                <w:rFonts w:ascii="Arial Narrow" w:hAnsi="Arial Narrow"/>
                <w:b/>
                <w:sz w:val="20"/>
              </w:rPr>
              <w:t>Subgroup</w:t>
            </w:r>
          </w:p>
        </w:tc>
        <w:tc>
          <w:tcPr>
            <w:tcW w:w="3005" w:type="dxa"/>
          </w:tcPr>
          <w:p w:rsidR="002F419E" w:rsidRPr="00E12BDF" w:rsidRDefault="002F419E" w:rsidP="00FF07CF">
            <w:pPr>
              <w:jc w:val="center"/>
              <w:rPr>
                <w:rFonts w:ascii="Arial Narrow" w:hAnsi="Arial Narrow"/>
                <w:b/>
                <w:sz w:val="20"/>
              </w:rPr>
            </w:pPr>
            <w:r w:rsidRPr="00E12BDF">
              <w:rPr>
                <w:rFonts w:ascii="Arial Narrow" w:hAnsi="Arial Narrow"/>
                <w:b/>
                <w:sz w:val="20"/>
              </w:rPr>
              <w:t>All-cause mortality</w:t>
            </w:r>
            <w:r w:rsidRPr="00E12BDF">
              <w:rPr>
                <w:rFonts w:ascii="Arial Narrow" w:hAnsi="Arial Narrow"/>
                <w:b/>
                <w:sz w:val="20"/>
                <w:vertAlign w:val="superscript"/>
              </w:rPr>
              <w:t>a</w:t>
            </w:r>
          </w:p>
        </w:tc>
        <w:tc>
          <w:tcPr>
            <w:tcW w:w="3006" w:type="dxa"/>
          </w:tcPr>
          <w:p w:rsidR="002F419E" w:rsidRPr="00E12BDF" w:rsidRDefault="002F419E" w:rsidP="00FF07CF">
            <w:pPr>
              <w:jc w:val="center"/>
              <w:rPr>
                <w:rFonts w:ascii="Arial Narrow" w:hAnsi="Arial Narrow"/>
                <w:b/>
                <w:sz w:val="20"/>
              </w:rPr>
            </w:pPr>
            <w:r w:rsidRPr="00E12BDF">
              <w:rPr>
                <w:rFonts w:ascii="Arial Narrow" w:hAnsi="Arial Narrow"/>
                <w:b/>
                <w:sz w:val="20"/>
              </w:rPr>
              <w:t>Cardiovascular mortality</w:t>
            </w:r>
            <w:r w:rsidRPr="00E12BDF">
              <w:rPr>
                <w:rFonts w:ascii="Arial Narrow" w:hAnsi="Arial Narrow"/>
                <w:b/>
                <w:sz w:val="20"/>
                <w:vertAlign w:val="superscript"/>
              </w:rPr>
              <w:t>a</w:t>
            </w:r>
          </w:p>
        </w:tc>
      </w:tr>
      <w:tr w:rsidR="002F419E" w:rsidRPr="00E12BDF" w:rsidTr="00FF07CF">
        <w:tc>
          <w:tcPr>
            <w:tcW w:w="9016" w:type="dxa"/>
            <w:gridSpan w:val="3"/>
          </w:tcPr>
          <w:p w:rsidR="002F419E" w:rsidRPr="00E12BDF" w:rsidRDefault="002F419E" w:rsidP="00FF07CF">
            <w:pPr>
              <w:jc w:val="left"/>
              <w:rPr>
                <w:rFonts w:ascii="Arial Narrow" w:hAnsi="Arial Narrow"/>
                <w:sz w:val="20"/>
              </w:rPr>
            </w:pPr>
            <w:r w:rsidRPr="00E12BDF">
              <w:rPr>
                <w:rFonts w:ascii="Arial Narrow" w:hAnsi="Arial Narrow"/>
                <w:b/>
                <w:sz w:val="20"/>
              </w:rPr>
              <w:t>NYHA classification</w:t>
            </w:r>
          </w:p>
        </w:tc>
      </w:tr>
      <w:tr w:rsidR="002F419E" w:rsidRPr="00E12BDF" w:rsidTr="00FF07CF">
        <w:tc>
          <w:tcPr>
            <w:tcW w:w="3005" w:type="dxa"/>
          </w:tcPr>
          <w:p w:rsidR="002F419E" w:rsidRPr="00E12BDF" w:rsidRDefault="002F419E" w:rsidP="00FF07CF">
            <w:pPr>
              <w:rPr>
                <w:rFonts w:ascii="Arial Narrow" w:hAnsi="Arial Narrow"/>
                <w:sz w:val="20"/>
              </w:rPr>
            </w:pPr>
            <w:r w:rsidRPr="00E12BDF">
              <w:rPr>
                <w:rFonts w:ascii="Arial Narrow" w:hAnsi="Arial Narrow"/>
                <w:sz w:val="20"/>
              </w:rPr>
              <w:t>NYHA I/II</w:t>
            </w:r>
          </w:p>
        </w:tc>
        <w:tc>
          <w:tcPr>
            <w:tcW w:w="3005" w:type="dxa"/>
          </w:tcPr>
          <w:p w:rsidR="002F419E" w:rsidRPr="00E12BDF" w:rsidRDefault="002F419E" w:rsidP="00FF07CF">
            <w:pPr>
              <w:jc w:val="center"/>
              <w:rPr>
                <w:rFonts w:ascii="Arial Narrow" w:hAnsi="Arial Narrow"/>
                <w:sz w:val="20"/>
              </w:rPr>
            </w:pPr>
            <w:r w:rsidRPr="00E12BDF">
              <w:rPr>
                <w:rFonts w:ascii="Arial Narrow" w:hAnsi="Arial Narrow"/>
                <w:sz w:val="20"/>
              </w:rPr>
              <w:t>37/114 (32.5%)</w:t>
            </w:r>
          </w:p>
        </w:tc>
        <w:tc>
          <w:tcPr>
            <w:tcW w:w="3006" w:type="dxa"/>
          </w:tcPr>
          <w:p w:rsidR="002F419E" w:rsidRPr="00E12BDF" w:rsidRDefault="002F419E" w:rsidP="00FF07CF">
            <w:pPr>
              <w:jc w:val="center"/>
              <w:rPr>
                <w:rFonts w:ascii="Arial Narrow" w:hAnsi="Arial Narrow"/>
                <w:sz w:val="20"/>
              </w:rPr>
            </w:pPr>
            <w:r w:rsidRPr="00E12BDF">
              <w:rPr>
                <w:rFonts w:ascii="Arial Narrow" w:hAnsi="Arial Narrow"/>
                <w:sz w:val="20"/>
              </w:rPr>
              <w:t>32/114 (28.1%)</w:t>
            </w:r>
          </w:p>
        </w:tc>
      </w:tr>
      <w:tr w:rsidR="002F419E" w:rsidRPr="00E12BDF" w:rsidTr="00FF07CF">
        <w:tc>
          <w:tcPr>
            <w:tcW w:w="3005" w:type="dxa"/>
          </w:tcPr>
          <w:p w:rsidR="002F419E" w:rsidRPr="00E12BDF" w:rsidRDefault="002F419E" w:rsidP="00FF07CF">
            <w:pPr>
              <w:rPr>
                <w:rFonts w:ascii="Arial Narrow" w:hAnsi="Arial Narrow"/>
                <w:sz w:val="20"/>
              </w:rPr>
            </w:pPr>
            <w:r w:rsidRPr="00E12BDF">
              <w:rPr>
                <w:rFonts w:ascii="Arial Narrow" w:hAnsi="Arial Narrow"/>
                <w:sz w:val="20"/>
              </w:rPr>
              <w:t>NYHA III</w:t>
            </w:r>
          </w:p>
        </w:tc>
        <w:tc>
          <w:tcPr>
            <w:tcW w:w="3005" w:type="dxa"/>
          </w:tcPr>
          <w:p w:rsidR="002F419E" w:rsidRPr="00E12BDF" w:rsidRDefault="002F419E" w:rsidP="00FF07CF">
            <w:pPr>
              <w:jc w:val="center"/>
              <w:rPr>
                <w:rFonts w:ascii="Arial Narrow" w:hAnsi="Arial Narrow"/>
                <w:sz w:val="20"/>
              </w:rPr>
            </w:pPr>
            <w:r w:rsidRPr="00E12BDF">
              <w:rPr>
                <w:rFonts w:ascii="Arial Narrow" w:hAnsi="Arial Narrow"/>
                <w:sz w:val="20"/>
              </w:rPr>
              <w:t>39/63 (61.9%)</w:t>
            </w:r>
          </w:p>
        </w:tc>
        <w:tc>
          <w:tcPr>
            <w:tcW w:w="3006" w:type="dxa"/>
          </w:tcPr>
          <w:p w:rsidR="002F419E" w:rsidRPr="00E12BDF" w:rsidRDefault="002F419E" w:rsidP="00FF07CF">
            <w:pPr>
              <w:jc w:val="center"/>
              <w:rPr>
                <w:rFonts w:ascii="Arial Narrow" w:hAnsi="Arial Narrow"/>
                <w:sz w:val="20"/>
              </w:rPr>
            </w:pPr>
            <w:r w:rsidRPr="00E12BDF">
              <w:rPr>
                <w:rFonts w:ascii="Arial Narrow" w:hAnsi="Arial Narrow"/>
                <w:sz w:val="20"/>
              </w:rPr>
              <w:t>31/63 (49.2%)</w:t>
            </w:r>
          </w:p>
        </w:tc>
      </w:tr>
      <w:tr w:rsidR="002F419E" w:rsidRPr="00E12BDF" w:rsidTr="00FF07CF">
        <w:tc>
          <w:tcPr>
            <w:tcW w:w="9016" w:type="dxa"/>
            <w:gridSpan w:val="3"/>
          </w:tcPr>
          <w:p w:rsidR="002F419E" w:rsidRPr="00E12BDF" w:rsidRDefault="002F419E" w:rsidP="00FF07CF">
            <w:pPr>
              <w:jc w:val="left"/>
              <w:rPr>
                <w:rFonts w:ascii="Arial Narrow" w:hAnsi="Arial Narrow"/>
                <w:sz w:val="20"/>
              </w:rPr>
            </w:pPr>
            <w:r w:rsidRPr="00E12BDF">
              <w:rPr>
                <w:rFonts w:ascii="Arial Narrow" w:hAnsi="Arial Narrow"/>
                <w:b/>
                <w:sz w:val="20"/>
              </w:rPr>
              <w:t>TTR genotype</w:t>
            </w:r>
          </w:p>
        </w:tc>
      </w:tr>
      <w:tr w:rsidR="002F419E" w:rsidRPr="00E12BDF" w:rsidTr="00FF07CF">
        <w:tc>
          <w:tcPr>
            <w:tcW w:w="3005" w:type="dxa"/>
          </w:tcPr>
          <w:p w:rsidR="002F419E" w:rsidRPr="00E12BDF" w:rsidRDefault="002F419E" w:rsidP="00FF07CF">
            <w:pPr>
              <w:rPr>
                <w:rFonts w:ascii="Arial Narrow" w:hAnsi="Arial Narrow"/>
                <w:sz w:val="20"/>
              </w:rPr>
            </w:pPr>
            <w:r w:rsidRPr="00E12BDF">
              <w:rPr>
                <w:rFonts w:ascii="Arial Narrow" w:hAnsi="Arial Narrow"/>
                <w:sz w:val="20"/>
              </w:rPr>
              <w:t>ATTRm</w:t>
            </w:r>
          </w:p>
        </w:tc>
        <w:tc>
          <w:tcPr>
            <w:tcW w:w="3005" w:type="dxa"/>
          </w:tcPr>
          <w:p w:rsidR="002F419E" w:rsidRPr="00E12BDF" w:rsidRDefault="002F419E" w:rsidP="00FF07CF">
            <w:pPr>
              <w:jc w:val="center"/>
              <w:rPr>
                <w:rFonts w:ascii="Arial Narrow" w:hAnsi="Arial Narrow"/>
                <w:sz w:val="20"/>
              </w:rPr>
            </w:pPr>
            <w:r w:rsidRPr="00E12BDF">
              <w:rPr>
                <w:rFonts w:ascii="Arial Narrow" w:hAnsi="Arial Narrow"/>
                <w:sz w:val="20"/>
              </w:rPr>
              <w:t>27/43 (62.8%)</w:t>
            </w:r>
          </w:p>
        </w:tc>
        <w:tc>
          <w:tcPr>
            <w:tcW w:w="3006" w:type="dxa"/>
          </w:tcPr>
          <w:p w:rsidR="002F419E" w:rsidRPr="00E12BDF" w:rsidRDefault="002F419E" w:rsidP="00FF07CF">
            <w:pPr>
              <w:jc w:val="center"/>
              <w:rPr>
                <w:rFonts w:ascii="Arial Narrow" w:hAnsi="Arial Narrow"/>
                <w:sz w:val="20"/>
              </w:rPr>
            </w:pPr>
            <w:r w:rsidRPr="00E12BDF">
              <w:rPr>
                <w:rFonts w:ascii="Arial Narrow" w:hAnsi="Arial Narrow"/>
                <w:sz w:val="20"/>
              </w:rPr>
              <w:t>22/43 (51.2%)</w:t>
            </w:r>
          </w:p>
        </w:tc>
      </w:tr>
      <w:tr w:rsidR="002F419E" w:rsidRPr="00E12BDF" w:rsidTr="00FF07CF">
        <w:tc>
          <w:tcPr>
            <w:tcW w:w="3005" w:type="dxa"/>
          </w:tcPr>
          <w:p w:rsidR="002F419E" w:rsidRPr="00E12BDF" w:rsidRDefault="002F419E" w:rsidP="00FF07CF">
            <w:pPr>
              <w:rPr>
                <w:rFonts w:ascii="Arial Narrow" w:hAnsi="Arial Narrow"/>
                <w:sz w:val="20"/>
              </w:rPr>
            </w:pPr>
            <w:r w:rsidRPr="00E12BDF">
              <w:rPr>
                <w:rFonts w:ascii="Arial Narrow" w:hAnsi="Arial Narrow"/>
                <w:sz w:val="20"/>
              </w:rPr>
              <w:t>ATTRwt</w:t>
            </w:r>
          </w:p>
        </w:tc>
        <w:tc>
          <w:tcPr>
            <w:tcW w:w="3005" w:type="dxa"/>
          </w:tcPr>
          <w:p w:rsidR="002F419E" w:rsidRPr="00E12BDF" w:rsidRDefault="002F419E" w:rsidP="00FF07CF">
            <w:pPr>
              <w:jc w:val="center"/>
              <w:rPr>
                <w:rFonts w:ascii="Arial Narrow" w:hAnsi="Arial Narrow"/>
                <w:sz w:val="20"/>
              </w:rPr>
            </w:pPr>
            <w:r w:rsidRPr="00E12BDF">
              <w:rPr>
                <w:rFonts w:ascii="Arial Narrow" w:hAnsi="Arial Narrow"/>
                <w:sz w:val="20"/>
              </w:rPr>
              <w:t>49/134 (36.6%)</w:t>
            </w:r>
          </w:p>
        </w:tc>
        <w:tc>
          <w:tcPr>
            <w:tcW w:w="3006" w:type="dxa"/>
          </w:tcPr>
          <w:p w:rsidR="002F419E" w:rsidRPr="00E12BDF" w:rsidRDefault="002F419E" w:rsidP="00FF07CF">
            <w:pPr>
              <w:jc w:val="center"/>
              <w:rPr>
                <w:rFonts w:ascii="Arial Narrow" w:hAnsi="Arial Narrow"/>
                <w:sz w:val="20"/>
              </w:rPr>
            </w:pPr>
            <w:r w:rsidRPr="00E12BDF">
              <w:rPr>
                <w:rFonts w:ascii="Arial Narrow" w:hAnsi="Arial Narrow"/>
                <w:sz w:val="20"/>
              </w:rPr>
              <w:t>41/134 (30.6%)</w:t>
            </w:r>
          </w:p>
        </w:tc>
      </w:tr>
    </w:tbl>
    <w:p w:rsidR="002F419E" w:rsidRPr="00E12BDF" w:rsidRDefault="002F419E" w:rsidP="002F419E">
      <w:pPr>
        <w:pStyle w:val="TableFigureFooter"/>
      </w:pPr>
      <w:r w:rsidRPr="00E12BDF">
        <w:t>Source: Table 2.6.2, p.140; Table 2.6.3, p.144; Table 2.6.7, p.157; Table 2.6.8, p.161 of the submission</w:t>
      </w:r>
    </w:p>
    <w:p w:rsidR="002F419E" w:rsidRPr="00E12BDF" w:rsidRDefault="002F419E" w:rsidP="002F419E">
      <w:pPr>
        <w:pStyle w:val="TableFigureFooter"/>
        <w:rPr>
          <w:szCs w:val="18"/>
        </w:rPr>
      </w:pPr>
      <w:r w:rsidRPr="00E12BDF">
        <w:rPr>
          <w:vertAlign w:val="superscript"/>
        </w:rPr>
        <w:t>a</w:t>
      </w:r>
      <w:r w:rsidRPr="00E12BDF">
        <w:t xml:space="preserve"> Heart transplant or implantation of a cardiac mechanical assist device handled as death.</w:t>
      </w:r>
    </w:p>
    <w:p w:rsidR="00F85EAD" w:rsidRPr="00E12BDF" w:rsidRDefault="002F419E" w:rsidP="00FF07CF">
      <w:pPr>
        <w:pStyle w:val="TableFigureFooter"/>
      </w:pPr>
      <w:r w:rsidRPr="00E12BDF">
        <w:rPr>
          <w:szCs w:val="18"/>
        </w:rPr>
        <w:t>Abbreviations: ATTRm, variant transthyretin amyloidosis; ATTRwt, wild type transthyretin amyloidosis; NYHA, New York Heart Association heart failure classification; TTR, transthyretin.</w:t>
      </w:r>
    </w:p>
    <w:p w:rsidR="007277F0" w:rsidRPr="00E12BDF" w:rsidRDefault="00112B9B" w:rsidP="00A67075">
      <w:pPr>
        <w:pStyle w:val="ExecSumBodyText"/>
      </w:pPr>
      <w:r w:rsidRPr="00E12BDF">
        <w:t>Mortality data from the individual NHYA subgroups indicate that patients with NYHA class III had a higher baseline risk of all-cause mortality compared to patients with NYHA class I/II (61.9% versus 32.5%, respectively). Similarly, patients with NYHA class III had a higher baseline risk of cardiovascular mortality compared to patients with NYHA class I/II (49.2% versus 28.1%, respectively).</w:t>
      </w:r>
    </w:p>
    <w:p w:rsidR="00E46290" w:rsidRPr="00E12BDF" w:rsidRDefault="00F85EAD" w:rsidP="00F85EAD">
      <w:pPr>
        <w:pStyle w:val="ExecSumBodyText"/>
      </w:pPr>
      <w:r w:rsidRPr="00E12BDF">
        <w:t>Mortality data from the individual genotype subgroups indicate that patients with ATTRm had a higher baseline risk of all-cause mortality compared to patients with ATTRwt (62.8% versus 36.6%, respectively). Similarly, patients with ATTRm had a higher risk of cardiovascular mortality compared with patients with ATTRwt (51.2% versus 30.6%).</w:t>
      </w:r>
    </w:p>
    <w:p w:rsidR="009C5D30" w:rsidRPr="00E12BDF" w:rsidRDefault="009C5D30" w:rsidP="00F85EAD">
      <w:pPr>
        <w:pStyle w:val="ExecSumBodyText"/>
      </w:pPr>
      <w:r w:rsidRPr="00E12BDF">
        <w:rPr>
          <w:rFonts w:eastAsia="OTNEJMQuadraat"/>
        </w:rPr>
        <w:t xml:space="preserve">The subgroup analyses indicate that the baseline risk of death varies substantially between subgroups. Therefore, even if constant relative treatment effects can be </w:t>
      </w:r>
      <w:r w:rsidRPr="00E12BDF">
        <w:rPr>
          <w:rFonts w:eastAsia="OTNEJMQuadraat"/>
        </w:rPr>
        <w:lastRenderedPageBreak/>
        <w:t xml:space="preserve">assumed between NYHA classes and TTR genotypes, the absolute benefit of tafamidis treatment </w:t>
      </w:r>
      <w:r w:rsidR="004E2E8E" w:rsidRPr="00E12BDF">
        <w:rPr>
          <w:rFonts w:eastAsia="OTNEJMQuadraat"/>
        </w:rPr>
        <w:t xml:space="preserve">will </w:t>
      </w:r>
      <w:r w:rsidRPr="00E12BDF">
        <w:rPr>
          <w:rFonts w:eastAsia="OTNEJMQuadraat"/>
        </w:rPr>
        <w:t xml:space="preserve">vary substantially between subgroups. </w:t>
      </w:r>
    </w:p>
    <w:p w:rsidR="00B60939" w:rsidRPr="00E12BDF" w:rsidRDefault="00B60939" w:rsidP="00D86231">
      <w:pPr>
        <w:pStyle w:val="3-SubsectionHeading"/>
      </w:pPr>
      <w:bookmarkStart w:id="13" w:name="_Toc22897642"/>
      <w:bookmarkStart w:id="14" w:name="_Toc40868596"/>
      <w:r w:rsidRPr="00E12BDF">
        <w:t>Comparative harms</w:t>
      </w:r>
      <w:bookmarkEnd w:id="13"/>
      <w:bookmarkEnd w:id="14"/>
    </w:p>
    <w:p w:rsidR="00B60939" w:rsidRPr="00E12BDF" w:rsidRDefault="00B351BB" w:rsidP="00D86231">
      <w:pPr>
        <w:pStyle w:val="ExecSumBodyText"/>
      </w:pPr>
      <w:r w:rsidRPr="00E12BDF">
        <w:t xml:space="preserve">Table 9 summarises the proportions of patients experiencing </w:t>
      </w:r>
      <w:r w:rsidR="00DD3F69" w:rsidRPr="00E12BDF">
        <w:t xml:space="preserve">key treatment emergent </w:t>
      </w:r>
      <w:r w:rsidRPr="00E12BDF">
        <w:t>adverse events in the ATTR-ACT trial.</w:t>
      </w:r>
    </w:p>
    <w:p w:rsidR="00DD3F69" w:rsidRPr="00E12BDF" w:rsidRDefault="00DD3F69" w:rsidP="00DD3F69">
      <w:pPr>
        <w:pStyle w:val="TableFigureCaption"/>
        <w:rPr>
          <w:szCs w:val="20"/>
        </w:rPr>
      </w:pPr>
      <w:r w:rsidRPr="00E12BDF">
        <w:rPr>
          <w:szCs w:val="20"/>
        </w:rPr>
        <w:t>Table 9: Summary of key treatment emergent adverse events in the ATTR-ACT trial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82"/>
        <w:gridCol w:w="1582"/>
        <w:gridCol w:w="1582"/>
        <w:gridCol w:w="1582"/>
      </w:tblGrid>
      <w:tr w:rsidR="00DD3F69" w:rsidRPr="00E12BDF" w:rsidTr="00F62870">
        <w:trPr>
          <w:tblHeader/>
        </w:trPr>
        <w:tc>
          <w:tcPr>
            <w:tcW w:w="2689" w:type="dxa"/>
            <w:vAlign w:val="center"/>
          </w:tcPr>
          <w:p w:rsidR="00DD3F69" w:rsidRPr="00E12BDF" w:rsidRDefault="00DD3F69" w:rsidP="00F62870">
            <w:pPr>
              <w:pStyle w:val="Tableheadingrow"/>
              <w:rPr>
                <w:szCs w:val="20"/>
                <w:lang w:val="en-AU"/>
              </w:rPr>
            </w:pPr>
            <w:r w:rsidRPr="00E12BDF">
              <w:rPr>
                <w:szCs w:val="20"/>
                <w:lang w:val="en-AU"/>
              </w:rPr>
              <w:t>Patients with events</w:t>
            </w:r>
          </w:p>
        </w:tc>
        <w:tc>
          <w:tcPr>
            <w:tcW w:w="1582" w:type="dxa"/>
            <w:vAlign w:val="center"/>
          </w:tcPr>
          <w:p w:rsidR="00DD3F69" w:rsidRPr="00E12BDF" w:rsidRDefault="00DD3F69" w:rsidP="00F62870">
            <w:pPr>
              <w:pStyle w:val="Tableheadingrow"/>
              <w:ind w:left="-95" w:right="-81"/>
              <w:jc w:val="center"/>
              <w:rPr>
                <w:szCs w:val="20"/>
                <w:lang w:val="en-AU"/>
              </w:rPr>
            </w:pPr>
            <w:r w:rsidRPr="00E12BDF">
              <w:rPr>
                <w:szCs w:val="20"/>
                <w:lang w:val="en-AU"/>
              </w:rPr>
              <w:t xml:space="preserve">Tafamidis </w:t>
            </w:r>
          </w:p>
          <w:p w:rsidR="00DD3F69" w:rsidRPr="00E12BDF" w:rsidRDefault="00DD3F69" w:rsidP="00F62870">
            <w:pPr>
              <w:pStyle w:val="Tableheadingrow"/>
              <w:jc w:val="center"/>
              <w:rPr>
                <w:szCs w:val="20"/>
                <w:lang w:val="en-AU"/>
              </w:rPr>
            </w:pPr>
            <w:r w:rsidRPr="00E12BDF">
              <w:rPr>
                <w:szCs w:val="20"/>
                <w:lang w:val="en-AU"/>
              </w:rPr>
              <w:t>20 mg</w:t>
            </w:r>
          </w:p>
        </w:tc>
        <w:tc>
          <w:tcPr>
            <w:tcW w:w="1582" w:type="dxa"/>
            <w:vAlign w:val="center"/>
          </w:tcPr>
          <w:p w:rsidR="00DD3F69" w:rsidRPr="00E12BDF" w:rsidRDefault="00DD3F69" w:rsidP="00F62870">
            <w:pPr>
              <w:pStyle w:val="Tableheadingrow"/>
              <w:ind w:left="-95" w:right="-81"/>
              <w:jc w:val="center"/>
              <w:rPr>
                <w:szCs w:val="20"/>
                <w:lang w:val="en-AU"/>
              </w:rPr>
            </w:pPr>
            <w:r w:rsidRPr="00E12BDF">
              <w:rPr>
                <w:szCs w:val="20"/>
                <w:lang w:val="en-AU"/>
              </w:rPr>
              <w:t xml:space="preserve">Tafamidis </w:t>
            </w:r>
          </w:p>
          <w:p w:rsidR="00DD3F69" w:rsidRPr="00E12BDF" w:rsidRDefault="00DD3F69" w:rsidP="00F62870">
            <w:pPr>
              <w:pStyle w:val="Tableheadingrow"/>
              <w:jc w:val="center"/>
              <w:rPr>
                <w:szCs w:val="20"/>
                <w:lang w:val="en-AU"/>
              </w:rPr>
            </w:pPr>
            <w:r w:rsidRPr="00E12BDF">
              <w:rPr>
                <w:szCs w:val="20"/>
                <w:lang w:val="en-AU"/>
              </w:rPr>
              <w:t>80 mg</w:t>
            </w:r>
          </w:p>
        </w:tc>
        <w:tc>
          <w:tcPr>
            <w:tcW w:w="1582" w:type="dxa"/>
            <w:vAlign w:val="center"/>
          </w:tcPr>
          <w:p w:rsidR="00DD3F69" w:rsidRPr="00E12BDF" w:rsidRDefault="00DD3F69" w:rsidP="00F62870">
            <w:pPr>
              <w:pStyle w:val="Tableheadingrow"/>
              <w:jc w:val="center"/>
              <w:rPr>
                <w:szCs w:val="20"/>
                <w:lang w:val="en-AU"/>
              </w:rPr>
            </w:pPr>
            <w:r w:rsidRPr="00E12BDF">
              <w:rPr>
                <w:szCs w:val="20"/>
                <w:lang w:val="en-AU"/>
              </w:rPr>
              <w:t>Tafamidis pooled</w:t>
            </w:r>
          </w:p>
        </w:tc>
        <w:tc>
          <w:tcPr>
            <w:tcW w:w="1582" w:type="dxa"/>
            <w:vAlign w:val="center"/>
          </w:tcPr>
          <w:p w:rsidR="00DD3F69" w:rsidRPr="00E12BDF" w:rsidRDefault="00DD3F69" w:rsidP="00F62870">
            <w:pPr>
              <w:pStyle w:val="Tableheadingrow"/>
              <w:jc w:val="center"/>
              <w:rPr>
                <w:szCs w:val="20"/>
                <w:lang w:val="en-AU"/>
              </w:rPr>
            </w:pPr>
            <w:r w:rsidRPr="00E12BDF">
              <w:rPr>
                <w:szCs w:val="20"/>
                <w:lang w:val="en-AU"/>
              </w:rPr>
              <w:t>Placebo</w:t>
            </w:r>
          </w:p>
        </w:tc>
      </w:tr>
      <w:tr w:rsidR="00DD3F69" w:rsidRPr="00E12BDF" w:rsidTr="00F62870">
        <w:trPr>
          <w:tblHeader/>
        </w:trPr>
        <w:tc>
          <w:tcPr>
            <w:tcW w:w="2689" w:type="dxa"/>
            <w:vAlign w:val="center"/>
          </w:tcPr>
          <w:p w:rsidR="00DD3F69" w:rsidRPr="00E12BDF" w:rsidRDefault="00DD3F69" w:rsidP="00F62870">
            <w:pPr>
              <w:pStyle w:val="Tableheadingrow"/>
              <w:rPr>
                <w:b w:val="0"/>
                <w:szCs w:val="20"/>
                <w:lang w:val="en-AU"/>
              </w:rPr>
            </w:pPr>
            <w:r w:rsidRPr="00E12BDF">
              <w:rPr>
                <w:b w:val="0"/>
                <w:szCs w:val="20"/>
                <w:lang w:val="en-AU"/>
              </w:rPr>
              <w:t>N</w:t>
            </w:r>
          </w:p>
        </w:tc>
        <w:tc>
          <w:tcPr>
            <w:tcW w:w="1582" w:type="dxa"/>
            <w:vAlign w:val="center"/>
          </w:tcPr>
          <w:p w:rsidR="00DD3F69" w:rsidRPr="00E12BDF" w:rsidRDefault="00DD3F69" w:rsidP="00F62870">
            <w:pPr>
              <w:pStyle w:val="Tableheadingrow"/>
              <w:ind w:left="-95" w:right="-81"/>
              <w:jc w:val="center"/>
              <w:rPr>
                <w:b w:val="0"/>
                <w:szCs w:val="20"/>
                <w:lang w:val="en-AU"/>
              </w:rPr>
            </w:pPr>
            <w:r w:rsidRPr="00E12BDF">
              <w:rPr>
                <w:b w:val="0"/>
                <w:szCs w:val="20"/>
                <w:lang w:val="en-AU"/>
              </w:rPr>
              <w:t>88</w:t>
            </w:r>
          </w:p>
        </w:tc>
        <w:tc>
          <w:tcPr>
            <w:tcW w:w="1582" w:type="dxa"/>
            <w:vAlign w:val="center"/>
          </w:tcPr>
          <w:p w:rsidR="00DD3F69" w:rsidRPr="00E12BDF" w:rsidRDefault="00DD3F69" w:rsidP="00F62870">
            <w:pPr>
              <w:pStyle w:val="Tableheadingrow"/>
              <w:ind w:left="-95" w:right="-81"/>
              <w:jc w:val="center"/>
              <w:rPr>
                <w:b w:val="0"/>
                <w:szCs w:val="20"/>
                <w:lang w:val="en-AU"/>
              </w:rPr>
            </w:pPr>
            <w:r w:rsidRPr="00E12BDF">
              <w:rPr>
                <w:b w:val="0"/>
                <w:szCs w:val="20"/>
                <w:lang w:val="en-AU"/>
              </w:rPr>
              <w:t>176</w:t>
            </w:r>
          </w:p>
        </w:tc>
        <w:tc>
          <w:tcPr>
            <w:tcW w:w="1582" w:type="dxa"/>
            <w:vAlign w:val="center"/>
          </w:tcPr>
          <w:p w:rsidR="00DD3F69" w:rsidRPr="00E12BDF" w:rsidRDefault="00DD3F69" w:rsidP="00F62870">
            <w:pPr>
              <w:pStyle w:val="Tableheadingrow"/>
              <w:jc w:val="center"/>
              <w:rPr>
                <w:b w:val="0"/>
                <w:szCs w:val="20"/>
                <w:lang w:val="en-AU"/>
              </w:rPr>
            </w:pPr>
            <w:r w:rsidRPr="00E12BDF">
              <w:rPr>
                <w:b w:val="0"/>
                <w:szCs w:val="20"/>
                <w:lang w:val="en-AU"/>
              </w:rPr>
              <w:t>264</w:t>
            </w:r>
          </w:p>
        </w:tc>
        <w:tc>
          <w:tcPr>
            <w:tcW w:w="1582" w:type="dxa"/>
            <w:vAlign w:val="center"/>
          </w:tcPr>
          <w:p w:rsidR="00DD3F69" w:rsidRPr="00E12BDF" w:rsidRDefault="00DD3F69" w:rsidP="00F62870">
            <w:pPr>
              <w:pStyle w:val="Tableheadingrow"/>
              <w:jc w:val="center"/>
              <w:rPr>
                <w:b w:val="0"/>
                <w:szCs w:val="20"/>
                <w:lang w:val="en-AU"/>
              </w:rPr>
            </w:pPr>
            <w:r w:rsidRPr="00E12BDF">
              <w:rPr>
                <w:b w:val="0"/>
                <w:szCs w:val="20"/>
                <w:lang w:val="en-AU"/>
              </w:rPr>
              <w:t>177</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Number of events</w:t>
            </w:r>
          </w:p>
        </w:tc>
        <w:tc>
          <w:tcPr>
            <w:tcW w:w="1582" w:type="dxa"/>
          </w:tcPr>
          <w:p w:rsidR="00DD3F69" w:rsidRPr="00E12BDF" w:rsidRDefault="00DD3F69" w:rsidP="00F62870">
            <w:pPr>
              <w:pStyle w:val="TableText"/>
              <w:jc w:val="center"/>
              <w:rPr>
                <w:szCs w:val="20"/>
              </w:rPr>
            </w:pPr>
            <w:r w:rsidRPr="00E12BDF">
              <w:rPr>
                <w:spacing w:val="1"/>
                <w:szCs w:val="20"/>
              </w:rPr>
              <w:t>1036</w:t>
            </w:r>
          </w:p>
        </w:tc>
        <w:tc>
          <w:tcPr>
            <w:tcW w:w="1582" w:type="dxa"/>
          </w:tcPr>
          <w:p w:rsidR="00DD3F69" w:rsidRPr="00E12BDF" w:rsidRDefault="00DD3F69" w:rsidP="00F62870">
            <w:pPr>
              <w:pStyle w:val="TableText"/>
              <w:jc w:val="center"/>
              <w:rPr>
                <w:szCs w:val="20"/>
              </w:rPr>
            </w:pPr>
            <w:r w:rsidRPr="00E12BDF">
              <w:rPr>
                <w:spacing w:val="1"/>
                <w:szCs w:val="20"/>
              </w:rPr>
              <w:t>2138</w:t>
            </w:r>
          </w:p>
        </w:tc>
        <w:tc>
          <w:tcPr>
            <w:tcW w:w="1582" w:type="dxa"/>
          </w:tcPr>
          <w:p w:rsidR="00DD3F69" w:rsidRPr="00E12BDF" w:rsidRDefault="00DD3F69" w:rsidP="00F62870">
            <w:pPr>
              <w:pStyle w:val="TableText"/>
              <w:jc w:val="center"/>
              <w:rPr>
                <w:szCs w:val="20"/>
              </w:rPr>
            </w:pPr>
            <w:r w:rsidRPr="00E12BDF">
              <w:rPr>
                <w:spacing w:val="1"/>
                <w:szCs w:val="20"/>
              </w:rPr>
              <w:t>3174</w:t>
            </w:r>
          </w:p>
        </w:tc>
        <w:tc>
          <w:tcPr>
            <w:tcW w:w="1582" w:type="dxa"/>
          </w:tcPr>
          <w:p w:rsidR="00DD3F69" w:rsidRPr="00E12BDF" w:rsidRDefault="00DD3F69" w:rsidP="00F62870">
            <w:pPr>
              <w:pStyle w:val="TableText"/>
              <w:jc w:val="center"/>
              <w:rPr>
                <w:szCs w:val="20"/>
              </w:rPr>
            </w:pPr>
            <w:r w:rsidRPr="00E12BDF">
              <w:rPr>
                <w:spacing w:val="1"/>
                <w:szCs w:val="20"/>
              </w:rPr>
              <w:t>2463</w:t>
            </w:r>
          </w:p>
        </w:tc>
      </w:tr>
      <w:tr w:rsidR="00DD3F69" w:rsidRPr="00E12BDF" w:rsidTr="00F62870">
        <w:tc>
          <w:tcPr>
            <w:tcW w:w="9017" w:type="dxa"/>
            <w:gridSpan w:val="5"/>
            <w:vAlign w:val="center"/>
          </w:tcPr>
          <w:p w:rsidR="00DD3F69" w:rsidRPr="00E12BDF" w:rsidRDefault="00DD3F69" w:rsidP="00F62870">
            <w:pPr>
              <w:pStyle w:val="TableText"/>
              <w:rPr>
                <w:b/>
                <w:spacing w:val="1"/>
                <w:szCs w:val="20"/>
              </w:rPr>
            </w:pPr>
            <w:r w:rsidRPr="00E12BDF">
              <w:rPr>
                <w:b/>
                <w:spacing w:val="1"/>
                <w:szCs w:val="20"/>
              </w:rPr>
              <w:t>Patients reporting ≥ 1 treatment emergent adverse events</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Any adverse events (AEs)</w:t>
            </w:r>
          </w:p>
        </w:tc>
        <w:tc>
          <w:tcPr>
            <w:tcW w:w="1582" w:type="dxa"/>
          </w:tcPr>
          <w:p w:rsidR="00DD3F69" w:rsidRPr="00E12BDF" w:rsidRDefault="00DD3F69" w:rsidP="00F62870">
            <w:pPr>
              <w:pStyle w:val="TableText"/>
              <w:jc w:val="center"/>
              <w:rPr>
                <w:szCs w:val="20"/>
              </w:rPr>
            </w:pPr>
            <w:r w:rsidRPr="00E12BDF">
              <w:rPr>
                <w:szCs w:val="20"/>
              </w:rPr>
              <w:t>87</w:t>
            </w:r>
            <w:r w:rsidRPr="00E12BDF">
              <w:rPr>
                <w:spacing w:val="-6"/>
                <w:szCs w:val="20"/>
              </w:rPr>
              <w:t xml:space="preserve"> </w:t>
            </w:r>
            <w:r w:rsidRPr="00E12BDF">
              <w:rPr>
                <w:szCs w:val="20"/>
              </w:rPr>
              <w:t>(98.9%)</w:t>
            </w:r>
          </w:p>
        </w:tc>
        <w:tc>
          <w:tcPr>
            <w:tcW w:w="1582" w:type="dxa"/>
          </w:tcPr>
          <w:p w:rsidR="00DD3F69" w:rsidRPr="00E12BDF" w:rsidRDefault="00DD3F69" w:rsidP="00F62870">
            <w:pPr>
              <w:pStyle w:val="TableText"/>
              <w:jc w:val="center"/>
              <w:rPr>
                <w:szCs w:val="20"/>
              </w:rPr>
            </w:pPr>
            <w:r w:rsidRPr="00E12BDF">
              <w:rPr>
                <w:szCs w:val="20"/>
              </w:rPr>
              <w:t>173</w:t>
            </w:r>
            <w:r w:rsidRPr="00E12BDF">
              <w:rPr>
                <w:spacing w:val="-8"/>
                <w:szCs w:val="20"/>
              </w:rPr>
              <w:t xml:space="preserve"> </w:t>
            </w:r>
            <w:r w:rsidRPr="00E12BDF">
              <w:rPr>
                <w:szCs w:val="20"/>
              </w:rPr>
              <w:t>(98.3%)</w:t>
            </w:r>
          </w:p>
        </w:tc>
        <w:tc>
          <w:tcPr>
            <w:tcW w:w="1582" w:type="dxa"/>
          </w:tcPr>
          <w:p w:rsidR="00DD3F69" w:rsidRPr="00E12BDF" w:rsidRDefault="00DD3F69" w:rsidP="00F62870">
            <w:pPr>
              <w:pStyle w:val="TableText"/>
              <w:jc w:val="center"/>
              <w:rPr>
                <w:szCs w:val="20"/>
              </w:rPr>
            </w:pPr>
            <w:r w:rsidRPr="00E12BDF">
              <w:rPr>
                <w:szCs w:val="20"/>
              </w:rPr>
              <w:t>260</w:t>
            </w:r>
            <w:r w:rsidRPr="00E12BDF">
              <w:rPr>
                <w:spacing w:val="-8"/>
                <w:szCs w:val="20"/>
              </w:rPr>
              <w:t xml:space="preserve"> </w:t>
            </w:r>
            <w:r w:rsidRPr="00E12BDF">
              <w:rPr>
                <w:szCs w:val="20"/>
              </w:rPr>
              <w:t>(98.5%)</w:t>
            </w:r>
          </w:p>
        </w:tc>
        <w:tc>
          <w:tcPr>
            <w:tcW w:w="1582" w:type="dxa"/>
          </w:tcPr>
          <w:p w:rsidR="00DD3F69" w:rsidRPr="00E12BDF" w:rsidRDefault="00DD3F69" w:rsidP="00F62870">
            <w:pPr>
              <w:pStyle w:val="TableText"/>
              <w:jc w:val="center"/>
              <w:rPr>
                <w:szCs w:val="20"/>
              </w:rPr>
            </w:pPr>
            <w:r w:rsidRPr="00E12BDF">
              <w:rPr>
                <w:szCs w:val="20"/>
              </w:rPr>
              <w:t>175</w:t>
            </w:r>
            <w:r w:rsidRPr="00E12BDF">
              <w:rPr>
                <w:spacing w:val="-8"/>
                <w:szCs w:val="20"/>
              </w:rPr>
              <w:t xml:space="preserve"> </w:t>
            </w:r>
            <w:r w:rsidRPr="00E12BDF">
              <w:rPr>
                <w:szCs w:val="20"/>
              </w:rPr>
              <w:t>(98.9%)</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Treatment related adverse events</w:t>
            </w:r>
          </w:p>
        </w:tc>
        <w:tc>
          <w:tcPr>
            <w:tcW w:w="1582" w:type="dxa"/>
          </w:tcPr>
          <w:p w:rsidR="00DD3F69" w:rsidRPr="00E12BDF" w:rsidRDefault="00DD3F69" w:rsidP="00F62870">
            <w:pPr>
              <w:pStyle w:val="TableText"/>
              <w:jc w:val="center"/>
              <w:rPr>
                <w:szCs w:val="20"/>
              </w:rPr>
            </w:pPr>
            <w:r w:rsidRPr="00E12BDF">
              <w:rPr>
                <w:szCs w:val="20"/>
              </w:rPr>
              <w:t>34</w:t>
            </w:r>
            <w:r w:rsidRPr="00E12BDF">
              <w:rPr>
                <w:spacing w:val="-6"/>
                <w:szCs w:val="20"/>
              </w:rPr>
              <w:t xml:space="preserve"> </w:t>
            </w:r>
            <w:r w:rsidRPr="00E12BDF">
              <w:rPr>
                <w:szCs w:val="20"/>
              </w:rPr>
              <w:t>(38.6%)</w:t>
            </w:r>
          </w:p>
        </w:tc>
        <w:tc>
          <w:tcPr>
            <w:tcW w:w="1582" w:type="dxa"/>
          </w:tcPr>
          <w:p w:rsidR="00DD3F69" w:rsidRPr="00E12BDF" w:rsidRDefault="00DD3F69" w:rsidP="00F62870">
            <w:pPr>
              <w:pStyle w:val="TableText"/>
              <w:jc w:val="center"/>
              <w:rPr>
                <w:szCs w:val="20"/>
              </w:rPr>
            </w:pPr>
            <w:r w:rsidRPr="00E12BDF">
              <w:rPr>
                <w:szCs w:val="20"/>
              </w:rPr>
              <w:t>79</w:t>
            </w:r>
            <w:r w:rsidRPr="00E12BDF">
              <w:rPr>
                <w:spacing w:val="-6"/>
                <w:szCs w:val="20"/>
              </w:rPr>
              <w:t xml:space="preserve"> </w:t>
            </w:r>
            <w:r w:rsidRPr="00E12BDF">
              <w:rPr>
                <w:szCs w:val="20"/>
              </w:rPr>
              <w:t>(44.9%)</w:t>
            </w:r>
          </w:p>
        </w:tc>
        <w:tc>
          <w:tcPr>
            <w:tcW w:w="1582" w:type="dxa"/>
          </w:tcPr>
          <w:p w:rsidR="00DD3F69" w:rsidRPr="00E12BDF" w:rsidRDefault="00DD3F69" w:rsidP="00F62870">
            <w:pPr>
              <w:pStyle w:val="TableText"/>
              <w:jc w:val="center"/>
              <w:rPr>
                <w:szCs w:val="20"/>
              </w:rPr>
            </w:pPr>
            <w:r w:rsidRPr="00E12BDF">
              <w:rPr>
                <w:szCs w:val="20"/>
              </w:rPr>
              <w:t>113</w:t>
            </w:r>
            <w:r w:rsidRPr="00E12BDF">
              <w:rPr>
                <w:spacing w:val="-8"/>
                <w:szCs w:val="20"/>
              </w:rPr>
              <w:t xml:space="preserve"> </w:t>
            </w:r>
            <w:r w:rsidRPr="00E12BDF">
              <w:rPr>
                <w:szCs w:val="20"/>
              </w:rPr>
              <w:t>(42.8%)</w:t>
            </w:r>
          </w:p>
        </w:tc>
        <w:tc>
          <w:tcPr>
            <w:tcW w:w="1582" w:type="dxa"/>
          </w:tcPr>
          <w:p w:rsidR="00DD3F69" w:rsidRPr="00E12BDF" w:rsidRDefault="00DD3F69" w:rsidP="00F62870">
            <w:pPr>
              <w:pStyle w:val="TableText"/>
              <w:jc w:val="center"/>
              <w:rPr>
                <w:szCs w:val="20"/>
              </w:rPr>
            </w:pPr>
            <w:r w:rsidRPr="00E12BDF">
              <w:rPr>
                <w:szCs w:val="20"/>
              </w:rPr>
              <w:t>90</w:t>
            </w:r>
            <w:r w:rsidRPr="00E12BDF">
              <w:rPr>
                <w:spacing w:val="-6"/>
                <w:szCs w:val="20"/>
              </w:rPr>
              <w:t xml:space="preserve"> </w:t>
            </w:r>
            <w:r w:rsidRPr="00E12BDF">
              <w:rPr>
                <w:szCs w:val="20"/>
              </w:rPr>
              <w:t>(50.8%)</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Serious adverse events (SAEs)</w:t>
            </w:r>
          </w:p>
        </w:tc>
        <w:tc>
          <w:tcPr>
            <w:tcW w:w="1582" w:type="dxa"/>
          </w:tcPr>
          <w:p w:rsidR="00DD3F69" w:rsidRPr="00E12BDF" w:rsidRDefault="00DD3F69" w:rsidP="00F62870">
            <w:pPr>
              <w:pStyle w:val="TableText"/>
              <w:jc w:val="center"/>
              <w:rPr>
                <w:szCs w:val="20"/>
              </w:rPr>
            </w:pPr>
            <w:r w:rsidRPr="00E12BDF">
              <w:rPr>
                <w:szCs w:val="20"/>
              </w:rPr>
              <w:t>54</w:t>
            </w:r>
            <w:r w:rsidRPr="00E12BDF">
              <w:rPr>
                <w:spacing w:val="-6"/>
                <w:szCs w:val="20"/>
              </w:rPr>
              <w:t xml:space="preserve"> </w:t>
            </w:r>
            <w:r w:rsidRPr="00E12BDF">
              <w:rPr>
                <w:szCs w:val="20"/>
              </w:rPr>
              <w:t>(61.4%)</w:t>
            </w:r>
          </w:p>
        </w:tc>
        <w:tc>
          <w:tcPr>
            <w:tcW w:w="1582" w:type="dxa"/>
          </w:tcPr>
          <w:p w:rsidR="00DD3F69" w:rsidRPr="00E12BDF" w:rsidRDefault="00DD3F69" w:rsidP="00F62870">
            <w:pPr>
              <w:pStyle w:val="TableText"/>
              <w:jc w:val="center"/>
              <w:rPr>
                <w:szCs w:val="20"/>
              </w:rPr>
            </w:pPr>
            <w:r w:rsidRPr="00E12BDF">
              <w:rPr>
                <w:szCs w:val="20"/>
              </w:rPr>
              <w:t>110</w:t>
            </w:r>
            <w:r w:rsidRPr="00E12BDF">
              <w:rPr>
                <w:spacing w:val="-8"/>
                <w:szCs w:val="20"/>
              </w:rPr>
              <w:t xml:space="preserve"> </w:t>
            </w:r>
            <w:r w:rsidRPr="00E12BDF">
              <w:rPr>
                <w:szCs w:val="20"/>
              </w:rPr>
              <w:t>(62.5%)</w:t>
            </w:r>
          </w:p>
        </w:tc>
        <w:tc>
          <w:tcPr>
            <w:tcW w:w="1582" w:type="dxa"/>
          </w:tcPr>
          <w:p w:rsidR="00DD3F69" w:rsidRPr="00E12BDF" w:rsidRDefault="00DD3F69" w:rsidP="00F62870">
            <w:pPr>
              <w:pStyle w:val="TableText"/>
              <w:jc w:val="center"/>
              <w:rPr>
                <w:szCs w:val="20"/>
              </w:rPr>
            </w:pPr>
            <w:r w:rsidRPr="00E12BDF">
              <w:rPr>
                <w:szCs w:val="20"/>
              </w:rPr>
              <w:t>164</w:t>
            </w:r>
            <w:r w:rsidRPr="00E12BDF">
              <w:rPr>
                <w:spacing w:val="-8"/>
                <w:szCs w:val="20"/>
              </w:rPr>
              <w:t xml:space="preserve"> </w:t>
            </w:r>
            <w:r w:rsidRPr="00E12BDF">
              <w:rPr>
                <w:szCs w:val="20"/>
              </w:rPr>
              <w:t>(62.1%)</w:t>
            </w:r>
          </w:p>
        </w:tc>
        <w:tc>
          <w:tcPr>
            <w:tcW w:w="1582" w:type="dxa"/>
          </w:tcPr>
          <w:p w:rsidR="00DD3F69" w:rsidRPr="00E12BDF" w:rsidRDefault="00DD3F69" w:rsidP="00F62870">
            <w:pPr>
              <w:pStyle w:val="TableText"/>
              <w:jc w:val="center"/>
              <w:rPr>
                <w:szCs w:val="20"/>
              </w:rPr>
            </w:pPr>
            <w:r w:rsidRPr="00E12BDF">
              <w:rPr>
                <w:szCs w:val="20"/>
              </w:rPr>
              <w:t>114</w:t>
            </w:r>
            <w:r w:rsidRPr="00E12BDF">
              <w:rPr>
                <w:spacing w:val="-8"/>
                <w:szCs w:val="20"/>
              </w:rPr>
              <w:t xml:space="preserve"> </w:t>
            </w:r>
            <w:r w:rsidRPr="00E12BDF">
              <w:rPr>
                <w:szCs w:val="20"/>
              </w:rPr>
              <w:t>(64.4%)</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Treatment related SAEs</w:t>
            </w:r>
          </w:p>
        </w:tc>
        <w:tc>
          <w:tcPr>
            <w:tcW w:w="1582" w:type="dxa"/>
            <w:vAlign w:val="center"/>
          </w:tcPr>
          <w:p w:rsidR="00DD3F69" w:rsidRPr="00E12BDF" w:rsidRDefault="00DD3F69" w:rsidP="00F62870">
            <w:pPr>
              <w:pStyle w:val="TableText"/>
              <w:jc w:val="center"/>
              <w:rPr>
                <w:szCs w:val="20"/>
              </w:rPr>
            </w:pPr>
            <w:r w:rsidRPr="00E12BDF">
              <w:rPr>
                <w:szCs w:val="20"/>
              </w:rPr>
              <w:t>2</w:t>
            </w:r>
            <w:r w:rsidRPr="00E12BDF">
              <w:rPr>
                <w:spacing w:val="-5"/>
                <w:szCs w:val="20"/>
              </w:rPr>
              <w:t xml:space="preserve"> </w:t>
            </w:r>
            <w:r w:rsidRPr="00E12BDF">
              <w:rPr>
                <w:szCs w:val="20"/>
              </w:rPr>
              <w:t>(2.3%)</w:t>
            </w:r>
          </w:p>
        </w:tc>
        <w:tc>
          <w:tcPr>
            <w:tcW w:w="1582" w:type="dxa"/>
            <w:vAlign w:val="center"/>
          </w:tcPr>
          <w:p w:rsidR="00DD3F69" w:rsidRPr="00E12BDF" w:rsidRDefault="00DD3F69" w:rsidP="00F62870">
            <w:pPr>
              <w:pStyle w:val="TableText"/>
              <w:jc w:val="center"/>
              <w:rPr>
                <w:szCs w:val="20"/>
              </w:rPr>
            </w:pPr>
            <w:r w:rsidRPr="00E12BDF">
              <w:rPr>
                <w:szCs w:val="20"/>
              </w:rPr>
              <w:t>3</w:t>
            </w:r>
            <w:r w:rsidRPr="00E12BDF">
              <w:rPr>
                <w:spacing w:val="-5"/>
                <w:szCs w:val="20"/>
              </w:rPr>
              <w:t xml:space="preserve"> </w:t>
            </w:r>
            <w:r w:rsidRPr="00E12BDF">
              <w:rPr>
                <w:szCs w:val="20"/>
              </w:rPr>
              <w:t>(1.7%)</w:t>
            </w:r>
          </w:p>
        </w:tc>
        <w:tc>
          <w:tcPr>
            <w:tcW w:w="1582" w:type="dxa"/>
            <w:vAlign w:val="center"/>
          </w:tcPr>
          <w:p w:rsidR="00DD3F69" w:rsidRPr="00E12BDF" w:rsidRDefault="00DD3F69" w:rsidP="00F62870">
            <w:pPr>
              <w:pStyle w:val="TableText"/>
              <w:jc w:val="center"/>
              <w:rPr>
                <w:szCs w:val="20"/>
              </w:rPr>
            </w:pPr>
            <w:r w:rsidRPr="00E12BDF">
              <w:rPr>
                <w:szCs w:val="20"/>
              </w:rPr>
              <w:t>5</w:t>
            </w:r>
            <w:r w:rsidRPr="00E12BDF">
              <w:rPr>
                <w:spacing w:val="-5"/>
                <w:szCs w:val="20"/>
              </w:rPr>
              <w:t xml:space="preserve"> </w:t>
            </w:r>
            <w:r w:rsidRPr="00E12BDF">
              <w:rPr>
                <w:szCs w:val="20"/>
              </w:rPr>
              <w:t>(1.9%)</w:t>
            </w:r>
          </w:p>
        </w:tc>
        <w:tc>
          <w:tcPr>
            <w:tcW w:w="1582" w:type="dxa"/>
            <w:vAlign w:val="center"/>
          </w:tcPr>
          <w:p w:rsidR="00DD3F69" w:rsidRPr="00E12BDF" w:rsidRDefault="00DD3F69" w:rsidP="00F62870">
            <w:pPr>
              <w:pStyle w:val="TableText"/>
              <w:jc w:val="center"/>
              <w:rPr>
                <w:szCs w:val="20"/>
              </w:rPr>
            </w:pPr>
            <w:r w:rsidRPr="00E12BDF">
              <w:rPr>
                <w:szCs w:val="20"/>
              </w:rPr>
              <w:t>4</w:t>
            </w:r>
            <w:r w:rsidRPr="00E12BDF">
              <w:rPr>
                <w:spacing w:val="-5"/>
                <w:szCs w:val="20"/>
              </w:rPr>
              <w:t xml:space="preserve"> </w:t>
            </w:r>
            <w:r w:rsidRPr="00E12BDF">
              <w:rPr>
                <w:szCs w:val="20"/>
              </w:rPr>
              <w:t>(2.3%)</w:t>
            </w:r>
          </w:p>
        </w:tc>
      </w:tr>
      <w:tr w:rsidR="00DD3F69" w:rsidRPr="00E12BDF" w:rsidTr="00F62870">
        <w:tc>
          <w:tcPr>
            <w:tcW w:w="2689" w:type="dxa"/>
            <w:vAlign w:val="center"/>
          </w:tcPr>
          <w:p w:rsidR="00DD3F69" w:rsidRPr="00E12BDF" w:rsidRDefault="00DD3F69" w:rsidP="00F62870">
            <w:pPr>
              <w:pStyle w:val="TableText"/>
              <w:rPr>
                <w:szCs w:val="20"/>
              </w:rPr>
            </w:pPr>
            <w:r w:rsidRPr="00E12BDF">
              <w:rPr>
                <w:szCs w:val="20"/>
              </w:rPr>
              <w:t>Discontinuations related to AEs</w:t>
            </w:r>
          </w:p>
        </w:tc>
        <w:tc>
          <w:tcPr>
            <w:tcW w:w="1582" w:type="dxa"/>
          </w:tcPr>
          <w:p w:rsidR="00DD3F69" w:rsidRPr="00E12BDF" w:rsidRDefault="00DD3F69" w:rsidP="00F62870">
            <w:pPr>
              <w:pStyle w:val="TableText"/>
              <w:jc w:val="center"/>
              <w:rPr>
                <w:szCs w:val="20"/>
              </w:rPr>
            </w:pPr>
            <w:r w:rsidRPr="00E12BDF">
              <w:rPr>
                <w:szCs w:val="20"/>
              </w:rPr>
              <w:t>16</w:t>
            </w:r>
            <w:r w:rsidRPr="00E12BDF">
              <w:rPr>
                <w:spacing w:val="-6"/>
                <w:szCs w:val="20"/>
              </w:rPr>
              <w:t xml:space="preserve"> </w:t>
            </w:r>
            <w:r w:rsidRPr="00E12BDF">
              <w:rPr>
                <w:szCs w:val="20"/>
              </w:rPr>
              <w:t>(18.2%)</w:t>
            </w:r>
          </w:p>
        </w:tc>
        <w:tc>
          <w:tcPr>
            <w:tcW w:w="1582" w:type="dxa"/>
          </w:tcPr>
          <w:p w:rsidR="00DD3F69" w:rsidRPr="00E12BDF" w:rsidRDefault="00DD3F69" w:rsidP="00F62870">
            <w:pPr>
              <w:pStyle w:val="TableText"/>
              <w:jc w:val="center"/>
              <w:rPr>
                <w:szCs w:val="20"/>
              </w:rPr>
            </w:pPr>
            <w:r w:rsidRPr="00E12BDF">
              <w:rPr>
                <w:szCs w:val="20"/>
              </w:rPr>
              <w:t>40</w:t>
            </w:r>
            <w:r w:rsidRPr="00E12BDF">
              <w:rPr>
                <w:spacing w:val="-6"/>
                <w:szCs w:val="20"/>
              </w:rPr>
              <w:t xml:space="preserve"> </w:t>
            </w:r>
            <w:r w:rsidRPr="00E12BDF">
              <w:rPr>
                <w:szCs w:val="20"/>
              </w:rPr>
              <w:t>(22.7%)</w:t>
            </w:r>
          </w:p>
        </w:tc>
        <w:tc>
          <w:tcPr>
            <w:tcW w:w="1582" w:type="dxa"/>
          </w:tcPr>
          <w:p w:rsidR="00DD3F69" w:rsidRPr="00E12BDF" w:rsidRDefault="00DD3F69" w:rsidP="00F62870">
            <w:pPr>
              <w:pStyle w:val="TableText"/>
              <w:jc w:val="center"/>
              <w:rPr>
                <w:szCs w:val="20"/>
              </w:rPr>
            </w:pPr>
            <w:r w:rsidRPr="00E12BDF">
              <w:rPr>
                <w:szCs w:val="20"/>
              </w:rPr>
              <w:t>56</w:t>
            </w:r>
            <w:r w:rsidRPr="00E12BDF">
              <w:rPr>
                <w:spacing w:val="-6"/>
                <w:szCs w:val="20"/>
              </w:rPr>
              <w:t xml:space="preserve"> </w:t>
            </w:r>
            <w:r w:rsidRPr="00E12BDF">
              <w:rPr>
                <w:szCs w:val="20"/>
              </w:rPr>
              <w:t>(21.2%)</w:t>
            </w:r>
          </w:p>
        </w:tc>
        <w:tc>
          <w:tcPr>
            <w:tcW w:w="1582" w:type="dxa"/>
          </w:tcPr>
          <w:p w:rsidR="00DD3F69" w:rsidRPr="00E12BDF" w:rsidRDefault="00DD3F69" w:rsidP="00F62870">
            <w:pPr>
              <w:pStyle w:val="TableText"/>
              <w:jc w:val="center"/>
              <w:rPr>
                <w:szCs w:val="20"/>
              </w:rPr>
            </w:pPr>
            <w:r w:rsidRPr="00E12BDF">
              <w:rPr>
                <w:szCs w:val="20"/>
              </w:rPr>
              <w:t>51</w:t>
            </w:r>
            <w:r w:rsidRPr="00E12BDF">
              <w:rPr>
                <w:spacing w:val="-6"/>
                <w:szCs w:val="20"/>
              </w:rPr>
              <w:t xml:space="preserve"> </w:t>
            </w:r>
            <w:r w:rsidRPr="00E12BDF">
              <w:rPr>
                <w:szCs w:val="20"/>
              </w:rPr>
              <w:t>(28.8%)</w:t>
            </w:r>
          </w:p>
        </w:tc>
      </w:tr>
      <w:tr w:rsidR="00DD3F69" w:rsidRPr="00E12BDF" w:rsidTr="00F62870">
        <w:tc>
          <w:tcPr>
            <w:tcW w:w="2689" w:type="dxa"/>
          </w:tcPr>
          <w:p w:rsidR="00DD3F69" w:rsidRPr="00E12BDF" w:rsidRDefault="00EB6931" w:rsidP="00F62870">
            <w:pPr>
              <w:pStyle w:val="TableText"/>
              <w:tabs>
                <w:tab w:val="left" w:pos="165"/>
              </w:tabs>
              <w:rPr>
                <w:szCs w:val="20"/>
              </w:rPr>
            </w:pPr>
            <w:r w:rsidRPr="00E12BDF">
              <w:rPr>
                <w:rFonts w:eastAsia="Times New Roman"/>
                <w:color w:val="000000" w:themeColor="text1"/>
                <w:szCs w:val="20"/>
              </w:rPr>
              <w:t>Deaths</w:t>
            </w:r>
            <w:r w:rsidR="00DD3F69" w:rsidRPr="00E12BDF">
              <w:rPr>
                <w:rFonts w:eastAsia="Times New Roman"/>
                <w:color w:val="000000" w:themeColor="text1"/>
                <w:szCs w:val="20"/>
              </w:rPr>
              <w:t xml:space="preserve"> during study period</w:t>
            </w:r>
          </w:p>
        </w:tc>
        <w:tc>
          <w:tcPr>
            <w:tcW w:w="1582" w:type="dxa"/>
          </w:tcPr>
          <w:p w:rsidR="00DD3F69" w:rsidRPr="00E12BDF" w:rsidRDefault="00DD3F69" w:rsidP="00F62870">
            <w:pPr>
              <w:pStyle w:val="TableText"/>
              <w:jc w:val="center"/>
              <w:rPr>
                <w:szCs w:val="20"/>
              </w:rPr>
            </w:pPr>
            <w:r w:rsidRPr="00E12BDF">
              <w:rPr>
                <w:rFonts w:eastAsia="Times New Roman"/>
                <w:color w:val="000000" w:themeColor="text1"/>
                <w:szCs w:val="20"/>
              </w:rPr>
              <w:t>14 (15.9%)</w:t>
            </w:r>
          </w:p>
        </w:tc>
        <w:tc>
          <w:tcPr>
            <w:tcW w:w="1582" w:type="dxa"/>
          </w:tcPr>
          <w:p w:rsidR="00DD3F69" w:rsidRPr="00E12BDF" w:rsidRDefault="00DD3F69" w:rsidP="00F62870">
            <w:pPr>
              <w:pStyle w:val="TableText"/>
              <w:jc w:val="center"/>
              <w:rPr>
                <w:szCs w:val="20"/>
              </w:rPr>
            </w:pPr>
            <w:r w:rsidRPr="00E12BDF">
              <w:rPr>
                <w:rFonts w:eastAsia="Times New Roman"/>
                <w:color w:val="000000" w:themeColor="text1"/>
                <w:szCs w:val="20"/>
              </w:rPr>
              <w:t>25 (14.2%)</w:t>
            </w:r>
          </w:p>
        </w:tc>
        <w:tc>
          <w:tcPr>
            <w:tcW w:w="1582" w:type="dxa"/>
          </w:tcPr>
          <w:p w:rsidR="00DD3F69" w:rsidRPr="00E12BDF" w:rsidRDefault="00DD3F69" w:rsidP="00F62870">
            <w:pPr>
              <w:pStyle w:val="TableText"/>
              <w:jc w:val="center"/>
              <w:rPr>
                <w:szCs w:val="20"/>
              </w:rPr>
            </w:pPr>
            <w:r w:rsidRPr="00E12BDF">
              <w:rPr>
                <w:rFonts w:eastAsia="Times New Roman"/>
                <w:color w:val="000000" w:themeColor="text1"/>
                <w:szCs w:val="20"/>
              </w:rPr>
              <w:t>39 (14.8%)</w:t>
            </w:r>
          </w:p>
        </w:tc>
        <w:tc>
          <w:tcPr>
            <w:tcW w:w="1582" w:type="dxa"/>
          </w:tcPr>
          <w:p w:rsidR="00DD3F69" w:rsidRPr="00E12BDF" w:rsidRDefault="00DD3F69" w:rsidP="00F62870">
            <w:pPr>
              <w:pStyle w:val="TableText"/>
              <w:jc w:val="center"/>
              <w:rPr>
                <w:szCs w:val="20"/>
              </w:rPr>
            </w:pPr>
            <w:r w:rsidRPr="00E12BDF">
              <w:rPr>
                <w:rFonts w:eastAsia="Times New Roman"/>
                <w:color w:val="000000" w:themeColor="text1"/>
                <w:szCs w:val="20"/>
              </w:rPr>
              <w:t>38 (21.5%)</w:t>
            </w:r>
          </w:p>
        </w:tc>
      </w:tr>
    </w:tbl>
    <w:p w:rsidR="00DD3F69" w:rsidRPr="00E12BDF" w:rsidRDefault="00DD3F69" w:rsidP="00DD3F69">
      <w:pPr>
        <w:pStyle w:val="TableFigureFooter"/>
      </w:pPr>
      <w:r w:rsidRPr="00E12BDF">
        <w:t>Source: Table 2.5.16, p.113 of the submission.</w:t>
      </w:r>
    </w:p>
    <w:p w:rsidR="00DD3F69" w:rsidRPr="00E12BDF" w:rsidRDefault="00DD3F69" w:rsidP="00DD3F69">
      <w:pPr>
        <w:pStyle w:val="TableFigureFooter"/>
      </w:pPr>
      <w:r w:rsidRPr="00E12BDF">
        <w:t xml:space="preserve">Abbreviations: AEs, adverse events; </w:t>
      </w:r>
      <w:r w:rsidRPr="00E12BDF">
        <w:rPr>
          <w:szCs w:val="18"/>
        </w:rPr>
        <w:t xml:space="preserve">ATTRm, variant (mutated) transthyretin amyloidosis; ATTRwt, wild type transthyretin amyloidosis; </w:t>
      </w:r>
      <w:r w:rsidRPr="00E12BDF">
        <w:t>SAEs serious adverse events.</w:t>
      </w:r>
    </w:p>
    <w:p w:rsidR="00DD3F69" w:rsidRPr="00E12BDF" w:rsidRDefault="00DD3F69" w:rsidP="00DD3F69">
      <w:pPr>
        <w:pStyle w:val="TableFigureFooter"/>
      </w:pPr>
      <w:r w:rsidRPr="00E12BDF">
        <w:rPr>
          <w:vertAlign w:val="superscript"/>
        </w:rPr>
        <w:t>a</w:t>
      </w:r>
      <w:r w:rsidRPr="00E12BDF">
        <w:t xml:space="preserve"> Median duration of follow-up in the ATTR-ACT trial was not reported in the submission or Clinical Study Report.</w:t>
      </w:r>
    </w:p>
    <w:p w:rsidR="00DD3F69" w:rsidRPr="00E12BDF" w:rsidRDefault="003022DA" w:rsidP="00DD3F69">
      <w:pPr>
        <w:pStyle w:val="ExecSumBodyText"/>
      </w:pPr>
      <w:r w:rsidRPr="00E12BDF">
        <w:t xml:space="preserve">The proportions of patients reporting events was similar between </w:t>
      </w:r>
      <w:r w:rsidR="00AC0309" w:rsidRPr="00E12BDF">
        <w:t>the tafamidis</w:t>
      </w:r>
      <w:r w:rsidRPr="00E12BDF">
        <w:t xml:space="preserve"> and placebo treatment arms. Smaller proportions of patients reported treatment related adverse events in the tafamidis 20 mg treatment arm (38.6%) compared to tafamidis 80 mg (44.9%) and placebo (50.8%). Larger proportions of patients receiving placebo (28.8%) reported adverse events resulting in discontinuation compared to tafamidis (18.2-22.7%). Death due to unknown causes or unrelated to ATTR-CM were similar between treatment arms.</w:t>
      </w:r>
    </w:p>
    <w:p w:rsidR="00DD3F69" w:rsidRPr="00E12BDF" w:rsidRDefault="00DD3F69" w:rsidP="00DD3F69">
      <w:pPr>
        <w:pStyle w:val="ExecSumBodyText"/>
      </w:pPr>
      <w:r w:rsidRPr="00E12BDF">
        <w:t>Table 10 summarises common treatment emergent adverse events reported in the ATTR-ACT trial.</w:t>
      </w:r>
    </w:p>
    <w:p w:rsidR="00DD3F69" w:rsidRPr="00E12BDF" w:rsidRDefault="00DD3F69" w:rsidP="00CA2A8B">
      <w:pPr>
        <w:pStyle w:val="TableFigureCaption"/>
        <w:keepLines/>
        <w:rPr>
          <w:szCs w:val="20"/>
        </w:rPr>
      </w:pPr>
      <w:bookmarkStart w:id="15" w:name="_Toc22897643"/>
      <w:r w:rsidRPr="00E12BDF">
        <w:rPr>
          <w:szCs w:val="20"/>
        </w:rPr>
        <w:lastRenderedPageBreak/>
        <w:t>Table 10: Summary of the most common treatment emergent adverse events reported in the ATTR-ACT trial</w:t>
      </w:r>
    </w:p>
    <w:tbl>
      <w:tblPr>
        <w:tblStyle w:val="TableGrid"/>
        <w:tblW w:w="0" w:type="auto"/>
        <w:tblLook w:val="04A0" w:firstRow="1" w:lastRow="0" w:firstColumn="1" w:lastColumn="0" w:noHBand="0" w:noVBand="1"/>
      </w:tblPr>
      <w:tblGrid>
        <w:gridCol w:w="3543"/>
        <w:gridCol w:w="1803"/>
        <w:gridCol w:w="1803"/>
        <w:gridCol w:w="1803"/>
      </w:tblGrid>
      <w:tr w:rsidR="00DD3F69" w:rsidRPr="00E12BDF" w:rsidTr="00F62870">
        <w:trPr>
          <w:cantSplit/>
          <w:tblHeader/>
        </w:trPr>
        <w:tc>
          <w:tcPr>
            <w:tcW w:w="3543" w:type="dxa"/>
            <w:shd w:val="clear" w:color="auto" w:fill="auto"/>
          </w:tcPr>
          <w:p w:rsidR="00DD3F69" w:rsidRPr="00E12BDF" w:rsidRDefault="00DD3F69" w:rsidP="00CA2A8B">
            <w:pPr>
              <w:pStyle w:val="TableParagraph"/>
              <w:keepNext/>
              <w:keepLines/>
              <w:ind w:left="34" w:right="36"/>
              <w:rPr>
                <w:rFonts w:ascii="Arial Narrow" w:eastAsia="Times New Roman" w:hAnsi="Arial Narrow" w:cs="Times New Roman"/>
                <w:sz w:val="20"/>
                <w:szCs w:val="20"/>
                <w:lang w:val="en-AU"/>
              </w:rPr>
            </w:pPr>
          </w:p>
        </w:tc>
        <w:tc>
          <w:tcPr>
            <w:tcW w:w="1803" w:type="dxa"/>
            <w:shd w:val="clear" w:color="auto" w:fill="auto"/>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b/>
                <w:spacing w:val="-1"/>
                <w:sz w:val="20"/>
                <w:szCs w:val="20"/>
                <w:lang w:val="en-AU"/>
              </w:rPr>
              <w:t>Tafamidis</w:t>
            </w:r>
            <w:r w:rsidRPr="00E12BDF">
              <w:rPr>
                <w:rFonts w:ascii="Arial Narrow" w:hAnsi="Arial Narrow"/>
                <w:b/>
                <w:spacing w:val="-6"/>
                <w:sz w:val="20"/>
                <w:szCs w:val="20"/>
                <w:lang w:val="en-AU"/>
              </w:rPr>
              <w:t xml:space="preserve"> </w:t>
            </w:r>
            <w:r w:rsidRPr="00E12BDF">
              <w:rPr>
                <w:rFonts w:ascii="Arial Narrow" w:hAnsi="Arial Narrow"/>
                <w:b/>
                <w:sz w:val="20"/>
                <w:szCs w:val="20"/>
                <w:lang w:val="en-AU"/>
              </w:rPr>
              <w:t>20</w:t>
            </w:r>
            <w:r w:rsidRPr="00E12BDF">
              <w:rPr>
                <w:rFonts w:ascii="Arial Narrow" w:hAnsi="Arial Narrow"/>
                <w:b/>
                <w:spacing w:val="-2"/>
                <w:sz w:val="20"/>
                <w:szCs w:val="20"/>
                <w:lang w:val="en-AU"/>
              </w:rPr>
              <w:t xml:space="preserve"> </w:t>
            </w:r>
            <w:r w:rsidRPr="00E12BDF">
              <w:rPr>
                <w:rFonts w:ascii="Arial Narrow" w:hAnsi="Arial Narrow"/>
                <w:b/>
                <w:spacing w:val="-7"/>
                <w:sz w:val="20"/>
                <w:szCs w:val="20"/>
                <w:lang w:val="en-AU"/>
              </w:rPr>
              <w:t>mg</w:t>
            </w:r>
            <w:r w:rsidRPr="00E12BDF">
              <w:rPr>
                <w:rFonts w:ascii="Arial Narrow" w:hAnsi="Arial Narrow"/>
                <w:b/>
                <w:spacing w:val="21"/>
                <w:w w:val="99"/>
                <w:sz w:val="20"/>
                <w:szCs w:val="20"/>
                <w:lang w:val="en-AU"/>
              </w:rPr>
              <w:t xml:space="preserve"> </w:t>
            </w:r>
          </w:p>
        </w:tc>
        <w:tc>
          <w:tcPr>
            <w:tcW w:w="1803" w:type="dxa"/>
            <w:shd w:val="clear" w:color="auto" w:fill="auto"/>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b/>
                <w:spacing w:val="-1"/>
                <w:sz w:val="20"/>
                <w:szCs w:val="20"/>
                <w:lang w:val="en-AU"/>
              </w:rPr>
              <w:t>Tafamidis</w:t>
            </w:r>
            <w:r w:rsidRPr="00E12BDF">
              <w:rPr>
                <w:rFonts w:ascii="Arial Narrow" w:hAnsi="Arial Narrow"/>
                <w:b/>
                <w:spacing w:val="-6"/>
                <w:sz w:val="20"/>
                <w:szCs w:val="20"/>
                <w:lang w:val="en-AU"/>
              </w:rPr>
              <w:t xml:space="preserve"> </w:t>
            </w:r>
            <w:r w:rsidRPr="00E12BDF">
              <w:rPr>
                <w:rFonts w:ascii="Arial Narrow" w:hAnsi="Arial Narrow"/>
                <w:b/>
                <w:sz w:val="20"/>
                <w:szCs w:val="20"/>
                <w:lang w:val="en-AU"/>
              </w:rPr>
              <w:t>80</w:t>
            </w:r>
            <w:r w:rsidRPr="00E12BDF">
              <w:rPr>
                <w:rFonts w:ascii="Arial Narrow" w:hAnsi="Arial Narrow"/>
                <w:b/>
                <w:spacing w:val="-2"/>
                <w:sz w:val="20"/>
                <w:szCs w:val="20"/>
                <w:lang w:val="en-AU"/>
              </w:rPr>
              <w:t xml:space="preserve"> </w:t>
            </w:r>
            <w:r w:rsidRPr="00E12BDF">
              <w:rPr>
                <w:rFonts w:ascii="Arial Narrow" w:hAnsi="Arial Narrow"/>
                <w:b/>
                <w:spacing w:val="-7"/>
                <w:sz w:val="20"/>
                <w:szCs w:val="20"/>
                <w:lang w:val="en-AU"/>
              </w:rPr>
              <w:t>mg</w:t>
            </w:r>
            <w:r w:rsidRPr="00E12BDF">
              <w:rPr>
                <w:rFonts w:ascii="Arial Narrow" w:hAnsi="Arial Narrow"/>
                <w:b/>
                <w:spacing w:val="21"/>
                <w:w w:val="99"/>
                <w:sz w:val="20"/>
                <w:szCs w:val="20"/>
                <w:lang w:val="en-AU"/>
              </w:rPr>
              <w:t xml:space="preserve"> </w:t>
            </w:r>
          </w:p>
        </w:tc>
        <w:tc>
          <w:tcPr>
            <w:tcW w:w="1803" w:type="dxa"/>
            <w:shd w:val="clear" w:color="auto" w:fill="auto"/>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b/>
                <w:w w:val="95"/>
                <w:sz w:val="20"/>
                <w:szCs w:val="20"/>
                <w:lang w:val="en-AU"/>
              </w:rPr>
              <w:t>Placebo</w:t>
            </w:r>
          </w:p>
        </w:tc>
      </w:tr>
      <w:tr w:rsidR="00DD3F69" w:rsidRPr="00E12BDF" w:rsidTr="00F62870">
        <w:tc>
          <w:tcPr>
            <w:tcW w:w="8952" w:type="dxa"/>
            <w:gridSpan w:val="4"/>
            <w:shd w:val="clear" w:color="auto" w:fill="auto"/>
          </w:tcPr>
          <w:p w:rsidR="00DD3F69" w:rsidRPr="00E12BDF" w:rsidRDefault="00DD3F69" w:rsidP="00CA2A8B">
            <w:pPr>
              <w:pStyle w:val="TableParagraph"/>
              <w:keepNext/>
              <w:keepLines/>
              <w:rPr>
                <w:rFonts w:ascii="Arial Narrow" w:hAnsi="Arial Narrow"/>
                <w:b/>
                <w:w w:val="95"/>
                <w:sz w:val="20"/>
                <w:szCs w:val="20"/>
                <w:lang w:val="en-AU"/>
              </w:rPr>
            </w:pPr>
            <w:r w:rsidRPr="00E12BDF">
              <w:rPr>
                <w:rFonts w:ascii="Arial Narrow" w:hAnsi="Arial Narrow"/>
                <w:b/>
                <w:w w:val="95"/>
                <w:sz w:val="20"/>
                <w:szCs w:val="20"/>
                <w:lang w:val="en-AU"/>
              </w:rPr>
              <w:t>Treatment related adverse events in ≥ 5% of patients</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Gastrointestinal disorders</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3 (3.4%)</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22 (12.5%)</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26 (14.7%)</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Diarrhoea</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2 (2.3%)</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14 (8.0%)</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18 (10.2%)</w:t>
            </w:r>
          </w:p>
        </w:tc>
      </w:tr>
      <w:tr w:rsidR="00DD3F69" w:rsidRPr="00E12BDF" w:rsidTr="00F62870">
        <w:trPr>
          <w:trHeight w:val="82"/>
        </w:trPr>
        <w:tc>
          <w:tcPr>
            <w:tcW w:w="3543" w:type="dxa"/>
          </w:tcPr>
          <w:p w:rsidR="00DD3F69" w:rsidRPr="00E12BDF" w:rsidRDefault="00DD3F69" w:rsidP="00CA2A8B">
            <w:pPr>
              <w:pStyle w:val="TableText"/>
              <w:keepLines/>
              <w:rPr>
                <w:szCs w:val="20"/>
              </w:rPr>
            </w:pPr>
            <w:r w:rsidRPr="00E12BDF">
              <w:rPr>
                <w:szCs w:val="20"/>
              </w:rPr>
              <w:t>Nausea</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1 (1.1%)</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10 (5.7%)</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10 (5.6%)</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Infections and infestations</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5 (5.7%)</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4 (2.3%)</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8 (4.5%)</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Urinary tract infection</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5 (5.7%)</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4 (2.3%)</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eastAsia="Times New Roman" w:hAnsi="Arial Narrow" w:cs="Times New Roman"/>
                <w:sz w:val="20"/>
                <w:szCs w:val="20"/>
                <w:lang w:val="en-AU"/>
              </w:rPr>
              <w:t>8 (4.5%)</w:t>
            </w:r>
          </w:p>
        </w:tc>
      </w:tr>
      <w:tr w:rsidR="00DD3F69" w:rsidRPr="00E12BDF" w:rsidTr="00F62870">
        <w:tc>
          <w:tcPr>
            <w:tcW w:w="8952" w:type="dxa"/>
            <w:gridSpan w:val="4"/>
          </w:tcPr>
          <w:p w:rsidR="00DD3F69" w:rsidRPr="00E12BDF" w:rsidRDefault="00DD3F69" w:rsidP="00CA2A8B">
            <w:pPr>
              <w:pStyle w:val="TableParagraph"/>
              <w:keepNext/>
              <w:keepLines/>
              <w:rPr>
                <w:rFonts w:ascii="Arial Narrow" w:hAnsi="Arial Narrow"/>
                <w:b/>
                <w:sz w:val="20"/>
                <w:szCs w:val="20"/>
                <w:lang w:val="en-AU"/>
              </w:rPr>
            </w:pPr>
            <w:r w:rsidRPr="00E12BDF">
              <w:rPr>
                <w:rFonts w:ascii="Arial Narrow" w:hAnsi="Arial Narrow"/>
                <w:b/>
                <w:sz w:val="20"/>
                <w:szCs w:val="20"/>
                <w:lang w:val="en-AU"/>
              </w:rPr>
              <w:t>Any treatment emergent adverse events reported by ≥ 15% of patients</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Cardiac failure</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30 (34.1%)</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46 (26.1%)</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60 (33.9%)</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Falls</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27 (30.7%)</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43 (24.4%)</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41 (23.2%)</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Atrial fibrillation</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16 (18.2%)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35 (19.9%)</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33 (18.6%)</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Peripheral oedema</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17 (19.3%)</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30 (17.0%)</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31 (17.5%)</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Fatigue</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16 (18.2%)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29 (16.5%)</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33 (18.6%)</w:t>
            </w:r>
          </w:p>
        </w:tc>
      </w:tr>
      <w:tr w:rsidR="00DD3F69" w:rsidRPr="00E12BDF" w:rsidTr="00F62870">
        <w:tc>
          <w:tcPr>
            <w:tcW w:w="3543" w:type="dxa"/>
          </w:tcPr>
          <w:p w:rsidR="00DD3F69" w:rsidRPr="00E12BDF" w:rsidRDefault="00DD3F69" w:rsidP="00CA2A8B">
            <w:pPr>
              <w:pStyle w:val="TableText"/>
              <w:keepLines/>
              <w:rPr>
                <w:szCs w:val="20"/>
              </w:rPr>
            </w:pPr>
            <w:r w:rsidRPr="00E12BDF">
              <w:rPr>
                <w:szCs w:val="20"/>
              </w:rPr>
              <w:t>Dyspnoea</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21 (23.9%)</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29 (16.5%)</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55 (31.1%)</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Pain in extremity</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6 (6.8%)</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27 (15.3%)</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20 (11.3%)</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Constipation</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14</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(15.9%)</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26</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(14.8%)</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30</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(16.9%)</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Dizziness</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17 (19.3%)</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25 (14.2%)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37 (20.9%)</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Diarrhoea</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10</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(11.4%)</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22</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(12.5%)</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39</w:t>
            </w:r>
            <w:r w:rsidRPr="00E12BDF">
              <w:rPr>
                <w:rFonts w:ascii="Arial Narrow" w:hAnsi="Arial Narrow"/>
                <w:spacing w:val="-6"/>
                <w:sz w:val="20"/>
                <w:szCs w:val="20"/>
                <w:lang w:val="en-AU"/>
              </w:rPr>
              <w:t xml:space="preserve"> </w:t>
            </w:r>
            <w:r w:rsidRPr="00E12BDF">
              <w:rPr>
                <w:rFonts w:ascii="Arial Narrow" w:hAnsi="Arial Narrow"/>
                <w:sz w:val="20"/>
                <w:szCs w:val="20"/>
                <w:lang w:val="en-AU"/>
              </w:rPr>
              <w:t>(22.0%)</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Cardiac failure congestive</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17</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(19.3%)</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22</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(12.5%)</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33</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(18.6%)</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Cough</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16 (18.2%)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21 (11.9%)</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30 (16.9%)</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Nausea</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9</w:t>
            </w:r>
            <w:r w:rsidRPr="00E12BDF">
              <w:rPr>
                <w:rFonts w:ascii="Arial Narrow" w:hAnsi="Arial Narrow"/>
                <w:spacing w:val="-5"/>
                <w:sz w:val="20"/>
                <w:szCs w:val="20"/>
                <w:lang w:val="en-AU"/>
              </w:rPr>
              <w:t xml:space="preserve"> </w:t>
            </w:r>
            <w:r w:rsidRPr="00E12BDF">
              <w:rPr>
                <w:rFonts w:ascii="Arial Narrow" w:hAnsi="Arial Narrow"/>
                <w:sz w:val="20"/>
                <w:szCs w:val="20"/>
                <w:lang w:val="en-AU"/>
              </w:rPr>
              <w:t>(10.2%)</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20</w:t>
            </w:r>
            <w:r w:rsidRPr="00E12BDF">
              <w:rPr>
                <w:rFonts w:ascii="Arial Narrow" w:hAnsi="Arial Narrow"/>
                <w:spacing w:val="-6"/>
                <w:sz w:val="20"/>
                <w:szCs w:val="20"/>
                <w:lang w:val="en-AU"/>
              </w:rPr>
              <w:t xml:space="preserve"> </w:t>
            </w:r>
            <w:r w:rsidRPr="00E12BDF">
              <w:rPr>
                <w:rFonts w:ascii="Arial Narrow" w:hAnsi="Arial Narrow"/>
                <w:sz w:val="20"/>
                <w:szCs w:val="20"/>
                <w:lang w:val="en-AU"/>
              </w:rPr>
              <w:t>(11.4%)</w:t>
            </w:r>
          </w:p>
        </w:tc>
        <w:tc>
          <w:tcPr>
            <w:tcW w:w="1803" w:type="dxa"/>
          </w:tcPr>
          <w:p w:rsidR="00DD3F69" w:rsidRPr="00E12BDF" w:rsidRDefault="00DD3F69" w:rsidP="00CA2A8B">
            <w:pPr>
              <w:pStyle w:val="TableParagraph"/>
              <w:keepNext/>
              <w:keepLines/>
              <w:jc w:val="center"/>
              <w:rPr>
                <w:rFonts w:ascii="Arial Narrow" w:eastAsia="Times New Roman" w:hAnsi="Arial Narrow" w:cs="Times New Roman"/>
                <w:sz w:val="20"/>
                <w:szCs w:val="20"/>
                <w:lang w:val="en-AU"/>
              </w:rPr>
            </w:pPr>
            <w:r w:rsidRPr="00E12BDF">
              <w:rPr>
                <w:rFonts w:ascii="Arial Narrow" w:hAnsi="Arial Narrow"/>
                <w:sz w:val="20"/>
                <w:szCs w:val="20"/>
                <w:lang w:val="en-AU"/>
              </w:rPr>
              <w:t>36</w:t>
            </w:r>
            <w:r w:rsidRPr="00E12BDF">
              <w:rPr>
                <w:rFonts w:ascii="Arial Narrow" w:hAnsi="Arial Narrow"/>
                <w:spacing w:val="-6"/>
                <w:sz w:val="20"/>
                <w:szCs w:val="20"/>
                <w:lang w:val="en-AU"/>
              </w:rPr>
              <w:t xml:space="preserve"> </w:t>
            </w:r>
            <w:r w:rsidRPr="00E12BDF">
              <w:rPr>
                <w:rFonts w:ascii="Arial Narrow" w:hAnsi="Arial Narrow"/>
                <w:sz w:val="20"/>
                <w:szCs w:val="20"/>
                <w:lang w:val="en-AU"/>
              </w:rPr>
              <w:t>(20.3%)</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Fluid overload</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13 (14.8%)</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19 (10.8%)</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29 (16.4%)</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Gout</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10 (11.4%)</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18 (10.2%)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29 (16.4%)</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Acute kidney injury</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12 (13.6%)</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17 (9.7%)</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29 (16.4%)</w:t>
            </w:r>
          </w:p>
        </w:tc>
      </w:tr>
      <w:tr w:rsidR="00DD3F69" w:rsidRPr="00E12BDF" w:rsidTr="00DD3F69">
        <w:tc>
          <w:tcPr>
            <w:tcW w:w="3543" w:type="dxa"/>
          </w:tcPr>
          <w:p w:rsidR="00DD3F69" w:rsidRPr="00E12BDF" w:rsidRDefault="00DD3F69" w:rsidP="00CA2A8B">
            <w:pPr>
              <w:pStyle w:val="TableText"/>
              <w:keepLines/>
              <w:rPr>
                <w:szCs w:val="20"/>
              </w:rPr>
            </w:pPr>
            <w:r w:rsidRPr="00E12BDF">
              <w:rPr>
                <w:szCs w:val="20"/>
              </w:rPr>
              <w:t>Urinary tract infection</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9 (10.2%)</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16 (9.1%)</w:t>
            </w:r>
          </w:p>
        </w:tc>
        <w:tc>
          <w:tcPr>
            <w:tcW w:w="1803" w:type="dxa"/>
          </w:tcPr>
          <w:p w:rsidR="00DD3F69" w:rsidRPr="00E12BDF" w:rsidRDefault="00DD3F69" w:rsidP="00CA2A8B">
            <w:pPr>
              <w:pStyle w:val="TableParagraph"/>
              <w:keepNext/>
              <w:keepLines/>
              <w:jc w:val="center"/>
              <w:rPr>
                <w:rFonts w:ascii="Arial Narrow" w:hAnsi="Arial Narrow"/>
                <w:sz w:val="20"/>
                <w:szCs w:val="20"/>
                <w:lang w:val="en-AU"/>
              </w:rPr>
            </w:pPr>
            <w:r w:rsidRPr="00E12BDF">
              <w:rPr>
                <w:rFonts w:ascii="Arial Narrow" w:hAnsi="Arial Narrow"/>
                <w:sz w:val="20"/>
                <w:szCs w:val="20"/>
                <w:lang w:val="en-AU"/>
              </w:rPr>
              <w:t>27 (15.3%)</w:t>
            </w:r>
          </w:p>
        </w:tc>
      </w:tr>
    </w:tbl>
    <w:p w:rsidR="00DD3F69" w:rsidRPr="00E12BDF" w:rsidRDefault="00DD3F69" w:rsidP="00CA2A8B">
      <w:pPr>
        <w:pStyle w:val="TableFigureFooter"/>
        <w:keepNext/>
        <w:keepLines/>
      </w:pPr>
      <w:r w:rsidRPr="00E12BDF">
        <w:t>Source: Table 2.5.17, pp.114-116 of the submission.</w:t>
      </w:r>
    </w:p>
    <w:p w:rsidR="003022DA" w:rsidRPr="00E12BDF" w:rsidRDefault="00DD3F69" w:rsidP="00D86231">
      <w:pPr>
        <w:pStyle w:val="ExecSumBodyText"/>
      </w:pPr>
      <w:r w:rsidRPr="00E12BDF">
        <w:t>The most common treatment related adverse events reported in the tafamidis 80 mg or placebo treatment arms were gastrointestinal disorders (diarrhoea and nausea), infections and infestations, and urinary tract infections. The most commonly reported treatment emergent adverse events reported by patients treated with tafamidis 20 mg and tafamidis 80 mg were cardiac failure (34.1%; 26.1%), falls (30.7%; 24.4%), atrial fibrillation (18.2%; 19.9%), dyspnoea (23.9%; 16.5%), peripheral oedema (19.3%; 17.0%), fatigue (18.2%; 16.5%), and pain in extremity (6.8%; 15.3%).</w:t>
      </w:r>
      <w:r w:rsidR="003022DA" w:rsidRPr="00E12BDF">
        <w:t xml:space="preserve"> </w:t>
      </w:r>
    </w:p>
    <w:p w:rsidR="003022DA" w:rsidRPr="00E12BDF" w:rsidRDefault="003022DA" w:rsidP="003022DA">
      <w:pPr>
        <w:pStyle w:val="ExecSumBodyText"/>
      </w:pPr>
      <w:r w:rsidRPr="00E12BDF">
        <w:t>Similar events were commonly reported in the placebo arm (</w:t>
      </w:r>
      <w:r w:rsidRPr="00E12BDF">
        <w:rPr>
          <w:rFonts w:cs="Calibri"/>
          <w:color w:val="000000"/>
        </w:rPr>
        <w:t>cardiac failure 33.9%, dyspnoea 31.1%, falls 23.2%, atrial fibrillation 18.6%, fatigue 18.6%, cardiac failure congestive 18.6%, peripheral oedema 17.5%), in addition to diarrhoea (22.0%), dizziness (20.9%), nausea (20.3%), pleural effusion (18.1%), constipation (16.9%), fluid overload (16.4%), gout (16.4%), acute kidney injury (16.4%), and urinary tract infection (15.3%).</w:t>
      </w:r>
    </w:p>
    <w:p w:rsidR="007F1017" w:rsidRPr="00E12BDF" w:rsidRDefault="007F1017" w:rsidP="00D86231">
      <w:pPr>
        <w:pStyle w:val="3-SubsectionHeading"/>
      </w:pPr>
      <w:bookmarkStart w:id="16" w:name="_Toc40868597"/>
      <w:r w:rsidRPr="00E12BDF">
        <w:t>Benefits/harms</w:t>
      </w:r>
      <w:bookmarkEnd w:id="15"/>
      <w:bookmarkEnd w:id="16"/>
    </w:p>
    <w:p w:rsidR="00F85EAD" w:rsidRPr="00E12BDF" w:rsidRDefault="00F85EAD" w:rsidP="00F85EAD">
      <w:pPr>
        <w:pStyle w:val="ExecSumBodyText"/>
        <w:numPr>
          <w:ilvl w:val="1"/>
          <w:numId w:val="1"/>
        </w:numPr>
      </w:pPr>
      <w:bookmarkStart w:id="17" w:name="_Toc22897644"/>
      <w:r w:rsidRPr="00E12BDF">
        <w:t xml:space="preserve">On the basis of direct comparison evidence presented in the submission, for every 100 patients treated for 30 months with tafamidis </w:t>
      </w:r>
      <w:r w:rsidR="00B351BB" w:rsidRPr="00E12BDF">
        <w:t xml:space="preserve">meglumine 80 mg </w:t>
      </w:r>
      <w:r w:rsidRPr="00E12BDF">
        <w:t>in combination with standard treatment, in comparison with standard treatment alone:</w:t>
      </w:r>
    </w:p>
    <w:p w:rsidR="00F85EAD" w:rsidRPr="00E12BDF" w:rsidRDefault="00F85EAD" w:rsidP="00F85EAD">
      <w:pPr>
        <w:pStyle w:val="Bulletpoints"/>
        <w:numPr>
          <w:ilvl w:val="0"/>
          <w:numId w:val="2"/>
        </w:numPr>
        <w:ind w:left="1208" w:hanging="357"/>
      </w:pPr>
      <w:r w:rsidRPr="00E12BDF">
        <w:t xml:space="preserve">Approximately </w:t>
      </w:r>
      <w:r w:rsidR="00B351BB" w:rsidRPr="00E12BDF">
        <w:t>12</w:t>
      </w:r>
      <w:r w:rsidRPr="00E12BDF">
        <w:t xml:space="preserve"> </w:t>
      </w:r>
      <w:r w:rsidR="00B351BB" w:rsidRPr="00E12BDF">
        <w:t>fewer patients will experience an all-cause mortality event</w:t>
      </w:r>
      <w:r w:rsidRPr="00E12BDF">
        <w:t>.</w:t>
      </w:r>
    </w:p>
    <w:p w:rsidR="00F85EAD" w:rsidRPr="00E12BDF" w:rsidRDefault="00F85EAD" w:rsidP="00F85EAD">
      <w:pPr>
        <w:pStyle w:val="Bulletpoints"/>
        <w:numPr>
          <w:ilvl w:val="0"/>
          <w:numId w:val="2"/>
        </w:numPr>
        <w:ind w:left="1208" w:hanging="357"/>
      </w:pPr>
      <w:r w:rsidRPr="00E12BDF">
        <w:rPr>
          <w:snapToGrid/>
        </w:rPr>
        <w:lastRenderedPageBreak/>
        <w:t xml:space="preserve">Approximately </w:t>
      </w:r>
      <w:r w:rsidR="00B351BB" w:rsidRPr="00E12BDF">
        <w:rPr>
          <w:snapToGrid/>
        </w:rPr>
        <w:t>10</w:t>
      </w:r>
      <w:r w:rsidRPr="00E12BDF">
        <w:rPr>
          <w:snapToGrid/>
        </w:rPr>
        <w:t xml:space="preserve"> </w:t>
      </w:r>
      <w:r w:rsidR="00B351BB" w:rsidRPr="00E12BDF">
        <w:t>fewer patients will experience a cardiovascular mortality event</w:t>
      </w:r>
      <w:r w:rsidRPr="00E12BDF">
        <w:rPr>
          <w:snapToGrid/>
        </w:rPr>
        <w:t>.</w:t>
      </w:r>
    </w:p>
    <w:p w:rsidR="00F85EAD" w:rsidRPr="00E12BDF" w:rsidRDefault="00F85EAD" w:rsidP="00F85EAD">
      <w:pPr>
        <w:pStyle w:val="Bulletpoints"/>
        <w:numPr>
          <w:ilvl w:val="0"/>
          <w:numId w:val="2"/>
        </w:numPr>
        <w:ind w:left="1208" w:hanging="357"/>
      </w:pPr>
      <w:r w:rsidRPr="00E12BDF">
        <w:rPr>
          <w:snapToGrid/>
        </w:rPr>
        <w:t xml:space="preserve">Approximately </w:t>
      </w:r>
      <w:r w:rsidR="00B351BB" w:rsidRPr="00E12BDF">
        <w:rPr>
          <w:snapToGrid/>
        </w:rPr>
        <w:t>6</w:t>
      </w:r>
      <w:r w:rsidRPr="00E12BDF">
        <w:rPr>
          <w:snapToGrid/>
        </w:rPr>
        <w:t xml:space="preserve"> </w:t>
      </w:r>
      <w:r w:rsidR="00B351BB" w:rsidRPr="00E12BDF">
        <w:rPr>
          <w:snapToGrid/>
        </w:rPr>
        <w:t>fewer</w:t>
      </w:r>
      <w:r w:rsidRPr="00E12BDF">
        <w:rPr>
          <w:snapToGrid/>
        </w:rPr>
        <w:t xml:space="preserve"> patients will experience </w:t>
      </w:r>
      <w:r w:rsidR="00B351BB" w:rsidRPr="00E12BDF">
        <w:rPr>
          <w:snapToGrid/>
        </w:rPr>
        <w:t>cardiovascular related hospitalisation</w:t>
      </w:r>
      <w:r w:rsidRPr="00E12BDF">
        <w:rPr>
          <w:snapToGrid/>
        </w:rPr>
        <w:t>.</w:t>
      </w:r>
    </w:p>
    <w:p w:rsidR="00F85EAD" w:rsidRPr="00E12BDF" w:rsidRDefault="00F85EAD" w:rsidP="00F85EAD">
      <w:pPr>
        <w:pStyle w:val="Bulletpoints"/>
        <w:numPr>
          <w:ilvl w:val="0"/>
          <w:numId w:val="2"/>
        </w:numPr>
        <w:ind w:left="1208" w:hanging="357"/>
      </w:pPr>
      <w:r w:rsidRPr="00E12BDF">
        <w:rPr>
          <w:snapToGrid/>
        </w:rPr>
        <w:t xml:space="preserve">Approximately </w:t>
      </w:r>
      <w:r w:rsidR="00297CB4" w:rsidRPr="00E12BDF">
        <w:rPr>
          <w:snapToGrid/>
        </w:rPr>
        <w:t>6 fewer</w:t>
      </w:r>
      <w:r w:rsidRPr="00E12BDF">
        <w:rPr>
          <w:snapToGrid/>
        </w:rPr>
        <w:t xml:space="preserve"> patients will </w:t>
      </w:r>
      <w:r w:rsidR="00297CB4" w:rsidRPr="00E12BDF">
        <w:rPr>
          <w:snapToGrid/>
        </w:rPr>
        <w:t>experience a treatment related adverse event</w:t>
      </w:r>
      <w:r w:rsidRPr="00E12BDF">
        <w:rPr>
          <w:snapToGrid/>
        </w:rPr>
        <w:t>.</w:t>
      </w:r>
    </w:p>
    <w:p w:rsidR="00F85EAD" w:rsidRPr="00E12BDF" w:rsidRDefault="00297CB4" w:rsidP="00297CB4">
      <w:pPr>
        <w:pStyle w:val="Bulletpoints"/>
        <w:numPr>
          <w:ilvl w:val="0"/>
          <w:numId w:val="2"/>
        </w:numPr>
        <w:ind w:left="1208" w:hanging="357"/>
      </w:pPr>
      <w:r w:rsidRPr="00E12BDF">
        <w:rPr>
          <w:snapToGrid/>
        </w:rPr>
        <w:t>Approximately 2 fewer patients will experience a serious adverse event</w:t>
      </w:r>
      <w:r w:rsidR="00F85EAD" w:rsidRPr="00E12BDF">
        <w:rPr>
          <w:snapToGrid/>
        </w:rPr>
        <w:t>.</w:t>
      </w:r>
    </w:p>
    <w:p w:rsidR="00B60939" w:rsidRPr="00E12BDF" w:rsidRDefault="00B60939" w:rsidP="00E9094A">
      <w:pPr>
        <w:pStyle w:val="3-SubsectionHeading"/>
      </w:pPr>
      <w:bookmarkStart w:id="18" w:name="_Toc40868598"/>
      <w:r w:rsidRPr="00E12BDF">
        <w:t>Clinical claim</w:t>
      </w:r>
      <w:bookmarkEnd w:id="17"/>
      <w:bookmarkEnd w:id="18"/>
    </w:p>
    <w:p w:rsidR="009C50B9" w:rsidRPr="00E12BDF" w:rsidRDefault="00F85EAD" w:rsidP="00866C97">
      <w:pPr>
        <w:pStyle w:val="ExecSumBodyText"/>
        <w:rPr>
          <w:rFonts w:eastAsia="Calibri"/>
        </w:rPr>
      </w:pPr>
      <w:r w:rsidRPr="00E12BDF">
        <w:t>The submission described tafamidis 61 mg, in combination with standard management, as superior in terms of effectiveness and non-inferior in terms of safety compared to standard management alone. Th</w:t>
      </w:r>
      <w:r w:rsidR="00C21576" w:rsidRPr="00E12BDF">
        <w:t xml:space="preserve">e ESC considered that the </w:t>
      </w:r>
      <w:r w:rsidRPr="00E12BDF">
        <w:t xml:space="preserve">claim </w:t>
      </w:r>
      <w:r w:rsidR="00C21576" w:rsidRPr="00E12BDF">
        <w:t xml:space="preserve">of superior effectiveness and non-inferior safety </w:t>
      </w:r>
      <w:r w:rsidRPr="00E12BDF">
        <w:t>may be reasonable</w:t>
      </w:r>
      <w:r w:rsidR="00C21576" w:rsidRPr="00E12BDF">
        <w:t xml:space="preserve"> but considered tha</w:t>
      </w:r>
      <w:r w:rsidR="00F44D69" w:rsidRPr="00E12BDF">
        <w:t>t</w:t>
      </w:r>
      <w:r w:rsidR="00C21576" w:rsidRPr="00E12BDF">
        <w:t xml:space="preserve"> the claim was based on a relatively small clinical trial which had a potential risk of attrition and selection bias</w:t>
      </w:r>
      <w:r w:rsidR="00714BFC">
        <w:t xml:space="preserve">, </w:t>
      </w:r>
      <w:r w:rsidR="00A51E46">
        <w:t xml:space="preserve">and </w:t>
      </w:r>
      <w:r w:rsidR="00714BFC">
        <w:t xml:space="preserve">a </w:t>
      </w:r>
      <w:r w:rsidR="00A51E46">
        <w:t>heterogeneous</w:t>
      </w:r>
      <w:r w:rsidR="00714BFC">
        <w:t xml:space="preserve"> population with substantial differences in</w:t>
      </w:r>
      <w:r w:rsidR="00A51E46">
        <w:t xml:space="preserve"> </w:t>
      </w:r>
      <w:r w:rsidR="009C50B9" w:rsidRPr="00E12BDF">
        <w:t>baseline risk</w:t>
      </w:r>
      <w:r w:rsidR="00714BFC">
        <w:t xml:space="preserve">s and a very </w:t>
      </w:r>
      <w:r w:rsidR="00C21576" w:rsidRPr="00E12BDF">
        <w:t xml:space="preserve">limited safety dataset. </w:t>
      </w:r>
    </w:p>
    <w:p w:rsidR="00F85EAD" w:rsidRPr="00E12BDF" w:rsidRDefault="009C50B9" w:rsidP="00FF07CF">
      <w:pPr>
        <w:pStyle w:val="ExecSumBodyText"/>
        <w:rPr>
          <w:rFonts w:eastAsia="Calibri"/>
        </w:rPr>
      </w:pPr>
      <w:r w:rsidRPr="00E12BDF">
        <w:t>Further, the ESC considered that the magnitude of the incremental benefit of tafamidis in the requested PBS population was uncertain given</w:t>
      </w:r>
      <w:r w:rsidR="00F85EAD" w:rsidRPr="00E12BDF">
        <w:rPr>
          <w:rFonts w:eastAsia="Calibri"/>
        </w:rPr>
        <w:t>:</w:t>
      </w:r>
    </w:p>
    <w:p w:rsidR="00F85EAD" w:rsidRPr="00E12BDF" w:rsidRDefault="004E792B" w:rsidP="004F6383">
      <w:pPr>
        <w:pStyle w:val="ExecSumBodyText"/>
        <w:numPr>
          <w:ilvl w:val="0"/>
          <w:numId w:val="5"/>
        </w:numPr>
        <w:ind w:left="993"/>
        <w:rPr>
          <w:rFonts w:eastAsia="Calibri"/>
        </w:rPr>
      </w:pPr>
      <w:r w:rsidRPr="00E12BDF">
        <w:rPr>
          <w:rFonts w:eastAsia="Calibri"/>
        </w:rPr>
        <w:t>It is unclear whether the distribution of NYHA classes from the ATTR-ACT trial will be applicable to the Australian setting. Based on estimates from the sponsor commissioned survey, nearly half of the population expected to be treated with tafamidis would have either Class III (37%) or Class IV (11%) heart failure (compared with 32% and 0% in the ATTR-ACT trial, respectively).</w:t>
      </w:r>
      <w:r w:rsidR="00EA51DE" w:rsidRPr="00E12BDF">
        <w:rPr>
          <w:rFonts w:eastAsia="Calibri"/>
        </w:rPr>
        <w:t xml:space="preserve"> In addition</w:t>
      </w:r>
      <w:r w:rsidR="008F745A" w:rsidRPr="00E12BDF">
        <w:rPr>
          <w:rFonts w:eastAsia="Calibri"/>
        </w:rPr>
        <w:t xml:space="preserve">, </w:t>
      </w:r>
      <w:r w:rsidR="00EA51DE" w:rsidRPr="00E12BDF">
        <w:rPr>
          <w:rFonts w:eastAsia="Calibri"/>
        </w:rPr>
        <w:t xml:space="preserve">the ESC considered that </w:t>
      </w:r>
      <w:r w:rsidR="008F745A" w:rsidRPr="00E12BDF">
        <w:rPr>
          <w:rFonts w:eastAsia="Calibri"/>
        </w:rPr>
        <w:t xml:space="preserve">likely changes in the diagnostic algorithm </w:t>
      </w:r>
      <w:r w:rsidR="009C50B9" w:rsidRPr="00E12BDF">
        <w:rPr>
          <w:rFonts w:eastAsia="Calibri"/>
        </w:rPr>
        <w:t xml:space="preserve">and likely increases in the diagnosis of </w:t>
      </w:r>
      <w:r w:rsidR="009C50B9" w:rsidRPr="00E12BDF">
        <w:t xml:space="preserve">ATTR-CM (potentially in patients with less severe disease) </w:t>
      </w:r>
      <w:r w:rsidR="008F745A" w:rsidRPr="00E12BDF">
        <w:rPr>
          <w:rFonts w:eastAsia="Calibri"/>
        </w:rPr>
        <w:t xml:space="preserve">will </w:t>
      </w:r>
      <w:r w:rsidR="00A51A72" w:rsidRPr="00E12BDF">
        <w:rPr>
          <w:rFonts w:eastAsia="Calibri"/>
        </w:rPr>
        <w:t>affect</w:t>
      </w:r>
      <w:r w:rsidR="008F745A" w:rsidRPr="00E12BDF">
        <w:rPr>
          <w:rFonts w:eastAsia="Calibri"/>
        </w:rPr>
        <w:t xml:space="preserve"> the distribution of </w:t>
      </w:r>
      <w:r w:rsidR="009C50B9" w:rsidRPr="00E12BDF">
        <w:rPr>
          <w:rFonts w:eastAsia="Calibri"/>
        </w:rPr>
        <w:t xml:space="preserve">NYHA classes among patients with </w:t>
      </w:r>
      <w:r w:rsidR="008F745A" w:rsidRPr="00E12BDF">
        <w:rPr>
          <w:rFonts w:eastAsia="Calibri"/>
        </w:rPr>
        <w:t>ATTR-CM and hence on the overall benefit to be expected with tafamidis.</w:t>
      </w:r>
      <w:r w:rsidRPr="00E12BDF">
        <w:rPr>
          <w:rFonts w:eastAsia="Calibri"/>
        </w:rPr>
        <w:t xml:space="preserve"> </w:t>
      </w:r>
    </w:p>
    <w:p w:rsidR="009C50B9" w:rsidRPr="00E12BDF" w:rsidRDefault="009C50B9" w:rsidP="004F6383">
      <w:pPr>
        <w:pStyle w:val="ExecSumBodyText"/>
        <w:numPr>
          <w:ilvl w:val="0"/>
          <w:numId w:val="5"/>
        </w:numPr>
        <w:ind w:left="993"/>
        <w:rPr>
          <w:rFonts w:eastAsia="Calibri"/>
        </w:rPr>
      </w:pPr>
      <w:r w:rsidRPr="00E12BDF">
        <w:t xml:space="preserve">The ESC considered that the clinical benefits of tafamidis appear greater in patients with NYHA Class I/II than in those with NYHA Class III. </w:t>
      </w:r>
      <w:r w:rsidR="00F85EAD" w:rsidRPr="00E12BDF">
        <w:rPr>
          <w:rFonts w:eastAsia="Calibri"/>
        </w:rPr>
        <w:t>Subgroup data from the ATTR-ACT trial suggest that extent of disease may be a treatment effect modifier, with an increase in hospitalisations and an uncertain impact o</w:t>
      </w:r>
      <w:r w:rsidR="00A93E4D" w:rsidRPr="00E12BDF">
        <w:rPr>
          <w:rFonts w:eastAsia="Calibri"/>
        </w:rPr>
        <w:t>n</w:t>
      </w:r>
      <w:r w:rsidR="00F85EAD" w:rsidRPr="00E12BDF">
        <w:rPr>
          <w:rFonts w:eastAsia="Calibri"/>
        </w:rPr>
        <w:t xml:space="preserve"> survival with tafamidis treatment in NYHA </w:t>
      </w:r>
      <w:r w:rsidR="00EA51DE" w:rsidRPr="00E12BDF">
        <w:rPr>
          <w:rFonts w:eastAsia="Calibri"/>
        </w:rPr>
        <w:t>C</w:t>
      </w:r>
      <w:r w:rsidR="00F85EAD" w:rsidRPr="00E12BDF">
        <w:rPr>
          <w:rFonts w:eastAsia="Calibri"/>
        </w:rPr>
        <w:t>lass III patients.</w:t>
      </w:r>
    </w:p>
    <w:p w:rsidR="00F85EAD" w:rsidRPr="00E12BDF" w:rsidRDefault="00F85EAD" w:rsidP="004F6383">
      <w:pPr>
        <w:pStyle w:val="ExecSumBodyText"/>
        <w:numPr>
          <w:ilvl w:val="0"/>
          <w:numId w:val="5"/>
        </w:numPr>
        <w:ind w:left="993"/>
        <w:rPr>
          <w:rFonts w:eastAsia="Calibri"/>
        </w:rPr>
      </w:pPr>
      <w:r w:rsidRPr="00E12BDF">
        <w:rPr>
          <w:rFonts w:eastAsia="Calibri"/>
        </w:rPr>
        <w:t xml:space="preserve">No clinical data were provided to support the use of tafamidis in NYHA </w:t>
      </w:r>
      <w:r w:rsidR="00EA51DE" w:rsidRPr="00E12BDF">
        <w:rPr>
          <w:rFonts w:eastAsia="Calibri"/>
        </w:rPr>
        <w:t>C</w:t>
      </w:r>
      <w:r w:rsidRPr="00E12BDF">
        <w:rPr>
          <w:rFonts w:eastAsia="Calibri"/>
        </w:rPr>
        <w:t>lass IV patients</w:t>
      </w:r>
      <w:r w:rsidR="00B4071E" w:rsidRPr="00E12BDF">
        <w:rPr>
          <w:rFonts w:eastAsia="Calibri"/>
        </w:rPr>
        <w:t>.</w:t>
      </w:r>
      <w:r w:rsidR="008F745A" w:rsidRPr="00E12BDF">
        <w:rPr>
          <w:rFonts w:eastAsia="Calibri"/>
        </w:rPr>
        <w:t xml:space="preserve"> </w:t>
      </w:r>
    </w:p>
    <w:p w:rsidR="006C49A3" w:rsidRPr="00E12BDF" w:rsidRDefault="00F85EAD" w:rsidP="006C49A3">
      <w:pPr>
        <w:pStyle w:val="ExecSumBodyText"/>
        <w:numPr>
          <w:ilvl w:val="0"/>
          <w:numId w:val="5"/>
        </w:numPr>
        <w:ind w:left="993"/>
        <w:rPr>
          <w:rFonts w:eastAsia="Calibri"/>
        </w:rPr>
      </w:pPr>
      <w:r w:rsidRPr="00E12BDF">
        <w:rPr>
          <w:rFonts w:eastAsia="Calibri"/>
        </w:rPr>
        <w:t>The absolute benefit of tafamidis treatment in different patient populations</w:t>
      </w:r>
      <w:r w:rsidR="006E584C" w:rsidRPr="00E12BDF">
        <w:rPr>
          <w:rFonts w:eastAsia="Calibri"/>
        </w:rPr>
        <w:t xml:space="preserve"> is uncertain</w:t>
      </w:r>
      <w:r w:rsidRPr="00E12BDF">
        <w:rPr>
          <w:rFonts w:eastAsia="Calibri"/>
        </w:rPr>
        <w:t>, given that the baseline risk appears to vary substantially between NYHA classes and TTR genotypes.</w:t>
      </w:r>
      <w:r w:rsidR="006E584C" w:rsidRPr="00E12BDF">
        <w:rPr>
          <w:rFonts w:eastAsia="Calibri"/>
        </w:rPr>
        <w:t xml:space="preserve"> </w:t>
      </w:r>
      <w:r w:rsidR="006E584C" w:rsidRPr="00E12BDF">
        <w:t>In addition, it</w:t>
      </w:r>
      <w:r w:rsidR="004E792B" w:rsidRPr="00E12BDF">
        <w:t xml:space="preserve"> i</w:t>
      </w:r>
      <w:r w:rsidR="006E584C" w:rsidRPr="00E12BDF">
        <w:t>s unclear if ATTRm phenotypes in the ATTR-ACT trial are applicable to the Australian setting.</w:t>
      </w:r>
      <w:r w:rsidR="00C85261" w:rsidRPr="00E12BDF">
        <w:t xml:space="preserve"> </w:t>
      </w:r>
      <w:r w:rsidR="00EA51DE" w:rsidRPr="00E12BDF">
        <w:t>Though t</w:t>
      </w:r>
      <w:r w:rsidR="00C85261" w:rsidRPr="00E12BDF">
        <w:t xml:space="preserve">he PSCR </w:t>
      </w:r>
      <w:r w:rsidR="008B6E5E" w:rsidRPr="00E12BDF">
        <w:rPr>
          <w:rFonts w:eastAsia="Calibri"/>
        </w:rPr>
        <w:t>compared the ATTRm mutations reported in the ATTR-ACT trial with a study conducted at the Westmead Amyloidosis Centre</w:t>
      </w:r>
      <w:r w:rsidR="00C85261" w:rsidRPr="00E12BDF">
        <w:t xml:space="preserve">, the study was not provided and could not be located. </w:t>
      </w:r>
    </w:p>
    <w:p w:rsidR="00972D2D" w:rsidRDefault="00972D2D" w:rsidP="00972D2D">
      <w:pPr>
        <w:pStyle w:val="ExecSumBodyText"/>
        <w:numPr>
          <w:ilvl w:val="1"/>
          <w:numId w:val="1"/>
        </w:numPr>
        <w:rPr>
          <w:bCs/>
        </w:rPr>
      </w:pPr>
      <w:r w:rsidRPr="00E12BDF">
        <w:rPr>
          <w:bCs/>
        </w:rPr>
        <w:lastRenderedPageBreak/>
        <w:t>The PBAC considered that the claim of superior</w:t>
      </w:r>
      <w:r w:rsidR="006C49A3" w:rsidRPr="00E12BDF">
        <w:rPr>
          <w:bCs/>
        </w:rPr>
        <w:t xml:space="preserve"> efficacy </w:t>
      </w:r>
      <w:r w:rsidRPr="00E12BDF">
        <w:rPr>
          <w:bCs/>
        </w:rPr>
        <w:t>was reasonable</w:t>
      </w:r>
      <w:r w:rsidR="006C49A3" w:rsidRPr="00E12BDF">
        <w:rPr>
          <w:bCs/>
        </w:rPr>
        <w:t xml:space="preserve"> and</w:t>
      </w:r>
      <w:r w:rsidRPr="00E12BDF">
        <w:rPr>
          <w:bCs/>
        </w:rPr>
        <w:t xml:space="preserve"> adequately supported by the data</w:t>
      </w:r>
      <w:r w:rsidR="00714BFC">
        <w:rPr>
          <w:bCs/>
        </w:rPr>
        <w:t>, but agreed with the ESC that the magnitude of the benefit in the proposed population was highly uncertain</w:t>
      </w:r>
      <w:r w:rsidRPr="00E12BDF">
        <w:rPr>
          <w:bCs/>
        </w:rPr>
        <w:t>.</w:t>
      </w:r>
    </w:p>
    <w:p w:rsidR="00630418" w:rsidRPr="00E12BDF" w:rsidRDefault="00630418" w:rsidP="00972D2D">
      <w:pPr>
        <w:pStyle w:val="ExecSumBodyText"/>
        <w:numPr>
          <w:ilvl w:val="1"/>
          <w:numId w:val="1"/>
        </w:numPr>
        <w:rPr>
          <w:bCs/>
        </w:rPr>
      </w:pPr>
      <w:r>
        <w:rPr>
          <w:lang w:eastAsia="en-US"/>
        </w:rPr>
        <w:t xml:space="preserve">The PBAC considered that the clinical safety dataset was small and inadequate to make a claim of non-inferior safety.  </w:t>
      </w:r>
    </w:p>
    <w:p w:rsidR="00B60939" w:rsidRPr="00E12BDF" w:rsidRDefault="00B60939" w:rsidP="00E9094A">
      <w:pPr>
        <w:pStyle w:val="3-SubsectionHeading"/>
      </w:pPr>
      <w:bookmarkStart w:id="19" w:name="_Toc22897645"/>
      <w:bookmarkStart w:id="20" w:name="_Toc40868599"/>
      <w:r w:rsidRPr="00E12BDF">
        <w:t>Economic analysis</w:t>
      </w:r>
      <w:bookmarkEnd w:id="19"/>
      <w:bookmarkEnd w:id="20"/>
      <w:r w:rsidR="00491B3A" w:rsidRPr="00E12BDF">
        <w:t xml:space="preserve"> </w:t>
      </w:r>
    </w:p>
    <w:p w:rsidR="00FF07CF" w:rsidRPr="00E12BDF" w:rsidRDefault="00FF07CF" w:rsidP="00FF07CF">
      <w:pPr>
        <w:pStyle w:val="ExecSumBodyText"/>
        <w:numPr>
          <w:ilvl w:val="1"/>
          <w:numId w:val="1"/>
        </w:numPr>
        <w:rPr>
          <w:bCs/>
        </w:rPr>
      </w:pPr>
      <w:r w:rsidRPr="00E12BDF">
        <w:rPr>
          <w:bCs/>
        </w:rPr>
        <w:t>The submission presented a modelled economic evaluation of tafamidis compared to best supportive care for the treatment of patients with ATTR-CM. The economic evaluation was based on a direct randomised trial (ATTR-ACT) and extension study with additional modelled data. The economic evaluation was presented as a cost-effectiveness/cost-utility analysis.</w:t>
      </w:r>
    </w:p>
    <w:p w:rsidR="00FF07CF" w:rsidRPr="00E12BDF" w:rsidRDefault="00FF07CF" w:rsidP="00FF07CF">
      <w:pPr>
        <w:pStyle w:val="ExecSumBodyText"/>
        <w:numPr>
          <w:ilvl w:val="1"/>
          <w:numId w:val="1"/>
        </w:numPr>
        <w:rPr>
          <w:bCs/>
        </w:rPr>
      </w:pPr>
      <w:r w:rsidRPr="00E12BDF">
        <w:rPr>
          <w:bCs/>
        </w:rPr>
        <w:t>The poor documentation of many variables (transitions, utilities and costs) made it difficult to evaluate the economic model.</w:t>
      </w:r>
    </w:p>
    <w:p w:rsidR="00FF07CF" w:rsidRPr="00E12BDF" w:rsidRDefault="00FF07CF" w:rsidP="000D5C4B">
      <w:pPr>
        <w:pStyle w:val="Tableheadingrow"/>
        <w:keepLines/>
        <w:rPr>
          <w:lang w:val="en-AU"/>
        </w:rPr>
      </w:pPr>
      <w:r w:rsidRPr="00E12BDF">
        <w:rPr>
          <w:lang w:val="en-AU"/>
        </w:rPr>
        <w:lastRenderedPageBreak/>
        <w:t xml:space="preserve">Table </w:t>
      </w:r>
      <w:r w:rsidR="00171B52" w:rsidRPr="00E12BDF">
        <w:rPr>
          <w:lang w:val="en-AU"/>
        </w:rPr>
        <w:t>11</w:t>
      </w:r>
      <w:r w:rsidRPr="00E12BDF">
        <w:rPr>
          <w:lang w:val="en-AU"/>
        </w:rPr>
        <w:t>: Summary of model structure, key inputs and rationale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179"/>
      </w:tblGrid>
      <w:tr w:rsidR="00FF07CF" w:rsidRPr="00E12BDF" w:rsidTr="00FF07CF">
        <w:tc>
          <w:tcPr>
            <w:tcW w:w="1019" w:type="pct"/>
            <w:shd w:val="clear" w:color="auto" w:fill="auto"/>
          </w:tcPr>
          <w:p w:rsidR="00FF07CF" w:rsidRPr="00E12BDF" w:rsidRDefault="00FF07CF" w:rsidP="000D5C4B">
            <w:pPr>
              <w:pStyle w:val="TableText"/>
              <w:keepLines/>
              <w:widowControl w:val="0"/>
              <w:rPr>
                <w:b/>
              </w:rPr>
            </w:pPr>
            <w:r w:rsidRPr="00E12BDF">
              <w:rPr>
                <w:b/>
              </w:rPr>
              <w:t xml:space="preserve">Component </w:t>
            </w:r>
          </w:p>
        </w:tc>
        <w:tc>
          <w:tcPr>
            <w:tcW w:w="3981" w:type="pct"/>
            <w:shd w:val="clear" w:color="auto" w:fill="auto"/>
          </w:tcPr>
          <w:p w:rsidR="00FF07CF" w:rsidRPr="00E12BDF" w:rsidRDefault="00FF07CF" w:rsidP="000D5C4B">
            <w:pPr>
              <w:pStyle w:val="TableText"/>
              <w:keepLines/>
              <w:widowControl w:val="0"/>
              <w:rPr>
                <w:b/>
              </w:rPr>
            </w:pPr>
            <w:r w:rsidRPr="00E12BDF">
              <w:rPr>
                <w:b/>
              </w:rPr>
              <w:t>Description</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 xml:space="preserve">Type of analysis </w:t>
            </w:r>
          </w:p>
        </w:tc>
        <w:tc>
          <w:tcPr>
            <w:tcW w:w="3981"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Cost-effectiveness analysis; cost-utility analysis</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Outcomes</w:t>
            </w:r>
          </w:p>
        </w:tc>
        <w:tc>
          <w:tcPr>
            <w:tcW w:w="3981" w:type="pct"/>
            <w:shd w:val="clear" w:color="auto" w:fill="auto"/>
            <w:vAlign w:val="center"/>
          </w:tcPr>
          <w:p w:rsidR="00FF07CF" w:rsidRPr="00E12BDF" w:rsidRDefault="00FF07CF" w:rsidP="000D5C4B">
            <w:pPr>
              <w:pStyle w:val="TableText"/>
              <w:keepLines/>
              <w:widowControl w:val="0"/>
            </w:pPr>
            <w:r w:rsidRPr="00E12BDF">
              <w:t>Life years; quality adjusted life years</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Time horizon</w:t>
            </w:r>
          </w:p>
        </w:tc>
        <w:tc>
          <w:tcPr>
            <w:tcW w:w="3981"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20 years</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Methods used to generate results</w:t>
            </w:r>
          </w:p>
        </w:tc>
        <w:tc>
          <w:tcPr>
            <w:tcW w:w="3981"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Markov state transition model</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Treatments</w:t>
            </w:r>
          </w:p>
        </w:tc>
        <w:tc>
          <w:tcPr>
            <w:tcW w:w="3981" w:type="pct"/>
            <w:shd w:val="clear" w:color="auto" w:fill="auto"/>
            <w:vAlign w:val="center"/>
          </w:tcPr>
          <w:p w:rsidR="00FF07CF" w:rsidRPr="00E12BDF" w:rsidRDefault="00FF07CF" w:rsidP="000D5C4B">
            <w:pPr>
              <w:pStyle w:val="TableText"/>
              <w:keepLines/>
              <w:widowControl w:val="0"/>
            </w:pPr>
            <w:r w:rsidRPr="00E12BDF">
              <w:t>Tafamidis versus best supportive care</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Health states</w:t>
            </w:r>
          </w:p>
        </w:tc>
        <w:tc>
          <w:tcPr>
            <w:tcW w:w="3981" w:type="pct"/>
            <w:shd w:val="clear" w:color="auto" w:fill="auto"/>
            <w:vAlign w:val="center"/>
          </w:tcPr>
          <w:p w:rsidR="00FF07CF" w:rsidRPr="00E12BDF" w:rsidRDefault="00FF07CF" w:rsidP="000D5C4B">
            <w:pPr>
              <w:pStyle w:val="TableText"/>
              <w:keepLines/>
              <w:widowControl w:val="0"/>
            </w:pPr>
            <w:r w:rsidRPr="00E12BDF">
              <w:t>Two health states (alive and dead)</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Cycle length</w:t>
            </w:r>
          </w:p>
        </w:tc>
        <w:tc>
          <w:tcPr>
            <w:tcW w:w="3981" w:type="pct"/>
            <w:shd w:val="clear" w:color="auto" w:fill="auto"/>
            <w:vAlign w:val="center"/>
          </w:tcPr>
          <w:p w:rsidR="00FF07CF" w:rsidRPr="00E12BDF" w:rsidRDefault="00FF07CF" w:rsidP="000D5C4B">
            <w:pPr>
              <w:pStyle w:val="TableText"/>
              <w:keepLines/>
              <w:widowControl w:val="0"/>
            </w:pPr>
            <w:r w:rsidRPr="00E12BDF">
              <w:t>6 months (with half-cycle correction)</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Patient characteristics</w:t>
            </w:r>
          </w:p>
        </w:tc>
        <w:tc>
          <w:tcPr>
            <w:tcW w:w="3981" w:type="pct"/>
            <w:shd w:val="clear" w:color="auto" w:fill="auto"/>
            <w:vAlign w:val="center"/>
          </w:tcPr>
          <w:p w:rsidR="00FF07CF" w:rsidRPr="00E12BDF" w:rsidRDefault="00FF07CF" w:rsidP="000D5C4B">
            <w:pPr>
              <w:pStyle w:val="TableText"/>
              <w:keepLines/>
              <w:widowControl w:val="0"/>
            </w:pPr>
            <w:r w:rsidRPr="00E12BDF">
              <w:t>Distribution of patients across NYHA classes based on baseline values from the ATTR-ACT trial</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 xml:space="preserve">Transition probability </w:t>
            </w:r>
            <w:r w:rsidR="00316320" w:rsidRPr="00E12BDF">
              <w:t>and event probability</w:t>
            </w:r>
          </w:p>
        </w:tc>
        <w:tc>
          <w:tcPr>
            <w:tcW w:w="3981" w:type="pct"/>
            <w:shd w:val="clear" w:color="auto" w:fill="auto"/>
            <w:vAlign w:val="center"/>
          </w:tcPr>
          <w:p w:rsidR="00FF07CF" w:rsidRPr="00E12BDF" w:rsidRDefault="00FF07CF" w:rsidP="000D5C4B">
            <w:pPr>
              <w:pStyle w:val="TableText"/>
              <w:keepLines/>
              <w:widowControl w:val="0"/>
              <w:numPr>
                <w:ilvl w:val="1"/>
                <w:numId w:val="13"/>
              </w:numPr>
              <w:ind w:left="180" w:hanging="180"/>
              <w:rPr>
                <w:szCs w:val="20"/>
              </w:rPr>
            </w:pPr>
            <w:r w:rsidRPr="00E12BDF">
              <w:rPr>
                <w:szCs w:val="20"/>
              </w:rPr>
              <w:t>Transition probabilities for survival in the best supportive care arm were estimated by fitting a Gompertz curve to ATTR-ACT trial data.</w:t>
            </w:r>
          </w:p>
          <w:p w:rsidR="00FF07CF" w:rsidRPr="00E12BDF" w:rsidRDefault="00FF07CF" w:rsidP="000D5C4B">
            <w:pPr>
              <w:pStyle w:val="TableText"/>
              <w:keepLines/>
              <w:widowControl w:val="0"/>
              <w:numPr>
                <w:ilvl w:val="1"/>
                <w:numId w:val="13"/>
              </w:numPr>
              <w:ind w:left="180" w:hanging="180"/>
              <w:rPr>
                <w:rFonts w:eastAsia="Calibri" w:cs="Arial"/>
              </w:rPr>
            </w:pPr>
            <w:r w:rsidRPr="00E12BDF">
              <w:rPr>
                <w:szCs w:val="20"/>
              </w:rPr>
              <w:t>Transition</w:t>
            </w:r>
            <w:r w:rsidRPr="00E12BDF">
              <w:rPr>
                <w:rFonts w:eastAsia="Calibri" w:cs="Arial"/>
              </w:rPr>
              <w:t xml:space="preserve"> probabilities for survival in the tafamidis arm were estimated by fitting a gamma curve to ATTR-ACT trial and extension study data.</w:t>
            </w:r>
          </w:p>
          <w:p w:rsidR="00FF07CF" w:rsidRPr="00E12BDF" w:rsidRDefault="00FF07CF" w:rsidP="000D5C4B">
            <w:pPr>
              <w:pStyle w:val="TableText"/>
              <w:keepLines/>
              <w:widowControl w:val="0"/>
              <w:numPr>
                <w:ilvl w:val="1"/>
                <w:numId w:val="13"/>
              </w:numPr>
              <w:ind w:left="180" w:hanging="180"/>
              <w:rPr>
                <w:rFonts w:eastAsia="Calibri" w:cs="Arial"/>
              </w:rPr>
            </w:pPr>
            <w:r w:rsidRPr="00E12BDF">
              <w:rPr>
                <w:rFonts w:eastAsia="Calibri"/>
              </w:rPr>
              <w:t xml:space="preserve">The probability of having a cardiovascular hospitalisation was estimated from </w:t>
            </w:r>
            <w:r w:rsidRPr="00E12BDF">
              <w:rPr>
                <w:rFonts w:eastAsia="Calibri" w:cs="Arial"/>
              </w:rPr>
              <w:t xml:space="preserve">post-hoc analyses of ATTR-ACT data by treatment arm and duration of exposure within each NYHA class. </w:t>
            </w:r>
            <w:r w:rsidR="00BF50C8" w:rsidRPr="00E12BDF">
              <w:rPr>
                <w:rFonts w:eastAsia="Calibri" w:cs="Arial"/>
              </w:rPr>
              <w:t>The probability of cardiovascular hospitalisation was assumed to remain constant over time.</w:t>
            </w:r>
          </w:p>
          <w:p w:rsidR="00FF07CF" w:rsidRPr="00E12BDF" w:rsidRDefault="00FF07CF" w:rsidP="000D5C4B">
            <w:pPr>
              <w:pStyle w:val="TableText"/>
              <w:keepLines/>
              <w:widowControl w:val="0"/>
              <w:numPr>
                <w:ilvl w:val="1"/>
                <w:numId w:val="13"/>
              </w:numPr>
              <w:ind w:left="180" w:hanging="180"/>
              <w:rPr>
                <w:szCs w:val="20"/>
              </w:rPr>
            </w:pPr>
            <w:r w:rsidRPr="00E12BDF">
              <w:rPr>
                <w:szCs w:val="20"/>
              </w:rPr>
              <w:t>The probability of discontinuation in the tafamidis arm was estimated by fitting a log normal curve to ATTR-ACT data.</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Health related quality of life</w:t>
            </w:r>
          </w:p>
        </w:tc>
        <w:tc>
          <w:tcPr>
            <w:tcW w:w="3981" w:type="pct"/>
            <w:shd w:val="clear" w:color="auto" w:fill="auto"/>
            <w:vAlign w:val="center"/>
          </w:tcPr>
          <w:p w:rsidR="00FF07CF" w:rsidRPr="00E12BDF" w:rsidRDefault="00FF07CF" w:rsidP="000D5C4B">
            <w:pPr>
              <w:pStyle w:val="TableText"/>
              <w:keepLines/>
              <w:widowControl w:val="0"/>
            </w:pPr>
            <w:r w:rsidRPr="00E12BDF">
              <w:rPr>
                <w:rFonts w:eastAsia="Calibri"/>
              </w:rPr>
              <w:t>Utilities based on a post-hoc reanalysis of EQ-5D-3L data (UK weights) from the ATTR-ACT trial by treatment arm and NHYA class. No additional disutility assumed for cardiovascular hospitalisation.</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Costs</w:t>
            </w:r>
          </w:p>
        </w:tc>
        <w:tc>
          <w:tcPr>
            <w:tcW w:w="3981" w:type="pct"/>
            <w:shd w:val="clear" w:color="auto" w:fill="auto"/>
            <w:vAlign w:val="center"/>
          </w:tcPr>
          <w:p w:rsidR="00FF07CF" w:rsidRPr="00E12BDF" w:rsidRDefault="00FF07CF" w:rsidP="000D5C4B">
            <w:pPr>
              <w:pStyle w:val="TableText"/>
              <w:keepLines/>
              <w:widowControl w:val="0"/>
              <w:numPr>
                <w:ilvl w:val="1"/>
                <w:numId w:val="13"/>
              </w:numPr>
              <w:ind w:left="180" w:hanging="180"/>
              <w:rPr>
                <w:szCs w:val="20"/>
              </w:rPr>
            </w:pPr>
            <w:r w:rsidRPr="00E12BDF">
              <w:rPr>
                <w:szCs w:val="20"/>
              </w:rPr>
              <w:t>Diagnostic costs were estimated based on expert advice on health resource use from a sponsor-commissioned physician survey.</w:t>
            </w:r>
          </w:p>
          <w:p w:rsidR="00FF07CF" w:rsidRPr="00E12BDF" w:rsidRDefault="00FF07CF" w:rsidP="000D5C4B">
            <w:pPr>
              <w:pStyle w:val="TableText"/>
              <w:keepLines/>
              <w:widowControl w:val="0"/>
              <w:numPr>
                <w:ilvl w:val="1"/>
                <w:numId w:val="13"/>
              </w:numPr>
              <w:ind w:left="180" w:hanging="180"/>
              <w:rPr>
                <w:szCs w:val="20"/>
              </w:rPr>
            </w:pPr>
            <w:r w:rsidRPr="00E12BDF">
              <w:rPr>
                <w:szCs w:val="20"/>
              </w:rPr>
              <w:t>Cardiovascular hospitalisation costs estimated as the weighted average of 98 cardiovascular-related AR-DRG items</w:t>
            </w:r>
            <w:r w:rsidR="00FC2EE7" w:rsidRPr="00E12BDF">
              <w:rPr>
                <w:szCs w:val="20"/>
              </w:rPr>
              <w:t>, i.e. not related to CVD hospitalisations observed in the trial.</w:t>
            </w:r>
          </w:p>
          <w:p w:rsidR="00FF07CF" w:rsidRPr="00E12BDF" w:rsidRDefault="00FF07CF" w:rsidP="000D5C4B">
            <w:pPr>
              <w:pStyle w:val="TableText"/>
              <w:keepLines/>
              <w:widowControl w:val="0"/>
              <w:numPr>
                <w:ilvl w:val="1"/>
                <w:numId w:val="13"/>
              </w:numPr>
              <w:ind w:left="180" w:hanging="180"/>
              <w:rPr>
                <w:szCs w:val="20"/>
              </w:rPr>
            </w:pPr>
            <w:r w:rsidRPr="00E12BDF">
              <w:rPr>
                <w:szCs w:val="20"/>
              </w:rPr>
              <w:t xml:space="preserve">Disease management costs were estimated from published studies (Ademi 2014, Ford 2012). </w:t>
            </w:r>
          </w:p>
          <w:p w:rsidR="00FF07CF" w:rsidRPr="00E12BDF" w:rsidRDefault="00FF07CF" w:rsidP="000D5C4B">
            <w:pPr>
              <w:pStyle w:val="TableText"/>
              <w:keepLines/>
              <w:widowControl w:val="0"/>
              <w:numPr>
                <w:ilvl w:val="1"/>
                <w:numId w:val="13"/>
              </w:numPr>
              <w:ind w:left="180" w:hanging="180"/>
              <w:rPr>
                <w:szCs w:val="20"/>
              </w:rPr>
            </w:pPr>
            <w:r w:rsidRPr="00E12BDF">
              <w:rPr>
                <w:szCs w:val="20"/>
              </w:rPr>
              <w:t>Terminal care costs were estimated based on the assumption that half of all deaths would be preceded by a cardiovascular-related hospitalisation</w:t>
            </w:r>
            <w:r w:rsidR="007543AD" w:rsidRPr="00E12BDF">
              <w:rPr>
                <w:szCs w:val="20"/>
              </w:rPr>
              <w:t>, which the ESC considered would double-count some hospitalisation costs</w:t>
            </w:r>
            <w:r w:rsidRPr="00E12BDF">
              <w:rPr>
                <w:szCs w:val="20"/>
              </w:rPr>
              <w:t>.</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pPr>
            <w:r w:rsidRPr="00E12BDF">
              <w:t>Discount rate</w:t>
            </w:r>
          </w:p>
        </w:tc>
        <w:tc>
          <w:tcPr>
            <w:tcW w:w="3981" w:type="pct"/>
            <w:shd w:val="clear" w:color="auto" w:fill="auto"/>
            <w:vAlign w:val="center"/>
          </w:tcPr>
          <w:p w:rsidR="00FF07CF" w:rsidRPr="00E12BDF" w:rsidRDefault="00FF07CF" w:rsidP="000D5C4B">
            <w:pPr>
              <w:pStyle w:val="TableText"/>
              <w:keepLines/>
              <w:widowControl w:val="0"/>
            </w:pPr>
            <w:r w:rsidRPr="00E12BDF">
              <w:t>5% for costs and outcomes</w:t>
            </w:r>
          </w:p>
        </w:tc>
      </w:tr>
      <w:tr w:rsidR="00FF07CF" w:rsidRPr="00E12BDF" w:rsidTr="00FF07CF">
        <w:tc>
          <w:tcPr>
            <w:tcW w:w="1019" w:type="pct"/>
            <w:shd w:val="clear" w:color="auto" w:fill="auto"/>
            <w:vAlign w:val="center"/>
          </w:tcPr>
          <w:p w:rsidR="00FF07CF" w:rsidRPr="00E12BDF" w:rsidRDefault="00FF07CF" w:rsidP="000D5C4B">
            <w:pPr>
              <w:pStyle w:val="TableText"/>
              <w:keepLines/>
              <w:widowControl w:val="0"/>
              <w:rPr>
                <w:rFonts w:ascii="Times" w:eastAsia="Times New Roman" w:hAnsi="Times" w:cs="Times New Roman"/>
                <w:szCs w:val="20"/>
              </w:rPr>
            </w:pPr>
            <w:r w:rsidRPr="00E12BDF">
              <w:t>Software package</w:t>
            </w:r>
          </w:p>
        </w:tc>
        <w:tc>
          <w:tcPr>
            <w:tcW w:w="3981" w:type="pct"/>
            <w:shd w:val="clear" w:color="auto" w:fill="auto"/>
            <w:vAlign w:val="center"/>
          </w:tcPr>
          <w:p w:rsidR="00FF07CF" w:rsidRPr="00E12BDF" w:rsidRDefault="00FF07CF" w:rsidP="000D5C4B">
            <w:pPr>
              <w:pStyle w:val="TableText"/>
              <w:keepLines/>
              <w:widowControl w:val="0"/>
            </w:pPr>
            <w:r w:rsidRPr="00E12BDF">
              <w:t>Microsoft Excel</w:t>
            </w:r>
          </w:p>
        </w:tc>
      </w:tr>
    </w:tbl>
    <w:p w:rsidR="00FF07CF" w:rsidRPr="00E12BDF" w:rsidRDefault="00FF07CF" w:rsidP="000D5C4B">
      <w:pPr>
        <w:pStyle w:val="TableFooter"/>
        <w:keepNext/>
        <w:keepLines/>
        <w:spacing w:after="240"/>
      </w:pPr>
      <w:r w:rsidRPr="00E12BDF">
        <w:t>Source: Table 3.1.1 (p 180-181) of the submission</w:t>
      </w:r>
    </w:p>
    <w:p w:rsidR="00FF07CF" w:rsidRPr="00E12BDF" w:rsidRDefault="00FF07CF" w:rsidP="001739E5">
      <w:pPr>
        <w:pStyle w:val="ExecSumBodyText"/>
        <w:rPr>
          <w:color w:val="0066FF"/>
        </w:rPr>
      </w:pPr>
      <w:r w:rsidRPr="00E12BDF">
        <w:t>Prior to entering the economic model, patients with suspected ATTR-CM undergo a screening phase using the proposed testing algorithm. The submission estimated that 17</w:t>
      </w:r>
      <w:r w:rsidR="009D0651" w:rsidRPr="00E12BDF">
        <w:t>1</w:t>
      </w:r>
      <w:r w:rsidRPr="00E12BDF">
        <w:t xml:space="preserve"> patients would be treated with tafamidis for every 1,000 individuals screened. The costs of the screening phase were applied as added costs to the tafamidis treatment arm in the economic evaluation.</w:t>
      </w:r>
    </w:p>
    <w:p w:rsidR="00FE54CE" w:rsidRPr="00E12BDF" w:rsidRDefault="00FF07CF" w:rsidP="00CE100A">
      <w:pPr>
        <w:pStyle w:val="ExecSumBodyText"/>
      </w:pPr>
      <w:r w:rsidRPr="00E12BDF">
        <w:t xml:space="preserve">Treated patients begin the model in the alive state. During each six-month cycle, patients can remain alive or die. </w:t>
      </w:r>
      <w:r w:rsidR="00A16AFF" w:rsidRPr="00E12BDF">
        <w:t>The submission modelled transitions between the two health states (alive/dead) independently of cardiovascular hospitalisation events and independently of treatment status (on/off treatment).</w:t>
      </w:r>
    </w:p>
    <w:p w:rsidR="00CE100A" w:rsidRPr="00E12BDF" w:rsidRDefault="00FF07CF" w:rsidP="00471EDB">
      <w:pPr>
        <w:pStyle w:val="ExecSumBodyText"/>
      </w:pPr>
      <w:r w:rsidRPr="00E12BDF">
        <w:t>Patients who are alive may remain event-free or experience a cardiovascular hospitalisation in each cycle</w:t>
      </w:r>
      <w:r w:rsidR="00CE100A" w:rsidRPr="00E12BDF">
        <w:t>. C</w:t>
      </w:r>
      <w:r w:rsidRPr="00E12BDF">
        <w:t xml:space="preserve">ardiovascular hospitalisations </w:t>
      </w:r>
      <w:r w:rsidR="00CE100A" w:rsidRPr="00E12BDF">
        <w:t>we</w:t>
      </w:r>
      <w:r w:rsidRPr="00E12BDF">
        <w:t>re not linked to mortality in the economic model</w:t>
      </w:r>
      <w:r w:rsidR="00FE54CE" w:rsidRPr="00E12BDF">
        <w:t>.</w:t>
      </w:r>
      <w:r w:rsidR="00150C1D" w:rsidRPr="00E12BDF">
        <w:t xml:space="preserve"> </w:t>
      </w:r>
      <w:r w:rsidR="00FE54CE" w:rsidRPr="00E12BDF">
        <w:t xml:space="preserve">The </w:t>
      </w:r>
      <w:r w:rsidR="00B2010C" w:rsidRPr="00E12BDF">
        <w:t xml:space="preserve">commentary and the ESC considered that the </w:t>
      </w:r>
      <w:r w:rsidR="00FE54CE" w:rsidRPr="00E12BDF">
        <w:t xml:space="preserve">implicit assumption that all cardiovascular hospitalisations were non-fatal was </w:t>
      </w:r>
      <w:r w:rsidR="00FE54CE" w:rsidRPr="00E12BDF">
        <w:lastRenderedPageBreak/>
        <w:t>inappropriate as the cardiovascular hospitalisation rates reported in the ATTR-ACT trial included fatal and non-fatal events. A</w:t>
      </w:r>
      <w:r w:rsidR="00150C1D" w:rsidRPr="00E12BDF">
        <w:t xml:space="preserve"> constant probability of hospitalisation was applied </w:t>
      </w:r>
      <w:r w:rsidR="00CE100A" w:rsidRPr="00E12BDF">
        <w:t>over the duration of the model</w:t>
      </w:r>
      <w:r w:rsidR="00FE54CE" w:rsidRPr="00E12BDF">
        <w:t>, which was</w:t>
      </w:r>
      <w:r w:rsidR="00CE100A" w:rsidRPr="00E12BDF">
        <w:t xml:space="preserve"> inappropriate as cardiovascular hospitalisations would generally be expected to increase with age</w:t>
      </w:r>
      <w:r w:rsidR="006A5D3D" w:rsidRPr="00E12BDF">
        <w:t xml:space="preserve"> and duration of disease</w:t>
      </w:r>
      <w:r w:rsidR="00CE100A" w:rsidRPr="00E12BDF">
        <w:t>.</w:t>
      </w:r>
      <w:r w:rsidR="00866C97" w:rsidRPr="00E12BDF">
        <w:t xml:space="preserve"> The pre-PBAC response </w:t>
      </w:r>
      <w:r w:rsidR="007129C8" w:rsidRPr="00E12BDF">
        <w:t>argued that cardiovascular hospitalisation</w:t>
      </w:r>
      <w:r w:rsidR="00B2010C" w:rsidRPr="00E12BDF">
        <w:t>s</w:t>
      </w:r>
      <w:r w:rsidR="007129C8" w:rsidRPr="00E12BDF">
        <w:t xml:space="preserve"> were </w:t>
      </w:r>
      <w:r w:rsidR="00471EDB" w:rsidRPr="00E12BDF">
        <w:t xml:space="preserve">not included as transition states and were </w:t>
      </w:r>
      <w:r w:rsidR="007129C8" w:rsidRPr="00E12BDF">
        <w:t>only ‘included to track relevant costs’</w:t>
      </w:r>
      <w:r w:rsidR="00B2010C" w:rsidRPr="00E12BDF">
        <w:t xml:space="preserve">. The PBAC considered that </w:t>
      </w:r>
      <w:r w:rsidR="00E4217F" w:rsidRPr="00E12BDF">
        <w:t>the modelling approach did not adequately incorporate</w:t>
      </w:r>
      <w:r w:rsidR="00B2010C" w:rsidRPr="00E12BDF">
        <w:t xml:space="preserve"> the impact of cardiovascular hospitalisation</w:t>
      </w:r>
      <w:r w:rsidR="00E4217F" w:rsidRPr="00E12BDF">
        <w:t>s</w:t>
      </w:r>
      <w:r w:rsidR="00B2010C" w:rsidRPr="00E12BDF">
        <w:t xml:space="preserve"> and the likely progressive nature of the condition </w:t>
      </w:r>
      <w:r w:rsidR="00E4217F" w:rsidRPr="00E12BDF">
        <w:t>wherein</w:t>
      </w:r>
      <w:r w:rsidR="00B2010C" w:rsidRPr="00E12BDF">
        <w:t xml:space="preserve"> cardiovascular hospitalisations would generally be expected to increase with age and duration of disease</w:t>
      </w:r>
      <w:r w:rsidR="00E4217F" w:rsidRPr="00E12BDF">
        <w:t>.</w:t>
      </w:r>
      <w:r w:rsidR="00B2010C" w:rsidRPr="00E12BDF">
        <w:t xml:space="preserve"> </w:t>
      </w:r>
    </w:p>
    <w:p w:rsidR="00FF07CF" w:rsidRPr="00E12BDF" w:rsidRDefault="00FF07CF" w:rsidP="00E4217F">
      <w:pPr>
        <w:pStyle w:val="ExecSumBodyText"/>
      </w:pPr>
      <w:r w:rsidRPr="00E12BDF">
        <w:t>Additionally, patients in the tafamidis arm may discontinue drug treatment in each cycle</w:t>
      </w:r>
      <w:r w:rsidR="00CE100A" w:rsidRPr="00E12BDF">
        <w:t xml:space="preserve">. The treatment discontinuation estimates were </w:t>
      </w:r>
      <w:r w:rsidRPr="00E12BDF">
        <w:t>only applied to drug costs</w:t>
      </w:r>
      <w:r w:rsidR="00A16AFF" w:rsidRPr="00E12BDF">
        <w:t xml:space="preserve">, and </w:t>
      </w:r>
      <w:r w:rsidR="00CE100A" w:rsidRPr="00E12BDF">
        <w:t>had no impact on survival or cardiovascular hospitalisations. This was inappropriate as the implicit association between clinical outcomes and discontinuations observed in the trial is unlikely to be maintained over time</w:t>
      </w:r>
      <w:r w:rsidR="00B75E48" w:rsidRPr="00E12BDF">
        <w:t>. A</w:t>
      </w:r>
      <w:r w:rsidR="00CE100A" w:rsidRPr="00E12BDF">
        <w:t xml:space="preserve"> higher proportion of modelled patients discontinue over time </w:t>
      </w:r>
      <w:r w:rsidR="00A16AFF" w:rsidRPr="00E12BDF">
        <w:t xml:space="preserve">(the majority of patients have discontinued therapy by 11 years) </w:t>
      </w:r>
      <w:r w:rsidR="00CE100A" w:rsidRPr="00E12BDF">
        <w:t>and spend longer durations without therapy</w:t>
      </w:r>
      <w:r w:rsidR="007543AD" w:rsidRPr="00E12BDF">
        <w:t xml:space="preserve"> (where they are not accruing drug costs but are deriving treatment benefit)</w:t>
      </w:r>
      <w:r w:rsidRPr="00E12BDF">
        <w:t>.</w:t>
      </w:r>
      <w:r w:rsidR="00E4217F" w:rsidRPr="00E12BDF">
        <w:t xml:space="preserve"> The pre-PBAC response argued that the efficacy results from ATTR-ACT, upon which the model were based, were analysed as intention-to-treat, and hence the benefits observed took into account treatment discontinuation. However, the PBAC </w:t>
      </w:r>
      <w:r w:rsidR="00081030" w:rsidRPr="00E12BDF">
        <w:t xml:space="preserve">considered that while this may be reasonable for the 30 month trial period, </w:t>
      </w:r>
      <w:r w:rsidR="00E4217F" w:rsidRPr="00E12BDF">
        <w:t>the implicit association between clinical outcomes and discontinuations observed in the trial is unlikely to be maintained over time.</w:t>
      </w:r>
    </w:p>
    <w:p w:rsidR="00DA320C" w:rsidRPr="00E12BDF" w:rsidRDefault="00DA320C" w:rsidP="00471EDB">
      <w:pPr>
        <w:pStyle w:val="ExecSumBodyText"/>
      </w:pPr>
      <w:r w:rsidRPr="00E12BDF">
        <w:t xml:space="preserve">The model assumed that patients remain in the same NYHA class over the duration of the model, which the ESC considered was inappropriate as it did not capture the progressive nature of ATTR-CM. The ESC considered that </w:t>
      </w:r>
      <w:r w:rsidR="00E55B6D" w:rsidRPr="00E12BDF">
        <w:t>the overall impact of not explicitly modelling disease progression was unclear as: (a) on one hand, it may favour tafamidis as it does not capture the reduced utilities and increased treatment costs associated with progression during the additional survival period; but (b) on the other hand it may favour best supportive care as it does</w:t>
      </w:r>
      <w:r w:rsidRPr="00E12BDF">
        <w:t xml:space="preserve"> not capture the </w:t>
      </w:r>
      <w:r w:rsidR="00E55B6D" w:rsidRPr="00E12BDF">
        <w:t xml:space="preserve">potential </w:t>
      </w:r>
      <w:r w:rsidRPr="00E12BDF">
        <w:t>reduc</w:t>
      </w:r>
      <w:r w:rsidR="00E55B6D" w:rsidRPr="00E12BDF">
        <w:t>tion in</w:t>
      </w:r>
      <w:r w:rsidRPr="00E12BDF">
        <w:t xml:space="preserve"> relative progression in the tafamidis arm. </w:t>
      </w:r>
      <w:r w:rsidR="005A4B52" w:rsidRPr="00E12BDF">
        <w:t xml:space="preserve">The pre-PBAC response argued </w:t>
      </w:r>
      <w:r w:rsidR="00EE40D7" w:rsidRPr="00E12BDF">
        <w:t>t</w:t>
      </w:r>
      <w:r w:rsidR="005A4B52" w:rsidRPr="00E12BDF">
        <w:t xml:space="preserve">he model applied overall survival data from ATTR-ACT, </w:t>
      </w:r>
      <w:r w:rsidR="00EE40D7" w:rsidRPr="00E12BDF">
        <w:t xml:space="preserve">which implicitly included changes in NYHA class within the trial period. </w:t>
      </w:r>
      <w:r w:rsidR="00471EDB" w:rsidRPr="00E12BDF">
        <w:t xml:space="preserve">The pre-PBAC response further argued that if the model had allowed for movement of patients between NYHA classes, the survival data would not have been applicable. </w:t>
      </w:r>
      <w:r w:rsidR="00EE40D7" w:rsidRPr="00E12BDF">
        <w:t xml:space="preserve">However, the PBAC considered </w:t>
      </w:r>
      <w:r w:rsidR="00471EDB" w:rsidRPr="00E12BDF">
        <w:t>that the model had not adequately captured the impact of the progressive nature of the condition beyond the trial period.</w:t>
      </w:r>
    </w:p>
    <w:p w:rsidR="00CD0C64" w:rsidRPr="00E12BDF" w:rsidRDefault="00A52987" w:rsidP="00CD0C64">
      <w:pPr>
        <w:pStyle w:val="ExecSumBodyText"/>
      </w:pPr>
      <w:r w:rsidRPr="00E12BDF">
        <w:t>The submission derived survival estimates based on parametric survival functions fitted to Kaplan-Meier estimates of survival in the ATTR-ACT trial and extension, censored for transplantation/implantation event</w:t>
      </w:r>
      <w:r w:rsidR="00FE54CE" w:rsidRPr="00E12BDF">
        <w:t>s</w:t>
      </w:r>
      <w:r w:rsidRPr="00E12BDF">
        <w:t xml:space="preserve">. </w:t>
      </w:r>
      <w:r w:rsidR="00DC43A8" w:rsidRPr="00E12BDF">
        <w:t xml:space="preserve">The observed and extrapolated overall survival curves for best supportive care and tafamidis are shown in the figures below. The figures also include the survival curve for the general Australian </w:t>
      </w:r>
      <w:r w:rsidR="00DC43A8" w:rsidRPr="00E12BDF">
        <w:lastRenderedPageBreak/>
        <w:t xml:space="preserve">population, based on a population aged 74 years, with 90.2% male (consistent with the ATTR-ACT trial). </w:t>
      </w:r>
    </w:p>
    <w:p w:rsidR="00A52987" w:rsidRPr="00E12BDF" w:rsidRDefault="00A52987" w:rsidP="00143202">
      <w:pPr>
        <w:keepNext/>
        <w:keepLines/>
        <w:rPr>
          <w:rFonts w:ascii="Arial Narrow" w:hAnsi="Arial Narrow"/>
          <w:sz w:val="20"/>
        </w:rPr>
      </w:pPr>
      <w:r w:rsidRPr="00E12BDF">
        <w:rPr>
          <w:rFonts w:ascii="Arial Narrow" w:hAnsi="Arial Narrow"/>
          <w:b/>
          <w:sz w:val="20"/>
        </w:rPr>
        <w:t xml:space="preserve">Figure </w:t>
      </w:r>
      <w:r w:rsidR="005F0688" w:rsidRPr="00E12BDF">
        <w:rPr>
          <w:rFonts w:ascii="Arial Narrow" w:hAnsi="Arial Narrow"/>
          <w:b/>
          <w:sz w:val="20"/>
        </w:rPr>
        <w:t>4</w:t>
      </w:r>
      <w:r w:rsidRPr="00E12BDF">
        <w:rPr>
          <w:rFonts w:ascii="Arial Narrow" w:hAnsi="Arial Narrow"/>
          <w:b/>
          <w:sz w:val="20"/>
        </w:rPr>
        <w:t>: Observed (ATTR-ACT trial) and extrapolated overall survival curves for best supportive care</w:t>
      </w:r>
      <w:r w:rsidRPr="00E12BDF">
        <w:rPr>
          <w:rFonts w:ascii="Arial Narrow" w:hAnsi="Arial Narrow"/>
          <w:sz w:val="20"/>
        </w:rPr>
        <w:t xml:space="preserve">  </w:t>
      </w:r>
    </w:p>
    <w:p w:rsidR="00A52987" w:rsidRPr="00E12BDF" w:rsidRDefault="004D6D03" w:rsidP="00143202">
      <w:pPr>
        <w:keepNext/>
        <w:keepLines/>
        <w:rPr>
          <w:color w:val="3366FF"/>
        </w:rPr>
      </w:pPr>
      <w:r w:rsidRPr="00E12BDF">
        <w:rPr>
          <w:noProof/>
          <w:color w:val="3366FF"/>
        </w:rPr>
        <w:drawing>
          <wp:inline distT="0" distB="0" distL="0" distR="0" wp14:anchorId="0EF50C0E" wp14:editId="09E0D118">
            <wp:extent cx="4516089"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109" cy="2957994"/>
                    </a:xfrm>
                    <a:prstGeom prst="rect">
                      <a:avLst/>
                    </a:prstGeom>
                    <a:noFill/>
                  </pic:spPr>
                </pic:pic>
              </a:graphicData>
            </a:graphic>
          </wp:inline>
        </w:drawing>
      </w:r>
    </w:p>
    <w:p w:rsidR="00A52987" w:rsidRPr="00E12BDF" w:rsidRDefault="00A52987" w:rsidP="00143202">
      <w:pPr>
        <w:pStyle w:val="TableFooter"/>
        <w:keepNext/>
        <w:keepLines/>
      </w:pPr>
      <w:r w:rsidRPr="00E12BDF">
        <w:t>Source: Constructed during the evaluation using ‘Utilisation-and-cost-model-tafamidis-final’ spreadsheet provided with the submission</w:t>
      </w:r>
    </w:p>
    <w:p w:rsidR="004D6D03" w:rsidRPr="00E12BDF" w:rsidRDefault="004D6D03" w:rsidP="00143202">
      <w:pPr>
        <w:pStyle w:val="TableFooter"/>
        <w:keepNext/>
        <w:keepLines/>
      </w:pPr>
      <w:r w:rsidRPr="00E12BDF">
        <w:t>Abbreviations: Aust gen pop, Australian general population survival; KM, Kaplan Meier</w:t>
      </w:r>
    </w:p>
    <w:p w:rsidR="004D6D03" w:rsidRPr="00E12BDF" w:rsidRDefault="004D6D03" w:rsidP="00AB6C41">
      <w:pPr>
        <w:pStyle w:val="TableFooter"/>
        <w:keepNext/>
        <w:keepLines/>
        <w:spacing w:after="240"/>
      </w:pPr>
      <w:r w:rsidRPr="00E12BDF">
        <w:t>Note: Death events censored for transplantation/implantation. Australian population survival from ABS life tables, age 74 years, 90.2% male.</w:t>
      </w:r>
    </w:p>
    <w:p w:rsidR="00CD0C64" w:rsidRPr="00E12BDF" w:rsidRDefault="00CD0C64" w:rsidP="00503BB5">
      <w:pPr>
        <w:pStyle w:val="ExecSumBodyText"/>
        <w:rPr>
          <w:rFonts w:ascii="Arial Narrow" w:hAnsi="Arial Narrow"/>
          <w:b/>
          <w:sz w:val="20"/>
        </w:rPr>
      </w:pPr>
      <w:r w:rsidRPr="00E12BDF">
        <w:t xml:space="preserve">For </w:t>
      </w:r>
      <w:r w:rsidR="00AB6C41" w:rsidRPr="00E12BDF">
        <w:t xml:space="preserve">the </w:t>
      </w:r>
      <w:r w:rsidRPr="00E12BDF">
        <w:t>best supportive care</w:t>
      </w:r>
      <w:r w:rsidR="00AB6C41" w:rsidRPr="00E12BDF">
        <w:t xml:space="preserve"> arm</w:t>
      </w:r>
      <w:r w:rsidRPr="00E12BDF">
        <w:t xml:space="preserve">, the submission claimed that the log-normal, log-logistic and </w:t>
      </w:r>
      <w:r w:rsidR="00503BB5" w:rsidRPr="00E12BDF">
        <w:t>exponential</w:t>
      </w:r>
      <w:r w:rsidRPr="00E12BDF">
        <w:t xml:space="preserve"> curves were not clinically plausible as they predicted long-term survival that exceeded life expectancy estimates for the general population. However, the ESC noted that this did not occur within the 20 year model time horizon</w:t>
      </w:r>
      <w:r w:rsidR="004850DE" w:rsidRPr="00E12BDF">
        <w:t>, as shown in the figure above</w:t>
      </w:r>
      <w:r w:rsidRPr="00E12BDF">
        <w:t xml:space="preserve">. The submission claimed that of the remaining survival functions, the Gompertz function was the most appropriate </w:t>
      </w:r>
      <w:r w:rsidR="00503BB5" w:rsidRPr="00E12BDF">
        <w:t xml:space="preserve">as it predicted clinically relevant survival for the patient population and provided the best statistical fit. </w:t>
      </w:r>
      <w:r w:rsidRPr="00E12BDF">
        <w:t xml:space="preserve">The ESC noted that the Gompertz function predicted markedly shorter survival than any of the other functions. The Weibull, Gompertz, gamma </w:t>
      </w:r>
      <w:r w:rsidR="00AB6C41" w:rsidRPr="00E12BDF">
        <w:t>and log-</w:t>
      </w:r>
      <w:r w:rsidRPr="00E12BDF">
        <w:t>logistic functions provided very similar goodness-of-fit estimates but led to divergent extrapolated estimates.</w:t>
      </w:r>
    </w:p>
    <w:p w:rsidR="00A52987" w:rsidRPr="00E12BDF" w:rsidRDefault="00A52987" w:rsidP="00A52987">
      <w:pPr>
        <w:keepNext/>
        <w:rPr>
          <w:b/>
          <w:color w:val="3366FF"/>
        </w:rPr>
      </w:pPr>
      <w:r w:rsidRPr="00E12BDF">
        <w:rPr>
          <w:rFonts w:ascii="Arial Narrow" w:hAnsi="Arial Narrow"/>
          <w:b/>
          <w:sz w:val="20"/>
        </w:rPr>
        <w:lastRenderedPageBreak/>
        <w:t xml:space="preserve">Figure </w:t>
      </w:r>
      <w:r w:rsidR="005F0688" w:rsidRPr="00E12BDF">
        <w:rPr>
          <w:rFonts w:ascii="Arial Narrow" w:hAnsi="Arial Narrow"/>
          <w:b/>
          <w:sz w:val="20"/>
        </w:rPr>
        <w:t>5</w:t>
      </w:r>
      <w:r w:rsidRPr="00E12BDF">
        <w:rPr>
          <w:rFonts w:ascii="Arial Narrow" w:hAnsi="Arial Narrow"/>
          <w:b/>
          <w:sz w:val="20"/>
        </w:rPr>
        <w:t xml:space="preserve">: Observed (ATTR-ACT trial and extension) and extrapolated overall survival curves for tafamidis  </w:t>
      </w:r>
    </w:p>
    <w:p w:rsidR="00A52987" w:rsidRPr="00E12BDF" w:rsidRDefault="0094104B" w:rsidP="00A52987">
      <w:pPr>
        <w:keepNext/>
        <w:rPr>
          <w:color w:val="3366FF"/>
        </w:rPr>
      </w:pPr>
      <w:r w:rsidRPr="00E12BDF">
        <w:rPr>
          <w:noProof/>
          <w:color w:val="3366FF"/>
        </w:rPr>
        <w:drawing>
          <wp:inline distT="0" distB="0" distL="0" distR="0" wp14:anchorId="74674F9C" wp14:editId="48263F56">
            <wp:extent cx="4749407" cy="310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3484" cy="3107816"/>
                    </a:xfrm>
                    <a:prstGeom prst="rect">
                      <a:avLst/>
                    </a:prstGeom>
                    <a:noFill/>
                  </pic:spPr>
                </pic:pic>
              </a:graphicData>
            </a:graphic>
          </wp:inline>
        </w:drawing>
      </w:r>
    </w:p>
    <w:p w:rsidR="00A52987" w:rsidRPr="00E12BDF" w:rsidRDefault="00A52987" w:rsidP="00A52987">
      <w:pPr>
        <w:widowControl w:val="0"/>
        <w:spacing w:after="120"/>
        <w:contextualSpacing/>
        <w:rPr>
          <w:rFonts w:ascii="Arial Narrow" w:hAnsi="Arial Narrow"/>
          <w:snapToGrid w:val="0"/>
          <w:sz w:val="18"/>
          <w:szCs w:val="22"/>
          <w:lang w:eastAsia="en-US"/>
        </w:rPr>
      </w:pPr>
      <w:r w:rsidRPr="00E12BDF">
        <w:rPr>
          <w:rFonts w:ascii="Arial Narrow" w:hAnsi="Arial Narrow"/>
          <w:snapToGrid w:val="0"/>
          <w:sz w:val="18"/>
          <w:szCs w:val="22"/>
          <w:lang w:eastAsia="en-US"/>
        </w:rPr>
        <w:t>Source: Constructed during the evaluation using ‘Utilisation-and-cost-model-tafamidis-final’ spreadsheet provided with the submission</w:t>
      </w:r>
    </w:p>
    <w:p w:rsidR="00A52987" w:rsidRPr="00E12BDF" w:rsidRDefault="00A52987" w:rsidP="000D5C4B">
      <w:pPr>
        <w:widowControl w:val="0"/>
        <w:spacing w:after="240"/>
        <w:contextualSpacing/>
        <w:rPr>
          <w:rFonts w:ascii="Arial Narrow" w:hAnsi="Arial Narrow"/>
          <w:snapToGrid w:val="0"/>
          <w:sz w:val="18"/>
          <w:szCs w:val="22"/>
          <w:lang w:eastAsia="en-US"/>
        </w:rPr>
      </w:pPr>
      <w:r w:rsidRPr="00E12BDF">
        <w:rPr>
          <w:rFonts w:ascii="Arial Narrow" w:hAnsi="Arial Narrow"/>
          <w:snapToGrid w:val="0"/>
          <w:sz w:val="18"/>
          <w:szCs w:val="22"/>
          <w:lang w:eastAsia="en-US"/>
        </w:rPr>
        <w:t>Abbreviations: KM, Kaplan Meier</w:t>
      </w:r>
      <w:r w:rsidR="0094104B" w:rsidRPr="00E12BDF">
        <w:rPr>
          <w:rFonts w:ascii="Arial Narrow" w:hAnsi="Arial Narrow"/>
          <w:snapToGrid w:val="0"/>
          <w:sz w:val="18"/>
          <w:szCs w:val="22"/>
          <w:lang w:eastAsia="en-US"/>
        </w:rPr>
        <w:t>; Aust gen pop, Australian general population survival</w:t>
      </w:r>
    </w:p>
    <w:p w:rsidR="00A52987" w:rsidRPr="00E12BDF" w:rsidRDefault="00A52987" w:rsidP="000D5C4B">
      <w:pPr>
        <w:keepNext/>
        <w:widowControl w:val="0"/>
        <w:spacing w:after="240"/>
        <w:contextualSpacing/>
        <w:rPr>
          <w:rFonts w:ascii="Arial Narrow" w:hAnsi="Arial Narrow"/>
          <w:snapToGrid w:val="0"/>
          <w:sz w:val="18"/>
          <w:szCs w:val="22"/>
          <w:lang w:eastAsia="en-US"/>
        </w:rPr>
      </w:pPr>
      <w:r w:rsidRPr="00E12BDF">
        <w:rPr>
          <w:rFonts w:ascii="Arial Narrow" w:hAnsi="Arial Narrow"/>
          <w:snapToGrid w:val="0"/>
          <w:sz w:val="18"/>
          <w:szCs w:val="22"/>
          <w:lang w:eastAsia="en-US"/>
        </w:rPr>
        <w:t>Note: Death events censored for transplantation/implantation</w:t>
      </w:r>
      <w:r w:rsidR="0094104B" w:rsidRPr="00E12BDF">
        <w:rPr>
          <w:rFonts w:ascii="Arial Narrow" w:hAnsi="Arial Narrow"/>
          <w:snapToGrid w:val="0"/>
          <w:sz w:val="18"/>
          <w:szCs w:val="22"/>
          <w:lang w:eastAsia="en-US"/>
        </w:rPr>
        <w:t>. Australian population survival from ABS life tables, age 74 years, 90.2% male.</w:t>
      </w:r>
    </w:p>
    <w:p w:rsidR="00143202" w:rsidRPr="00E12BDF" w:rsidRDefault="00AB6C41" w:rsidP="005B6E30">
      <w:pPr>
        <w:pStyle w:val="ExecSumBodyText"/>
      </w:pPr>
      <w:r w:rsidRPr="00E12BDF">
        <w:t xml:space="preserve">For the tafamidis arm, the submission claimed that </w:t>
      </w:r>
      <w:r w:rsidR="00503BB5" w:rsidRPr="00E12BDF">
        <w:t>t</w:t>
      </w:r>
      <w:r w:rsidRPr="00E12BDF">
        <w:t xml:space="preserve">he gamma function was the most appropriate parametric model to estimate survival based on goodness-of-fit parameters. </w:t>
      </w:r>
      <w:r w:rsidR="00143202" w:rsidRPr="00E12BDF">
        <w:t xml:space="preserve">The submission argued that it was reasonable to use different survival functions for each modelled treatment arm as tafamidis is a disease-modifying treatment that is expected to change survival. The ESC considered this argument was not reasonable given the differences in model fit were small and the proportional hazards assumption between treatments did not appear to be violated. Further, the ESC considered that selecting the gamma function </w:t>
      </w:r>
      <w:r w:rsidR="00030A3B" w:rsidRPr="00E12BDF">
        <w:t xml:space="preserve">(which the submission used in the base case for the tafamidis arm) </w:t>
      </w:r>
      <w:r w:rsidR="00143202" w:rsidRPr="00E12BDF">
        <w:t xml:space="preserve">for both </w:t>
      </w:r>
      <w:r w:rsidR="00030A3B" w:rsidRPr="00E12BDF">
        <w:t>arms may be appropriate as</w:t>
      </w:r>
      <w:r w:rsidR="005B6E30" w:rsidRPr="00E12BDF">
        <w:t xml:space="preserve"> in the best supportive care arm the</w:t>
      </w:r>
      <w:r w:rsidR="00030A3B" w:rsidRPr="00E12BDF">
        <w:t xml:space="preserve"> AIC/BIC statistics</w:t>
      </w:r>
      <w:r w:rsidR="005B6E30" w:rsidRPr="00E12BDF">
        <w:t xml:space="preserve"> were similar for the gamma and</w:t>
      </w:r>
      <w:r w:rsidR="00030A3B" w:rsidRPr="00E12BDF">
        <w:t xml:space="preserve"> Gompertz function</w:t>
      </w:r>
      <w:r w:rsidR="005B6E30" w:rsidRPr="00E12BDF">
        <w:t>s</w:t>
      </w:r>
      <w:r w:rsidR="00030A3B" w:rsidRPr="00E12BDF">
        <w:t xml:space="preserve"> and </w:t>
      </w:r>
      <w:r w:rsidR="005B6E30" w:rsidRPr="00E12BDF">
        <w:t xml:space="preserve">the gamma function does </w:t>
      </w:r>
      <w:r w:rsidR="00143202" w:rsidRPr="00E12BDF">
        <w:t>not</w:t>
      </w:r>
      <w:r w:rsidR="005B6E30" w:rsidRPr="00E12BDF">
        <w:t xml:space="preserve"> result in survival estimates which appear to</w:t>
      </w:r>
      <w:r w:rsidR="00143202" w:rsidRPr="00E12BDF">
        <w:t xml:space="preserve"> be overly conservative</w:t>
      </w:r>
      <w:r w:rsidR="005B6E30" w:rsidRPr="00E12BDF">
        <w:t xml:space="preserve"> (i</w:t>
      </w:r>
      <w:r w:rsidR="004850DE" w:rsidRPr="00E12BDF">
        <w:t>.</w:t>
      </w:r>
      <w:r w:rsidR="005B6E30" w:rsidRPr="00E12BDF">
        <w:t>e</w:t>
      </w:r>
      <w:r w:rsidR="004850DE" w:rsidRPr="00E12BDF">
        <w:t>.</w:t>
      </w:r>
      <w:r w:rsidR="005B6E30" w:rsidRPr="00E12BDF">
        <w:t xml:space="preserve"> too short)</w:t>
      </w:r>
      <w:r w:rsidR="00143202" w:rsidRPr="00E12BDF">
        <w:t xml:space="preserve">. </w:t>
      </w:r>
    </w:p>
    <w:p w:rsidR="009E3892" w:rsidRPr="00E12BDF" w:rsidRDefault="009E3892" w:rsidP="009E3892">
      <w:pPr>
        <w:pStyle w:val="ExecSumBodyText"/>
      </w:pPr>
      <w:r w:rsidRPr="00E12BDF">
        <w:t>The submission estimated cardiovascular hospitalisation probabilities based on post-hoc analyses of ATTR-ACT data by treatment arm and duration of exposure within each NYHA class. The post-hoc analyses could not be validated during the evaluation due to a lack of documentation. It was also unclear how the post-hoc analyses corresponded with data from the trial report which suggested considerably different cardiovascular hospitalisations frequencies for eac</w:t>
      </w:r>
      <w:r w:rsidR="00BE12C4" w:rsidRPr="00E12BDF">
        <w:t>h treatment arm (shown in Table 12</w:t>
      </w:r>
      <w:r w:rsidRPr="00E12BDF">
        <w:t>).</w:t>
      </w:r>
      <w:r w:rsidR="009250E8" w:rsidRPr="00E12BDF">
        <w:t xml:space="preserve"> </w:t>
      </w:r>
      <w:r w:rsidR="00D87949" w:rsidRPr="00E12BDF">
        <w:t xml:space="preserve">For example, the </w:t>
      </w:r>
      <w:r w:rsidR="009250E8" w:rsidRPr="00E12BDF">
        <w:t>ESC noted that the</w:t>
      </w:r>
      <w:r w:rsidR="00D87949" w:rsidRPr="00E12BDF">
        <w:t xml:space="preserve"> annual cardiovascular hospitalisation rate in NYHA Class III was higher in the tafamidis arm than the best supportive care arm in the ATTR-ACT trial (for both the adjusted and unadjusted rates), but the modelled rate was lower in the tafamidis arm than in the best suppo</w:t>
      </w:r>
      <w:r w:rsidR="00B251C5" w:rsidRPr="00E12BDF">
        <w:t>rtive care arm (1.54 versus 1.62</w:t>
      </w:r>
      <w:r w:rsidR="00D87949" w:rsidRPr="00E12BDF">
        <w:t>).</w:t>
      </w:r>
    </w:p>
    <w:p w:rsidR="009E3892" w:rsidRPr="00E12BDF" w:rsidRDefault="009E3892" w:rsidP="00DA320C">
      <w:pPr>
        <w:pStyle w:val="TableHeading"/>
        <w:keepLines/>
        <w:spacing w:after="0"/>
        <w:rPr>
          <w:rStyle w:val="CommentReference"/>
          <w:b w:val="0"/>
          <w:sz w:val="20"/>
          <w:szCs w:val="20"/>
        </w:rPr>
      </w:pPr>
      <w:r w:rsidRPr="00E12BDF">
        <w:rPr>
          <w:rStyle w:val="CommentReference"/>
          <w:sz w:val="20"/>
          <w:szCs w:val="20"/>
        </w:rPr>
        <w:lastRenderedPageBreak/>
        <w:t xml:space="preserve">Table </w:t>
      </w:r>
      <w:r w:rsidR="00BE12C4" w:rsidRPr="00E12BDF">
        <w:rPr>
          <w:rStyle w:val="CommentReference"/>
          <w:sz w:val="20"/>
          <w:szCs w:val="20"/>
        </w:rPr>
        <w:t>12:</w:t>
      </w:r>
      <w:r w:rsidRPr="00E12BDF">
        <w:rPr>
          <w:rStyle w:val="CommentReference"/>
          <w:sz w:val="20"/>
          <w:szCs w:val="20"/>
        </w:rPr>
        <w:t xml:space="preserve"> Comparison of cardiovascular hospitalisation rates between the ATTR-ACT trial and post-hoc analyses</w:t>
      </w:r>
    </w:p>
    <w:tbl>
      <w:tblPr>
        <w:tblStyle w:val="TableGrid"/>
        <w:tblW w:w="0" w:type="auto"/>
        <w:tblLook w:val="04A0" w:firstRow="1" w:lastRow="0" w:firstColumn="1" w:lastColumn="0" w:noHBand="0" w:noVBand="1"/>
      </w:tblPr>
      <w:tblGrid>
        <w:gridCol w:w="1672"/>
        <w:gridCol w:w="2448"/>
        <w:gridCol w:w="2448"/>
        <w:gridCol w:w="2449"/>
      </w:tblGrid>
      <w:tr w:rsidR="009E3892" w:rsidRPr="00E12BDF" w:rsidTr="009E3892">
        <w:tc>
          <w:tcPr>
            <w:tcW w:w="1672" w:type="dxa"/>
            <w:vMerge w:val="restart"/>
            <w:vAlign w:val="center"/>
          </w:tcPr>
          <w:p w:rsidR="009E3892" w:rsidRPr="00E12BDF" w:rsidRDefault="009E3892" w:rsidP="00DA320C">
            <w:pPr>
              <w:pStyle w:val="Tabletext1"/>
              <w:keepNext/>
              <w:keepLines/>
              <w:rPr>
                <w:b/>
              </w:rPr>
            </w:pPr>
            <w:r w:rsidRPr="00E12BDF">
              <w:rPr>
                <w:b/>
              </w:rPr>
              <w:t>Characteristic</w:t>
            </w:r>
          </w:p>
        </w:tc>
        <w:tc>
          <w:tcPr>
            <w:tcW w:w="7345" w:type="dxa"/>
            <w:gridSpan w:val="3"/>
            <w:vAlign w:val="center"/>
          </w:tcPr>
          <w:p w:rsidR="009E3892" w:rsidRPr="00E12BDF" w:rsidRDefault="009E3892" w:rsidP="00DA320C">
            <w:pPr>
              <w:pStyle w:val="Tabletext1"/>
              <w:keepNext/>
              <w:keepLines/>
              <w:jc w:val="center"/>
              <w:rPr>
                <w:b/>
              </w:rPr>
            </w:pPr>
            <w:r w:rsidRPr="00E12BDF">
              <w:rPr>
                <w:b/>
              </w:rPr>
              <w:t>Annual cardiovascular hospitalisation rate</w:t>
            </w:r>
          </w:p>
        </w:tc>
      </w:tr>
      <w:tr w:rsidR="009E3892" w:rsidRPr="00E12BDF" w:rsidTr="009E3892">
        <w:tc>
          <w:tcPr>
            <w:tcW w:w="1672" w:type="dxa"/>
            <w:vMerge/>
            <w:vAlign w:val="center"/>
          </w:tcPr>
          <w:p w:rsidR="009E3892" w:rsidRPr="00E12BDF" w:rsidRDefault="009E3892" w:rsidP="00DA320C">
            <w:pPr>
              <w:pStyle w:val="Tabletext1"/>
              <w:keepNext/>
              <w:keepLines/>
              <w:rPr>
                <w:b/>
              </w:rPr>
            </w:pPr>
          </w:p>
        </w:tc>
        <w:tc>
          <w:tcPr>
            <w:tcW w:w="2448" w:type="dxa"/>
            <w:vAlign w:val="center"/>
          </w:tcPr>
          <w:p w:rsidR="009E3892" w:rsidRPr="00E12BDF" w:rsidRDefault="009E3892" w:rsidP="00DA320C">
            <w:pPr>
              <w:pStyle w:val="Tabletext1"/>
              <w:keepNext/>
              <w:keepLines/>
              <w:jc w:val="center"/>
              <w:rPr>
                <w:b/>
              </w:rPr>
            </w:pPr>
            <w:r w:rsidRPr="00E12BDF">
              <w:rPr>
                <w:b/>
              </w:rPr>
              <w:t>Unadjusted rate</w:t>
            </w:r>
            <w:r w:rsidRPr="00E12BDF">
              <w:rPr>
                <w:b/>
                <w:vertAlign w:val="superscript"/>
              </w:rPr>
              <w:t>1</w:t>
            </w:r>
          </w:p>
          <w:p w:rsidR="009E3892" w:rsidRPr="00E12BDF" w:rsidRDefault="009E3892" w:rsidP="00DA320C">
            <w:pPr>
              <w:pStyle w:val="Tabletext1"/>
              <w:keepNext/>
              <w:keepLines/>
              <w:jc w:val="center"/>
              <w:rPr>
                <w:b/>
              </w:rPr>
            </w:pPr>
            <w:r w:rsidRPr="00E12BDF">
              <w:rPr>
                <w:b/>
              </w:rPr>
              <w:t xml:space="preserve"> ATTR-ACT</w:t>
            </w:r>
          </w:p>
        </w:tc>
        <w:tc>
          <w:tcPr>
            <w:tcW w:w="2448" w:type="dxa"/>
            <w:vAlign w:val="center"/>
          </w:tcPr>
          <w:p w:rsidR="009E3892" w:rsidRPr="00E12BDF" w:rsidRDefault="009E3892" w:rsidP="00DA320C">
            <w:pPr>
              <w:pStyle w:val="Tabletext1"/>
              <w:keepNext/>
              <w:keepLines/>
              <w:jc w:val="center"/>
              <w:rPr>
                <w:b/>
              </w:rPr>
            </w:pPr>
            <w:r w:rsidRPr="00E12BDF">
              <w:rPr>
                <w:b/>
              </w:rPr>
              <w:t>Adjusted rate</w:t>
            </w:r>
            <w:r w:rsidRPr="00E12BDF">
              <w:rPr>
                <w:b/>
                <w:vertAlign w:val="superscript"/>
              </w:rPr>
              <w:t>2</w:t>
            </w:r>
          </w:p>
          <w:p w:rsidR="009E3892" w:rsidRPr="00E12BDF" w:rsidRDefault="009E3892" w:rsidP="00DA320C">
            <w:pPr>
              <w:pStyle w:val="Tabletext1"/>
              <w:keepNext/>
              <w:keepLines/>
              <w:jc w:val="center"/>
              <w:rPr>
                <w:b/>
              </w:rPr>
            </w:pPr>
            <w:r w:rsidRPr="00E12BDF">
              <w:rPr>
                <w:b/>
              </w:rPr>
              <w:t xml:space="preserve"> ATTR-ACT</w:t>
            </w:r>
          </w:p>
        </w:tc>
        <w:tc>
          <w:tcPr>
            <w:tcW w:w="2449" w:type="dxa"/>
            <w:vAlign w:val="center"/>
          </w:tcPr>
          <w:p w:rsidR="009E3892" w:rsidRPr="00E12BDF" w:rsidRDefault="009E3892" w:rsidP="00DA320C">
            <w:pPr>
              <w:pStyle w:val="Tabletext1"/>
              <w:keepNext/>
              <w:keepLines/>
              <w:jc w:val="center"/>
              <w:rPr>
                <w:b/>
              </w:rPr>
            </w:pPr>
            <w:r w:rsidRPr="00E12BDF">
              <w:rPr>
                <w:b/>
              </w:rPr>
              <w:t>Modelled rate</w:t>
            </w:r>
          </w:p>
          <w:p w:rsidR="009E3892" w:rsidRPr="00E12BDF" w:rsidRDefault="009E3892" w:rsidP="00DA320C">
            <w:pPr>
              <w:pStyle w:val="Tabletext1"/>
              <w:keepNext/>
              <w:keepLines/>
              <w:jc w:val="center"/>
              <w:rPr>
                <w:b/>
              </w:rPr>
            </w:pPr>
            <w:r w:rsidRPr="00E12BDF">
              <w:rPr>
                <w:b/>
              </w:rPr>
              <w:t>Post-hoc analyses</w:t>
            </w:r>
          </w:p>
        </w:tc>
      </w:tr>
      <w:tr w:rsidR="009E3892" w:rsidRPr="00E12BDF" w:rsidTr="009E3892">
        <w:trPr>
          <w:trHeight w:val="40"/>
        </w:trPr>
        <w:tc>
          <w:tcPr>
            <w:tcW w:w="9017" w:type="dxa"/>
            <w:gridSpan w:val="4"/>
            <w:vAlign w:val="center"/>
          </w:tcPr>
          <w:p w:rsidR="009E3892" w:rsidRPr="00E12BDF" w:rsidRDefault="009E3892" w:rsidP="00DA320C">
            <w:pPr>
              <w:pStyle w:val="Tabletext1"/>
              <w:keepNext/>
              <w:keepLines/>
              <w:rPr>
                <w:b/>
              </w:rPr>
            </w:pPr>
            <w:r w:rsidRPr="00E12BDF">
              <w:rPr>
                <w:b/>
              </w:rPr>
              <w:t>Tafamidis</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NYHA class I/II</w:t>
            </w:r>
          </w:p>
        </w:tc>
        <w:tc>
          <w:tcPr>
            <w:tcW w:w="2448" w:type="dxa"/>
            <w:vAlign w:val="center"/>
          </w:tcPr>
          <w:p w:rsidR="009E3892" w:rsidRPr="00E12BDF" w:rsidRDefault="009E3892" w:rsidP="00DA320C">
            <w:pPr>
              <w:pStyle w:val="Tabletext1"/>
              <w:keepNext/>
              <w:keepLines/>
              <w:jc w:val="center"/>
            </w:pPr>
            <w:r w:rsidRPr="00E12BDF">
              <w:t>0.490</w:t>
            </w:r>
          </w:p>
        </w:tc>
        <w:tc>
          <w:tcPr>
            <w:tcW w:w="2448" w:type="dxa"/>
            <w:vAlign w:val="center"/>
          </w:tcPr>
          <w:p w:rsidR="009E3892" w:rsidRPr="00E12BDF" w:rsidRDefault="009E3892" w:rsidP="00DA320C">
            <w:pPr>
              <w:pStyle w:val="Tabletext1"/>
              <w:keepNext/>
              <w:keepLines/>
              <w:jc w:val="center"/>
            </w:pPr>
            <w:r w:rsidRPr="00E12BDF">
              <w:t>0.3378</w:t>
            </w:r>
          </w:p>
        </w:tc>
        <w:tc>
          <w:tcPr>
            <w:tcW w:w="2449" w:type="dxa"/>
            <w:vAlign w:val="center"/>
          </w:tcPr>
          <w:p w:rsidR="009E3892" w:rsidRPr="00E12BDF" w:rsidRDefault="009E3892" w:rsidP="00DA320C">
            <w:pPr>
              <w:pStyle w:val="Tabletext1"/>
              <w:keepNext/>
              <w:keepLines/>
              <w:jc w:val="center"/>
            </w:pPr>
            <w:r w:rsidRPr="00E12BDF">
              <w:t>0.5096</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NYHA class III</w:t>
            </w:r>
          </w:p>
        </w:tc>
        <w:tc>
          <w:tcPr>
            <w:tcW w:w="2448" w:type="dxa"/>
            <w:vAlign w:val="center"/>
          </w:tcPr>
          <w:p w:rsidR="009E3892" w:rsidRPr="00E12BDF" w:rsidRDefault="009E3892" w:rsidP="00DA320C">
            <w:pPr>
              <w:pStyle w:val="Tabletext1"/>
              <w:keepNext/>
              <w:keepLines/>
              <w:jc w:val="center"/>
            </w:pPr>
            <w:r w:rsidRPr="00E12BDF">
              <w:t>2.212</w:t>
            </w:r>
          </w:p>
        </w:tc>
        <w:tc>
          <w:tcPr>
            <w:tcW w:w="2448" w:type="dxa"/>
            <w:vAlign w:val="center"/>
          </w:tcPr>
          <w:p w:rsidR="009E3892" w:rsidRPr="00E12BDF" w:rsidRDefault="009E3892" w:rsidP="00DA320C">
            <w:pPr>
              <w:pStyle w:val="Tabletext1"/>
              <w:keepNext/>
              <w:keepLines/>
              <w:jc w:val="center"/>
            </w:pPr>
            <w:r w:rsidRPr="00E12BDF">
              <w:t>0.9722</w:t>
            </w:r>
          </w:p>
        </w:tc>
        <w:tc>
          <w:tcPr>
            <w:tcW w:w="2449" w:type="dxa"/>
            <w:vAlign w:val="center"/>
          </w:tcPr>
          <w:p w:rsidR="009E3892" w:rsidRPr="00E12BDF" w:rsidRDefault="009E3892" w:rsidP="00DA320C">
            <w:pPr>
              <w:pStyle w:val="Tabletext1"/>
              <w:keepNext/>
              <w:keepLines/>
              <w:jc w:val="center"/>
            </w:pPr>
            <w:r w:rsidRPr="00E12BDF">
              <w:t>1.5336</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Alive health state</w:t>
            </w:r>
          </w:p>
        </w:tc>
        <w:tc>
          <w:tcPr>
            <w:tcW w:w="2448" w:type="dxa"/>
            <w:vAlign w:val="center"/>
          </w:tcPr>
          <w:p w:rsidR="009E3892" w:rsidRPr="00E12BDF" w:rsidRDefault="009E3892" w:rsidP="00DA320C">
            <w:pPr>
              <w:pStyle w:val="Tabletext1"/>
              <w:keepNext/>
              <w:keepLines/>
              <w:jc w:val="center"/>
            </w:pPr>
            <w:r w:rsidRPr="00E12BDF">
              <w:t>0.999</w:t>
            </w:r>
          </w:p>
        </w:tc>
        <w:tc>
          <w:tcPr>
            <w:tcW w:w="2448" w:type="dxa"/>
            <w:vAlign w:val="center"/>
          </w:tcPr>
          <w:p w:rsidR="009E3892" w:rsidRPr="00E12BDF" w:rsidRDefault="009E3892" w:rsidP="00DA320C">
            <w:pPr>
              <w:pStyle w:val="Tabletext1"/>
              <w:keepNext/>
              <w:keepLines/>
              <w:jc w:val="center"/>
            </w:pPr>
            <w:r w:rsidRPr="00E12BDF">
              <w:t>0.4750</w:t>
            </w:r>
          </w:p>
        </w:tc>
        <w:tc>
          <w:tcPr>
            <w:tcW w:w="2449" w:type="dxa"/>
            <w:vAlign w:val="center"/>
          </w:tcPr>
          <w:p w:rsidR="009E3892" w:rsidRPr="00E12BDF" w:rsidRDefault="009E3892" w:rsidP="00DA320C">
            <w:pPr>
              <w:pStyle w:val="Tabletext1"/>
              <w:keepNext/>
              <w:keepLines/>
              <w:jc w:val="center"/>
            </w:pPr>
            <w:r w:rsidRPr="00E12BDF">
              <w:t>0.8532</w:t>
            </w:r>
          </w:p>
        </w:tc>
      </w:tr>
      <w:tr w:rsidR="009E3892" w:rsidRPr="00E12BDF" w:rsidTr="009E3892">
        <w:trPr>
          <w:trHeight w:val="40"/>
        </w:trPr>
        <w:tc>
          <w:tcPr>
            <w:tcW w:w="9017" w:type="dxa"/>
            <w:gridSpan w:val="4"/>
            <w:vAlign w:val="center"/>
          </w:tcPr>
          <w:p w:rsidR="009E3892" w:rsidRPr="00E12BDF" w:rsidRDefault="009E3892" w:rsidP="00DA320C">
            <w:pPr>
              <w:pStyle w:val="Tabletext1"/>
              <w:keepNext/>
              <w:keepLines/>
              <w:rPr>
                <w:b/>
              </w:rPr>
            </w:pPr>
            <w:r w:rsidRPr="00E12BDF">
              <w:rPr>
                <w:b/>
              </w:rPr>
              <w:t>Best supportive care</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NYHA class I/II</w:t>
            </w:r>
          </w:p>
        </w:tc>
        <w:tc>
          <w:tcPr>
            <w:tcW w:w="2448" w:type="dxa"/>
            <w:vAlign w:val="center"/>
          </w:tcPr>
          <w:p w:rsidR="009E3892" w:rsidRPr="00E12BDF" w:rsidRDefault="009E3892" w:rsidP="00DA320C">
            <w:pPr>
              <w:pStyle w:val="Tabletext1"/>
              <w:keepNext/>
              <w:keepLines/>
              <w:jc w:val="center"/>
            </w:pPr>
            <w:r w:rsidRPr="00E12BDF">
              <w:t>0.823</w:t>
            </w:r>
          </w:p>
        </w:tc>
        <w:tc>
          <w:tcPr>
            <w:tcW w:w="2448" w:type="dxa"/>
            <w:vAlign w:val="center"/>
          </w:tcPr>
          <w:p w:rsidR="009E3892" w:rsidRPr="00E12BDF" w:rsidRDefault="009E3892" w:rsidP="00DA320C">
            <w:pPr>
              <w:pStyle w:val="Tabletext1"/>
              <w:keepNext/>
              <w:keepLines/>
              <w:jc w:val="center"/>
            </w:pPr>
            <w:r w:rsidRPr="00E12BDF">
              <w:t>0.7091</w:t>
            </w:r>
          </w:p>
        </w:tc>
        <w:tc>
          <w:tcPr>
            <w:tcW w:w="2449" w:type="dxa"/>
            <w:vAlign w:val="center"/>
          </w:tcPr>
          <w:p w:rsidR="009E3892" w:rsidRPr="00E12BDF" w:rsidRDefault="009E3892" w:rsidP="00DA320C">
            <w:pPr>
              <w:pStyle w:val="Tabletext1"/>
              <w:keepNext/>
              <w:keepLines/>
              <w:jc w:val="center"/>
            </w:pPr>
            <w:r w:rsidRPr="00E12BDF">
              <w:t>0.7142</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NYHA class III</w:t>
            </w:r>
          </w:p>
        </w:tc>
        <w:tc>
          <w:tcPr>
            <w:tcW w:w="2448" w:type="dxa"/>
            <w:vAlign w:val="center"/>
          </w:tcPr>
          <w:p w:rsidR="009E3892" w:rsidRPr="00E12BDF" w:rsidRDefault="009E3892" w:rsidP="00DA320C">
            <w:pPr>
              <w:pStyle w:val="Tabletext1"/>
              <w:keepNext/>
              <w:keepLines/>
              <w:jc w:val="center"/>
            </w:pPr>
            <w:r w:rsidRPr="00E12BDF">
              <w:t>0.993</w:t>
            </w:r>
          </w:p>
        </w:tc>
        <w:tc>
          <w:tcPr>
            <w:tcW w:w="2448" w:type="dxa"/>
            <w:vAlign w:val="center"/>
          </w:tcPr>
          <w:p w:rsidR="009E3892" w:rsidRPr="00E12BDF" w:rsidRDefault="009E3892" w:rsidP="00DA320C">
            <w:pPr>
              <w:pStyle w:val="Tabletext1"/>
              <w:keepNext/>
              <w:keepLines/>
              <w:jc w:val="center"/>
            </w:pPr>
            <w:r w:rsidRPr="00E12BDF">
              <w:t>0.6924</w:t>
            </w:r>
          </w:p>
        </w:tc>
        <w:tc>
          <w:tcPr>
            <w:tcW w:w="2449" w:type="dxa"/>
            <w:vAlign w:val="center"/>
          </w:tcPr>
          <w:p w:rsidR="009E3892" w:rsidRPr="00E12BDF" w:rsidRDefault="009E3892" w:rsidP="00DA320C">
            <w:pPr>
              <w:pStyle w:val="Tabletext1"/>
              <w:keepNext/>
              <w:keepLines/>
              <w:jc w:val="center"/>
            </w:pPr>
            <w:r w:rsidRPr="00E12BDF">
              <w:t>1.6162</w:t>
            </w:r>
          </w:p>
        </w:tc>
      </w:tr>
      <w:tr w:rsidR="009E3892" w:rsidRPr="00E12BDF" w:rsidTr="009E3892">
        <w:trPr>
          <w:trHeight w:val="40"/>
        </w:trPr>
        <w:tc>
          <w:tcPr>
            <w:tcW w:w="1672" w:type="dxa"/>
            <w:vAlign w:val="center"/>
          </w:tcPr>
          <w:p w:rsidR="009E3892" w:rsidRPr="00E12BDF" w:rsidRDefault="009E3892" w:rsidP="00DA320C">
            <w:pPr>
              <w:pStyle w:val="Tabletext1"/>
              <w:keepNext/>
              <w:keepLines/>
            </w:pPr>
            <w:r w:rsidRPr="00E12BDF">
              <w:t>Alive health state</w:t>
            </w:r>
          </w:p>
        </w:tc>
        <w:tc>
          <w:tcPr>
            <w:tcW w:w="2448" w:type="dxa"/>
            <w:vAlign w:val="center"/>
          </w:tcPr>
          <w:p w:rsidR="009E3892" w:rsidRPr="00E12BDF" w:rsidRDefault="009E3892" w:rsidP="00DA320C">
            <w:pPr>
              <w:pStyle w:val="Tabletext1"/>
              <w:keepNext/>
              <w:keepLines/>
              <w:jc w:val="center"/>
            </w:pPr>
            <w:r w:rsidRPr="00E12BDF">
              <w:t>0.884</w:t>
            </w:r>
          </w:p>
        </w:tc>
        <w:tc>
          <w:tcPr>
            <w:tcW w:w="2448" w:type="dxa"/>
            <w:vAlign w:val="center"/>
          </w:tcPr>
          <w:p w:rsidR="009E3892" w:rsidRPr="00E12BDF" w:rsidRDefault="009E3892" w:rsidP="00DA320C">
            <w:pPr>
              <w:pStyle w:val="Tabletext1"/>
              <w:keepNext/>
              <w:keepLines/>
              <w:jc w:val="center"/>
            </w:pPr>
            <w:r w:rsidRPr="00E12BDF">
              <w:t>0.7025</w:t>
            </w:r>
          </w:p>
        </w:tc>
        <w:tc>
          <w:tcPr>
            <w:tcW w:w="2449" w:type="dxa"/>
            <w:vAlign w:val="center"/>
          </w:tcPr>
          <w:p w:rsidR="009E3892" w:rsidRPr="00E12BDF" w:rsidRDefault="009E3892" w:rsidP="00DA320C">
            <w:pPr>
              <w:pStyle w:val="Tabletext1"/>
              <w:keepNext/>
              <w:keepLines/>
              <w:jc w:val="center"/>
            </w:pPr>
            <w:r w:rsidRPr="00E12BDF">
              <w:t>1.0026</w:t>
            </w:r>
          </w:p>
        </w:tc>
      </w:tr>
    </w:tbl>
    <w:p w:rsidR="009E3892" w:rsidRPr="00E12BDF" w:rsidRDefault="009E3892" w:rsidP="00DA320C">
      <w:pPr>
        <w:pStyle w:val="TableFooter"/>
        <w:keepNext/>
        <w:keepLines/>
      </w:pPr>
      <w:r w:rsidRPr="00E12BDF">
        <w:t>Source: Table 2.5.4 (p 80), Table 2.6.9 (p 161), Table 3.4.3 (p 197) of the submission</w:t>
      </w:r>
    </w:p>
    <w:p w:rsidR="009E3892" w:rsidRPr="00E12BDF" w:rsidRDefault="009E3892" w:rsidP="00DA320C">
      <w:pPr>
        <w:pStyle w:val="TableFooter"/>
        <w:keepNext/>
        <w:keepLines/>
      </w:pPr>
      <w:r w:rsidRPr="00E12BDF">
        <w:rPr>
          <w:vertAlign w:val="superscript"/>
        </w:rPr>
        <w:t>1</w:t>
      </w:r>
      <w:r w:rsidRPr="00E12BDF">
        <w:t xml:space="preserve"> Mean cardiovascular hospitalisations per year, calculated as (patient’s number of cardiovascular hospitalisations)/(duration on study in years).</w:t>
      </w:r>
    </w:p>
    <w:p w:rsidR="009E3892" w:rsidRPr="00E12BDF" w:rsidRDefault="009E3892" w:rsidP="000D5C4B">
      <w:pPr>
        <w:pStyle w:val="TableFooter"/>
        <w:spacing w:after="240"/>
      </w:pPr>
      <w:r w:rsidRPr="00E12BDF">
        <w:rPr>
          <w:vertAlign w:val="superscript"/>
        </w:rPr>
        <w:t>2</w:t>
      </w:r>
      <w:r w:rsidRPr="00E12BDF">
        <w:t xml:space="preserve"> Frequency of cardiovascular hospitalisations, calculated using Poisson regression analysis with treatment, TTR genotype, NYHA baseline classification (NYHA I &amp; II; NYHA III), treatment-by-TTR genotype interaction, and treatment by NYHA baseline classification interaction terms as factors, adjusted for treatment duration.</w:t>
      </w:r>
    </w:p>
    <w:p w:rsidR="0043321E" w:rsidRPr="00E12BDF" w:rsidRDefault="0010344A" w:rsidP="004F6383">
      <w:pPr>
        <w:pStyle w:val="ExecSumBodyText"/>
      </w:pPr>
      <w:r w:rsidRPr="00E12BDF">
        <w:t xml:space="preserve">The submission estimated the distribution of patients across NYHA classes based on baseline </w:t>
      </w:r>
      <w:r w:rsidR="001739E5" w:rsidRPr="00E12BDF">
        <w:t>distribution in</w:t>
      </w:r>
      <w:r w:rsidRPr="00E12BDF">
        <w:t xml:space="preserve"> the ATTR-ACT trial</w:t>
      </w:r>
      <w:r w:rsidR="001739E5" w:rsidRPr="00E12BDF">
        <w:t>, and this was used to inform utility values and costs in the base case (noting that patients remain in the same NYHA class over the duration of the model)</w:t>
      </w:r>
      <w:r w:rsidRPr="00E12BDF">
        <w:t>. It is unclear whether the distribution of NYHA classes from the ATTR-ACT trial will be applicable to the Australian setting</w:t>
      </w:r>
      <w:r w:rsidR="001C1C57" w:rsidRPr="00E12BDF">
        <w:t>, for example</w:t>
      </w:r>
      <w:r w:rsidRPr="00E12BDF">
        <w:t xml:space="preserve"> the distribution is likely to be affected by</w:t>
      </w:r>
      <w:r w:rsidR="001C1C57" w:rsidRPr="00E12BDF">
        <w:t xml:space="preserve"> any changes in practices around testing for ATTR-CM over time</w:t>
      </w:r>
      <w:r w:rsidRPr="00E12BDF">
        <w:t>. The</w:t>
      </w:r>
      <w:r w:rsidR="001739E5" w:rsidRPr="00E12BDF">
        <w:t xml:space="preserve"> evaluation </w:t>
      </w:r>
      <w:r w:rsidRPr="00E12BDF">
        <w:t>conduct</w:t>
      </w:r>
      <w:r w:rsidR="00D9480F" w:rsidRPr="00E12BDF">
        <w:t>ed</w:t>
      </w:r>
      <w:r w:rsidRPr="00E12BDF">
        <w:t xml:space="preserve"> an economic analysis of patients with NYHA Class I/II and Class III disease</w:t>
      </w:r>
      <w:r w:rsidR="00D9480F" w:rsidRPr="00E12BDF">
        <w:t xml:space="preserve"> which </w:t>
      </w:r>
      <w:r w:rsidRPr="00E12BDF">
        <w:t>indicated substantially smaller incremental differences between treatments in patients with NYHA Class III (QALY difference</w:t>
      </w:r>
      <w:r w:rsidR="00D9480F" w:rsidRPr="00E12BDF">
        <w:t xml:space="preserve"> versus best supportive care</w:t>
      </w:r>
      <w:r w:rsidRPr="00E12BDF">
        <w:t>: 0.2098-0.4012) compared to Class I/II disease (QALY difference</w:t>
      </w:r>
      <w:r w:rsidR="00D9480F" w:rsidRPr="00E12BDF">
        <w:t xml:space="preserve"> versus best supportive care</w:t>
      </w:r>
      <w:r w:rsidRPr="00E12BDF">
        <w:t>: 3.5465).</w:t>
      </w:r>
      <w:r w:rsidR="001739E5" w:rsidRPr="00E12BDF">
        <w:t xml:space="preserve"> </w:t>
      </w:r>
      <w:r w:rsidR="00D9480F" w:rsidRPr="00E12BDF">
        <w:t>These analyses were derived from Kaplan-Meier estimates of survival in each of the subgroups and therefore reflect the baseline risk estimates and observed treatment effects in each of the populations (and also include the changes in costs and utilities</w:t>
      </w:r>
      <w:r w:rsidR="006B3392" w:rsidRPr="00E12BDF">
        <w:t>)</w:t>
      </w:r>
      <w:r w:rsidR="00D9480F" w:rsidRPr="00E12BDF">
        <w:t xml:space="preserve">. The PSCR considered there were errors in the analysis conducted by the evaluators and that the difference between NYHA Class I/II and Class III in incremental QALYs gained was much smaller. However, the ESC noted that the approach used in the PSCR only changed baseline NYHA class for the purpose of calculating </w:t>
      </w:r>
      <w:r w:rsidR="00205864" w:rsidRPr="00E12BDF">
        <w:t>utilities</w:t>
      </w:r>
      <w:r w:rsidR="00332D05" w:rsidRPr="00E12BDF">
        <w:t xml:space="preserve"> </w:t>
      </w:r>
      <w:r w:rsidR="00205864" w:rsidRPr="00E12BDF">
        <w:t xml:space="preserve">and </w:t>
      </w:r>
      <w:r w:rsidR="00D9480F" w:rsidRPr="00E12BDF">
        <w:t xml:space="preserve">hospitalisation </w:t>
      </w:r>
      <w:r w:rsidR="006B3392" w:rsidRPr="00E12BDF">
        <w:t xml:space="preserve">and </w:t>
      </w:r>
      <w:r w:rsidR="00D9480F" w:rsidRPr="00E12BDF">
        <w:t>disease management costs</w:t>
      </w:r>
      <w:r w:rsidR="006B3392" w:rsidRPr="00E12BDF">
        <w:t>,</w:t>
      </w:r>
      <w:r w:rsidR="00D9480F" w:rsidRPr="00E12BDF">
        <w:t xml:space="preserve"> but assumed that survival was unchanged from the overall population (no difference in baseline risk or treatment effect)</w:t>
      </w:r>
      <w:r w:rsidR="00E12BDF">
        <w:t xml:space="preserve">. </w:t>
      </w:r>
      <w:r w:rsidR="00D9480F" w:rsidRPr="00E12BDF">
        <w:t xml:space="preserve"> </w:t>
      </w:r>
    </w:p>
    <w:p w:rsidR="00F40032" w:rsidRPr="00E12BDF" w:rsidRDefault="0043321E" w:rsidP="0043321E">
      <w:pPr>
        <w:pStyle w:val="ExecSumBodyText"/>
      </w:pPr>
      <w:r w:rsidRPr="00E12BDF">
        <w:t xml:space="preserve">The submission nominated a 20 year time horizon on the basis that this was appropriate to capture the majority of costs and benefits in an older population with ATTR-CM. A 20-year time horizon may be not be appropriate given that </w:t>
      </w:r>
      <w:r w:rsidR="009250E8" w:rsidRPr="00E12BDF">
        <w:t xml:space="preserve">the </w:t>
      </w:r>
      <w:r w:rsidRPr="00E12BDF">
        <w:t xml:space="preserve">target population represents an older age group who are likely to have multiple co-morbidities (mean baseline age in the ATTR-ACT trial was approximately 74 years). </w:t>
      </w:r>
    </w:p>
    <w:p w:rsidR="00FF07CF" w:rsidRPr="00E12BDF" w:rsidRDefault="00FF07CF" w:rsidP="00FF07CF">
      <w:pPr>
        <w:pStyle w:val="ExecSumBodyText"/>
        <w:numPr>
          <w:ilvl w:val="1"/>
          <w:numId w:val="1"/>
        </w:numPr>
      </w:pPr>
      <w:r w:rsidRPr="00E12BDF">
        <w:t>Key drivers of the economic model are summarised in the table below.</w:t>
      </w:r>
      <w:r w:rsidR="006B3392" w:rsidRPr="00E12BDF">
        <w:t xml:space="preserve"> The first three rows are structural issues</w:t>
      </w:r>
      <w:r w:rsidR="000E37C9" w:rsidRPr="00E12BDF">
        <w:t>.</w:t>
      </w:r>
      <w:r w:rsidR="006B3392" w:rsidRPr="00E12BDF">
        <w:t xml:space="preserve"> </w:t>
      </w:r>
    </w:p>
    <w:p w:rsidR="00FF07CF" w:rsidRPr="00E12BDF" w:rsidRDefault="00FF07CF" w:rsidP="00FF07CF">
      <w:pPr>
        <w:pStyle w:val="TableFigureCaption"/>
        <w:widowControl w:val="0"/>
      </w:pPr>
      <w:r w:rsidRPr="00E12BDF">
        <w:lastRenderedPageBreak/>
        <w:t>Table</w:t>
      </w:r>
      <w:r w:rsidR="00171B52" w:rsidRPr="00E12BDF">
        <w:t xml:space="preserve"> 1</w:t>
      </w:r>
      <w:r w:rsidR="00BE12C4" w:rsidRPr="00E12BDF">
        <w:t>3</w:t>
      </w:r>
      <w:r w:rsidRPr="00E12BD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6379"/>
        <w:gridCol w:w="1367"/>
      </w:tblGrid>
      <w:tr w:rsidR="00FF07CF" w:rsidRPr="00E12BDF" w:rsidTr="00A653EA">
        <w:trPr>
          <w:cantSplit/>
          <w:tblHeader/>
        </w:trPr>
        <w:tc>
          <w:tcPr>
            <w:tcW w:w="705" w:type="pct"/>
            <w:shd w:val="clear" w:color="auto" w:fill="auto"/>
            <w:vAlign w:val="center"/>
          </w:tcPr>
          <w:p w:rsidR="00FF07CF" w:rsidRPr="00E12BDF" w:rsidRDefault="00FF07CF" w:rsidP="00FF07CF">
            <w:pPr>
              <w:pStyle w:val="Tableheadingrow"/>
              <w:widowControl w:val="0"/>
              <w:jc w:val="center"/>
              <w:rPr>
                <w:lang w:val="en-AU"/>
              </w:rPr>
            </w:pPr>
            <w:r w:rsidRPr="00E12BDF">
              <w:rPr>
                <w:lang w:val="en-AU"/>
              </w:rPr>
              <w:t>Description</w:t>
            </w:r>
          </w:p>
        </w:tc>
        <w:tc>
          <w:tcPr>
            <w:tcW w:w="3537" w:type="pct"/>
            <w:shd w:val="clear" w:color="auto" w:fill="auto"/>
            <w:vAlign w:val="center"/>
          </w:tcPr>
          <w:p w:rsidR="00FF07CF" w:rsidRPr="00E12BDF" w:rsidRDefault="00FF07CF" w:rsidP="00FF07CF">
            <w:pPr>
              <w:pStyle w:val="Tableheadingrow"/>
              <w:widowControl w:val="0"/>
              <w:jc w:val="center"/>
              <w:rPr>
                <w:lang w:val="en-AU"/>
              </w:rPr>
            </w:pPr>
            <w:r w:rsidRPr="00E12BDF">
              <w:rPr>
                <w:lang w:val="en-AU"/>
              </w:rPr>
              <w:t>Method/Value</w:t>
            </w:r>
          </w:p>
        </w:tc>
        <w:tc>
          <w:tcPr>
            <w:tcW w:w="758" w:type="pct"/>
            <w:shd w:val="clear" w:color="auto" w:fill="auto"/>
            <w:vAlign w:val="center"/>
          </w:tcPr>
          <w:p w:rsidR="00FF07CF" w:rsidRPr="00E12BDF" w:rsidRDefault="00FF07CF" w:rsidP="00FF07CF">
            <w:pPr>
              <w:pStyle w:val="Tableheadingrow"/>
              <w:widowControl w:val="0"/>
              <w:jc w:val="center"/>
              <w:rPr>
                <w:lang w:val="en-AU"/>
              </w:rPr>
            </w:pPr>
            <w:r w:rsidRPr="00E12BDF">
              <w:rPr>
                <w:lang w:val="en-AU"/>
              </w:rPr>
              <w:t>Impact</w:t>
            </w:r>
          </w:p>
          <w:p w:rsidR="00BC79F1" w:rsidRPr="00E12BDF" w:rsidRDefault="00BC79F1" w:rsidP="00FF07CF">
            <w:pPr>
              <w:pStyle w:val="Tableheadingrow"/>
              <w:widowControl w:val="0"/>
              <w:jc w:val="center"/>
              <w:rPr>
                <w:lang w:val="en-AU"/>
              </w:rPr>
            </w:pPr>
            <w:r w:rsidRPr="00E12BDF">
              <w:rPr>
                <w:lang w:val="en-AU"/>
              </w:rPr>
              <w:t xml:space="preserve">Base case ICER: </w:t>
            </w:r>
          </w:p>
          <w:p w:rsidR="00BC79F1" w:rsidRPr="00E12BDF" w:rsidRDefault="00BC79F1" w:rsidP="0070208F">
            <w:pPr>
              <w:pStyle w:val="Tableheadingrow"/>
              <w:widowControl w:val="0"/>
              <w:jc w:val="center"/>
              <w:rPr>
                <w:lang w:val="en-AU"/>
              </w:rPr>
            </w:pPr>
            <w:r w:rsidRPr="00E12BDF">
              <w:rPr>
                <w:lang w:val="en-AU"/>
              </w:rPr>
              <w:t>$</w:t>
            </w:r>
            <w:r w:rsidR="0070208F">
              <w:rPr>
                <w:lang w:val="en-AU"/>
              </w:rPr>
              <w:t>more than $200,000</w:t>
            </w:r>
            <w:r w:rsidRPr="00E12BDF">
              <w:rPr>
                <w:lang w:val="en-AU"/>
              </w:rPr>
              <w:t>/QALY</w:t>
            </w:r>
          </w:p>
        </w:tc>
      </w:tr>
      <w:tr w:rsidR="00150C1D" w:rsidRPr="00E12BDF" w:rsidTr="00A653EA">
        <w:trPr>
          <w:cantSplit/>
        </w:trPr>
        <w:tc>
          <w:tcPr>
            <w:tcW w:w="705" w:type="pct"/>
            <w:shd w:val="clear" w:color="auto" w:fill="auto"/>
            <w:vAlign w:val="center"/>
          </w:tcPr>
          <w:p w:rsidR="00150C1D" w:rsidRPr="00E12BDF" w:rsidRDefault="00150C1D" w:rsidP="00FF07CF">
            <w:pPr>
              <w:pStyle w:val="TableText"/>
              <w:keepNext w:val="0"/>
              <w:widowControl w:val="0"/>
              <w:jc w:val="center"/>
            </w:pPr>
            <w:r w:rsidRPr="00E12BDF">
              <w:t>Disease progression</w:t>
            </w:r>
          </w:p>
        </w:tc>
        <w:tc>
          <w:tcPr>
            <w:tcW w:w="3537" w:type="pct"/>
            <w:shd w:val="clear" w:color="auto" w:fill="auto"/>
            <w:vAlign w:val="center"/>
          </w:tcPr>
          <w:p w:rsidR="00A61CBF" w:rsidRPr="00E12BDF" w:rsidRDefault="00A61CBF" w:rsidP="00A61CBF">
            <w:pPr>
              <w:pStyle w:val="TableText"/>
              <w:keepNext w:val="0"/>
              <w:widowControl w:val="0"/>
            </w:pPr>
            <w:r w:rsidRPr="00E12BDF">
              <w:t xml:space="preserve">The submission assumed that patients remain in the same NYHA class over the duration of the model. The subgroup analyses conducted during the evaluation were also based on the same assumption due to the structural limitations of the model. However, this assumption was not consistent with either the clinical trial data </w:t>
            </w:r>
            <w:r w:rsidR="0005388B" w:rsidRPr="00E12BDF">
              <w:t>n</w:t>
            </w:r>
            <w:r w:rsidRPr="00E12BDF">
              <w:t>or the natural history of heart failure (which is a generally a progressive condition).</w:t>
            </w:r>
          </w:p>
          <w:p w:rsidR="00A61CBF" w:rsidRPr="00E12BDF" w:rsidRDefault="00A61CBF" w:rsidP="00A61CBF">
            <w:pPr>
              <w:pStyle w:val="TableText"/>
              <w:keepNext w:val="0"/>
              <w:widowControl w:val="0"/>
            </w:pPr>
          </w:p>
          <w:p w:rsidR="00A61CBF" w:rsidRPr="00E12BDF" w:rsidRDefault="00A61CBF" w:rsidP="00A61CBF">
            <w:pPr>
              <w:pStyle w:val="TableText"/>
              <w:widowControl w:val="0"/>
            </w:pPr>
            <w:r w:rsidRPr="00E12BDF">
              <w:t xml:space="preserve">If there are differences in disease progression, the </w:t>
            </w:r>
            <w:r w:rsidR="007035FA" w:rsidRPr="00E12BDF">
              <w:t xml:space="preserve">overall direction of bias </w:t>
            </w:r>
            <w:r w:rsidR="00DB7B44" w:rsidRPr="00E12BDF">
              <w:t>was</w:t>
            </w:r>
            <w:r w:rsidR="007035FA" w:rsidRPr="00E12BDF">
              <w:t xml:space="preserve"> unclear as the </w:t>
            </w:r>
            <w:r w:rsidRPr="00E12BDF">
              <w:t xml:space="preserve">current model structure </w:t>
            </w:r>
            <w:r w:rsidR="007035FA" w:rsidRPr="00E12BDF">
              <w:t xml:space="preserve">would </w:t>
            </w:r>
            <w:r w:rsidRPr="00E12BDF">
              <w:t>favour:</w:t>
            </w:r>
          </w:p>
          <w:p w:rsidR="00E55B6D" w:rsidRPr="00E12BDF" w:rsidRDefault="00E55B6D" w:rsidP="007C76DF">
            <w:pPr>
              <w:pStyle w:val="TableText"/>
              <w:widowControl w:val="0"/>
              <w:numPr>
                <w:ilvl w:val="0"/>
                <w:numId w:val="18"/>
              </w:numPr>
              <w:ind w:left="391" w:hanging="283"/>
            </w:pPr>
            <w:r w:rsidRPr="00E12BDF">
              <w:t xml:space="preserve">tafamidis by not representing </w:t>
            </w:r>
            <w:r w:rsidR="007035FA" w:rsidRPr="00E12BDF">
              <w:t xml:space="preserve">the </w:t>
            </w:r>
            <w:r w:rsidRPr="00E12BDF">
              <w:t>reduced utilities and increased treatment costs associated with progression during the additional survival period predicted for tafamidis</w:t>
            </w:r>
            <w:r w:rsidR="007035FA" w:rsidRPr="00E12BDF">
              <w:t>.</w:t>
            </w:r>
          </w:p>
          <w:p w:rsidR="00D1151F" w:rsidRPr="00E12BDF" w:rsidRDefault="00E55B6D" w:rsidP="007C76DF">
            <w:pPr>
              <w:pStyle w:val="TableText"/>
              <w:widowControl w:val="0"/>
              <w:numPr>
                <w:ilvl w:val="0"/>
                <w:numId w:val="18"/>
              </w:numPr>
              <w:ind w:left="391" w:hanging="283"/>
            </w:pPr>
            <w:r w:rsidRPr="00E12BDF">
              <w:t>b</w:t>
            </w:r>
            <w:r w:rsidR="00CA57A1" w:rsidRPr="00E12BDF">
              <w:t>est supportive care</w:t>
            </w:r>
            <w:r w:rsidR="00A61CBF" w:rsidRPr="00E12BDF">
              <w:t xml:space="preserve"> by not representing potentially reduced disease progression in </w:t>
            </w:r>
            <w:r w:rsidR="007035FA" w:rsidRPr="00E12BDF">
              <w:t xml:space="preserve">the </w:t>
            </w:r>
            <w:r w:rsidR="00CA57A1" w:rsidRPr="00E12BDF">
              <w:t>t</w:t>
            </w:r>
            <w:r w:rsidR="00A61CBF" w:rsidRPr="00E12BDF">
              <w:t>afamidis arm</w:t>
            </w:r>
            <w:r w:rsidR="007035FA" w:rsidRPr="00E12BDF">
              <w:t>.</w:t>
            </w:r>
          </w:p>
          <w:p w:rsidR="00E55B6D" w:rsidRPr="00E12BDF" w:rsidRDefault="00E55B6D" w:rsidP="00E55B6D">
            <w:pPr>
              <w:pStyle w:val="TableText"/>
              <w:widowControl w:val="0"/>
              <w:ind w:left="391"/>
            </w:pPr>
          </w:p>
          <w:p w:rsidR="00C669A0" w:rsidRPr="00E12BDF" w:rsidDel="00BC79F1" w:rsidRDefault="00C669A0" w:rsidP="00A61CBF">
            <w:pPr>
              <w:pStyle w:val="TableText"/>
              <w:keepNext w:val="0"/>
              <w:widowControl w:val="0"/>
            </w:pPr>
            <w:r w:rsidRPr="00E12BDF">
              <w:t>The ESC considered that it was not possible to reliably test the impact of this within the current structure of the model, but noted that sensitivity analyses conducted by the evaluators indicated that as the proportion of patients with NYHA Class III increases, the ICER increases substantially</w:t>
            </w:r>
            <w:r w:rsidR="0084157B" w:rsidRPr="00E12BDF">
              <w:t xml:space="preserve"> (albeit these </w:t>
            </w:r>
            <w:r w:rsidR="00205864" w:rsidRPr="00E12BDF">
              <w:t>sensitivity analyses assume that NYHA class remains constant over time)</w:t>
            </w:r>
            <w:r w:rsidRPr="00E12BDF">
              <w:t xml:space="preserve">. </w:t>
            </w:r>
          </w:p>
        </w:tc>
        <w:tc>
          <w:tcPr>
            <w:tcW w:w="758" w:type="pct"/>
            <w:shd w:val="clear" w:color="auto" w:fill="auto"/>
            <w:vAlign w:val="center"/>
          </w:tcPr>
          <w:p w:rsidR="00150C1D" w:rsidRPr="00E12BDF" w:rsidRDefault="00E55B6D" w:rsidP="00E55B6D">
            <w:pPr>
              <w:pStyle w:val="TableText"/>
              <w:keepNext w:val="0"/>
              <w:widowControl w:val="0"/>
              <w:jc w:val="center"/>
            </w:pPr>
            <w:r w:rsidRPr="00E12BDF">
              <w:t>H</w:t>
            </w:r>
            <w:r w:rsidR="00150C1D" w:rsidRPr="00E12BDF">
              <w:t xml:space="preserve">igh, </w:t>
            </w:r>
            <w:r w:rsidR="00D1151F" w:rsidRPr="00E12BDF">
              <w:t>direction unclear</w:t>
            </w:r>
          </w:p>
        </w:tc>
      </w:tr>
      <w:tr w:rsidR="00BC79F1" w:rsidRPr="00E12BDF" w:rsidTr="00A653EA">
        <w:trPr>
          <w:cantSplit/>
        </w:trPr>
        <w:tc>
          <w:tcPr>
            <w:tcW w:w="705" w:type="pct"/>
            <w:shd w:val="clear" w:color="auto" w:fill="auto"/>
            <w:vAlign w:val="center"/>
          </w:tcPr>
          <w:p w:rsidR="00BC79F1" w:rsidRPr="00E12BDF" w:rsidDel="00BC79F1" w:rsidRDefault="00BC79F1" w:rsidP="00FF07CF">
            <w:pPr>
              <w:pStyle w:val="TableText"/>
              <w:keepNext w:val="0"/>
              <w:widowControl w:val="0"/>
              <w:jc w:val="center"/>
            </w:pPr>
            <w:r w:rsidRPr="00E12BDF">
              <w:t>Cardiovascular hospitalisations</w:t>
            </w:r>
          </w:p>
        </w:tc>
        <w:tc>
          <w:tcPr>
            <w:tcW w:w="3537" w:type="pct"/>
            <w:shd w:val="clear" w:color="auto" w:fill="auto"/>
            <w:vAlign w:val="center"/>
          </w:tcPr>
          <w:p w:rsidR="00BC79F1" w:rsidRPr="00E12BDF" w:rsidDel="00BC79F1" w:rsidRDefault="00BC79F1" w:rsidP="00081030">
            <w:pPr>
              <w:pStyle w:val="TableText"/>
              <w:keepNext w:val="0"/>
              <w:widowControl w:val="0"/>
            </w:pPr>
            <w:r w:rsidRPr="00E12BDF">
              <w:t xml:space="preserve">The implicit assumption that all cardiovascular hospitalisations were non-fatal was inappropriate as </w:t>
            </w:r>
            <w:r w:rsidR="00315AE1" w:rsidRPr="00E12BDF">
              <w:t>the cardiovascular hospitalisation rates reported in the ATTR-ACT trial included fatal and non-fatal events.</w:t>
            </w:r>
            <w:r w:rsidR="007543AD" w:rsidRPr="00E12BDF">
              <w:t xml:space="preserve"> A constant probability of hospitalisation was applied over the duration of the model, which was inappropriate as cardiovascular hospitalisations would generally be expected to increase with age.</w:t>
            </w:r>
          </w:p>
        </w:tc>
        <w:tc>
          <w:tcPr>
            <w:tcW w:w="758" w:type="pct"/>
            <w:shd w:val="clear" w:color="auto" w:fill="auto"/>
            <w:vAlign w:val="center"/>
          </w:tcPr>
          <w:p w:rsidR="00BC79F1" w:rsidRPr="00E12BDF" w:rsidRDefault="00BC79F1" w:rsidP="00BC79F1">
            <w:pPr>
              <w:pStyle w:val="TableText"/>
              <w:widowControl w:val="0"/>
              <w:jc w:val="center"/>
            </w:pPr>
            <w:r w:rsidRPr="00E12BDF">
              <w:t xml:space="preserve">Moderate/High, </w:t>
            </w:r>
          </w:p>
          <w:p w:rsidR="00BC79F1" w:rsidRPr="00E12BDF" w:rsidDel="00BC79F1" w:rsidRDefault="00BC79F1" w:rsidP="00BC79F1">
            <w:pPr>
              <w:pStyle w:val="TableText"/>
              <w:keepNext w:val="0"/>
              <w:widowControl w:val="0"/>
              <w:jc w:val="center"/>
            </w:pPr>
            <w:r w:rsidRPr="00E12BDF">
              <w:t xml:space="preserve">favours </w:t>
            </w:r>
            <w:r w:rsidR="00A313CB" w:rsidRPr="00E12BDF">
              <w:t>t</w:t>
            </w:r>
            <w:r w:rsidRPr="00E12BDF">
              <w:t>afamidis</w:t>
            </w:r>
          </w:p>
        </w:tc>
      </w:tr>
      <w:tr w:rsidR="00B93046" w:rsidRPr="00E12BDF" w:rsidTr="00A653EA">
        <w:trPr>
          <w:cantSplit/>
        </w:trPr>
        <w:tc>
          <w:tcPr>
            <w:tcW w:w="705" w:type="pct"/>
            <w:shd w:val="clear" w:color="auto" w:fill="auto"/>
            <w:vAlign w:val="center"/>
          </w:tcPr>
          <w:p w:rsidR="00B93046" w:rsidRPr="00E12BDF" w:rsidRDefault="00B93046" w:rsidP="00FF07CF">
            <w:pPr>
              <w:pStyle w:val="TableText"/>
              <w:keepNext w:val="0"/>
              <w:widowControl w:val="0"/>
              <w:jc w:val="center"/>
            </w:pPr>
            <w:r w:rsidRPr="00E12BDF">
              <w:t>Treatment effects</w:t>
            </w:r>
            <w:r w:rsidR="00C669A0" w:rsidRPr="00E12BDF">
              <w:t xml:space="preserve"> and discontinuations</w:t>
            </w:r>
          </w:p>
        </w:tc>
        <w:tc>
          <w:tcPr>
            <w:tcW w:w="3537" w:type="pct"/>
            <w:shd w:val="clear" w:color="auto" w:fill="auto"/>
            <w:vAlign w:val="center"/>
          </w:tcPr>
          <w:p w:rsidR="00B93046" w:rsidRPr="00E12BDF" w:rsidRDefault="00B93046" w:rsidP="00A313CB">
            <w:pPr>
              <w:pStyle w:val="TableText"/>
              <w:keepNext w:val="0"/>
              <w:widowControl w:val="0"/>
            </w:pPr>
            <w:r w:rsidRPr="00E12BDF">
              <w:t>The implicit assumption that the estimated treatment effect is maintained following treatment discontinuation was inappropriate. Increasing proportions of modelled patients discontinue over time, with the majority of patients having discontinued therapy by 11 years</w:t>
            </w:r>
            <w:r w:rsidR="006B3392" w:rsidRPr="00E12BDF">
              <w:t>, and spend longer durations without therapy (where they are not accruing drug costs but are deriving treatment benefit).</w:t>
            </w:r>
            <w:r w:rsidR="00A313CB" w:rsidRPr="00E12BDF">
              <w:t xml:space="preserve"> A sensitivity analysis was conducted which assumed no discontinuations over the course of the model. While this is a blunt approach, it indicates the sensitivity of the model to this assumption. (A more robust sensitivity analysis would be to apply the HR to the best supportive care arm for the proportion remaining on treatment, however this was not possible within the structure of the model.) </w:t>
            </w:r>
          </w:p>
        </w:tc>
        <w:tc>
          <w:tcPr>
            <w:tcW w:w="758" w:type="pct"/>
            <w:shd w:val="clear" w:color="auto" w:fill="auto"/>
            <w:vAlign w:val="center"/>
          </w:tcPr>
          <w:p w:rsidR="00C669A0" w:rsidRPr="00E12BDF" w:rsidRDefault="00B93046" w:rsidP="00BC79F1">
            <w:pPr>
              <w:pStyle w:val="TableText"/>
              <w:widowControl w:val="0"/>
              <w:jc w:val="center"/>
            </w:pPr>
            <w:r w:rsidRPr="00E12BDF">
              <w:t xml:space="preserve">High, favours </w:t>
            </w:r>
            <w:r w:rsidR="00150C1D" w:rsidRPr="00E12BDF">
              <w:t>t</w:t>
            </w:r>
            <w:r w:rsidRPr="00E12BDF">
              <w:t>afamidis</w:t>
            </w:r>
            <w:r w:rsidR="00C669A0" w:rsidRPr="00E12BDF">
              <w:t xml:space="preserve"> </w:t>
            </w:r>
          </w:p>
          <w:p w:rsidR="004850DE" w:rsidRPr="00E12BDF" w:rsidRDefault="00C669A0" w:rsidP="00BC79F1">
            <w:pPr>
              <w:pStyle w:val="TableText"/>
              <w:widowControl w:val="0"/>
              <w:jc w:val="center"/>
            </w:pPr>
            <w:r w:rsidRPr="00E12BDF">
              <w:t xml:space="preserve">ICER = </w:t>
            </w:r>
            <w:r w:rsidR="00672BFC">
              <w:t>more than $200,000</w:t>
            </w:r>
            <w:r w:rsidRPr="00E12BDF">
              <w:t>/QALY</w:t>
            </w:r>
          </w:p>
          <w:p w:rsidR="00B93046" w:rsidRPr="00E12BDF" w:rsidRDefault="00C669A0" w:rsidP="00BC79F1">
            <w:pPr>
              <w:pStyle w:val="TableText"/>
              <w:widowControl w:val="0"/>
              <w:jc w:val="center"/>
            </w:pPr>
            <w:r w:rsidRPr="00E12BDF">
              <w:t xml:space="preserve"> if no discontinuations over the course of the model</w:t>
            </w:r>
          </w:p>
        </w:tc>
      </w:tr>
      <w:tr w:rsidR="00FF07CF" w:rsidRPr="00E12BDF" w:rsidTr="00A653EA">
        <w:trPr>
          <w:cantSplit/>
        </w:trPr>
        <w:tc>
          <w:tcPr>
            <w:tcW w:w="705" w:type="pct"/>
            <w:shd w:val="clear" w:color="auto" w:fill="auto"/>
            <w:vAlign w:val="center"/>
          </w:tcPr>
          <w:p w:rsidR="00FF07CF" w:rsidRPr="00E12BDF" w:rsidRDefault="00FF07CF" w:rsidP="00FF07CF">
            <w:pPr>
              <w:pStyle w:val="TableText"/>
              <w:keepNext w:val="0"/>
              <w:widowControl w:val="0"/>
              <w:jc w:val="center"/>
            </w:pPr>
            <w:r w:rsidRPr="00E12BDF">
              <w:t>Patient population</w:t>
            </w:r>
          </w:p>
        </w:tc>
        <w:tc>
          <w:tcPr>
            <w:tcW w:w="3537" w:type="pct"/>
            <w:shd w:val="clear" w:color="auto" w:fill="auto"/>
            <w:vAlign w:val="center"/>
          </w:tcPr>
          <w:p w:rsidR="00FF07CF" w:rsidRPr="00E12BDF" w:rsidRDefault="0010344A" w:rsidP="0010344A">
            <w:pPr>
              <w:pStyle w:val="TableText"/>
              <w:keepNext w:val="0"/>
              <w:widowControl w:val="0"/>
            </w:pPr>
            <w:r w:rsidRPr="00E12BDF">
              <w:t>The modelled population excludes NYHA Class IV patients (based on ATTR-ACT trial population) and</w:t>
            </w:r>
            <w:r w:rsidR="00B074C0" w:rsidRPr="00E12BDF">
              <w:t>, based on an analysis conducted during evaluation,</w:t>
            </w:r>
            <w:r w:rsidRPr="00E12BDF">
              <w:t xml:space="preserve"> the model outputs indicate substantially smaller incremental QALY gains for patients with NYHA Class III (QALY difference: 0.2098-0.4012) compared to Class I/II disease (QALY difference: 3.5465). </w:t>
            </w:r>
          </w:p>
          <w:p w:rsidR="00490D61" w:rsidRPr="00E12BDF" w:rsidRDefault="00490D61" w:rsidP="0010344A">
            <w:pPr>
              <w:pStyle w:val="TableText"/>
              <w:keepNext w:val="0"/>
              <w:widowControl w:val="0"/>
            </w:pPr>
          </w:p>
          <w:p w:rsidR="00490D61" w:rsidRPr="00E12BDF" w:rsidRDefault="00490D61" w:rsidP="00B074C0">
            <w:pPr>
              <w:pStyle w:val="TableText"/>
              <w:widowControl w:val="0"/>
              <w:rPr>
                <w:i/>
              </w:rPr>
            </w:pPr>
            <w:r w:rsidRPr="00E12BDF">
              <w:t>The PSCR report</w:t>
            </w:r>
            <w:r w:rsidR="008C02AB" w:rsidRPr="00E12BDF">
              <w:t>ed smaller but still significant differences in</w:t>
            </w:r>
            <w:r w:rsidRPr="00E12BDF">
              <w:t xml:space="preserve"> analyses </w:t>
            </w:r>
            <w:r w:rsidR="008C02AB" w:rsidRPr="00E12BDF">
              <w:t xml:space="preserve">by NYHA Class, </w:t>
            </w:r>
            <w:r w:rsidRPr="00E12BDF">
              <w:t xml:space="preserve">based on </w:t>
            </w:r>
            <w:r w:rsidR="00B074C0" w:rsidRPr="00E12BDF">
              <w:t>a different method (which changed baseline NYHA class for the purpose of calculating utilities, hospitalisation and disease management costs; while the evaluation method also assumed changes in treatment effect and baseline risk between NYHA classes). The ESC considered that t</w:t>
            </w:r>
            <w:r w:rsidR="00B610D2" w:rsidRPr="00E12BDF">
              <w:t xml:space="preserve">he methods for these analyses </w:t>
            </w:r>
            <w:r w:rsidRPr="00E12BDF">
              <w:t xml:space="preserve">would need to </w:t>
            </w:r>
            <w:r w:rsidR="00B610D2" w:rsidRPr="00E12BDF">
              <w:t xml:space="preserve">be </w:t>
            </w:r>
            <w:r w:rsidRPr="00E12BDF">
              <w:t>review</w:t>
            </w:r>
            <w:r w:rsidR="00B610D2" w:rsidRPr="00E12BDF">
              <w:t>ed</w:t>
            </w:r>
            <w:r w:rsidR="008C02AB" w:rsidRPr="00E12BDF">
              <w:t xml:space="preserve">, </w:t>
            </w:r>
            <w:r w:rsidR="00AE279B" w:rsidRPr="00E12BDF">
              <w:t>e.g. for choice of extrapolation curves.</w:t>
            </w:r>
          </w:p>
        </w:tc>
        <w:tc>
          <w:tcPr>
            <w:tcW w:w="758" w:type="pct"/>
            <w:shd w:val="clear" w:color="auto" w:fill="auto"/>
            <w:vAlign w:val="center"/>
          </w:tcPr>
          <w:p w:rsidR="00FF07CF" w:rsidRPr="00E12BDF" w:rsidRDefault="0010344A" w:rsidP="00FF07CF">
            <w:pPr>
              <w:pStyle w:val="TableText"/>
              <w:keepNext w:val="0"/>
              <w:widowControl w:val="0"/>
              <w:jc w:val="center"/>
            </w:pPr>
            <w:r w:rsidRPr="00E12BDF">
              <w:t>Moderate/</w:t>
            </w:r>
            <w:r w:rsidR="00FF07CF" w:rsidRPr="00E12BDF">
              <w:t>High,</w:t>
            </w:r>
          </w:p>
          <w:p w:rsidR="00FF07CF" w:rsidRPr="00E12BDF" w:rsidRDefault="00FF07CF" w:rsidP="00FF07CF">
            <w:pPr>
              <w:pStyle w:val="TableText"/>
              <w:keepNext w:val="0"/>
              <w:widowControl w:val="0"/>
              <w:jc w:val="center"/>
              <w:rPr>
                <w:i/>
              </w:rPr>
            </w:pPr>
            <w:r w:rsidRPr="00E12BDF">
              <w:t>favours tafamidis</w:t>
            </w:r>
          </w:p>
        </w:tc>
      </w:tr>
      <w:tr w:rsidR="00FF07CF" w:rsidRPr="00E12BDF" w:rsidTr="00A653EA">
        <w:trPr>
          <w:cantSplit/>
          <w:trHeight w:val="72"/>
        </w:trPr>
        <w:tc>
          <w:tcPr>
            <w:tcW w:w="705" w:type="pct"/>
            <w:shd w:val="clear" w:color="auto" w:fill="auto"/>
            <w:vAlign w:val="center"/>
          </w:tcPr>
          <w:p w:rsidR="00FF07CF" w:rsidRPr="00E12BDF" w:rsidRDefault="00FF07CF" w:rsidP="00FF07CF">
            <w:pPr>
              <w:pStyle w:val="TableText"/>
              <w:keepNext w:val="0"/>
              <w:widowControl w:val="0"/>
              <w:jc w:val="center"/>
            </w:pPr>
            <w:r w:rsidRPr="00E12BDF">
              <w:lastRenderedPageBreak/>
              <w:t>Survival extrapolation</w:t>
            </w:r>
          </w:p>
        </w:tc>
        <w:tc>
          <w:tcPr>
            <w:tcW w:w="3537" w:type="pct"/>
            <w:shd w:val="clear" w:color="auto" w:fill="auto"/>
            <w:vAlign w:val="center"/>
          </w:tcPr>
          <w:p w:rsidR="00FF07CF" w:rsidRPr="00E12BDF" w:rsidRDefault="00FF07CF" w:rsidP="00FF07CF">
            <w:pPr>
              <w:pStyle w:val="TableText"/>
              <w:keepNext w:val="0"/>
              <w:widowControl w:val="0"/>
            </w:pPr>
            <w:r w:rsidRPr="00E12BDF">
              <w:t>The Weibull, Gompertz and gamma functions provided very similar goodness-of-fit estimates but led to divergent extrapolated estimates.</w:t>
            </w:r>
          </w:p>
          <w:p w:rsidR="00F52B0E" w:rsidRPr="00E12BDF" w:rsidRDefault="00315AE1" w:rsidP="00B339E9">
            <w:pPr>
              <w:pStyle w:val="TableText"/>
              <w:keepNext w:val="0"/>
              <w:widowControl w:val="0"/>
            </w:pPr>
            <w:r w:rsidRPr="00E12BDF">
              <w:t>Different parametric functions were used in the tafamidis and best supportive care ar</w:t>
            </w:r>
            <w:r w:rsidR="00C669A0" w:rsidRPr="00E12BDF">
              <w:t>ms</w:t>
            </w:r>
            <w:r w:rsidRPr="00E12BDF">
              <w:t>.</w:t>
            </w:r>
            <w:r w:rsidR="00B778B9" w:rsidRPr="00E12BDF">
              <w:t xml:space="preserve"> </w:t>
            </w:r>
            <w:r w:rsidR="00B339E9" w:rsidRPr="00E12BDF">
              <w:t xml:space="preserve">The ESC considered that it would be </w:t>
            </w:r>
            <w:r w:rsidR="005E1925" w:rsidRPr="00E12BDF">
              <w:t xml:space="preserve">reasonable to use the same functions for the different treatment arms, </w:t>
            </w:r>
            <w:r w:rsidR="00B339E9" w:rsidRPr="00E12BDF">
              <w:t>and that</w:t>
            </w:r>
            <w:r w:rsidR="005E1925" w:rsidRPr="00E12BDF">
              <w:t xml:space="preserve"> the gamma distribution </w:t>
            </w:r>
            <w:r w:rsidR="00B339E9" w:rsidRPr="00E12BDF">
              <w:t>may be</w:t>
            </w:r>
            <w:r w:rsidR="005E1925" w:rsidRPr="00E12BDF">
              <w:t xml:space="preserve"> the most appropriate</w:t>
            </w:r>
            <w:r w:rsidR="00B339E9" w:rsidRPr="00E12BDF">
              <w:t xml:space="preserve"> function to use in both arms</w:t>
            </w:r>
            <w:r w:rsidR="005E1925" w:rsidRPr="00E12BDF">
              <w:t xml:space="preserve">. </w:t>
            </w:r>
          </w:p>
        </w:tc>
        <w:tc>
          <w:tcPr>
            <w:tcW w:w="758" w:type="pct"/>
            <w:shd w:val="clear" w:color="auto" w:fill="auto"/>
            <w:vAlign w:val="center"/>
          </w:tcPr>
          <w:p w:rsidR="00FF07CF" w:rsidRPr="00E12BDF" w:rsidRDefault="00FF07CF" w:rsidP="00FF07CF">
            <w:pPr>
              <w:pStyle w:val="TableText"/>
              <w:keepNext w:val="0"/>
              <w:widowControl w:val="0"/>
              <w:jc w:val="center"/>
            </w:pPr>
            <w:r w:rsidRPr="00E12BDF">
              <w:t>High,</w:t>
            </w:r>
          </w:p>
          <w:p w:rsidR="00FF07CF" w:rsidRPr="00E12BDF" w:rsidRDefault="00FF07CF" w:rsidP="00FF07CF">
            <w:pPr>
              <w:pStyle w:val="TableText"/>
              <w:keepNext w:val="0"/>
              <w:widowControl w:val="0"/>
              <w:jc w:val="center"/>
            </w:pPr>
            <w:r w:rsidRPr="00E12BDF">
              <w:t>favours tafamidis</w:t>
            </w:r>
          </w:p>
          <w:p w:rsidR="001F268C" w:rsidRPr="00E12BDF" w:rsidRDefault="00BC79F1" w:rsidP="005B6F6C">
            <w:pPr>
              <w:pStyle w:val="TableText"/>
              <w:keepNext w:val="0"/>
              <w:widowControl w:val="0"/>
              <w:jc w:val="center"/>
              <w:rPr>
                <w:i/>
              </w:rPr>
            </w:pPr>
            <w:r w:rsidRPr="00E12BDF">
              <w:t xml:space="preserve">ICER = </w:t>
            </w:r>
            <w:r w:rsidR="005B6F6C">
              <w:t>more than $200,000</w:t>
            </w:r>
            <w:r w:rsidRPr="00E12BDF">
              <w:t xml:space="preserve">/QALY if use </w:t>
            </w:r>
            <w:r w:rsidR="000F2126" w:rsidRPr="00E12BDF">
              <w:t>g</w:t>
            </w:r>
            <w:r w:rsidR="00C94E36" w:rsidRPr="00E12BDF">
              <w:t>amma</w:t>
            </w:r>
            <w:r w:rsidR="001F3E42" w:rsidRPr="00E12BDF">
              <w:t xml:space="preserve"> in both arms</w:t>
            </w:r>
          </w:p>
        </w:tc>
      </w:tr>
    </w:tbl>
    <w:p w:rsidR="00F40032" w:rsidRPr="00E12BDF" w:rsidRDefault="00FF07CF" w:rsidP="000D5C4B">
      <w:pPr>
        <w:pStyle w:val="TableFigureFooter"/>
        <w:keepNext/>
        <w:widowControl w:val="0"/>
        <w:spacing w:after="240"/>
      </w:pPr>
      <w:r w:rsidRPr="00E12BDF">
        <w:rPr>
          <w:szCs w:val="18"/>
        </w:rPr>
        <w:t>Source: Constructed during the evaluation</w:t>
      </w:r>
    </w:p>
    <w:p w:rsidR="00DE11D4" w:rsidRPr="00E12BDF" w:rsidRDefault="00DE11D4" w:rsidP="00051A10">
      <w:pPr>
        <w:pStyle w:val="ExecSumBodyText"/>
        <w:keepLines/>
        <w:numPr>
          <w:ilvl w:val="1"/>
          <w:numId w:val="1"/>
        </w:numPr>
      </w:pPr>
      <w:r w:rsidRPr="00E12BDF">
        <w:t>The proportion of patients alive and dead in each treatment arm over the duration of the model is presented below.</w:t>
      </w:r>
    </w:p>
    <w:p w:rsidR="00DE11D4" w:rsidRPr="00E12BDF" w:rsidRDefault="00DE11D4" w:rsidP="00051A10">
      <w:pPr>
        <w:pStyle w:val="TableHeading"/>
        <w:keepLines/>
        <w:rPr>
          <w:color w:val="3366FF"/>
        </w:rPr>
      </w:pPr>
      <w:r w:rsidRPr="00E12BDF">
        <w:t xml:space="preserve">Figure </w:t>
      </w:r>
      <w:r w:rsidR="005F0688" w:rsidRPr="00E12BDF">
        <w:t>6</w:t>
      </w:r>
      <w:r w:rsidRPr="00E12BDF">
        <w:t>: Markov trace of the proportion of patients in each health state over time</w:t>
      </w:r>
    </w:p>
    <w:p w:rsidR="00DE11D4" w:rsidRPr="00E12BDF" w:rsidRDefault="00DE11D4" w:rsidP="00051A10">
      <w:pPr>
        <w:pStyle w:val="TableFootnotetext"/>
        <w:keepLines/>
      </w:pPr>
      <w:r w:rsidRPr="00E12BDF">
        <w:rPr>
          <w:noProof/>
          <w:lang w:eastAsia="en-AU"/>
        </w:rPr>
        <w:drawing>
          <wp:inline distT="0" distB="0" distL="0" distR="0" wp14:anchorId="1F4E23DF" wp14:editId="13C2ECB8">
            <wp:extent cx="5731510" cy="3745230"/>
            <wp:effectExtent l="0" t="0" r="2540" b="76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11D4" w:rsidRPr="00E12BDF" w:rsidRDefault="00DE11D4" w:rsidP="00051A10">
      <w:pPr>
        <w:pStyle w:val="TableFootnotetext"/>
        <w:keepLines/>
      </w:pPr>
      <w:r w:rsidRPr="00E12BDF">
        <w:t>Source: Constructed during the evaluation using ‘Tafamidis economic model final’ Excel spreadsheet provided with the submission</w:t>
      </w:r>
    </w:p>
    <w:p w:rsidR="00DE11D4" w:rsidRPr="00E12BDF" w:rsidRDefault="00DE11D4" w:rsidP="00051A10">
      <w:pPr>
        <w:pStyle w:val="TableFootnotetext"/>
        <w:keepLines/>
      </w:pPr>
      <w:r w:rsidRPr="00E12BDF">
        <w:t>Abbreviations: BSC, best supportive care</w:t>
      </w:r>
    </w:p>
    <w:p w:rsidR="009E3892" w:rsidRPr="00E12BDF" w:rsidRDefault="00DE11D4" w:rsidP="009E3892">
      <w:pPr>
        <w:pStyle w:val="ExecSumBodyText"/>
        <w:numPr>
          <w:ilvl w:val="1"/>
          <w:numId w:val="1"/>
        </w:numPr>
      </w:pPr>
      <w:r w:rsidRPr="00E12BDF">
        <w:t>The trace indicates rapid separation in survival between treatment arms with a median survival of approximately 2.5-3 years in the best supportive care arm and 5.0-5.5 years in the tafamidis arm.</w:t>
      </w:r>
      <w:r w:rsidR="00917F74" w:rsidRPr="00E12BDF">
        <w:t xml:space="preserve"> </w:t>
      </w:r>
      <w:r w:rsidRPr="00E12BDF">
        <w:t>The model predicts all best supportive care patients will be dead within 7 years while the tafamidis treatment arm continues to have a long survival tail with 3.8% of patients alive at 20 years.</w:t>
      </w:r>
    </w:p>
    <w:p w:rsidR="00FF07CF" w:rsidRPr="00E12BDF" w:rsidRDefault="00FF07CF" w:rsidP="0079246C">
      <w:pPr>
        <w:pStyle w:val="ExecSumBodyText"/>
        <w:keepNext/>
        <w:numPr>
          <w:ilvl w:val="1"/>
          <w:numId w:val="1"/>
        </w:numPr>
      </w:pPr>
      <w:r w:rsidRPr="00E12BDF">
        <w:lastRenderedPageBreak/>
        <w:t>The results of the modelled economic evaluation are summarised below</w:t>
      </w:r>
    </w:p>
    <w:p w:rsidR="00FF07CF" w:rsidRPr="00E12BDF" w:rsidRDefault="00FF07CF" w:rsidP="0079246C">
      <w:pPr>
        <w:pStyle w:val="Tableheadingrow"/>
        <w:rPr>
          <w:rStyle w:val="CommentReference"/>
          <w:b w:val="0"/>
          <w:sz w:val="20"/>
          <w:lang w:val="en-AU"/>
        </w:rPr>
      </w:pPr>
      <w:r w:rsidRPr="00E12BDF">
        <w:rPr>
          <w:rStyle w:val="CommentReference"/>
          <w:sz w:val="20"/>
          <w:lang w:val="en-AU"/>
        </w:rPr>
        <w:t xml:space="preserve">Table </w:t>
      </w:r>
      <w:r w:rsidR="00171B52" w:rsidRPr="00E12BDF">
        <w:rPr>
          <w:rStyle w:val="CommentReference"/>
          <w:sz w:val="20"/>
          <w:lang w:val="en-AU"/>
        </w:rPr>
        <w:t>1</w:t>
      </w:r>
      <w:r w:rsidR="00BE12C4" w:rsidRPr="00E12BDF">
        <w:rPr>
          <w:rStyle w:val="CommentReference"/>
          <w:sz w:val="20"/>
          <w:lang w:val="en-AU"/>
        </w:rPr>
        <w:t>4</w:t>
      </w:r>
      <w:r w:rsidRPr="00E12BDF">
        <w:rPr>
          <w:rStyle w:val="CommentReference"/>
          <w:sz w:val="20"/>
          <w:lang w:val="en-AU"/>
        </w:rPr>
        <w:t xml:space="preserve">: Results of the economic evaluation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9"/>
        <w:gridCol w:w="2260"/>
        <w:gridCol w:w="2260"/>
        <w:gridCol w:w="2260"/>
      </w:tblGrid>
      <w:tr w:rsidR="00FF07CF" w:rsidRPr="00E12BDF" w:rsidTr="00FF07CF">
        <w:trPr>
          <w:tblHeader/>
        </w:trPr>
        <w:tc>
          <w:tcPr>
            <w:tcW w:w="1250" w:type="pct"/>
            <w:vAlign w:val="center"/>
          </w:tcPr>
          <w:p w:rsidR="00FF07CF" w:rsidRPr="00E12BDF" w:rsidRDefault="00FF07CF" w:rsidP="0079246C">
            <w:pPr>
              <w:pStyle w:val="Tabletext1"/>
              <w:keepNext/>
              <w:rPr>
                <w:b/>
                <w:szCs w:val="20"/>
              </w:rPr>
            </w:pPr>
            <w:r w:rsidRPr="00E12BDF">
              <w:rPr>
                <w:b/>
                <w:szCs w:val="20"/>
              </w:rPr>
              <w:t>Component</w:t>
            </w:r>
          </w:p>
        </w:tc>
        <w:tc>
          <w:tcPr>
            <w:tcW w:w="1250" w:type="pct"/>
            <w:tcBorders>
              <w:bottom w:val="single" w:sz="4" w:space="0" w:color="auto"/>
            </w:tcBorders>
            <w:vAlign w:val="center"/>
          </w:tcPr>
          <w:p w:rsidR="00FF07CF" w:rsidRPr="00E12BDF" w:rsidRDefault="00FF07CF" w:rsidP="0079246C">
            <w:pPr>
              <w:pStyle w:val="Tabletext1"/>
              <w:keepNext/>
              <w:jc w:val="center"/>
              <w:rPr>
                <w:b/>
                <w:szCs w:val="20"/>
              </w:rPr>
            </w:pPr>
            <w:r w:rsidRPr="00E12BDF">
              <w:rPr>
                <w:b/>
                <w:szCs w:val="20"/>
              </w:rPr>
              <w:t>Tafamidis</w:t>
            </w:r>
          </w:p>
        </w:tc>
        <w:tc>
          <w:tcPr>
            <w:tcW w:w="1250" w:type="pct"/>
            <w:tcBorders>
              <w:bottom w:val="single" w:sz="4" w:space="0" w:color="auto"/>
            </w:tcBorders>
            <w:vAlign w:val="center"/>
          </w:tcPr>
          <w:p w:rsidR="00FF07CF" w:rsidRPr="00E12BDF" w:rsidRDefault="00FF07CF" w:rsidP="0079246C">
            <w:pPr>
              <w:pStyle w:val="Tabletext1"/>
              <w:keepNext/>
              <w:jc w:val="center"/>
              <w:rPr>
                <w:b/>
                <w:szCs w:val="20"/>
              </w:rPr>
            </w:pPr>
            <w:r w:rsidRPr="00E12BDF">
              <w:rPr>
                <w:b/>
                <w:szCs w:val="20"/>
              </w:rPr>
              <w:t>Best supportive care</w:t>
            </w:r>
          </w:p>
        </w:tc>
        <w:tc>
          <w:tcPr>
            <w:tcW w:w="1250" w:type="pct"/>
            <w:tcBorders>
              <w:bottom w:val="single" w:sz="4" w:space="0" w:color="auto"/>
            </w:tcBorders>
            <w:vAlign w:val="center"/>
          </w:tcPr>
          <w:p w:rsidR="00FF07CF" w:rsidRPr="00E12BDF" w:rsidRDefault="00FF07CF" w:rsidP="0079246C">
            <w:pPr>
              <w:pStyle w:val="Tabletext1"/>
              <w:keepNext/>
              <w:jc w:val="center"/>
              <w:rPr>
                <w:b/>
                <w:szCs w:val="20"/>
              </w:rPr>
            </w:pPr>
            <w:r w:rsidRPr="00E12BDF">
              <w:rPr>
                <w:b/>
                <w:szCs w:val="20"/>
              </w:rPr>
              <w:t>Increment</w:t>
            </w:r>
          </w:p>
        </w:tc>
      </w:tr>
      <w:tr w:rsidR="00FF07CF" w:rsidRPr="00E12BDF" w:rsidTr="00FF07CF">
        <w:tc>
          <w:tcPr>
            <w:tcW w:w="1250" w:type="pct"/>
            <w:vAlign w:val="center"/>
          </w:tcPr>
          <w:p w:rsidR="00FF07CF" w:rsidRPr="00E12BDF" w:rsidRDefault="00FF07CF" w:rsidP="0079246C">
            <w:pPr>
              <w:pStyle w:val="Tabletext1"/>
              <w:keepNext/>
              <w:rPr>
                <w:szCs w:val="20"/>
              </w:rPr>
            </w:pPr>
            <w:r w:rsidRPr="00E12BDF">
              <w:rPr>
                <w:szCs w:val="20"/>
              </w:rPr>
              <w:t>Costs</w:t>
            </w:r>
            <w:r w:rsidRPr="00E12BDF">
              <w:rPr>
                <w:szCs w:val="20"/>
                <w:vertAlign w:val="superscript"/>
              </w:rPr>
              <w:t>a</w:t>
            </w:r>
          </w:p>
        </w:tc>
        <w:tc>
          <w:tcPr>
            <w:tcW w:w="1250" w:type="pct"/>
            <w:tcBorders>
              <w:top w:val="single" w:sz="4" w:space="0" w:color="auto"/>
              <w:left w:val="single" w:sz="4" w:space="0" w:color="D9D9D9"/>
              <w:bottom w:val="single" w:sz="4" w:space="0" w:color="auto"/>
              <w:right w:val="single" w:sz="4" w:space="0" w:color="auto"/>
            </w:tcBorders>
            <w:shd w:val="clear" w:color="000000" w:fill="FFFFFF"/>
          </w:tcPr>
          <w:p w:rsidR="00FF07CF" w:rsidRPr="00E12BDF" w:rsidRDefault="00FF07CF" w:rsidP="0079246C">
            <w:pPr>
              <w:pStyle w:val="Tabletext1"/>
              <w:keepNext/>
              <w:jc w:val="center"/>
            </w:pPr>
            <w:r w:rsidRPr="00E12BDF">
              <w:t>$</w:t>
            </w:r>
            <w:r w:rsidR="005F357F">
              <w:rPr>
                <w:noProof/>
                <w:color w:val="000000"/>
                <w:highlight w:val="black"/>
              </w:rPr>
              <w:t>''''''''''''''''''''''</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FF07CF" w:rsidRPr="00E12BDF" w:rsidRDefault="00FF07CF" w:rsidP="0079246C">
            <w:pPr>
              <w:pStyle w:val="Tabletext1"/>
              <w:keepNext/>
              <w:jc w:val="center"/>
            </w:pPr>
            <w:r w:rsidRPr="00E12BDF">
              <w:t>$</w:t>
            </w:r>
            <w:r w:rsidR="005F357F">
              <w:rPr>
                <w:noProof/>
                <w:color w:val="000000"/>
                <w:highlight w:val="black"/>
              </w:rPr>
              <w:t>'''''''''''''''</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FF07CF" w:rsidRPr="00E12BDF" w:rsidRDefault="00FF07CF" w:rsidP="0079246C">
            <w:pPr>
              <w:pStyle w:val="Tabletext1"/>
              <w:keepNext/>
              <w:jc w:val="center"/>
            </w:pPr>
            <w:r w:rsidRPr="00E12BDF">
              <w:t>$</w:t>
            </w:r>
            <w:r w:rsidR="005F357F">
              <w:rPr>
                <w:noProof/>
                <w:color w:val="000000"/>
                <w:highlight w:val="black"/>
              </w:rPr>
              <w:t>''''''''''''''''''</w:t>
            </w:r>
          </w:p>
        </w:tc>
      </w:tr>
      <w:tr w:rsidR="00FF07CF" w:rsidRPr="00E12BDF" w:rsidTr="00FF07CF">
        <w:tc>
          <w:tcPr>
            <w:tcW w:w="1250" w:type="pct"/>
            <w:vAlign w:val="center"/>
          </w:tcPr>
          <w:p w:rsidR="00FF07CF" w:rsidRPr="00E12BDF" w:rsidRDefault="00FF07CF" w:rsidP="0079246C">
            <w:pPr>
              <w:pStyle w:val="Tabletext1"/>
              <w:keepNext/>
              <w:rPr>
                <w:szCs w:val="20"/>
              </w:rPr>
            </w:pPr>
            <w:r w:rsidRPr="00E12BDF">
              <w:rPr>
                <w:szCs w:val="20"/>
              </w:rPr>
              <w:t>LYs</w:t>
            </w:r>
          </w:p>
        </w:tc>
        <w:tc>
          <w:tcPr>
            <w:tcW w:w="1250" w:type="pct"/>
            <w:tcBorders>
              <w:top w:val="single" w:sz="4" w:space="0" w:color="auto"/>
              <w:left w:val="single" w:sz="4" w:space="0" w:color="D9D9D9"/>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pPr>
            <w:r w:rsidRPr="00E12BDF">
              <w:t>5.1789</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pPr>
            <w:r w:rsidRPr="00E12BDF">
              <w:t>2.5702</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pPr>
            <w:r w:rsidRPr="00E12BDF">
              <w:t>2.6087</w:t>
            </w:r>
          </w:p>
        </w:tc>
      </w:tr>
      <w:tr w:rsidR="00FF07CF" w:rsidRPr="00E12BDF" w:rsidTr="00FF07CF">
        <w:tc>
          <w:tcPr>
            <w:tcW w:w="3750" w:type="pct"/>
            <w:gridSpan w:val="3"/>
            <w:tcBorders>
              <w:right w:val="single" w:sz="4" w:space="0" w:color="auto"/>
            </w:tcBorders>
            <w:vAlign w:val="center"/>
          </w:tcPr>
          <w:p w:rsidR="00FF07CF" w:rsidRPr="00E12BDF" w:rsidRDefault="00FF07CF" w:rsidP="0079246C">
            <w:pPr>
              <w:pStyle w:val="Tabletext1"/>
              <w:keepNext/>
            </w:pPr>
            <w:r w:rsidRPr="00E12BDF">
              <w:rPr>
                <w:b/>
                <w:szCs w:val="20"/>
              </w:rPr>
              <w:t>Incremental cost per LY gained</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FF07CF" w:rsidRPr="00E12BDF" w:rsidRDefault="00FF07CF" w:rsidP="0079246C">
            <w:pPr>
              <w:pStyle w:val="Tabletext1"/>
              <w:keepNext/>
              <w:jc w:val="center"/>
              <w:rPr>
                <w:b/>
              </w:rPr>
            </w:pPr>
            <w:r w:rsidRPr="00E12BDF">
              <w:rPr>
                <w:b/>
              </w:rPr>
              <w:t>$</w:t>
            </w:r>
            <w:r w:rsidR="005F357F">
              <w:rPr>
                <w:b/>
                <w:noProof/>
                <w:color w:val="000000"/>
                <w:highlight w:val="black"/>
              </w:rPr>
              <w:t>''''''''''''''''''</w:t>
            </w:r>
          </w:p>
        </w:tc>
      </w:tr>
      <w:tr w:rsidR="00FF07CF" w:rsidRPr="00E12BDF" w:rsidTr="00FF07CF">
        <w:tc>
          <w:tcPr>
            <w:tcW w:w="1250" w:type="pct"/>
            <w:vAlign w:val="center"/>
          </w:tcPr>
          <w:p w:rsidR="00FF07CF" w:rsidRPr="00E12BDF" w:rsidRDefault="00FF07CF" w:rsidP="0079246C">
            <w:pPr>
              <w:pStyle w:val="Tabletext1"/>
              <w:keepNext/>
              <w:rPr>
                <w:szCs w:val="20"/>
                <w:vertAlign w:val="superscript"/>
              </w:rPr>
            </w:pPr>
            <w:r w:rsidRPr="00E12BDF">
              <w:rPr>
                <w:szCs w:val="20"/>
              </w:rPr>
              <w:t>Costs</w:t>
            </w:r>
            <w:r w:rsidRPr="00E12BDF">
              <w:rPr>
                <w:szCs w:val="20"/>
                <w:vertAlign w:val="superscript"/>
              </w:rPr>
              <w:t>a</w:t>
            </w:r>
          </w:p>
        </w:tc>
        <w:tc>
          <w:tcPr>
            <w:tcW w:w="1250" w:type="pct"/>
            <w:tcBorders>
              <w:top w:val="single" w:sz="4" w:space="0" w:color="auto"/>
              <w:left w:val="single" w:sz="4" w:space="0" w:color="D9D9D9"/>
              <w:bottom w:val="single" w:sz="4" w:space="0" w:color="auto"/>
              <w:right w:val="single" w:sz="4" w:space="0" w:color="auto"/>
            </w:tcBorders>
            <w:shd w:val="clear" w:color="000000" w:fill="FFFFFF"/>
          </w:tcPr>
          <w:p w:rsidR="00FF07CF" w:rsidRPr="00E12BDF" w:rsidRDefault="00FF07CF" w:rsidP="0079246C">
            <w:pPr>
              <w:pStyle w:val="Tabletext1"/>
              <w:keepNext/>
              <w:jc w:val="center"/>
              <w:rPr>
                <w:szCs w:val="20"/>
              </w:rPr>
            </w:pPr>
            <w:r w:rsidRPr="00E12BDF">
              <w:t>$</w:t>
            </w:r>
            <w:r w:rsidR="005F357F">
              <w:rPr>
                <w:noProof/>
                <w:color w:val="000000"/>
                <w:highlight w:val="black"/>
              </w:rPr>
              <w:t>'''''''''''''''''''''</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FF07CF" w:rsidRPr="00E12BDF" w:rsidRDefault="00FF07CF" w:rsidP="0079246C">
            <w:pPr>
              <w:pStyle w:val="Tabletext1"/>
              <w:keepNext/>
              <w:jc w:val="center"/>
              <w:rPr>
                <w:szCs w:val="20"/>
              </w:rPr>
            </w:pPr>
            <w:r w:rsidRPr="00E12BDF">
              <w:t>$</w:t>
            </w:r>
            <w:r w:rsidR="005F357F">
              <w:rPr>
                <w:noProof/>
                <w:color w:val="000000"/>
                <w:highlight w:val="black"/>
              </w:rPr>
              <w:t>'''''''''''''''''</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FF07CF" w:rsidRPr="00E12BDF" w:rsidRDefault="00FF07CF" w:rsidP="0079246C">
            <w:pPr>
              <w:pStyle w:val="Tabletext1"/>
              <w:keepNext/>
              <w:jc w:val="center"/>
              <w:rPr>
                <w:szCs w:val="20"/>
              </w:rPr>
            </w:pPr>
            <w:r w:rsidRPr="00E12BDF">
              <w:t>$</w:t>
            </w:r>
            <w:r w:rsidR="005F357F">
              <w:rPr>
                <w:noProof/>
                <w:color w:val="000000"/>
                <w:highlight w:val="black"/>
              </w:rPr>
              <w:t>'''''''''''''''''''</w:t>
            </w:r>
          </w:p>
        </w:tc>
      </w:tr>
      <w:tr w:rsidR="00FF07CF" w:rsidRPr="00E12BDF" w:rsidTr="00FF07CF">
        <w:tc>
          <w:tcPr>
            <w:tcW w:w="1250" w:type="pct"/>
            <w:vAlign w:val="center"/>
          </w:tcPr>
          <w:p w:rsidR="00FF07CF" w:rsidRPr="00E12BDF" w:rsidRDefault="00FF07CF" w:rsidP="0079246C">
            <w:pPr>
              <w:pStyle w:val="Tabletext1"/>
              <w:keepNext/>
              <w:rPr>
                <w:szCs w:val="20"/>
              </w:rPr>
            </w:pPr>
            <w:r w:rsidRPr="00E12BDF">
              <w:rPr>
                <w:szCs w:val="20"/>
              </w:rPr>
              <w:t>QALYs</w:t>
            </w:r>
          </w:p>
        </w:tc>
        <w:tc>
          <w:tcPr>
            <w:tcW w:w="1250" w:type="pct"/>
            <w:tcBorders>
              <w:top w:val="single" w:sz="4" w:space="0" w:color="auto"/>
              <w:left w:val="single" w:sz="4" w:space="0" w:color="D9D9D9"/>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rPr>
                <w:szCs w:val="20"/>
              </w:rPr>
            </w:pPr>
            <w:r w:rsidRPr="00E12BDF">
              <w:t>3.7951</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rPr>
                <w:szCs w:val="20"/>
              </w:rPr>
            </w:pPr>
            <w:r w:rsidRPr="00E12BDF">
              <w:t>1.8267</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rsidR="00FF07CF" w:rsidRPr="00E12BDF" w:rsidRDefault="00FF07CF" w:rsidP="0079246C">
            <w:pPr>
              <w:pStyle w:val="Tabletext1"/>
              <w:keepNext/>
              <w:jc w:val="center"/>
              <w:rPr>
                <w:szCs w:val="20"/>
              </w:rPr>
            </w:pPr>
            <w:r w:rsidRPr="00E12BDF">
              <w:t>1.9684</w:t>
            </w:r>
          </w:p>
        </w:tc>
      </w:tr>
      <w:tr w:rsidR="00FF07CF" w:rsidRPr="00E12BDF" w:rsidTr="00FF07CF">
        <w:tc>
          <w:tcPr>
            <w:tcW w:w="3750" w:type="pct"/>
            <w:gridSpan w:val="3"/>
            <w:vAlign w:val="center"/>
          </w:tcPr>
          <w:p w:rsidR="00FF07CF" w:rsidRPr="00E12BDF" w:rsidRDefault="00FF07CF" w:rsidP="0079246C">
            <w:pPr>
              <w:pStyle w:val="Tabletext1"/>
              <w:keepNext/>
              <w:rPr>
                <w:b/>
                <w:snapToGrid w:val="0"/>
                <w:szCs w:val="20"/>
              </w:rPr>
            </w:pPr>
            <w:r w:rsidRPr="00E12BDF">
              <w:rPr>
                <w:b/>
                <w:szCs w:val="20"/>
              </w:rPr>
              <w:t>Incremental cost per QALY gained</w:t>
            </w:r>
          </w:p>
        </w:tc>
        <w:tc>
          <w:tcPr>
            <w:tcW w:w="1250" w:type="pct"/>
            <w:vAlign w:val="center"/>
          </w:tcPr>
          <w:p w:rsidR="00FF07CF" w:rsidRPr="00E12BDF" w:rsidRDefault="00FF07CF" w:rsidP="0079246C">
            <w:pPr>
              <w:pStyle w:val="Tabletext1"/>
              <w:keepNext/>
              <w:jc w:val="center"/>
              <w:rPr>
                <w:b/>
                <w:szCs w:val="20"/>
              </w:rPr>
            </w:pPr>
            <w:r w:rsidRPr="00E12BDF">
              <w:rPr>
                <w:b/>
                <w:szCs w:val="20"/>
              </w:rPr>
              <w:t>$</w:t>
            </w:r>
            <w:r w:rsidR="005F357F">
              <w:rPr>
                <w:b/>
                <w:noProof/>
                <w:color w:val="000000"/>
                <w:szCs w:val="20"/>
                <w:highlight w:val="black"/>
              </w:rPr>
              <w:t>''''''''''''''''''</w:t>
            </w:r>
          </w:p>
        </w:tc>
      </w:tr>
    </w:tbl>
    <w:p w:rsidR="00FF07CF" w:rsidRPr="00E12BDF" w:rsidRDefault="00FF07CF" w:rsidP="0079246C">
      <w:pPr>
        <w:pStyle w:val="TableFooter"/>
        <w:keepNext/>
      </w:pPr>
      <w:r w:rsidRPr="00E12BDF">
        <w:t>Source: Constructed during the evaluation based on Tafamidis economic model final Excel workbook</w:t>
      </w:r>
    </w:p>
    <w:p w:rsidR="00FF07CF" w:rsidRPr="00E12BDF" w:rsidRDefault="00FF07CF" w:rsidP="000D5C4B">
      <w:pPr>
        <w:pStyle w:val="TableFooter"/>
        <w:keepNext/>
        <w:spacing w:after="240"/>
      </w:pPr>
      <w:r w:rsidRPr="00E12BDF">
        <w:rPr>
          <w:vertAlign w:val="superscript"/>
        </w:rPr>
        <w:t>a</w:t>
      </w:r>
      <w:r w:rsidRPr="00E12BDF">
        <w:t xml:space="preserve"> </w:t>
      </w:r>
      <w:r w:rsidR="00711B5E" w:rsidRPr="00E12BDF">
        <w:t>I</w:t>
      </w:r>
      <w:r w:rsidRPr="00E12BDF">
        <w:t>ncludes correction of annual drug costs from $</w:t>
      </w:r>
      <w:r w:rsidR="005F357F">
        <w:rPr>
          <w:noProof/>
          <w:color w:val="000000"/>
          <w:highlight w:val="black"/>
        </w:rPr>
        <w:t>''''''''''''''''''</w:t>
      </w:r>
      <w:r w:rsidRPr="00E12BDF">
        <w:t xml:space="preserve"> to $</w:t>
      </w:r>
      <w:r w:rsidR="005F357F">
        <w:rPr>
          <w:noProof/>
          <w:color w:val="000000"/>
          <w:highlight w:val="black"/>
        </w:rPr>
        <w:t>'''''''''''''''''''''</w:t>
      </w:r>
      <w:r w:rsidR="000F2126" w:rsidRPr="00E12BDF">
        <w:t>. This was accepted in the PSCR.</w:t>
      </w:r>
    </w:p>
    <w:p w:rsidR="006B5598" w:rsidRPr="006B5598" w:rsidRDefault="006B5598" w:rsidP="006B5598">
      <w:pPr>
        <w:pStyle w:val="ExecSumBodyText"/>
        <w:numPr>
          <w:ilvl w:val="0"/>
          <w:numId w:val="0"/>
        </w:numPr>
        <w:ind w:left="720" w:hanging="720"/>
        <w:rPr>
          <w:i/>
        </w:rPr>
      </w:pPr>
      <w:r>
        <w:rPr>
          <w:i/>
        </w:rPr>
        <w:t>The redacted table shows ICERs in the range of more than $200,000/QALY.</w:t>
      </w:r>
    </w:p>
    <w:p w:rsidR="00FF07CF" w:rsidRPr="00E12BDF" w:rsidRDefault="00FF07CF" w:rsidP="001C2371">
      <w:pPr>
        <w:pStyle w:val="ExecSumBodyText"/>
      </w:pPr>
      <w:r w:rsidRPr="00E12BDF">
        <w:t xml:space="preserve">Based on the economic model, treatment with tafamidis was associated with a cost per QALY gained of </w:t>
      </w:r>
      <w:r w:rsidR="007B4BFB">
        <w:t>more than $200,000/QALY</w:t>
      </w:r>
      <w:r w:rsidRPr="00E12BDF">
        <w:t xml:space="preserve"> compared </w:t>
      </w:r>
      <w:r w:rsidR="00711B5E" w:rsidRPr="00E12BDF">
        <w:t>with</w:t>
      </w:r>
      <w:r w:rsidRPr="00E12BDF">
        <w:t xml:space="preserve"> best supportive care. The </w:t>
      </w:r>
      <w:r w:rsidR="00205864" w:rsidRPr="00E12BDF">
        <w:t xml:space="preserve">ESC considered that this </w:t>
      </w:r>
      <w:r w:rsidRPr="00E12BDF">
        <w:t xml:space="preserve">cost-effectiveness estimate </w:t>
      </w:r>
      <w:r w:rsidR="00205864" w:rsidRPr="00E12BDF">
        <w:t>was un</w:t>
      </w:r>
      <w:r w:rsidRPr="00E12BDF">
        <w:t xml:space="preserve">reliable given </w:t>
      </w:r>
      <w:r w:rsidR="00B778B9" w:rsidRPr="00E12BDF">
        <w:t xml:space="preserve">the </w:t>
      </w:r>
      <w:r w:rsidRPr="00E12BDF">
        <w:t>major structural limitations</w:t>
      </w:r>
      <w:r w:rsidR="00B778B9" w:rsidRPr="00E12BDF">
        <w:t xml:space="preserve"> of the model and the uncertain proportion of patients across NYHA classes</w:t>
      </w:r>
      <w:r w:rsidRPr="00E12BDF">
        <w:t>.</w:t>
      </w:r>
    </w:p>
    <w:p w:rsidR="006122CF" w:rsidRPr="00E12BDF" w:rsidRDefault="006122CF" w:rsidP="006122CF">
      <w:pPr>
        <w:pStyle w:val="ExecSumBodyText"/>
      </w:pPr>
      <w:r w:rsidRPr="00E12BDF">
        <w:t>Table 1</w:t>
      </w:r>
      <w:r w:rsidR="00BE12C4" w:rsidRPr="00E12BDF">
        <w:t>5</w:t>
      </w:r>
      <w:r w:rsidRPr="00E12BDF">
        <w:t xml:space="preserve"> below compares the incremental outcomes of the model over the trial duration (30 months) with the outcomes over the 20 year time horizon.</w:t>
      </w:r>
    </w:p>
    <w:p w:rsidR="006122CF" w:rsidRPr="00E12BDF" w:rsidRDefault="006122CF" w:rsidP="006122CF">
      <w:pPr>
        <w:pStyle w:val="TableHeading"/>
      </w:pPr>
      <w:r w:rsidRPr="00E12BDF">
        <w:t>Table 1</w:t>
      </w:r>
      <w:r w:rsidR="00BE12C4" w:rsidRPr="00E12BDF">
        <w:t>5</w:t>
      </w:r>
      <w:r w:rsidRPr="00E12BDF">
        <w:t>: Comparison on modelled results within trial period and over 30 year time horizon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3"/>
        <w:gridCol w:w="2100"/>
        <w:gridCol w:w="2251"/>
        <w:gridCol w:w="2252"/>
      </w:tblGrid>
      <w:tr w:rsidR="006122CF" w:rsidRPr="00E12BDF" w:rsidTr="00F35D76">
        <w:tc>
          <w:tcPr>
            <w:tcW w:w="2403" w:type="dxa"/>
            <w:tcMar>
              <w:top w:w="0" w:type="dxa"/>
              <w:left w:w="108" w:type="dxa"/>
              <w:bottom w:w="0" w:type="dxa"/>
              <w:right w:w="108" w:type="dxa"/>
            </w:tcMar>
          </w:tcPr>
          <w:p w:rsidR="006122CF" w:rsidRPr="00E12BDF" w:rsidRDefault="006122CF" w:rsidP="005639A8">
            <w:pPr>
              <w:rPr>
                <w:rFonts w:ascii="Arial Narrow" w:hAnsi="Arial Narrow"/>
                <w:sz w:val="20"/>
                <w:szCs w:val="20"/>
              </w:rPr>
            </w:pPr>
          </w:p>
        </w:tc>
        <w:tc>
          <w:tcPr>
            <w:tcW w:w="2100" w:type="dxa"/>
            <w:tcMar>
              <w:top w:w="0" w:type="dxa"/>
              <w:left w:w="108" w:type="dxa"/>
              <w:bottom w:w="0" w:type="dxa"/>
              <w:right w:w="108" w:type="dxa"/>
            </w:tcMar>
            <w:vAlign w:val="center"/>
            <w:hideMark/>
          </w:tcPr>
          <w:p w:rsidR="006122CF" w:rsidRPr="00E12BDF" w:rsidRDefault="006122CF" w:rsidP="005639A8">
            <w:pPr>
              <w:jc w:val="center"/>
              <w:rPr>
                <w:rFonts w:ascii="Arial Narrow" w:hAnsi="Arial Narrow"/>
                <w:b/>
                <w:bCs/>
                <w:sz w:val="20"/>
                <w:szCs w:val="20"/>
              </w:rPr>
            </w:pPr>
            <w:r w:rsidRPr="00E12BDF">
              <w:rPr>
                <w:rFonts w:ascii="Arial Narrow" w:hAnsi="Arial Narrow"/>
                <w:b/>
                <w:bCs/>
                <w:sz w:val="20"/>
                <w:szCs w:val="20"/>
              </w:rPr>
              <w:t>Model results over trial duration (30 months)</w:t>
            </w:r>
          </w:p>
        </w:tc>
        <w:tc>
          <w:tcPr>
            <w:tcW w:w="2251" w:type="dxa"/>
            <w:tcMar>
              <w:top w:w="0" w:type="dxa"/>
              <w:left w:w="108" w:type="dxa"/>
              <w:bottom w:w="0" w:type="dxa"/>
              <w:right w:w="108" w:type="dxa"/>
            </w:tcMar>
            <w:vAlign w:val="center"/>
            <w:hideMark/>
          </w:tcPr>
          <w:p w:rsidR="006122CF" w:rsidRPr="00E12BDF" w:rsidRDefault="006122CF" w:rsidP="005639A8">
            <w:pPr>
              <w:jc w:val="center"/>
              <w:rPr>
                <w:rFonts w:ascii="Arial Narrow" w:hAnsi="Arial Narrow"/>
                <w:b/>
                <w:bCs/>
                <w:sz w:val="20"/>
                <w:szCs w:val="20"/>
              </w:rPr>
            </w:pPr>
            <w:r w:rsidRPr="00E12BDF">
              <w:rPr>
                <w:rFonts w:ascii="Arial Narrow" w:hAnsi="Arial Narrow"/>
                <w:b/>
                <w:bCs/>
                <w:sz w:val="20"/>
                <w:szCs w:val="20"/>
              </w:rPr>
              <w:t>Model results over 20 year time horizon</w:t>
            </w:r>
          </w:p>
        </w:tc>
        <w:tc>
          <w:tcPr>
            <w:tcW w:w="2252" w:type="dxa"/>
            <w:tcMar>
              <w:top w:w="0" w:type="dxa"/>
              <w:left w:w="108" w:type="dxa"/>
              <w:bottom w:w="0" w:type="dxa"/>
              <w:right w:w="108" w:type="dxa"/>
            </w:tcMar>
            <w:vAlign w:val="center"/>
            <w:hideMark/>
          </w:tcPr>
          <w:p w:rsidR="006122CF" w:rsidRPr="00E12BDF" w:rsidRDefault="006122CF" w:rsidP="005639A8">
            <w:pPr>
              <w:jc w:val="center"/>
              <w:rPr>
                <w:rFonts w:ascii="Arial Narrow" w:hAnsi="Arial Narrow"/>
                <w:b/>
                <w:bCs/>
                <w:sz w:val="20"/>
                <w:szCs w:val="20"/>
              </w:rPr>
            </w:pPr>
            <w:r w:rsidRPr="00E12BDF">
              <w:rPr>
                <w:rFonts w:ascii="Arial Narrow" w:hAnsi="Arial Narrow"/>
                <w:b/>
                <w:bCs/>
                <w:sz w:val="20"/>
                <w:szCs w:val="20"/>
              </w:rPr>
              <w:t>Proportion of incremental outcome in extrapolated period</w:t>
            </w:r>
          </w:p>
        </w:tc>
      </w:tr>
      <w:tr w:rsidR="006122CF" w:rsidRPr="00E12BDF" w:rsidTr="00F35D76">
        <w:tc>
          <w:tcPr>
            <w:tcW w:w="2403" w:type="dxa"/>
            <w:tcMar>
              <w:top w:w="0" w:type="dxa"/>
              <w:left w:w="108" w:type="dxa"/>
              <w:bottom w:w="0" w:type="dxa"/>
              <w:right w:w="108" w:type="dxa"/>
            </w:tcMar>
            <w:hideMark/>
          </w:tcPr>
          <w:p w:rsidR="006122CF" w:rsidRPr="00E12BDF" w:rsidRDefault="006122CF" w:rsidP="005639A8">
            <w:pPr>
              <w:rPr>
                <w:rFonts w:ascii="Arial Narrow" w:hAnsi="Arial Narrow"/>
                <w:sz w:val="20"/>
                <w:szCs w:val="20"/>
              </w:rPr>
            </w:pPr>
            <w:r w:rsidRPr="00E12BDF">
              <w:rPr>
                <w:rFonts w:ascii="Arial Narrow" w:hAnsi="Arial Narrow"/>
                <w:sz w:val="20"/>
                <w:szCs w:val="20"/>
              </w:rPr>
              <w:t>Incremental cost</w:t>
            </w:r>
          </w:p>
        </w:tc>
        <w:tc>
          <w:tcPr>
            <w:tcW w:w="2100"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p>
        </w:tc>
        <w:tc>
          <w:tcPr>
            <w:tcW w:w="2251"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p>
        </w:tc>
        <w:tc>
          <w:tcPr>
            <w:tcW w:w="2252"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51.1%</w:t>
            </w:r>
          </w:p>
        </w:tc>
      </w:tr>
      <w:tr w:rsidR="006122CF" w:rsidRPr="00E12BDF" w:rsidTr="00F35D76">
        <w:tc>
          <w:tcPr>
            <w:tcW w:w="2403" w:type="dxa"/>
            <w:tcMar>
              <w:top w:w="0" w:type="dxa"/>
              <w:left w:w="108" w:type="dxa"/>
              <w:bottom w:w="0" w:type="dxa"/>
              <w:right w:w="108" w:type="dxa"/>
            </w:tcMar>
            <w:hideMark/>
          </w:tcPr>
          <w:p w:rsidR="006122CF" w:rsidRPr="00E12BDF" w:rsidRDefault="006122CF" w:rsidP="005639A8">
            <w:pPr>
              <w:rPr>
                <w:rFonts w:ascii="Arial Narrow" w:hAnsi="Arial Narrow"/>
                <w:sz w:val="20"/>
                <w:szCs w:val="20"/>
              </w:rPr>
            </w:pPr>
            <w:r w:rsidRPr="00E12BDF">
              <w:rPr>
                <w:rFonts w:ascii="Arial Narrow" w:hAnsi="Arial Narrow"/>
                <w:sz w:val="20"/>
                <w:szCs w:val="20"/>
              </w:rPr>
              <w:t>Incremental LYs</w:t>
            </w:r>
          </w:p>
        </w:tc>
        <w:tc>
          <w:tcPr>
            <w:tcW w:w="2100"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0.1040</w:t>
            </w:r>
          </w:p>
        </w:tc>
        <w:tc>
          <w:tcPr>
            <w:tcW w:w="2251"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2.6087</w:t>
            </w:r>
          </w:p>
        </w:tc>
        <w:tc>
          <w:tcPr>
            <w:tcW w:w="2252"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96.0%</w:t>
            </w:r>
          </w:p>
        </w:tc>
      </w:tr>
      <w:tr w:rsidR="006122CF" w:rsidRPr="00E12BDF" w:rsidTr="00F35D76">
        <w:tc>
          <w:tcPr>
            <w:tcW w:w="2403" w:type="dxa"/>
            <w:tcMar>
              <w:top w:w="0" w:type="dxa"/>
              <w:left w:w="108" w:type="dxa"/>
              <w:bottom w:w="0" w:type="dxa"/>
              <w:right w:w="108" w:type="dxa"/>
            </w:tcMar>
            <w:hideMark/>
          </w:tcPr>
          <w:p w:rsidR="006122CF" w:rsidRPr="00E12BDF" w:rsidRDefault="006122CF" w:rsidP="005639A8">
            <w:pPr>
              <w:rPr>
                <w:rFonts w:ascii="Arial Narrow" w:hAnsi="Arial Narrow"/>
                <w:sz w:val="20"/>
                <w:szCs w:val="20"/>
              </w:rPr>
            </w:pPr>
            <w:r w:rsidRPr="00E12BDF">
              <w:rPr>
                <w:rFonts w:ascii="Arial Narrow" w:hAnsi="Arial Narrow"/>
                <w:sz w:val="20"/>
                <w:szCs w:val="20"/>
              </w:rPr>
              <w:t>Incremental QALYs</w:t>
            </w:r>
          </w:p>
        </w:tc>
        <w:tc>
          <w:tcPr>
            <w:tcW w:w="2100"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0.1202</w:t>
            </w:r>
          </w:p>
        </w:tc>
        <w:tc>
          <w:tcPr>
            <w:tcW w:w="2251"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1.9684</w:t>
            </w:r>
          </w:p>
        </w:tc>
        <w:tc>
          <w:tcPr>
            <w:tcW w:w="2252"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93.9%</w:t>
            </w:r>
          </w:p>
        </w:tc>
      </w:tr>
      <w:tr w:rsidR="006122CF" w:rsidRPr="00E12BDF" w:rsidTr="00F35D76">
        <w:tc>
          <w:tcPr>
            <w:tcW w:w="2403" w:type="dxa"/>
            <w:tcMar>
              <w:top w:w="0" w:type="dxa"/>
              <w:left w:w="108" w:type="dxa"/>
              <w:bottom w:w="0" w:type="dxa"/>
              <w:right w:w="108" w:type="dxa"/>
            </w:tcMar>
            <w:hideMark/>
          </w:tcPr>
          <w:p w:rsidR="006122CF" w:rsidRPr="00E12BDF" w:rsidRDefault="006122CF" w:rsidP="005639A8">
            <w:pPr>
              <w:rPr>
                <w:rFonts w:ascii="Arial Narrow" w:hAnsi="Arial Narrow"/>
                <w:bCs/>
                <w:sz w:val="20"/>
                <w:szCs w:val="20"/>
              </w:rPr>
            </w:pPr>
            <w:r w:rsidRPr="00E12BDF">
              <w:rPr>
                <w:rFonts w:ascii="Arial Narrow" w:hAnsi="Arial Narrow"/>
                <w:bCs/>
                <w:sz w:val="20"/>
                <w:szCs w:val="20"/>
              </w:rPr>
              <w:t>Incremental cardiovascular hospitalisations per patient</w:t>
            </w:r>
          </w:p>
        </w:tc>
        <w:tc>
          <w:tcPr>
            <w:tcW w:w="2100"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-0.2051</w:t>
            </w:r>
          </w:p>
        </w:tc>
        <w:tc>
          <w:tcPr>
            <w:tcW w:w="2251"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2.0672</w:t>
            </w:r>
          </w:p>
        </w:tc>
        <w:tc>
          <w:tcPr>
            <w:tcW w:w="2252" w:type="dxa"/>
            <w:tcMar>
              <w:top w:w="0" w:type="dxa"/>
              <w:left w:w="108" w:type="dxa"/>
              <w:bottom w:w="0" w:type="dxa"/>
              <w:right w:w="108" w:type="dxa"/>
            </w:tcMar>
            <w:vAlign w:val="center"/>
          </w:tcPr>
          <w:p w:rsidR="006122CF" w:rsidRPr="00E12BDF" w:rsidRDefault="006122CF" w:rsidP="005639A8">
            <w:pPr>
              <w:jc w:val="center"/>
              <w:rPr>
                <w:rFonts w:ascii="Arial Narrow" w:hAnsi="Arial Narrow"/>
                <w:sz w:val="20"/>
                <w:szCs w:val="20"/>
              </w:rPr>
            </w:pPr>
            <w:r w:rsidRPr="00E12BDF">
              <w:rPr>
                <w:rFonts w:ascii="Arial Narrow" w:hAnsi="Arial Narrow"/>
                <w:sz w:val="20"/>
                <w:szCs w:val="20"/>
              </w:rPr>
              <w:t>109.9%</w:t>
            </w:r>
          </w:p>
        </w:tc>
      </w:tr>
    </w:tbl>
    <w:p w:rsidR="006122CF" w:rsidRPr="00E12BDF" w:rsidRDefault="006122CF" w:rsidP="006122CF">
      <w:pPr>
        <w:pStyle w:val="TableFootnotetext"/>
      </w:pPr>
      <w:r w:rsidRPr="00E12BDF">
        <w:t>Source: Constructed during the evaluation using the ‘Tafamidis economic model final’ Excel spreadsheet provided with the submission</w:t>
      </w:r>
    </w:p>
    <w:p w:rsidR="006122CF" w:rsidRPr="00E12BDF" w:rsidRDefault="006122CF" w:rsidP="006122CF">
      <w:pPr>
        <w:pStyle w:val="TableFootnotetext"/>
      </w:pPr>
      <w:r w:rsidRPr="00E12BDF">
        <w:t>Abbreviations: LYs, life years; QALYs, quality adjusted life years</w:t>
      </w:r>
    </w:p>
    <w:p w:rsidR="006122CF" w:rsidRPr="00E12BDF" w:rsidRDefault="006122CF" w:rsidP="006122CF">
      <w:pPr>
        <w:pStyle w:val="ExecSumBodyText"/>
      </w:pPr>
      <w:r w:rsidRPr="00E12BDF">
        <w:t>The majority of the incremental costs occur in the trial period, however the vast majority of incremental life years and QALYs accrue in the extrapolated period. Although best supportive care patients have a higher rate of cardiovascular hospitalisation</w:t>
      </w:r>
      <w:r w:rsidR="00A52987" w:rsidRPr="00E12BDF">
        <w:t xml:space="preserve"> </w:t>
      </w:r>
      <w:r w:rsidR="000F2126" w:rsidRPr="00E12BDF">
        <w:t xml:space="preserve">than tafamidis patients </w:t>
      </w:r>
      <w:r w:rsidR="00A52987" w:rsidRPr="00E12BDF">
        <w:t>in the key trial</w:t>
      </w:r>
      <w:r w:rsidRPr="00E12BDF">
        <w:t>, the model predicted a higher number of cardiovascular hospitalisations in the tafamidis treatment arm</w:t>
      </w:r>
      <w:r w:rsidR="00A52987" w:rsidRPr="00E12BDF">
        <w:t xml:space="preserve"> due to the longer life expectancy with tafamidis treatment</w:t>
      </w:r>
      <w:r w:rsidRPr="00E12BDF">
        <w:t>.</w:t>
      </w:r>
      <w:r w:rsidR="00C94E36" w:rsidRPr="00E12BDF">
        <w:t xml:space="preserve"> </w:t>
      </w:r>
    </w:p>
    <w:p w:rsidR="00FF07CF" w:rsidRPr="00E12BDF" w:rsidRDefault="00FF07CF" w:rsidP="00FF07CF">
      <w:pPr>
        <w:pStyle w:val="ExecSumBodyText"/>
        <w:numPr>
          <w:ilvl w:val="1"/>
          <w:numId w:val="1"/>
        </w:numPr>
      </w:pPr>
      <w:r w:rsidRPr="00E12BDF">
        <w:t>The results of</w:t>
      </w:r>
      <w:r w:rsidR="00877144" w:rsidRPr="00E12BDF">
        <w:t xml:space="preserve"> key</w:t>
      </w:r>
      <w:r w:rsidRPr="00E12BDF">
        <w:t xml:space="preserve"> sensitivity analyses indicated that the model was sensitive to time horizon, survival extrapolations, patient population and treatment persistence.</w:t>
      </w:r>
    </w:p>
    <w:p w:rsidR="00FF07CF" w:rsidRPr="00E12BDF" w:rsidRDefault="00FF07CF" w:rsidP="007035FA">
      <w:pPr>
        <w:pStyle w:val="Tableheadingrow"/>
        <w:keepLines/>
        <w:rPr>
          <w:rStyle w:val="CommentReference"/>
          <w:b w:val="0"/>
          <w:sz w:val="20"/>
          <w:lang w:val="en-AU"/>
        </w:rPr>
      </w:pPr>
      <w:r w:rsidRPr="00E12BDF">
        <w:rPr>
          <w:rStyle w:val="CommentReference"/>
          <w:sz w:val="20"/>
          <w:lang w:val="en-AU"/>
        </w:rPr>
        <w:lastRenderedPageBreak/>
        <w:t xml:space="preserve">Table </w:t>
      </w:r>
      <w:r w:rsidR="006122CF" w:rsidRPr="00E12BDF">
        <w:rPr>
          <w:rStyle w:val="CommentReference"/>
          <w:sz w:val="20"/>
          <w:lang w:val="en-AU"/>
        </w:rPr>
        <w:t>1</w:t>
      </w:r>
      <w:r w:rsidR="00BE12C4" w:rsidRPr="00E12BDF">
        <w:rPr>
          <w:rStyle w:val="CommentReference"/>
          <w:sz w:val="20"/>
          <w:lang w:val="en-AU"/>
        </w:rPr>
        <w:t>6</w:t>
      </w:r>
      <w:r w:rsidRPr="00E12BDF">
        <w:rPr>
          <w:rStyle w:val="CommentReference"/>
          <w:sz w:val="20"/>
          <w:lang w:val="en-AU"/>
        </w:rPr>
        <w:t xml:space="preserve">:  Results of </w:t>
      </w:r>
      <w:r w:rsidR="005501FD" w:rsidRPr="00E12BDF">
        <w:rPr>
          <w:rStyle w:val="CommentReference"/>
          <w:sz w:val="20"/>
          <w:lang w:val="en-AU"/>
        </w:rPr>
        <w:t xml:space="preserve">key </w:t>
      </w:r>
      <w:r w:rsidRPr="00E12BDF">
        <w:rPr>
          <w:rStyle w:val="CommentReference"/>
          <w:sz w:val="20"/>
          <w:lang w:val="en-AU"/>
        </w:rPr>
        <w:t xml:space="preserve">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701"/>
        <w:gridCol w:w="1232"/>
      </w:tblGrid>
      <w:tr w:rsidR="00FF07CF" w:rsidRPr="00E12BDF" w:rsidTr="00FF07CF">
        <w:trPr>
          <w:tblHeader/>
        </w:trPr>
        <w:tc>
          <w:tcPr>
            <w:tcW w:w="4395" w:type="dxa"/>
          </w:tcPr>
          <w:p w:rsidR="00FF07CF" w:rsidRPr="00E12BDF" w:rsidRDefault="00FF07CF" w:rsidP="007035FA">
            <w:pPr>
              <w:pStyle w:val="Tabletext1"/>
              <w:keepNext/>
              <w:keepLines/>
              <w:tabs>
                <w:tab w:val="left" w:pos="142"/>
              </w:tabs>
              <w:rPr>
                <w:b/>
              </w:rPr>
            </w:pPr>
            <w:r w:rsidRPr="00E12BDF">
              <w:rPr>
                <w:b/>
              </w:rPr>
              <w:t>Analyses</w:t>
            </w:r>
          </w:p>
        </w:tc>
        <w:tc>
          <w:tcPr>
            <w:tcW w:w="1701" w:type="dxa"/>
          </w:tcPr>
          <w:p w:rsidR="00FF07CF" w:rsidRPr="00E12BDF" w:rsidRDefault="00FF07CF" w:rsidP="007035FA">
            <w:pPr>
              <w:pStyle w:val="Tabletext1"/>
              <w:keepNext/>
              <w:keepLines/>
              <w:jc w:val="center"/>
              <w:rPr>
                <w:b/>
              </w:rPr>
            </w:pPr>
            <w:r w:rsidRPr="00E12BDF">
              <w:rPr>
                <w:b/>
              </w:rPr>
              <w:t>Incremental cost</w:t>
            </w:r>
          </w:p>
        </w:tc>
        <w:tc>
          <w:tcPr>
            <w:tcW w:w="1701" w:type="dxa"/>
          </w:tcPr>
          <w:p w:rsidR="00FF07CF" w:rsidRPr="00E12BDF" w:rsidRDefault="00FF07CF" w:rsidP="007035FA">
            <w:pPr>
              <w:pStyle w:val="Tabletext1"/>
              <w:keepNext/>
              <w:keepLines/>
              <w:jc w:val="center"/>
              <w:rPr>
                <w:b/>
              </w:rPr>
            </w:pPr>
            <w:r w:rsidRPr="00E12BDF">
              <w:rPr>
                <w:b/>
              </w:rPr>
              <w:t>Incremental QALY</w:t>
            </w:r>
          </w:p>
        </w:tc>
        <w:tc>
          <w:tcPr>
            <w:tcW w:w="1232" w:type="dxa"/>
          </w:tcPr>
          <w:p w:rsidR="00FF07CF" w:rsidRPr="00E12BDF" w:rsidRDefault="00FF07CF" w:rsidP="007035FA">
            <w:pPr>
              <w:pStyle w:val="Tabletext1"/>
              <w:keepNext/>
              <w:keepLines/>
              <w:jc w:val="center"/>
              <w:rPr>
                <w:b/>
              </w:rPr>
            </w:pPr>
            <w:r w:rsidRPr="00E12BDF">
              <w:rPr>
                <w:b/>
              </w:rPr>
              <w:t>ICER</w:t>
            </w:r>
          </w:p>
        </w:tc>
      </w:tr>
      <w:tr w:rsidR="00FF07CF" w:rsidRPr="00E12BDF" w:rsidTr="00FF07CF">
        <w:tc>
          <w:tcPr>
            <w:tcW w:w="4395" w:type="dxa"/>
          </w:tcPr>
          <w:p w:rsidR="00FF07CF" w:rsidRPr="00E12BDF" w:rsidRDefault="00FF07CF" w:rsidP="007035FA">
            <w:pPr>
              <w:pStyle w:val="Tabletext1"/>
              <w:keepNext/>
              <w:keepLines/>
              <w:tabs>
                <w:tab w:val="left" w:pos="142"/>
              </w:tabs>
              <w:rPr>
                <w:b/>
                <w:vertAlign w:val="superscript"/>
              </w:rPr>
            </w:pPr>
            <w:r w:rsidRPr="00E12BDF">
              <w:rPr>
                <w:b/>
              </w:rPr>
              <w:t>Base case</w:t>
            </w:r>
          </w:p>
        </w:tc>
        <w:tc>
          <w:tcPr>
            <w:tcW w:w="1701" w:type="dxa"/>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Pr>
          <w:p w:rsidR="00FF07CF" w:rsidRPr="00E12BDF" w:rsidRDefault="00FF07CF" w:rsidP="007035FA">
            <w:pPr>
              <w:pStyle w:val="Tabletext1"/>
              <w:keepNext/>
              <w:keepLines/>
              <w:jc w:val="center"/>
            </w:pPr>
            <w:r w:rsidRPr="00E12BDF">
              <w:t>1.9684</w:t>
            </w:r>
          </w:p>
        </w:tc>
        <w:tc>
          <w:tcPr>
            <w:tcW w:w="1232" w:type="dxa"/>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9029" w:type="dxa"/>
            <w:gridSpan w:val="4"/>
            <w:tcBorders>
              <w:right w:val="single" w:sz="4" w:space="0" w:color="auto"/>
            </w:tcBorders>
          </w:tcPr>
          <w:p w:rsidR="00FF07CF" w:rsidRPr="00E12BDF" w:rsidRDefault="00FF07CF" w:rsidP="007035FA">
            <w:pPr>
              <w:pStyle w:val="Tabletext1"/>
              <w:keepNext/>
              <w:keepLines/>
            </w:pPr>
            <w:r w:rsidRPr="00E12BDF">
              <w:rPr>
                <w:b/>
              </w:rPr>
              <w:t>Time horizon (base case: 20 years)</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rPr>
                <w:szCs w:val="20"/>
              </w:rPr>
              <w:t xml:space="preserve">10 years </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1.5689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rPr>
                <w:szCs w:val="20"/>
              </w:rPr>
              <w:t>15 years</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1.8706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9029" w:type="dxa"/>
            <w:gridSpan w:val="4"/>
            <w:tcBorders>
              <w:right w:val="single" w:sz="4" w:space="0" w:color="auto"/>
            </w:tcBorders>
          </w:tcPr>
          <w:p w:rsidR="00FF07CF" w:rsidRPr="00E12BDF" w:rsidRDefault="00FF07CF" w:rsidP="007035FA">
            <w:pPr>
              <w:pStyle w:val="Tabletext1"/>
              <w:keepNext/>
              <w:keepLines/>
              <w:rPr>
                <w:b/>
              </w:rPr>
            </w:pPr>
            <w:r w:rsidRPr="00E12BDF">
              <w:rPr>
                <w:b/>
              </w:rPr>
              <w:t>Survival extrapolations (base case: best supportive care arm extrapolated using Gompertz function, tafamidis treatment arm extrapolated using gamma function)</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t>Best supportive care extrapolated using Weibull function</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1.6595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t>Best supportive care extrapolated using gamma function</w:t>
            </w:r>
            <w:r w:rsidR="0084313A" w:rsidRPr="00E12BDF">
              <w:t xml:space="preserve"> (same function in each arm)</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1.4722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t>Tafamidis extrapolated using Weibull function</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1.8680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4395" w:type="dxa"/>
          </w:tcPr>
          <w:p w:rsidR="00FF07CF" w:rsidRPr="00E12BDF" w:rsidRDefault="00FF07CF" w:rsidP="007035FA">
            <w:pPr>
              <w:pStyle w:val="Tabletext1"/>
              <w:keepNext/>
              <w:keepLines/>
              <w:tabs>
                <w:tab w:val="left" w:pos="142"/>
              </w:tabs>
            </w:pPr>
            <w:r w:rsidRPr="00E12BDF">
              <w:t>Tafamidis extrapolated using Gompertz function</w:t>
            </w:r>
            <w:r w:rsidR="0084313A" w:rsidRPr="00E12BDF">
              <w:t xml:space="preserve"> (same function in each arm)</w:t>
            </w:r>
          </w:p>
        </w:tc>
        <w:tc>
          <w:tcPr>
            <w:tcW w:w="1701" w:type="dxa"/>
            <w:tcBorders>
              <w:top w:val="single" w:sz="4" w:space="0" w:color="auto"/>
              <w:left w:val="nil"/>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1.4958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9029" w:type="dxa"/>
            <w:gridSpan w:val="4"/>
            <w:tcBorders>
              <w:right w:val="single" w:sz="4" w:space="0" w:color="auto"/>
            </w:tcBorders>
          </w:tcPr>
          <w:p w:rsidR="00FF07CF" w:rsidRPr="00E12BDF" w:rsidRDefault="00FF07CF" w:rsidP="007035FA">
            <w:pPr>
              <w:pStyle w:val="Tabletext1"/>
              <w:keepNext/>
              <w:keepLines/>
              <w:tabs>
                <w:tab w:val="left" w:pos="142"/>
              </w:tabs>
              <w:rPr>
                <w:b/>
              </w:rPr>
            </w:pPr>
            <w:r w:rsidRPr="00E12BDF">
              <w:rPr>
                <w:b/>
              </w:rPr>
              <w:t>Patient population (base case: 68% NYHA Class I/II, 32% NYHA Class III)</w:t>
            </w:r>
          </w:p>
        </w:tc>
      </w:tr>
      <w:tr w:rsidR="00FF07CF" w:rsidRPr="00E12BDF" w:rsidTr="00FF07CF">
        <w:tc>
          <w:tcPr>
            <w:tcW w:w="4395" w:type="dxa"/>
          </w:tcPr>
          <w:p w:rsidR="00FF07CF" w:rsidRPr="00E12BDF" w:rsidRDefault="00A653EA" w:rsidP="007035FA">
            <w:pPr>
              <w:pStyle w:val="Tabletext1"/>
              <w:keepNext/>
              <w:keepLines/>
              <w:tabs>
                <w:tab w:val="left" w:pos="142"/>
              </w:tabs>
              <w:rPr>
                <w:vertAlign w:val="superscript"/>
              </w:rPr>
            </w:pPr>
            <w:r w:rsidRPr="00E12BDF">
              <w:rPr>
                <w:u w:val="single"/>
              </w:rPr>
              <w:t>Evaluation analysis:</w:t>
            </w:r>
            <w:r w:rsidRPr="00E12BDF">
              <w:t xml:space="preserve"> </w:t>
            </w:r>
            <w:r w:rsidR="00FF07CF" w:rsidRPr="00E12BDF">
              <w:t>All patients NYHA Class I/II (tafamidis gamma, lowest AIC/BIC that is clinically plausible; best supportive care Gompertz function, lowest AIC/BIC)</w:t>
            </w:r>
            <w:r w:rsidR="000F2126" w:rsidRPr="00E12BDF">
              <w:t xml:space="preserve"> </w:t>
            </w:r>
            <w:r w:rsidR="000F2126" w:rsidRPr="00E12BDF">
              <w:rPr>
                <w:vertAlign w:val="superscript"/>
              </w:rPr>
              <w:t>a</w:t>
            </w:r>
          </w:p>
        </w:tc>
        <w:tc>
          <w:tcPr>
            <w:tcW w:w="1701" w:type="dxa"/>
            <w:tcBorders>
              <w:top w:val="single" w:sz="4" w:space="0" w:color="auto"/>
              <w:left w:val="nil"/>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t>3.5465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t>$</w:t>
            </w:r>
            <w:r w:rsidR="005F357F">
              <w:rPr>
                <w:noProof/>
                <w:color w:val="000000"/>
                <w:highlight w:val="black"/>
              </w:rPr>
              <w:t>''''''''''''''''''''</w:t>
            </w:r>
          </w:p>
        </w:tc>
      </w:tr>
      <w:tr w:rsidR="00FF07CF" w:rsidRPr="00E12BDF" w:rsidTr="00FF07CF">
        <w:tc>
          <w:tcPr>
            <w:tcW w:w="4395" w:type="dxa"/>
          </w:tcPr>
          <w:p w:rsidR="00FF07CF" w:rsidRPr="00E12BDF" w:rsidRDefault="00A653EA" w:rsidP="007035FA">
            <w:pPr>
              <w:pStyle w:val="Tabletext1"/>
              <w:keepNext/>
              <w:keepLines/>
              <w:tabs>
                <w:tab w:val="left" w:pos="142"/>
              </w:tabs>
              <w:rPr>
                <w:vertAlign w:val="superscript"/>
              </w:rPr>
            </w:pPr>
            <w:r w:rsidRPr="00E12BDF">
              <w:rPr>
                <w:u w:val="single"/>
              </w:rPr>
              <w:t>Evaluation analysis:</w:t>
            </w:r>
            <w:r w:rsidRPr="00E12BDF">
              <w:t xml:space="preserve"> </w:t>
            </w:r>
            <w:r w:rsidR="00FF07CF" w:rsidRPr="00E12BDF">
              <w:t>All patients NYHA Class III (tafamidis Weibull, lowest AIC that is clinically plausible; best supportive care Weibull function, lowest AIC/BIC)</w:t>
            </w:r>
            <w:r w:rsidR="000F2126" w:rsidRPr="00E12BDF">
              <w:t xml:space="preserve"> </w:t>
            </w:r>
            <w:r w:rsidR="000F2126" w:rsidRPr="00E12BDF">
              <w:rPr>
                <w:vertAlign w:val="superscript"/>
              </w:rPr>
              <w:t>a</w:t>
            </w:r>
          </w:p>
        </w:tc>
        <w:tc>
          <w:tcPr>
            <w:tcW w:w="1701" w:type="dxa"/>
            <w:tcBorders>
              <w:top w:val="single" w:sz="4" w:space="0" w:color="auto"/>
              <w:left w:val="nil"/>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rPr>
                <w:iCs/>
                <w:szCs w:val="20"/>
              </w:rPr>
              <w:t>$</w:t>
            </w:r>
            <w:r w:rsidR="005F357F">
              <w:rPr>
                <w:iCs/>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rPr>
                <w:iCs/>
                <w:szCs w:val="20"/>
              </w:rPr>
              <w:t>0.2098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FF07CF" w:rsidRPr="00E12BDF" w:rsidRDefault="00FF07CF" w:rsidP="007035FA">
            <w:pPr>
              <w:pStyle w:val="Tabletext1"/>
              <w:keepNext/>
              <w:keepLines/>
              <w:jc w:val="center"/>
            </w:pPr>
            <w:r w:rsidRPr="00E12BDF">
              <w:rPr>
                <w:iCs/>
                <w:szCs w:val="20"/>
              </w:rPr>
              <w:t>$</w:t>
            </w:r>
            <w:r w:rsidR="005F357F">
              <w:rPr>
                <w:iCs/>
                <w:noProof/>
                <w:color w:val="000000"/>
                <w:szCs w:val="20"/>
                <w:highlight w:val="black"/>
              </w:rPr>
              <w:t>'''''''''''''''''''''''''</w:t>
            </w:r>
          </w:p>
        </w:tc>
      </w:tr>
      <w:tr w:rsidR="006F5537" w:rsidRPr="00E12BDF" w:rsidTr="00FF07CF">
        <w:tc>
          <w:tcPr>
            <w:tcW w:w="4395" w:type="dxa"/>
          </w:tcPr>
          <w:p w:rsidR="006F5537" w:rsidRPr="00E12BDF" w:rsidRDefault="006F5537" w:rsidP="007035FA">
            <w:pPr>
              <w:pStyle w:val="Tabletext1"/>
              <w:keepNext/>
              <w:keepLines/>
              <w:tabs>
                <w:tab w:val="left" w:pos="142"/>
              </w:tabs>
            </w:pPr>
            <w:r w:rsidRPr="00E12BDF">
              <w:rPr>
                <w:u w:val="single"/>
              </w:rPr>
              <w:t>PSCR analysis:</w:t>
            </w:r>
            <w:r w:rsidRPr="00E12BDF">
              <w:t xml:space="preserve"> All patients NYHA Class III</w:t>
            </w:r>
            <w:r w:rsidR="00B074C0" w:rsidRPr="00E12BDF">
              <w:t xml:space="preserve"> (Weibull for both arms)</w:t>
            </w:r>
          </w:p>
        </w:tc>
        <w:tc>
          <w:tcPr>
            <w:tcW w:w="1701" w:type="dxa"/>
            <w:tcBorders>
              <w:top w:val="single" w:sz="4" w:space="0" w:color="auto"/>
              <w:left w:val="nil"/>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w:t>
            </w:r>
            <w:r w:rsidR="005F357F">
              <w:rPr>
                <w:iCs/>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1.23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w:t>
            </w:r>
            <w:r w:rsidR="005F357F">
              <w:rPr>
                <w:iCs/>
                <w:noProof/>
                <w:color w:val="000000"/>
                <w:szCs w:val="20"/>
                <w:highlight w:val="black"/>
              </w:rPr>
              <w:t>''''''''''''''''''''</w:t>
            </w:r>
          </w:p>
        </w:tc>
      </w:tr>
      <w:tr w:rsidR="006F5537" w:rsidRPr="00E12BDF" w:rsidTr="00FF07CF">
        <w:tc>
          <w:tcPr>
            <w:tcW w:w="4395" w:type="dxa"/>
          </w:tcPr>
          <w:p w:rsidR="006F5537" w:rsidRPr="00E12BDF" w:rsidRDefault="00A653EA" w:rsidP="007035FA">
            <w:pPr>
              <w:pStyle w:val="Tabletext1"/>
              <w:keepNext/>
              <w:keepLines/>
              <w:tabs>
                <w:tab w:val="left" w:pos="142"/>
              </w:tabs>
            </w:pPr>
            <w:r w:rsidRPr="00E12BDF">
              <w:rPr>
                <w:u w:val="single"/>
              </w:rPr>
              <w:t>Evaluation analysis:</w:t>
            </w:r>
            <w:r w:rsidRPr="00E12BDF">
              <w:t xml:space="preserve"> </w:t>
            </w:r>
            <w:r w:rsidR="006F5537" w:rsidRPr="00E12BDF">
              <w:t>All patients NYHA Class III (tafamidis exponential, lowest BIC that is clinically plausible; best supportive care Weibull function, lowest AIC/BIC)</w:t>
            </w:r>
          </w:p>
        </w:tc>
        <w:tc>
          <w:tcPr>
            <w:tcW w:w="1701" w:type="dxa"/>
            <w:tcBorders>
              <w:top w:val="single" w:sz="4" w:space="0" w:color="auto"/>
              <w:left w:val="nil"/>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pPr>
            <w:r w:rsidRPr="00E12BDF">
              <w:rPr>
                <w:iCs/>
                <w:szCs w:val="20"/>
              </w:rPr>
              <w:t>$</w:t>
            </w:r>
            <w:r w:rsidR="005F357F">
              <w:rPr>
                <w:iCs/>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pPr>
            <w:r w:rsidRPr="00E12BDF">
              <w:rPr>
                <w:iCs/>
                <w:szCs w:val="20"/>
              </w:rPr>
              <w:t>0.4012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pPr>
            <w:r w:rsidRPr="00E12BDF">
              <w:rPr>
                <w:iCs/>
                <w:szCs w:val="20"/>
              </w:rPr>
              <w:t>$</w:t>
            </w:r>
            <w:r w:rsidR="005F357F">
              <w:rPr>
                <w:iCs/>
                <w:noProof/>
                <w:color w:val="000000"/>
                <w:szCs w:val="20"/>
                <w:highlight w:val="black"/>
              </w:rPr>
              <w:t>'''''''''''''''''''''</w:t>
            </w:r>
          </w:p>
        </w:tc>
      </w:tr>
      <w:tr w:rsidR="006F5537" w:rsidRPr="00E12BDF" w:rsidTr="00FF07CF">
        <w:tc>
          <w:tcPr>
            <w:tcW w:w="4395" w:type="dxa"/>
          </w:tcPr>
          <w:p w:rsidR="006F5537" w:rsidRPr="00E12BDF" w:rsidRDefault="006F5537" w:rsidP="00B074C0">
            <w:pPr>
              <w:pStyle w:val="Tabletext1"/>
              <w:keepNext/>
              <w:keepLines/>
              <w:tabs>
                <w:tab w:val="left" w:pos="142"/>
              </w:tabs>
            </w:pPr>
            <w:r w:rsidRPr="00E12BDF">
              <w:rPr>
                <w:u w:val="single"/>
              </w:rPr>
              <w:t>PSCR analysis:</w:t>
            </w:r>
            <w:r w:rsidRPr="00E12BDF">
              <w:t xml:space="preserve"> All patients NYHA Class III</w:t>
            </w:r>
            <w:r w:rsidR="00B074C0" w:rsidRPr="00E12BDF">
              <w:t xml:space="preserve"> (tafamidis exponential; best supportive care Weibull function)</w:t>
            </w:r>
          </w:p>
        </w:tc>
        <w:tc>
          <w:tcPr>
            <w:tcW w:w="1701" w:type="dxa"/>
            <w:tcBorders>
              <w:top w:val="single" w:sz="4" w:space="0" w:color="auto"/>
              <w:left w:val="nil"/>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w:t>
            </w:r>
            <w:r w:rsidR="005F357F">
              <w:rPr>
                <w:iCs/>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1.</w:t>
            </w:r>
            <w:r w:rsidR="002D52DF" w:rsidRPr="00E12BDF">
              <w:rPr>
                <w:iCs/>
                <w:szCs w:val="20"/>
              </w:rPr>
              <w:t>65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iCs/>
                <w:szCs w:val="20"/>
              </w:rPr>
            </w:pPr>
            <w:r w:rsidRPr="00E12BDF">
              <w:rPr>
                <w:iCs/>
                <w:szCs w:val="20"/>
              </w:rPr>
              <w:t>$</w:t>
            </w:r>
            <w:r w:rsidR="005F357F">
              <w:rPr>
                <w:iCs/>
                <w:noProof/>
                <w:color w:val="000000"/>
                <w:szCs w:val="20"/>
                <w:highlight w:val="black"/>
              </w:rPr>
              <w:t>'''''''''''''''''''</w:t>
            </w:r>
          </w:p>
        </w:tc>
      </w:tr>
      <w:tr w:rsidR="006F5537" w:rsidRPr="00E12BDF" w:rsidTr="00FF07CF">
        <w:tc>
          <w:tcPr>
            <w:tcW w:w="9029" w:type="dxa"/>
            <w:gridSpan w:val="4"/>
            <w:tcBorders>
              <w:right w:val="single" w:sz="4" w:space="0" w:color="auto"/>
            </w:tcBorders>
          </w:tcPr>
          <w:p w:rsidR="006F5537" w:rsidRPr="00E12BDF" w:rsidRDefault="006F5537" w:rsidP="007035FA">
            <w:pPr>
              <w:pStyle w:val="Tabletext1"/>
              <w:keepNext/>
              <w:keepLines/>
              <w:rPr>
                <w:b/>
              </w:rPr>
            </w:pPr>
            <w:r w:rsidRPr="00E12BDF">
              <w:rPr>
                <w:b/>
              </w:rPr>
              <w:t>Treatment persistence extrapolations (base case: discontinuations in the tafamidis treatment arm extrapolated using a lognormal function)</w:t>
            </w:r>
          </w:p>
        </w:tc>
      </w:tr>
      <w:tr w:rsidR="006F5537" w:rsidRPr="00E12BDF" w:rsidTr="00FF07CF">
        <w:tc>
          <w:tcPr>
            <w:tcW w:w="4395" w:type="dxa"/>
          </w:tcPr>
          <w:p w:rsidR="006F5537" w:rsidRPr="00E12BDF" w:rsidRDefault="006F5537" w:rsidP="007035FA">
            <w:pPr>
              <w:pStyle w:val="Tabletext1"/>
              <w:keepNext/>
              <w:keepLines/>
              <w:tabs>
                <w:tab w:val="left" w:pos="142"/>
              </w:tabs>
            </w:pPr>
            <w:r w:rsidRPr="00E12BDF">
              <w:t>Discontinuations extrapolated using exponential function</w:t>
            </w:r>
          </w:p>
        </w:tc>
        <w:tc>
          <w:tcPr>
            <w:tcW w:w="1701" w:type="dxa"/>
            <w:tcBorders>
              <w:top w:val="single" w:sz="4" w:space="0" w:color="auto"/>
              <w:left w:val="nil"/>
              <w:bottom w:val="single" w:sz="4" w:space="0" w:color="auto"/>
              <w:right w:val="single" w:sz="4" w:space="0" w:color="auto"/>
            </w:tcBorders>
            <w:shd w:val="clear" w:color="auto" w:fill="auto"/>
          </w:tcPr>
          <w:p w:rsidR="006F5537" w:rsidRPr="00E12BDF" w:rsidRDefault="006F5537" w:rsidP="007035FA">
            <w:pPr>
              <w:pStyle w:val="Tabletext1"/>
              <w:keepNext/>
              <w:keepLines/>
              <w:jc w:val="center"/>
            </w:pPr>
            <w:r w:rsidRPr="00E12BDF">
              <w:t>$</w:t>
            </w:r>
            <w:r w:rsidR="005F357F">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5537" w:rsidRPr="00E12BDF" w:rsidRDefault="006F5537" w:rsidP="007035FA">
            <w:pPr>
              <w:pStyle w:val="Tabletext1"/>
              <w:keepNext/>
              <w:keepLines/>
              <w:jc w:val="center"/>
            </w:pPr>
            <w:r w:rsidRPr="00E12BDF">
              <w:t>1.9684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6F5537" w:rsidRPr="00E12BDF" w:rsidRDefault="006F5537" w:rsidP="007035FA">
            <w:pPr>
              <w:pStyle w:val="Tabletext1"/>
              <w:keepNext/>
              <w:keepLines/>
              <w:jc w:val="center"/>
            </w:pPr>
            <w:r w:rsidRPr="00E12BDF">
              <w:t>$</w:t>
            </w:r>
            <w:r w:rsidR="005F357F">
              <w:rPr>
                <w:noProof/>
                <w:color w:val="000000"/>
                <w:highlight w:val="black"/>
              </w:rPr>
              <w:t>''''''''''''''''''''''</w:t>
            </w:r>
          </w:p>
        </w:tc>
      </w:tr>
      <w:tr w:rsidR="006F5537" w:rsidRPr="00E12BDF" w:rsidTr="00FF07CF">
        <w:tc>
          <w:tcPr>
            <w:tcW w:w="4395" w:type="dxa"/>
          </w:tcPr>
          <w:p w:rsidR="006F5537" w:rsidRPr="00E12BDF" w:rsidRDefault="006F5537" w:rsidP="007035FA">
            <w:pPr>
              <w:pStyle w:val="Tabletext1"/>
              <w:keepNext/>
              <w:keepLines/>
              <w:tabs>
                <w:tab w:val="left" w:pos="142"/>
              </w:tabs>
            </w:pPr>
            <w:r w:rsidRPr="00E12BDF">
              <w:t>No discontinuations from month 36 onwards (discontinuation curve same as survival curve)</w:t>
            </w:r>
          </w:p>
        </w:tc>
        <w:tc>
          <w:tcPr>
            <w:tcW w:w="1701" w:type="dxa"/>
            <w:tcBorders>
              <w:top w:val="single" w:sz="4" w:space="0" w:color="auto"/>
              <w:left w:val="nil"/>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szCs w:val="20"/>
                <w:lang w:eastAsia="en-AU"/>
              </w:rPr>
            </w:pPr>
            <w:r w:rsidRPr="00E12BDF">
              <w:rPr>
                <w:iCs/>
              </w:rPr>
              <w:t>$</w:t>
            </w:r>
            <w:r w:rsidR="005F357F">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szCs w:val="20"/>
                <w:lang w:eastAsia="en-AU"/>
              </w:rPr>
            </w:pPr>
            <w:r w:rsidRPr="00E12BDF">
              <w:rPr>
                <w:iCs/>
              </w:rPr>
              <w:t>1.9684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szCs w:val="20"/>
                <w:lang w:eastAsia="en-AU"/>
              </w:rPr>
            </w:pPr>
            <w:r w:rsidRPr="00E12BDF">
              <w:rPr>
                <w:iCs/>
              </w:rPr>
              <w:t>$</w:t>
            </w:r>
            <w:r w:rsidR="005F357F">
              <w:rPr>
                <w:iCs/>
                <w:noProof/>
                <w:color w:val="000000"/>
                <w:highlight w:val="black"/>
              </w:rPr>
              <w:t>''''''''''''''''''''</w:t>
            </w:r>
          </w:p>
        </w:tc>
      </w:tr>
      <w:tr w:rsidR="006F5537" w:rsidRPr="00E12BDF" w:rsidTr="00FF07CF">
        <w:tc>
          <w:tcPr>
            <w:tcW w:w="4395" w:type="dxa"/>
          </w:tcPr>
          <w:p w:rsidR="006F5537" w:rsidRPr="00E12BDF" w:rsidRDefault="006F5537" w:rsidP="007035FA">
            <w:pPr>
              <w:pStyle w:val="Tabletext1"/>
              <w:keepNext/>
              <w:keepLines/>
              <w:tabs>
                <w:tab w:val="left" w:pos="142"/>
              </w:tabs>
            </w:pPr>
            <w:r w:rsidRPr="00E12BDF">
              <w:t>No discontinuations over the course of the model (discontinuation curve same as survival curve)</w:t>
            </w:r>
          </w:p>
        </w:tc>
        <w:tc>
          <w:tcPr>
            <w:tcW w:w="1701" w:type="dxa"/>
            <w:tcBorders>
              <w:top w:val="single" w:sz="4" w:space="0" w:color="auto"/>
              <w:left w:val="nil"/>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szCs w:val="20"/>
                <w:lang w:eastAsia="en-AU"/>
              </w:rPr>
            </w:pPr>
            <w:r w:rsidRPr="00E12BDF">
              <w:rPr>
                <w:iCs/>
                <w:lang w:eastAsia="en-AU"/>
              </w:rPr>
              <w:t>$</w:t>
            </w:r>
            <w:r w:rsidR="005F357F">
              <w:rPr>
                <w:iCs/>
                <w:noProof/>
                <w:color w:val="000000"/>
                <w:highlight w:val="black"/>
                <w:lang w:eastAsia="en-A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szCs w:val="20"/>
                <w:lang w:eastAsia="en-AU"/>
              </w:rPr>
            </w:pPr>
            <w:r w:rsidRPr="00E12BDF">
              <w:rPr>
                <w:iCs/>
              </w:rPr>
              <w:t>1.9684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F5537" w:rsidRPr="00E12BDF" w:rsidRDefault="006F5537" w:rsidP="007035FA">
            <w:pPr>
              <w:pStyle w:val="Tabletext1"/>
              <w:keepNext/>
              <w:keepLines/>
              <w:jc w:val="center"/>
              <w:rPr>
                <w:rFonts w:cs="Arial"/>
                <w:color w:val="3366FF"/>
                <w:szCs w:val="20"/>
                <w:lang w:eastAsia="en-AU"/>
              </w:rPr>
            </w:pPr>
            <w:r w:rsidRPr="00E12BDF">
              <w:t>$</w:t>
            </w:r>
            <w:r w:rsidR="005F357F">
              <w:rPr>
                <w:noProof/>
                <w:color w:val="000000"/>
                <w:highlight w:val="black"/>
              </w:rPr>
              <w:t>''''''''''''''''''</w:t>
            </w:r>
          </w:p>
        </w:tc>
      </w:tr>
    </w:tbl>
    <w:p w:rsidR="00FF07CF" w:rsidRPr="00E12BDF" w:rsidRDefault="00FF07CF" w:rsidP="007035FA">
      <w:pPr>
        <w:pStyle w:val="TableFooter"/>
        <w:keepNext/>
        <w:keepLines/>
      </w:pPr>
      <w:r w:rsidRPr="00E12BDF">
        <w:t>Source: Table 3.9.1 (p 207) of the submission</w:t>
      </w:r>
    </w:p>
    <w:p w:rsidR="00FF07CF" w:rsidRPr="00E12BDF" w:rsidRDefault="00FF07CF" w:rsidP="000D5C4B">
      <w:pPr>
        <w:pStyle w:val="TableFooter"/>
        <w:keepNext/>
        <w:spacing w:after="240"/>
      </w:pPr>
      <w:r w:rsidRPr="00E12BDF">
        <w:rPr>
          <w:vertAlign w:val="superscript"/>
        </w:rPr>
        <w:t>a</w:t>
      </w:r>
      <w:r w:rsidRPr="00E12BDF">
        <w:t xml:space="preserve"> </w:t>
      </w:r>
      <w:r w:rsidR="000E6BC1" w:rsidRPr="00E12BDF">
        <w:t>Subgroup analyses conducted during the evaluation were based on K</w:t>
      </w:r>
      <w:r w:rsidR="000F2126" w:rsidRPr="00E12BDF">
        <w:t>aplan-</w:t>
      </w:r>
      <w:r w:rsidR="000E6BC1" w:rsidRPr="00E12BDF">
        <w:t>M</w:t>
      </w:r>
      <w:r w:rsidR="000F2126" w:rsidRPr="00E12BDF">
        <w:t>eier</w:t>
      </w:r>
      <w:r w:rsidR="000E6BC1" w:rsidRPr="00E12BDF">
        <w:t xml:space="preserve"> estimates of survival reported in the utilisation and cost Excel model (Section 4) and model fit parameters presented in the CEA model report for each of the NYHA subgroups.</w:t>
      </w:r>
    </w:p>
    <w:p w:rsidR="006B5598" w:rsidRPr="006B5598" w:rsidRDefault="006B5598" w:rsidP="006B5598">
      <w:pPr>
        <w:pStyle w:val="ExecSumBodyText"/>
        <w:numPr>
          <w:ilvl w:val="0"/>
          <w:numId w:val="0"/>
        </w:numPr>
        <w:ind w:left="720" w:hanging="720"/>
        <w:rPr>
          <w:i/>
        </w:rPr>
      </w:pPr>
      <w:r>
        <w:rPr>
          <w:i/>
        </w:rPr>
        <w:t>The redacted table shows ICERs in the range of more than $200,000/QALY.</w:t>
      </w:r>
    </w:p>
    <w:p w:rsidR="005501FD" w:rsidRPr="00E12BDF" w:rsidRDefault="00C529BA" w:rsidP="005501FD">
      <w:pPr>
        <w:pStyle w:val="ExecSumBodyText"/>
      </w:pPr>
      <w:r w:rsidRPr="00E12BDF">
        <w:t xml:space="preserve">The ESC considered that the key issues with the economic model were structural </w:t>
      </w:r>
      <w:r w:rsidR="00C52D2C" w:rsidRPr="00E12BDF">
        <w:t>uncertaintie</w:t>
      </w:r>
      <w:r w:rsidR="00360328" w:rsidRPr="00E12BDF">
        <w:t xml:space="preserve">s </w:t>
      </w:r>
      <w:r w:rsidR="00C52D2C" w:rsidRPr="00E12BDF">
        <w:t>and it was</w:t>
      </w:r>
      <w:r w:rsidRPr="00E12BDF">
        <w:t xml:space="preserve"> not possible to adequately test </w:t>
      </w:r>
      <w:r w:rsidR="00C52D2C" w:rsidRPr="00E12BDF">
        <w:t xml:space="preserve">these </w:t>
      </w:r>
      <w:r w:rsidR="00205864" w:rsidRPr="00E12BDF">
        <w:t xml:space="preserve">given the limitations of </w:t>
      </w:r>
      <w:r w:rsidR="00360328" w:rsidRPr="00E12BDF">
        <w:t>the model presented. In particular,</w:t>
      </w:r>
      <w:r w:rsidRPr="00E12BDF">
        <w:t xml:space="preserve"> it was not </w:t>
      </w:r>
      <w:r w:rsidR="00360328" w:rsidRPr="00E12BDF">
        <w:t xml:space="preserve">possible to test the assumption that NYHA class was constant over time nor the </w:t>
      </w:r>
      <w:r w:rsidR="005501FD" w:rsidRPr="00E12BDF">
        <w:t xml:space="preserve">independent modelling of survival, cardiovascular hospitalisations and treatment </w:t>
      </w:r>
      <w:r w:rsidR="00877144" w:rsidRPr="00E12BDF">
        <w:t>discontinuation</w:t>
      </w:r>
      <w:r w:rsidR="00360328" w:rsidRPr="00E12BDF">
        <w:t xml:space="preserve"> (e.g. it was not possible to </w:t>
      </w:r>
      <w:r w:rsidR="00D87949" w:rsidRPr="00E12BDF">
        <w:t xml:space="preserve">adequately </w:t>
      </w:r>
      <w:r w:rsidR="00360328" w:rsidRPr="00E12BDF">
        <w:t>test the assumption</w:t>
      </w:r>
      <w:r w:rsidR="00205864" w:rsidRPr="00E12BDF">
        <w:t>s</w:t>
      </w:r>
      <w:r w:rsidR="00360328" w:rsidRPr="00E12BDF">
        <w:t xml:space="preserve"> that all cardiovascular hospitalisations were non-fatal</w:t>
      </w:r>
      <w:r w:rsidR="00205864" w:rsidRPr="00E12BDF">
        <w:t xml:space="preserve"> or that the probability of cardiovascular hospitalisation would remain constant over time</w:t>
      </w:r>
      <w:r w:rsidR="00D87949" w:rsidRPr="00E12BDF">
        <w:t xml:space="preserve">). While a sensitivity analyses had been conducted that assumed no </w:t>
      </w:r>
      <w:r w:rsidR="00D87949" w:rsidRPr="00E12BDF">
        <w:lastRenderedPageBreak/>
        <w:t>treatment discontinuations, the ESC acknowledged this did not reliably assess the impact of tafamidis discontinuations on both costs and outcomes.</w:t>
      </w:r>
      <w:r w:rsidR="00360328" w:rsidRPr="00E12BDF">
        <w:t xml:space="preserve"> </w:t>
      </w:r>
    </w:p>
    <w:p w:rsidR="005F096E" w:rsidRPr="00E12BDF" w:rsidRDefault="00A653EA" w:rsidP="005501FD">
      <w:pPr>
        <w:pStyle w:val="ExecSumBodyText"/>
      </w:pPr>
      <w:r w:rsidRPr="00E12BDF">
        <w:t>The ESC considered that k</w:t>
      </w:r>
      <w:r w:rsidR="006F2667" w:rsidRPr="00E12BDF">
        <w:t>ey sensitivity analyses include</w:t>
      </w:r>
      <w:r w:rsidRPr="00E12BDF">
        <w:t>:</w:t>
      </w:r>
      <w:r w:rsidR="006F2667" w:rsidRPr="00E12BDF">
        <w:t xml:space="preserve"> use of gamma curves to model OS in both arms</w:t>
      </w:r>
      <w:r w:rsidRPr="00E12BDF">
        <w:t xml:space="preserve"> (increases ICER to </w:t>
      </w:r>
      <w:r w:rsidR="00165732" w:rsidRPr="00165732">
        <w:t>more than $200,000</w:t>
      </w:r>
      <w:r w:rsidRPr="00E12BDF">
        <w:t>/QALY)</w:t>
      </w:r>
      <w:r w:rsidR="006F2667" w:rsidRPr="00E12BDF">
        <w:t xml:space="preserve">, and removal of </w:t>
      </w:r>
      <w:r w:rsidR="007E0C2D" w:rsidRPr="00E12BDF">
        <w:t xml:space="preserve">treatment </w:t>
      </w:r>
      <w:r w:rsidR="006F2667" w:rsidRPr="00E12BDF">
        <w:t>discontinuation (due to extrapolated benefits not reflecting treatment discontinuation</w:t>
      </w:r>
      <w:r w:rsidR="007E0C2D" w:rsidRPr="00E12BDF">
        <w:t xml:space="preserve">s, increases ICER to </w:t>
      </w:r>
      <w:r w:rsidR="00165732" w:rsidRPr="00165732">
        <w:t>more than $200,000</w:t>
      </w:r>
      <w:r w:rsidR="007E0C2D" w:rsidRPr="00E12BDF">
        <w:t>/QALY</w:t>
      </w:r>
      <w:r w:rsidR="006F2667" w:rsidRPr="00E12BDF">
        <w:t>).</w:t>
      </w:r>
    </w:p>
    <w:p w:rsidR="006F2667" w:rsidRPr="00E12BDF" w:rsidRDefault="007E0C2D" w:rsidP="005501FD">
      <w:pPr>
        <w:pStyle w:val="ExecSumBodyText"/>
      </w:pPr>
      <w:r w:rsidRPr="00E12BDF">
        <w:t>The ESC considered that it may be more appropriate to model disease progression (e.g. by modelling progression through NYHA classes over time).</w:t>
      </w:r>
    </w:p>
    <w:p w:rsidR="00FF07CF" w:rsidRPr="00E12BDF" w:rsidRDefault="00FF07CF" w:rsidP="00FF07CF">
      <w:pPr>
        <w:pStyle w:val="3-SubsectionHeading"/>
      </w:pPr>
      <w:bookmarkStart w:id="21" w:name="_Toc39926174"/>
      <w:bookmarkStart w:id="22" w:name="_Toc40868600"/>
      <w:r w:rsidRPr="00E12BDF">
        <w:t>Drug cost/patient/year</w:t>
      </w:r>
      <w:bookmarkEnd w:id="21"/>
      <w:bookmarkEnd w:id="22"/>
    </w:p>
    <w:p w:rsidR="00FF07CF" w:rsidRPr="00E12BDF" w:rsidRDefault="00FF07CF" w:rsidP="00FF07CF">
      <w:pPr>
        <w:pStyle w:val="ExecSumBodyText"/>
        <w:numPr>
          <w:ilvl w:val="1"/>
          <w:numId w:val="1"/>
        </w:numPr>
      </w:pPr>
      <w:r w:rsidRPr="00E12BDF">
        <w:t xml:space="preserve">Based on the </w:t>
      </w:r>
      <w:r w:rsidR="00FA2CFE" w:rsidRPr="00E12BDF">
        <w:t xml:space="preserve">proposed </w:t>
      </w:r>
      <w:r w:rsidRPr="00E12BDF">
        <w:t>effective DPMQ ($</w:t>
      </w:r>
      <w:r w:rsidR="005F357F">
        <w:rPr>
          <w:noProof/>
          <w:color w:val="000000"/>
          <w:highlight w:val="black"/>
        </w:rPr>
        <w:t>''''''''''''</w:t>
      </w:r>
      <w:r w:rsidRPr="00E12BDF">
        <w:t xml:space="preserve"> for 30 days treatment) and 12.175 scripts per year (365.25/30), the annual costs for tafamidis </w:t>
      </w:r>
      <w:r w:rsidR="00FA2CFE" w:rsidRPr="00E12BDF">
        <w:t>w</w:t>
      </w:r>
      <w:r w:rsidRPr="00E12BDF">
        <w:t>ould be $</w:t>
      </w:r>
      <w:r w:rsidR="005F357F">
        <w:rPr>
          <w:noProof/>
          <w:color w:val="000000"/>
          <w:highlight w:val="black"/>
        </w:rPr>
        <w:t>'''''''''''''''''</w:t>
      </w:r>
      <w:r w:rsidRPr="00E12BDF">
        <w:t xml:space="preserve"> per patient.</w:t>
      </w:r>
    </w:p>
    <w:p w:rsidR="00FF07CF" w:rsidRPr="00E12BDF" w:rsidRDefault="00FF07CF" w:rsidP="00FF07CF">
      <w:pPr>
        <w:pStyle w:val="ExecSumBodyText"/>
        <w:numPr>
          <w:ilvl w:val="1"/>
          <w:numId w:val="1"/>
        </w:numPr>
      </w:pPr>
      <w:r w:rsidRPr="00E12BDF">
        <w:t xml:space="preserve">Cost estimates do not include dose intensity but extrapolated drug costs in both the economic and </w:t>
      </w:r>
      <w:r w:rsidR="00FA2CFE" w:rsidRPr="00E12BDF">
        <w:t>financial estimates</w:t>
      </w:r>
      <w:r w:rsidRPr="00E12BDF">
        <w:t xml:space="preserve"> were modified based on treatment persistence (the probability of discontinuation in the tafamidis arm was estimated by fitting a log-normal curve to ATTR-ACT data)</w:t>
      </w:r>
      <w:bookmarkStart w:id="23" w:name="_Toc341702043"/>
      <w:bookmarkStart w:id="24" w:name="_Toc380742621"/>
      <w:bookmarkStart w:id="25" w:name="_Toc380746188"/>
      <w:bookmarkStart w:id="26" w:name="_Toc380746314"/>
      <w:bookmarkStart w:id="27" w:name="_Toc380746595"/>
      <w:r w:rsidRPr="00E12BDF">
        <w:t>.</w:t>
      </w:r>
    </w:p>
    <w:p w:rsidR="00B60939" w:rsidRPr="00E12BDF" w:rsidRDefault="00B60939" w:rsidP="002B05A1">
      <w:pPr>
        <w:pStyle w:val="3-SubsectionHeading"/>
      </w:pPr>
      <w:bookmarkStart w:id="28" w:name="_Toc22897647"/>
      <w:bookmarkStart w:id="29" w:name="_Toc40868601"/>
      <w:bookmarkEnd w:id="23"/>
      <w:bookmarkEnd w:id="24"/>
      <w:bookmarkEnd w:id="25"/>
      <w:bookmarkEnd w:id="26"/>
      <w:bookmarkEnd w:id="27"/>
      <w:r w:rsidRPr="00E12BDF">
        <w:t>Estimated PBS usage &amp; financial implications</w:t>
      </w:r>
      <w:bookmarkEnd w:id="28"/>
      <w:bookmarkEnd w:id="29"/>
    </w:p>
    <w:p w:rsidR="009F08A7" w:rsidRPr="00E12BDF" w:rsidRDefault="00E17404" w:rsidP="009F08A7">
      <w:pPr>
        <w:pStyle w:val="ExecSumBodyText"/>
        <w:numPr>
          <w:ilvl w:val="1"/>
          <w:numId w:val="1"/>
        </w:numPr>
      </w:pPr>
      <w:r w:rsidRPr="00E12BDF">
        <w:t>This submission was</w:t>
      </w:r>
      <w:r w:rsidR="009F08A7" w:rsidRPr="00E12BDF">
        <w:t xml:space="preserve"> considered by</w:t>
      </w:r>
      <w:r w:rsidR="00024627" w:rsidRPr="00E12BDF">
        <w:t xml:space="preserve"> </w:t>
      </w:r>
      <w:r w:rsidR="009F08A7" w:rsidRPr="00E12BDF">
        <w:t>DUSC</w:t>
      </w:r>
      <w:r w:rsidR="008F2766" w:rsidRPr="00E12BDF">
        <w:t>.</w:t>
      </w:r>
      <w:r w:rsidR="009F08A7" w:rsidRPr="00E12BDF">
        <w:rPr>
          <w:color w:val="0070C0"/>
        </w:rPr>
        <w:t xml:space="preserve"> </w:t>
      </w:r>
      <w:r w:rsidR="009F08A7" w:rsidRPr="00E12BDF">
        <w:t>The submission used an epidemiological approach to estimate the utilisation and financial impact of listing tafamidis on the PBS.</w:t>
      </w:r>
      <w:r w:rsidR="009F08A7" w:rsidRPr="00E12BDF">
        <w:rPr>
          <w:color w:val="0066FF"/>
        </w:rPr>
        <w:t xml:space="preserve"> </w:t>
      </w:r>
      <w:r w:rsidR="009F08A7" w:rsidRPr="00E12BDF">
        <w:t>Key inputs are summarised in the table below.</w:t>
      </w:r>
      <w:r w:rsidR="009F08A7" w:rsidRPr="00E12BDF">
        <w:rPr>
          <w:color w:val="0070C0"/>
        </w:rPr>
        <w:t xml:space="preserve"> </w:t>
      </w:r>
    </w:p>
    <w:p w:rsidR="009F08A7" w:rsidRPr="00E12BDF" w:rsidRDefault="001200F0" w:rsidP="009F08A7">
      <w:pPr>
        <w:pStyle w:val="TableFigureCaption"/>
      </w:pPr>
      <w:r>
        <w:t>Table 17</w:t>
      </w:r>
      <w:r w:rsidR="009F08A7" w:rsidRPr="00E12BD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7"/>
        <w:gridCol w:w="1500"/>
        <w:gridCol w:w="1411"/>
        <w:gridCol w:w="4259"/>
      </w:tblGrid>
      <w:tr w:rsidR="009F08A7" w:rsidRPr="00E12BDF" w:rsidTr="00EB2DB2">
        <w:trPr>
          <w:tblHeader/>
        </w:trPr>
        <w:tc>
          <w:tcPr>
            <w:tcW w:w="1847" w:type="dxa"/>
          </w:tcPr>
          <w:p w:rsidR="009F08A7" w:rsidRPr="00E12BDF" w:rsidRDefault="009F08A7" w:rsidP="00EB2DB2">
            <w:pPr>
              <w:pStyle w:val="Tableheadingrow"/>
              <w:keepNext w:val="0"/>
              <w:rPr>
                <w:lang w:val="en-AU"/>
              </w:rPr>
            </w:pPr>
            <w:r w:rsidRPr="00E12BDF">
              <w:rPr>
                <w:lang w:val="en-AU"/>
              </w:rPr>
              <w:t>Data</w:t>
            </w:r>
          </w:p>
        </w:tc>
        <w:tc>
          <w:tcPr>
            <w:tcW w:w="1500" w:type="dxa"/>
          </w:tcPr>
          <w:p w:rsidR="009F08A7" w:rsidRPr="00E12BDF" w:rsidRDefault="009F08A7" w:rsidP="00EB2DB2">
            <w:pPr>
              <w:pStyle w:val="Tableheadingrow"/>
              <w:keepNext w:val="0"/>
              <w:jc w:val="center"/>
              <w:rPr>
                <w:lang w:val="en-AU"/>
              </w:rPr>
            </w:pPr>
            <w:r w:rsidRPr="00E12BDF">
              <w:rPr>
                <w:lang w:val="en-AU"/>
              </w:rPr>
              <w:t>Value</w:t>
            </w:r>
          </w:p>
        </w:tc>
        <w:tc>
          <w:tcPr>
            <w:tcW w:w="1411" w:type="dxa"/>
          </w:tcPr>
          <w:p w:rsidR="009F08A7" w:rsidRPr="00E12BDF" w:rsidRDefault="009F08A7" w:rsidP="00EB2DB2">
            <w:pPr>
              <w:pStyle w:val="Tableheadingrow"/>
              <w:keepNext w:val="0"/>
              <w:jc w:val="center"/>
              <w:rPr>
                <w:lang w:val="en-AU"/>
              </w:rPr>
            </w:pPr>
            <w:r w:rsidRPr="00E12BDF">
              <w:rPr>
                <w:lang w:val="en-AU"/>
              </w:rPr>
              <w:t>Source</w:t>
            </w:r>
          </w:p>
        </w:tc>
        <w:tc>
          <w:tcPr>
            <w:tcW w:w="4259" w:type="dxa"/>
          </w:tcPr>
          <w:p w:rsidR="009F08A7" w:rsidRPr="00E12BDF" w:rsidRDefault="009F08A7" w:rsidP="00EB2DB2">
            <w:pPr>
              <w:pStyle w:val="Tableheadingrow"/>
              <w:keepNext w:val="0"/>
              <w:jc w:val="center"/>
              <w:rPr>
                <w:lang w:val="en-AU"/>
              </w:rPr>
            </w:pPr>
            <w:r w:rsidRPr="00E12BDF">
              <w:rPr>
                <w:lang w:val="en-AU"/>
              </w:rPr>
              <w:t>Comment</w:t>
            </w:r>
          </w:p>
        </w:tc>
      </w:tr>
      <w:tr w:rsidR="009F08A7" w:rsidRPr="00E12BDF" w:rsidTr="00EB2DB2">
        <w:tc>
          <w:tcPr>
            <w:tcW w:w="9017" w:type="dxa"/>
            <w:gridSpan w:val="4"/>
          </w:tcPr>
          <w:p w:rsidR="009F08A7" w:rsidRPr="00E12BDF" w:rsidRDefault="009F08A7" w:rsidP="00EB2DB2">
            <w:pPr>
              <w:pStyle w:val="Tableheadingrow"/>
              <w:keepNext w:val="0"/>
              <w:rPr>
                <w:lang w:val="en-AU"/>
              </w:rPr>
            </w:pPr>
            <w:r w:rsidRPr="00E12BDF">
              <w:rPr>
                <w:lang w:val="en-AU"/>
              </w:rPr>
              <w:t>Eligible population</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 xml:space="preserve">Australian population, </w:t>
            </w:r>
          </w:p>
          <w:p w:rsidR="009F08A7" w:rsidRPr="00E12BDF" w:rsidRDefault="009F08A7" w:rsidP="00EB2DB2">
            <w:pPr>
              <w:pStyle w:val="TableText"/>
              <w:keepNext w:val="0"/>
              <w:rPr>
                <w:szCs w:val="20"/>
              </w:rPr>
            </w:pPr>
            <w:r w:rsidRPr="00E12BDF">
              <w:rPr>
                <w:szCs w:val="20"/>
              </w:rPr>
              <w:t>males ≥60 years</w:t>
            </w:r>
          </w:p>
        </w:tc>
        <w:tc>
          <w:tcPr>
            <w:tcW w:w="1500" w:type="dxa"/>
          </w:tcPr>
          <w:p w:rsidR="009F08A7" w:rsidRPr="00E12BDF" w:rsidRDefault="009F08A7" w:rsidP="00EB2DB2">
            <w:pPr>
              <w:pStyle w:val="TableText"/>
              <w:keepNext w:val="0"/>
              <w:ind w:left="-80"/>
              <w:jc w:val="center"/>
              <w:rPr>
                <w:szCs w:val="20"/>
              </w:rPr>
            </w:pPr>
            <w:r w:rsidRPr="00E12BDF">
              <w:rPr>
                <w:szCs w:val="20"/>
              </w:rPr>
              <w:t>-</w:t>
            </w:r>
          </w:p>
        </w:tc>
        <w:tc>
          <w:tcPr>
            <w:tcW w:w="1411" w:type="dxa"/>
          </w:tcPr>
          <w:p w:rsidR="009F08A7" w:rsidRPr="00E12BDF" w:rsidRDefault="009F08A7" w:rsidP="00EB2DB2">
            <w:pPr>
              <w:pStyle w:val="TableText"/>
              <w:keepNext w:val="0"/>
              <w:rPr>
                <w:szCs w:val="20"/>
              </w:rPr>
            </w:pPr>
            <w:r w:rsidRPr="00E12BDF">
              <w:rPr>
                <w:szCs w:val="20"/>
              </w:rPr>
              <w:t>ABS population, by age and sex.</w:t>
            </w:r>
          </w:p>
        </w:tc>
        <w:tc>
          <w:tcPr>
            <w:tcW w:w="4259" w:type="dxa"/>
          </w:tcPr>
          <w:p w:rsidR="009F08A7" w:rsidRPr="00E12BDF" w:rsidRDefault="009F08A7" w:rsidP="00EB2DB2">
            <w:pPr>
              <w:pStyle w:val="TableText"/>
              <w:keepNext w:val="0"/>
              <w:rPr>
                <w:szCs w:val="20"/>
              </w:rPr>
            </w:pP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Proportion of population with heart failure</w:t>
            </w:r>
          </w:p>
        </w:tc>
        <w:tc>
          <w:tcPr>
            <w:tcW w:w="1500" w:type="dxa"/>
          </w:tcPr>
          <w:p w:rsidR="009F08A7" w:rsidRPr="00E12BDF" w:rsidRDefault="009F08A7" w:rsidP="00EB2DB2">
            <w:pPr>
              <w:pStyle w:val="TableText"/>
              <w:keepNext w:val="0"/>
              <w:ind w:left="-80"/>
              <w:jc w:val="center"/>
              <w:rPr>
                <w:szCs w:val="20"/>
              </w:rPr>
            </w:pPr>
            <w:r w:rsidRPr="00E12BDF">
              <w:rPr>
                <w:szCs w:val="20"/>
              </w:rPr>
              <w:t>60-64 yrs: 1.80%</w:t>
            </w:r>
          </w:p>
          <w:p w:rsidR="009F08A7" w:rsidRPr="00E12BDF" w:rsidRDefault="009F08A7" w:rsidP="00EB2DB2">
            <w:pPr>
              <w:pStyle w:val="TableText"/>
              <w:keepNext w:val="0"/>
              <w:ind w:left="-80"/>
              <w:jc w:val="center"/>
              <w:rPr>
                <w:szCs w:val="20"/>
              </w:rPr>
            </w:pPr>
            <w:r w:rsidRPr="00E12BDF">
              <w:rPr>
                <w:szCs w:val="20"/>
              </w:rPr>
              <w:t>85-100 yrs: 11.50%</w:t>
            </w:r>
          </w:p>
        </w:tc>
        <w:tc>
          <w:tcPr>
            <w:tcW w:w="1411" w:type="dxa"/>
          </w:tcPr>
          <w:p w:rsidR="009F08A7" w:rsidRPr="00E12BDF" w:rsidRDefault="009F08A7" w:rsidP="00EB2DB2">
            <w:pPr>
              <w:pStyle w:val="TableText"/>
              <w:keepNext w:val="0"/>
              <w:rPr>
                <w:szCs w:val="20"/>
              </w:rPr>
            </w:pPr>
            <w:r w:rsidRPr="00E12BDF">
              <w:rPr>
                <w:szCs w:val="20"/>
              </w:rPr>
              <w:t>Nicols et al. 2016.</w:t>
            </w:r>
          </w:p>
        </w:tc>
        <w:tc>
          <w:tcPr>
            <w:tcW w:w="4259" w:type="dxa"/>
          </w:tcPr>
          <w:p w:rsidR="009F08A7" w:rsidRPr="00E12BDF" w:rsidRDefault="009F08A7" w:rsidP="00EB2DB2">
            <w:pPr>
              <w:pStyle w:val="TableText"/>
              <w:keepNext w:val="0"/>
              <w:rPr>
                <w:szCs w:val="20"/>
              </w:rPr>
            </w:pPr>
            <w:r w:rsidRPr="00E12BDF">
              <w:rPr>
                <w:szCs w:val="20"/>
              </w:rPr>
              <w:t>Self-reported heart failure in Australian Health Survey 2011-2012.</w:t>
            </w:r>
            <w:r w:rsidR="00E12BDF">
              <w:rPr>
                <w:szCs w:val="20"/>
              </w:rPr>
              <w:t xml:space="preserve"> </w:t>
            </w:r>
            <w:r w:rsidRPr="00E12BDF">
              <w:rPr>
                <w:iCs/>
              </w:rPr>
              <w:t xml:space="preserve">The study acknowledged issues with patient self-report. Estimates excluded patients who were resident in hospitals, nursing or convalescent homes. </w:t>
            </w:r>
            <w:r w:rsidRPr="00E12BDF">
              <w:rPr>
                <w:szCs w:val="20"/>
              </w:rPr>
              <w:t>Other Australian studies suggest higher prevalence across age bands. Prevalence of heart failure likely to be underestimated.</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Proportion of heart failure with HFpEF</w:t>
            </w:r>
          </w:p>
        </w:tc>
        <w:tc>
          <w:tcPr>
            <w:tcW w:w="1500" w:type="dxa"/>
          </w:tcPr>
          <w:p w:rsidR="009F08A7" w:rsidRPr="00E12BDF" w:rsidRDefault="009F08A7" w:rsidP="00EB2DB2">
            <w:pPr>
              <w:pStyle w:val="TableText"/>
              <w:keepNext w:val="0"/>
              <w:ind w:left="-80"/>
              <w:jc w:val="center"/>
              <w:rPr>
                <w:szCs w:val="20"/>
              </w:rPr>
            </w:pPr>
            <w:r w:rsidRPr="00E12BDF">
              <w:rPr>
                <w:szCs w:val="20"/>
              </w:rPr>
              <w:t>34.26%</w:t>
            </w:r>
          </w:p>
        </w:tc>
        <w:tc>
          <w:tcPr>
            <w:tcW w:w="1411" w:type="dxa"/>
          </w:tcPr>
          <w:p w:rsidR="009F08A7" w:rsidRPr="00E12BDF" w:rsidRDefault="009F08A7" w:rsidP="00EB2DB2">
            <w:pPr>
              <w:pStyle w:val="TableText"/>
              <w:keepNext w:val="0"/>
              <w:rPr>
                <w:szCs w:val="20"/>
              </w:rPr>
            </w:pPr>
            <w:r w:rsidRPr="00E12BDF">
              <w:rPr>
                <w:szCs w:val="20"/>
              </w:rPr>
              <w:t>Chan et al. 2015.</w:t>
            </w:r>
          </w:p>
        </w:tc>
        <w:tc>
          <w:tcPr>
            <w:tcW w:w="4259" w:type="dxa"/>
          </w:tcPr>
          <w:p w:rsidR="009F08A7" w:rsidRPr="00E12BDF" w:rsidRDefault="009F08A7" w:rsidP="00EB2DB2">
            <w:pPr>
              <w:pStyle w:val="TableText"/>
              <w:keepNext w:val="0"/>
              <w:rPr>
                <w:szCs w:val="20"/>
              </w:rPr>
            </w:pPr>
            <w:r w:rsidRPr="00E12BDF">
              <w:rPr>
                <w:szCs w:val="20"/>
              </w:rPr>
              <w:t>Data from a US</w:t>
            </w:r>
            <w:r w:rsidRPr="00E12BDF">
              <w:rPr>
                <w:iCs/>
              </w:rPr>
              <w:t xml:space="preserve"> County in 1991, applied to 2014 Australian population estimates</w:t>
            </w:r>
            <w:r w:rsidRPr="00E12BDF">
              <w:rPr>
                <w:szCs w:val="20"/>
              </w:rPr>
              <w:t>. Given the age of the data, based on a US population, the estimate is unlikely to reflect current practice in Australia and is a likely underestimate.</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Proportion of HFpEF with amyloid deposition</w:t>
            </w:r>
          </w:p>
        </w:tc>
        <w:tc>
          <w:tcPr>
            <w:tcW w:w="1500" w:type="dxa"/>
          </w:tcPr>
          <w:p w:rsidR="009F08A7" w:rsidRPr="00E12BDF" w:rsidRDefault="009F08A7" w:rsidP="00EB2DB2">
            <w:pPr>
              <w:pStyle w:val="TableText"/>
              <w:keepNext w:val="0"/>
              <w:ind w:left="-80"/>
              <w:jc w:val="center"/>
              <w:rPr>
                <w:szCs w:val="20"/>
              </w:rPr>
            </w:pPr>
            <w:r w:rsidRPr="00E12BDF">
              <w:rPr>
                <w:szCs w:val="20"/>
              </w:rPr>
              <w:t>60-64 yrs: 0.31%</w:t>
            </w:r>
          </w:p>
          <w:p w:rsidR="009F08A7" w:rsidRPr="00E12BDF" w:rsidRDefault="009F08A7" w:rsidP="00EB2DB2">
            <w:pPr>
              <w:pStyle w:val="TableText"/>
              <w:keepNext w:val="0"/>
              <w:ind w:left="-80"/>
              <w:jc w:val="center"/>
              <w:rPr>
                <w:szCs w:val="20"/>
              </w:rPr>
            </w:pPr>
            <w:r w:rsidRPr="00E12BDF">
              <w:rPr>
                <w:szCs w:val="20"/>
              </w:rPr>
              <w:t>85-100 yrs: 13.89%</w:t>
            </w:r>
          </w:p>
        </w:tc>
        <w:tc>
          <w:tcPr>
            <w:tcW w:w="1411" w:type="dxa"/>
          </w:tcPr>
          <w:p w:rsidR="009F08A7" w:rsidRPr="00E12BDF" w:rsidRDefault="009F08A7" w:rsidP="00EB2DB2">
            <w:pPr>
              <w:pStyle w:val="TableText"/>
              <w:keepNext w:val="0"/>
              <w:rPr>
                <w:szCs w:val="20"/>
              </w:rPr>
            </w:pPr>
            <w:r w:rsidRPr="00E12BDF">
              <w:rPr>
                <w:szCs w:val="20"/>
              </w:rPr>
              <w:t>Mohamed-Salem 2018.</w:t>
            </w:r>
          </w:p>
        </w:tc>
        <w:tc>
          <w:tcPr>
            <w:tcW w:w="4259" w:type="dxa"/>
          </w:tcPr>
          <w:p w:rsidR="009F08A7" w:rsidRPr="00E12BDF" w:rsidRDefault="009F08A7" w:rsidP="00EB2DB2">
            <w:pPr>
              <w:pStyle w:val="TableText"/>
              <w:keepNext w:val="0"/>
              <w:rPr>
                <w:szCs w:val="20"/>
              </w:rPr>
            </w:pPr>
            <w:r w:rsidRPr="00E12BDF">
              <w:rPr>
                <w:iCs/>
              </w:rPr>
              <w:t>Estimates, based on incidental findings in patients ≥75 years undergoing scintigraphy for oncologic (95.7%) and rheumatologic reasons (4.3%), are unlikely to be representative of the target population.</w:t>
            </w:r>
            <w:r w:rsidRPr="00E12BDF">
              <w:rPr>
                <w:szCs w:val="20"/>
              </w:rPr>
              <w:t xml:space="preserve"> Estimates used in younger populations could not be verified.</w:t>
            </w:r>
          </w:p>
        </w:tc>
      </w:tr>
      <w:tr w:rsidR="009F08A7" w:rsidRPr="00E12BDF" w:rsidTr="00EB2DB2">
        <w:tc>
          <w:tcPr>
            <w:tcW w:w="1847" w:type="dxa"/>
          </w:tcPr>
          <w:p w:rsidR="009F08A7" w:rsidRPr="00E12BDF" w:rsidRDefault="009F08A7" w:rsidP="00EB2DB2">
            <w:pPr>
              <w:pStyle w:val="TableText"/>
              <w:keepNext w:val="0"/>
              <w:rPr>
                <w:szCs w:val="20"/>
                <w:vertAlign w:val="superscript"/>
              </w:rPr>
            </w:pPr>
            <w:r w:rsidRPr="00E12BDF">
              <w:rPr>
                <w:szCs w:val="20"/>
              </w:rPr>
              <w:t xml:space="preserve">Proportion of ATTR-CM with HFrEF </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30% </w:t>
            </w:r>
          </w:p>
          <w:p w:rsidR="009F08A7" w:rsidRPr="00E12BDF" w:rsidRDefault="009F08A7" w:rsidP="00EB2DB2">
            <w:pPr>
              <w:pStyle w:val="TableText"/>
              <w:keepNext w:val="0"/>
              <w:ind w:left="-80"/>
              <w:jc w:val="center"/>
              <w:rPr>
                <w:szCs w:val="20"/>
              </w:rPr>
            </w:pPr>
            <w:r w:rsidRPr="00E12BDF">
              <w:rPr>
                <w:szCs w:val="20"/>
              </w:rPr>
              <w:t xml:space="preserve">Year 6: 5% </w:t>
            </w:r>
          </w:p>
        </w:tc>
        <w:tc>
          <w:tcPr>
            <w:tcW w:w="1411" w:type="dxa"/>
          </w:tcPr>
          <w:p w:rsidR="009F08A7" w:rsidRPr="00E12BDF" w:rsidRDefault="009F08A7" w:rsidP="00EB2DB2">
            <w:pPr>
              <w:pStyle w:val="TableText"/>
              <w:keepNext w:val="0"/>
              <w:rPr>
                <w:szCs w:val="20"/>
              </w:rPr>
            </w:pPr>
            <w:r w:rsidRPr="00E12BDF">
              <w:rPr>
                <w:szCs w:val="20"/>
              </w:rPr>
              <w:t xml:space="preserve">Expert opinion (physician </w:t>
            </w:r>
            <w:r w:rsidRPr="00E12BDF">
              <w:rPr>
                <w:szCs w:val="20"/>
              </w:rPr>
              <w:lastRenderedPageBreak/>
              <w:t>survey);</w:t>
            </w:r>
            <w:r w:rsidRPr="00E12BDF">
              <w:rPr>
                <w:lang w:eastAsia="en-US"/>
              </w:rPr>
              <w:t xml:space="preserve"> Rapezzi et al, (2009).</w:t>
            </w:r>
          </w:p>
        </w:tc>
        <w:tc>
          <w:tcPr>
            <w:tcW w:w="4259" w:type="dxa"/>
          </w:tcPr>
          <w:p w:rsidR="009F08A7" w:rsidRPr="00E12BDF" w:rsidRDefault="009F08A7" w:rsidP="00EB2DB2">
            <w:pPr>
              <w:pStyle w:val="TableText"/>
              <w:keepNext w:val="0"/>
              <w:rPr>
                <w:szCs w:val="20"/>
              </w:rPr>
            </w:pPr>
            <w:r w:rsidRPr="00E12BDF">
              <w:rPr>
                <w:lang w:eastAsia="en-US"/>
              </w:rPr>
              <w:lastRenderedPageBreak/>
              <w:t xml:space="preserve">Rapezzi et al, (2009) reported 40% of patients </w:t>
            </w:r>
            <w:r w:rsidRPr="00E12BDF">
              <w:rPr>
                <w:szCs w:val="20"/>
              </w:rPr>
              <w:t>with HFrEF, reduced to 30% in the submission due to the sample size (n=15).</w:t>
            </w:r>
            <w:r w:rsidRPr="00E12BDF">
              <w:rPr>
                <w:lang w:eastAsia="en-US"/>
              </w:rPr>
              <w:t xml:space="preserve"> </w:t>
            </w:r>
            <w:r w:rsidRPr="00E12BDF">
              <w:rPr>
                <w:szCs w:val="20"/>
              </w:rPr>
              <w:t xml:space="preserve">Declining proportions over time were </w:t>
            </w:r>
            <w:r w:rsidRPr="00E12BDF">
              <w:rPr>
                <w:szCs w:val="20"/>
              </w:rPr>
              <w:lastRenderedPageBreak/>
              <w:t xml:space="preserve">assumed to reflect earlier diagnosis and reduced disease progression related to tafamidis treatment. The magnitude of effect on the reduction in disease progression from HFpEF to HFrEF was assumed, and may be overestimated. The number of patients with HFrEF is likely to be underestimated. </w:t>
            </w:r>
          </w:p>
        </w:tc>
      </w:tr>
      <w:tr w:rsidR="009F08A7" w:rsidRPr="00E12BDF" w:rsidTr="00EB2DB2">
        <w:tc>
          <w:tcPr>
            <w:tcW w:w="1847" w:type="dxa"/>
          </w:tcPr>
          <w:p w:rsidR="009F08A7" w:rsidRPr="00E12BDF" w:rsidRDefault="009F08A7" w:rsidP="00EB2DB2">
            <w:pPr>
              <w:pStyle w:val="TableText"/>
              <w:keepNext w:val="0"/>
              <w:rPr>
                <w:szCs w:val="20"/>
                <w:vertAlign w:val="superscript"/>
              </w:rPr>
            </w:pPr>
            <w:r w:rsidRPr="00E12BDF">
              <w:rPr>
                <w:szCs w:val="20"/>
              </w:rPr>
              <w:lastRenderedPageBreak/>
              <w:t xml:space="preserve">Proportion of ATTR-CM female </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6.0% </w:t>
            </w:r>
          </w:p>
        </w:tc>
        <w:tc>
          <w:tcPr>
            <w:tcW w:w="1411" w:type="dxa"/>
          </w:tcPr>
          <w:p w:rsidR="009F08A7" w:rsidRPr="00E12BDF" w:rsidRDefault="009F08A7" w:rsidP="00EB2DB2">
            <w:pPr>
              <w:pStyle w:val="TableText"/>
              <w:keepNext w:val="0"/>
              <w:rPr>
                <w:szCs w:val="20"/>
              </w:rPr>
            </w:pPr>
            <w:r w:rsidRPr="00E12BDF">
              <w:rPr>
                <w:szCs w:val="20"/>
              </w:rPr>
              <w:t>Expert opinion (physician survey); Choi et al. 2009.</w:t>
            </w:r>
          </w:p>
        </w:tc>
        <w:tc>
          <w:tcPr>
            <w:tcW w:w="4259" w:type="dxa"/>
          </w:tcPr>
          <w:p w:rsidR="009F08A7" w:rsidRPr="00E12BDF" w:rsidRDefault="009F08A7" w:rsidP="00EB2DB2">
            <w:pPr>
              <w:pStyle w:val="TableText"/>
              <w:keepNext w:val="0"/>
              <w:rPr>
                <w:szCs w:val="20"/>
              </w:rPr>
            </w:pPr>
            <w:r w:rsidRPr="00E12BDF">
              <w:rPr>
                <w:szCs w:val="20"/>
              </w:rPr>
              <w:t>The sources used in the submission could not be located during the evaluation. Other studies, including the ATTR-ACT trial have found higher proportions of females with ATTR-CM, suggesting this may be an underestimate.</w:t>
            </w:r>
          </w:p>
        </w:tc>
      </w:tr>
      <w:tr w:rsidR="009F08A7" w:rsidRPr="00E12BDF" w:rsidTr="00EB2DB2">
        <w:tc>
          <w:tcPr>
            <w:tcW w:w="1847" w:type="dxa"/>
          </w:tcPr>
          <w:p w:rsidR="009F08A7" w:rsidRPr="00E12BDF" w:rsidRDefault="009F08A7" w:rsidP="00EB2DB2">
            <w:pPr>
              <w:pStyle w:val="TableText"/>
              <w:keepNext w:val="0"/>
              <w:rPr>
                <w:szCs w:val="20"/>
                <w:vertAlign w:val="superscript"/>
              </w:rPr>
            </w:pPr>
            <w:r w:rsidRPr="00E12BDF">
              <w:rPr>
                <w:szCs w:val="20"/>
              </w:rPr>
              <w:t xml:space="preserve">Number of patients  with ATTRm genotype </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200 </w:t>
            </w:r>
          </w:p>
          <w:p w:rsidR="009F08A7" w:rsidRPr="00E12BDF" w:rsidRDefault="009F08A7" w:rsidP="00EB2DB2">
            <w:pPr>
              <w:pStyle w:val="TableText"/>
              <w:keepNext w:val="0"/>
              <w:ind w:left="-80"/>
              <w:jc w:val="center"/>
              <w:rPr>
                <w:szCs w:val="20"/>
              </w:rPr>
            </w:pPr>
            <w:r w:rsidRPr="00E12BDF">
              <w:rPr>
                <w:szCs w:val="20"/>
              </w:rPr>
              <w:t xml:space="preserve">Year 6: 216 </w:t>
            </w:r>
          </w:p>
        </w:tc>
        <w:tc>
          <w:tcPr>
            <w:tcW w:w="1411" w:type="dxa"/>
          </w:tcPr>
          <w:p w:rsidR="009F08A7" w:rsidRPr="00E12BDF" w:rsidRDefault="009F08A7" w:rsidP="00EB2DB2">
            <w:pPr>
              <w:pStyle w:val="TableText"/>
              <w:keepNext w:val="0"/>
              <w:rPr>
                <w:szCs w:val="20"/>
              </w:rPr>
            </w:pPr>
            <w:r w:rsidRPr="00E12BDF">
              <w:rPr>
                <w:szCs w:val="20"/>
              </w:rPr>
              <w:t>Expert opinion</w:t>
            </w:r>
          </w:p>
        </w:tc>
        <w:tc>
          <w:tcPr>
            <w:tcW w:w="4259" w:type="dxa"/>
          </w:tcPr>
          <w:p w:rsidR="009F08A7" w:rsidRPr="00E12BDF" w:rsidRDefault="009F08A7" w:rsidP="007B7350">
            <w:pPr>
              <w:pStyle w:val="TableText"/>
              <w:keepNext w:val="0"/>
              <w:rPr>
                <w:szCs w:val="20"/>
              </w:rPr>
            </w:pPr>
            <w:r w:rsidRPr="00E12BDF">
              <w:rPr>
                <w:szCs w:val="20"/>
              </w:rPr>
              <w:t xml:space="preserve">Initial estimate of 200 patients (representing 6.8% of ATTR-CM population) inflated annually by ABS population growth. The estimate is substantially lower than the proportion of ATTRm patients enrolled in the ATTR-ACT trial (ATTRm 24%), and </w:t>
            </w:r>
            <w:r w:rsidR="007B7350" w:rsidRPr="00E12BDF">
              <w:rPr>
                <w:szCs w:val="20"/>
              </w:rPr>
              <w:t>the commentary considered it was</w:t>
            </w:r>
            <w:r w:rsidRPr="00E12BDF">
              <w:rPr>
                <w:szCs w:val="20"/>
              </w:rPr>
              <w:t xml:space="preserve"> likely</w:t>
            </w:r>
            <w:r w:rsidR="007B7350" w:rsidRPr="00E12BDF">
              <w:rPr>
                <w:szCs w:val="20"/>
              </w:rPr>
              <w:t xml:space="preserve"> to be an</w:t>
            </w:r>
            <w:r w:rsidRPr="00E12BDF">
              <w:rPr>
                <w:szCs w:val="20"/>
              </w:rPr>
              <w:t xml:space="preserve"> underestimate.</w:t>
            </w:r>
          </w:p>
        </w:tc>
      </w:tr>
      <w:tr w:rsidR="009F08A7" w:rsidRPr="00E12BDF" w:rsidTr="00EB2DB2">
        <w:tc>
          <w:tcPr>
            <w:tcW w:w="1847" w:type="dxa"/>
            <w:vAlign w:val="center"/>
          </w:tcPr>
          <w:p w:rsidR="009F08A7" w:rsidRPr="00E12BDF" w:rsidRDefault="009F08A7" w:rsidP="00EB2DB2">
            <w:pPr>
              <w:pStyle w:val="TableText"/>
              <w:keepNext w:val="0"/>
              <w:rPr>
                <w:szCs w:val="20"/>
              </w:rPr>
            </w:pPr>
            <w:r w:rsidRPr="00E12BDF">
              <w:rPr>
                <w:color w:val="000000"/>
                <w:szCs w:val="20"/>
              </w:rPr>
              <w:t>Proportions of patients s</w:t>
            </w:r>
            <w:r w:rsidRPr="00E12BDF">
              <w:rPr>
                <w:rFonts w:eastAsia="Times New Roman" w:cs="Arial"/>
                <w:color w:val="000000"/>
                <w:szCs w:val="20"/>
              </w:rPr>
              <w:t>uspected to have ATTR-CM</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76% </w:t>
            </w:r>
          </w:p>
          <w:p w:rsidR="009F08A7" w:rsidRPr="00E12BDF" w:rsidRDefault="009F08A7" w:rsidP="00EB2DB2">
            <w:pPr>
              <w:pStyle w:val="TableText"/>
              <w:keepNext w:val="0"/>
              <w:ind w:left="-80"/>
              <w:jc w:val="center"/>
              <w:rPr>
                <w:szCs w:val="20"/>
              </w:rPr>
            </w:pPr>
            <w:r w:rsidRPr="00E12BDF">
              <w:rPr>
                <w:szCs w:val="20"/>
              </w:rPr>
              <w:t>Year 6: 84%</w:t>
            </w:r>
          </w:p>
        </w:tc>
        <w:tc>
          <w:tcPr>
            <w:tcW w:w="1411" w:type="dxa"/>
            <w:vMerge w:val="restart"/>
          </w:tcPr>
          <w:p w:rsidR="009F08A7" w:rsidRPr="00E12BDF" w:rsidRDefault="009F08A7" w:rsidP="00EB2DB2">
            <w:pPr>
              <w:pStyle w:val="TableText"/>
              <w:keepNext w:val="0"/>
              <w:rPr>
                <w:szCs w:val="20"/>
              </w:rPr>
            </w:pPr>
            <w:r w:rsidRPr="00E12BDF">
              <w:rPr>
                <w:szCs w:val="20"/>
              </w:rPr>
              <w:t>Physician survey conducted for the submission.</w:t>
            </w:r>
          </w:p>
        </w:tc>
        <w:tc>
          <w:tcPr>
            <w:tcW w:w="4259" w:type="dxa"/>
            <w:vMerge w:val="restart"/>
          </w:tcPr>
          <w:p w:rsidR="009F08A7" w:rsidRPr="00E12BDF" w:rsidRDefault="009F08A7" w:rsidP="007B7350">
            <w:pPr>
              <w:pStyle w:val="TableText"/>
              <w:keepNext w:val="0"/>
            </w:pPr>
            <w:r w:rsidRPr="00E12BDF">
              <w:t>The survey included 37 cardiologists with 3-30 years of practice, who have suspected or confirmed a diagnosis of ATTR-CM within the prior two years. Physicians reported varying involvement in diagnosis and ongoing management.</w:t>
            </w:r>
            <w:r w:rsidR="007B7350" w:rsidRPr="00E12BDF">
              <w:t xml:space="preserve"> The commentary considered that it wa</w:t>
            </w:r>
            <w:r w:rsidRPr="00E12BDF">
              <w:t xml:space="preserve">s unclear whether the proportion of patients with suspected ATTR-CM included patients with HFpEF or amyloid deposition, and may have included patients referred by GPs and other cardiologists. </w:t>
            </w:r>
            <w:r w:rsidR="007B7350" w:rsidRPr="00E12BDF">
              <w:t>The commentary considered that t</w:t>
            </w:r>
            <w:r w:rsidRPr="00E12BDF">
              <w:t>he reported proportions of patients suspected, tested, diagnosed and likely to be treated with tafamidis may include duplicated data from individual patients referred between responding physicians.</w:t>
            </w:r>
          </w:p>
        </w:tc>
      </w:tr>
      <w:tr w:rsidR="009F08A7" w:rsidRPr="00E12BDF" w:rsidTr="00EB2DB2">
        <w:tc>
          <w:tcPr>
            <w:tcW w:w="1847" w:type="dxa"/>
          </w:tcPr>
          <w:p w:rsidR="009F08A7" w:rsidRPr="00E12BDF" w:rsidRDefault="009F08A7" w:rsidP="00EB2DB2">
            <w:pPr>
              <w:pStyle w:val="TableText"/>
              <w:keepNext w:val="0"/>
              <w:rPr>
                <w:szCs w:val="20"/>
              </w:rPr>
            </w:pPr>
            <w:r w:rsidRPr="00E12BDF">
              <w:rPr>
                <w:color w:val="000000"/>
                <w:szCs w:val="20"/>
              </w:rPr>
              <w:t>Proportion of patients t</w:t>
            </w:r>
            <w:r w:rsidRPr="00E12BDF">
              <w:rPr>
                <w:rFonts w:eastAsia="Times New Roman" w:cs="Arial"/>
                <w:color w:val="000000"/>
                <w:szCs w:val="20"/>
              </w:rPr>
              <w:t>ested for ATTR-CM</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89% </w:t>
            </w:r>
          </w:p>
          <w:p w:rsidR="009F08A7" w:rsidRPr="00E12BDF" w:rsidRDefault="009F08A7" w:rsidP="00EB2DB2">
            <w:pPr>
              <w:pStyle w:val="TableText"/>
              <w:keepNext w:val="0"/>
              <w:ind w:left="-80"/>
              <w:jc w:val="center"/>
              <w:rPr>
                <w:szCs w:val="20"/>
              </w:rPr>
            </w:pPr>
            <w:r w:rsidRPr="00E12BDF">
              <w:rPr>
                <w:szCs w:val="20"/>
              </w:rPr>
              <w:t>Year 6: 98%</w:t>
            </w:r>
          </w:p>
        </w:tc>
        <w:tc>
          <w:tcPr>
            <w:tcW w:w="1411" w:type="dxa"/>
            <w:vMerge/>
          </w:tcPr>
          <w:p w:rsidR="009F08A7" w:rsidRPr="00E12BDF" w:rsidRDefault="009F08A7" w:rsidP="00EB2DB2">
            <w:pPr>
              <w:pStyle w:val="TableText"/>
              <w:keepNext w:val="0"/>
              <w:rPr>
                <w:szCs w:val="20"/>
              </w:rPr>
            </w:pPr>
          </w:p>
        </w:tc>
        <w:tc>
          <w:tcPr>
            <w:tcW w:w="4259" w:type="dxa"/>
            <w:vMerge/>
          </w:tcPr>
          <w:p w:rsidR="009F08A7" w:rsidRPr="00E12BDF" w:rsidRDefault="009F08A7" w:rsidP="00EB2DB2">
            <w:pPr>
              <w:pStyle w:val="TableText"/>
              <w:keepNext w:val="0"/>
              <w:rPr>
                <w:szCs w:val="20"/>
              </w:rPr>
            </w:pP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 xml:space="preserve">Proportion of patients </w:t>
            </w:r>
            <w:r w:rsidRPr="00E12BDF">
              <w:rPr>
                <w:color w:val="000000"/>
                <w:szCs w:val="20"/>
              </w:rPr>
              <w:t>diagnosed with ATTR-CM</w:t>
            </w:r>
          </w:p>
        </w:tc>
        <w:tc>
          <w:tcPr>
            <w:tcW w:w="1500" w:type="dxa"/>
          </w:tcPr>
          <w:p w:rsidR="009F08A7" w:rsidRPr="00E12BDF" w:rsidRDefault="009F08A7" w:rsidP="00EB2DB2">
            <w:pPr>
              <w:pStyle w:val="TableText"/>
              <w:keepNext w:val="0"/>
              <w:ind w:left="-80"/>
              <w:jc w:val="center"/>
              <w:rPr>
                <w:szCs w:val="20"/>
              </w:rPr>
            </w:pPr>
            <w:r w:rsidRPr="00E12BDF">
              <w:rPr>
                <w:szCs w:val="20"/>
              </w:rPr>
              <w:t>64%</w:t>
            </w:r>
          </w:p>
        </w:tc>
        <w:tc>
          <w:tcPr>
            <w:tcW w:w="1411" w:type="dxa"/>
            <w:vMerge/>
          </w:tcPr>
          <w:p w:rsidR="009F08A7" w:rsidRPr="00E12BDF" w:rsidRDefault="009F08A7" w:rsidP="00EB2DB2">
            <w:pPr>
              <w:pStyle w:val="TableText"/>
              <w:keepNext w:val="0"/>
              <w:rPr>
                <w:szCs w:val="20"/>
              </w:rPr>
            </w:pPr>
          </w:p>
        </w:tc>
        <w:tc>
          <w:tcPr>
            <w:tcW w:w="4259" w:type="dxa"/>
            <w:vMerge/>
          </w:tcPr>
          <w:p w:rsidR="009F08A7" w:rsidRPr="00E12BDF" w:rsidRDefault="009F08A7" w:rsidP="00EB2DB2">
            <w:pPr>
              <w:pStyle w:val="TableText"/>
              <w:keepNext w:val="0"/>
              <w:rPr>
                <w:szCs w:val="20"/>
              </w:rPr>
            </w:pP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 xml:space="preserve">Proportion of patients </w:t>
            </w:r>
            <w:r w:rsidRPr="00E12BDF">
              <w:rPr>
                <w:color w:val="000000"/>
                <w:szCs w:val="20"/>
              </w:rPr>
              <w:t>treated for ATTR-CM</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46% </w:t>
            </w:r>
          </w:p>
          <w:p w:rsidR="009F08A7" w:rsidRPr="00E12BDF" w:rsidRDefault="009F08A7" w:rsidP="00EB2DB2">
            <w:pPr>
              <w:pStyle w:val="TableText"/>
              <w:keepNext w:val="0"/>
              <w:ind w:left="-80"/>
              <w:jc w:val="center"/>
              <w:rPr>
                <w:szCs w:val="20"/>
              </w:rPr>
            </w:pPr>
            <w:r w:rsidRPr="00E12BDF">
              <w:rPr>
                <w:szCs w:val="20"/>
              </w:rPr>
              <w:t>Year 6: 79%</w:t>
            </w:r>
          </w:p>
        </w:tc>
        <w:tc>
          <w:tcPr>
            <w:tcW w:w="1411" w:type="dxa"/>
            <w:vMerge/>
          </w:tcPr>
          <w:p w:rsidR="009F08A7" w:rsidRPr="00E12BDF" w:rsidRDefault="009F08A7" w:rsidP="00EB2DB2">
            <w:pPr>
              <w:pStyle w:val="TableText"/>
              <w:keepNext w:val="0"/>
              <w:rPr>
                <w:szCs w:val="20"/>
              </w:rPr>
            </w:pPr>
          </w:p>
        </w:tc>
        <w:tc>
          <w:tcPr>
            <w:tcW w:w="4259" w:type="dxa"/>
            <w:vMerge/>
          </w:tcPr>
          <w:p w:rsidR="009F08A7" w:rsidRPr="00E12BDF" w:rsidRDefault="009F08A7" w:rsidP="00EB2DB2">
            <w:pPr>
              <w:pStyle w:val="TableText"/>
              <w:keepNext w:val="0"/>
              <w:rPr>
                <w:szCs w:val="20"/>
              </w:rPr>
            </w:pP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 xml:space="preserve">Proportion of patients </w:t>
            </w:r>
            <w:r w:rsidRPr="00E12BDF">
              <w:rPr>
                <w:color w:val="000000"/>
                <w:szCs w:val="20"/>
              </w:rPr>
              <w:t>treated with tafamidis</w:t>
            </w:r>
          </w:p>
        </w:tc>
        <w:tc>
          <w:tcPr>
            <w:tcW w:w="1500" w:type="dxa"/>
          </w:tcPr>
          <w:p w:rsidR="009F08A7" w:rsidRPr="00E12BDF" w:rsidRDefault="009F08A7" w:rsidP="00EB2DB2">
            <w:pPr>
              <w:pStyle w:val="TableText"/>
              <w:keepNext w:val="0"/>
              <w:ind w:left="-80"/>
              <w:jc w:val="center"/>
              <w:rPr>
                <w:szCs w:val="20"/>
              </w:rPr>
            </w:pPr>
            <w:r w:rsidRPr="00E12BDF">
              <w:rPr>
                <w:szCs w:val="20"/>
              </w:rPr>
              <w:t xml:space="preserve">Year 1: 58% </w:t>
            </w:r>
          </w:p>
          <w:p w:rsidR="009F08A7" w:rsidRPr="00E12BDF" w:rsidRDefault="009F08A7" w:rsidP="00EB2DB2">
            <w:pPr>
              <w:pStyle w:val="TableText"/>
              <w:keepNext w:val="0"/>
              <w:ind w:left="-80"/>
              <w:jc w:val="center"/>
              <w:rPr>
                <w:szCs w:val="20"/>
              </w:rPr>
            </w:pPr>
            <w:r w:rsidRPr="00E12BDF">
              <w:rPr>
                <w:szCs w:val="20"/>
              </w:rPr>
              <w:t>Year 6: 72%</w:t>
            </w:r>
          </w:p>
        </w:tc>
        <w:tc>
          <w:tcPr>
            <w:tcW w:w="1411" w:type="dxa"/>
            <w:vMerge/>
          </w:tcPr>
          <w:p w:rsidR="009F08A7" w:rsidRPr="00E12BDF" w:rsidRDefault="009F08A7" w:rsidP="00EB2DB2">
            <w:pPr>
              <w:pStyle w:val="TableText"/>
              <w:keepNext w:val="0"/>
              <w:rPr>
                <w:szCs w:val="20"/>
              </w:rPr>
            </w:pPr>
          </w:p>
        </w:tc>
        <w:tc>
          <w:tcPr>
            <w:tcW w:w="4259" w:type="dxa"/>
            <w:vMerge/>
          </w:tcPr>
          <w:p w:rsidR="009F08A7" w:rsidRPr="00E12BDF" w:rsidRDefault="009F08A7" w:rsidP="00EB2DB2">
            <w:pPr>
              <w:pStyle w:val="TableText"/>
              <w:keepNext w:val="0"/>
              <w:rPr>
                <w:szCs w:val="20"/>
              </w:rPr>
            </w:pPr>
          </w:p>
        </w:tc>
      </w:tr>
      <w:tr w:rsidR="009F08A7" w:rsidRPr="00E12BDF" w:rsidTr="00EB2DB2">
        <w:tc>
          <w:tcPr>
            <w:tcW w:w="9017" w:type="dxa"/>
            <w:gridSpan w:val="4"/>
          </w:tcPr>
          <w:p w:rsidR="009F08A7" w:rsidRPr="00E12BDF" w:rsidRDefault="009F08A7" w:rsidP="00EB2DB2">
            <w:pPr>
              <w:pStyle w:val="Tableheadingrow"/>
              <w:keepNext w:val="0"/>
              <w:rPr>
                <w:lang w:val="en-AU"/>
              </w:rPr>
            </w:pPr>
            <w:r w:rsidRPr="00E12BDF">
              <w:rPr>
                <w:lang w:val="en-AU"/>
              </w:rPr>
              <w:t>Utilisation model</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 xml:space="preserve">Probability of survival </w:t>
            </w:r>
          </w:p>
        </w:tc>
        <w:tc>
          <w:tcPr>
            <w:tcW w:w="1500" w:type="dxa"/>
          </w:tcPr>
          <w:p w:rsidR="009F08A7" w:rsidRPr="00E12BDF" w:rsidRDefault="009F08A7" w:rsidP="00EB2DB2">
            <w:pPr>
              <w:pStyle w:val="TableText"/>
              <w:keepNext w:val="0"/>
              <w:ind w:left="-80"/>
              <w:jc w:val="center"/>
              <w:rPr>
                <w:szCs w:val="20"/>
              </w:rPr>
            </w:pPr>
            <w:r w:rsidRPr="00E12BDF">
              <w:rPr>
                <w:szCs w:val="20"/>
              </w:rPr>
              <w:t>-</w:t>
            </w:r>
          </w:p>
        </w:tc>
        <w:tc>
          <w:tcPr>
            <w:tcW w:w="1411" w:type="dxa"/>
          </w:tcPr>
          <w:p w:rsidR="009F08A7" w:rsidRPr="00E12BDF" w:rsidRDefault="009F08A7" w:rsidP="00EB2DB2">
            <w:pPr>
              <w:pStyle w:val="TableText"/>
              <w:keepNext w:val="0"/>
              <w:rPr>
                <w:szCs w:val="20"/>
              </w:rPr>
            </w:pPr>
            <w:r w:rsidRPr="00E12BDF">
              <w:rPr>
                <w:szCs w:val="20"/>
              </w:rPr>
              <w:t xml:space="preserve">All-cause mortality from ATTR-ACT and extension study, extrapolated over 6 years using the gamma function </w:t>
            </w:r>
          </w:p>
        </w:tc>
        <w:tc>
          <w:tcPr>
            <w:tcW w:w="4259" w:type="dxa"/>
          </w:tcPr>
          <w:p w:rsidR="009F08A7" w:rsidRPr="00E12BDF" w:rsidRDefault="009F08A7" w:rsidP="00EB2DB2">
            <w:pPr>
              <w:pStyle w:val="TableText"/>
              <w:keepNext w:val="0"/>
              <w:rPr>
                <w:szCs w:val="20"/>
              </w:rPr>
            </w:pP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Probability of treatment discontinuation</w:t>
            </w:r>
          </w:p>
        </w:tc>
        <w:tc>
          <w:tcPr>
            <w:tcW w:w="1500" w:type="dxa"/>
          </w:tcPr>
          <w:p w:rsidR="009F08A7" w:rsidRPr="00E12BDF" w:rsidRDefault="009F08A7" w:rsidP="00EB2DB2">
            <w:pPr>
              <w:pStyle w:val="TableText"/>
              <w:keepNext w:val="0"/>
              <w:ind w:left="-80"/>
              <w:jc w:val="center"/>
              <w:rPr>
                <w:szCs w:val="20"/>
              </w:rPr>
            </w:pPr>
            <w:r w:rsidRPr="00E12BDF">
              <w:rPr>
                <w:szCs w:val="20"/>
              </w:rPr>
              <w:t>-</w:t>
            </w:r>
          </w:p>
        </w:tc>
        <w:tc>
          <w:tcPr>
            <w:tcW w:w="1411" w:type="dxa"/>
          </w:tcPr>
          <w:p w:rsidR="009F08A7" w:rsidRPr="00E12BDF" w:rsidRDefault="009F08A7" w:rsidP="00EB2DB2">
            <w:pPr>
              <w:pStyle w:val="TableText"/>
              <w:keepNext w:val="0"/>
              <w:rPr>
                <w:szCs w:val="20"/>
              </w:rPr>
            </w:pPr>
            <w:r w:rsidRPr="00E12BDF">
              <w:rPr>
                <w:szCs w:val="20"/>
              </w:rPr>
              <w:t>Treatment discontinuation from ATTR-ACT, extrapolated over 6 years using the lognormal function</w:t>
            </w:r>
          </w:p>
        </w:tc>
        <w:tc>
          <w:tcPr>
            <w:tcW w:w="4259" w:type="dxa"/>
          </w:tcPr>
          <w:p w:rsidR="009F08A7" w:rsidRPr="00E12BDF" w:rsidRDefault="009F08A7" w:rsidP="00EB2DB2">
            <w:pPr>
              <w:pStyle w:val="TableText"/>
              <w:keepNext w:val="0"/>
              <w:rPr>
                <w:szCs w:val="20"/>
              </w:rPr>
            </w:pPr>
          </w:p>
        </w:tc>
      </w:tr>
      <w:tr w:rsidR="009F08A7" w:rsidRPr="00E12BDF" w:rsidTr="00EB2DB2">
        <w:tc>
          <w:tcPr>
            <w:tcW w:w="9017" w:type="dxa"/>
            <w:gridSpan w:val="4"/>
          </w:tcPr>
          <w:p w:rsidR="009F08A7" w:rsidRPr="00E12BDF" w:rsidRDefault="009F08A7" w:rsidP="00EB2DB2">
            <w:pPr>
              <w:pStyle w:val="Tableheadingrow"/>
              <w:keepNext w:val="0"/>
              <w:rPr>
                <w:lang w:val="en-AU"/>
              </w:rPr>
            </w:pPr>
            <w:r w:rsidRPr="00E12BDF">
              <w:rPr>
                <w:lang w:val="en-AU"/>
              </w:rPr>
              <w:t>Costs of MBS items used for diagnosis of ATTR-CM</w:t>
            </w:r>
          </w:p>
        </w:tc>
      </w:tr>
      <w:tr w:rsidR="009F08A7" w:rsidRPr="00E12BDF" w:rsidTr="00EB2DB2">
        <w:tc>
          <w:tcPr>
            <w:tcW w:w="1847" w:type="dxa"/>
          </w:tcPr>
          <w:p w:rsidR="009F08A7" w:rsidRPr="00E12BDF" w:rsidRDefault="009F08A7" w:rsidP="00EB2DB2">
            <w:pPr>
              <w:pStyle w:val="TableText"/>
              <w:keepNext w:val="0"/>
              <w:rPr>
                <w:rFonts w:eastAsia="Times New Roman" w:cs="Arial"/>
                <w:color w:val="000000"/>
                <w:szCs w:val="20"/>
              </w:rPr>
            </w:pPr>
            <w:r w:rsidRPr="00E12BDF">
              <w:rPr>
                <w:rFonts w:eastAsia="Times New Roman" w:cs="Arial"/>
                <w:color w:val="000000"/>
                <w:szCs w:val="20"/>
              </w:rPr>
              <w:t>Average cost of local or whole body bone scans</w:t>
            </w:r>
          </w:p>
        </w:tc>
        <w:tc>
          <w:tcPr>
            <w:tcW w:w="1500" w:type="dxa"/>
          </w:tcPr>
          <w:p w:rsidR="009F08A7" w:rsidRPr="00E12BDF" w:rsidRDefault="009F08A7" w:rsidP="00EB2DB2">
            <w:pPr>
              <w:pStyle w:val="TableText"/>
              <w:keepNext w:val="0"/>
              <w:ind w:left="-80"/>
              <w:jc w:val="center"/>
              <w:rPr>
                <w:szCs w:val="20"/>
              </w:rPr>
            </w:pPr>
            <w:r w:rsidRPr="00E12BDF">
              <w:rPr>
                <w:szCs w:val="20"/>
              </w:rPr>
              <w:t>$480.83</w:t>
            </w:r>
          </w:p>
        </w:tc>
        <w:tc>
          <w:tcPr>
            <w:tcW w:w="1411" w:type="dxa"/>
          </w:tcPr>
          <w:p w:rsidR="009F08A7" w:rsidRPr="00E12BDF" w:rsidRDefault="009F08A7" w:rsidP="00EB2DB2">
            <w:pPr>
              <w:pStyle w:val="TableText"/>
              <w:keepNext w:val="0"/>
              <w:rPr>
                <w:szCs w:val="20"/>
              </w:rPr>
            </w:pPr>
            <w:r w:rsidRPr="00E12BDF">
              <w:rPr>
                <w:szCs w:val="20"/>
              </w:rPr>
              <w:t xml:space="preserve">Average of cost of MBS items 61446, 61449, 61421, 61425, 61425 and 61505 </w:t>
            </w:r>
          </w:p>
        </w:tc>
        <w:tc>
          <w:tcPr>
            <w:tcW w:w="4259" w:type="dxa"/>
          </w:tcPr>
          <w:p w:rsidR="009F08A7" w:rsidRPr="00E12BDF" w:rsidRDefault="009F08A7" w:rsidP="00EB2DB2">
            <w:pPr>
              <w:pStyle w:val="TableText"/>
              <w:keepNext w:val="0"/>
              <w:rPr>
                <w:szCs w:val="20"/>
              </w:rPr>
            </w:pPr>
            <w:r w:rsidRPr="00E12BDF">
              <w:rPr>
                <w:szCs w:val="20"/>
              </w:rPr>
              <w:t>The MBS items selected for inclusion were not adequately justified. The MSAC considered that new services associated with use of tafamidis are able to be performed under existing MBS items 61446 and 61449 for localised bone study. Inclusion of whole body scan items may overestimate the cost of additional services (MSAC Public Summary Document 1584, 76th MSAC meeting 1-2 August 2019).The costs of MBS services are inappropriately included at 100% of the scheduled fee.</w:t>
            </w:r>
          </w:p>
        </w:tc>
      </w:tr>
      <w:tr w:rsidR="009F08A7" w:rsidRPr="00E12BDF" w:rsidTr="00EB2DB2">
        <w:tc>
          <w:tcPr>
            <w:tcW w:w="1847" w:type="dxa"/>
          </w:tcPr>
          <w:p w:rsidR="009F08A7" w:rsidRPr="00E12BDF" w:rsidRDefault="009F08A7" w:rsidP="00EB2DB2">
            <w:pPr>
              <w:pStyle w:val="TableText"/>
              <w:keepNext w:val="0"/>
              <w:rPr>
                <w:rFonts w:eastAsia="Times New Roman" w:cs="Arial"/>
                <w:color w:val="000000"/>
                <w:szCs w:val="20"/>
              </w:rPr>
            </w:pPr>
            <w:r w:rsidRPr="00E12BDF">
              <w:rPr>
                <w:rFonts w:eastAsia="Times New Roman" w:cs="Arial"/>
                <w:color w:val="000000"/>
                <w:szCs w:val="20"/>
              </w:rPr>
              <w:lastRenderedPageBreak/>
              <w:t>Proportion of eligible patients receiving bone scans</w:t>
            </w:r>
          </w:p>
        </w:tc>
        <w:tc>
          <w:tcPr>
            <w:tcW w:w="1500" w:type="dxa"/>
          </w:tcPr>
          <w:p w:rsidR="009F08A7" w:rsidRPr="00E12BDF" w:rsidRDefault="009F08A7" w:rsidP="00EB2DB2">
            <w:pPr>
              <w:pStyle w:val="TableText"/>
              <w:keepNext w:val="0"/>
              <w:ind w:left="-80"/>
              <w:jc w:val="center"/>
              <w:rPr>
                <w:szCs w:val="20"/>
              </w:rPr>
            </w:pPr>
            <w:r w:rsidRPr="00E12BDF">
              <w:rPr>
                <w:szCs w:val="20"/>
              </w:rPr>
              <w:t>90%</w:t>
            </w:r>
          </w:p>
        </w:tc>
        <w:tc>
          <w:tcPr>
            <w:tcW w:w="1411" w:type="dxa"/>
          </w:tcPr>
          <w:p w:rsidR="009F08A7" w:rsidRPr="00E12BDF" w:rsidRDefault="009F08A7" w:rsidP="00EB2DB2">
            <w:pPr>
              <w:pStyle w:val="TableText"/>
              <w:keepNext w:val="0"/>
              <w:rPr>
                <w:szCs w:val="20"/>
              </w:rPr>
            </w:pPr>
            <w:r w:rsidRPr="00E12BDF">
              <w:rPr>
                <w:szCs w:val="20"/>
              </w:rPr>
              <w:t>Expert opinion.</w:t>
            </w:r>
          </w:p>
        </w:tc>
        <w:tc>
          <w:tcPr>
            <w:tcW w:w="4259" w:type="dxa"/>
          </w:tcPr>
          <w:p w:rsidR="009F08A7" w:rsidRPr="00E12BDF" w:rsidRDefault="009F08A7" w:rsidP="00FA2CFE">
            <w:pPr>
              <w:pStyle w:val="TableText"/>
              <w:keepNext w:val="0"/>
              <w:rPr>
                <w:szCs w:val="20"/>
              </w:rPr>
            </w:pPr>
            <w:r w:rsidRPr="00E12BDF">
              <w:rPr>
                <w:szCs w:val="20"/>
              </w:rPr>
              <w:t>Th</w:t>
            </w:r>
            <w:r w:rsidR="00FA2CFE" w:rsidRPr="00E12BDF">
              <w:rPr>
                <w:szCs w:val="20"/>
              </w:rPr>
              <w:t>e commentary considered this m</w:t>
            </w:r>
            <w:r w:rsidRPr="00E12BDF">
              <w:rPr>
                <w:szCs w:val="20"/>
              </w:rPr>
              <w:t>ay be reasonable.</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Myocardial biopsy, by cardiac catheterisation (item 38275)</w:t>
            </w:r>
          </w:p>
        </w:tc>
        <w:tc>
          <w:tcPr>
            <w:tcW w:w="1500" w:type="dxa"/>
          </w:tcPr>
          <w:p w:rsidR="009F08A7" w:rsidRPr="00E12BDF" w:rsidRDefault="009F08A7" w:rsidP="00EB2DB2">
            <w:pPr>
              <w:pStyle w:val="TableText"/>
              <w:keepNext w:val="0"/>
              <w:ind w:left="-80"/>
              <w:jc w:val="center"/>
              <w:rPr>
                <w:szCs w:val="20"/>
              </w:rPr>
            </w:pPr>
            <w:r w:rsidRPr="00E12BDF">
              <w:rPr>
                <w:szCs w:val="20"/>
              </w:rPr>
              <w:t>$302.95</w:t>
            </w:r>
          </w:p>
        </w:tc>
        <w:tc>
          <w:tcPr>
            <w:tcW w:w="1411" w:type="dxa"/>
          </w:tcPr>
          <w:p w:rsidR="009F08A7" w:rsidRPr="00E12BDF" w:rsidRDefault="009F08A7" w:rsidP="00EB2DB2">
            <w:pPr>
              <w:pStyle w:val="TableText"/>
              <w:keepNext w:val="0"/>
              <w:rPr>
                <w:szCs w:val="20"/>
              </w:rPr>
            </w:pPr>
            <w:r w:rsidRPr="00E12BDF">
              <w:rPr>
                <w:szCs w:val="20"/>
              </w:rPr>
              <w:t>MBS item 38275</w:t>
            </w:r>
          </w:p>
        </w:tc>
        <w:tc>
          <w:tcPr>
            <w:tcW w:w="4259" w:type="dxa"/>
          </w:tcPr>
          <w:p w:rsidR="009F08A7" w:rsidRPr="00E12BDF" w:rsidRDefault="007B7350" w:rsidP="00EB2DB2">
            <w:pPr>
              <w:pStyle w:val="TableText"/>
              <w:keepNext w:val="0"/>
              <w:rPr>
                <w:szCs w:val="20"/>
              </w:rPr>
            </w:pPr>
            <w:r w:rsidRPr="00E12BDF">
              <w:rPr>
                <w:szCs w:val="20"/>
              </w:rPr>
              <w:t xml:space="preserve">The commentary considered this was </w:t>
            </w:r>
            <w:r w:rsidR="009F08A7" w:rsidRPr="00E12BDF">
              <w:rPr>
                <w:szCs w:val="20"/>
              </w:rPr>
              <w:t>reasonable. However, the costs of MBS services are inappropriately included at 100% of the scheduled fee.</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Cost of other tissue biopsies</w:t>
            </w:r>
          </w:p>
        </w:tc>
        <w:tc>
          <w:tcPr>
            <w:tcW w:w="1500" w:type="dxa"/>
          </w:tcPr>
          <w:p w:rsidR="009F08A7" w:rsidRPr="00E12BDF" w:rsidRDefault="009F08A7" w:rsidP="00EB2DB2">
            <w:pPr>
              <w:pStyle w:val="TableText"/>
              <w:keepNext w:val="0"/>
              <w:ind w:left="-80"/>
              <w:jc w:val="center"/>
              <w:rPr>
                <w:szCs w:val="20"/>
              </w:rPr>
            </w:pPr>
            <w:r w:rsidRPr="00E12BDF">
              <w:rPr>
                <w:szCs w:val="20"/>
              </w:rPr>
              <w:t>0</w:t>
            </w:r>
          </w:p>
        </w:tc>
        <w:tc>
          <w:tcPr>
            <w:tcW w:w="1411" w:type="dxa"/>
          </w:tcPr>
          <w:p w:rsidR="009F08A7" w:rsidRPr="00E12BDF" w:rsidRDefault="009F08A7" w:rsidP="00EB2DB2">
            <w:pPr>
              <w:pStyle w:val="TableText"/>
              <w:keepNext w:val="0"/>
              <w:rPr>
                <w:szCs w:val="20"/>
              </w:rPr>
            </w:pPr>
            <w:r w:rsidRPr="00E12BDF">
              <w:rPr>
                <w:szCs w:val="20"/>
              </w:rPr>
              <w:t>Assumed.</w:t>
            </w:r>
          </w:p>
        </w:tc>
        <w:tc>
          <w:tcPr>
            <w:tcW w:w="4259" w:type="dxa"/>
          </w:tcPr>
          <w:p w:rsidR="009F08A7" w:rsidRPr="00E12BDF" w:rsidRDefault="007B7350" w:rsidP="007B7350">
            <w:pPr>
              <w:pStyle w:val="TableText"/>
              <w:keepNext w:val="0"/>
              <w:rPr>
                <w:szCs w:val="20"/>
              </w:rPr>
            </w:pPr>
            <w:r w:rsidRPr="00E12BDF">
              <w:rPr>
                <w:szCs w:val="20"/>
              </w:rPr>
              <w:t>The commentary considered this</w:t>
            </w:r>
            <w:r w:rsidR="009F08A7" w:rsidRPr="00E12BDF">
              <w:rPr>
                <w:szCs w:val="20"/>
              </w:rPr>
              <w:t xml:space="preserve"> may be reasonable. However, additional MBS costs may accrue for review of biopsies.</w:t>
            </w:r>
          </w:p>
        </w:tc>
      </w:tr>
      <w:tr w:rsidR="009F08A7" w:rsidRPr="00E12BDF" w:rsidTr="00EB2DB2">
        <w:tc>
          <w:tcPr>
            <w:tcW w:w="1847" w:type="dxa"/>
          </w:tcPr>
          <w:p w:rsidR="009F08A7" w:rsidRPr="00E12BDF" w:rsidRDefault="009F08A7" w:rsidP="00EB2DB2">
            <w:pPr>
              <w:pStyle w:val="TableText"/>
              <w:keepNext w:val="0"/>
              <w:rPr>
                <w:szCs w:val="20"/>
              </w:rPr>
            </w:pPr>
            <w:r w:rsidRPr="00E12BDF">
              <w:rPr>
                <w:szCs w:val="20"/>
              </w:rPr>
              <w:t>Proportion of eligible  patients receiving biopsies</w:t>
            </w:r>
          </w:p>
        </w:tc>
        <w:tc>
          <w:tcPr>
            <w:tcW w:w="1500" w:type="dxa"/>
          </w:tcPr>
          <w:p w:rsidR="009F08A7" w:rsidRPr="00E12BDF" w:rsidRDefault="009F08A7" w:rsidP="00EB2DB2">
            <w:pPr>
              <w:pStyle w:val="TableText"/>
              <w:keepNext w:val="0"/>
              <w:ind w:left="-80"/>
              <w:jc w:val="center"/>
              <w:rPr>
                <w:szCs w:val="20"/>
              </w:rPr>
            </w:pPr>
            <w:r w:rsidRPr="00E12BDF">
              <w:rPr>
                <w:szCs w:val="20"/>
              </w:rPr>
              <w:t>Myocardial - 10%</w:t>
            </w:r>
          </w:p>
          <w:p w:rsidR="009F08A7" w:rsidRPr="00E12BDF" w:rsidRDefault="009F08A7" w:rsidP="00EB2DB2">
            <w:pPr>
              <w:pStyle w:val="TableText"/>
              <w:keepNext w:val="0"/>
              <w:jc w:val="center"/>
              <w:rPr>
                <w:szCs w:val="20"/>
              </w:rPr>
            </w:pPr>
            <w:r w:rsidRPr="00E12BDF">
              <w:rPr>
                <w:szCs w:val="20"/>
              </w:rPr>
              <w:t>Other - 10%</w:t>
            </w:r>
          </w:p>
        </w:tc>
        <w:tc>
          <w:tcPr>
            <w:tcW w:w="1411" w:type="dxa"/>
          </w:tcPr>
          <w:p w:rsidR="009F08A7" w:rsidRPr="00E12BDF" w:rsidRDefault="009F08A7" w:rsidP="00EB2DB2">
            <w:pPr>
              <w:pStyle w:val="TableText"/>
              <w:keepNext w:val="0"/>
              <w:rPr>
                <w:szCs w:val="20"/>
              </w:rPr>
            </w:pPr>
            <w:r w:rsidRPr="00E12BDF">
              <w:rPr>
                <w:szCs w:val="20"/>
              </w:rPr>
              <w:t>Expert opinion.</w:t>
            </w:r>
          </w:p>
        </w:tc>
        <w:tc>
          <w:tcPr>
            <w:tcW w:w="4259" w:type="dxa"/>
          </w:tcPr>
          <w:p w:rsidR="009F08A7" w:rsidRPr="00E12BDF" w:rsidRDefault="009F08A7" w:rsidP="00EB2DB2">
            <w:pPr>
              <w:pStyle w:val="TableText"/>
              <w:keepNext w:val="0"/>
              <w:rPr>
                <w:szCs w:val="20"/>
              </w:rPr>
            </w:pPr>
            <w:r w:rsidRPr="00E12BDF">
              <w:rPr>
                <w:szCs w:val="20"/>
              </w:rPr>
              <w:t>Assumed.</w:t>
            </w:r>
          </w:p>
        </w:tc>
      </w:tr>
    </w:tbl>
    <w:p w:rsidR="009F08A7" w:rsidRPr="00E12BDF" w:rsidRDefault="009F08A7" w:rsidP="009F08A7">
      <w:pPr>
        <w:pStyle w:val="TableFooter"/>
      </w:pPr>
      <w:r w:rsidRPr="00E12BDF">
        <w:t>Source: Table 4.1.1, p.214, Section 4.1, pp.214-215, and Utilisation-and-cost-model-tafamidis_final.xlsx, of or attached to the submission.</w:t>
      </w:r>
    </w:p>
    <w:p w:rsidR="009F08A7" w:rsidRPr="00E12BDF" w:rsidRDefault="009F08A7" w:rsidP="000D5C4B">
      <w:pPr>
        <w:pStyle w:val="TableFooter"/>
        <w:keepNext/>
        <w:spacing w:after="240"/>
      </w:pPr>
      <w:r w:rsidRPr="00E12BDF">
        <w:t xml:space="preserve">Abbreviations: </w:t>
      </w:r>
      <w:r w:rsidRPr="00E12BDF">
        <w:rPr>
          <w:szCs w:val="18"/>
        </w:rPr>
        <w:t>ABS, Australian Bureau of Statistics; ATTR-CM, cardiac transthyretin amyloidosis; ATTRm, variant (mutated) transthyretin amyloidosis; ATTRwt, wild type transthyretin amyloidosis; HFpEF, heart failure with preserved ejection fraction; HFrEF, heart failure with reduced ejection fraction; NA, not applicable; yrs, years</w:t>
      </w:r>
      <w:r w:rsidRPr="00E12BDF">
        <w:t>.</w:t>
      </w:r>
    </w:p>
    <w:p w:rsidR="009F08A7" w:rsidRPr="00E12BDF" w:rsidRDefault="009F08A7" w:rsidP="009F08A7">
      <w:pPr>
        <w:pStyle w:val="ExecSumBodyText"/>
        <w:numPr>
          <w:ilvl w:val="1"/>
          <w:numId w:val="1"/>
        </w:numPr>
        <w:rPr>
          <w:color w:val="0066FF"/>
        </w:rPr>
      </w:pPr>
      <w:r w:rsidRPr="00E12BDF">
        <w:t>The table below presents the estimated use and financial impact of listing tafamidis on the PBS.</w:t>
      </w:r>
    </w:p>
    <w:p w:rsidR="009F08A7" w:rsidRPr="00E12BDF" w:rsidRDefault="001200F0" w:rsidP="009F08A7">
      <w:pPr>
        <w:pStyle w:val="TableFigureCaption"/>
      </w:pPr>
      <w:r>
        <w:t>Table 18</w:t>
      </w:r>
      <w:r w:rsidR="009F08A7" w:rsidRPr="00E12BDF">
        <w:t>: Estimated use and financial implications of listing tafamidis on the PBS (est. 2021-2026)</w:t>
      </w:r>
    </w:p>
    <w:tbl>
      <w:tblPr>
        <w:tblStyle w:val="TableGrid"/>
        <w:tblW w:w="0" w:type="auto"/>
        <w:tblLayout w:type="fixed"/>
        <w:tblLook w:val="04A0" w:firstRow="1" w:lastRow="0" w:firstColumn="1" w:lastColumn="0" w:noHBand="0" w:noVBand="1"/>
      </w:tblPr>
      <w:tblGrid>
        <w:gridCol w:w="2319"/>
        <w:gridCol w:w="1116"/>
        <w:gridCol w:w="1116"/>
        <w:gridCol w:w="1117"/>
        <w:gridCol w:w="1116"/>
        <w:gridCol w:w="1116"/>
        <w:gridCol w:w="1117"/>
      </w:tblGrid>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p>
        </w:tc>
        <w:tc>
          <w:tcPr>
            <w:tcW w:w="1116"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1</w:t>
            </w:r>
          </w:p>
        </w:tc>
        <w:tc>
          <w:tcPr>
            <w:tcW w:w="1116"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2</w:t>
            </w:r>
          </w:p>
        </w:tc>
        <w:tc>
          <w:tcPr>
            <w:tcW w:w="1117"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3</w:t>
            </w:r>
          </w:p>
        </w:tc>
        <w:tc>
          <w:tcPr>
            <w:tcW w:w="1116"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4</w:t>
            </w:r>
          </w:p>
        </w:tc>
        <w:tc>
          <w:tcPr>
            <w:tcW w:w="1116"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5</w:t>
            </w:r>
          </w:p>
        </w:tc>
        <w:tc>
          <w:tcPr>
            <w:tcW w:w="1117" w:type="dxa"/>
            <w:vAlign w:val="center"/>
          </w:tcPr>
          <w:p w:rsidR="009F08A7" w:rsidRPr="00E12BDF" w:rsidRDefault="009F08A7" w:rsidP="00EB2DB2">
            <w:pPr>
              <w:ind w:left="-86" w:right="-73"/>
              <w:jc w:val="center"/>
              <w:rPr>
                <w:rFonts w:ascii="Arial Narrow" w:hAnsi="Arial Narrow"/>
                <w:b/>
                <w:sz w:val="20"/>
                <w:szCs w:val="20"/>
              </w:rPr>
            </w:pPr>
            <w:r w:rsidRPr="00E12BDF">
              <w:rPr>
                <w:rFonts w:ascii="Arial Narrow" w:hAnsi="Arial Narrow"/>
                <w:b/>
                <w:sz w:val="20"/>
                <w:szCs w:val="20"/>
              </w:rPr>
              <w:t>Year 6</w:t>
            </w:r>
          </w:p>
        </w:tc>
      </w:tr>
      <w:tr w:rsidR="009F08A7" w:rsidRPr="00E12BDF" w:rsidTr="00EB2DB2">
        <w:tc>
          <w:tcPr>
            <w:tcW w:w="9017" w:type="dxa"/>
            <w:gridSpan w:val="7"/>
            <w:vAlign w:val="center"/>
          </w:tcPr>
          <w:p w:rsidR="009F08A7" w:rsidRPr="00E12BDF" w:rsidRDefault="009F08A7" w:rsidP="00EB2DB2">
            <w:pPr>
              <w:ind w:right="-72"/>
              <w:jc w:val="left"/>
              <w:rPr>
                <w:rFonts w:ascii="Arial Narrow" w:hAnsi="Arial Narrow"/>
                <w:b/>
                <w:sz w:val="20"/>
                <w:szCs w:val="20"/>
              </w:rPr>
            </w:pPr>
            <w:r w:rsidRPr="00E12BDF">
              <w:rPr>
                <w:rFonts w:ascii="Arial Narrow" w:hAnsi="Arial Narrow"/>
                <w:b/>
                <w:sz w:val="20"/>
                <w:szCs w:val="20"/>
              </w:rPr>
              <w:t xml:space="preserve">Estimated utilisation of tafamidis </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 xml:space="preserve">Prevalent population with ATTR-CM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Incident patients treated with tafamidis</w:t>
            </w:r>
          </w:p>
        </w:tc>
        <w:tc>
          <w:tcPr>
            <w:tcW w:w="1116"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7"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7" w:type="dxa"/>
            <w:vAlign w:val="center"/>
          </w:tcPr>
          <w:p w:rsidR="009F08A7" w:rsidRPr="005F357F" w:rsidRDefault="005F357F" w:rsidP="00EB2DB2">
            <w:pPr>
              <w:ind w:left="-86" w:right="-7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All patients treated with tafamidis (incident+prevalent)</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vertAlign w:val="superscript"/>
              </w:rPr>
            </w:pPr>
            <w:r w:rsidRPr="00E12BDF">
              <w:rPr>
                <w:rFonts w:ascii="Arial Narrow" w:hAnsi="Arial Narrow"/>
                <w:sz w:val="20"/>
                <w:szCs w:val="20"/>
              </w:rPr>
              <w:t>Average scripts per year</w:t>
            </w:r>
            <w:r w:rsidRPr="00E12BDF">
              <w:rPr>
                <w:rFonts w:ascii="Arial Narrow" w:hAnsi="Arial Narrow"/>
                <w:sz w:val="20"/>
                <w:szCs w:val="20"/>
                <w:vertAlign w:val="superscript"/>
              </w:rPr>
              <w:t>a</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vertAlign w:val="superscript"/>
              </w:rPr>
            </w:pPr>
            <w:r w:rsidRPr="00E12BDF">
              <w:rPr>
                <w:rFonts w:ascii="Arial Narrow" w:hAnsi="Arial Narrow"/>
                <w:sz w:val="20"/>
                <w:szCs w:val="20"/>
              </w:rPr>
              <w:t>Number of scripts per year</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6"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17" w:type="dxa"/>
            <w:vAlign w:val="center"/>
          </w:tcPr>
          <w:p w:rsidR="009F08A7" w:rsidRPr="005F357F" w:rsidRDefault="005F357F" w:rsidP="00EB2DB2">
            <w:pPr>
              <w:ind w:left="-86" w:right="-73"/>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r>
      <w:tr w:rsidR="009F08A7" w:rsidRPr="00E12BDF" w:rsidTr="00EB2DB2">
        <w:tc>
          <w:tcPr>
            <w:tcW w:w="9017" w:type="dxa"/>
            <w:gridSpan w:val="7"/>
            <w:vAlign w:val="center"/>
          </w:tcPr>
          <w:p w:rsidR="009F08A7" w:rsidRPr="00E12BDF" w:rsidRDefault="009F08A7" w:rsidP="00EB2DB2">
            <w:pPr>
              <w:ind w:right="-72"/>
              <w:jc w:val="left"/>
              <w:rPr>
                <w:rFonts w:ascii="Arial Narrow" w:hAnsi="Arial Narrow"/>
                <w:b/>
                <w:sz w:val="20"/>
                <w:szCs w:val="20"/>
              </w:rPr>
            </w:pPr>
            <w:r w:rsidRPr="00E12BDF">
              <w:rPr>
                <w:rFonts w:ascii="Arial Narrow" w:hAnsi="Arial Narrow"/>
                <w:b/>
                <w:sz w:val="20"/>
                <w:szCs w:val="20"/>
              </w:rPr>
              <w:t>Estimated financial implications of tafamidis to the PBS/RPBS (effective price)</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Cost of tafamidis to PBS/RPBS less copayment</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c>
          <w:tcPr>
            <w:tcW w:w="1117"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c>
          <w:tcPr>
            <w:tcW w:w="1117"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color w:val="000000"/>
                <w:sz w:val="20"/>
                <w:szCs w:val="20"/>
              </w:rPr>
              <w:t>$</w:t>
            </w:r>
            <w:r w:rsidR="005F357F">
              <w:rPr>
                <w:rFonts w:ascii="Arial Narrow" w:hAnsi="Arial Narrow"/>
                <w:b/>
                <w:noProof/>
                <w:color w:val="000000"/>
                <w:sz w:val="20"/>
                <w:szCs w:val="20"/>
                <w:highlight w:val="black"/>
              </w:rPr>
              <w:t>''''''''''''''''''''''''''</w:t>
            </w:r>
            <w:r w:rsidRPr="00E12BDF">
              <w:rPr>
                <w:rFonts w:ascii="Arial Narrow" w:hAnsi="Arial Narrow"/>
                <w:b/>
                <w:color w:val="000000"/>
                <w:sz w:val="20"/>
                <w:szCs w:val="20"/>
              </w:rPr>
              <w:t xml:space="preserve"> </w:t>
            </w:r>
          </w:p>
        </w:tc>
      </w:tr>
      <w:tr w:rsidR="009F08A7" w:rsidRPr="00E12BDF" w:rsidTr="00EB2DB2">
        <w:tc>
          <w:tcPr>
            <w:tcW w:w="9017" w:type="dxa"/>
            <w:gridSpan w:val="7"/>
            <w:vAlign w:val="center"/>
          </w:tcPr>
          <w:p w:rsidR="009F08A7" w:rsidRPr="00E12BDF" w:rsidRDefault="009F08A7" w:rsidP="00EB2DB2">
            <w:pPr>
              <w:ind w:right="-72"/>
              <w:jc w:val="left"/>
              <w:rPr>
                <w:rFonts w:ascii="Arial Narrow" w:hAnsi="Arial Narrow"/>
                <w:b/>
                <w:sz w:val="20"/>
                <w:szCs w:val="20"/>
              </w:rPr>
            </w:pPr>
            <w:r w:rsidRPr="00E12BDF">
              <w:rPr>
                <w:rFonts w:ascii="Arial Narrow" w:hAnsi="Arial Narrow"/>
                <w:b/>
                <w:sz w:val="20"/>
                <w:szCs w:val="20"/>
              </w:rPr>
              <w:t>Net financial implications of tafamidis (effective price)</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Net cost to PBS/RPBS</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color w:val="000000"/>
                <w:sz w:val="20"/>
                <w:szCs w:val="20"/>
              </w:rPr>
              <w:t>$</w:t>
            </w:r>
            <w:r w:rsidR="005F357F">
              <w:rPr>
                <w:rFonts w:ascii="Arial Narrow" w:hAnsi="Arial Narrow"/>
                <w:noProof/>
                <w:color w:val="000000"/>
                <w:sz w:val="20"/>
                <w:szCs w:val="20"/>
                <w:highlight w:val="black"/>
              </w:rPr>
              <w:t>''''''''''''''''''''''''''''</w:t>
            </w:r>
            <w:r w:rsidRPr="00E12BDF">
              <w:rPr>
                <w:rFonts w:ascii="Arial Narrow" w:hAnsi="Arial Narrow"/>
                <w:color w:val="000000"/>
                <w:sz w:val="20"/>
                <w:szCs w:val="20"/>
              </w:rPr>
              <w:t xml:space="preserve"> </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Net cost to MBS</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9F08A7" w:rsidRPr="00E12BDF" w:rsidRDefault="009F08A7" w:rsidP="00EB2DB2">
            <w:pPr>
              <w:ind w:left="-86" w:right="-73"/>
              <w:jc w:val="center"/>
              <w:rPr>
                <w:rFonts w:ascii="Arial Narrow" w:hAnsi="Arial Narrow"/>
                <w:color w:val="000000"/>
                <w:sz w:val="20"/>
                <w:szCs w:val="20"/>
              </w:rPr>
            </w:pPr>
            <w:r w:rsidRPr="00E12BDF">
              <w:rPr>
                <w:rFonts w:ascii="Arial Narrow" w:hAnsi="Arial Narrow"/>
                <w:sz w:val="20"/>
                <w:szCs w:val="20"/>
              </w:rPr>
              <w:t>$</w:t>
            </w:r>
            <w:r w:rsidR="005F357F">
              <w:rPr>
                <w:rFonts w:ascii="Arial Narrow" w:hAnsi="Arial Narrow"/>
                <w:noProof/>
                <w:color w:val="000000"/>
                <w:sz w:val="20"/>
                <w:szCs w:val="20"/>
                <w:highlight w:val="black"/>
              </w:rPr>
              <w:t>''''''''''''''''</w:t>
            </w:r>
            <w:r w:rsidRPr="00E12BDF">
              <w:rPr>
                <w:rFonts w:ascii="Arial Narrow" w:hAnsi="Arial Narrow"/>
                <w:sz w:val="20"/>
                <w:szCs w:val="20"/>
              </w:rPr>
              <w:t xml:space="preserve"> </w:t>
            </w:r>
          </w:p>
        </w:tc>
      </w:tr>
      <w:tr w:rsidR="009F08A7" w:rsidRPr="00E12BDF" w:rsidTr="00EB2DB2">
        <w:tc>
          <w:tcPr>
            <w:tcW w:w="2319" w:type="dxa"/>
            <w:vAlign w:val="center"/>
          </w:tcPr>
          <w:p w:rsidR="009F08A7" w:rsidRPr="00E12BDF" w:rsidRDefault="009F08A7" w:rsidP="00EB2DB2">
            <w:pPr>
              <w:ind w:right="-72"/>
              <w:jc w:val="left"/>
              <w:rPr>
                <w:rFonts w:ascii="Arial Narrow" w:hAnsi="Arial Narrow"/>
                <w:sz w:val="20"/>
                <w:szCs w:val="20"/>
              </w:rPr>
            </w:pPr>
            <w:r w:rsidRPr="00E12BDF">
              <w:rPr>
                <w:rFonts w:ascii="Arial Narrow" w:hAnsi="Arial Narrow"/>
                <w:sz w:val="20"/>
                <w:szCs w:val="20"/>
              </w:rPr>
              <w:t>Net cost to PBS/RPBS/MBS</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c>
          <w:tcPr>
            <w:tcW w:w="1117"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c>
          <w:tcPr>
            <w:tcW w:w="1116"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c>
          <w:tcPr>
            <w:tcW w:w="1117" w:type="dxa"/>
            <w:vAlign w:val="center"/>
          </w:tcPr>
          <w:p w:rsidR="009F08A7" w:rsidRPr="00E12BDF" w:rsidRDefault="009F08A7" w:rsidP="00EB2DB2">
            <w:pPr>
              <w:ind w:left="-86" w:right="-73"/>
              <w:jc w:val="center"/>
              <w:rPr>
                <w:rFonts w:ascii="Arial Narrow" w:hAnsi="Arial Narrow"/>
                <w:b/>
                <w:color w:val="000000"/>
                <w:sz w:val="20"/>
                <w:szCs w:val="20"/>
              </w:rPr>
            </w:pPr>
            <w:r w:rsidRPr="00E12BDF">
              <w:rPr>
                <w:rFonts w:ascii="Arial Narrow" w:hAnsi="Arial Narrow"/>
                <w:b/>
                <w:sz w:val="20"/>
                <w:szCs w:val="20"/>
              </w:rPr>
              <w:t>$</w:t>
            </w:r>
            <w:r w:rsidR="005F357F">
              <w:rPr>
                <w:rFonts w:ascii="Arial Narrow" w:hAnsi="Arial Narrow"/>
                <w:b/>
                <w:noProof/>
                <w:color w:val="000000"/>
                <w:sz w:val="20"/>
                <w:szCs w:val="20"/>
                <w:highlight w:val="black"/>
              </w:rPr>
              <w:t>'''''''''''''''''''''''''</w:t>
            </w:r>
          </w:p>
        </w:tc>
      </w:tr>
    </w:tbl>
    <w:p w:rsidR="009F08A7" w:rsidRPr="00E12BDF" w:rsidRDefault="009F08A7" w:rsidP="009F08A7">
      <w:pPr>
        <w:pStyle w:val="TableFigureFooter"/>
      </w:pPr>
      <w:r w:rsidRPr="00E12BDF">
        <w:t>Source: Tables 4.1.2, p.216, 4.2.1 and 4.2.2, p.218, 4.2.3, pp.220-223, 4.2.4 and 4.2.5, p.224, 4.2.7, p.225and 4.2.8, p.226 of the submission; Utilisation-and-cost-model-tafamidis_final.xlsx, attached to the submission.</w:t>
      </w:r>
    </w:p>
    <w:p w:rsidR="009F08A7" w:rsidRPr="00E12BDF" w:rsidRDefault="009F08A7" w:rsidP="009F08A7">
      <w:pPr>
        <w:pStyle w:val="TableFigureFooter"/>
      </w:pPr>
      <w:r w:rsidRPr="00E12BDF">
        <w:t xml:space="preserve">Abbreviations: </w:t>
      </w:r>
      <w:r w:rsidRPr="00E12BDF">
        <w:rPr>
          <w:szCs w:val="18"/>
        </w:rPr>
        <w:t>ATTR-CM, cardiac transthyretin amyloidosis</w:t>
      </w:r>
      <w:r w:rsidRPr="00E12BDF">
        <w:t>.</w:t>
      </w:r>
    </w:p>
    <w:p w:rsidR="009F08A7" w:rsidRPr="00E12BDF" w:rsidRDefault="009F08A7" w:rsidP="000D5C4B">
      <w:pPr>
        <w:pStyle w:val="TableFigureFooter"/>
        <w:keepNext/>
        <w:widowControl w:val="0"/>
        <w:spacing w:after="240"/>
      </w:pPr>
      <w:r w:rsidRPr="00E12BDF">
        <w:rPr>
          <w:vertAlign w:val="superscript"/>
        </w:rPr>
        <w:t>a</w:t>
      </w:r>
      <w:r w:rsidRPr="00E12BDF">
        <w:t xml:space="preserve">  Based on the number of patients alive and on treatment each month, assuming 1 script per patient per month. Given a script provides 30 days of tafamidis, it would be more appropriate to assume 1.014 [365/30/12] scripts per patient per month.</w:t>
      </w:r>
    </w:p>
    <w:p w:rsidR="009D4E1D" w:rsidRPr="00A16935" w:rsidRDefault="009D4E1D" w:rsidP="009D4E1D">
      <w:pPr>
        <w:pStyle w:val="ExecSumBodyText"/>
        <w:numPr>
          <w:ilvl w:val="0"/>
          <w:numId w:val="0"/>
        </w:numPr>
        <w:ind w:left="720" w:hanging="720"/>
        <w:rPr>
          <w:i/>
        </w:rPr>
      </w:pPr>
      <w:r w:rsidRPr="00A16935">
        <w:rPr>
          <w:i/>
        </w:rPr>
        <w:t>The redacted table shows that at Year 6, the estimated number of scripts was 10,000 – 50,000.</w:t>
      </w:r>
    </w:p>
    <w:p w:rsidR="009F08A7" w:rsidRPr="00E12BDF" w:rsidRDefault="009F08A7" w:rsidP="00E17C95">
      <w:pPr>
        <w:pStyle w:val="ExecSumBodyText"/>
        <w:numPr>
          <w:ilvl w:val="1"/>
          <w:numId w:val="1"/>
        </w:numPr>
        <w:rPr>
          <w:color w:val="0066FF"/>
        </w:rPr>
      </w:pPr>
      <w:r w:rsidRPr="00E12BDF">
        <w:t xml:space="preserve">The </w:t>
      </w:r>
      <w:r w:rsidR="00FA2CFE" w:rsidRPr="00E12BDF">
        <w:t xml:space="preserve">submission estimated that the </w:t>
      </w:r>
      <w:r w:rsidRPr="00E12BDF">
        <w:t>net cost to the PBS</w:t>
      </w:r>
      <w:r w:rsidR="00D53947" w:rsidRPr="00E12BDF">
        <w:t>/RPBS</w:t>
      </w:r>
      <w:r w:rsidRPr="00E12BDF">
        <w:t xml:space="preserve"> of tafamidis (effective price) was $</w:t>
      </w:r>
      <w:r w:rsidR="009D4E1D">
        <w:t>20 - $30</w:t>
      </w:r>
      <w:r w:rsidRPr="00E12BDF">
        <w:t xml:space="preserve"> million in Year 1, increasing to </w:t>
      </w:r>
      <w:r w:rsidR="009D4E1D">
        <w:t xml:space="preserve">more than $100 </w:t>
      </w:r>
      <w:r w:rsidRPr="00E12BDF">
        <w:t>million in Year 6, a total o</w:t>
      </w:r>
      <w:r w:rsidR="00FA2CFE" w:rsidRPr="00E12BDF">
        <w:t xml:space="preserve">f </w:t>
      </w:r>
      <w:r w:rsidR="009D4E1D">
        <w:t>more than $100</w:t>
      </w:r>
      <w:r w:rsidR="00FA2CFE" w:rsidRPr="00E12BDF">
        <w:t xml:space="preserve"> million over 6 years. </w:t>
      </w:r>
      <w:r w:rsidRPr="00E12BDF">
        <w:t>The net impact to the PBS/</w:t>
      </w:r>
      <w:r w:rsidR="00D53947" w:rsidRPr="00E12BDF">
        <w:t xml:space="preserve">RPBS and the </w:t>
      </w:r>
      <w:r w:rsidRPr="00E12BDF">
        <w:t xml:space="preserve">MBS </w:t>
      </w:r>
      <w:r w:rsidR="00FA2CFE" w:rsidRPr="00E12BDF">
        <w:t>was estimated to be</w:t>
      </w:r>
      <w:r w:rsidRPr="00E12BDF">
        <w:t xml:space="preserve"> </w:t>
      </w:r>
      <w:r w:rsidR="009D4E1D">
        <w:t xml:space="preserve">more than $100 </w:t>
      </w:r>
      <w:r w:rsidRPr="00E12BDF">
        <w:t>million over 6 years.</w:t>
      </w:r>
      <w:r w:rsidRPr="00E12BDF">
        <w:rPr>
          <w:color w:val="0066FF"/>
        </w:rPr>
        <w:t xml:space="preserve"> </w:t>
      </w:r>
    </w:p>
    <w:p w:rsidR="009F08A7" w:rsidRPr="00E12BDF" w:rsidRDefault="009F08A7" w:rsidP="0086569B">
      <w:pPr>
        <w:pStyle w:val="ExecSumBodyText"/>
      </w:pPr>
      <w:r w:rsidRPr="00E12BDF">
        <w:lastRenderedPageBreak/>
        <w:t xml:space="preserve">The submission </w:t>
      </w:r>
      <w:r w:rsidR="0086569B" w:rsidRPr="00E12BDF">
        <w:t>estimate</w:t>
      </w:r>
      <w:r w:rsidRPr="00E12BDF">
        <w:t xml:space="preserve">d that approximately </w:t>
      </w:r>
      <w:r w:rsidR="006314EC">
        <w:t>less than 10,000</w:t>
      </w:r>
      <w:r w:rsidR="006314EC" w:rsidRPr="00E12BDF">
        <w:t xml:space="preserve"> </w:t>
      </w:r>
      <w:r w:rsidRPr="00E12BDF">
        <w:t xml:space="preserve">patients currently treated with tafamidis </w:t>
      </w:r>
      <w:r w:rsidR="0086569B" w:rsidRPr="00E12BDF">
        <w:t>in</w:t>
      </w:r>
      <w:r w:rsidRPr="00E12BDF">
        <w:t xml:space="preserve"> compassionate programs </w:t>
      </w:r>
      <w:r w:rsidR="0086569B" w:rsidRPr="00E12BDF">
        <w:t>or</w:t>
      </w:r>
      <w:r w:rsidRPr="00E12BDF">
        <w:t xml:space="preserve"> clinical studies </w:t>
      </w:r>
      <w:r w:rsidR="0086569B" w:rsidRPr="00E12BDF">
        <w:t>would require grandfather treatment. DUSC considered that the submission’s approach to including grandfather patients (distributing incident patients in Year 1, divided evenly throughout the year over monthly cycles) would underestimate the financial impact of these patients.</w:t>
      </w:r>
    </w:p>
    <w:p w:rsidR="009F08A7" w:rsidRPr="00E12BDF" w:rsidRDefault="0062557E" w:rsidP="009F08A7">
      <w:pPr>
        <w:pStyle w:val="ExecSumBodyText"/>
        <w:numPr>
          <w:ilvl w:val="1"/>
          <w:numId w:val="1"/>
        </w:numPr>
        <w:rPr>
          <w:color w:val="0066FF"/>
        </w:rPr>
      </w:pPr>
      <w:r w:rsidRPr="00E12BDF">
        <w:t>DUSC considered t</w:t>
      </w:r>
      <w:r w:rsidR="009F08A7" w:rsidRPr="00E12BDF">
        <w:t>he</w:t>
      </w:r>
      <w:r w:rsidR="009F08A7" w:rsidRPr="00E12BDF">
        <w:rPr>
          <w:color w:val="0066FF"/>
        </w:rPr>
        <w:t xml:space="preserve"> </w:t>
      </w:r>
      <w:r w:rsidR="009F08A7" w:rsidRPr="00E12BDF">
        <w:t xml:space="preserve">estimated net cost of tafamidis </w:t>
      </w:r>
      <w:r w:rsidR="009823E6" w:rsidRPr="00E12BDF">
        <w:t>was significantly underestimated</w:t>
      </w:r>
      <w:r w:rsidR="009F08A7" w:rsidRPr="00E12BDF">
        <w:t xml:space="preserve"> due to the following issues:</w:t>
      </w:r>
    </w:p>
    <w:p w:rsidR="00F846FA" w:rsidRPr="00E12BDF" w:rsidRDefault="009F08A7" w:rsidP="000D306A">
      <w:pPr>
        <w:pStyle w:val="ListParagraph"/>
        <w:numPr>
          <w:ilvl w:val="0"/>
          <w:numId w:val="25"/>
        </w:numPr>
        <w:ind w:left="1134"/>
        <w:rPr>
          <w:rFonts w:asciiTheme="minorHAnsi" w:hAnsiTheme="minorHAnsi"/>
          <w:snapToGrid w:val="0"/>
          <w:szCs w:val="20"/>
        </w:rPr>
      </w:pPr>
      <w:r w:rsidRPr="00E12BDF">
        <w:t xml:space="preserve">The estimated eligible Australian population likely to be treated with tafamidis was </w:t>
      </w:r>
      <w:r w:rsidR="00C948C7" w:rsidRPr="00E12BDF">
        <w:t>based on the product of multiple factors (estimated proportions of patients with preserved ejection fraction, amyloid deposition, likely to be suspected, likely to be tested, likely to be diagnosed, likely to be treated, likely to be treated with tafamidis), and upscaling adjustments (proportions female, ATTRm, reduced ejection fraction), based on data sources with various issues (underestimates compared with alternative sources, use of older data not applicable to current Australian clinical practice, unsupported assumptions), resulting in substantial cumulative uncertainty, and overlap between factors</w:t>
      </w:r>
      <w:r w:rsidRPr="00E12BDF">
        <w:t>.</w:t>
      </w:r>
      <w:r w:rsidR="00C948C7" w:rsidRPr="00E12BDF">
        <w:t xml:space="preserve"> For example:</w:t>
      </w:r>
    </w:p>
    <w:p w:rsidR="009F08A7" w:rsidRPr="00E12BDF" w:rsidRDefault="00F846FA" w:rsidP="00F846FA">
      <w:pPr>
        <w:pStyle w:val="ListParagraph"/>
        <w:numPr>
          <w:ilvl w:val="1"/>
          <w:numId w:val="25"/>
        </w:numPr>
        <w:rPr>
          <w:rFonts w:asciiTheme="minorHAnsi" w:hAnsiTheme="minorHAnsi"/>
          <w:snapToGrid w:val="0"/>
          <w:szCs w:val="20"/>
        </w:rPr>
      </w:pPr>
      <w:r w:rsidRPr="00E12BDF">
        <w:t xml:space="preserve">DUSC noted that the </w:t>
      </w:r>
      <w:r w:rsidR="00A036C1" w:rsidRPr="00E12BDF">
        <w:t xml:space="preserve">source used to estimate the prevalence of females with ATTRwt, and ATTRm related ATTR-CM could not be located, but the estimate (6%) was lower than reported in the ATTR-ACT trial (9.7%) and the published literature (up to 19%, Gonzales-Lopez et al. 2017). DUSC considered that the sponsor’s female estimate </w:t>
      </w:r>
      <w:r w:rsidR="00C948C7" w:rsidRPr="00E12BDF">
        <w:t>wa</w:t>
      </w:r>
      <w:r w:rsidR="00A036C1" w:rsidRPr="00E12BDF">
        <w:t>s most likely underestimated.</w:t>
      </w:r>
    </w:p>
    <w:p w:rsidR="003201A4" w:rsidRPr="00E12BDF" w:rsidRDefault="003201A4" w:rsidP="00F846FA">
      <w:pPr>
        <w:pStyle w:val="ListParagraph"/>
        <w:numPr>
          <w:ilvl w:val="1"/>
          <w:numId w:val="25"/>
        </w:numPr>
        <w:rPr>
          <w:rFonts w:asciiTheme="minorHAnsi" w:hAnsiTheme="minorHAnsi"/>
          <w:snapToGrid w:val="0"/>
          <w:szCs w:val="20"/>
        </w:rPr>
      </w:pPr>
      <w:r w:rsidRPr="00E12BDF">
        <w:t>The estimated proportions of males aged ≥ 60 years with heart failure were based on self-reported cases collated in the ABS Australian Health Survey 2011-2012, excluding patients in hospitals, and nursing or convalescent homes, and are most likely underestimated. More recent clinical studies of the prevalence of heart failure in the Australian setting have estimated a higher prevalence (Chan et al. 2015; Abhayaratna et al. 2006).</w:t>
      </w:r>
    </w:p>
    <w:p w:rsidR="009F08A7" w:rsidRPr="00E12BDF" w:rsidRDefault="009F08A7" w:rsidP="009F08A7">
      <w:pPr>
        <w:pStyle w:val="ListParagraph"/>
        <w:numPr>
          <w:ilvl w:val="0"/>
          <w:numId w:val="25"/>
        </w:numPr>
        <w:ind w:left="1134"/>
      </w:pPr>
      <w:r w:rsidRPr="00E12BDF">
        <w:t>The decreasing numbers of prevalent patients over the six year estimates, and decreasing numbers of incident patients after Year 2 do not meet face validity given the increase in the prevalence of heart failure in the Australian setting over time (Heart Foundation, Australia; Chan et al. 2015).</w:t>
      </w:r>
      <w:r w:rsidR="00730961" w:rsidRPr="00E12BDF">
        <w:rPr>
          <w:rFonts w:asciiTheme="minorHAnsi" w:hAnsiTheme="minorHAnsi"/>
          <w:i/>
          <w:iCs/>
          <w:snapToGrid w:val="0"/>
          <w:lang w:eastAsia="en-US"/>
        </w:rPr>
        <w:t xml:space="preserve"> </w:t>
      </w:r>
      <w:r w:rsidR="00730961" w:rsidRPr="00E12BDF">
        <w:rPr>
          <w:iCs/>
        </w:rPr>
        <w:t xml:space="preserve">The PSCR argued that the estimates of HFrEF patients reduced over time due to likely earlier identification and </w:t>
      </w:r>
      <w:r w:rsidR="006E2FF8" w:rsidRPr="00E12BDF">
        <w:rPr>
          <w:iCs/>
        </w:rPr>
        <w:t>slowing</w:t>
      </w:r>
      <w:r w:rsidR="00730961" w:rsidRPr="00E12BDF">
        <w:rPr>
          <w:iCs/>
        </w:rPr>
        <w:t xml:space="preserve"> of progress to reduced ejection fraction based on advice from clinical experts. Due to the decreasing number of these patients, the number of prevalent patients appears to decrease over time. </w:t>
      </w:r>
      <w:r w:rsidR="00730961" w:rsidRPr="00E12BDF">
        <w:rPr>
          <w:bCs/>
          <w:iCs/>
        </w:rPr>
        <w:t xml:space="preserve">DUSC did not agree with the </w:t>
      </w:r>
      <w:r w:rsidR="009823E6" w:rsidRPr="00E12BDF">
        <w:rPr>
          <w:bCs/>
          <w:iCs/>
        </w:rPr>
        <w:t>PSCR</w:t>
      </w:r>
      <w:r w:rsidR="00730961" w:rsidRPr="00E12BDF">
        <w:rPr>
          <w:bCs/>
          <w:iCs/>
        </w:rPr>
        <w:t xml:space="preserve"> </w:t>
      </w:r>
      <w:r w:rsidR="00F846FA" w:rsidRPr="00E12BDF">
        <w:rPr>
          <w:bCs/>
          <w:iCs/>
        </w:rPr>
        <w:t>and considered</w:t>
      </w:r>
      <w:r w:rsidR="00730961" w:rsidRPr="00E12BDF">
        <w:rPr>
          <w:bCs/>
          <w:iCs/>
        </w:rPr>
        <w:t xml:space="preserve"> that the resulting decreasing prevalent population modelled over the six year period does not meet face validity.</w:t>
      </w:r>
    </w:p>
    <w:p w:rsidR="009F08A7" w:rsidRPr="00E12BDF" w:rsidRDefault="00F846FA" w:rsidP="009F08A7">
      <w:pPr>
        <w:pStyle w:val="ListParagraph"/>
        <w:numPr>
          <w:ilvl w:val="0"/>
          <w:numId w:val="25"/>
        </w:numPr>
        <w:ind w:left="1134"/>
      </w:pPr>
      <w:r w:rsidRPr="00E12BDF">
        <w:t>DUSC considered that t</w:t>
      </w:r>
      <w:r w:rsidR="009F08A7" w:rsidRPr="00E12BDF">
        <w:t>he estimated prevalence of patients with heart failure with preserved ejection fraction, based on 30 year old US data from one Midwestern county, is unlikely to reflect prevalence in the current Australian setting, and is most likely a substantial underestimate.</w:t>
      </w:r>
      <w:r w:rsidR="00730961" w:rsidRPr="00E12BDF">
        <w:rPr>
          <w:rFonts w:asciiTheme="minorHAnsi" w:hAnsiTheme="minorHAnsi"/>
          <w:bCs/>
          <w:iCs/>
          <w:snapToGrid w:val="0"/>
          <w:lang w:eastAsia="en-US"/>
        </w:rPr>
        <w:t xml:space="preserve"> </w:t>
      </w:r>
    </w:p>
    <w:p w:rsidR="009F08A7" w:rsidRPr="00E12BDF" w:rsidRDefault="00764A61" w:rsidP="009F08A7">
      <w:pPr>
        <w:pStyle w:val="ListParagraph"/>
        <w:numPr>
          <w:ilvl w:val="0"/>
          <w:numId w:val="25"/>
        </w:numPr>
        <w:ind w:left="1134"/>
      </w:pPr>
      <w:r w:rsidRPr="00E12BDF">
        <w:lastRenderedPageBreak/>
        <w:t xml:space="preserve">The estimated prevalence rates of amyloid deposition in patients with heart failure with preserved ejection fraction were based on incidental findings in patients aged 75 years and older (Mohamed-Salem et al. 2018). </w:t>
      </w:r>
      <w:r w:rsidR="00F846FA" w:rsidRPr="00E12BDF">
        <w:t>DUSC considered t</w:t>
      </w:r>
      <w:r w:rsidRPr="00E12BDF">
        <w:t>hese estimates are unlikely to be representative of amyloid disposition in the target population. It is unclear how amyloid deposition in younger patients aged &lt; 75 years wer</w:t>
      </w:r>
      <w:r w:rsidR="00183E10" w:rsidRPr="00E12BDF">
        <w:t>e determined for the submission</w:t>
      </w:r>
      <w:r w:rsidR="009F08A7" w:rsidRPr="00E12BDF">
        <w:t>.</w:t>
      </w:r>
    </w:p>
    <w:p w:rsidR="009F08A7" w:rsidRPr="00E12BDF" w:rsidRDefault="009F08A7" w:rsidP="009F08A7">
      <w:pPr>
        <w:pStyle w:val="ListParagraph"/>
        <w:numPr>
          <w:ilvl w:val="0"/>
          <w:numId w:val="25"/>
        </w:numPr>
        <w:ind w:left="1134"/>
      </w:pPr>
      <w:r w:rsidRPr="00E12BDF">
        <w:t xml:space="preserve">The submission assumed that the prevalence of eligible patients with heart failure with reduced ejection fraction would decrease over time due to treatment with tafamidis. This assumption was not adequately supported by the clinical data, and may not reflect </w:t>
      </w:r>
      <w:r w:rsidR="009823E6" w:rsidRPr="00E12BDF">
        <w:t xml:space="preserve">the </w:t>
      </w:r>
      <w:r w:rsidRPr="00E12BDF">
        <w:t>ATTR-CM disease trajectory in the Australian setting if tafamidis is listed on the PBS. In addition, the proportions of patients with preserved ejection fraction was not adjusted for the estimated reduction in heart failure progression.</w:t>
      </w:r>
    </w:p>
    <w:p w:rsidR="009F08A7" w:rsidRPr="00E12BDF" w:rsidRDefault="008D784C" w:rsidP="009F08A7">
      <w:pPr>
        <w:pStyle w:val="ListParagraph"/>
        <w:numPr>
          <w:ilvl w:val="0"/>
          <w:numId w:val="25"/>
        </w:numPr>
        <w:ind w:left="1134"/>
      </w:pPr>
      <w:r w:rsidRPr="00E12BDF">
        <w:t>DUSC considered t</w:t>
      </w:r>
      <w:r w:rsidR="009F08A7" w:rsidRPr="00E12BDF">
        <w:t>he submission’s approach to deriving the incident population, distributing each year’s population over monthly cycles</w:t>
      </w:r>
      <w:r w:rsidRPr="00E12BDF">
        <w:t xml:space="preserve"> was overly complex and may include double counting of prevalent patients</w:t>
      </w:r>
      <w:r w:rsidR="009F08A7" w:rsidRPr="00E12BDF">
        <w:t xml:space="preserve"> and inadequately accounting for grandfathered patients underestimates the financial implications.</w:t>
      </w:r>
    </w:p>
    <w:p w:rsidR="00576972" w:rsidRPr="00E12BDF" w:rsidRDefault="00576972" w:rsidP="00606FBA">
      <w:pPr>
        <w:pStyle w:val="3-SubsectionHeading"/>
      </w:pPr>
      <w:bookmarkStart w:id="30" w:name="_Toc22897648"/>
      <w:bookmarkStart w:id="31" w:name="_Toc40868602"/>
      <w:r w:rsidRPr="00E12BDF">
        <w:t>Quality Use of Medicines</w:t>
      </w:r>
      <w:bookmarkEnd w:id="30"/>
      <w:bookmarkEnd w:id="31"/>
    </w:p>
    <w:p w:rsidR="00171B52" w:rsidRPr="00E12BDF" w:rsidRDefault="00171B52" w:rsidP="00171B52">
      <w:pPr>
        <w:pStyle w:val="ExecSumBodyText"/>
      </w:pPr>
      <w:r w:rsidRPr="00E12BDF">
        <w:t>The sponsor</w:t>
      </w:r>
      <w:r w:rsidR="00DE16E5" w:rsidRPr="00E12BDF">
        <w:t xml:space="preserve"> stated that it had</w:t>
      </w:r>
      <w:r w:rsidRPr="00E12BDF">
        <w:t xml:space="preserve"> established an education steering committee including an amyloid specialist, nuclear physicians and cardiologists, to develop a training program for clinicians to increase disease awareness and facilitate earlier diagnosis.</w:t>
      </w:r>
    </w:p>
    <w:p w:rsidR="00636700" w:rsidRPr="00E12BDF" w:rsidRDefault="00636700" w:rsidP="00636700">
      <w:pPr>
        <w:pStyle w:val="ExecSumBodyText"/>
      </w:pPr>
      <w:r w:rsidRPr="00E12BDF">
        <w:t xml:space="preserve">DUSC </w:t>
      </w:r>
      <w:r w:rsidR="00DE16E5" w:rsidRPr="00E12BDF">
        <w:t>note</w:t>
      </w:r>
      <w:r w:rsidRPr="00E12BDF">
        <w:t xml:space="preserve">d that the </w:t>
      </w:r>
      <w:r w:rsidR="00DE16E5" w:rsidRPr="00E12BDF">
        <w:t xml:space="preserve">submission had not outlined the </w:t>
      </w:r>
      <w:r w:rsidRPr="00E12BDF">
        <w:t>possibility of drug-drug interaction</w:t>
      </w:r>
      <w:r w:rsidR="00DE16E5" w:rsidRPr="00E12BDF">
        <w:t>s</w:t>
      </w:r>
      <w:r w:rsidRPr="00E12BDF">
        <w:t xml:space="preserve"> despite the only clinical trial (ATTR-ACT) excluding people receiving calcium channel blockers or digoxin. The pre-PBAC response stated that these medicines are contraindicated as they bind to amyloid fibrils and may increase toxicity and hence excluded from the trial. The pre-PBAC response provided no further information on the estimated number of patients cur</w:t>
      </w:r>
      <w:r w:rsidR="002216AE" w:rsidRPr="00E12BDF">
        <w:t>rently using these two therapies</w:t>
      </w:r>
      <w:r w:rsidRPr="00E12BDF">
        <w:t xml:space="preserve"> who may be impacted. </w:t>
      </w:r>
    </w:p>
    <w:p w:rsidR="009D07C3" w:rsidRPr="00E12BDF" w:rsidRDefault="009D07C3" w:rsidP="009D07C3">
      <w:pPr>
        <w:pStyle w:val="3-SubsectionHeading"/>
      </w:pPr>
      <w:bookmarkStart w:id="32" w:name="_Toc22897649"/>
      <w:bookmarkStart w:id="33" w:name="_Toc40868603"/>
      <w:r w:rsidRPr="00E12BDF">
        <w:t>Financial Management – Risk Sharing Arrangements</w:t>
      </w:r>
      <w:bookmarkEnd w:id="32"/>
      <w:bookmarkEnd w:id="33"/>
    </w:p>
    <w:p w:rsidR="009D07C3" w:rsidRPr="00E12BDF" w:rsidRDefault="009D07C3" w:rsidP="009D07C3">
      <w:pPr>
        <w:pStyle w:val="ExecSumBodyText"/>
      </w:pPr>
      <w:r w:rsidRPr="00E12BDF">
        <w:t>The submission acknowledged the uncertainty around the utilisation and financial implications to the PBS of listing tafamidis, and sug</w:t>
      </w:r>
      <w:r w:rsidR="00BF4415" w:rsidRPr="00E12BDF">
        <w:t>gested a volume-based risk sharing</w:t>
      </w:r>
      <w:r w:rsidRPr="00E12BDF">
        <w:t xml:space="preserve"> arrangement </w:t>
      </w:r>
      <w:r w:rsidR="00BF4415" w:rsidRPr="00E12BDF">
        <w:t xml:space="preserve">(RSA) </w:t>
      </w:r>
      <w:r w:rsidRPr="00E12BDF">
        <w:t xml:space="preserve">may be appropriate. Details of a proposed </w:t>
      </w:r>
      <w:r w:rsidR="00BF4415" w:rsidRPr="00E12BDF">
        <w:t>RSA</w:t>
      </w:r>
      <w:r w:rsidRPr="00E12BDF">
        <w:t xml:space="preserve"> were not included in the submission or the PSCR. The limitations of the data and methodology that make it difficult to estimate the eligible population size would also make it difficult to establish an appropriate volume cap for the target ATTR-CM population.</w:t>
      </w:r>
    </w:p>
    <w:p w:rsidR="00972D2D" w:rsidRPr="00E12BDF" w:rsidRDefault="00972D2D" w:rsidP="00DE16E5">
      <w:pPr>
        <w:pStyle w:val="ExecSumBodyText"/>
        <w:numPr>
          <w:ilvl w:val="0"/>
          <w:numId w:val="0"/>
        </w:numPr>
        <w:ind w:left="720"/>
        <w:rPr>
          <w:i/>
        </w:rPr>
      </w:pPr>
      <w:r w:rsidRPr="00E12BDF">
        <w:rPr>
          <w:i/>
        </w:rPr>
        <w:t>For more detail on PBAC’s view, see section 7 PBAC outcome.</w:t>
      </w:r>
    </w:p>
    <w:p w:rsidR="007C76DF" w:rsidRPr="00E12BDF" w:rsidRDefault="007C76DF" w:rsidP="00382F2E">
      <w:pPr>
        <w:keepNext/>
        <w:widowControl w:val="0"/>
        <w:numPr>
          <w:ilvl w:val="0"/>
          <w:numId w:val="1"/>
        </w:numPr>
        <w:spacing w:before="240" w:after="120"/>
        <w:jc w:val="left"/>
        <w:outlineLvl w:val="0"/>
        <w:rPr>
          <w:rFonts w:asciiTheme="minorHAnsi" w:hAnsiTheme="minorHAnsi"/>
          <w:b/>
          <w:bCs/>
          <w:snapToGrid w:val="0"/>
          <w:sz w:val="32"/>
          <w:lang w:eastAsia="en-US"/>
        </w:rPr>
      </w:pPr>
      <w:r w:rsidRPr="00E12BDF">
        <w:rPr>
          <w:rFonts w:asciiTheme="minorHAnsi" w:hAnsiTheme="minorHAnsi"/>
          <w:b/>
          <w:bCs/>
          <w:snapToGrid w:val="0"/>
          <w:sz w:val="32"/>
          <w:lang w:eastAsia="en-US"/>
        </w:rPr>
        <w:t>PBAC Outcome</w:t>
      </w:r>
    </w:p>
    <w:p w:rsidR="007C76DF" w:rsidRPr="00E12BDF" w:rsidRDefault="00715E55" w:rsidP="00445C85">
      <w:pPr>
        <w:widowControl w:val="0"/>
        <w:numPr>
          <w:ilvl w:val="1"/>
          <w:numId w:val="1"/>
        </w:numPr>
        <w:spacing w:after="120"/>
        <w:rPr>
          <w:rFonts w:asciiTheme="minorHAnsi" w:hAnsiTheme="minorHAnsi"/>
          <w:bCs/>
          <w:snapToGrid w:val="0"/>
          <w:lang w:eastAsia="en-US"/>
        </w:rPr>
      </w:pPr>
      <w:r w:rsidRPr="00E12BDF">
        <w:rPr>
          <w:rFonts w:asciiTheme="minorHAnsi" w:hAnsiTheme="minorHAnsi"/>
          <w:bCs/>
          <w:snapToGrid w:val="0"/>
          <w:lang w:eastAsia="en-US"/>
        </w:rPr>
        <w:t>The PBAC did not recommend tafamidis for the treatment of</w:t>
      </w:r>
      <w:r w:rsidR="00B827C9" w:rsidRPr="00E12BDF">
        <w:rPr>
          <w:rFonts w:asciiTheme="minorHAnsi" w:hAnsiTheme="minorHAnsi"/>
          <w:bCs/>
          <w:snapToGrid w:val="0"/>
          <w:lang w:eastAsia="en-US"/>
        </w:rPr>
        <w:t xml:space="preserve"> patients with</w:t>
      </w:r>
      <w:r w:rsidRPr="00E12BDF">
        <w:rPr>
          <w:rFonts w:asciiTheme="minorHAnsi" w:hAnsiTheme="minorHAnsi"/>
          <w:bCs/>
          <w:snapToGrid w:val="0"/>
          <w:lang w:eastAsia="en-US"/>
        </w:rPr>
        <w:t xml:space="preserve"> transthyretin amyloid cardiomyopathy</w:t>
      </w:r>
      <w:r w:rsidR="001B7746" w:rsidRPr="00E12BDF">
        <w:rPr>
          <w:rFonts w:asciiTheme="minorHAnsi" w:hAnsiTheme="minorHAnsi"/>
          <w:bCs/>
          <w:snapToGrid w:val="0"/>
          <w:lang w:eastAsia="en-US"/>
        </w:rPr>
        <w:t xml:space="preserve"> (ATTR-CM)</w:t>
      </w:r>
      <w:r w:rsidR="00B827C9" w:rsidRPr="00E12BDF">
        <w:rPr>
          <w:rFonts w:asciiTheme="minorHAnsi" w:hAnsiTheme="minorHAnsi"/>
          <w:bCs/>
          <w:snapToGrid w:val="0"/>
          <w:lang w:eastAsia="en-US"/>
        </w:rPr>
        <w:t xml:space="preserve">. The PBAC accepted that tafamidis </w:t>
      </w:r>
      <w:r w:rsidR="00B827C9" w:rsidRPr="00E12BDF">
        <w:rPr>
          <w:rFonts w:asciiTheme="minorHAnsi" w:hAnsiTheme="minorHAnsi"/>
          <w:bCs/>
          <w:snapToGrid w:val="0"/>
          <w:lang w:eastAsia="en-US"/>
        </w:rPr>
        <w:lastRenderedPageBreak/>
        <w:t xml:space="preserve">was clinically superior to current standard management. However, the PBAC considered that the incremental cost-effectiveness ratio (ICER) </w:t>
      </w:r>
      <w:r w:rsidR="00CA09EB" w:rsidRPr="00E12BDF">
        <w:rPr>
          <w:rFonts w:asciiTheme="minorHAnsi" w:hAnsiTheme="minorHAnsi"/>
          <w:bCs/>
          <w:snapToGrid w:val="0"/>
          <w:lang w:eastAsia="en-US"/>
        </w:rPr>
        <w:t xml:space="preserve">had not been reliably estimated and </w:t>
      </w:r>
      <w:r w:rsidR="00B827C9" w:rsidRPr="00E12BDF">
        <w:rPr>
          <w:rFonts w:asciiTheme="minorHAnsi" w:hAnsiTheme="minorHAnsi"/>
          <w:bCs/>
          <w:snapToGrid w:val="0"/>
          <w:lang w:eastAsia="en-US"/>
        </w:rPr>
        <w:t xml:space="preserve">was </w:t>
      </w:r>
      <w:r w:rsidR="00EA0280" w:rsidRPr="00E12BDF">
        <w:rPr>
          <w:rFonts w:asciiTheme="minorHAnsi" w:hAnsiTheme="minorHAnsi"/>
          <w:bCs/>
          <w:snapToGrid w:val="0"/>
          <w:lang w:eastAsia="en-US"/>
        </w:rPr>
        <w:t xml:space="preserve">unacceptably high </w:t>
      </w:r>
      <w:r w:rsidR="00CA09EB" w:rsidRPr="00E12BDF">
        <w:rPr>
          <w:rFonts w:asciiTheme="minorHAnsi" w:hAnsiTheme="minorHAnsi"/>
          <w:bCs/>
          <w:snapToGrid w:val="0"/>
          <w:lang w:eastAsia="en-US"/>
        </w:rPr>
        <w:t xml:space="preserve">at the price proposed in the submission. The PBAC considered that </w:t>
      </w:r>
      <w:r w:rsidR="00B827C9" w:rsidRPr="00E12BDF">
        <w:rPr>
          <w:rFonts w:asciiTheme="minorHAnsi" w:hAnsiTheme="minorHAnsi"/>
          <w:bCs/>
          <w:snapToGrid w:val="0"/>
          <w:lang w:eastAsia="en-US"/>
        </w:rPr>
        <w:t>the financial estimates were highly uncertain</w:t>
      </w:r>
      <w:r w:rsidR="00F47100" w:rsidRPr="00E12BDF">
        <w:rPr>
          <w:rFonts w:asciiTheme="minorHAnsi" w:hAnsiTheme="minorHAnsi"/>
          <w:bCs/>
          <w:snapToGrid w:val="0"/>
          <w:lang w:eastAsia="en-US"/>
        </w:rPr>
        <w:t xml:space="preserve"> and </w:t>
      </w:r>
      <w:r w:rsidR="00584032">
        <w:rPr>
          <w:rFonts w:asciiTheme="minorHAnsi" w:hAnsiTheme="minorHAnsi"/>
          <w:bCs/>
          <w:snapToGrid w:val="0"/>
          <w:lang w:eastAsia="en-US"/>
        </w:rPr>
        <w:t xml:space="preserve">highly likely to be </w:t>
      </w:r>
      <w:r w:rsidR="00F47100" w:rsidRPr="00E12BDF">
        <w:rPr>
          <w:rFonts w:asciiTheme="minorHAnsi" w:hAnsiTheme="minorHAnsi"/>
          <w:bCs/>
          <w:snapToGrid w:val="0"/>
          <w:lang w:eastAsia="en-US"/>
        </w:rPr>
        <w:t>underestimated</w:t>
      </w:r>
      <w:r w:rsidR="00B827C9" w:rsidRPr="00E12BDF">
        <w:rPr>
          <w:rFonts w:asciiTheme="minorHAnsi" w:hAnsiTheme="minorHAnsi"/>
          <w:bCs/>
          <w:snapToGrid w:val="0"/>
          <w:lang w:eastAsia="en-US"/>
        </w:rPr>
        <w:t>.</w:t>
      </w:r>
    </w:p>
    <w:p w:rsidR="00B827C9" w:rsidRPr="00E12BDF" w:rsidRDefault="00B827C9" w:rsidP="00445C85">
      <w:pPr>
        <w:widowControl w:val="0"/>
        <w:numPr>
          <w:ilvl w:val="1"/>
          <w:numId w:val="1"/>
        </w:numPr>
        <w:spacing w:after="120"/>
        <w:rPr>
          <w:rFonts w:asciiTheme="minorHAnsi" w:hAnsiTheme="minorHAnsi"/>
          <w:bCs/>
          <w:snapToGrid w:val="0"/>
          <w:lang w:eastAsia="en-US"/>
        </w:rPr>
      </w:pPr>
      <w:r w:rsidRPr="00E12BDF">
        <w:rPr>
          <w:rFonts w:asciiTheme="minorHAnsi" w:hAnsiTheme="minorHAnsi"/>
          <w:bCs/>
          <w:snapToGrid w:val="0"/>
          <w:lang w:eastAsia="en-US"/>
        </w:rPr>
        <w:t>The</w:t>
      </w:r>
      <w:r w:rsidR="00764A61" w:rsidRPr="00E12BDF">
        <w:rPr>
          <w:rFonts w:asciiTheme="minorHAnsi" w:hAnsiTheme="minorHAnsi"/>
          <w:bCs/>
          <w:snapToGrid w:val="0"/>
          <w:lang w:eastAsia="en-US"/>
        </w:rPr>
        <w:t xml:space="preserve"> PBAC considered there </w:t>
      </w:r>
      <w:r w:rsidR="00445C85" w:rsidRPr="00E12BDF">
        <w:rPr>
          <w:rFonts w:asciiTheme="minorHAnsi" w:hAnsiTheme="minorHAnsi"/>
          <w:bCs/>
          <w:snapToGrid w:val="0"/>
          <w:lang w:eastAsia="en-US"/>
        </w:rPr>
        <w:t>is</w:t>
      </w:r>
      <w:r w:rsidR="00764A61" w:rsidRPr="00E12BDF">
        <w:rPr>
          <w:rFonts w:asciiTheme="minorHAnsi" w:hAnsiTheme="minorHAnsi"/>
          <w:bCs/>
          <w:snapToGrid w:val="0"/>
          <w:lang w:eastAsia="en-US"/>
        </w:rPr>
        <w:t xml:space="preserve"> a high unmet clinical need for </w:t>
      </w:r>
      <w:r w:rsidR="00311C04" w:rsidRPr="00E12BDF">
        <w:rPr>
          <w:rFonts w:asciiTheme="minorHAnsi" w:hAnsiTheme="minorHAnsi"/>
          <w:bCs/>
          <w:snapToGrid w:val="0"/>
          <w:lang w:eastAsia="en-US"/>
        </w:rPr>
        <w:t xml:space="preserve">effective </w:t>
      </w:r>
      <w:r w:rsidR="00764A61" w:rsidRPr="00E12BDF">
        <w:rPr>
          <w:rFonts w:asciiTheme="minorHAnsi" w:hAnsiTheme="minorHAnsi"/>
          <w:bCs/>
          <w:snapToGrid w:val="0"/>
          <w:lang w:eastAsia="en-US"/>
        </w:rPr>
        <w:t xml:space="preserve">therapies for ATTR-CM. The PBAC </w:t>
      </w:r>
      <w:r w:rsidR="00AB52C2" w:rsidRPr="00E12BDF">
        <w:rPr>
          <w:rFonts w:asciiTheme="minorHAnsi" w:hAnsiTheme="minorHAnsi"/>
          <w:bCs/>
          <w:snapToGrid w:val="0"/>
          <w:lang w:eastAsia="en-US"/>
        </w:rPr>
        <w:t>acknowledge</w:t>
      </w:r>
      <w:r w:rsidR="00764A61" w:rsidRPr="00E12BDF">
        <w:rPr>
          <w:rFonts w:asciiTheme="minorHAnsi" w:hAnsiTheme="minorHAnsi"/>
          <w:bCs/>
          <w:snapToGrid w:val="0"/>
          <w:lang w:eastAsia="en-US"/>
        </w:rPr>
        <w:t xml:space="preserve">d </w:t>
      </w:r>
      <w:r w:rsidRPr="00E12BDF">
        <w:rPr>
          <w:rFonts w:asciiTheme="minorHAnsi" w:hAnsiTheme="minorHAnsi"/>
          <w:bCs/>
          <w:snapToGrid w:val="0"/>
          <w:lang w:eastAsia="en-US"/>
        </w:rPr>
        <w:t xml:space="preserve">the </w:t>
      </w:r>
      <w:r w:rsidR="00445C85" w:rsidRPr="00E12BDF">
        <w:rPr>
          <w:rFonts w:asciiTheme="minorHAnsi" w:hAnsiTheme="minorHAnsi"/>
          <w:bCs/>
          <w:snapToGrid w:val="0"/>
          <w:lang w:eastAsia="en-US"/>
        </w:rPr>
        <w:t xml:space="preserve">consumer </w:t>
      </w:r>
      <w:r w:rsidRPr="00E12BDF">
        <w:rPr>
          <w:rFonts w:asciiTheme="minorHAnsi" w:hAnsiTheme="minorHAnsi"/>
          <w:bCs/>
          <w:snapToGrid w:val="0"/>
          <w:lang w:eastAsia="en-US"/>
        </w:rPr>
        <w:t xml:space="preserve">comments in support of listing tafamidis, </w:t>
      </w:r>
      <w:r w:rsidR="007E569C" w:rsidRPr="00E12BDF">
        <w:rPr>
          <w:rFonts w:asciiTheme="minorHAnsi" w:hAnsiTheme="minorHAnsi"/>
          <w:bCs/>
          <w:snapToGrid w:val="0"/>
          <w:lang w:eastAsia="en-US"/>
        </w:rPr>
        <w:t xml:space="preserve">which </w:t>
      </w:r>
      <w:r w:rsidRPr="00E12BDF">
        <w:rPr>
          <w:rFonts w:asciiTheme="minorHAnsi" w:hAnsiTheme="minorHAnsi"/>
          <w:bCs/>
          <w:snapToGrid w:val="0"/>
          <w:lang w:eastAsia="en-US"/>
        </w:rPr>
        <w:t>describ</w:t>
      </w:r>
      <w:r w:rsidR="007E569C" w:rsidRPr="00E12BDF">
        <w:rPr>
          <w:rFonts w:asciiTheme="minorHAnsi" w:hAnsiTheme="minorHAnsi"/>
          <w:bCs/>
          <w:snapToGrid w:val="0"/>
          <w:lang w:eastAsia="en-US"/>
        </w:rPr>
        <w:t>ed</w:t>
      </w:r>
      <w:r w:rsidRPr="00E12BDF">
        <w:rPr>
          <w:rFonts w:asciiTheme="minorHAnsi" w:hAnsiTheme="minorHAnsi"/>
          <w:bCs/>
          <w:snapToGrid w:val="0"/>
          <w:lang w:eastAsia="en-US"/>
        </w:rPr>
        <w:t xml:space="preserve"> the </w:t>
      </w:r>
      <w:r w:rsidR="00311C04" w:rsidRPr="00E12BDF">
        <w:rPr>
          <w:snapToGrid w:val="0"/>
        </w:rPr>
        <w:t xml:space="preserve">fear </w:t>
      </w:r>
      <w:r w:rsidR="00311C04" w:rsidRPr="00E12BDF">
        <w:t xml:space="preserve">of disease progression given the poor prognosis, the significant impact that </w:t>
      </w:r>
      <w:r w:rsidR="00311C04" w:rsidRPr="00E12BDF">
        <w:rPr>
          <w:snapToGrid w:val="0"/>
        </w:rPr>
        <w:t>symptoms (</w:t>
      </w:r>
      <w:r w:rsidR="007E569C" w:rsidRPr="00E12BDF">
        <w:rPr>
          <w:snapToGrid w:val="0"/>
        </w:rPr>
        <w:t xml:space="preserve">e.g. </w:t>
      </w:r>
      <w:r w:rsidR="00311C04" w:rsidRPr="00E12BDF">
        <w:rPr>
          <w:snapToGrid w:val="0"/>
        </w:rPr>
        <w:t>shortness of breath</w:t>
      </w:r>
      <w:r w:rsidR="007E569C" w:rsidRPr="00E12BDF">
        <w:rPr>
          <w:snapToGrid w:val="0"/>
        </w:rPr>
        <w:t xml:space="preserve"> and</w:t>
      </w:r>
      <w:r w:rsidR="00311C04" w:rsidRPr="00E12BDF">
        <w:rPr>
          <w:snapToGrid w:val="0"/>
        </w:rPr>
        <w:t xml:space="preserve"> fatigue)</w:t>
      </w:r>
      <w:r w:rsidR="00311C04" w:rsidRPr="00E12BDF">
        <w:t xml:space="preserve"> have on a patient’s quality of life</w:t>
      </w:r>
      <w:r w:rsidR="007E569C" w:rsidRPr="00E12BDF">
        <w:t>, and the lack of effective therapies to treat this condition</w:t>
      </w:r>
      <w:r w:rsidR="00CA09EB" w:rsidRPr="00E12BDF">
        <w:rPr>
          <w:rFonts w:asciiTheme="minorHAnsi" w:hAnsiTheme="minorHAnsi"/>
          <w:bCs/>
          <w:snapToGrid w:val="0"/>
          <w:lang w:eastAsia="en-US"/>
        </w:rPr>
        <w:t>.</w:t>
      </w:r>
    </w:p>
    <w:p w:rsidR="00BA32B6" w:rsidRPr="00E12BDF" w:rsidRDefault="002D76C8" w:rsidP="0090250F">
      <w:pPr>
        <w:pStyle w:val="ExecSumBodyText"/>
        <w:rPr>
          <w:lang w:eastAsia="en-US"/>
        </w:rPr>
      </w:pPr>
      <w:r w:rsidRPr="00E12BDF">
        <w:rPr>
          <w:lang w:eastAsia="en-US"/>
        </w:rPr>
        <w:t xml:space="preserve">The PBAC agreed with </w:t>
      </w:r>
      <w:r w:rsidR="0085508F" w:rsidRPr="00E12BDF">
        <w:rPr>
          <w:lang w:eastAsia="en-US"/>
        </w:rPr>
        <w:t xml:space="preserve">the </w:t>
      </w:r>
      <w:r w:rsidRPr="00E12BDF">
        <w:rPr>
          <w:lang w:eastAsia="en-US"/>
        </w:rPr>
        <w:t>ESC that</w:t>
      </w:r>
      <w:r w:rsidR="00BA32B6" w:rsidRPr="00E12BDF">
        <w:rPr>
          <w:lang w:eastAsia="en-US"/>
        </w:rPr>
        <w:t xml:space="preserve"> the</w:t>
      </w:r>
      <w:r w:rsidR="000E6746" w:rsidRPr="00E12BDF">
        <w:rPr>
          <w:lang w:eastAsia="en-US"/>
        </w:rPr>
        <w:t xml:space="preserve"> </w:t>
      </w:r>
      <w:r w:rsidR="00BA32B6" w:rsidRPr="00E12BDF">
        <w:rPr>
          <w:lang w:eastAsia="en-US"/>
        </w:rPr>
        <w:t>restriction should more closely align with the</w:t>
      </w:r>
      <w:r w:rsidR="00DB4DC8" w:rsidRPr="00E12BDF">
        <w:rPr>
          <w:lang w:eastAsia="en-US"/>
        </w:rPr>
        <w:t xml:space="preserve"> ATTR-ACT</w:t>
      </w:r>
      <w:r w:rsidR="00BA32B6" w:rsidRPr="00E12BDF">
        <w:rPr>
          <w:lang w:eastAsia="en-US"/>
        </w:rPr>
        <w:t xml:space="preserve"> trial</w:t>
      </w:r>
      <w:r w:rsidR="002D273C" w:rsidRPr="00E12BDF">
        <w:rPr>
          <w:lang w:eastAsia="en-US"/>
        </w:rPr>
        <w:t xml:space="preserve"> </w:t>
      </w:r>
      <w:r w:rsidR="00CA09EB" w:rsidRPr="00E12BDF">
        <w:rPr>
          <w:lang w:eastAsia="en-US"/>
        </w:rPr>
        <w:t xml:space="preserve">inclusion and </w:t>
      </w:r>
      <w:r w:rsidR="0031350F" w:rsidRPr="00E12BDF">
        <w:rPr>
          <w:lang w:eastAsia="en-US"/>
        </w:rPr>
        <w:t xml:space="preserve">exclusion </w:t>
      </w:r>
      <w:r w:rsidR="002D273C" w:rsidRPr="00E12BDF">
        <w:rPr>
          <w:lang w:eastAsia="en-US"/>
        </w:rPr>
        <w:t>criteria</w:t>
      </w:r>
      <w:r w:rsidR="0090250F" w:rsidRPr="00E12BDF">
        <w:rPr>
          <w:lang w:eastAsia="en-US"/>
        </w:rPr>
        <w:t xml:space="preserve"> with regard to: requiring </w:t>
      </w:r>
      <w:r w:rsidR="0090250F" w:rsidRPr="00E12BDF">
        <w:t xml:space="preserve">evidence or history of heart failure; requiring patients to have NYHA Class I to III; </w:t>
      </w:r>
      <w:r w:rsidR="0090250F" w:rsidRPr="00E12BDF">
        <w:rPr>
          <w:rFonts w:ascii="Calibri" w:hAnsi="Calibri"/>
          <w:snapToGrid/>
        </w:rPr>
        <w:t xml:space="preserve">requiring patients to have an end-diastolic interventricular septal wall thickness ≥ 12 mm; </w:t>
      </w:r>
      <w:r w:rsidR="0090250F" w:rsidRPr="00E12BDF">
        <w:t>and ex</w:t>
      </w:r>
      <w:r w:rsidR="003D53B9">
        <w:t>cluding patients with eGFR &lt;25mL</w:t>
      </w:r>
      <w:r w:rsidR="0090250F" w:rsidRPr="00E12BDF">
        <w:t>/min/1.73m</w:t>
      </w:r>
      <w:r w:rsidR="0090250F" w:rsidRPr="00E12BDF">
        <w:rPr>
          <w:vertAlign w:val="superscript"/>
        </w:rPr>
        <w:t>2</w:t>
      </w:r>
      <w:r w:rsidR="00532B34" w:rsidRPr="00E12BDF">
        <w:rPr>
          <w:lang w:eastAsia="en-US"/>
        </w:rPr>
        <w:t>.</w:t>
      </w:r>
      <w:r w:rsidR="000E6746" w:rsidRPr="00E12BDF">
        <w:rPr>
          <w:lang w:eastAsia="en-US"/>
        </w:rPr>
        <w:t xml:space="preserve"> </w:t>
      </w:r>
      <w:r w:rsidR="0090250F" w:rsidRPr="00E12BDF">
        <w:rPr>
          <w:lang w:eastAsia="en-US"/>
        </w:rPr>
        <w:t xml:space="preserve">The PBAC considered that patients should discontinue tafamidis if they </w:t>
      </w:r>
      <w:r w:rsidR="0090250F" w:rsidRPr="00E12BDF">
        <w:t>progress to NYHA Class IV, or receive a heart or liver transplant or an implanted cardiac ventricular assist device.</w:t>
      </w:r>
    </w:p>
    <w:p w:rsidR="00810C8F" w:rsidRPr="00E12BDF" w:rsidRDefault="003B7D35" w:rsidP="00847D1E">
      <w:pPr>
        <w:pStyle w:val="ExecSumBodyText"/>
        <w:rPr>
          <w:lang w:eastAsia="en-US"/>
        </w:rPr>
      </w:pPr>
      <w:r w:rsidRPr="00E12BDF">
        <w:rPr>
          <w:lang w:eastAsia="en-US"/>
        </w:rPr>
        <w:t xml:space="preserve">While the trial </w:t>
      </w:r>
      <w:r w:rsidRPr="00E12BDF">
        <w:t>required endomyocardial biopsy to confirm the diagnosis of ATTR-CM</w:t>
      </w:r>
      <w:r w:rsidRPr="00E12BDF">
        <w:rPr>
          <w:lang w:eastAsia="en-US"/>
        </w:rPr>
        <w:t xml:space="preserve">, the submission proposed the use of bone </w:t>
      </w:r>
      <w:r w:rsidRPr="00E12BDF">
        <w:t>scintigraphy (in combination with screening for monoclonal protein</w:t>
      </w:r>
      <w:r w:rsidR="00847D1E" w:rsidRPr="00E12BDF">
        <w:t xml:space="preserve"> and, in specific cases, hi</w:t>
      </w:r>
      <w:r w:rsidR="00847D1E" w:rsidRPr="00E12BDF">
        <w:rPr>
          <w:rFonts w:ascii="Calibri" w:hAnsi="Calibri"/>
          <w:snapToGrid/>
        </w:rPr>
        <w:t>stological confirmation</w:t>
      </w:r>
      <w:r w:rsidR="00847D1E" w:rsidRPr="00E12BDF">
        <w:rPr>
          <w:lang w:eastAsia="en-US"/>
        </w:rPr>
        <w:t xml:space="preserve">). </w:t>
      </w:r>
      <w:r w:rsidR="00810C8F" w:rsidRPr="00E12BDF">
        <w:rPr>
          <w:lang w:eastAsia="en-US"/>
        </w:rPr>
        <w:t xml:space="preserve">MSAC advised the PBAC that the </w:t>
      </w:r>
      <w:r w:rsidR="00810C8F" w:rsidRPr="00E12BDF">
        <w:t>diagnostic performance of cardiac scintigraphy via bone studies should be considered acceptably similar to endomyocardial biopsy for the purposes of determining eligibility for tafamidis. The PBAC noted that t</w:t>
      </w:r>
      <w:r w:rsidR="00A36D6F" w:rsidRPr="00E12BDF">
        <w:rPr>
          <w:lang w:eastAsia="en-US"/>
        </w:rPr>
        <w:t xml:space="preserve">he data supporting the use of bone scintigraphy </w:t>
      </w:r>
      <w:r w:rsidRPr="00E12BDF">
        <w:t xml:space="preserve">(Gillmore et al 2016) </w:t>
      </w:r>
      <w:r w:rsidR="00F065C1" w:rsidRPr="00E12BDF">
        <w:rPr>
          <w:lang w:eastAsia="en-US"/>
        </w:rPr>
        <w:t>w</w:t>
      </w:r>
      <w:r w:rsidRPr="00E12BDF">
        <w:rPr>
          <w:lang w:eastAsia="en-US"/>
        </w:rPr>
        <w:t xml:space="preserve">ere based on </w:t>
      </w:r>
      <w:r w:rsidR="00882B3A" w:rsidRPr="00E12BDF">
        <w:rPr>
          <w:lang w:eastAsia="en-US"/>
        </w:rPr>
        <w:t xml:space="preserve">use in a </w:t>
      </w:r>
      <w:r w:rsidR="00F065C1" w:rsidRPr="00E12BDF">
        <w:rPr>
          <w:lang w:eastAsia="en-US"/>
        </w:rPr>
        <w:t>specialised amyloid centre</w:t>
      </w:r>
      <w:r w:rsidR="00810C8F" w:rsidRPr="00E12BDF">
        <w:rPr>
          <w:lang w:eastAsia="en-US"/>
        </w:rPr>
        <w:t>, and</w:t>
      </w:r>
      <w:r w:rsidR="00702DD1" w:rsidRPr="00E12BDF">
        <w:rPr>
          <w:lang w:eastAsia="en-US"/>
        </w:rPr>
        <w:t xml:space="preserve"> </w:t>
      </w:r>
      <w:r w:rsidR="00847D1E" w:rsidRPr="00E12BDF">
        <w:rPr>
          <w:lang w:eastAsia="en-US"/>
        </w:rPr>
        <w:t xml:space="preserve">considered that the positive predictive value </w:t>
      </w:r>
      <w:r w:rsidR="00847D1E" w:rsidRPr="00E12BDF">
        <w:t>may not be reproduced in non-specialised centres</w:t>
      </w:r>
      <w:r w:rsidR="000E065D" w:rsidRPr="00E12BDF">
        <w:t xml:space="preserve"> given that</w:t>
      </w:r>
      <w:r w:rsidR="00A36D6F" w:rsidRPr="00E12BDF">
        <w:rPr>
          <w:lang w:eastAsia="en-US"/>
        </w:rPr>
        <w:t xml:space="preserve"> </w:t>
      </w:r>
      <w:r w:rsidR="009229A0" w:rsidRPr="00E12BDF">
        <w:rPr>
          <w:lang w:eastAsia="en-US"/>
        </w:rPr>
        <w:t xml:space="preserve">interpretation </w:t>
      </w:r>
      <w:r w:rsidR="00847D1E" w:rsidRPr="00E12BDF">
        <w:rPr>
          <w:lang w:eastAsia="en-US"/>
        </w:rPr>
        <w:t>of bone scans is</w:t>
      </w:r>
      <w:r w:rsidR="009229A0" w:rsidRPr="00E12BDF">
        <w:rPr>
          <w:lang w:eastAsia="en-US"/>
        </w:rPr>
        <w:t xml:space="preserve"> potentially subjective. </w:t>
      </w:r>
      <w:r w:rsidR="00810C8F" w:rsidRPr="00E12BDF">
        <w:rPr>
          <w:lang w:eastAsia="en-US"/>
        </w:rPr>
        <w:t>T</w:t>
      </w:r>
      <w:r w:rsidR="00A36D6F" w:rsidRPr="00E12BDF">
        <w:rPr>
          <w:lang w:eastAsia="en-US"/>
        </w:rPr>
        <w:t>he</w:t>
      </w:r>
      <w:r w:rsidR="009229A0" w:rsidRPr="00E12BDF">
        <w:rPr>
          <w:lang w:eastAsia="en-US"/>
        </w:rPr>
        <w:t xml:space="preserve"> PBAC </w:t>
      </w:r>
      <w:r w:rsidR="00AB40F0" w:rsidRPr="00E12BDF">
        <w:rPr>
          <w:lang w:eastAsia="en-US"/>
        </w:rPr>
        <w:t>considered that</w:t>
      </w:r>
      <w:r w:rsidR="009229A0" w:rsidRPr="00E12BDF">
        <w:rPr>
          <w:lang w:eastAsia="en-US"/>
        </w:rPr>
        <w:t xml:space="preserve"> data </w:t>
      </w:r>
      <w:r w:rsidR="00847D1E" w:rsidRPr="00E12BDF">
        <w:rPr>
          <w:lang w:eastAsia="en-US"/>
        </w:rPr>
        <w:t>regarding</w:t>
      </w:r>
      <w:r w:rsidR="009229A0" w:rsidRPr="00E12BDF">
        <w:rPr>
          <w:lang w:eastAsia="en-US"/>
        </w:rPr>
        <w:t xml:space="preserve"> the positive predicted value </w:t>
      </w:r>
      <w:r w:rsidR="00847D1E" w:rsidRPr="00E12BDF">
        <w:rPr>
          <w:lang w:eastAsia="en-US"/>
        </w:rPr>
        <w:t xml:space="preserve">of bone scintigraphy </w:t>
      </w:r>
      <w:r w:rsidR="00684D1B" w:rsidRPr="00E12BDF">
        <w:rPr>
          <w:lang w:eastAsia="en-US"/>
        </w:rPr>
        <w:t xml:space="preserve">in non-specialised centres </w:t>
      </w:r>
      <w:r w:rsidR="00847D1E" w:rsidRPr="00E12BDF">
        <w:rPr>
          <w:lang w:eastAsia="en-US"/>
        </w:rPr>
        <w:t xml:space="preserve">(as part of the diagnostic algorithm proposed by the submission) </w:t>
      </w:r>
      <w:r w:rsidR="00AB40F0" w:rsidRPr="00E12BDF">
        <w:rPr>
          <w:lang w:eastAsia="en-US"/>
        </w:rPr>
        <w:t>would be informative</w:t>
      </w:r>
      <w:r w:rsidR="00643646" w:rsidRPr="00E12BDF">
        <w:rPr>
          <w:lang w:eastAsia="en-US"/>
        </w:rPr>
        <w:t>.</w:t>
      </w:r>
    </w:p>
    <w:p w:rsidR="00BA32B6" w:rsidRPr="00E12BDF" w:rsidRDefault="00810C8F" w:rsidP="00847D1E">
      <w:pPr>
        <w:pStyle w:val="ExecSumBodyText"/>
        <w:rPr>
          <w:lang w:eastAsia="en-US"/>
        </w:rPr>
      </w:pPr>
      <w:r w:rsidRPr="00E12BDF">
        <w:rPr>
          <w:lang w:eastAsia="en-US"/>
        </w:rPr>
        <w:t>The PBAC noted that the proposed use of bone scintigraphy in this clinical area is evolving</w:t>
      </w:r>
      <w:r w:rsidR="005A7FD5" w:rsidRPr="00E12BDF">
        <w:rPr>
          <w:lang w:eastAsia="en-US"/>
        </w:rPr>
        <w:t>,</w:t>
      </w:r>
      <w:r w:rsidRPr="00E12BDF">
        <w:rPr>
          <w:lang w:eastAsia="en-US"/>
        </w:rPr>
        <w:t xml:space="preserve"> and considered that</w:t>
      </w:r>
      <w:r w:rsidR="005E3B68" w:rsidRPr="00E12BDF">
        <w:rPr>
          <w:lang w:eastAsia="en-US"/>
        </w:rPr>
        <w:t xml:space="preserve"> a uniform approach </w:t>
      </w:r>
      <w:r w:rsidR="001E500F" w:rsidRPr="00E12BDF">
        <w:rPr>
          <w:lang w:eastAsia="en-US"/>
        </w:rPr>
        <w:t>would</w:t>
      </w:r>
      <w:r w:rsidRPr="00E12BDF">
        <w:rPr>
          <w:lang w:eastAsia="en-US"/>
        </w:rPr>
        <w:t xml:space="preserve"> </w:t>
      </w:r>
      <w:r w:rsidR="005A7FD5" w:rsidRPr="00E12BDF">
        <w:rPr>
          <w:lang w:eastAsia="en-US"/>
        </w:rPr>
        <w:t>help</w:t>
      </w:r>
      <w:r w:rsidRPr="00E12BDF">
        <w:rPr>
          <w:lang w:eastAsia="en-US"/>
        </w:rPr>
        <w:t xml:space="preserve"> achieve </w:t>
      </w:r>
      <w:r w:rsidR="005E3B68" w:rsidRPr="00E12BDF">
        <w:rPr>
          <w:lang w:eastAsia="en-US"/>
        </w:rPr>
        <w:t>reliable and consistent diagnos</w:t>
      </w:r>
      <w:r w:rsidRPr="00E12BDF">
        <w:rPr>
          <w:lang w:eastAsia="en-US"/>
        </w:rPr>
        <w:t>tic</w:t>
      </w:r>
      <w:r w:rsidR="005E3B68" w:rsidRPr="00E12BDF">
        <w:rPr>
          <w:lang w:eastAsia="en-US"/>
        </w:rPr>
        <w:t xml:space="preserve"> practices</w:t>
      </w:r>
      <w:r w:rsidR="001E500F" w:rsidRPr="00E12BDF">
        <w:rPr>
          <w:lang w:eastAsia="en-US"/>
        </w:rPr>
        <w:t xml:space="preserve"> (e.g. with guidelines supporting the new algorithm)</w:t>
      </w:r>
      <w:r w:rsidR="000522D5" w:rsidRPr="00E12BDF">
        <w:rPr>
          <w:lang w:eastAsia="en-US"/>
        </w:rPr>
        <w:t xml:space="preserve"> when determining eligibility for tafamidis</w:t>
      </w:r>
      <w:r w:rsidR="005E3B68" w:rsidRPr="00E12BDF">
        <w:rPr>
          <w:lang w:eastAsia="en-US"/>
        </w:rPr>
        <w:t>.</w:t>
      </w:r>
      <w:r w:rsidR="00584032">
        <w:rPr>
          <w:lang w:eastAsia="en-US"/>
        </w:rPr>
        <w:t xml:space="preserve"> The PBAC was concerned about the potential for inconsistency in bone scintigraphic reporting, especially by facilities with little prior experience or expertise in reporting studies for the diagnosis of ATTR-CM. </w:t>
      </w:r>
    </w:p>
    <w:p w:rsidR="00810C8F" w:rsidRPr="00E12BDF" w:rsidRDefault="00810C8F" w:rsidP="00E90FE7">
      <w:pPr>
        <w:pStyle w:val="ExecSumBodyText"/>
        <w:rPr>
          <w:lang w:eastAsia="en-US"/>
        </w:rPr>
      </w:pPr>
      <w:r w:rsidRPr="00E12BDF">
        <w:rPr>
          <w:lang w:eastAsia="en-US"/>
        </w:rPr>
        <w:t xml:space="preserve">The PBAC considered that the proposed new diagnostic algorithm </w:t>
      </w:r>
      <w:r w:rsidR="00E90FE7" w:rsidRPr="00E12BDF">
        <w:rPr>
          <w:lang w:eastAsia="en-US"/>
        </w:rPr>
        <w:t>(</w:t>
      </w:r>
      <w:r w:rsidR="000E065D" w:rsidRPr="00E12BDF">
        <w:rPr>
          <w:lang w:eastAsia="en-US"/>
        </w:rPr>
        <w:t xml:space="preserve">along with the availability of </w:t>
      </w:r>
      <w:r w:rsidR="00E90FE7" w:rsidRPr="00E12BDF">
        <w:rPr>
          <w:lang w:eastAsia="en-US"/>
        </w:rPr>
        <w:t>an</w:t>
      </w:r>
      <w:r w:rsidR="000E065D" w:rsidRPr="00E12BDF">
        <w:rPr>
          <w:lang w:eastAsia="en-US"/>
        </w:rPr>
        <w:t xml:space="preserve"> effective therapy</w:t>
      </w:r>
      <w:r w:rsidR="00E90FE7" w:rsidRPr="00E12BDF">
        <w:rPr>
          <w:lang w:eastAsia="en-US"/>
        </w:rPr>
        <w:t xml:space="preserve">) </w:t>
      </w:r>
      <w:r w:rsidRPr="00E12BDF">
        <w:rPr>
          <w:lang w:eastAsia="en-US"/>
        </w:rPr>
        <w:t>will lead to changes in testing practices over time, likely identifying previously undiagnosed patients or</w:t>
      </w:r>
      <w:r w:rsidR="00560F70" w:rsidRPr="00E12BDF">
        <w:rPr>
          <w:lang w:eastAsia="en-US"/>
        </w:rPr>
        <w:t xml:space="preserve"> patients</w:t>
      </w:r>
      <w:r w:rsidRPr="00E12BDF">
        <w:rPr>
          <w:lang w:eastAsia="en-US"/>
        </w:rPr>
        <w:t xml:space="preserve"> at earlier stages of disease, and with significant potential effects on the </w:t>
      </w:r>
      <w:r w:rsidR="00560F70" w:rsidRPr="00E12BDF">
        <w:rPr>
          <w:lang w:eastAsia="en-US"/>
        </w:rPr>
        <w:t>number of</w:t>
      </w:r>
      <w:r w:rsidRPr="00E12BDF">
        <w:rPr>
          <w:lang w:eastAsia="en-US"/>
        </w:rPr>
        <w:t xml:space="preserve"> eligible </w:t>
      </w:r>
      <w:r w:rsidR="00560F70" w:rsidRPr="00E12BDF">
        <w:rPr>
          <w:lang w:eastAsia="en-US"/>
        </w:rPr>
        <w:t xml:space="preserve">patients and on the baseline risk of the overall eligible </w:t>
      </w:r>
      <w:r w:rsidRPr="00E12BDF">
        <w:rPr>
          <w:lang w:eastAsia="en-US"/>
        </w:rPr>
        <w:t xml:space="preserve">population. </w:t>
      </w:r>
      <w:r w:rsidR="00560F70" w:rsidRPr="00E12BDF">
        <w:rPr>
          <w:lang w:eastAsia="en-US"/>
        </w:rPr>
        <w:t xml:space="preserve">Further, the PBAC considered this will likely have significant effects on utilisation of MBS-funded bone scintigraphy. </w:t>
      </w:r>
      <w:r w:rsidR="00E90FE7" w:rsidRPr="00E12BDF">
        <w:rPr>
          <w:bCs/>
          <w:lang w:eastAsia="en-US"/>
        </w:rPr>
        <w:lastRenderedPageBreak/>
        <w:t xml:space="preserve">The </w:t>
      </w:r>
      <w:r w:rsidR="006746DF" w:rsidRPr="00E12BDF">
        <w:rPr>
          <w:bCs/>
          <w:lang w:eastAsia="en-US"/>
        </w:rPr>
        <w:t>PBAC agreed with the ESC</w:t>
      </w:r>
      <w:r w:rsidR="00E90FE7" w:rsidRPr="00E12BDF">
        <w:rPr>
          <w:bCs/>
          <w:lang w:eastAsia="en-US"/>
        </w:rPr>
        <w:t xml:space="preserve"> that some of these newly diagnosed patients may have more benign clinical courses and that the overall natural history of ATTR-CM may evolve with changing diagnostic paradigms.</w:t>
      </w:r>
    </w:p>
    <w:p w:rsidR="009220BD" w:rsidRPr="00E12BDF" w:rsidRDefault="00AB40F0" w:rsidP="00445C85">
      <w:pPr>
        <w:widowControl w:val="0"/>
        <w:numPr>
          <w:ilvl w:val="1"/>
          <w:numId w:val="1"/>
        </w:numPr>
        <w:spacing w:after="120"/>
        <w:rPr>
          <w:rFonts w:asciiTheme="minorHAnsi" w:hAnsiTheme="minorHAnsi"/>
          <w:bCs/>
          <w:snapToGrid w:val="0"/>
          <w:lang w:eastAsia="en-US"/>
        </w:rPr>
      </w:pPr>
      <w:r w:rsidRPr="00E12BDF">
        <w:rPr>
          <w:rFonts w:asciiTheme="minorHAnsi" w:hAnsiTheme="minorHAnsi"/>
          <w:bCs/>
          <w:snapToGrid w:val="0"/>
          <w:lang w:eastAsia="en-US"/>
        </w:rPr>
        <w:t xml:space="preserve">The </w:t>
      </w:r>
      <w:r w:rsidR="00696672" w:rsidRPr="00E12BDF">
        <w:rPr>
          <w:rFonts w:asciiTheme="minorHAnsi" w:hAnsiTheme="minorHAnsi"/>
          <w:bCs/>
          <w:snapToGrid w:val="0"/>
          <w:lang w:eastAsia="en-US"/>
        </w:rPr>
        <w:t>PBAC</w:t>
      </w:r>
      <w:r w:rsidR="00B827C9" w:rsidRPr="00E12BDF">
        <w:rPr>
          <w:rFonts w:asciiTheme="minorHAnsi" w:hAnsiTheme="minorHAnsi"/>
          <w:bCs/>
          <w:snapToGrid w:val="0"/>
          <w:lang w:eastAsia="en-US"/>
        </w:rPr>
        <w:t xml:space="preserve"> </w:t>
      </w:r>
      <w:r w:rsidRPr="00E12BDF">
        <w:rPr>
          <w:rFonts w:asciiTheme="minorHAnsi" w:hAnsiTheme="minorHAnsi"/>
          <w:bCs/>
          <w:snapToGrid w:val="0"/>
          <w:lang w:eastAsia="en-US"/>
        </w:rPr>
        <w:t>considered</w:t>
      </w:r>
      <w:r w:rsidR="00EA0280" w:rsidRPr="00E12BDF">
        <w:rPr>
          <w:rFonts w:asciiTheme="minorHAnsi" w:hAnsiTheme="minorHAnsi"/>
          <w:bCs/>
          <w:snapToGrid w:val="0"/>
          <w:lang w:eastAsia="en-US"/>
        </w:rPr>
        <w:t xml:space="preserve"> that standard management</w:t>
      </w:r>
      <w:r w:rsidR="00B827C9" w:rsidRPr="00E12BDF">
        <w:rPr>
          <w:rFonts w:asciiTheme="minorHAnsi" w:hAnsiTheme="minorHAnsi"/>
          <w:bCs/>
          <w:snapToGrid w:val="0"/>
          <w:lang w:eastAsia="en-US"/>
        </w:rPr>
        <w:t xml:space="preserve"> was the appropriate comparator.</w:t>
      </w:r>
      <w:r w:rsidR="00696672" w:rsidRPr="00E12BDF">
        <w:rPr>
          <w:rFonts w:asciiTheme="minorHAnsi" w:hAnsiTheme="minorHAnsi"/>
          <w:bCs/>
          <w:snapToGrid w:val="0"/>
          <w:lang w:eastAsia="en-US"/>
        </w:rPr>
        <w:t xml:space="preserve"> </w:t>
      </w:r>
    </w:p>
    <w:p w:rsidR="00397700" w:rsidRPr="00E12BDF" w:rsidRDefault="00EA0280" w:rsidP="00DE67A3">
      <w:pPr>
        <w:pStyle w:val="ExecSumBodyText"/>
        <w:rPr>
          <w:lang w:eastAsia="en-US"/>
        </w:rPr>
      </w:pPr>
      <w:r w:rsidRPr="00E12BDF">
        <w:rPr>
          <w:lang w:eastAsia="en-US"/>
        </w:rPr>
        <w:t xml:space="preserve">The PBAC accepted </w:t>
      </w:r>
      <w:r w:rsidR="00696672" w:rsidRPr="00E12BDF">
        <w:rPr>
          <w:lang w:eastAsia="en-US"/>
        </w:rPr>
        <w:t xml:space="preserve">the claim of superior efficacy </w:t>
      </w:r>
      <w:r w:rsidR="002311A2" w:rsidRPr="00E12BDF">
        <w:rPr>
          <w:lang w:eastAsia="en-US"/>
        </w:rPr>
        <w:t>compared with standard management</w:t>
      </w:r>
      <w:r w:rsidR="00696672" w:rsidRPr="00E12BDF">
        <w:rPr>
          <w:lang w:eastAsia="en-US"/>
        </w:rPr>
        <w:t xml:space="preserve">. The </w:t>
      </w:r>
      <w:r w:rsidRPr="00E12BDF">
        <w:rPr>
          <w:lang w:eastAsia="en-US"/>
        </w:rPr>
        <w:t xml:space="preserve">submission </w:t>
      </w:r>
      <w:r w:rsidR="00972C28" w:rsidRPr="00E12BDF">
        <w:rPr>
          <w:lang w:eastAsia="en-US"/>
        </w:rPr>
        <w:t xml:space="preserve">was based on the ATTR-ACT trial, which was </w:t>
      </w:r>
      <w:r w:rsidRPr="00E12BDF">
        <w:rPr>
          <w:lang w:eastAsia="en-US"/>
        </w:rPr>
        <w:t>a rand</w:t>
      </w:r>
      <w:r w:rsidR="00972C28" w:rsidRPr="00E12BDF">
        <w:rPr>
          <w:lang w:eastAsia="en-US"/>
        </w:rPr>
        <w:t>omised placebo controlled trial comparing</w:t>
      </w:r>
      <w:r w:rsidRPr="00E12BDF">
        <w:rPr>
          <w:lang w:eastAsia="en-US"/>
        </w:rPr>
        <w:t xml:space="preserve"> tafamidis in combination with standard management to standard management alone. The primary outcome was a Finkelstein-Schoenfeld prioritised pairwise comparison of a</w:t>
      </w:r>
      <w:r w:rsidR="00933037" w:rsidRPr="00E12BDF">
        <w:rPr>
          <w:lang w:eastAsia="en-US"/>
        </w:rPr>
        <w:t xml:space="preserve">ll-cause mortality and </w:t>
      </w:r>
      <w:r w:rsidRPr="00E12BDF">
        <w:rPr>
          <w:lang w:eastAsia="en-US"/>
        </w:rPr>
        <w:t xml:space="preserve">cardiovascular </w:t>
      </w:r>
      <w:r w:rsidR="00933037" w:rsidRPr="00E12BDF">
        <w:rPr>
          <w:lang w:eastAsia="en-US"/>
        </w:rPr>
        <w:t>hospitalisations versus placebo (p-value = 0.0006</w:t>
      </w:r>
      <w:r w:rsidR="006611C1" w:rsidRPr="00E12BDF">
        <w:rPr>
          <w:lang w:eastAsia="en-US"/>
        </w:rPr>
        <w:t xml:space="preserve"> for the tafamidis pooled arm</w:t>
      </w:r>
      <w:r w:rsidR="00933037" w:rsidRPr="00E12BDF">
        <w:rPr>
          <w:lang w:eastAsia="en-US"/>
        </w:rPr>
        <w:t xml:space="preserve">). </w:t>
      </w:r>
      <w:r w:rsidR="00684D1B" w:rsidRPr="00E12BDF">
        <w:rPr>
          <w:lang w:eastAsia="en-US"/>
        </w:rPr>
        <w:t xml:space="preserve">The two component outcomes were also statistically significantly </w:t>
      </w:r>
      <w:r w:rsidR="00DE67A3" w:rsidRPr="00E12BDF">
        <w:rPr>
          <w:lang w:eastAsia="en-US"/>
        </w:rPr>
        <w:t>in favour of tafamidis (pooled arm) with a Cox-proportional hazard ratio (HR) for all-cause mortality of 0.70 (95% CI: 0.51, 0.96) and</w:t>
      </w:r>
      <w:r w:rsidR="00972C28" w:rsidRPr="00E12BDF">
        <w:rPr>
          <w:lang w:eastAsia="en-US"/>
        </w:rPr>
        <w:t xml:space="preserve"> a</w:t>
      </w:r>
      <w:r w:rsidR="00DE67A3" w:rsidRPr="00E12BDF">
        <w:rPr>
          <w:lang w:eastAsia="en-US"/>
        </w:rPr>
        <w:t xml:space="preserve"> relative risk for cardiovascular hospitalisations of</w:t>
      </w:r>
      <w:r w:rsidR="00DE67A3" w:rsidRPr="00E12BDF">
        <w:t xml:space="preserve"> </w:t>
      </w:r>
      <w:r w:rsidR="00DE67A3" w:rsidRPr="00E12BDF">
        <w:rPr>
          <w:lang w:eastAsia="en-US"/>
        </w:rPr>
        <w:t>0.68 (95% CI: 0.56, 0.81).</w:t>
      </w:r>
      <w:r w:rsidR="00933037" w:rsidRPr="00E12BDF">
        <w:rPr>
          <w:lang w:eastAsia="en-US"/>
        </w:rPr>
        <w:t xml:space="preserve"> The PBAC noted the observed treatment effect of tafamidis on all-cause mortality emerged after approximately 18 months of treatment. </w:t>
      </w:r>
    </w:p>
    <w:p w:rsidR="00397700" w:rsidRPr="00E12BDF" w:rsidRDefault="00397700" w:rsidP="00445C85">
      <w:pPr>
        <w:pStyle w:val="ExecSumBodyText"/>
        <w:rPr>
          <w:lang w:eastAsia="en-US"/>
        </w:rPr>
      </w:pPr>
      <w:r w:rsidRPr="00E12BDF">
        <w:rPr>
          <w:lang w:eastAsia="en-US"/>
        </w:rPr>
        <w:t xml:space="preserve">The PBAC considered that </w:t>
      </w:r>
      <w:r w:rsidR="00073A2F" w:rsidRPr="00E12BDF">
        <w:rPr>
          <w:lang w:eastAsia="en-US"/>
        </w:rPr>
        <w:t>the magnitude of benefit in the Australian PBS population was uncertain due to</w:t>
      </w:r>
      <w:r w:rsidRPr="00E12BDF">
        <w:rPr>
          <w:lang w:eastAsia="en-US"/>
        </w:rPr>
        <w:t>:</w:t>
      </w:r>
    </w:p>
    <w:p w:rsidR="00EA0280" w:rsidRPr="00E12BDF" w:rsidRDefault="00FF2003" w:rsidP="00445C85">
      <w:pPr>
        <w:pStyle w:val="ExecSumBodyText"/>
        <w:numPr>
          <w:ilvl w:val="0"/>
          <w:numId w:val="33"/>
        </w:numPr>
        <w:rPr>
          <w:lang w:eastAsia="en-US"/>
        </w:rPr>
      </w:pPr>
      <w:r w:rsidRPr="00E12BDF">
        <w:rPr>
          <w:lang w:eastAsia="en-US"/>
        </w:rPr>
        <w:t xml:space="preserve">Subgroup data from the ATTR-ACT trial suggest that NYHA Class may be a treatment effect modifier, with </w:t>
      </w:r>
      <w:r w:rsidR="00C56842" w:rsidRPr="00E12BDF">
        <w:rPr>
          <w:lang w:eastAsia="en-US"/>
        </w:rPr>
        <w:t xml:space="preserve">tafamidis treatment being associated with </w:t>
      </w:r>
      <w:r w:rsidRPr="00E12BDF">
        <w:rPr>
          <w:lang w:eastAsia="en-US"/>
        </w:rPr>
        <w:t xml:space="preserve">an increase in hospitalisations and an uncertain impact on survival </w:t>
      </w:r>
      <w:r w:rsidR="00C56842" w:rsidRPr="00E12BDF">
        <w:rPr>
          <w:lang w:eastAsia="en-US"/>
        </w:rPr>
        <w:t xml:space="preserve">in patients </w:t>
      </w:r>
      <w:r w:rsidRPr="00E12BDF">
        <w:rPr>
          <w:lang w:eastAsia="en-US"/>
        </w:rPr>
        <w:t xml:space="preserve">with NYHA Class III </w:t>
      </w:r>
      <w:r w:rsidR="00C56842" w:rsidRPr="00E12BDF">
        <w:rPr>
          <w:lang w:eastAsia="en-US"/>
        </w:rPr>
        <w:t xml:space="preserve">disease. </w:t>
      </w:r>
      <w:r w:rsidRPr="00E12BDF">
        <w:rPr>
          <w:lang w:eastAsia="en-US"/>
        </w:rPr>
        <w:t xml:space="preserve">The PBAC </w:t>
      </w:r>
      <w:r w:rsidR="00AB40F0" w:rsidRPr="00E12BDF">
        <w:rPr>
          <w:lang w:eastAsia="en-US"/>
        </w:rPr>
        <w:t>considered</w:t>
      </w:r>
      <w:r w:rsidRPr="00E12BDF">
        <w:rPr>
          <w:lang w:eastAsia="en-US"/>
        </w:rPr>
        <w:t xml:space="preserve"> that the increased rate of hospitalisations in patients with NYHA Class III treated with tafamidis compared to placebo was not adequately explained, and was a significant concern because a large proportion of patients in clinical practice will be NYHA Class III (the submission estimated that 37% of patients treated with tafamidis would have NYHA Class III). </w:t>
      </w:r>
    </w:p>
    <w:p w:rsidR="00C56842" w:rsidRPr="00E12BDF" w:rsidRDefault="00C56842" w:rsidP="00C56842">
      <w:pPr>
        <w:pStyle w:val="ExecSumBodyText"/>
        <w:numPr>
          <w:ilvl w:val="0"/>
          <w:numId w:val="33"/>
        </w:numPr>
        <w:rPr>
          <w:lang w:eastAsia="en-US"/>
        </w:rPr>
      </w:pPr>
      <w:r w:rsidRPr="00E12BDF">
        <w:rPr>
          <w:lang w:eastAsia="en-US"/>
        </w:rPr>
        <w:t>It was unclear whether the distribution of NYHA classes from the ATTR-ACT trial will be applicable to the Australian setting</w:t>
      </w:r>
      <w:r w:rsidR="008915AA" w:rsidRPr="00E12BDF">
        <w:rPr>
          <w:lang w:eastAsia="en-US"/>
        </w:rPr>
        <w:t xml:space="preserve">, particularly as </w:t>
      </w:r>
      <w:r w:rsidRPr="00E12BDF">
        <w:rPr>
          <w:lang w:eastAsia="en-US"/>
        </w:rPr>
        <w:t xml:space="preserve">changes in the diagnostic algorithm </w:t>
      </w:r>
      <w:r w:rsidR="000F1894" w:rsidRPr="00E12BDF">
        <w:rPr>
          <w:lang w:eastAsia="en-US"/>
        </w:rPr>
        <w:t>will</w:t>
      </w:r>
      <w:r w:rsidRPr="00E12BDF">
        <w:rPr>
          <w:lang w:eastAsia="en-US"/>
        </w:rPr>
        <w:t xml:space="preserve"> likely affect the distribution of NYHA classes among patients with ATTR-CM and hence the overall benefit and cost</w:t>
      </w:r>
      <w:r w:rsidR="000F1894" w:rsidRPr="00E12BDF">
        <w:rPr>
          <w:lang w:eastAsia="en-US"/>
        </w:rPr>
        <w:t>-</w:t>
      </w:r>
      <w:r w:rsidRPr="00E12BDF">
        <w:rPr>
          <w:lang w:eastAsia="en-US"/>
        </w:rPr>
        <w:t xml:space="preserve">effectiveness of tafamidis. The pre-PBAC response argued that earlier diagnosis will better align </w:t>
      </w:r>
      <w:r w:rsidR="000F1894" w:rsidRPr="00E12BDF">
        <w:rPr>
          <w:lang w:eastAsia="en-US"/>
        </w:rPr>
        <w:t>the PBS population</w:t>
      </w:r>
      <w:r w:rsidRPr="00E12BDF">
        <w:rPr>
          <w:lang w:eastAsia="en-US"/>
        </w:rPr>
        <w:t xml:space="preserve"> with those in ATTR-ACT</w:t>
      </w:r>
      <w:r w:rsidR="000F1894" w:rsidRPr="00E12BDF">
        <w:rPr>
          <w:lang w:eastAsia="en-US"/>
        </w:rPr>
        <w:t xml:space="preserve"> (</w:t>
      </w:r>
      <w:r w:rsidRPr="00E12BDF">
        <w:rPr>
          <w:lang w:eastAsia="en-US"/>
        </w:rPr>
        <w:t>including in terms of distribution by NYHA class</w:t>
      </w:r>
      <w:r w:rsidR="000F1894" w:rsidRPr="00E12BDF">
        <w:rPr>
          <w:lang w:eastAsia="en-US"/>
        </w:rPr>
        <w:t>)</w:t>
      </w:r>
      <w:r w:rsidRPr="00E12BDF">
        <w:rPr>
          <w:lang w:eastAsia="en-US"/>
        </w:rPr>
        <w:t xml:space="preserve"> and that treating a higher proportion of patients with NYHA Class II disease will be more cost-effective. However, the PBAC considered that it was unclear whether newly diagnosed patients would have more benign clinical courses and that the overall natural history of ATTR-CM may evolve with changing diagnostic paradigms.</w:t>
      </w:r>
    </w:p>
    <w:p w:rsidR="00E762EF" w:rsidRPr="00E12BDF" w:rsidRDefault="00397700" w:rsidP="00C56842">
      <w:pPr>
        <w:pStyle w:val="ExecSumBodyText"/>
        <w:numPr>
          <w:ilvl w:val="0"/>
          <w:numId w:val="33"/>
        </w:numPr>
        <w:rPr>
          <w:lang w:eastAsia="en-US"/>
        </w:rPr>
      </w:pPr>
      <w:r w:rsidRPr="00E12BDF">
        <w:rPr>
          <w:lang w:eastAsia="en-US"/>
        </w:rPr>
        <w:t xml:space="preserve">The PBAC </w:t>
      </w:r>
      <w:r w:rsidR="00C56842" w:rsidRPr="00E12BDF">
        <w:rPr>
          <w:lang w:eastAsia="en-US"/>
        </w:rPr>
        <w:t>noted</w:t>
      </w:r>
      <w:r w:rsidRPr="00E12BDF">
        <w:rPr>
          <w:lang w:eastAsia="en-US"/>
        </w:rPr>
        <w:t xml:space="preserve"> that the baseline risk of death varies substantially between NYHA classes and TTR genotypes, </w:t>
      </w:r>
      <w:r w:rsidR="00C56842" w:rsidRPr="00E12BDF">
        <w:rPr>
          <w:lang w:eastAsia="en-US"/>
        </w:rPr>
        <w:t xml:space="preserve">and thus </w:t>
      </w:r>
      <w:r w:rsidRPr="00E12BDF">
        <w:rPr>
          <w:lang w:eastAsia="en-US"/>
        </w:rPr>
        <w:t xml:space="preserve">the absolute benefit of tafamidis treatment </w:t>
      </w:r>
      <w:r w:rsidR="00C56842" w:rsidRPr="00E12BDF">
        <w:rPr>
          <w:lang w:eastAsia="en-US"/>
        </w:rPr>
        <w:t xml:space="preserve">in </w:t>
      </w:r>
      <w:r w:rsidR="000F1894" w:rsidRPr="00E12BDF">
        <w:rPr>
          <w:lang w:eastAsia="en-US"/>
        </w:rPr>
        <w:t>the likely Australian PBS population was</w:t>
      </w:r>
      <w:r w:rsidR="00C56842" w:rsidRPr="00E12BDF">
        <w:rPr>
          <w:lang w:eastAsia="en-US"/>
        </w:rPr>
        <w:t xml:space="preserve"> uncertain</w:t>
      </w:r>
      <w:r w:rsidRPr="00E12BDF">
        <w:rPr>
          <w:lang w:eastAsia="en-US"/>
        </w:rPr>
        <w:t>.</w:t>
      </w:r>
      <w:r w:rsidR="00C56842" w:rsidRPr="00E12BDF">
        <w:rPr>
          <w:lang w:eastAsia="en-US"/>
        </w:rPr>
        <w:t xml:space="preserve"> </w:t>
      </w:r>
    </w:p>
    <w:p w:rsidR="002E01C8" w:rsidRPr="00E12BDF" w:rsidRDefault="002E01C8" w:rsidP="0002442E">
      <w:pPr>
        <w:pStyle w:val="ExecSumBodyText"/>
        <w:rPr>
          <w:lang w:eastAsia="en-US"/>
        </w:rPr>
      </w:pPr>
      <w:r w:rsidRPr="00E12BDF">
        <w:rPr>
          <w:lang w:eastAsia="en-US"/>
        </w:rPr>
        <w:lastRenderedPageBreak/>
        <w:t xml:space="preserve">The PBAC </w:t>
      </w:r>
      <w:r w:rsidR="008915AA" w:rsidRPr="00E12BDF">
        <w:rPr>
          <w:lang w:eastAsia="en-US"/>
        </w:rPr>
        <w:t>note</w:t>
      </w:r>
      <w:r w:rsidRPr="00E12BDF">
        <w:rPr>
          <w:lang w:eastAsia="en-US"/>
        </w:rPr>
        <w:t>d</w:t>
      </w:r>
      <w:r w:rsidR="00AB40F0" w:rsidRPr="00E12BDF">
        <w:rPr>
          <w:lang w:eastAsia="en-US"/>
        </w:rPr>
        <w:t xml:space="preserve"> that</w:t>
      </w:r>
      <w:r w:rsidR="00972C28" w:rsidRPr="00E12BDF">
        <w:rPr>
          <w:lang w:eastAsia="en-US"/>
        </w:rPr>
        <w:t xml:space="preserve"> results</w:t>
      </w:r>
      <w:r w:rsidR="000F1894" w:rsidRPr="00E12BDF">
        <w:rPr>
          <w:lang w:eastAsia="en-US"/>
        </w:rPr>
        <w:t xml:space="preserve"> for key outcomes</w:t>
      </w:r>
      <w:r w:rsidR="00972C28" w:rsidRPr="00E12BDF">
        <w:rPr>
          <w:lang w:eastAsia="en-US"/>
        </w:rPr>
        <w:t xml:space="preserve"> were similar </w:t>
      </w:r>
      <w:r w:rsidR="006611C1" w:rsidRPr="00E12BDF">
        <w:rPr>
          <w:lang w:eastAsia="en-US"/>
        </w:rPr>
        <w:t>for</w:t>
      </w:r>
      <w:r w:rsidR="00972C28" w:rsidRPr="00E12BDF">
        <w:rPr>
          <w:lang w:eastAsia="en-US"/>
        </w:rPr>
        <w:t xml:space="preserve"> the </w:t>
      </w:r>
      <w:r w:rsidR="00C07922" w:rsidRPr="00E12BDF">
        <w:rPr>
          <w:lang w:eastAsia="en-US"/>
        </w:rPr>
        <w:t>20 mg and 80 mg doses of tafamidis</w:t>
      </w:r>
      <w:r w:rsidRPr="00E12BDF">
        <w:rPr>
          <w:lang w:eastAsia="en-US"/>
        </w:rPr>
        <w:t xml:space="preserve">. </w:t>
      </w:r>
      <w:r w:rsidR="000F1894" w:rsidRPr="00E12BDF">
        <w:rPr>
          <w:lang w:eastAsia="en-US"/>
        </w:rPr>
        <w:t>For example, t</w:t>
      </w:r>
      <w:r w:rsidRPr="00E12BDF">
        <w:rPr>
          <w:lang w:eastAsia="en-US"/>
        </w:rPr>
        <w:t xml:space="preserve">he proportion of patients alive at 30 months was </w:t>
      </w:r>
      <w:r w:rsidR="000F1894" w:rsidRPr="00E12BDF">
        <w:rPr>
          <w:lang w:eastAsia="en-US"/>
        </w:rPr>
        <w:t>similar between the tafamidis treatment arms (72.7% and 69.3% for the 20 mg and 80</w:t>
      </w:r>
      <w:r w:rsidR="00895956">
        <w:t> </w:t>
      </w:r>
      <w:r w:rsidR="000F1894" w:rsidRPr="00E12BDF">
        <w:rPr>
          <w:lang w:eastAsia="en-US"/>
        </w:rPr>
        <w:t>mg arms, respectively versus 57.1% for placebo)</w:t>
      </w:r>
      <w:r w:rsidR="0002442E" w:rsidRPr="00E12BDF">
        <w:rPr>
          <w:lang w:eastAsia="en-US"/>
        </w:rPr>
        <w:t>, however the sponsor ha</w:t>
      </w:r>
      <w:r w:rsidR="00895956">
        <w:rPr>
          <w:lang w:eastAsia="en-US"/>
        </w:rPr>
        <w:t>d</w:t>
      </w:r>
      <w:r w:rsidR="0002442E" w:rsidRPr="00E12BDF">
        <w:rPr>
          <w:lang w:eastAsia="en-US"/>
        </w:rPr>
        <w:t xml:space="preserve"> not sought registration or listing of the 20 mg once daily dose</w:t>
      </w:r>
      <w:r w:rsidR="00E12BDF">
        <w:rPr>
          <w:lang w:eastAsia="en-US"/>
        </w:rPr>
        <w:t xml:space="preserve">. </w:t>
      </w:r>
      <w:r w:rsidR="00584032">
        <w:rPr>
          <w:lang w:eastAsia="en-US"/>
        </w:rPr>
        <w:t xml:space="preserve">The PBAC </w:t>
      </w:r>
      <w:r w:rsidR="006E5345">
        <w:rPr>
          <w:lang w:eastAsia="en-US"/>
        </w:rPr>
        <w:t>considered t</w:t>
      </w:r>
      <w:r w:rsidR="00A51E46">
        <w:rPr>
          <w:lang w:eastAsia="en-US"/>
        </w:rPr>
        <w:t>h</w:t>
      </w:r>
      <w:r w:rsidR="006E5345">
        <w:rPr>
          <w:lang w:eastAsia="en-US"/>
        </w:rPr>
        <w:t>at adequate justification for the 80 mg dose rather than the 20 mg had not been provided.</w:t>
      </w:r>
    </w:p>
    <w:p w:rsidR="00C17625" w:rsidRPr="00E12BDF" w:rsidRDefault="00C17625" w:rsidP="00445C85">
      <w:pPr>
        <w:pStyle w:val="ExecSumBodyText"/>
        <w:rPr>
          <w:lang w:eastAsia="en-US"/>
        </w:rPr>
      </w:pPr>
      <w:r w:rsidRPr="00E12BDF">
        <w:rPr>
          <w:lang w:eastAsia="en-US"/>
        </w:rPr>
        <w:t xml:space="preserve">The PBAC </w:t>
      </w:r>
      <w:r w:rsidR="006611C1" w:rsidRPr="00E12BDF">
        <w:rPr>
          <w:lang w:eastAsia="en-US"/>
        </w:rPr>
        <w:t xml:space="preserve">considered that the claim of non-inferior safety versus </w:t>
      </w:r>
      <w:r w:rsidR="00C56842" w:rsidRPr="00E12BDF">
        <w:t xml:space="preserve">standard management was </w:t>
      </w:r>
      <w:r w:rsidR="006E5345">
        <w:t xml:space="preserve">possibly </w:t>
      </w:r>
      <w:r w:rsidR="00C56842" w:rsidRPr="00E12BDF">
        <w:t xml:space="preserve">reasonable, noting there were </w:t>
      </w:r>
      <w:r w:rsidRPr="00E12BDF">
        <w:rPr>
          <w:lang w:eastAsia="en-US"/>
        </w:rPr>
        <w:t>no significant toxicity or safety signals with tafamidis</w:t>
      </w:r>
      <w:r w:rsidR="002E690B" w:rsidRPr="00E12BDF">
        <w:rPr>
          <w:lang w:eastAsia="en-US"/>
        </w:rPr>
        <w:t xml:space="preserve"> </w:t>
      </w:r>
      <w:r w:rsidR="00C56842" w:rsidRPr="00E12BDF">
        <w:rPr>
          <w:lang w:eastAsia="en-US"/>
        </w:rPr>
        <w:t>in the trial</w:t>
      </w:r>
      <w:r w:rsidRPr="00E12BDF">
        <w:rPr>
          <w:lang w:eastAsia="en-US"/>
        </w:rPr>
        <w:t>.</w:t>
      </w:r>
      <w:r w:rsidR="006E5345">
        <w:rPr>
          <w:lang w:eastAsia="en-US"/>
        </w:rPr>
        <w:t xml:space="preserve"> However, the PBAC </w:t>
      </w:r>
      <w:r w:rsidR="00630418">
        <w:rPr>
          <w:lang w:eastAsia="en-US"/>
        </w:rPr>
        <w:t>considere</w:t>
      </w:r>
      <w:r w:rsidR="006E5345">
        <w:rPr>
          <w:lang w:eastAsia="en-US"/>
        </w:rPr>
        <w:t xml:space="preserve">d that the clinical safety dataset was small and inadequate to make a claim of non-inferior safety.  </w:t>
      </w:r>
    </w:p>
    <w:p w:rsidR="00CF20B4" w:rsidRPr="00E12BDF" w:rsidRDefault="009220BD" w:rsidP="00445C85">
      <w:pPr>
        <w:pStyle w:val="ExecSumBodyText"/>
        <w:rPr>
          <w:bCs/>
          <w:lang w:eastAsia="en-US"/>
        </w:rPr>
      </w:pPr>
      <w:r w:rsidRPr="00E12BDF">
        <w:rPr>
          <w:lang w:eastAsia="en-US"/>
        </w:rPr>
        <w:t xml:space="preserve">The </w:t>
      </w:r>
      <w:r w:rsidR="00176990" w:rsidRPr="00E12BDF">
        <w:rPr>
          <w:lang w:eastAsia="en-US"/>
        </w:rPr>
        <w:t>PBAC agreed with ESC that the structure of the economic model did not form a reliable basis for decision marking</w:t>
      </w:r>
      <w:r w:rsidR="008915AA" w:rsidRPr="00E12BDF">
        <w:rPr>
          <w:lang w:eastAsia="en-US"/>
        </w:rPr>
        <w:t xml:space="preserve"> as</w:t>
      </w:r>
      <w:r w:rsidR="00A02EED" w:rsidRPr="00E12BDF">
        <w:rPr>
          <w:lang w:eastAsia="en-US"/>
        </w:rPr>
        <w:t xml:space="preserve">: </w:t>
      </w:r>
      <w:r w:rsidR="00FE3F14" w:rsidRPr="00E12BDF">
        <w:rPr>
          <w:lang w:eastAsia="en-US"/>
        </w:rPr>
        <w:t xml:space="preserve"> </w:t>
      </w:r>
    </w:p>
    <w:p w:rsidR="00CF20B4" w:rsidRPr="00E12BDF" w:rsidRDefault="00FE3F14" w:rsidP="008915AA">
      <w:pPr>
        <w:pStyle w:val="ExecSumBodyText"/>
        <w:numPr>
          <w:ilvl w:val="0"/>
          <w:numId w:val="31"/>
        </w:numPr>
        <w:rPr>
          <w:bCs/>
          <w:lang w:eastAsia="en-US"/>
        </w:rPr>
      </w:pPr>
      <w:r w:rsidRPr="00E12BDF">
        <w:rPr>
          <w:lang w:eastAsia="en-US"/>
        </w:rPr>
        <w:t xml:space="preserve">the model assumed patients remain in the same NYHA class over the duration of the model, </w:t>
      </w:r>
      <w:r w:rsidR="008915AA" w:rsidRPr="00E12BDF">
        <w:rPr>
          <w:lang w:eastAsia="en-US"/>
        </w:rPr>
        <w:t>which the ESC and PBAC considered was inappropriate as it did not capture the progressive nature of ATTR-CM</w:t>
      </w:r>
      <w:r w:rsidR="00406DB4" w:rsidRPr="00E12BDF">
        <w:rPr>
          <w:lang w:eastAsia="en-US"/>
        </w:rPr>
        <w:t>;</w:t>
      </w:r>
      <w:r w:rsidR="00A6767E" w:rsidRPr="00E12BDF">
        <w:rPr>
          <w:lang w:eastAsia="en-US"/>
        </w:rPr>
        <w:t xml:space="preserve"> </w:t>
      </w:r>
    </w:p>
    <w:p w:rsidR="00CF20B4" w:rsidRPr="00E12BDF" w:rsidRDefault="00406DB4" w:rsidP="00CF20B4">
      <w:pPr>
        <w:pStyle w:val="ExecSumBodyText"/>
        <w:numPr>
          <w:ilvl w:val="0"/>
          <w:numId w:val="31"/>
        </w:numPr>
        <w:rPr>
          <w:bCs/>
          <w:lang w:eastAsia="en-US"/>
        </w:rPr>
      </w:pPr>
      <w:r w:rsidRPr="00E12BDF">
        <w:rPr>
          <w:lang w:eastAsia="en-US"/>
        </w:rPr>
        <w:t>a</w:t>
      </w:r>
      <w:r w:rsidR="00A6767E" w:rsidRPr="00E12BDF">
        <w:rPr>
          <w:lang w:eastAsia="en-US"/>
        </w:rPr>
        <w:t xml:space="preserve"> constant probability of hospitalisation was applied over the duration of the model, which was inappropriate as cardiovascular hospitalisations would generally be expected to increase</w:t>
      </w:r>
      <w:r w:rsidRPr="00E12BDF">
        <w:rPr>
          <w:lang w:eastAsia="en-US"/>
        </w:rPr>
        <w:t xml:space="preserve"> with age;</w:t>
      </w:r>
      <w:r w:rsidR="007A1ED5" w:rsidRPr="00E12BDF">
        <w:t xml:space="preserve"> </w:t>
      </w:r>
    </w:p>
    <w:p w:rsidR="008915AA" w:rsidRPr="00E12BDF" w:rsidRDefault="008915AA" w:rsidP="008915AA">
      <w:pPr>
        <w:pStyle w:val="ExecSumBodyText"/>
        <w:numPr>
          <w:ilvl w:val="0"/>
          <w:numId w:val="31"/>
        </w:numPr>
        <w:rPr>
          <w:bCs/>
          <w:lang w:eastAsia="en-US"/>
        </w:rPr>
      </w:pPr>
      <w:r w:rsidRPr="00E12BDF">
        <w:rPr>
          <w:bCs/>
          <w:lang w:eastAsia="en-US"/>
        </w:rPr>
        <w:t>the implicit assumption that all cardiovascular hospitalisations were non-fatal was inappropriate as the cardiovascular hospitalisation rates reported in the ATTR-ACT trial included fatal and non-fatal events; and</w:t>
      </w:r>
    </w:p>
    <w:p w:rsidR="00CF20B4" w:rsidRPr="00E12BDF" w:rsidRDefault="00406DB4" w:rsidP="00CF20B4">
      <w:pPr>
        <w:pStyle w:val="ExecSumBodyText"/>
        <w:numPr>
          <w:ilvl w:val="0"/>
          <w:numId w:val="31"/>
        </w:numPr>
        <w:rPr>
          <w:bCs/>
          <w:lang w:eastAsia="en-US"/>
        </w:rPr>
      </w:pPr>
      <w:r w:rsidRPr="00E12BDF">
        <w:t>t</w:t>
      </w:r>
      <w:r w:rsidR="007A1ED5" w:rsidRPr="00E12BDF">
        <w:t xml:space="preserve">he </w:t>
      </w:r>
      <w:r w:rsidR="007A1ED5" w:rsidRPr="00E12BDF">
        <w:rPr>
          <w:bCs/>
          <w:lang w:eastAsia="en-US"/>
        </w:rPr>
        <w:t>implicit assumption that the estimated treatment effect is maintained following treatment discontinuation was inappropriate as increasing proportions of patients discontinue over time and spend longer durations without therapy (where they do not accrue drug costs but do derive treatment benefit</w:t>
      </w:r>
      <w:r w:rsidRPr="00E12BDF">
        <w:rPr>
          <w:bCs/>
          <w:lang w:eastAsia="en-US"/>
        </w:rPr>
        <w:t>)</w:t>
      </w:r>
      <w:r w:rsidR="00E12BDF">
        <w:rPr>
          <w:bCs/>
          <w:lang w:eastAsia="en-US"/>
        </w:rPr>
        <w:t xml:space="preserve">. </w:t>
      </w:r>
    </w:p>
    <w:p w:rsidR="00C2114A" w:rsidRPr="00E12BDF" w:rsidRDefault="00A02EED" w:rsidP="001D0379">
      <w:pPr>
        <w:pStyle w:val="ExecSumBodyText"/>
        <w:rPr>
          <w:lang w:eastAsia="en-US"/>
        </w:rPr>
      </w:pPr>
      <w:r w:rsidRPr="00E12BDF">
        <w:rPr>
          <w:lang w:eastAsia="en-US"/>
        </w:rPr>
        <w:t xml:space="preserve">The </w:t>
      </w:r>
      <w:r w:rsidR="00903207" w:rsidRPr="00E12BDF">
        <w:rPr>
          <w:lang w:eastAsia="en-US"/>
        </w:rPr>
        <w:t xml:space="preserve">submission applied </w:t>
      </w:r>
      <w:r w:rsidR="00903207" w:rsidRPr="00E12BDF">
        <w:t xml:space="preserve">different </w:t>
      </w:r>
      <w:r w:rsidR="001D0379" w:rsidRPr="00E12BDF">
        <w:rPr>
          <w:lang w:eastAsia="en-US"/>
        </w:rPr>
        <w:t xml:space="preserve">parametric functions to the tafamidis and best supportive care </w:t>
      </w:r>
      <w:r w:rsidR="00903207" w:rsidRPr="00E12BDF">
        <w:t>arm</w:t>
      </w:r>
      <w:r w:rsidR="001D0379" w:rsidRPr="00E12BDF">
        <w:t xml:space="preserve">s. The PBAC agreed with the ESC that </w:t>
      </w:r>
      <w:r w:rsidR="001D0379" w:rsidRPr="00E12BDF">
        <w:rPr>
          <w:lang w:eastAsia="en-US"/>
        </w:rPr>
        <w:t xml:space="preserve">it would be more appropriate to apply the same function to both arms given the </w:t>
      </w:r>
      <w:r w:rsidR="001D0379" w:rsidRPr="00E12BDF">
        <w:rPr>
          <w:bCs/>
          <w:lang w:eastAsia="en-US"/>
        </w:rPr>
        <w:t>differences in model fit were small and the proportional hazards assumption between treatments did not appear to be violated. Further, the</w:t>
      </w:r>
      <w:r w:rsidR="00903207" w:rsidRPr="00E12BDF">
        <w:t xml:space="preserve"> </w:t>
      </w:r>
      <w:r w:rsidRPr="00E12BDF">
        <w:rPr>
          <w:lang w:eastAsia="en-US"/>
        </w:rPr>
        <w:t>PBAC noted that n</w:t>
      </w:r>
      <w:r w:rsidR="00C2114A" w:rsidRPr="00E12BDF">
        <w:rPr>
          <w:lang w:eastAsia="en-US"/>
        </w:rPr>
        <w:t>early all of the benefits occurred during the extrap</w:t>
      </w:r>
      <w:r w:rsidRPr="00E12BDF">
        <w:rPr>
          <w:lang w:eastAsia="en-US"/>
        </w:rPr>
        <w:t>olated part of the model (96%</w:t>
      </w:r>
      <w:r w:rsidR="00C2114A" w:rsidRPr="00E12BDF">
        <w:rPr>
          <w:lang w:eastAsia="en-US"/>
        </w:rPr>
        <w:t xml:space="preserve"> the incremental life y</w:t>
      </w:r>
      <w:r w:rsidR="001D0379" w:rsidRPr="00E12BDF">
        <w:rPr>
          <w:lang w:eastAsia="en-US"/>
        </w:rPr>
        <w:t>ears occurred beyond 30 months), and considered that this further</w:t>
      </w:r>
      <w:r w:rsidR="00DE16E5" w:rsidRPr="00E12BDF">
        <w:rPr>
          <w:lang w:eastAsia="en-US"/>
        </w:rPr>
        <w:t xml:space="preserve"> increases the</w:t>
      </w:r>
      <w:r w:rsidR="001D0379" w:rsidRPr="00E12BDF">
        <w:rPr>
          <w:lang w:eastAsia="en-US"/>
        </w:rPr>
        <w:t xml:space="preserve"> uncertainty </w:t>
      </w:r>
      <w:r w:rsidR="00DE16E5" w:rsidRPr="00E12BDF">
        <w:rPr>
          <w:lang w:eastAsia="en-US"/>
        </w:rPr>
        <w:t xml:space="preserve">of </w:t>
      </w:r>
      <w:r w:rsidR="001D0379" w:rsidRPr="00E12BDF">
        <w:rPr>
          <w:lang w:eastAsia="en-US"/>
        </w:rPr>
        <w:t xml:space="preserve">the model estimates. </w:t>
      </w:r>
    </w:p>
    <w:p w:rsidR="006A44B6" w:rsidRPr="00E12BDF" w:rsidRDefault="00A02EED" w:rsidP="006A44B6">
      <w:pPr>
        <w:pStyle w:val="ExecSumBodyText"/>
        <w:rPr>
          <w:bCs/>
          <w:lang w:eastAsia="en-US"/>
        </w:rPr>
      </w:pPr>
      <w:r w:rsidRPr="00E12BDF">
        <w:rPr>
          <w:bCs/>
          <w:lang w:eastAsia="en-US"/>
        </w:rPr>
        <w:t>The PBAC considered that t</w:t>
      </w:r>
      <w:r w:rsidR="006A44B6" w:rsidRPr="00E12BDF">
        <w:rPr>
          <w:bCs/>
          <w:lang w:eastAsia="en-US"/>
        </w:rPr>
        <w:t>here were substantial differences in modelled incremental benefits associated with tafamidis treatment in patients with NYHA Class I/II and</w:t>
      </w:r>
      <w:r w:rsidR="008915AA" w:rsidRPr="00E12BDF">
        <w:rPr>
          <w:bCs/>
          <w:lang w:eastAsia="en-US"/>
        </w:rPr>
        <w:t xml:space="preserve"> those with</w:t>
      </w:r>
      <w:r w:rsidR="006A44B6" w:rsidRPr="00E12BDF">
        <w:rPr>
          <w:bCs/>
          <w:lang w:eastAsia="en-US"/>
        </w:rPr>
        <w:t xml:space="preserve"> NYHA Class III heart failure. The </w:t>
      </w:r>
      <w:r w:rsidRPr="00E12BDF">
        <w:rPr>
          <w:bCs/>
          <w:lang w:eastAsia="en-US"/>
        </w:rPr>
        <w:t>PBAC agreed with</w:t>
      </w:r>
      <w:r w:rsidR="00635CC1" w:rsidRPr="00E12BDF">
        <w:rPr>
          <w:bCs/>
          <w:lang w:eastAsia="en-US"/>
        </w:rPr>
        <w:t xml:space="preserve"> the</w:t>
      </w:r>
      <w:r w:rsidRPr="00E12BDF">
        <w:rPr>
          <w:bCs/>
          <w:lang w:eastAsia="en-US"/>
        </w:rPr>
        <w:t xml:space="preserve"> ESC</w:t>
      </w:r>
      <w:r w:rsidR="006A44B6" w:rsidRPr="00E12BDF">
        <w:rPr>
          <w:bCs/>
          <w:lang w:eastAsia="en-US"/>
        </w:rPr>
        <w:t xml:space="preserve"> that it is unclear whether the distribution of NYHA clas</w:t>
      </w:r>
      <w:r w:rsidR="00BF6308" w:rsidRPr="00E12BDF">
        <w:rPr>
          <w:bCs/>
          <w:lang w:eastAsia="en-US"/>
        </w:rPr>
        <w:t>ses from the ATTR-ACT trial would</w:t>
      </w:r>
      <w:r w:rsidR="006A44B6" w:rsidRPr="00E12BDF">
        <w:rPr>
          <w:bCs/>
          <w:lang w:eastAsia="en-US"/>
        </w:rPr>
        <w:t xml:space="preserve"> be applicable </w:t>
      </w:r>
      <w:r w:rsidR="006A44B6" w:rsidRPr="00E12BDF">
        <w:rPr>
          <w:bCs/>
          <w:lang w:eastAsia="en-US"/>
        </w:rPr>
        <w:lastRenderedPageBreak/>
        <w:t>to the Australian setting, e.g. the distribution is likely to be affected by any changes in practices around testing for ATTR-CM.</w:t>
      </w:r>
    </w:p>
    <w:p w:rsidR="001F6615" w:rsidRPr="00E12BDF" w:rsidRDefault="008F2766" w:rsidP="003350E3">
      <w:pPr>
        <w:pStyle w:val="ExecSumBodyText"/>
        <w:rPr>
          <w:lang w:eastAsia="en-US"/>
        </w:rPr>
      </w:pPr>
      <w:r w:rsidRPr="00E12BDF">
        <w:rPr>
          <w:lang w:eastAsia="en-US"/>
        </w:rPr>
        <w:t>Overall, t</w:t>
      </w:r>
      <w:r w:rsidR="00AB52C2" w:rsidRPr="00E12BDF">
        <w:rPr>
          <w:lang w:eastAsia="en-US"/>
        </w:rPr>
        <w:t>he PBAC agreed with the ESC that th</w:t>
      </w:r>
      <w:r w:rsidR="008915AA" w:rsidRPr="00E12BDF">
        <w:rPr>
          <w:lang w:eastAsia="en-US"/>
        </w:rPr>
        <w:t>e submission’s estimate of</w:t>
      </w:r>
      <w:r w:rsidR="00AB52C2" w:rsidRPr="00E12BDF">
        <w:rPr>
          <w:lang w:eastAsia="en-US"/>
        </w:rPr>
        <w:t xml:space="preserve"> cost-effectiveness was unreliable given the major structural limitations of the model and the uncertain proportion of patients across NYHA classes. Notwithstanding this, the PBAC noted that the submission had estimated an ICER of </w:t>
      </w:r>
      <w:r w:rsidR="00B13C43">
        <w:rPr>
          <w:lang w:eastAsia="en-US"/>
        </w:rPr>
        <w:t xml:space="preserve">more than $200,000 </w:t>
      </w:r>
      <w:r w:rsidR="00AB52C2" w:rsidRPr="00E12BDF">
        <w:rPr>
          <w:lang w:eastAsia="en-US"/>
        </w:rPr>
        <w:t>per QALY gained</w:t>
      </w:r>
      <w:r w:rsidR="001F6615" w:rsidRPr="00E12BDF">
        <w:rPr>
          <w:lang w:eastAsia="en-US"/>
        </w:rPr>
        <w:t xml:space="preserve">. </w:t>
      </w:r>
      <w:r w:rsidR="00AB52C2" w:rsidRPr="00E12BDF">
        <w:rPr>
          <w:lang w:eastAsia="en-US"/>
        </w:rPr>
        <w:t xml:space="preserve">The PBAC considered this ICER was unacceptably high, and </w:t>
      </w:r>
      <w:r w:rsidR="005A4B52" w:rsidRPr="00E12BDF">
        <w:rPr>
          <w:lang w:eastAsia="en-US"/>
        </w:rPr>
        <w:t>that a significantly lower and more certain ICER would be required</w:t>
      </w:r>
      <w:r w:rsidR="00AB52C2" w:rsidRPr="00E12BDF">
        <w:rPr>
          <w:lang w:eastAsia="en-US"/>
        </w:rPr>
        <w:t xml:space="preserve">. </w:t>
      </w:r>
    </w:p>
    <w:p w:rsidR="007E569C" w:rsidRPr="00E12BDF" w:rsidRDefault="007E569C" w:rsidP="006A44B6">
      <w:pPr>
        <w:pStyle w:val="ExecSumBodyText"/>
        <w:rPr>
          <w:lang w:eastAsia="en-US"/>
        </w:rPr>
      </w:pPr>
      <w:r w:rsidRPr="00E12BDF">
        <w:rPr>
          <w:lang w:eastAsia="en-US"/>
        </w:rPr>
        <w:t>T</w:t>
      </w:r>
      <w:r w:rsidR="006B1C45" w:rsidRPr="00E12BDF">
        <w:rPr>
          <w:lang w:eastAsia="en-US"/>
        </w:rPr>
        <w:t xml:space="preserve">he </w:t>
      </w:r>
      <w:r w:rsidR="00A02EED" w:rsidRPr="00E12BDF">
        <w:rPr>
          <w:lang w:eastAsia="en-US"/>
        </w:rPr>
        <w:t xml:space="preserve">PBAC </w:t>
      </w:r>
      <w:r w:rsidR="000D306A" w:rsidRPr="00E12BDF">
        <w:rPr>
          <w:lang w:eastAsia="en-US"/>
        </w:rPr>
        <w:t xml:space="preserve">agreed with DUSC and </w:t>
      </w:r>
      <w:r w:rsidR="00711514" w:rsidRPr="00E12BDF">
        <w:rPr>
          <w:lang w:eastAsia="en-US"/>
        </w:rPr>
        <w:t xml:space="preserve">considered that the submission had </w:t>
      </w:r>
      <w:r w:rsidR="003F2FFE" w:rsidRPr="00E12BDF">
        <w:rPr>
          <w:lang w:eastAsia="en-US"/>
        </w:rPr>
        <w:t xml:space="preserve">likely substantially underestimated the </w:t>
      </w:r>
      <w:r w:rsidR="006A44B6" w:rsidRPr="00E12BDF">
        <w:rPr>
          <w:lang w:eastAsia="en-US"/>
        </w:rPr>
        <w:t>financial implications</w:t>
      </w:r>
      <w:r w:rsidR="00557964" w:rsidRPr="00E12BDF">
        <w:rPr>
          <w:lang w:eastAsia="en-US"/>
        </w:rPr>
        <w:t>,</w:t>
      </w:r>
      <w:r w:rsidR="006A44B6" w:rsidRPr="00E12BDF">
        <w:rPr>
          <w:lang w:eastAsia="en-US"/>
        </w:rPr>
        <w:t xml:space="preserve"> </w:t>
      </w:r>
      <w:r w:rsidR="003F2FFE" w:rsidRPr="00E12BDF">
        <w:rPr>
          <w:lang w:eastAsia="en-US"/>
        </w:rPr>
        <w:t>as</w:t>
      </w:r>
      <w:r w:rsidR="000D306A" w:rsidRPr="00E12BDF">
        <w:rPr>
          <w:lang w:eastAsia="en-US"/>
        </w:rPr>
        <w:t xml:space="preserve"> outlined in Paragraph 6.7</w:t>
      </w:r>
      <w:r w:rsidR="0002442E" w:rsidRPr="00E12BDF">
        <w:rPr>
          <w:lang w:eastAsia="en-US"/>
        </w:rPr>
        <w:t>1</w:t>
      </w:r>
      <w:r w:rsidR="000D306A" w:rsidRPr="00E12BDF">
        <w:rPr>
          <w:lang w:eastAsia="en-US"/>
        </w:rPr>
        <w:t>. Key issues included</w:t>
      </w:r>
      <w:r w:rsidR="003F2FFE" w:rsidRPr="00E12BDF">
        <w:rPr>
          <w:lang w:eastAsia="en-US"/>
        </w:rPr>
        <w:t>:</w:t>
      </w:r>
    </w:p>
    <w:p w:rsidR="007E569C" w:rsidRPr="00E12BDF" w:rsidRDefault="00711514" w:rsidP="00E17C95">
      <w:pPr>
        <w:pStyle w:val="ListParagraph"/>
        <w:numPr>
          <w:ilvl w:val="0"/>
          <w:numId w:val="25"/>
        </w:numPr>
        <w:ind w:left="1134"/>
        <w:rPr>
          <w:lang w:eastAsia="en-US"/>
        </w:rPr>
      </w:pPr>
      <w:r w:rsidRPr="00E12BDF">
        <w:rPr>
          <w:lang w:eastAsia="en-US"/>
        </w:rPr>
        <w:t xml:space="preserve">ATTR-CM is likely currently significantly underdiagnosed but this is difficult to quantify due to the nature of the data sources available. </w:t>
      </w:r>
      <w:r w:rsidR="007E569C" w:rsidRPr="00E12BDF">
        <w:rPr>
          <w:lang w:eastAsia="en-US"/>
        </w:rPr>
        <w:t xml:space="preserve">Changes in </w:t>
      </w:r>
      <w:r w:rsidR="000D306A" w:rsidRPr="00E12BDF">
        <w:rPr>
          <w:lang w:eastAsia="en-US"/>
        </w:rPr>
        <w:t xml:space="preserve">the </w:t>
      </w:r>
      <w:r w:rsidR="007E569C" w:rsidRPr="00E12BDF">
        <w:rPr>
          <w:lang w:eastAsia="en-US"/>
        </w:rPr>
        <w:t>diagnostic algorithm</w:t>
      </w:r>
      <w:r w:rsidR="00B91440" w:rsidRPr="00E12BDF">
        <w:rPr>
          <w:lang w:eastAsia="en-US"/>
        </w:rPr>
        <w:t>, along with the availability of an effective treatment for this condition</w:t>
      </w:r>
      <w:r w:rsidR="007E569C" w:rsidRPr="00E12BDF">
        <w:rPr>
          <w:lang w:eastAsia="en-US"/>
        </w:rPr>
        <w:t xml:space="preserve"> will </w:t>
      </w:r>
      <w:r w:rsidR="00557964" w:rsidRPr="00E12BDF">
        <w:rPr>
          <w:lang w:eastAsia="en-US"/>
        </w:rPr>
        <w:t xml:space="preserve">likely </w:t>
      </w:r>
      <w:r w:rsidR="007E569C" w:rsidRPr="00E12BDF">
        <w:rPr>
          <w:lang w:eastAsia="en-US"/>
        </w:rPr>
        <w:t>increase</w:t>
      </w:r>
      <w:r w:rsidR="00557964" w:rsidRPr="00E12BDF">
        <w:rPr>
          <w:lang w:eastAsia="en-US"/>
        </w:rPr>
        <w:t xml:space="preserve"> patient</w:t>
      </w:r>
      <w:r w:rsidR="007E569C" w:rsidRPr="00E12BDF">
        <w:rPr>
          <w:lang w:eastAsia="en-US"/>
        </w:rPr>
        <w:t xml:space="preserve"> numbers</w:t>
      </w:r>
      <w:r w:rsidR="000D306A" w:rsidRPr="00E12BDF">
        <w:rPr>
          <w:lang w:eastAsia="en-US"/>
        </w:rPr>
        <w:t>.</w:t>
      </w:r>
    </w:p>
    <w:p w:rsidR="000D306A" w:rsidRPr="00E12BDF" w:rsidRDefault="00BF4415" w:rsidP="00557964">
      <w:pPr>
        <w:pStyle w:val="ListParagraph"/>
        <w:numPr>
          <w:ilvl w:val="0"/>
          <w:numId w:val="25"/>
        </w:numPr>
        <w:ind w:left="1134"/>
        <w:rPr>
          <w:lang w:eastAsia="en-US"/>
        </w:rPr>
      </w:pPr>
      <w:r w:rsidRPr="00E12BDF">
        <w:t xml:space="preserve">The prevalent population was highly uncertain and likely to have been significantly underestimated: (1) </w:t>
      </w:r>
      <w:r w:rsidR="00557964" w:rsidRPr="00E12BDF">
        <w:t>The population with heart failure was based on self-reported data which was likely to be under-reported</w:t>
      </w:r>
      <w:r w:rsidRPr="00E12BDF">
        <w:t xml:space="preserve">; (2) </w:t>
      </w:r>
      <w:r w:rsidR="00557964" w:rsidRPr="00E12BDF">
        <w:t>The estimated prevalence of patients with heart failure with preserved ejection fraction was likely underestimated as it was based on data from 30 years ago</w:t>
      </w:r>
      <w:r w:rsidRPr="00E12BDF">
        <w:t>; and (3)</w:t>
      </w:r>
      <w:r w:rsidR="00557964" w:rsidRPr="00E12BDF">
        <w:t xml:space="preserve"> Amyloid deposition rates were age-stratified and based on screening of 31 asymptomatic patients 75 years and older. Rates for younger patients were based on linear extrapolations but there does not appear to be a linear association between amyloid deposition rates with age. </w:t>
      </w:r>
    </w:p>
    <w:p w:rsidR="000D306A" w:rsidRPr="00E12BDF" w:rsidRDefault="000D306A" w:rsidP="000D306A">
      <w:pPr>
        <w:pStyle w:val="ListParagraph"/>
        <w:numPr>
          <w:ilvl w:val="0"/>
          <w:numId w:val="25"/>
        </w:numPr>
        <w:ind w:left="1134"/>
        <w:rPr>
          <w:lang w:eastAsia="en-US"/>
        </w:rPr>
      </w:pPr>
      <w:r w:rsidRPr="00E12BDF">
        <w:t xml:space="preserve">The PBAC </w:t>
      </w:r>
      <w:r w:rsidRPr="00E12BDF">
        <w:rPr>
          <w:bCs/>
          <w:iCs/>
        </w:rPr>
        <w:t>considered that the decreasing prevalent and incident population</w:t>
      </w:r>
      <w:r w:rsidR="00D53947" w:rsidRPr="00E12BDF">
        <w:rPr>
          <w:bCs/>
          <w:iCs/>
        </w:rPr>
        <w:t>s</w:t>
      </w:r>
      <w:r w:rsidRPr="00E12BDF">
        <w:rPr>
          <w:bCs/>
          <w:iCs/>
        </w:rPr>
        <w:t xml:space="preserve"> do not meet face validity</w:t>
      </w:r>
      <w:r w:rsidRPr="00E12BDF">
        <w:rPr>
          <w:lang w:eastAsia="en-US"/>
        </w:rPr>
        <w:t xml:space="preserve"> given the increase in the prevalence of heart failure in the Australian setting over time</w:t>
      </w:r>
      <w:r w:rsidR="00D53947" w:rsidRPr="00E12BDF">
        <w:rPr>
          <w:lang w:eastAsia="en-US"/>
        </w:rPr>
        <w:t>.</w:t>
      </w:r>
    </w:p>
    <w:p w:rsidR="0085508F" w:rsidRPr="00E12BDF" w:rsidRDefault="0085508F" w:rsidP="00D53947">
      <w:pPr>
        <w:pStyle w:val="ListParagraph"/>
        <w:numPr>
          <w:ilvl w:val="0"/>
          <w:numId w:val="25"/>
        </w:numPr>
        <w:spacing w:after="120"/>
        <w:ind w:left="1134" w:hanging="357"/>
        <w:contextualSpacing w:val="0"/>
        <w:rPr>
          <w:lang w:eastAsia="en-US"/>
        </w:rPr>
      </w:pPr>
      <w:r w:rsidRPr="00E12BDF">
        <w:rPr>
          <w:lang w:eastAsia="en-US"/>
        </w:rPr>
        <w:t>As outlined in Paragraph 7.6, the PBAC considered that the proposed new diagnostic algorithm will lead to changes in testing practices over time and the impact of these changes to the MBS was likely to have been significantly underestimated.</w:t>
      </w:r>
    </w:p>
    <w:p w:rsidR="00D53947" w:rsidRPr="00E12BDF" w:rsidRDefault="00D53947" w:rsidP="00D53947">
      <w:pPr>
        <w:pStyle w:val="ExecSumBodyText"/>
        <w:rPr>
          <w:lang w:eastAsia="en-US"/>
        </w:rPr>
      </w:pPr>
      <w:r w:rsidRPr="00E12BDF">
        <w:rPr>
          <w:lang w:eastAsia="en-US"/>
        </w:rPr>
        <w:t>Given the significant issues with estimating the eligible population and the very high financial impact, the PBAC considered that further work was required to determine the size of the eligible population in Australia</w:t>
      </w:r>
      <w:r w:rsidR="008F00D0" w:rsidRPr="00E12BDF">
        <w:rPr>
          <w:lang w:eastAsia="en-US"/>
        </w:rPr>
        <w:t>, particularly the incidence and prevalence of the condition</w:t>
      </w:r>
      <w:r w:rsidRPr="00E12BDF">
        <w:rPr>
          <w:lang w:eastAsia="en-US"/>
        </w:rPr>
        <w:t xml:space="preserve">. </w:t>
      </w:r>
    </w:p>
    <w:p w:rsidR="006A44B6" w:rsidRPr="00E12BDF" w:rsidRDefault="00F81333" w:rsidP="00D53947">
      <w:pPr>
        <w:pStyle w:val="ExecSumBodyText"/>
        <w:rPr>
          <w:lang w:eastAsia="en-US"/>
        </w:rPr>
      </w:pPr>
      <w:r w:rsidRPr="00E12BDF">
        <w:rPr>
          <w:lang w:eastAsia="en-US"/>
        </w:rPr>
        <w:t>The PBAC</w:t>
      </w:r>
      <w:r w:rsidR="00D53947" w:rsidRPr="00E12BDF">
        <w:rPr>
          <w:lang w:eastAsia="en-US"/>
        </w:rPr>
        <w:t xml:space="preserve"> </w:t>
      </w:r>
      <w:r w:rsidR="007E569C" w:rsidRPr="00E12BDF">
        <w:rPr>
          <w:lang w:eastAsia="en-US"/>
        </w:rPr>
        <w:t>considered that</w:t>
      </w:r>
      <w:r w:rsidR="00D53947" w:rsidRPr="00E12BDF">
        <w:rPr>
          <w:lang w:eastAsia="en-US"/>
        </w:rPr>
        <w:t xml:space="preserve"> </w:t>
      </w:r>
      <w:r w:rsidR="00BF4415" w:rsidRPr="00E12BDF">
        <w:rPr>
          <w:lang w:eastAsia="en-US"/>
        </w:rPr>
        <w:t>more reliable financial estimates would be required to inform a RSA</w:t>
      </w:r>
      <w:r w:rsidRPr="00E12BDF">
        <w:rPr>
          <w:lang w:eastAsia="en-US"/>
        </w:rPr>
        <w:t xml:space="preserve">. </w:t>
      </w:r>
    </w:p>
    <w:p w:rsidR="00A65B5E" w:rsidRPr="00E12BDF" w:rsidRDefault="00AB40F0" w:rsidP="00AB40F0">
      <w:pPr>
        <w:widowControl w:val="0"/>
        <w:numPr>
          <w:ilvl w:val="1"/>
          <w:numId w:val="1"/>
        </w:numPr>
        <w:spacing w:after="120"/>
        <w:rPr>
          <w:rFonts w:asciiTheme="minorHAnsi" w:hAnsiTheme="minorHAnsi"/>
          <w:bCs/>
          <w:snapToGrid w:val="0"/>
          <w:lang w:eastAsia="en-US"/>
        </w:rPr>
      </w:pPr>
      <w:r w:rsidRPr="00E12BDF">
        <w:rPr>
          <w:rFonts w:asciiTheme="minorHAnsi" w:hAnsiTheme="minorHAnsi"/>
          <w:bCs/>
          <w:snapToGrid w:val="0"/>
          <w:lang w:eastAsia="en-US"/>
        </w:rPr>
        <w:t>The PBAC considered that any resubmission would need to be a major submission</w:t>
      </w:r>
      <w:r w:rsidR="007E569C" w:rsidRPr="00E12BDF">
        <w:rPr>
          <w:rFonts w:asciiTheme="minorHAnsi" w:hAnsiTheme="minorHAnsi"/>
          <w:bCs/>
          <w:snapToGrid w:val="0"/>
          <w:lang w:eastAsia="en-US"/>
        </w:rPr>
        <w:t xml:space="preserve"> </w:t>
      </w:r>
      <w:r w:rsidR="005A4B52" w:rsidRPr="00E12BDF">
        <w:rPr>
          <w:rFonts w:asciiTheme="minorHAnsi" w:hAnsiTheme="minorHAnsi"/>
          <w:bCs/>
          <w:snapToGrid w:val="0"/>
          <w:lang w:eastAsia="en-US"/>
        </w:rPr>
        <w:t>and should include the following</w:t>
      </w:r>
      <w:r w:rsidR="00A65B5E" w:rsidRPr="00E12BDF">
        <w:rPr>
          <w:rFonts w:asciiTheme="minorHAnsi" w:hAnsiTheme="minorHAnsi"/>
          <w:bCs/>
          <w:snapToGrid w:val="0"/>
          <w:lang w:eastAsia="en-US"/>
        </w:rPr>
        <w:t>:</w:t>
      </w:r>
    </w:p>
    <w:p w:rsidR="00F11B52" w:rsidRPr="00E12BDF" w:rsidRDefault="008F00D0" w:rsidP="00AB40F0">
      <w:pPr>
        <w:pStyle w:val="ListParagraph"/>
        <w:widowControl w:val="0"/>
        <w:numPr>
          <w:ilvl w:val="0"/>
          <w:numId w:val="32"/>
        </w:numPr>
        <w:spacing w:after="120"/>
        <w:rPr>
          <w:rFonts w:asciiTheme="minorHAnsi" w:hAnsiTheme="minorHAnsi"/>
          <w:bCs/>
          <w:snapToGrid w:val="0"/>
          <w:lang w:eastAsia="en-US"/>
        </w:rPr>
      </w:pPr>
      <w:r w:rsidRPr="00E12BDF">
        <w:rPr>
          <w:rFonts w:asciiTheme="minorHAnsi" w:hAnsiTheme="minorHAnsi"/>
          <w:bCs/>
          <w:snapToGrid w:val="0"/>
          <w:lang w:eastAsia="en-US"/>
        </w:rPr>
        <w:t>t</w:t>
      </w:r>
      <w:r w:rsidR="005F4990" w:rsidRPr="00E12BDF">
        <w:rPr>
          <w:rFonts w:asciiTheme="minorHAnsi" w:hAnsiTheme="minorHAnsi"/>
          <w:bCs/>
          <w:snapToGrid w:val="0"/>
          <w:lang w:eastAsia="en-US"/>
        </w:rPr>
        <w:t>he requested listing should be revised</w:t>
      </w:r>
      <w:r w:rsidRPr="00E12BDF">
        <w:rPr>
          <w:rFonts w:asciiTheme="minorHAnsi" w:hAnsiTheme="minorHAnsi"/>
          <w:bCs/>
          <w:snapToGrid w:val="0"/>
          <w:lang w:eastAsia="en-US"/>
        </w:rPr>
        <w:t xml:space="preserve"> as outlined above and in </w:t>
      </w:r>
      <w:r w:rsidR="005F4990" w:rsidRPr="00E12BDF">
        <w:rPr>
          <w:rFonts w:asciiTheme="minorHAnsi" w:hAnsiTheme="minorHAnsi"/>
          <w:bCs/>
          <w:snapToGrid w:val="0"/>
          <w:lang w:eastAsia="en-US"/>
        </w:rPr>
        <w:t>Section 3</w:t>
      </w:r>
      <w:r w:rsidR="00233C4A" w:rsidRPr="00E12BDF">
        <w:rPr>
          <w:rFonts w:asciiTheme="minorHAnsi" w:hAnsiTheme="minorHAnsi"/>
          <w:bCs/>
          <w:snapToGrid w:val="0"/>
          <w:lang w:eastAsia="en-US"/>
        </w:rPr>
        <w:t>;</w:t>
      </w:r>
    </w:p>
    <w:p w:rsidR="00F11B52" w:rsidRPr="00E12BDF" w:rsidRDefault="008F00D0" w:rsidP="00AB40F0">
      <w:pPr>
        <w:pStyle w:val="ListParagraph"/>
        <w:widowControl w:val="0"/>
        <w:numPr>
          <w:ilvl w:val="0"/>
          <w:numId w:val="32"/>
        </w:numPr>
        <w:spacing w:after="120"/>
        <w:rPr>
          <w:rFonts w:asciiTheme="minorHAnsi" w:hAnsiTheme="minorHAnsi"/>
          <w:bCs/>
          <w:snapToGrid w:val="0"/>
          <w:lang w:eastAsia="en-US"/>
        </w:rPr>
      </w:pPr>
      <w:r w:rsidRPr="00E12BDF">
        <w:rPr>
          <w:rFonts w:asciiTheme="minorHAnsi" w:hAnsiTheme="minorHAnsi"/>
          <w:bCs/>
          <w:snapToGrid w:val="0"/>
          <w:lang w:eastAsia="en-US"/>
        </w:rPr>
        <w:lastRenderedPageBreak/>
        <w:t>f</w:t>
      </w:r>
      <w:r w:rsidR="00F11B52" w:rsidRPr="00E12BDF">
        <w:rPr>
          <w:rFonts w:asciiTheme="minorHAnsi" w:hAnsiTheme="minorHAnsi"/>
          <w:bCs/>
          <w:snapToGrid w:val="0"/>
          <w:lang w:eastAsia="en-US"/>
        </w:rPr>
        <w:t xml:space="preserve">urther information </w:t>
      </w:r>
      <w:r w:rsidR="00BF4415" w:rsidRPr="00E12BDF">
        <w:rPr>
          <w:rFonts w:asciiTheme="minorHAnsi" w:hAnsiTheme="minorHAnsi"/>
          <w:bCs/>
          <w:snapToGrid w:val="0"/>
          <w:lang w:eastAsia="en-US"/>
        </w:rPr>
        <w:t>regarding</w:t>
      </w:r>
      <w:r w:rsidR="00F11B52" w:rsidRPr="00E12BDF">
        <w:rPr>
          <w:rFonts w:asciiTheme="minorHAnsi" w:hAnsiTheme="minorHAnsi"/>
          <w:bCs/>
          <w:snapToGrid w:val="0"/>
          <w:lang w:eastAsia="en-US"/>
        </w:rPr>
        <w:t xml:space="preserve"> </w:t>
      </w:r>
      <w:r w:rsidRPr="00E12BDF">
        <w:rPr>
          <w:rFonts w:asciiTheme="minorHAnsi" w:hAnsiTheme="minorHAnsi"/>
          <w:bCs/>
          <w:snapToGrid w:val="0"/>
          <w:lang w:eastAsia="en-US"/>
        </w:rPr>
        <w:t>the</w:t>
      </w:r>
      <w:r w:rsidR="00F11B52" w:rsidRPr="00E12BDF">
        <w:rPr>
          <w:rFonts w:asciiTheme="minorHAnsi" w:hAnsiTheme="minorHAnsi"/>
          <w:bCs/>
          <w:snapToGrid w:val="0"/>
          <w:lang w:eastAsia="en-US"/>
        </w:rPr>
        <w:t xml:space="preserve"> efficacy of tafamidis </w:t>
      </w:r>
      <w:r w:rsidRPr="00E12BDF">
        <w:rPr>
          <w:rFonts w:asciiTheme="minorHAnsi" w:hAnsiTheme="minorHAnsi"/>
          <w:bCs/>
          <w:snapToGrid w:val="0"/>
          <w:lang w:eastAsia="en-US"/>
        </w:rPr>
        <w:t>in</w:t>
      </w:r>
      <w:r w:rsidR="00F11B52" w:rsidRPr="00E12BDF">
        <w:rPr>
          <w:rFonts w:asciiTheme="minorHAnsi" w:hAnsiTheme="minorHAnsi"/>
          <w:bCs/>
          <w:snapToGrid w:val="0"/>
          <w:lang w:eastAsia="en-US"/>
        </w:rPr>
        <w:t xml:space="preserve"> patients </w:t>
      </w:r>
      <w:r w:rsidRPr="00E12BDF">
        <w:rPr>
          <w:rFonts w:asciiTheme="minorHAnsi" w:hAnsiTheme="minorHAnsi"/>
          <w:bCs/>
          <w:snapToGrid w:val="0"/>
          <w:lang w:eastAsia="en-US"/>
        </w:rPr>
        <w:t>with</w:t>
      </w:r>
      <w:r w:rsidR="00F11B52" w:rsidRPr="00E12BDF">
        <w:rPr>
          <w:rFonts w:asciiTheme="minorHAnsi" w:hAnsiTheme="minorHAnsi"/>
          <w:bCs/>
          <w:snapToGrid w:val="0"/>
          <w:lang w:eastAsia="en-US"/>
        </w:rPr>
        <w:t xml:space="preserve"> NYHA Class III </w:t>
      </w:r>
      <w:r w:rsidR="008F2766" w:rsidRPr="00E12BDF">
        <w:rPr>
          <w:rFonts w:asciiTheme="minorHAnsi" w:hAnsiTheme="minorHAnsi"/>
          <w:bCs/>
          <w:snapToGrid w:val="0"/>
          <w:lang w:eastAsia="en-US"/>
        </w:rPr>
        <w:t xml:space="preserve">would be required </w:t>
      </w:r>
      <w:r w:rsidR="00A65FBC" w:rsidRPr="00E12BDF">
        <w:rPr>
          <w:rFonts w:asciiTheme="minorHAnsi" w:hAnsiTheme="minorHAnsi"/>
          <w:bCs/>
          <w:snapToGrid w:val="0"/>
          <w:lang w:eastAsia="en-US"/>
        </w:rPr>
        <w:t xml:space="preserve">to address the PBAC’s concerns regarding the </w:t>
      </w:r>
      <w:r w:rsidR="00F11B52" w:rsidRPr="00E12BDF">
        <w:rPr>
          <w:rFonts w:asciiTheme="minorHAnsi" w:hAnsiTheme="minorHAnsi"/>
          <w:bCs/>
          <w:snapToGrid w:val="0"/>
          <w:lang w:eastAsia="en-US"/>
        </w:rPr>
        <w:t>increased rate of hospitalisations</w:t>
      </w:r>
      <w:r w:rsidR="00A65FBC" w:rsidRPr="00E12BDF">
        <w:rPr>
          <w:rFonts w:asciiTheme="minorHAnsi" w:hAnsiTheme="minorHAnsi"/>
          <w:bCs/>
          <w:snapToGrid w:val="0"/>
          <w:lang w:eastAsia="en-US"/>
        </w:rPr>
        <w:t xml:space="preserve"> in this subgroup</w:t>
      </w:r>
      <w:r w:rsidR="00233C4A" w:rsidRPr="00E12BDF">
        <w:rPr>
          <w:rFonts w:asciiTheme="minorHAnsi" w:hAnsiTheme="minorHAnsi"/>
          <w:bCs/>
          <w:snapToGrid w:val="0"/>
          <w:lang w:eastAsia="en-US"/>
        </w:rPr>
        <w:t>;</w:t>
      </w:r>
    </w:p>
    <w:p w:rsidR="00A65B5E" w:rsidRPr="00E12BDF" w:rsidRDefault="00A65FBC" w:rsidP="00A65FBC">
      <w:pPr>
        <w:pStyle w:val="ListParagraph"/>
        <w:widowControl w:val="0"/>
        <w:numPr>
          <w:ilvl w:val="0"/>
          <w:numId w:val="32"/>
        </w:numPr>
        <w:spacing w:after="120"/>
        <w:rPr>
          <w:rFonts w:asciiTheme="minorHAnsi" w:hAnsiTheme="minorHAnsi"/>
          <w:bCs/>
          <w:snapToGrid w:val="0"/>
          <w:lang w:eastAsia="en-US"/>
        </w:rPr>
      </w:pPr>
      <w:r w:rsidRPr="00E12BDF">
        <w:rPr>
          <w:rFonts w:asciiTheme="minorHAnsi" w:hAnsiTheme="minorHAnsi"/>
          <w:bCs/>
          <w:snapToGrid w:val="0"/>
          <w:lang w:eastAsia="en-US"/>
        </w:rPr>
        <w:t>a</w:t>
      </w:r>
      <w:r w:rsidR="00BF4415" w:rsidRPr="00E12BDF">
        <w:rPr>
          <w:rFonts w:asciiTheme="minorHAnsi" w:hAnsiTheme="minorHAnsi"/>
          <w:bCs/>
          <w:snapToGrid w:val="0"/>
          <w:lang w:eastAsia="en-US"/>
        </w:rPr>
        <w:t>ddress the issues with the economic model outlined above and as identified by ESC in the ‘Economic analysis’ section</w:t>
      </w:r>
      <w:r w:rsidRPr="00E12BDF">
        <w:rPr>
          <w:rFonts w:asciiTheme="minorHAnsi" w:hAnsiTheme="minorHAnsi"/>
          <w:bCs/>
          <w:snapToGrid w:val="0"/>
          <w:lang w:eastAsia="en-US"/>
        </w:rPr>
        <w:t>. The PBAC considered that</w:t>
      </w:r>
      <w:r w:rsidR="00BF4415" w:rsidRPr="00E12BDF">
        <w:rPr>
          <w:rFonts w:asciiTheme="minorHAnsi" w:hAnsiTheme="minorHAnsi"/>
          <w:bCs/>
          <w:snapToGrid w:val="0"/>
          <w:lang w:eastAsia="en-US"/>
        </w:rPr>
        <w:t xml:space="preserve"> </w:t>
      </w:r>
      <w:r w:rsidRPr="00E12BDF">
        <w:rPr>
          <w:rFonts w:asciiTheme="minorHAnsi" w:hAnsiTheme="minorHAnsi"/>
          <w:bCs/>
          <w:snapToGrid w:val="0"/>
          <w:lang w:eastAsia="en-US"/>
        </w:rPr>
        <w:t>a significantly lower and more certain ICER would be required for tafamidis to be considered suitably cost-effective;</w:t>
      </w:r>
      <w:r w:rsidR="00F11B52" w:rsidRPr="00E12BDF">
        <w:rPr>
          <w:rFonts w:asciiTheme="minorHAnsi" w:hAnsiTheme="minorHAnsi"/>
          <w:bCs/>
          <w:snapToGrid w:val="0"/>
          <w:lang w:eastAsia="en-US"/>
        </w:rPr>
        <w:t xml:space="preserve"> </w:t>
      </w:r>
    </w:p>
    <w:p w:rsidR="00A65FBC" w:rsidRPr="00E12BDF" w:rsidRDefault="00A65FBC" w:rsidP="00A65FBC">
      <w:pPr>
        <w:pStyle w:val="ListParagraph"/>
        <w:widowControl w:val="0"/>
        <w:numPr>
          <w:ilvl w:val="0"/>
          <w:numId w:val="32"/>
        </w:numPr>
        <w:spacing w:after="120"/>
        <w:rPr>
          <w:rFonts w:asciiTheme="minorHAnsi" w:hAnsiTheme="minorHAnsi"/>
          <w:bCs/>
          <w:snapToGrid w:val="0"/>
          <w:lang w:eastAsia="en-US"/>
        </w:rPr>
      </w:pPr>
      <w:r w:rsidRPr="00E12BDF">
        <w:rPr>
          <w:rFonts w:asciiTheme="minorHAnsi" w:hAnsiTheme="minorHAnsi"/>
          <w:bCs/>
          <w:snapToGrid w:val="0"/>
          <w:lang w:eastAsia="en-US"/>
        </w:rPr>
        <w:t>a</w:t>
      </w:r>
      <w:r w:rsidR="00233C4A" w:rsidRPr="00E12BDF">
        <w:rPr>
          <w:rFonts w:asciiTheme="minorHAnsi" w:hAnsiTheme="minorHAnsi"/>
          <w:bCs/>
          <w:snapToGrid w:val="0"/>
          <w:lang w:eastAsia="en-US"/>
        </w:rPr>
        <w:t xml:space="preserve">ddress </w:t>
      </w:r>
      <w:r w:rsidRPr="00E12BDF">
        <w:rPr>
          <w:rFonts w:asciiTheme="minorHAnsi" w:hAnsiTheme="minorHAnsi"/>
          <w:bCs/>
          <w:snapToGrid w:val="0"/>
          <w:lang w:eastAsia="en-US"/>
        </w:rPr>
        <w:t xml:space="preserve">the issues with the </w:t>
      </w:r>
      <w:r w:rsidR="00233C4A" w:rsidRPr="00E12BDF">
        <w:rPr>
          <w:rFonts w:asciiTheme="minorHAnsi" w:hAnsiTheme="minorHAnsi"/>
          <w:bCs/>
          <w:snapToGrid w:val="0"/>
          <w:lang w:eastAsia="en-US"/>
        </w:rPr>
        <w:t>financial estimat</w:t>
      </w:r>
      <w:r w:rsidR="00702DD1" w:rsidRPr="00E12BDF">
        <w:rPr>
          <w:rFonts w:asciiTheme="minorHAnsi" w:hAnsiTheme="minorHAnsi"/>
          <w:bCs/>
          <w:snapToGrid w:val="0"/>
          <w:lang w:eastAsia="en-US"/>
        </w:rPr>
        <w:t xml:space="preserve">e </w:t>
      </w:r>
      <w:r w:rsidRPr="00E12BDF">
        <w:rPr>
          <w:rFonts w:asciiTheme="minorHAnsi" w:hAnsiTheme="minorHAnsi"/>
          <w:bCs/>
          <w:snapToGrid w:val="0"/>
          <w:lang w:eastAsia="en-US"/>
        </w:rPr>
        <w:t>outlined above and as identified</w:t>
      </w:r>
      <w:r w:rsidR="00702DD1" w:rsidRPr="00E12BDF">
        <w:rPr>
          <w:rFonts w:asciiTheme="minorHAnsi" w:hAnsiTheme="minorHAnsi"/>
          <w:bCs/>
          <w:snapToGrid w:val="0"/>
          <w:lang w:eastAsia="en-US"/>
        </w:rPr>
        <w:t xml:space="preserve"> by DUSC</w:t>
      </w:r>
      <w:r w:rsidR="00233C4A" w:rsidRPr="00E12BDF">
        <w:rPr>
          <w:rFonts w:asciiTheme="minorHAnsi" w:hAnsiTheme="minorHAnsi"/>
          <w:bCs/>
          <w:snapToGrid w:val="0"/>
          <w:lang w:eastAsia="en-US"/>
        </w:rPr>
        <w:t xml:space="preserve">. </w:t>
      </w:r>
      <w:r w:rsidRPr="00E12BDF">
        <w:rPr>
          <w:rFonts w:asciiTheme="minorHAnsi" w:hAnsiTheme="minorHAnsi"/>
          <w:bCs/>
          <w:snapToGrid w:val="0"/>
          <w:lang w:eastAsia="en-US"/>
        </w:rPr>
        <w:t>The PBAC considered that greater certainty would be required around the financial estimates, particularly the prevalence and incidence rates; and</w:t>
      </w:r>
    </w:p>
    <w:p w:rsidR="00A65B5E" w:rsidRPr="00E12BDF" w:rsidRDefault="00A65FBC" w:rsidP="0002442E">
      <w:pPr>
        <w:pStyle w:val="ListParagraph"/>
        <w:widowControl w:val="0"/>
        <w:numPr>
          <w:ilvl w:val="0"/>
          <w:numId w:val="32"/>
        </w:numPr>
        <w:spacing w:after="120"/>
        <w:rPr>
          <w:rFonts w:asciiTheme="minorHAnsi" w:hAnsiTheme="minorHAnsi"/>
          <w:bCs/>
          <w:snapToGrid w:val="0"/>
          <w:lang w:eastAsia="en-US"/>
        </w:rPr>
      </w:pPr>
      <w:r w:rsidRPr="00E12BDF">
        <w:rPr>
          <w:rFonts w:asciiTheme="minorHAnsi" w:hAnsiTheme="minorHAnsi"/>
          <w:bCs/>
          <w:snapToGrid w:val="0"/>
          <w:lang w:eastAsia="en-US"/>
        </w:rPr>
        <w:t xml:space="preserve">an RSA </w:t>
      </w:r>
      <w:r w:rsidR="0002442E" w:rsidRPr="00E12BDF">
        <w:rPr>
          <w:rFonts w:asciiTheme="minorHAnsi" w:hAnsiTheme="minorHAnsi"/>
          <w:bCs/>
          <w:snapToGrid w:val="0"/>
          <w:lang w:eastAsia="en-US"/>
        </w:rPr>
        <w:t>which adequately addresses the uncertainties with the use of tafamidis in a broad population.</w:t>
      </w:r>
    </w:p>
    <w:p w:rsidR="00F11B52" w:rsidRPr="00E12BDF" w:rsidRDefault="00F11B52" w:rsidP="00F11B52">
      <w:pPr>
        <w:pStyle w:val="ExecSumBodyText"/>
        <w:rPr>
          <w:bCs/>
          <w:lang w:eastAsia="en-US"/>
        </w:rPr>
      </w:pPr>
      <w:r w:rsidRPr="00E12BDF">
        <w:rPr>
          <w:bCs/>
          <w:lang w:eastAsia="en-US"/>
        </w:rPr>
        <w:t>The PBAC noted that this submission is eligible for an Independent Review.</w:t>
      </w:r>
    </w:p>
    <w:p w:rsidR="007C76DF" w:rsidRPr="00E12BDF" w:rsidRDefault="007C76DF" w:rsidP="007C76DF">
      <w:pPr>
        <w:spacing w:before="240"/>
        <w:rPr>
          <w:rFonts w:asciiTheme="minorHAnsi" w:hAnsiTheme="minorHAnsi"/>
          <w:b/>
          <w:bCs/>
          <w:snapToGrid w:val="0"/>
          <w:lang w:eastAsia="en-US"/>
        </w:rPr>
      </w:pPr>
      <w:r w:rsidRPr="00E12BDF">
        <w:rPr>
          <w:rFonts w:asciiTheme="minorHAnsi" w:hAnsiTheme="minorHAnsi"/>
          <w:b/>
          <w:bCs/>
          <w:snapToGrid w:val="0"/>
          <w:lang w:eastAsia="en-US"/>
        </w:rPr>
        <w:t>Outcome:</w:t>
      </w:r>
    </w:p>
    <w:p w:rsidR="007C76DF" w:rsidRPr="00E12BDF" w:rsidRDefault="007C76DF" w:rsidP="007C76DF">
      <w:pPr>
        <w:spacing w:after="120"/>
        <w:rPr>
          <w:rFonts w:asciiTheme="minorHAnsi" w:hAnsiTheme="minorHAnsi"/>
          <w:bCs/>
          <w:snapToGrid w:val="0"/>
          <w:lang w:eastAsia="en-US"/>
        </w:rPr>
      </w:pPr>
      <w:r w:rsidRPr="00E12BDF">
        <w:rPr>
          <w:rFonts w:asciiTheme="minorHAnsi" w:hAnsiTheme="minorHAnsi"/>
          <w:bCs/>
          <w:snapToGrid w:val="0"/>
          <w:lang w:eastAsia="en-US"/>
        </w:rPr>
        <w:t xml:space="preserve">Rejected </w:t>
      </w:r>
    </w:p>
    <w:p w:rsidR="00665CD2" w:rsidRPr="00665CD2" w:rsidRDefault="00665CD2" w:rsidP="00665CD2">
      <w:pPr>
        <w:keepNext/>
        <w:widowControl w:val="0"/>
        <w:numPr>
          <w:ilvl w:val="0"/>
          <w:numId w:val="1"/>
        </w:numPr>
        <w:spacing w:before="240" w:after="120"/>
        <w:jc w:val="left"/>
        <w:outlineLvl w:val="0"/>
        <w:rPr>
          <w:rFonts w:asciiTheme="minorHAnsi" w:hAnsiTheme="minorHAnsi"/>
          <w:b/>
          <w:bCs/>
          <w:snapToGrid w:val="0"/>
          <w:sz w:val="32"/>
          <w:lang w:eastAsia="en-US"/>
        </w:rPr>
      </w:pPr>
      <w:r w:rsidRPr="00665CD2">
        <w:rPr>
          <w:rFonts w:asciiTheme="minorHAnsi" w:hAnsiTheme="minorHAnsi"/>
          <w:b/>
          <w:bCs/>
          <w:snapToGrid w:val="0"/>
          <w:sz w:val="32"/>
          <w:lang w:eastAsia="en-US"/>
        </w:rPr>
        <w:t>Context for Decision</w:t>
      </w:r>
    </w:p>
    <w:p w:rsidR="00665CD2" w:rsidRPr="007129F2" w:rsidRDefault="00665CD2" w:rsidP="006C4FFD">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65CD2" w:rsidRPr="006C4FFD" w:rsidRDefault="00665CD2" w:rsidP="006C4FFD">
      <w:pPr>
        <w:keepNext/>
        <w:widowControl w:val="0"/>
        <w:numPr>
          <w:ilvl w:val="0"/>
          <w:numId w:val="1"/>
        </w:numPr>
        <w:spacing w:before="240" w:after="120"/>
        <w:jc w:val="left"/>
        <w:outlineLvl w:val="0"/>
        <w:rPr>
          <w:rFonts w:asciiTheme="minorHAnsi" w:hAnsiTheme="minorHAnsi"/>
          <w:b/>
          <w:bCs/>
          <w:snapToGrid w:val="0"/>
          <w:sz w:val="32"/>
          <w:lang w:eastAsia="en-US"/>
        </w:rPr>
      </w:pPr>
      <w:r w:rsidRPr="00665CD2" w:rsidDel="007129F2">
        <w:rPr>
          <w:rFonts w:asciiTheme="minorHAnsi" w:hAnsiTheme="minorHAnsi"/>
          <w:b/>
          <w:bCs/>
          <w:snapToGrid w:val="0"/>
          <w:sz w:val="32"/>
          <w:lang w:eastAsia="en-US"/>
        </w:rPr>
        <w:t xml:space="preserve"> </w:t>
      </w:r>
      <w:r w:rsidRPr="00665CD2">
        <w:rPr>
          <w:rFonts w:asciiTheme="minorHAnsi" w:hAnsiTheme="minorHAnsi"/>
          <w:b/>
          <w:bCs/>
          <w:snapToGrid w:val="0"/>
          <w:sz w:val="32"/>
          <w:lang w:eastAsia="en-US"/>
        </w:rPr>
        <w:t>Sponsor’s Comment</w:t>
      </w:r>
    </w:p>
    <w:p w:rsidR="007C76DF" w:rsidRPr="00E12BDF" w:rsidRDefault="00D341FA" w:rsidP="007C76DF">
      <w:pPr>
        <w:widowControl w:val="0"/>
        <w:spacing w:after="120"/>
        <w:rPr>
          <w:rFonts w:asciiTheme="minorHAnsi" w:hAnsiTheme="minorHAnsi"/>
          <w:b/>
          <w:bCs/>
          <w:snapToGrid w:val="0"/>
          <w:lang w:eastAsia="en-US"/>
        </w:rPr>
      </w:pPr>
      <w:r w:rsidRPr="00D341FA">
        <w:rPr>
          <w:rFonts w:asciiTheme="minorHAnsi" w:hAnsiTheme="minorHAnsi"/>
          <w:bCs/>
        </w:rPr>
        <w:t>Pfizer welcomes the PBAC’s acknowledgement of the high unmet clinical need for effective therapies for ATTR-CM and acceptance of the superiority of tafamidis over standard management. Pfizer will continue to work collaboratively with the PBAC to deliver access to tafamidis for patients with this debilitating and life-threatening condition.</w:t>
      </w:r>
    </w:p>
    <w:p w:rsidR="00AE49F7" w:rsidRPr="00E12BDF" w:rsidRDefault="00A1435D" w:rsidP="00AE49F7">
      <w:pPr>
        <w:widowControl w:val="0"/>
        <w:spacing w:after="120"/>
        <w:rPr>
          <w:rFonts w:asciiTheme="minorHAnsi" w:hAnsiTheme="minorHAnsi"/>
          <w:bCs/>
          <w:snapToGrid w:val="0"/>
          <w:lang w:eastAsia="en-US"/>
        </w:rPr>
      </w:pPr>
      <w:r w:rsidRPr="00E12BDF">
        <w:rPr>
          <w:rFonts w:asciiTheme="minorHAnsi" w:hAnsiTheme="minorHAnsi" w:cs="Times New Roman"/>
          <w:lang w:eastAsia="en-US"/>
        </w:rPr>
        <w:t xml:space="preserve"> </w:t>
      </w:r>
    </w:p>
    <w:sectPr w:rsidR="00AE49F7" w:rsidRPr="00E12BDF" w:rsidSect="00850A5B">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96EC1" w16cex:dateUtc="2020-08-08T08:34:00Z"/>
  <w16cex:commentExtensible w16cex:durableId="22D96F49" w16cex:dateUtc="2020-08-08T08:36:00Z"/>
  <w16cex:commentExtensible w16cex:durableId="22D96FBE" w16cex:dateUtc="2020-08-08T08:38:00Z"/>
  <w16cex:commentExtensible w16cex:durableId="22D98F8B" w16cex:dateUtc="2020-08-08T10:54:00Z"/>
  <w16cex:commentExtensible w16cex:durableId="22D986D2" w16cex:dateUtc="2020-08-0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532879" w16cid:durableId="22D96EC1"/>
  <w16cid:commentId w16cid:paraId="6513CE8C" w16cid:durableId="22D96F49"/>
  <w16cid:commentId w16cid:paraId="7F991491" w16cid:durableId="22D96FBE"/>
  <w16cid:commentId w16cid:paraId="5DC976DF" w16cid:durableId="22D98F8B"/>
  <w16cid:commentId w16cid:paraId="177F11BF" w16cid:durableId="22D96D42"/>
  <w16cid:commentId w16cid:paraId="5BB5ABF6" w16cid:durableId="22D986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7F" w:rsidRDefault="005F357F" w:rsidP="00124A51">
      <w:r>
        <w:separator/>
      </w:r>
    </w:p>
    <w:p w:rsidR="005F357F" w:rsidRDefault="005F357F"/>
    <w:p w:rsidR="005F357F" w:rsidRDefault="005F357F"/>
  </w:endnote>
  <w:endnote w:type="continuationSeparator" w:id="0">
    <w:p w:rsidR="005F357F" w:rsidRDefault="005F357F" w:rsidP="00124A51">
      <w:r>
        <w:continuationSeparator/>
      </w:r>
    </w:p>
    <w:p w:rsidR="005F357F" w:rsidRDefault="005F357F"/>
    <w:p w:rsidR="005F357F" w:rsidRDefault="005F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TimesNewRoman">
    <w:altName w:val="MS Gothic"/>
    <w:charset w:val="00"/>
    <w:family w:val="roman"/>
    <w:pitch w:val="default"/>
    <w:sig w:usb0="00000000" w:usb1="08070000" w:usb2="00000010" w:usb3="00000000" w:csb0="00020001" w:csb1="00000000"/>
  </w:font>
  <w:font w:name="OTNEJMQuadraat">
    <w:altName w:val="MS Gothic"/>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04" w:rsidRDefault="0031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827712"/>
      <w:docPartObj>
        <w:docPartGallery w:val="Page Numbers (Bottom of Page)"/>
        <w:docPartUnique/>
      </w:docPartObj>
    </w:sdtPr>
    <w:sdtEndPr>
      <w:rPr>
        <w:noProof/>
      </w:rPr>
    </w:sdtEndPr>
    <w:sdtContent>
      <w:p w:rsidR="00E517DB" w:rsidRDefault="00E517DB" w:rsidP="004B0636">
        <w:pPr>
          <w:pStyle w:val="Footer"/>
          <w:jc w:val="center"/>
        </w:pPr>
      </w:p>
      <w:p w:rsidR="00E517DB" w:rsidRPr="004B0636" w:rsidRDefault="00E517DB" w:rsidP="004B0636">
        <w:pPr>
          <w:pStyle w:val="Footer"/>
          <w:jc w:val="center"/>
          <w:rPr>
            <w:b/>
            <w:noProof/>
          </w:rPr>
        </w:pPr>
        <w:r w:rsidRPr="004B0636">
          <w:rPr>
            <w:b/>
          </w:rPr>
          <w:fldChar w:fldCharType="begin"/>
        </w:r>
        <w:r w:rsidRPr="004B0636">
          <w:rPr>
            <w:b/>
          </w:rPr>
          <w:instrText xml:space="preserve"> PAGE   \* MERGEFORMAT </w:instrText>
        </w:r>
        <w:r w:rsidRPr="004B0636">
          <w:rPr>
            <w:b/>
          </w:rPr>
          <w:fldChar w:fldCharType="separate"/>
        </w:r>
        <w:r w:rsidR="00313B04">
          <w:rPr>
            <w:b/>
            <w:noProof/>
          </w:rPr>
          <w:t>2</w:t>
        </w:r>
        <w:r w:rsidRPr="004B0636">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04" w:rsidRDefault="0031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7F" w:rsidRDefault="005F357F" w:rsidP="00124A51">
      <w:r>
        <w:separator/>
      </w:r>
    </w:p>
    <w:p w:rsidR="005F357F" w:rsidRDefault="005F357F"/>
    <w:p w:rsidR="005F357F" w:rsidRDefault="005F357F"/>
  </w:footnote>
  <w:footnote w:type="continuationSeparator" w:id="0">
    <w:p w:rsidR="005F357F" w:rsidRDefault="005F357F" w:rsidP="00124A51">
      <w:r>
        <w:continuationSeparator/>
      </w:r>
    </w:p>
    <w:p w:rsidR="005F357F" w:rsidRDefault="005F357F"/>
    <w:p w:rsidR="005F357F" w:rsidRDefault="005F35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04" w:rsidRDefault="0031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DB" w:rsidRPr="00ED31B5" w:rsidRDefault="00665CD2" w:rsidP="00EB2DB2">
    <w:pPr>
      <w:keepNext/>
      <w:tabs>
        <w:tab w:val="center" w:pos="4153"/>
        <w:tab w:val="right" w:pos="8306"/>
      </w:tabs>
      <w:ind w:left="360"/>
      <w:jc w:val="center"/>
      <w:rPr>
        <w:i/>
        <w:lang w:eastAsia="en-US"/>
      </w:rPr>
    </w:pPr>
    <w:r>
      <w:rPr>
        <w:i/>
        <w:lang w:eastAsia="en-US"/>
      </w:rPr>
      <w:t>Public Summary Document</w:t>
    </w:r>
    <w:r w:rsidR="00E517DB" w:rsidRPr="00ED31B5">
      <w:rPr>
        <w:i/>
        <w:lang w:eastAsia="en-US"/>
      </w:rPr>
      <w:t xml:space="preserve"> – July 2020 PBAC Meeting</w:t>
    </w:r>
  </w:p>
  <w:p w:rsidR="00E517DB" w:rsidRDefault="00E517D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04" w:rsidRDefault="0031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A24E5"/>
    <w:multiLevelType w:val="hybridMultilevel"/>
    <w:tmpl w:val="ED58D2EA"/>
    <w:lvl w:ilvl="0" w:tplc="04E8A2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73D95"/>
    <w:multiLevelType w:val="hybridMultilevel"/>
    <w:tmpl w:val="65C48F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9B5713"/>
    <w:multiLevelType w:val="hybridMultilevel"/>
    <w:tmpl w:val="5F5602A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07F89"/>
    <w:multiLevelType w:val="hybridMultilevel"/>
    <w:tmpl w:val="EB605E3E"/>
    <w:lvl w:ilvl="0" w:tplc="0C090001">
      <w:start w:val="1"/>
      <w:numFmt w:val="bullet"/>
      <w:lvlText w:val=""/>
      <w:lvlJc w:val="left"/>
      <w:pPr>
        <w:ind w:left="360" w:hanging="360"/>
      </w:pPr>
      <w:rPr>
        <w:rFonts w:ascii="Symbol" w:hAnsi="Symbol" w:hint="default"/>
      </w:rPr>
    </w:lvl>
    <w:lvl w:ilvl="1" w:tplc="8EE44DB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781123"/>
    <w:multiLevelType w:val="hybridMultilevel"/>
    <w:tmpl w:val="73D8A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55392"/>
    <w:multiLevelType w:val="hybridMultilevel"/>
    <w:tmpl w:val="B58AE4DA"/>
    <w:lvl w:ilvl="0" w:tplc="1C705BB6">
      <w:start w:val="1"/>
      <w:numFmt w:val="bullet"/>
      <w:lvlText w:val="•"/>
      <w:lvlJc w:val="left"/>
      <w:pPr>
        <w:tabs>
          <w:tab w:val="num" w:pos="720"/>
        </w:tabs>
        <w:ind w:left="720" w:hanging="360"/>
      </w:pPr>
      <w:rPr>
        <w:rFonts w:ascii="Arial" w:hAnsi="Arial" w:hint="default"/>
      </w:rPr>
    </w:lvl>
    <w:lvl w:ilvl="1" w:tplc="E528BE62">
      <w:numFmt w:val="bullet"/>
      <w:lvlText w:val="•"/>
      <w:lvlJc w:val="left"/>
      <w:pPr>
        <w:tabs>
          <w:tab w:val="num" w:pos="1440"/>
        </w:tabs>
        <w:ind w:left="1440" w:hanging="360"/>
      </w:pPr>
      <w:rPr>
        <w:rFonts w:ascii="Arial" w:hAnsi="Arial" w:hint="default"/>
      </w:rPr>
    </w:lvl>
    <w:lvl w:ilvl="2" w:tplc="51FC8D6C" w:tentative="1">
      <w:start w:val="1"/>
      <w:numFmt w:val="bullet"/>
      <w:lvlText w:val="•"/>
      <w:lvlJc w:val="left"/>
      <w:pPr>
        <w:tabs>
          <w:tab w:val="num" w:pos="2160"/>
        </w:tabs>
        <w:ind w:left="2160" w:hanging="360"/>
      </w:pPr>
      <w:rPr>
        <w:rFonts w:ascii="Arial" w:hAnsi="Arial" w:hint="default"/>
      </w:rPr>
    </w:lvl>
    <w:lvl w:ilvl="3" w:tplc="EBCEDDD4" w:tentative="1">
      <w:start w:val="1"/>
      <w:numFmt w:val="bullet"/>
      <w:lvlText w:val="•"/>
      <w:lvlJc w:val="left"/>
      <w:pPr>
        <w:tabs>
          <w:tab w:val="num" w:pos="2880"/>
        </w:tabs>
        <w:ind w:left="2880" w:hanging="360"/>
      </w:pPr>
      <w:rPr>
        <w:rFonts w:ascii="Arial" w:hAnsi="Arial" w:hint="default"/>
      </w:rPr>
    </w:lvl>
    <w:lvl w:ilvl="4" w:tplc="91B0979A" w:tentative="1">
      <w:start w:val="1"/>
      <w:numFmt w:val="bullet"/>
      <w:lvlText w:val="•"/>
      <w:lvlJc w:val="left"/>
      <w:pPr>
        <w:tabs>
          <w:tab w:val="num" w:pos="3600"/>
        </w:tabs>
        <w:ind w:left="3600" w:hanging="360"/>
      </w:pPr>
      <w:rPr>
        <w:rFonts w:ascii="Arial" w:hAnsi="Arial" w:hint="default"/>
      </w:rPr>
    </w:lvl>
    <w:lvl w:ilvl="5" w:tplc="62ACE760" w:tentative="1">
      <w:start w:val="1"/>
      <w:numFmt w:val="bullet"/>
      <w:lvlText w:val="•"/>
      <w:lvlJc w:val="left"/>
      <w:pPr>
        <w:tabs>
          <w:tab w:val="num" w:pos="4320"/>
        </w:tabs>
        <w:ind w:left="4320" w:hanging="360"/>
      </w:pPr>
      <w:rPr>
        <w:rFonts w:ascii="Arial" w:hAnsi="Arial" w:hint="default"/>
      </w:rPr>
    </w:lvl>
    <w:lvl w:ilvl="6" w:tplc="0BB6B7F6" w:tentative="1">
      <w:start w:val="1"/>
      <w:numFmt w:val="bullet"/>
      <w:lvlText w:val="•"/>
      <w:lvlJc w:val="left"/>
      <w:pPr>
        <w:tabs>
          <w:tab w:val="num" w:pos="5040"/>
        </w:tabs>
        <w:ind w:left="5040" w:hanging="360"/>
      </w:pPr>
      <w:rPr>
        <w:rFonts w:ascii="Arial" w:hAnsi="Arial" w:hint="default"/>
      </w:rPr>
    </w:lvl>
    <w:lvl w:ilvl="7" w:tplc="E8E41954" w:tentative="1">
      <w:start w:val="1"/>
      <w:numFmt w:val="bullet"/>
      <w:lvlText w:val="•"/>
      <w:lvlJc w:val="left"/>
      <w:pPr>
        <w:tabs>
          <w:tab w:val="num" w:pos="5760"/>
        </w:tabs>
        <w:ind w:left="5760" w:hanging="360"/>
      </w:pPr>
      <w:rPr>
        <w:rFonts w:ascii="Arial" w:hAnsi="Arial" w:hint="default"/>
      </w:rPr>
    </w:lvl>
    <w:lvl w:ilvl="8" w:tplc="0B02D1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CF08D8"/>
    <w:multiLevelType w:val="hybridMultilevel"/>
    <w:tmpl w:val="EC0E7B48"/>
    <w:lvl w:ilvl="0" w:tplc="0E44B61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531FED"/>
    <w:multiLevelType w:val="hybridMultilevel"/>
    <w:tmpl w:val="39527164"/>
    <w:lvl w:ilvl="0" w:tplc="9802F1B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36AB6"/>
    <w:multiLevelType w:val="hybridMultilevel"/>
    <w:tmpl w:val="447CA910"/>
    <w:lvl w:ilvl="0" w:tplc="0C090001">
      <w:start w:val="1"/>
      <w:numFmt w:val="bullet"/>
      <w:lvlText w:val=""/>
      <w:lvlJc w:val="left"/>
      <w:pPr>
        <w:ind w:left="360" w:hanging="360"/>
      </w:pPr>
      <w:rPr>
        <w:rFonts w:ascii="Symbol" w:hAnsi="Symbol" w:hint="default"/>
      </w:rPr>
    </w:lvl>
    <w:lvl w:ilvl="1" w:tplc="8EE44DB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B025AF"/>
    <w:multiLevelType w:val="hybridMultilevel"/>
    <w:tmpl w:val="A70281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F70AB7"/>
    <w:multiLevelType w:val="hybridMultilevel"/>
    <w:tmpl w:val="964082C2"/>
    <w:lvl w:ilvl="0" w:tplc="8D4C3A44">
      <w:start w:val="1"/>
      <w:numFmt w:val="decimal"/>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42297"/>
    <w:multiLevelType w:val="hybridMultilevel"/>
    <w:tmpl w:val="AE28D5E8"/>
    <w:lvl w:ilvl="0" w:tplc="C324F4FC">
      <w:start w:val="1"/>
      <w:numFmt w:val="bullet"/>
      <w:lvlText w:val=""/>
      <w:lvlJc w:val="left"/>
      <w:pPr>
        <w:ind w:left="720" w:hanging="360"/>
      </w:pPr>
      <w:rPr>
        <w:rFonts w:ascii="Symbol" w:hAnsi="Symbol" w:hint="default"/>
      </w:rPr>
    </w:lvl>
    <w:lvl w:ilvl="1" w:tplc="320ECEEE">
      <w:numFmt w:val="bullet"/>
      <w:lvlText w:val="•"/>
      <w:lvlJc w:val="left"/>
      <w:pPr>
        <w:ind w:left="1800" w:hanging="720"/>
      </w:pPr>
      <w:rPr>
        <w:rFonts w:ascii="Arial Narrow" w:eastAsiaTheme="majorEastAsia" w:hAnsi="Arial Narro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478BF"/>
    <w:multiLevelType w:val="hybridMultilevel"/>
    <w:tmpl w:val="00F05DC6"/>
    <w:lvl w:ilvl="0" w:tplc="8EE44DBC">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D4E7050"/>
    <w:multiLevelType w:val="hybridMultilevel"/>
    <w:tmpl w:val="72A8FFE0"/>
    <w:lvl w:ilvl="0" w:tplc="872409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942BB0"/>
    <w:multiLevelType w:val="hybridMultilevel"/>
    <w:tmpl w:val="8DCEA5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FBD556E"/>
    <w:multiLevelType w:val="hybridMultilevel"/>
    <w:tmpl w:val="31D4E2F0"/>
    <w:lvl w:ilvl="0" w:tplc="8EE44DBC">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00B002D"/>
    <w:multiLevelType w:val="hybridMultilevel"/>
    <w:tmpl w:val="FBAC7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514A77"/>
    <w:multiLevelType w:val="hybridMultilevel"/>
    <w:tmpl w:val="9AECEE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2E435F"/>
    <w:multiLevelType w:val="hybridMultilevel"/>
    <w:tmpl w:val="BE3EE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FFD29DB"/>
    <w:multiLevelType w:val="hybridMultilevel"/>
    <w:tmpl w:val="CE0643DE"/>
    <w:lvl w:ilvl="0" w:tplc="4C1C3B18">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72143"/>
    <w:multiLevelType w:val="hybridMultilevel"/>
    <w:tmpl w:val="928EF438"/>
    <w:lvl w:ilvl="0" w:tplc="0C090001">
      <w:start w:val="1"/>
      <w:numFmt w:val="bullet"/>
      <w:lvlText w:val=""/>
      <w:lvlJc w:val="left"/>
      <w:pPr>
        <w:ind w:left="360" w:hanging="360"/>
      </w:pPr>
      <w:rPr>
        <w:rFonts w:ascii="Symbol" w:hAnsi="Symbol" w:hint="default"/>
      </w:rPr>
    </w:lvl>
    <w:lvl w:ilvl="1" w:tplc="8EE44DB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2F1A33"/>
    <w:multiLevelType w:val="hybridMultilevel"/>
    <w:tmpl w:val="B1BE3A18"/>
    <w:lvl w:ilvl="0" w:tplc="4C1C3B18">
      <w:start w:val="1"/>
      <w:numFmt w:val="bullet"/>
      <w:lvlText w:val=""/>
      <w:lvlJc w:val="left"/>
      <w:pPr>
        <w:ind w:left="720" w:hanging="360"/>
      </w:pPr>
      <w:rPr>
        <w:rFonts w:ascii="Symbol" w:hAnsi="Symbol" w:hint="default"/>
        <w:sz w:val="22"/>
      </w:rPr>
    </w:lvl>
    <w:lvl w:ilvl="1" w:tplc="0E44B616">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703271"/>
    <w:multiLevelType w:val="hybridMultilevel"/>
    <w:tmpl w:val="844CC3F2"/>
    <w:lvl w:ilvl="0" w:tplc="76202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1"/>
  </w:num>
  <w:num w:numId="2">
    <w:abstractNumId w:val="17"/>
  </w:num>
  <w:num w:numId="3">
    <w:abstractNumId w:val="0"/>
  </w:num>
  <w:num w:numId="4">
    <w:abstractNumId w:val="31"/>
  </w:num>
  <w:num w:numId="5">
    <w:abstractNumId w:val="24"/>
  </w:num>
  <w:num w:numId="6">
    <w:abstractNumId w:val="18"/>
  </w:num>
  <w:num w:numId="7">
    <w:abstractNumId w:val="14"/>
  </w:num>
  <w:num w:numId="8">
    <w:abstractNumId w:val="27"/>
  </w:num>
  <w:num w:numId="9">
    <w:abstractNumId w:val="21"/>
  </w:num>
  <w:num w:numId="10">
    <w:abstractNumId w:val="6"/>
  </w:num>
  <w:num w:numId="11">
    <w:abstractNumId w:val="32"/>
  </w:num>
  <w:num w:numId="12">
    <w:abstractNumId w:val="16"/>
  </w:num>
  <w:num w:numId="13">
    <w:abstractNumId w:val="5"/>
  </w:num>
  <w:num w:numId="14">
    <w:abstractNumId w:val="19"/>
  </w:num>
  <w:num w:numId="15">
    <w:abstractNumId w:val="30"/>
  </w:num>
  <w:num w:numId="16">
    <w:abstractNumId w:val="2"/>
  </w:num>
  <w:num w:numId="17">
    <w:abstractNumId w:val="10"/>
  </w:num>
  <w:num w:numId="18">
    <w:abstractNumId w:val="8"/>
  </w:num>
  <w:num w:numId="19">
    <w:abstractNumId w:val="23"/>
  </w:num>
  <w:num w:numId="20">
    <w:abstractNumId w:val="3"/>
  </w:num>
  <w:num w:numId="21">
    <w:abstractNumId w:val="1"/>
  </w:num>
  <w:num w:numId="22">
    <w:abstractNumId w:val="12"/>
  </w:num>
  <w:num w:numId="23">
    <w:abstractNumId w:val="13"/>
  </w:num>
  <w:num w:numId="24">
    <w:abstractNumId w:val="11"/>
  </w:num>
  <w:num w:numId="25">
    <w:abstractNumId w:val="22"/>
  </w:num>
  <w:num w:numId="26">
    <w:abstractNumId w:val="28"/>
  </w:num>
  <w:num w:numId="27">
    <w:abstractNumId w:val="26"/>
  </w:num>
  <w:num w:numId="28">
    <w:abstractNumId w:val="29"/>
  </w:num>
  <w:num w:numId="29">
    <w:abstractNumId w:val="9"/>
  </w:num>
  <w:num w:numId="30">
    <w:abstractNumId w:val="31"/>
  </w:num>
  <w:num w:numId="31">
    <w:abstractNumId w:val="15"/>
  </w:num>
  <w:num w:numId="32">
    <w:abstractNumId w:val="25"/>
  </w:num>
  <w:num w:numId="33">
    <w:abstractNumId w:val="4"/>
  </w:num>
  <w:num w:numId="34">
    <w:abstractNumId w:val="20"/>
  </w:num>
  <w:num w:numId="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8A2"/>
    <w:rsid w:val="00001CD8"/>
    <w:rsid w:val="0000325D"/>
    <w:rsid w:val="00003499"/>
    <w:rsid w:val="000039B7"/>
    <w:rsid w:val="00003CBA"/>
    <w:rsid w:val="00004165"/>
    <w:rsid w:val="000052FD"/>
    <w:rsid w:val="00005AA3"/>
    <w:rsid w:val="00006226"/>
    <w:rsid w:val="0000639A"/>
    <w:rsid w:val="00013247"/>
    <w:rsid w:val="00013D0A"/>
    <w:rsid w:val="0001437B"/>
    <w:rsid w:val="00015886"/>
    <w:rsid w:val="000162EF"/>
    <w:rsid w:val="000207C9"/>
    <w:rsid w:val="000207ED"/>
    <w:rsid w:val="00020CD7"/>
    <w:rsid w:val="0002225F"/>
    <w:rsid w:val="00023545"/>
    <w:rsid w:val="00023763"/>
    <w:rsid w:val="00023CEB"/>
    <w:rsid w:val="00023DC8"/>
    <w:rsid w:val="0002442E"/>
    <w:rsid w:val="00024627"/>
    <w:rsid w:val="00025528"/>
    <w:rsid w:val="000272B7"/>
    <w:rsid w:val="000274B8"/>
    <w:rsid w:val="00027D07"/>
    <w:rsid w:val="00030A3B"/>
    <w:rsid w:val="00030B41"/>
    <w:rsid w:val="00033863"/>
    <w:rsid w:val="00035DC0"/>
    <w:rsid w:val="00036829"/>
    <w:rsid w:val="00040895"/>
    <w:rsid w:val="000410DD"/>
    <w:rsid w:val="00041CD2"/>
    <w:rsid w:val="000427A9"/>
    <w:rsid w:val="000435EE"/>
    <w:rsid w:val="00043C37"/>
    <w:rsid w:val="0004431D"/>
    <w:rsid w:val="00045017"/>
    <w:rsid w:val="00045A2B"/>
    <w:rsid w:val="00046624"/>
    <w:rsid w:val="0004698F"/>
    <w:rsid w:val="00046FD6"/>
    <w:rsid w:val="00047A2B"/>
    <w:rsid w:val="000501CE"/>
    <w:rsid w:val="000503FE"/>
    <w:rsid w:val="00050F0D"/>
    <w:rsid w:val="00050F31"/>
    <w:rsid w:val="00051A10"/>
    <w:rsid w:val="00051B7E"/>
    <w:rsid w:val="00051CB8"/>
    <w:rsid w:val="000522D5"/>
    <w:rsid w:val="0005388B"/>
    <w:rsid w:val="000539D0"/>
    <w:rsid w:val="00054621"/>
    <w:rsid w:val="000546D7"/>
    <w:rsid w:val="0005635E"/>
    <w:rsid w:val="00056ECF"/>
    <w:rsid w:val="00057177"/>
    <w:rsid w:val="00057683"/>
    <w:rsid w:val="000604DF"/>
    <w:rsid w:val="000611CF"/>
    <w:rsid w:val="00061A17"/>
    <w:rsid w:val="00062043"/>
    <w:rsid w:val="0006352B"/>
    <w:rsid w:val="00063E8D"/>
    <w:rsid w:val="000653B5"/>
    <w:rsid w:val="00066360"/>
    <w:rsid w:val="00066AF8"/>
    <w:rsid w:val="00071248"/>
    <w:rsid w:val="000713AC"/>
    <w:rsid w:val="000720B9"/>
    <w:rsid w:val="00072628"/>
    <w:rsid w:val="00072794"/>
    <w:rsid w:val="000737F7"/>
    <w:rsid w:val="000739E6"/>
    <w:rsid w:val="00073A2F"/>
    <w:rsid w:val="00074422"/>
    <w:rsid w:val="0007672F"/>
    <w:rsid w:val="0007675A"/>
    <w:rsid w:val="00076B24"/>
    <w:rsid w:val="00076B54"/>
    <w:rsid w:val="000774F0"/>
    <w:rsid w:val="00077E08"/>
    <w:rsid w:val="00077E32"/>
    <w:rsid w:val="00080909"/>
    <w:rsid w:val="00081030"/>
    <w:rsid w:val="000812CA"/>
    <w:rsid w:val="00081E63"/>
    <w:rsid w:val="0008258D"/>
    <w:rsid w:val="00083E99"/>
    <w:rsid w:val="00084FA8"/>
    <w:rsid w:val="000856C5"/>
    <w:rsid w:val="00085C31"/>
    <w:rsid w:val="00086852"/>
    <w:rsid w:val="000902D9"/>
    <w:rsid w:val="000906A3"/>
    <w:rsid w:val="00090A9A"/>
    <w:rsid w:val="00090C7E"/>
    <w:rsid w:val="00090DFE"/>
    <w:rsid w:val="00091023"/>
    <w:rsid w:val="00092600"/>
    <w:rsid w:val="0009262B"/>
    <w:rsid w:val="00093310"/>
    <w:rsid w:val="000942FB"/>
    <w:rsid w:val="0009445C"/>
    <w:rsid w:val="00095200"/>
    <w:rsid w:val="00095FE5"/>
    <w:rsid w:val="00096284"/>
    <w:rsid w:val="000979F1"/>
    <w:rsid w:val="000A0A63"/>
    <w:rsid w:val="000A1211"/>
    <w:rsid w:val="000A12C1"/>
    <w:rsid w:val="000A1501"/>
    <w:rsid w:val="000A1BC0"/>
    <w:rsid w:val="000A3F81"/>
    <w:rsid w:val="000A4A50"/>
    <w:rsid w:val="000A4F29"/>
    <w:rsid w:val="000A5379"/>
    <w:rsid w:val="000A6039"/>
    <w:rsid w:val="000A62B7"/>
    <w:rsid w:val="000A66F3"/>
    <w:rsid w:val="000A6EC6"/>
    <w:rsid w:val="000A71D2"/>
    <w:rsid w:val="000A7453"/>
    <w:rsid w:val="000A79BD"/>
    <w:rsid w:val="000A7D08"/>
    <w:rsid w:val="000A7F1A"/>
    <w:rsid w:val="000B0121"/>
    <w:rsid w:val="000B0670"/>
    <w:rsid w:val="000B0E75"/>
    <w:rsid w:val="000B272A"/>
    <w:rsid w:val="000B2DCB"/>
    <w:rsid w:val="000B5718"/>
    <w:rsid w:val="000B5CE0"/>
    <w:rsid w:val="000B64D6"/>
    <w:rsid w:val="000B6CAC"/>
    <w:rsid w:val="000B7612"/>
    <w:rsid w:val="000B78AE"/>
    <w:rsid w:val="000C2AB0"/>
    <w:rsid w:val="000C35D4"/>
    <w:rsid w:val="000C3DCB"/>
    <w:rsid w:val="000C3DF9"/>
    <w:rsid w:val="000C589B"/>
    <w:rsid w:val="000C6713"/>
    <w:rsid w:val="000D1531"/>
    <w:rsid w:val="000D1BFC"/>
    <w:rsid w:val="000D1D5D"/>
    <w:rsid w:val="000D281A"/>
    <w:rsid w:val="000D2848"/>
    <w:rsid w:val="000D2B7E"/>
    <w:rsid w:val="000D3046"/>
    <w:rsid w:val="000D306A"/>
    <w:rsid w:val="000D326A"/>
    <w:rsid w:val="000D50B5"/>
    <w:rsid w:val="000D51FB"/>
    <w:rsid w:val="000D5C4B"/>
    <w:rsid w:val="000D6B7B"/>
    <w:rsid w:val="000E02A9"/>
    <w:rsid w:val="000E0640"/>
    <w:rsid w:val="000E065A"/>
    <w:rsid w:val="000E065D"/>
    <w:rsid w:val="000E1213"/>
    <w:rsid w:val="000E1252"/>
    <w:rsid w:val="000E135D"/>
    <w:rsid w:val="000E1D2E"/>
    <w:rsid w:val="000E37C9"/>
    <w:rsid w:val="000E47F1"/>
    <w:rsid w:val="000E4E2F"/>
    <w:rsid w:val="000E6746"/>
    <w:rsid w:val="000E6BC1"/>
    <w:rsid w:val="000F00BA"/>
    <w:rsid w:val="000F156B"/>
    <w:rsid w:val="000F1894"/>
    <w:rsid w:val="000F2016"/>
    <w:rsid w:val="000F2126"/>
    <w:rsid w:val="000F316A"/>
    <w:rsid w:val="000F3C74"/>
    <w:rsid w:val="000F3E49"/>
    <w:rsid w:val="000F4BB8"/>
    <w:rsid w:val="000F4FA9"/>
    <w:rsid w:val="000F53FB"/>
    <w:rsid w:val="000F6B60"/>
    <w:rsid w:val="000F7127"/>
    <w:rsid w:val="000F7B54"/>
    <w:rsid w:val="00100194"/>
    <w:rsid w:val="0010035C"/>
    <w:rsid w:val="00100F8A"/>
    <w:rsid w:val="0010344A"/>
    <w:rsid w:val="001043B5"/>
    <w:rsid w:val="0010452E"/>
    <w:rsid w:val="00105AE2"/>
    <w:rsid w:val="001060C6"/>
    <w:rsid w:val="00106719"/>
    <w:rsid w:val="00106B80"/>
    <w:rsid w:val="0011032E"/>
    <w:rsid w:val="00111409"/>
    <w:rsid w:val="00111B62"/>
    <w:rsid w:val="00112856"/>
    <w:rsid w:val="00112B9B"/>
    <w:rsid w:val="00112F75"/>
    <w:rsid w:val="0011348B"/>
    <w:rsid w:val="00115982"/>
    <w:rsid w:val="00116AB9"/>
    <w:rsid w:val="00116C53"/>
    <w:rsid w:val="001200F0"/>
    <w:rsid w:val="00120316"/>
    <w:rsid w:val="00120C0C"/>
    <w:rsid w:val="00121799"/>
    <w:rsid w:val="001222FC"/>
    <w:rsid w:val="0012339C"/>
    <w:rsid w:val="0012364D"/>
    <w:rsid w:val="00123902"/>
    <w:rsid w:val="00124A51"/>
    <w:rsid w:val="0012523C"/>
    <w:rsid w:val="00125970"/>
    <w:rsid w:val="00125F4D"/>
    <w:rsid w:val="00126621"/>
    <w:rsid w:val="00126B1D"/>
    <w:rsid w:val="00126CAB"/>
    <w:rsid w:val="001273DF"/>
    <w:rsid w:val="001301E9"/>
    <w:rsid w:val="001307E1"/>
    <w:rsid w:val="00130F5E"/>
    <w:rsid w:val="0013156C"/>
    <w:rsid w:val="00131D82"/>
    <w:rsid w:val="00131E96"/>
    <w:rsid w:val="00132B22"/>
    <w:rsid w:val="0013329A"/>
    <w:rsid w:val="00133D36"/>
    <w:rsid w:val="00133EC4"/>
    <w:rsid w:val="00137177"/>
    <w:rsid w:val="00137645"/>
    <w:rsid w:val="001379C0"/>
    <w:rsid w:val="0014015A"/>
    <w:rsid w:val="00140E99"/>
    <w:rsid w:val="00141206"/>
    <w:rsid w:val="0014288F"/>
    <w:rsid w:val="00142CA3"/>
    <w:rsid w:val="001430CD"/>
    <w:rsid w:val="00143202"/>
    <w:rsid w:val="00143D40"/>
    <w:rsid w:val="00143F67"/>
    <w:rsid w:val="00145540"/>
    <w:rsid w:val="001456B0"/>
    <w:rsid w:val="00146EA9"/>
    <w:rsid w:val="00150C1D"/>
    <w:rsid w:val="001518D6"/>
    <w:rsid w:val="00152A2A"/>
    <w:rsid w:val="0015386B"/>
    <w:rsid w:val="001546B0"/>
    <w:rsid w:val="00155FE9"/>
    <w:rsid w:val="00156CC0"/>
    <w:rsid w:val="00156F8F"/>
    <w:rsid w:val="00157130"/>
    <w:rsid w:val="001576B1"/>
    <w:rsid w:val="0016047B"/>
    <w:rsid w:val="00160A4C"/>
    <w:rsid w:val="00162913"/>
    <w:rsid w:val="0016312B"/>
    <w:rsid w:val="00163A7E"/>
    <w:rsid w:val="00163EFF"/>
    <w:rsid w:val="00163F66"/>
    <w:rsid w:val="00165505"/>
    <w:rsid w:val="00165732"/>
    <w:rsid w:val="001661FB"/>
    <w:rsid w:val="001671A0"/>
    <w:rsid w:val="0016767F"/>
    <w:rsid w:val="00170028"/>
    <w:rsid w:val="001704AA"/>
    <w:rsid w:val="00170D4B"/>
    <w:rsid w:val="00171B52"/>
    <w:rsid w:val="00173565"/>
    <w:rsid w:val="001739E5"/>
    <w:rsid w:val="00173B07"/>
    <w:rsid w:val="00173E47"/>
    <w:rsid w:val="001751FA"/>
    <w:rsid w:val="00176990"/>
    <w:rsid w:val="00181D9C"/>
    <w:rsid w:val="0018281C"/>
    <w:rsid w:val="00183048"/>
    <w:rsid w:val="00183381"/>
    <w:rsid w:val="00183E10"/>
    <w:rsid w:val="00183FC6"/>
    <w:rsid w:val="00184744"/>
    <w:rsid w:val="001847CF"/>
    <w:rsid w:val="00184AB0"/>
    <w:rsid w:val="00184B0E"/>
    <w:rsid w:val="001853D2"/>
    <w:rsid w:val="0018752F"/>
    <w:rsid w:val="00187CB4"/>
    <w:rsid w:val="00190460"/>
    <w:rsid w:val="00191FB4"/>
    <w:rsid w:val="00193838"/>
    <w:rsid w:val="001938A0"/>
    <w:rsid w:val="00194AD8"/>
    <w:rsid w:val="00195222"/>
    <w:rsid w:val="001963F8"/>
    <w:rsid w:val="001975D8"/>
    <w:rsid w:val="001978D9"/>
    <w:rsid w:val="001A178E"/>
    <w:rsid w:val="001A19B0"/>
    <w:rsid w:val="001A341F"/>
    <w:rsid w:val="001A43FA"/>
    <w:rsid w:val="001A47C5"/>
    <w:rsid w:val="001A48EC"/>
    <w:rsid w:val="001A4944"/>
    <w:rsid w:val="001A4A6D"/>
    <w:rsid w:val="001A59FB"/>
    <w:rsid w:val="001A5E9E"/>
    <w:rsid w:val="001A6354"/>
    <w:rsid w:val="001A6366"/>
    <w:rsid w:val="001A6871"/>
    <w:rsid w:val="001A6BC0"/>
    <w:rsid w:val="001A7AE8"/>
    <w:rsid w:val="001B204E"/>
    <w:rsid w:val="001B2188"/>
    <w:rsid w:val="001B223C"/>
    <w:rsid w:val="001B2372"/>
    <w:rsid w:val="001B3443"/>
    <w:rsid w:val="001B4D20"/>
    <w:rsid w:val="001B6A58"/>
    <w:rsid w:val="001B728B"/>
    <w:rsid w:val="001B7746"/>
    <w:rsid w:val="001C1C57"/>
    <w:rsid w:val="001C1DAB"/>
    <w:rsid w:val="001C1F9E"/>
    <w:rsid w:val="001C2065"/>
    <w:rsid w:val="001C2371"/>
    <w:rsid w:val="001C293E"/>
    <w:rsid w:val="001C2A9B"/>
    <w:rsid w:val="001C2EA8"/>
    <w:rsid w:val="001C3504"/>
    <w:rsid w:val="001C4299"/>
    <w:rsid w:val="001C4874"/>
    <w:rsid w:val="001C5F94"/>
    <w:rsid w:val="001C6E41"/>
    <w:rsid w:val="001C6E66"/>
    <w:rsid w:val="001C7847"/>
    <w:rsid w:val="001D0379"/>
    <w:rsid w:val="001D0464"/>
    <w:rsid w:val="001D1100"/>
    <w:rsid w:val="001D1391"/>
    <w:rsid w:val="001D25D7"/>
    <w:rsid w:val="001D50B2"/>
    <w:rsid w:val="001D52BB"/>
    <w:rsid w:val="001D536B"/>
    <w:rsid w:val="001D7645"/>
    <w:rsid w:val="001E1E86"/>
    <w:rsid w:val="001E238E"/>
    <w:rsid w:val="001E2483"/>
    <w:rsid w:val="001E2B1E"/>
    <w:rsid w:val="001E2CFF"/>
    <w:rsid w:val="001E2F24"/>
    <w:rsid w:val="001E30D4"/>
    <w:rsid w:val="001E30D9"/>
    <w:rsid w:val="001E3275"/>
    <w:rsid w:val="001E34DF"/>
    <w:rsid w:val="001E3533"/>
    <w:rsid w:val="001E3648"/>
    <w:rsid w:val="001E3B00"/>
    <w:rsid w:val="001E4DA2"/>
    <w:rsid w:val="001E500F"/>
    <w:rsid w:val="001E52EB"/>
    <w:rsid w:val="001E5744"/>
    <w:rsid w:val="001E5890"/>
    <w:rsid w:val="001E61D2"/>
    <w:rsid w:val="001E630A"/>
    <w:rsid w:val="001E740C"/>
    <w:rsid w:val="001E7CF7"/>
    <w:rsid w:val="001F024D"/>
    <w:rsid w:val="001F1199"/>
    <w:rsid w:val="001F1235"/>
    <w:rsid w:val="001F195E"/>
    <w:rsid w:val="001F1CB3"/>
    <w:rsid w:val="001F268C"/>
    <w:rsid w:val="001F36A3"/>
    <w:rsid w:val="001F38B5"/>
    <w:rsid w:val="001F3998"/>
    <w:rsid w:val="001F3E42"/>
    <w:rsid w:val="001F4081"/>
    <w:rsid w:val="001F419A"/>
    <w:rsid w:val="001F5FE9"/>
    <w:rsid w:val="001F6592"/>
    <w:rsid w:val="001F6615"/>
    <w:rsid w:val="001F7361"/>
    <w:rsid w:val="00200EF8"/>
    <w:rsid w:val="002011B0"/>
    <w:rsid w:val="0020216F"/>
    <w:rsid w:val="00203181"/>
    <w:rsid w:val="00203783"/>
    <w:rsid w:val="0020385F"/>
    <w:rsid w:val="002041A9"/>
    <w:rsid w:val="00205864"/>
    <w:rsid w:val="002058B1"/>
    <w:rsid w:val="00206063"/>
    <w:rsid w:val="002068A0"/>
    <w:rsid w:val="00207021"/>
    <w:rsid w:val="0020732F"/>
    <w:rsid w:val="00207BA8"/>
    <w:rsid w:val="00207D00"/>
    <w:rsid w:val="002105C1"/>
    <w:rsid w:val="00210DD3"/>
    <w:rsid w:val="00213EF5"/>
    <w:rsid w:val="00215CED"/>
    <w:rsid w:val="00216BF5"/>
    <w:rsid w:val="00217329"/>
    <w:rsid w:val="00217E8C"/>
    <w:rsid w:val="00220315"/>
    <w:rsid w:val="002216AE"/>
    <w:rsid w:val="0022180E"/>
    <w:rsid w:val="00221A16"/>
    <w:rsid w:val="00223B49"/>
    <w:rsid w:val="00223D5A"/>
    <w:rsid w:val="002240C9"/>
    <w:rsid w:val="00224DD4"/>
    <w:rsid w:val="00225D34"/>
    <w:rsid w:val="002278A0"/>
    <w:rsid w:val="002308A0"/>
    <w:rsid w:val="002309CC"/>
    <w:rsid w:val="00230DB1"/>
    <w:rsid w:val="002311A2"/>
    <w:rsid w:val="0023209F"/>
    <w:rsid w:val="002321A8"/>
    <w:rsid w:val="0023384B"/>
    <w:rsid w:val="00233C01"/>
    <w:rsid w:val="00233C4A"/>
    <w:rsid w:val="0023413C"/>
    <w:rsid w:val="002346BC"/>
    <w:rsid w:val="002346F0"/>
    <w:rsid w:val="00234F90"/>
    <w:rsid w:val="0023629D"/>
    <w:rsid w:val="00237255"/>
    <w:rsid w:val="002424AF"/>
    <w:rsid w:val="00243571"/>
    <w:rsid w:val="002439DC"/>
    <w:rsid w:val="00243B23"/>
    <w:rsid w:val="002441D2"/>
    <w:rsid w:val="00244DC8"/>
    <w:rsid w:val="00244F06"/>
    <w:rsid w:val="002457FB"/>
    <w:rsid w:val="002458BA"/>
    <w:rsid w:val="002459B4"/>
    <w:rsid w:val="00245CE9"/>
    <w:rsid w:val="0024636C"/>
    <w:rsid w:val="00246552"/>
    <w:rsid w:val="00247054"/>
    <w:rsid w:val="00247925"/>
    <w:rsid w:val="0025060A"/>
    <w:rsid w:val="00251006"/>
    <w:rsid w:val="002524D5"/>
    <w:rsid w:val="00253B1D"/>
    <w:rsid w:val="00254615"/>
    <w:rsid w:val="00254DCF"/>
    <w:rsid w:val="0025534B"/>
    <w:rsid w:val="00255BB7"/>
    <w:rsid w:val="00257541"/>
    <w:rsid w:val="00257A39"/>
    <w:rsid w:val="00257AC4"/>
    <w:rsid w:val="002604ED"/>
    <w:rsid w:val="00260E4D"/>
    <w:rsid w:val="00261B3C"/>
    <w:rsid w:val="00261EEF"/>
    <w:rsid w:val="00262A1A"/>
    <w:rsid w:val="00262A87"/>
    <w:rsid w:val="00263070"/>
    <w:rsid w:val="0026324F"/>
    <w:rsid w:val="00263883"/>
    <w:rsid w:val="00264849"/>
    <w:rsid w:val="00264D26"/>
    <w:rsid w:val="00266D69"/>
    <w:rsid w:val="00267094"/>
    <w:rsid w:val="00267642"/>
    <w:rsid w:val="00267AEA"/>
    <w:rsid w:val="002700E6"/>
    <w:rsid w:val="00270C7B"/>
    <w:rsid w:val="0027153B"/>
    <w:rsid w:val="002718FF"/>
    <w:rsid w:val="0027242A"/>
    <w:rsid w:val="0027294B"/>
    <w:rsid w:val="00273EB4"/>
    <w:rsid w:val="00274682"/>
    <w:rsid w:val="00274985"/>
    <w:rsid w:val="002749A0"/>
    <w:rsid w:val="00275526"/>
    <w:rsid w:val="00275C5A"/>
    <w:rsid w:val="00276325"/>
    <w:rsid w:val="00280265"/>
    <w:rsid w:val="00281014"/>
    <w:rsid w:val="00281553"/>
    <w:rsid w:val="00282298"/>
    <w:rsid w:val="0028348D"/>
    <w:rsid w:val="002861B4"/>
    <w:rsid w:val="0028665D"/>
    <w:rsid w:val="00287AF3"/>
    <w:rsid w:val="00287E5D"/>
    <w:rsid w:val="00292635"/>
    <w:rsid w:val="0029333B"/>
    <w:rsid w:val="002973D8"/>
    <w:rsid w:val="00297CB4"/>
    <w:rsid w:val="002A05EF"/>
    <w:rsid w:val="002A1002"/>
    <w:rsid w:val="002A14AB"/>
    <w:rsid w:val="002A2ADE"/>
    <w:rsid w:val="002A2F50"/>
    <w:rsid w:val="002B0128"/>
    <w:rsid w:val="002B05A1"/>
    <w:rsid w:val="002B094E"/>
    <w:rsid w:val="002B09A4"/>
    <w:rsid w:val="002B1421"/>
    <w:rsid w:val="002B1800"/>
    <w:rsid w:val="002B1C1F"/>
    <w:rsid w:val="002B2253"/>
    <w:rsid w:val="002B2B84"/>
    <w:rsid w:val="002B3202"/>
    <w:rsid w:val="002B378D"/>
    <w:rsid w:val="002B432F"/>
    <w:rsid w:val="002B5844"/>
    <w:rsid w:val="002B5E87"/>
    <w:rsid w:val="002B62B3"/>
    <w:rsid w:val="002B6584"/>
    <w:rsid w:val="002B6754"/>
    <w:rsid w:val="002B689E"/>
    <w:rsid w:val="002B6CCE"/>
    <w:rsid w:val="002C0E78"/>
    <w:rsid w:val="002C206C"/>
    <w:rsid w:val="002C2510"/>
    <w:rsid w:val="002C2775"/>
    <w:rsid w:val="002C27C1"/>
    <w:rsid w:val="002C3E18"/>
    <w:rsid w:val="002C5099"/>
    <w:rsid w:val="002C5889"/>
    <w:rsid w:val="002C5B36"/>
    <w:rsid w:val="002C71CE"/>
    <w:rsid w:val="002C753B"/>
    <w:rsid w:val="002C7FAD"/>
    <w:rsid w:val="002D0503"/>
    <w:rsid w:val="002D08F8"/>
    <w:rsid w:val="002D273C"/>
    <w:rsid w:val="002D48BB"/>
    <w:rsid w:val="002D52DF"/>
    <w:rsid w:val="002D577C"/>
    <w:rsid w:val="002D6C30"/>
    <w:rsid w:val="002D7371"/>
    <w:rsid w:val="002D76C8"/>
    <w:rsid w:val="002E002D"/>
    <w:rsid w:val="002E01C8"/>
    <w:rsid w:val="002E1071"/>
    <w:rsid w:val="002E15B9"/>
    <w:rsid w:val="002E2158"/>
    <w:rsid w:val="002E31A5"/>
    <w:rsid w:val="002E42C2"/>
    <w:rsid w:val="002E47DC"/>
    <w:rsid w:val="002E4F02"/>
    <w:rsid w:val="002E5062"/>
    <w:rsid w:val="002E5C2E"/>
    <w:rsid w:val="002E63ED"/>
    <w:rsid w:val="002E690B"/>
    <w:rsid w:val="002E7722"/>
    <w:rsid w:val="002E7FC5"/>
    <w:rsid w:val="002F0478"/>
    <w:rsid w:val="002F07BA"/>
    <w:rsid w:val="002F0DA9"/>
    <w:rsid w:val="002F1014"/>
    <w:rsid w:val="002F166D"/>
    <w:rsid w:val="002F32F0"/>
    <w:rsid w:val="002F3D7E"/>
    <w:rsid w:val="002F419E"/>
    <w:rsid w:val="002F4C70"/>
    <w:rsid w:val="002F579D"/>
    <w:rsid w:val="002F597F"/>
    <w:rsid w:val="002F643C"/>
    <w:rsid w:val="002F6AEA"/>
    <w:rsid w:val="002F71C0"/>
    <w:rsid w:val="002F74F1"/>
    <w:rsid w:val="002F7679"/>
    <w:rsid w:val="002F798F"/>
    <w:rsid w:val="002F7E4F"/>
    <w:rsid w:val="00300AEE"/>
    <w:rsid w:val="00301017"/>
    <w:rsid w:val="0030155F"/>
    <w:rsid w:val="003022DA"/>
    <w:rsid w:val="00303101"/>
    <w:rsid w:val="00303EBF"/>
    <w:rsid w:val="003040D1"/>
    <w:rsid w:val="003048C2"/>
    <w:rsid w:val="0030587B"/>
    <w:rsid w:val="003058AB"/>
    <w:rsid w:val="003067DF"/>
    <w:rsid w:val="00306D98"/>
    <w:rsid w:val="00306E8B"/>
    <w:rsid w:val="0030772F"/>
    <w:rsid w:val="0030786C"/>
    <w:rsid w:val="0031031A"/>
    <w:rsid w:val="003107CB"/>
    <w:rsid w:val="00310981"/>
    <w:rsid w:val="00310A19"/>
    <w:rsid w:val="00310F60"/>
    <w:rsid w:val="00310FE7"/>
    <w:rsid w:val="00311B67"/>
    <w:rsid w:val="00311C04"/>
    <w:rsid w:val="003124D9"/>
    <w:rsid w:val="00312594"/>
    <w:rsid w:val="0031350F"/>
    <w:rsid w:val="00313B04"/>
    <w:rsid w:val="00315498"/>
    <w:rsid w:val="00315AE1"/>
    <w:rsid w:val="00316320"/>
    <w:rsid w:val="00316474"/>
    <w:rsid w:val="00316DAC"/>
    <w:rsid w:val="003201A4"/>
    <w:rsid w:val="00321252"/>
    <w:rsid w:val="00322107"/>
    <w:rsid w:val="00322355"/>
    <w:rsid w:val="00322846"/>
    <w:rsid w:val="00322C1E"/>
    <w:rsid w:val="00322EC9"/>
    <w:rsid w:val="00323402"/>
    <w:rsid w:val="00323713"/>
    <w:rsid w:val="003243A5"/>
    <w:rsid w:val="00326D85"/>
    <w:rsid w:val="00326DA7"/>
    <w:rsid w:val="003270E4"/>
    <w:rsid w:val="00330DAA"/>
    <w:rsid w:val="00330F5C"/>
    <w:rsid w:val="00331CDF"/>
    <w:rsid w:val="00332D05"/>
    <w:rsid w:val="00334109"/>
    <w:rsid w:val="003350E3"/>
    <w:rsid w:val="0033548A"/>
    <w:rsid w:val="00335C86"/>
    <w:rsid w:val="003366C9"/>
    <w:rsid w:val="003371B0"/>
    <w:rsid w:val="00340DF1"/>
    <w:rsid w:val="0034119B"/>
    <w:rsid w:val="00341864"/>
    <w:rsid w:val="003431EA"/>
    <w:rsid w:val="003432CE"/>
    <w:rsid w:val="00343C8E"/>
    <w:rsid w:val="00343DB2"/>
    <w:rsid w:val="00347FBD"/>
    <w:rsid w:val="003517F9"/>
    <w:rsid w:val="00351BA9"/>
    <w:rsid w:val="00351BDA"/>
    <w:rsid w:val="0035235F"/>
    <w:rsid w:val="00354F64"/>
    <w:rsid w:val="0035620E"/>
    <w:rsid w:val="0035662A"/>
    <w:rsid w:val="0035662D"/>
    <w:rsid w:val="00356808"/>
    <w:rsid w:val="0035766F"/>
    <w:rsid w:val="00360328"/>
    <w:rsid w:val="00360345"/>
    <w:rsid w:val="00361A05"/>
    <w:rsid w:val="00361F99"/>
    <w:rsid w:val="003624C4"/>
    <w:rsid w:val="003638DB"/>
    <w:rsid w:val="00363B00"/>
    <w:rsid w:val="00364EC9"/>
    <w:rsid w:val="00365253"/>
    <w:rsid w:val="003654AC"/>
    <w:rsid w:val="00365A88"/>
    <w:rsid w:val="0036675F"/>
    <w:rsid w:val="00367DC0"/>
    <w:rsid w:val="00370066"/>
    <w:rsid w:val="003710CF"/>
    <w:rsid w:val="00371195"/>
    <w:rsid w:val="0037358A"/>
    <w:rsid w:val="003750F6"/>
    <w:rsid w:val="003760FC"/>
    <w:rsid w:val="00377530"/>
    <w:rsid w:val="00382F2E"/>
    <w:rsid w:val="003835BE"/>
    <w:rsid w:val="0038365C"/>
    <w:rsid w:val="0038369B"/>
    <w:rsid w:val="00383B78"/>
    <w:rsid w:val="0038450C"/>
    <w:rsid w:val="00385258"/>
    <w:rsid w:val="00385A9D"/>
    <w:rsid w:val="0038744C"/>
    <w:rsid w:val="003902B1"/>
    <w:rsid w:val="0039179C"/>
    <w:rsid w:val="003929E8"/>
    <w:rsid w:val="00395561"/>
    <w:rsid w:val="00395745"/>
    <w:rsid w:val="00395B4B"/>
    <w:rsid w:val="00395EEA"/>
    <w:rsid w:val="00395EF5"/>
    <w:rsid w:val="00396020"/>
    <w:rsid w:val="00396189"/>
    <w:rsid w:val="00396758"/>
    <w:rsid w:val="00396896"/>
    <w:rsid w:val="00396FD0"/>
    <w:rsid w:val="00397287"/>
    <w:rsid w:val="0039754E"/>
    <w:rsid w:val="00397700"/>
    <w:rsid w:val="003979DE"/>
    <w:rsid w:val="003A054C"/>
    <w:rsid w:val="003A10C9"/>
    <w:rsid w:val="003A142D"/>
    <w:rsid w:val="003A1A7A"/>
    <w:rsid w:val="003A1FA9"/>
    <w:rsid w:val="003A2392"/>
    <w:rsid w:val="003A2831"/>
    <w:rsid w:val="003A3CB6"/>
    <w:rsid w:val="003A3ED1"/>
    <w:rsid w:val="003A40CF"/>
    <w:rsid w:val="003A44DB"/>
    <w:rsid w:val="003A4833"/>
    <w:rsid w:val="003A7110"/>
    <w:rsid w:val="003A763F"/>
    <w:rsid w:val="003A7CF8"/>
    <w:rsid w:val="003B02B7"/>
    <w:rsid w:val="003B0794"/>
    <w:rsid w:val="003B2C4A"/>
    <w:rsid w:val="003B3971"/>
    <w:rsid w:val="003B460F"/>
    <w:rsid w:val="003B55D1"/>
    <w:rsid w:val="003B5670"/>
    <w:rsid w:val="003B5B61"/>
    <w:rsid w:val="003B7D35"/>
    <w:rsid w:val="003C1586"/>
    <w:rsid w:val="003C1654"/>
    <w:rsid w:val="003C3B31"/>
    <w:rsid w:val="003C51F5"/>
    <w:rsid w:val="003C5542"/>
    <w:rsid w:val="003C63C0"/>
    <w:rsid w:val="003C7D19"/>
    <w:rsid w:val="003C7D2F"/>
    <w:rsid w:val="003D1828"/>
    <w:rsid w:val="003D1C8D"/>
    <w:rsid w:val="003D1DE4"/>
    <w:rsid w:val="003D1E9A"/>
    <w:rsid w:val="003D20ED"/>
    <w:rsid w:val="003D2422"/>
    <w:rsid w:val="003D2CA2"/>
    <w:rsid w:val="003D39A1"/>
    <w:rsid w:val="003D3FBF"/>
    <w:rsid w:val="003D4A30"/>
    <w:rsid w:val="003D53B9"/>
    <w:rsid w:val="003D601B"/>
    <w:rsid w:val="003D7071"/>
    <w:rsid w:val="003D7452"/>
    <w:rsid w:val="003D79BB"/>
    <w:rsid w:val="003D7A4C"/>
    <w:rsid w:val="003D7C98"/>
    <w:rsid w:val="003D7D9D"/>
    <w:rsid w:val="003E0543"/>
    <w:rsid w:val="003E749E"/>
    <w:rsid w:val="003F2FFE"/>
    <w:rsid w:val="003F4156"/>
    <w:rsid w:val="003F4DC3"/>
    <w:rsid w:val="003F5ADF"/>
    <w:rsid w:val="00400B29"/>
    <w:rsid w:val="00402405"/>
    <w:rsid w:val="004027DC"/>
    <w:rsid w:val="0040504B"/>
    <w:rsid w:val="004059F4"/>
    <w:rsid w:val="00406093"/>
    <w:rsid w:val="00406DB4"/>
    <w:rsid w:val="00407CA7"/>
    <w:rsid w:val="00407FE5"/>
    <w:rsid w:val="004101B0"/>
    <w:rsid w:val="00410326"/>
    <w:rsid w:val="00410708"/>
    <w:rsid w:val="00410EC7"/>
    <w:rsid w:val="004117FC"/>
    <w:rsid w:val="00411B39"/>
    <w:rsid w:val="00411B89"/>
    <w:rsid w:val="00411C50"/>
    <w:rsid w:val="0041211C"/>
    <w:rsid w:val="004127A7"/>
    <w:rsid w:val="00413A1E"/>
    <w:rsid w:val="004143DE"/>
    <w:rsid w:val="00414476"/>
    <w:rsid w:val="0041488E"/>
    <w:rsid w:val="00414A51"/>
    <w:rsid w:val="00414C2E"/>
    <w:rsid w:val="00415099"/>
    <w:rsid w:val="004151CF"/>
    <w:rsid w:val="00416364"/>
    <w:rsid w:val="0041674B"/>
    <w:rsid w:val="00416EB8"/>
    <w:rsid w:val="004170F1"/>
    <w:rsid w:val="0042047F"/>
    <w:rsid w:val="004208F9"/>
    <w:rsid w:val="00420AA6"/>
    <w:rsid w:val="00420B9F"/>
    <w:rsid w:val="0042192C"/>
    <w:rsid w:val="00422260"/>
    <w:rsid w:val="0042413F"/>
    <w:rsid w:val="00424E3E"/>
    <w:rsid w:val="00425C8F"/>
    <w:rsid w:val="0042611D"/>
    <w:rsid w:val="00427509"/>
    <w:rsid w:val="0042765E"/>
    <w:rsid w:val="004319F8"/>
    <w:rsid w:val="00431E55"/>
    <w:rsid w:val="00431FC6"/>
    <w:rsid w:val="004321F6"/>
    <w:rsid w:val="00433044"/>
    <w:rsid w:val="0043321E"/>
    <w:rsid w:val="00433653"/>
    <w:rsid w:val="00434088"/>
    <w:rsid w:val="00434B60"/>
    <w:rsid w:val="004375B9"/>
    <w:rsid w:val="0043794B"/>
    <w:rsid w:val="00440AB2"/>
    <w:rsid w:val="004428D0"/>
    <w:rsid w:val="0044329A"/>
    <w:rsid w:val="00444185"/>
    <w:rsid w:val="004443A7"/>
    <w:rsid w:val="0044442C"/>
    <w:rsid w:val="0044593B"/>
    <w:rsid w:val="00445941"/>
    <w:rsid w:val="00445C85"/>
    <w:rsid w:val="004464EB"/>
    <w:rsid w:val="004466DD"/>
    <w:rsid w:val="00447D26"/>
    <w:rsid w:val="00447DFC"/>
    <w:rsid w:val="00450730"/>
    <w:rsid w:val="00451291"/>
    <w:rsid w:val="004519E4"/>
    <w:rsid w:val="004525C0"/>
    <w:rsid w:val="0045274C"/>
    <w:rsid w:val="004527A0"/>
    <w:rsid w:val="00452B66"/>
    <w:rsid w:val="004547F6"/>
    <w:rsid w:val="00455D45"/>
    <w:rsid w:val="00455EAA"/>
    <w:rsid w:val="00456D57"/>
    <w:rsid w:val="004573CA"/>
    <w:rsid w:val="00457AF6"/>
    <w:rsid w:val="00460508"/>
    <w:rsid w:val="00464595"/>
    <w:rsid w:val="00464F89"/>
    <w:rsid w:val="004658B5"/>
    <w:rsid w:val="0046712F"/>
    <w:rsid w:val="0047074A"/>
    <w:rsid w:val="00471EA5"/>
    <w:rsid w:val="00471EDB"/>
    <w:rsid w:val="00472397"/>
    <w:rsid w:val="00472A79"/>
    <w:rsid w:val="00473212"/>
    <w:rsid w:val="004737BF"/>
    <w:rsid w:val="00473F19"/>
    <w:rsid w:val="004747E4"/>
    <w:rsid w:val="00475042"/>
    <w:rsid w:val="00475E22"/>
    <w:rsid w:val="004774DF"/>
    <w:rsid w:val="004779A2"/>
    <w:rsid w:val="0048088E"/>
    <w:rsid w:val="00480CEC"/>
    <w:rsid w:val="00480ECA"/>
    <w:rsid w:val="00480F2B"/>
    <w:rsid w:val="00481CFF"/>
    <w:rsid w:val="00482041"/>
    <w:rsid w:val="00482237"/>
    <w:rsid w:val="00482720"/>
    <w:rsid w:val="0048295D"/>
    <w:rsid w:val="004831F3"/>
    <w:rsid w:val="004835E7"/>
    <w:rsid w:val="00483D61"/>
    <w:rsid w:val="00483F19"/>
    <w:rsid w:val="004842DE"/>
    <w:rsid w:val="004850DE"/>
    <w:rsid w:val="004863DF"/>
    <w:rsid w:val="004867E2"/>
    <w:rsid w:val="00486FF6"/>
    <w:rsid w:val="00487DCA"/>
    <w:rsid w:val="004901DF"/>
    <w:rsid w:val="00490B17"/>
    <w:rsid w:val="00490D61"/>
    <w:rsid w:val="0049157E"/>
    <w:rsid w:val="00491B3A"/>
    <w:rsid w:val="00492CFD"/>
    <w:rsid w:val="00493098"/>
    <w:rsid w:val="00493116"/>
    <w:rsid w:val="00494207"/>
    <w:rsid w:val="00494D27"/>
    <w:rsid w:val="00494DD5"/>
    <w:rsid w:val="004962D2"/>
    <w:rsid w:val="00497A1F"/>
    <w:rsid w:val="004A05C4"/>
    <w:rsid w:val="004A0DA1"/>
    <w:rsid w:val="004A13D6"/>
    <w:rsid w:val="004A13EF"/>
    <w:rsid w:val="004A1D6A"/>
    <w:rsid w:val="004A2B94"/>
    <w:rsid w:val="004A37DA"/>
    <w:rsid w:val="004A4559"/>
    <w:rsid w:val="004A52E9"/>
    <w:rsid w:val="004A6040"/>
    <w:rsid w:val="004A6597"/>
    <w:rsid w:val="004A6B8B"/>
    <w:rsid w:val="004A7848"/>
    <w:rsid w:val="004B05B1"/>
    <w:rsid w:val="004B0636"/>
    <w:rsid w:val="004B1CB4"/>
    <w:rsid w:val="004B282C"/>
    <w:rsid w:val="004B2F18"/>
    <w:rsid w:val="004B3DDB"/>
    <w:rsid w:val="004B44FD"/>
    <w:rsid w:val="004B5CFC"/>
    <w:rsid w:val="004B5FA0"/>
    <w:rsid w:val="004B638D"/>
    <w:rsid w:val="004B6F79"/>
    <w:rsid w:val="004B774D"/>
    <w:rsid w:val="004C1EF9"/>
    <w:rsid w:val="004C24CC"/>
    <w:rsid w:val="004C3D54"/>
    <w:rsid w:val="004C4AED"/>
    <w:rsid w:val="004D1AA2"/>
    <w:rsid w:val="004D2C2D"/>
    <w:rsid w:val="004D492A"/>
    <w:rsid w:val="004D57CF"/>
    <w:rsid w:val="004D6262"/>
    <w:rsid w:val="004D62E8"/>
    <w:rsid w:val="004D69B5"/>
    <w:rsid w:val="004D6D03"/>
    <w:rsid w:val="004D7227"/>
    <w:rsid w:val="004E0DE7"/>
    <w:rsid w:val="004E0E7F"/>
    <w:rsid w:val="004E0EB8"/>
    <w:rsid w:val="004E18E9"/>
    <w:rsid w:val="004E2ADC"/>
    <w:rsid w:val="004E2BA2"/>
    <w:rsid w:val="004E2E8E"/>
    <w:rsid w:val="004E43B2"/>
    <w:rsid w:val="004E684C"/>
    <w:rsid w:val="004E792B"/>
    <w:rsid w:val="004F1D02"/>
    <w:rsid w:val="004F2130"/>
    <w:rsid w:val="004F23B2"/>
    <w:rsid w:val="004F2679"/>
    <w:rsid w:val="004F29F3"/>
    <w:rsid w:val="004F2F21"/>
    <w:rsid w:val="004F3DE5"/>
    <w:rsid w:val="004F4B8C"/>
    <w:rsid w:val="004F5517"/>
    <w:rsid w:val="004F62DA"/>
    <w:rsid w:val="004F6383"/>
    <w:rsid w:val="004F6705"/>
    <w:rsid w:val="004F6913"/>
    <w:rsid w:val="004F7865"/>
    <w:rsid w:val="0050174E"/>
    <w:rsid w:val="00501854"/>
    <w:rsid w:val="0050219B"/>
    <w:rsid w:val="00502B84"/>
    <w:rsid w:val="00502DB6"/>
    <w:rsid w:val="0050313D"/>
    <w:rsid w:val="00503BB5"/>
    <w:rsid w:val="00503F17"/>
    <w:rsid w:val="00503F73"/>
    <w:rsid w:val="00503FE6"/>
    <w:rsid w:val="0050425F"/>
    <w:rsid w:val="00504CE2"/>
    <w:rsid w:val="00504D74"/>
    <w:rsid w:val="00506928"/>
    <w:rsid w:val="005077EF"/>
    <w:rsid w:val="005100A3"/>
    <w:rsid w:val="00510716"/>
    <w:rsid w:val="00511AD5"/>
    <w:rsid w:val="00511C4A"/>
    <w:rsid w:val="00511DC7"/>
    <w:rsid w:val="00513C77"/>
    <w:rsid w:val="00514118"/>
    <w:rsid w:val="005142C5"/>
    <w:rsid w:val="0051446B"/>
    <w:rsid w:val="0051470F"/>
    <w:rsid w:val="0051501B"/>
    <w:rsid w:val="005152B5"/>
    <w:rsid w:val="00516CE4"/>
    <w:rsid w:val="0052123C"/>
    <w:rsid w:val="00521319"/>
    <w:rsid w:val="00522838"/>
    <w:rsid w:val="00522BC8"/>
    <w:rsid w:val="00523007"/>
    <w:rsid w:val="00523C28"/>
    <w:rsid w:val="00524F33"/>
    <w:rsid w:val="005261FB"/>
    <w:rsid w:val="0053176B"/>
    <w:rsid w:val="00532ACC"/>
    <w:rsid w:val="00532B34"/>
    <w:rsid w:val="00532F0E"/>
    <w:rsid w:val="00532FB8"/>
    <w:rsid w:val="0053313F"/>
    <w:rsid w:val="00534485"/>
    <w:rsid w:val="00534548"/>
    <w:rsid w:val="00534C55"/>
    <w:rsid w:val="00536F42"/>
    <w:rsid w:val="00537182"/>
    <w:rsid w:val="0053737E"/>
    <w:rsid w:val="00540899"/>
    <w:rsid w:val="00540CC0"/>
    <w:rsid w:val="00541EDD"/>
    <w:rsid w:val="00542743"/>
    <w:rsid w:val="00542C2D"/>
    <w:rsid w:val="005439AE"/>
    <w:rsid w:val="005439F1"/>
    <w:rsid w:val="00544116"/>
    <w:rsid w:val="005447E9"/>
    <w:rsid w:val="00546B24"/>
    <w:rsid w:val="005478BD"/>
    <w:rsid w:val="005479E3"/>
    <w:rsid w:val="005501FD"/>
    <w:rsid w:val="00551985"/>
    <w:rsid w:val="00552410"/>
    <w:rsid w:val="00552511"/>
    <w:rsid w:val="00552BD3"/>
    <w:rsid w:val="00552CF0"/>
    <w:rsid w:val="005532A0"/>
    <w:rsid w:val="005540EB"/>
    <w:rsid w:val="00554B38"/>
    <w:rsid w:val="00555109"/>
    <w:rsid w:val="00556B35"/>
    <w:rsid w:val="0055741A"/>
    <w:rsid w:val="00557964"/>
    <w:rsid w:val="005603B7"/>
    <w:rsid w:val="00560F70"/>
    <w:rsid w:val="005611B7"/>
    <w:rsid w:val="005618D4"/>
    <w:rsid w:val="00562769"/>
    <w:rsid w:val="005639A8"/>
    <w:rsid w:val="00563A11"/>
    <w:rsid w:val="00565DF0"/>
    <w:rsid w:val="0056696F"/>
    <w:rsid w:val="005701F7"/>
    <w:rsid w:val="00572269"/>
    <w:rsid w:val="0057244A"/>
    <w:rsid w:val="00572F26"/>
    <w:rsid w:val="00573CA6"/>
    <w:rsid w:val="0057471E"/>
    <w:rsid w:val="005750C5"/>
    <w:rsid w:val="005752DE"/>
    <w:rsid w:val="005756C5"/>
    <w:rsid w:val="00575D8D"/>
    <w:rsid w:val="00575DEB"/>
    <w:rsid w:val="00576196"/>
    <w:rsid w:val="00576972"/>
    <w:rsid w:val="0057793E"/>
    <w:rsid w:val="00577CB8"/>
    <w:rsid w:val="0058289F"/>
    <w:rsid w:val="00583699"/>
    <w:rsid w:val="00583B15"/>
    <w:rsid w:val="00584032"/>
    <w:rsid w:val="005844DF"/>
    <w:rsid w:val="00584784"/>
    <w:rsid w:val="00585049"/>
    <w:rsid w:val="0058597C"/>
    <w:rsid w:val="00585B77"/>
    <w:rsid w:val="00585CDD"/>
    <w:rsid w:val="00587058"/>
    <w:rsid w:val="00587D09"/>
    <w:rsid w:val="00591637"/>
    <w:rsid w:val="00591957"/>
    <w:rsid w:val="00592A34"/>
    <w:rsid w:val="0059300D"/>
    <w:rsid w:val="00596694"/>
    <w:rsid w:val="00596966"/>
    <w:rsid w:val="00597BF9"/>
    <w:rsid w:val="005A035B"/>
    <w:rsid w:val="005A044D"/>
    <w:rsid w:val="005A09FD"/>
    <w:rsid w:val="005A2F0E"/>
    <w:rsid w:val="005A309A"/>
    <w:rsid w:val="005A335C"/>
    <w:rsid w:val="005A373D"/>
    <w:rsid w:val="005A3D95"/>
    <w:rsid w:val="005A3FC8"/>
    <w:rsid w:val="005A4B52"/>
    <w:rsid w:val="005A7FD5"/>
    <w:rsid w:val="005B0B58"/>
    <w:rsid w:val="005B2A1B"/>
    <w:rsid w:val="005B2FFB"/>
    <w:rsid w:val="005B361F"/>
    <w:rsid w:val="005B4287"/>
    <w:rsid w:val="005B47E5"/>
    <w:rsid w:val="005B4E53"/>
    <w:rsid w:val="005B5857"/>
    <w:rsid w:val="005B61B2"/>
    <w:rsid w:val="005B65DB"/>
    <w:rsid w:val="005B6E30"/>
    <w:rsid w:val="005B6F6C"/>
    <w:rsid w:val="005C008A"/>
    <w:rsid w:val="005C024B"/>
    <w:rsid w:val="005C1B83"/>
    <w:rsid w:val="005C1C9E"/>
    <w:rsid w:val="005C25FF"/>
    <w:rsid w:val="005C2B0E"/>
    <w:rsid w:val="005C2D55"/>
    <w:rsid w:val="005C346B"/>
    <w:rsid w:val="005C36BB"/>
    <w:rsid w:val="005C6213"/>
    <w:rsid w:val="005C6E42"/>
    <w:rsid w:val="005C7303"/>
    <w:rsid w:val="005D044D"/>
    <w:rsid w:val="005D0ABD"/>
    <w:rsid w:val="005D12B1"/>
    <w:rsid w:val="005D154F"/>
    <w:rsid w:val="005D18AD"/>
    <w:rsid w:val="005D1AE1"/>
    <w:rsid w:val="005D22B4"/>
    <w:rsid w:val="005D26B4"/>
    <w:rsid w:val="005D37B5"/>
    <w:rsid w:val="005D41EC"/>
    <w:rsid w:val="005D5D14"/>
    <w:rsid w:val="005E1925"/>
    <w:rsid w:val="005E1E1E"/>
    <w:rsid w:val="005E3B68"/>
    <w:rsid w:val="005E50A3"/>
    <w:rsid w:val="005E6CBC"/>
    <w:rsid w:val="005E72FF"/>
    <w:rsid w:val="005E73C0"/>
    <w:rsid w:val="005E760E"/>
    <w:rsid w:val="005F0688"/>
    <w:rsid w:val="005F096E"/>
    <w:rsid w:val="005F2706"/>
    <w:rsid w:val="005F30E7"/>
    <w:rsid w:val="005F357F"/>
    <w:rsid w:val="005F3CE7"/>
    <w:rsid w:val="005F4990"/>
    <w:rsid w:val="005F6A8F"/>
    <w:rsid w:val="005F6BB7"/>
    <w:rsid w:val="005F7588"/>
    <w:rsid w:val="00603DB9"/>
    <w:rsid w:val="00603E42"/>
    <w:rsid w:val="00605075"/>
    <w:rsid w:val="006053DE"/>
    <w:rsid w:val="00606F42"/>
    <w:rsid w:val="00606FBA"/>
    <w:rsid w:val="00607669"/>
    <w:rsid w:val="006076F4"/>
    <w:rsid w:val="00607AC1"/>
    <w:rsid w:val="00607AFD"/>
    <w:rsid w:val="00607FBC"/>
    <w:rsid w:val="00610E89"/>
    <w:rsid w:val="0061203B"/>
    <w:rsid w:val="006122CF"/>
    <w:rsid w:val="00612F97"/>
    <w:rsid w:val="00612F9C"/>
    <w:rsid w:val="0061345D"/>
    <w:rsid w:val="00613791"/>
    <w:rsid w:val="0061549B"/>
    <w:rsid w:val="00615F9A"/>
    <w:rsid w:val="00616802"/>
    <w:rsid w:val="00617E12"/>
    <w:rsid w:val="006205EF"/>
    <w:rsid w:val="00620C25"/>
    <w:rsid w:val="00621477"/>
    <w:rsid w:val="00621ADA"/>
    <w:rsid w:val="0062288A"/>
    <w:rsid w:val="00623896"/>
    <w:rsid w:val="006239D1"/>
    <w:rsid w:val="00623F7B"/>
    <w:rsid w:val="00625207"/>
    <w:rsid w:val="0062557E"/>
    <w:rsid w:val="00630418"/>
    <w:rsid w:val="00630EFE"/>
    <w:rsid w:val="006314EC"/>
    <w:rsid w:val="0063158F"/>
    <w:rsid w:val="00631D6B"/>
    <w:rsid w:val="00632183"/>
    <w:rsid w:val="006330A1"/>
    <w:rsid w:val="00633100"/>
    <w:rsid w:val="0063479F"/>
    <w:rsid w:val="00634DB8"/>
    <w:rsid w:val="006353F0"/>
    <w:rsid w:val="006357B5"/>
    <w:rsid w:val="00635CC1"/>
    <w:rsid w:val="00635D34"/>
    <w:rsid w:val="00636354"/>
    <w:rsid w:val="006364A1"/>
    <w:rsid w:val="006364F1"/>
    <w:rsid w:val="00636700"/>
    <w:rsid w:val="0063678E"/>
    <w:rsid w:val="006370D6"/>
    <w:rsid w:val="00637BFD"/>
    <w:rsid w:val="0064106C"/>
    <w:rsid w:val="00641C4E"/>
    <w:rsid w:val="00641FB3"/>
    <w:rsid w:val="0064280D"/>
    <w:rsid w:val="00642EBF"/>
    <w:rsid w:val="00643646"/>
    <w:rsid w:val="0064434C"/>
    <w:rsid w:val="006471CC"/>
    <w:rsid w:val="006478A5"/>
    <w:rsid w:val="00647A29"/>
    <w:rsid w:val="0065079F"/>
    <w:rsid w:val="00650EB3"/>
    <w:rsid w:val="00652A28"/>
    <w:rsid w:val="0065379F"/>
    <w:rsid w:val="00656188"/>
    <w:rsid w:val="00656AA8"/>
    <w:rsid w:val="0065715A"/>
    <w:rsid w:val="0065743E"/>
    <w:rsid w:val="00660199"/>
    <w:rsid w:val="00660A22"/>
    <w:rsid w:val="006610F1"/>
    <w:rsid w:val="006611C1"/>
    <w:rsid w:val="00661C6B"/>
    <w:rsid w:val="00662073"/>
    <w:rsid w:val="00662FD9"/>
    <w:rsid w:val="006636E4"/>
    <w:rsid w:val="006641C3"/>
    <w:rsid w:val="00665CD2"/>
    <w:rsid w:val="00666D96"/>
    <w:rsid w:val="00671004"/>
    <w:rsid w:val="00672419"/>
    <w:rsid w:val="00672646"/>
    <w:rsid w:val="00672BFC"/>
    <w:rsid w:val="00673F0A"/>
    <w:rsid w:val="006746DF"/>
    <w:rsid w:val="00674E42"/>
    <w:rsid w:val="00674F2A"/>
    <w:rsid w:val="00680376"/>
    <w:rsid w:val="00680C4A"/>
    <w:rsid w:val="006813F8"/>
    <w:rsid w:val="00682112"/>
    <w:rsid w:val="00682BA6"/>
    <w:rsid w:val="00683002"/>
    <w:rsid w:val="00683811"/>
    <w:rsid w:val="00683D8A"/>
    <w:rsid w:val="00684D1B"/>
    <w:rsid w:val="00685267"/>
    <w:rsid w:val="00685AC8"/>
    <w:rsid w:val="00685B24"/>
    <w:rsid w:val="0068687E"/>
    <w:rsid w:val="00686957"/>
    <w:rsid w:val="00686BB1"/>
    <w:rsid w:val="006871C0"/>
    <w:rsid w:val="006872BA"/>
    <w:rsid w:val="0069019F"/>
    <w:rsid w:val="00690795"/>
    <w:rsid w:val="00690AB3"/>
    <w:rsid w:val="00691648"/>
    <w:rsid w:val="006917D7"/>
    <w:rsid w:val="00692365"/>
    <w:rsid w:val="00692B66"/>
    <w:rsid w:val="00693EB1"/>
    <w:rsid w:val="0069434C"/>
    <w:rsid w:val="00694F44"/>
    <w:rsid w:val="00696672"/>
    <w:rsid w:val="00696F51"/>
    <w:rsid w:val="00697980"/>
    <w:rsid w:val="006979A5"/>
    <w:rsid w:val="006A44B6"/>
    <w:rsid w:val="006A569A"/>
    <w:rsid w:val="006A5D3D"/>
    <w:rsid w:val="006A66FC"/>
    <w:rsid w:val="006A6B99"/>
    <w:rsid w:val="006A707E"/>
    <w:rsid w:val="006A7E5F"/>
    <w:rsid w:val="006B0F67"/>
    <w:rsid w:val="006B1230"/>
    <w:rsid w:val="006B1627"/>
    <w:rsid w:val="006B18BB"/>
    <w:rsid w:val="006B1C45"/>
    <w:rsid w:val="006B261B"/>
    <w:rsid w:val="006B2AE3"/>
    <w:rsid w:val="006B2C90"/>
    <w:rsid w:val="006B3392"/>
    <w:rsid w:val="006B35E6"/>
    <w:rsid w:val="006B465A"/>
    <w:rsid w:val="006B5240"/>
    <w:rsid w:val="006B5598"/>
    <w:rsid w:val="006B680E"/>
    <w:rsid w:val="006B6DD0"/>
    <w:rsid w:val="006B6FC7"/>
    <w:rsid w:val="006B7356"/>
    <w:rsid w:val="006C0399"/>
    <w:rsid w:val="006C06F1"/>
    <w:rsid w:val="006C083A"/>
    <w:rsid w:val="006C1CA5"/>
    <w:rsid w:val="006C2973"/>
    <w:rsid w:val="006C2A8E"/>
    <w:rsid w:val="006C3255"/>
    <w:rsid w:val="006C3F26"/>
    <w:rsid w:val="006C412C"/>
    <w:rsid w:val="006C49A3"/>
    <w:rsid w:val="006C4FFD"/>
    <w:rsid w:val="006C6009"/>
    <w:rsid w:val="006D0D17"/>
    <w:rsid w:val="006D31B0"/>
    <w:rsid w:val="006D3C7D"/>
    <w:rsid w:val="006D4659"/>
    <w:rsid w:val="006D4D5C"/>
    <w:rsid w:val="006D4E76"/>
    <w:rsid w:val="006D5D5F"/>
    <w:rsid w:val="006D68FB"/>
    <w:rsid w:val="006D6DAE"/>
    <w:rsid w:val="006D7017"/>
    <w:rsid w:val="006D75ED"/>
    <w:rsid w:val="006D78B1"/>
    <w:rsid w:val="006E187F"/>
    <w:rsid w:val="006E2868"/>
    <w:rsid w:val="006E2FF8"/>
    <w:rsid w:val="006E4CED"/>
    <w:rsid w:val="006E5345"/>
    <w:rsid w:val="006E584C"/>
    <w:rsid w:val="006E5FDA"/>
    <w:rsid w:val="006E788C"/>
    <w:rsid w:val="006E7A08"/>
    <w:rsid w:val="006E7D01"/>
    <w:rsid w:val="006F1185"/>
    <w:rsid w:val="006F2667"/>
    <w:rsid w:val="006F306C"/>
    <w:rsid w:val="006F3BCE"/>
    <w:rsid w:val="006F5537"/>
    <w:rsid w:val="006F5CD6"/>
    <w:rsid w:val="006F63A5"/>
    <w:rsid w:val="006F7BE6"/>
    <w:rsid w:val="00700D52"/>
    <w:rsid w:val="0070142B"/>
    <w:rsid w:val="0070208F"/>
    <w:rsid w:val="0070276E"/>
    <w:rsid w:val="00702DD1"/>
    <w:rsid w:val="00702F8F"/>
    <w:rsid w:val="007035FA"/>
    <w:rsid w:val="00705798"/>
    <w:rsid w:val="00705840"/>
    <w:rsid w:val="007068EA"/>
    <w:rsid w:val="007078BE"/>
    <w:rsid w:val="007079FC"/>
    <w:rsid w:val="00707BC0"/>
    <w:rsid w:val="00711514"/>
    <w:rsid w:val="00711A36"/>
    <w:rsid w:val="00711B5E"/>
    <w:rsid w:val="00711E66"/>
    <w:rsid w:val="007129C8"/>
    <w:rsid w:val="00712BE9"/>
    <w:rsid w:val="00714573"/>
    <w:rsid w:val="00714BFC"/>
    <w:rsid w:val="00714C26"/>
    <w:rsid w:val="0071529C"/>
    <w:rsid w:val="00715E55"/>
    <w:rsid w:val="007164B0"/>
    <w:rsid w:val="007170DA"/>
    <w:rsid w:val="007172AD"/>
    <w:rsid w:val="00720801"/>
    <w:rsid w:val="0072131C"/>
    <w:rsid w:val="00721730"/>
    <w:rsid w:val="00722659"/>
    <w:rsid w:val="00722B1B"/>
    <w:rsid w:val="00722D35"/>
    <w:rsid w:val="00723C84"/>
    <w:rsid w:val="0072416F"/>
    <w:rsid w:val="0072556A"/>
    <w:rsid w:val="007255AE"/>
    <w:rsid w:val="007271C7"/>
    <w:rsid w:val="007276EB"/>
    <w:rsid w:val="007277F0"/>
    <w:rsid w:val="00727C94"/>
    <w:rsid w:val="00730961"/>
    <w:rsid w:val="00731B0A"/>
    <w:rsid w:val="00731EAE"/>
    <w:rsid w:val="00732743"/>
    <w:rsid w:val="00733073"/>
    <w:rsid w:val="00733BA3"/>
    <w:rsid w:val="00734BF3"/>
    <w:rsid w:val="00734FE5"/>
    <w:rsid w:val="00735033"/>
    <w:rsid w:val="00735328"/>
    <w:rsid w:val="0073685B"/>
    <w:rsid w:val="00741C72"/>
    <w:rsid w:val="007434BD"/>
    <w:rsid w:val="0074402D"/>
    <w:rsid w:val="007449BF"/>
    <w:rsid w:val="00746BC0"/>
    <w:rsid w:val="00750B11"/>
    <w:rsid w:val="00750D84"/>
    <w:rsid w:val="007510B4"/>
    <w:rsid w:val="00752142"/>
    <w:rsid w:val="007523F9"/>
    <w:rsid w:val="0075357E"/>
    <w:rsid w:val="007543AD"/>
    <w:rsid w:val="00755ADC"/>
    <w:rsid w:val="00755E76"/>
    <w:rsid w:val="007567D0"/>
    <w:rsid w:val="007573E8"/>
    <w:rsid w:val="00760BEB"/>
    <w:rsid w:val="00760C4E"/>
    <w:rsid w:val="00760F9E"/>
    <w:rsid w:val="00761B33"/>
    <w:rsid w:val="00761F38"/>
    <w:rsid w:val="007627BE"/>
    <w:rsid w:val="00762DAA"/>
    <w:rsid w:val="007631AB"/>
    <w:rsid w:val="0076435E"/>
    <w:rsid w:val="00764A61"/>
    <w:rsid w:val="00764F03"/>
    <w:rsid w:val="00764FEF"/>
    <w:rsid w:val="00765B1A"/>
    <w:rsid w:val="007661B9"/>
    <w:rsid w:val="00767213"/>
    <w:rsid w:val="00771C83"/>
    <w:rsid w:val="007722E2"/>
    <w:rsid w:val="00774C5E"/>
    <w:rsid w:val="007769DB"/>
    <w:rsid w:val="00776B48"/>
    <w:rsid w:val="00777335"/>
    <w:rsid w:val="00780327"/>
    <w:rsid w:val="007811C6"/>
    <w:rsid w:val="00784214"/>
    <w:rsid w:val="007843F2"/>
    <w:rsid w:val="007855FC"/>
    <w:rsid w:val="00785A9F"/>
    <w:rsid w:val="00786F07"/>
    <w:rsid w:val="00787250"/>
    <w:rsid w:val="007918CE"/>
    <w:rsid w:val="0079246C"/>
    <w:rsid w:val="007925DF"/>
    <w:rsid w:val="00792664"/>
    <w:rsid w:val="007A0032"/>
    <w:rsid w:val="007A08AA"/>
    <w:rsid w:val="007A0A12"/>
    <w:rsid w:val="007A132D"/>
    <w:rsid w:val="007A1345"/>
    <w:rsid w:val="007A1ED5"/>
    <w:rsid w:val="007A2DDB"/>
    <w:rsid w:val="007A31AF"/>
    <w:rsid w:val="007A49C8"/>
    <w:rsid w:val="007A70AC"/>
    <w:rsid w:val="007A70BA"/>
    <w:rsid w:val="007B0D68"/>
    <w:rsid w:val="007B251D"/>
    <w:rsid w:val="007B25CB"/>
    <w:rsid w:val="007B3C23"/>
    <w:rsid w:val="007B4BFB"/>
    <w:rsid w:val="007B4F58"/>
    <w:rsid w:val="007B528D"/>
    <w:rsid w:val="007B63CA"/>
    <w:rsid w:val="007B7350"/>
    <w:rsid w:val="007B748F"/>
    <w:rsid w:val="007B7628"/>
    <w:rsid w:val="007B77D1"/>
    <w:rsid w:val="007C02A7"/>
    <w:rsid w:val="007C07C7"/>
    <w:rsid w:val="007C147B"/>
    <w:rsid w:val="007C1BBD"/>
    <w:rsid w:val="007C1CD9"/>
    <w:rsid w:val="007C1EF0"/>
    <w:rsid w:val="007C32EF"/>
    <w:rsid w:val="007C361D"/>
    <w:rsid w:val="007C389C"/>
    <w:rsid w:val="007C432E"/>
    <w:rsid w:val="007C4B84"/>
    <w:rsid w:val="007C70FF"/>
    <w:rsid w:val="007C7686"/>
    <w:rsid w:val="007C76DF"/>
    <w:rsid w:val="007C7C25"/>
    <w:rsid w:val="007C7D0E"/>
    <w:rsid w:val="007D004F"/>
    <w:rsid w:val="007D0B38"/>
    <w:rsid w:val="007D5440"/>
    <w:rsid w:val="007D5657"/>
    <w:rsid w:val="007D66A6"/>
    <w:rsid w:val="007D69EB"/>
    <w:rsid w:val="007D719A"/>
    <w:rsid w:val="007E0C2D"/>
    <w:rsid w:val="007E0E97"/>
    <w:rsid w:val="007E0FCE"/>
    <w:rsid w:val="007E128F"/>
    <w:rsid w:val="007E2F9F"/>
    <w:rsid w:val="007E3CB9"/>
    <w:rsid w:val="007E44C7"/>
    <w:rsid w:val="007E492C"/>
    <w:rsid w:val="007E569C"/>
    <w:rsid w:val="007F1017"/>
    <w:rsid w:val="007F321E"/>
    <w:rsid w:val="007F3903"/>
    <w:rsid w:val="007F4A3F"/>
    <w:rsid w:val="007F4A61"/>
    <w:rsid w:val="007F4EE4"/>
    <w:rsid w:val="007F5255"/>
    <w:rsid w:val="007F56CC"/>
    <w:rsid w:val="007F61C2"/>
    <w:rsid w:val="007F6916"/>
    <w:rsid w:val="007F6DDA"/>
    <w:rsid w:val="007F799B"/>
    <w:rsid w:val="007F7C7A"/>
    <w:rsid w:val="00802047"/>
    <w:rsid w:val="00805142"/>
    <w:rsid w:val="00805FCE"/>
    <w:rsid w:val="00807A8B"/>
    <w:rsid w:val="00810C8F"/>
    <w:rsid w:val="00811383"/>
    <w:rsid w:val="00811A39"/>
    <w:rsid w:val="00812149"/>
    <w:rsid w:val="00812840"/>
    <w:rsid w:val="00812CAC"/>
    <w:rsid w:val="00814D84"/>
    <w:rsid w:val="008154CC"/>
    <w:rsid w:val="00815B53"/>
    <w:rsid w:val="00816361"/>
    <w:rsid w:val="008166EF"/>
    <w:rsid w:val="00816FEF"/>
    <w:rsid w:val="00817549"/>
    <w:rsid w:val="0081757D"/>
    <w:rsid w:val="00817D7D"/>
    <w:rsid w:val="00820A8C"/>
    <w:rsid w:val="008215FB"/>
    <w:rsid w:val="00823174"/>
    <w:rsid w:val="00823344"/>
    <w:rsid w:val="00825751"/>
    <w:rsid w:val="00825AA2"/>
    <w:rsid w:val="00826496"/>
    <w:rsid w:val="008264EB"/>
    <w:rsid w:val="00827B08"/>
    <w:rsid w:val="00832C71"/>
    <w:rsid w:val="0083363F"/>
    <w:rsid w:val="00833B05"/>
    <w:rsid w:val="008346C1"/>
    <w:rsid w:val="008362B4"/>
    <w:rsid w:val="00840A12"/>
    <w:rsid w:val="00840CA2"/>
    <w:rsid w:val="00841029"/>
    <w:rsid w:val="008412DA"/>
    <w:rsid w:val="0084157B"/>
    <w:rsid w:val="0084313A"/>
    <w:rsid w:val="0084374F"/>
    <w:rsid w:val="00844A22"/>
    <w:rsid w:val="00845088"/>
    <w:rsid w:val="00845DEF"/>
    <w:rsid w:val="00846122"/>
    <w:rsid w:val="00847703"/>
    <w:rsid w:val="00847D1E"/>
    <w:rsid w:val="00847DF5"/>
    <w:rsid w:val="0085091A"/>
    <w:rsid w:val="00850A5B"/>
    <w:rsid w:val="008513F3"/>
    <w:rsid w:val="00851893"/>
    <w:rsid w:val="00851F31"/>
    <w:rsid w:val="0085309D"/>
    <w:rsid w:val="00853598"/>
    <w:rsid w:val="00854021"/>
    <w:rsid w:val="0085508F"/>
    <w:rsid w:val="0085517A"/>
    <w:rsid w:val="0085551D"/>
    <w:rsid w:val="00856897"/>
    <w:rsid w:val="00856E9A"/>
    <w:rsid w:val="00857B52"/>
    <w:rsid w:val="00857F99"/>
    <w:rsid w:val="0086017E"/>
    <w:rsid w:val="0086075D"/>
    <w:rsid w:val="0086175F"/>
    <w:rsid w:val="00861ABE"/>
    <w:rsid w:val="00861B1D"/>
    <w:rsid w:val="008621F4"/>
    <w:rsid w:val="00862502"/>
    <w:rsid w:val="00862CC1"/>
    <w:rsid w:val="00863036"/>
    <w:rsid w:val="008633FC"/>
    <w:rsid w:val="0086569B"/>
    <w:rsid w:val="0086590D"/>
    <w:rsid w:val="008659F6"/>
    <w:rsid w:val="008660D4"/>
    <w:rsid w:val="00866693"/>
    <w:rsid w:val="008667BD"/>
    <w:rsid w:val="00866C97"/>
    <w:rsid w:val="00867BA0"/>
    <w:rsid w:val="008710E1"/>
    <w:rsid w:val="00871FA9"/>
    <w:rsid w:val="0087202B"/>
    <w:rsid w:val="008728E9"/>
    <w:rsid w:val="00877144"/>
    <w:rsid w:val="008772F7"/>
    <w:rsid w:val="008778D0"/>
    <w:rsid w:val="00880043"/>
    <w:rsid w:val="00882437"/>
    <w:rsid w:val="00882874"/>
    <w:rsid w:val="00882B3A"/>
    <w:rsid w:val="00882DB8"/>
    <w:rsid w:val="00882E3C"/>
    <w:rsid w:val="00883787"/>
    <w:rsid w:val="008855E4"/>
    <w:rsid w:val="008856CA"/>
    <w:rsid w:val="00886CD2"/>
    <w:rsid w:val="008915AA"/>
    <w:rsid w:val="00891E6F"/>
    <w:rsid w:val="0089275D"/>
    <w:rsid w:val="00892A36"/>
    <w:rsid w:val="00893239"/>
    <w:rsid w:val="0089421A"/>
    <w:rsid w:val="00894489"/>
    <w:rsid w:val="00894752"/>
    <w:rsid w:val="00895956"/>
    <w:rsid w:val="008963A5"/>
    <w:rsid w:val="00896D5D"/>
    <w:rsid w:val="008975F4"/>
    <w:rsid w:val="00897FB6"/>
    <w:rsid w:val="008A16E1"/>
    <w:rsid w:val="008A2395"/>
    <w:rsid w:val="008A271D"/>
    <w:rsid w:val="008A3363"/>
    <w:rsid w:val="008A3371"/>
    <w:rsid w:val="008A3C3E"/>
    <w:rsid w:val="008A56A0"/>
    <w:rsid w:val="008A79DE"/>
    <w:rsid w:val="008B1757"/>
    <w:rsid w:val="008B25FD"/>
    <w:rsid w:val="008B2A5C"/>
    <w:rsid w:val="008B5FA6"/>
    <w:rsid w:val="008B64BC"/>
    <w:rsid w:val="008B6E5E"/>
    <w:rsid w:val="008B7992"/>
    <w:rsid w:val="008B7D7E"/>
    <w:rsid w:val="008C02AB"/>
    <w:rsid w:val="008C1528"/>
    <w:rsid w:val="008C431C"/>
    <w:rsid w:val="008C5183"/>
    <w:rsid w:val="008C5610"/>
    <w:rsid w:val="008C5739"/>
    <w:rsid w:val="008C5CEF"/>
    <w:rsid w:val="008C5FFC"/>
    <w:rsid w:val="008C6560"/>
    <w:rsid w:val="008C6A13"/>
    <w:rsid w:val="008C6B24"/>
    <w:rsid w:val="008C7C5F"/>
    <w:rsid w:val="008C7ECB"/>
    <w:rsid w:val="008D026A"/>
    <w:rsid w:val="008D16D1"/>
    <w:rsid w:val="008D3B86"/>
    <w:rsid w:val="008D4755"/>
    <w:rsid w:val="008D4C3D"/>
    <w:rsid w:val="008D6D65"/>
    <w:rsid w:val="008D743C"/>
    <w:rsid w:val="008D784C"/>
    <w:rsid w:val="008E0D3C"/>
    <w:rsid w:val="008E15D1"/>
    <w:rsid w:val="008E1B9E"/>
    <w:rsid w:val="008E21D1"/>
    <w:rsid w:val="008E55AB"/>
    <w:rsid w:val="008E5662"/>
    <w:rsid w:val="008E605D"/>
    <w:rsid w:val="008E77DE"/>
    <w:rsid w:val="008E7DCD"/>
    <w:rsid w:val="008F00D0"/>
    <w:rsid w:val="008F120A"/>
    <w:rsid w:val="008F2053"/>
    <w:rsid w:val="008F2766"/>
    <w:rsid w:val="008F27E0"/>
    <w:rsid w:val="008F48EB"/>
    <w:rsid w:val="008F4F0B"/>
    <w:rsid w:val="008F54F5"/>
    <w:rsid w:val="008F745A"/>
    <w:rsid w:val="009016B3"/>
    <w:rsid w:val="0090250F"/>
    <w:rsid w:val="00903207"/>
    <w:rsid w:val="00903A86"/>
    <w:rsid w:val="0090429C"/>
    <w:rsid w:val="009046C4"/>
    <w:rsid w:val="00905E84"/>
    <w:rsid w:val="009062A5"/>
    <w:rsid w:val="009066D7"/>
    <w:rsid w:val="009107C2"/>
    <w:rsid w:val="00910FA7"/>
    <w:rsid w:val="00911272"/>
    <w:rsid w:val="00911DA4"/>
    <w:rsid w:val="0091278D"/>
    <w:rsid w:val="009131EC"/>
    <w:rsid w:val="009135D6"/>
    <w:rsid w:val="00913BEA"/>
    <w:rsid w:val="00914C77"/>
    <w:rsid w:val="00915881"/>
    <w:rsid w:val="0091706C"/>
    <w:rsid w:val="00917F74"/>
    <w:rsid w:val="00921ACB"/>
    <w:rsid w:val="00921FEC"/>
    <w:rsid w:val="009220BD"/>
    <w:rsid w:val="009229A0"/>
    <w:rsid w:val="0092369B"/>
    <w:rsid w:val="00924353"/>
    <w:rsid w:val="00924DFB"/>
    <w:rsid w:val="009250E8"/>
    <w:rsid w:val="0093077B"/>
    <w:rsid w:val="00930989"/>
    <w:rsid w:val="009318CF"/>
    <w:rsid w:val="009329D0"/>
    <w:rsid w:val="00933037"/>
    <w:rsid w:val="0093486D"/>
    <w:rsid w:val="00934988"/>
    <w:rsid w:val="00935BA5"/>
    <w:rsid w:val="00936EFD"/>
    <w:rsid w:val="00937089"/>
    <w:rsid w:val="00937401"/>
    <w:rsid w:val="00937ED1"/>
    <w:rsid w:val="00940A1C"/>
    <w:rsid w:val="0094104B"/>
    <w:rsid w:val="0094127F"/>
    <w:rsid w:val="00941F8A"/>
    <w:rsid w:val="0094301C"/>
    <w:rsid w:val="00943F72"/>
    <w:rsid w:val="00944614"/>
    <w:rsid w:val="00944F8A"/>
    <w:rsid w:val="00945276"/>
    <w:rsid w:val="00946741"/>
    <w:rsid w:val="00950084"/>
    <w:rsid w:val="009510A2"/>
    <w:rsid w:val="009513E0"/>
    <w:rsid w:val="00952392"/>
    <w:rsid w:val="00953257"/>
    <w:rsid w:val="00953C79"/>
    <w:rsid w:val="0095474C"/>
    <w:rsid w:val="009551B6"/>
    <w:rsid w:val="00956231"/>
    <w:rsid w:val="0095674E"/>
    <w:rsid w:val="00957E5D"/>
    <w:rsid w:val="00961C13"/>
    <w:rsid w:val="00962CB9"/>
    <w:rsid w:val="00964312"/>
    <w:rsid w:val="00965B8A"/>
    <w:rsid w:val="00965EB4"/>
    <w:rsid w:val="00967C31"/>
    <w:rsid w:val="0097071F"/>
    <w:rsid w:val="009717AC"/>
    <w:rsid w:val="00972320"/>
    <w:rsid w:val="00972C28"/>
    <w:rsid w:val="00972D2D"/>
    <w:rsid w:val="009751C1"/>
    <w:rsid w:val="00976C24"/>
    <w:rsid w:val="009811F1"/>
    <w:rsid w:val="00981A3E"/>
    <w:rsid w:val="009823E6"/>
    <w:rsid w:val="00983E57"/>
    <w:rsid w:val="00984E8F"/>
    <w:rsid w:val="00985320"/>
    <w:rsid w:val="00985DE2"/>
    <w:rsid w:val="0098621C"/>
    <w:rsid w:val="0098675D"/>
    <w:rsid w:val="00987B51"/>
    <w:rsid w:val="0099036C"/>
    <w:rsid w:val="00990516"/>
    <w:rsid w:val="009908CD"/>
    <w:rsid w:val="009910CD"/>
    <w:rsid w:val="009923D5"/>
    <w:rsid w:val="009926E0"/>
    <w:rsid w:val="0099451E"/>
    <w:rsid w:val="00994F90"/>
    <w:rsid w:val="00995D02"/>
    <w:rsid w:val="009961C1"/>
    <w:rsid w:val="00996B1A"/>
    <w:rsid w:val="009A2632"/>
    <w:rsid w:val="009A2BCE"/>
    <w:rsid w:val="009A2DCC"/>
    <w:rsid w:val="009A30CB"/>
    <w:rsid w:val="009A389D"/>
    <w:rsid w:val="009A5ABC"/>
    <w:rsid w:val="009A7370"/>
    <w:rsid w:val="009A7F10"/>
    <w:rsid w:val="009A7F2C"/>
    <w:rsid w:val="009B05C8"/>
    <w:rsid w:val="009B2FAB"/>
    <w:rsid w:val="009B3E26"/>
    <w:rsid w:val="009B4156"/>
    <w:rsid w:val="009B73DF"/>
    <w:rsid w:val="009C1DE6"/>
    <w:rsid w:val="009C3706"/>
    <w:rsid w:val="009C3A3A"/>
    <w:rsid w:val="009C48EC"/>
    <w:rsid w:val="009C4979"/>
    <w:rsid w:val="009C50B9"/>
    <w:rsid w:val="009C58E7"/>
    <w:rsid w:val="009C5D30"/>
    <w:rsid w:val="009C60A5"/>
    <w:rsid w:val="009C6CEA"/>
    <w:rsid w:val="009C7B85"/>
    <w:rsid w:val="009D0254"/>
    <w:rsid w:val="009D0277"/>
    <w:rsid w:val="009D0651"/>
    <w:rsid w:val="009D07C3"/>
    <w:rsid w:val="009D1A64"/>
    <w:rsid w:val="009D2D5C"/>
    <w:rsid w:val="009D3472"/>
    <w:rsid w:val="009D44A9"/>
    <w:rsid w:val="009D4E1D"/>
    <w:rsid w:val="009D5B91"/>
    <w:rsid w:val="009D792E"/>
    <w:rsid w:val="009E0DFE"/>
    <w:rsid w:val="009E0E71"/>
    <w:rsid w:val="009E1F4E"/>
    <w:rsid w:val="009E242F"/>
    <w:rsid w:val="009E265B"/>
    <w:rsid w:val="009E2C0B"/>
    <w:rsid w:val="009E31F6"/>
    <w:rsid w:val="009E3892"/>
    <w:rsid w:val="009E477E"/>
    <w:rsid w:val="009E4C07"/>
    <w:rsid w:val="009E6A88"/>
    <w:rsid w:val="009E729E"/>
    <w:rsid w:val="009E7682"/>
    <w:rsid w:val="009E7B7B"/>
    <w:rsid w:val="009F05BE"/>
    <w:rsid w:val="009F08A7"/>
    <w:rsid w:val="009F10D8"/>
    <w:rsid w:val="009F2993"/>
    <w:rsid w:val="009F32AF"/>
    <w:rsid w:val="009F3C76"/>
    <w:rsid w:val="009F4FC7"/>
    <w:rsid w:val="009F6578"/>
    <w:rsid w:val="009F6946"/>
    <w:rsid w:val="009F7D7D"/>
    <w:rsid w:val="00A01184"/>
    <w:rsid w:val="00A019E2"/>
    <w:rsid w:val="00A01B44"/>
    <w:rsid w:val="00A02EED"/>
    <w:rsid w:val="00A036C1"/>
    <w:rsid w:val="00A037C2"/>
    <w:rsid w:val="00A03D2C"/>
    <w:rsid w:val="00A03D43"/>
    <w:rsid w:val="00A04380"/>
    <w:rsid w:val="00A05472"/>
    <w:rsid w:val="00A05C32"/>
    <w:rsid w:val="00A05DDD"/>
    <w:rsid w:val="00A0653F"/>
    <w:rsid w:val="00A069D8"/>
    <w:rsid w:val="00A06F35"/>
    <w:rsid w:val="00A1090D"/>
    <w:rsid w:val="00A115D0"/>
    <w:rsid w:val="00A11CD0"/>
    <w:rsid w:val="00A12A0F"/>
    <w:rsid w:val="00A13328"/>
    <w:rsid w:val="00A13948"/>
    <w:rsid w:val="00A1435D"/>
    <w:rsid w:val="00A145AC"/>
    <w:rsid w:val="00A1555B"/>
    <w:rsid w:val="00A155C5"/>
    <w:rsid w:val="00A15F0D"/>
    <w:rsid w:val="00A16935"/>
    <w:rsid w:val="00A16AD8"/>
    <w:rsid w:val="00A16AFF"/>
    <w:rsid w:val="00A171C0"/>
    <w:rsid w:val="00A17573"/>
    <w:rsid w:val="00A21C95"/>
    <w:rsid w:val="00A21CF3"/>
    <w:rsid w:val="00A2203B"/>
    <w:rsid w:val="00A245D8"/>
    <w:rsid w:val="00A24813"/>
    <w:rsid w:val="00A25AC2"/>
    <w:rsid w:val="00A26458"/>
    <w:rsid w:val="00A2650A"/>
    <w:rsid w:val="00A2696A"/>
    <w:rsid w:val="00A26EE8"/>
    <w:rsid w:val="00A278F1"/>
    <w:rsid w:val="00A27AEC"/>
    <w:rsid w:val="00A313A8"/>
    <w:rsid w:val="00A313CB"/>
    <w:rsid w:val="00A320A8"/>
    <w:rsid w:val="00A320DB"/>
    <w:rsid w:val="00A35D16"/>
    <w:rsid w:val="00A36BBF"/>
    <w:rsid w:val="00A36D6F"/>
    <w:rsid w:val="00A37BCD"/>
    <w:rsid w:val="00A400D6"/>
    <w:rsid w:val="00A41689"/>
    <w:rsid w:val="00A42592"/>
    <w:rsid w:val="00A4359C"/>
    <w:rsid w:val="00A43A0C"/>
    <w:rsid w:val="00A43C59"/>
    <w:rsid w:val="00A452F1"/>
    <w:rsid w:val="00A454ED"/>
    <w:rsid w:val="00A47116"/>
    <w:rsid w:val="00A50ECD"/>
    <w:rsid w:val="00A518F3"/>
    <w:rsid w:val="00A51A72"/>
    <w:rsid w:val="00A51E46"/>
    <w:rsid w:val="00A52729"/>
    <w:rsid w:val="00A52987"/>
    <w:rsid w:val="00A53675"/>
    <w:rsid w:val="00A5501E"/>
    <w:rsid w:val="00A5638A"/>
    <w:rsid w:val="00A564D7"/>
    <w:rsid w:val="00A56B34"/>
    <w:rsid w:val="00A56B6A"/>
    <w:rsid w:val="00A578DC"/>
    <w:rsid w:val="00A57CAF"/>
    <w:rsid w:val="00A6197E"/>
    <w:rsid w:val="00A61CBF"/>
    <w:rsid w:val="00A62F39"/>
    <w:rsid w:val="00A6376E"/>
    <w:rsid w:val="00A640E2"/>
    <w:rsid w:val="00A64D65"/>
    <w:rsid w:val="00A653EA"/>
    <w:rsid w:val="00A65B5E"/>
    <w:rsid w:val="00A65FBC"/>
    <w:rsid w:val="00A663CA"/>
    <w:rsid w:val="00A67075"/>
    <w:rsid w:val="00A6725B"/>
    <w:rsid w:val="00A6736F"/>
    <w:rsid w:val="00A6767E"/>
    <w:rsid w:val="00A70605"/>
    <w:rsid w:val="00A724CA"/>
    <w:rsid w:val="00A72623"/>
    <w:rsid w:val="00A72AA7"/>
    <w:rsid w:val="00A73134"/>
    <w:rsid w:val="00A73571"/>
    <w:rsid w:val="00A74271"/>
    <w:rsid w:val="00A7554B"/>
    <w:rsid w:val="00A76001"/>
    <w:rsid w:val="00A777B2"/>
    <w:rsid w:val="00A80D67"/>
    <w:rsid w:val="00A80E8A"/>
    <w:rsid w:val="00A81428"/>
    <w:rsid w:val="00A81DE7"/>
    <w:rsid w:val="00A822F8"/>
    <w:rsid w:val="00A82515"/>
    <w:rsid w:val="00A82521"/>
    <w:rsid w:val="00A825D4"/>
    <w:rsid w:val="00A828F6"/>
    <w:rsid w:val="00A82B73"/>
    <w:rsid w:val="00A86E8B"/>
    <w:rsid w:val="00A87164"/>
    <w:rsid w:val="00A90D3A"/>
    <w:rsid w:val="00A93072"/>
    <w:rsid w:val="00A938BD"/>
    <w:rsid w:val="00A93953"/>
    <w:rsid w:val="00A939C2"/>
    <w:rsid w:val="00A93E4D"/>
    <w:rsid w:val="00A9461E"/>
    <w:rsid w:val="00A947E4"/>
    <w:rsid w:val="00A959D8"/>
    <w:rsid w:val="00AA113D"/>
    <w:rsid w:val="00AA330B"/>
    <w:rsid w:val="00AA37EB"/>
    <w:rsid w:val="00AA6B40"/>
    <w:rsid w:val="00AA6BD5"/>
    <w:rsid w:val="00AA6BD8"/>
    <w:rsid w:val="00AA6C7D"/>
    <w:rsid w:val="00AA6E16"/>
    <w:rsid w:val="00AA7FD6"/>
    <w:rsid w:val="00AB042A"/>
    <w:rsid w:val="00AB1489"/>
    <w:rsid w:val="00AB19EF"/>
    <w:rsid w:val="00AB1F88"/>
    <w:rsid w:val="00AB2D34"/>
    <w:rsid w:val="00AB3430"/>
    <w:rsid w:val="00AB37B9"/>
    <w:rsid w:val="00AB40F0"/>
    <w:rsid w:val="00AB4AD1"/>
    <w:rsid w:val="00AB52C2"/>
    <w:rsid w:val="00AB5E07"/>
    <w:rsid w:val="00AB5FD4"/>
    <w:rsid w:val="00AB6C41"/>
    <w:rsid w:val="00AB7CFA"/>
    <w:rsid w:val="00AC0309"/>
    <w:rsid w:val="00AC207F"/>
    <w:rsid w:val="00AC5B48"/>
    <w:rsid w:val="00AC706A"/>
    <w:rsid w:val="00AC76EF"/>
    <w:rsid w:val="00AC7932"/>
    <w:rsid w:val="00AD1450"/>
    <w:rsid w:val="00AD173D"/>
    <w:rsid w:val="00AD2E26"/>
    <w:rsid w:val="00AD3286"/>
    <w:rsid w:val="00AD42CA"/>
    <w:rsid w:val="00AD4C13"/>
    <w:rsid w:val="00AD5669"/>
    <w:rsid w:val="00AD6502"/>
    <w:rsid w:val="00AD6CD8"/>
    <w:rsid w:val="00AD7549"/>
    <w:rsid w:val="00AD7C4A"/>
    <w:rsid w:val="00AE0695"/>
    <w:rsid w:val="00AE10C7"/>
    <w:rsid w:val="00AE279B"/>
    <w:rsid w:val="00AE3C9F"/>
    <w:rsid w:val="00AE3E7E"/>
    <w:rsid w:val="00AE49F7"/>
    <w:rsid w:val="00AE73C2"/>
    <w:rsid w:val="00AF02B5"/>
    <w:rsid w:val="00AF1315"/>
    <w:rsid w:val="00AF19BF"/>
    <w:rsid w:val="00AF225A"/>
    <w:rsid w:val="00AF2345"/>
    <w:rsid w:val="00AF2DC3"/>
    <w:rsid w:val="00AF33D6"/>
    <w:rsid w:val="00AF37AC"/>
    <w:rsid w:val="00AF5C9D"/>
    <w:rsid w:val="00AF6D68"/>
    <w:rsid w:val="00B002B1"/>
    <w:rsid w:val="00B002B5"/>
    <w:rsid w:val="00B01FBB"/>
    <w:rsid w:val="00B033E5"/>
    <w:rsid w:val="00B03A63"/>
    <w:rsid w:val="00B03B12"/>
    <w:rsid w:val="00B0664E"/>
    <w:rsid w:val="00B074C0"/>
    <w:rsid w:val="00B10A56"/>
    <w:rsid w:val="00B11645"/>
    <w:rsid w:val="00B11A5B"/>
    <w:rsid w:val="00B1320D"/>
    <w:rsid w:val="00B132AE"/>
    <w:rsid w:val="00B13C43"/>
    <w:rsid w:val="00B17194"/>
    <w:rsid w:val="00B17254"/>
    <w:rsid w:val="00B2010C"/>
    <w:rsid w:val="00B201A4"/>
    <w:rsid w:val="00B201D1"/>
    <w:rsid w:val="00B213A6"/>
    <w:rsid w:val="00B22202"/>
    <w:rsid w:val="00B23486"/>
    <w:rsid w:val="00B235B0"/>
    <w:rsid w:val="00B2433B"/>
    <w:rsid w:val="00B24DF6"/>
    <w:rsid w:val="00B251C5"/>
    <w:rsid w:val="00B25B32"/>
    <w:rsid w:val="00B3220B"/>
    <w:rsid w:val="00B337D1"/>
    <w:rsid w:val="00B339E9"/>
    <w:rsid w:val="00B34760"/>
    <w:rsid w:val="00B34FE2"/>
    <w:rsid w:val="00B35166"/>
    <w:rsid w:val="00B351BB"/>
    <w:rsid w:val="00B357D8"/>
    <w:rsid w:val="00B35860"/>
    <w:rsid w:val="00B360F4"/>
    <w:rsid w:val="00B369D1"/>
    <w:rsid w:val="00B36A00"/>
    <w:rsid w:val="00B36FB4"/>
    <w:rsid w:val="00B37BFC"/>
    <w:rsid w:val="00B40358"/>
    <w:rsid w:val="00B4071E"/>
    <w:rsid w:val="00B41614"/>
    <w:rsid w:val="00B42851"/>
    <w:rsid w:val="00B42F80"/>
    <w:rsid w:val="00B435CB"/>
    <w:rsid w:val="00B44189"/>
    <w:rsid w:val="00B46129"/>
    <w:rsid w:val="00B505C8"/>
    <w:rsid w:val="00B50DB8"/>
    <w:rsid w:val="00B51D72"/>
    <w:rsid w:val="00B52264"/>
    <w:rsid w:val="00B53654"/>
    <w:rsid w:val="00B53725"/>
    <w:rsid w:val="00B5382D"/>
    <w:rsid w:val="00B53905"/>
    <w:rsid w:val="00B54B5B"/>
    <w:rsid w:val="00B5562E"/>
    <w:rsid w:val="00B5596D"/>
    <w:rsid w:val="00B55D65"/>
    <w:rsid w:val="00B57000"/>
    <w:rsid w:val="00B57BA9"/>
    <w:rsid w:val="00B60939"/>
    <w:rsid w:val="00B60AFD"/>
    <w:rsid w:val="00B610D2"/>
    <w:rsid w:val="00B6166E"/>
    <w:rsid w:val="00B62435"/>
    <w:rsid w:val="00B62715"/>
    <w:rsid w:val="00B632B8"/>
    <w:rsid w:val="00B64923"/>
    <w:rsid w:val="00B65611"/>
    <w:rsid w:val="00B663D2"/>
    <w:rsid w:val="00B70A04"/>
    <w:rsid w:val="00B70E8E"/>
    <w:rsid w:val="00B717E9"/>
    <w:rsid w:val="00B74C64"/>
    <w:rsid w:val="00B75E48"/>
    <w:rsid w:val="00B76C92"/>
    <w:rsid w:val="00B778B9"/>
    <w:rsid w:val="00B8015C"/>
    <w:rsid w:val="00B80C63"/>
    <w:rsid w:val="00B8107B"/>
    <w:rsid w:val="00B818A4"/>
    <w:rsid w:val="00B827C9"/>
    <w:rsid w:val="00B84117"/>
    <w:rsid w:val="00B8422A"/>
    <w:rsid w:val="00B85370"/>
    <w:rsid w:val="00B854BA"/>
    <w:rsid w:val="00B858F0"/>
    <w:rsid w:val="00B85AA2"/>
    <w:rsid w:val="00B8649C"/>
    <w:rsid w:val="00B8695D"/>
    <w:rsid w:val="00B8730E"/>
    <w:rsid w:val="00B87F0A"/>
    <w:rsid w:val="00B91440"/>
    <w:rsid w:val="00B91586"/>
    <w:rsid w:val="00B9167F"/>
    <w:rsid w:val="00B92D0B"/>
    <w:rsid w:val="00B93046"/>
    <w:rsid w:val="00B94160"/>
    <w:rsid w:val="00B94945"/>
    <w:rsid w:val="00B94DD6"/>
    <w:rsid w:val="00BA011A"/>
    <w:rsid w:val="00BA083F"/>
    <w:rsid w:val="00BA0AC0"/>
    <w:rsid w:val="00BA226A"/>
    <w:rsid w:val="00BA322D"/>
    <w:rsid w:val="00BA32B6"/>
    <w:rsid w:val="00BA3724"/>
    <w:rsid w:val="00BA626E"/>
    <w:rsid w:val="00BA63FA"/>
    <w:rsid w:val="00BA651A"/>
    <w:rsid w:val="00BB00B3"/>
    <w:rsid w:val="00BB07BE"/>
    <w:rsid w:val="00BB0BDD"/>
    <w:rsid w:val="00BB176C"/>
    <w:rsid w:val="00BB2A73"/>
    <w:rsid w:val="00BB3A45"/>
    <w:rsid w:val="00BB4488"/>
    <w:rsid w:val="00BB4ACC"/>
    <w:rsid w:val="00BB538B"/>
    <w:rsid w:val="00BB703E"/>
    <w:rsid w:val="00BB7090"/>
    <w:rsid w:val="00BB732D"/>
    <w:rsid w:val="00BB7405"/>
    <w:rsid w:val="00BC17C8"/>
    <w:rsid w:val="00BC3420"/>
    <w:rsid w:val="00BC3631"/>
    <w:rsid w:val="00BC591F"/>
    <w:rsid w:val="00BC79F1"/>
    <w:rsid w:val="00BC7A7A"/>
    <w:rsid w:val="00BC7D43"/>
    <w:rsid w:val="00BC7D6D"/>
    <w:rsid w:val="00BD053E"/>
    <w:rsid w:val="00BD072F"/>
    <w:rsid w:val="00BD2108"/>
    <w:rsid w:val="00BD2AF3"/>
    <w:rsid w:val="00BD40E7"/>
    <w:rsid w:val="00BD466D"/>
    <w:rsid w:val="00BD68A3"/>
    <w:rsid w:val="00BD6938"/>
    <w:rsid w:val="00BD6CF3"/>
    <w:rsid w:val="00BE0ECA"/>
    <w:rsid w:val="00BE0F91"/>
    <w:rsid w:val="00BE1293"/>
    <w:rsid w:val="00BE12C4"/>
    <w:rsid w:val="00BE16A8"/>
    <w:rsid w:val="00BE2180"/>
    <w:rsid w:val="00BE21F2"/>
    <w:rsid w:val="00BE237F"/>
    <w:rsid w:val="00BE4275"/>
    <w:rsid w:val="00BE4FFD"/>
    <w:rsid w:val="00BE61E1"/>
    <w:rsid w:val="00BE6A0D"/>
    <w:rsid w:val="00BE6FBD"/>
    <w:rsid w:val="00BE7CAB"/>
    <w:rsid w:val="00BF06AE"/>
    <w:rsid w:val="00BF0F95"/>
    <w:rsid w:val="00BF2433"/>
    <w:rsid w:val="00BF27BD"/>
    <w:rsid w:val="00BF4226"/>
    <w:rsid w:val="00BF4415"/>
    <w:rsid w:val="00BF50C8"/>
    <w:rsid w:val="00BF5CCB"/>
    <w:rsid w:val="00BF61C9"/>
    <w:rsid w:val="00BF6308"/>
    <w:rsid w:val="00BF6C94"/>
    <w:rsid w:val="00C0017E"/>
    <w:rsid w:val="00C00424"/>
    <w:rsid w:val="00C02608"/>
    <w:rsid w:val="00C03236"/>
    <w:rsid w:val="00C0345C"/>
    <w:rsid w:val="00C03899"/>
    <w:rsid w:val="00C05585"/>
    <w:rsid w:val="00C05EBA"/>
    <w:rsid w:val="00C07922"/>
    <w:rsid w:val="00C07948"/>
    <w:rsid w:val="00C104E3"/>
    <w:rsid w:val="00C10B8C"/>
    <w:rsid w:val="00C1179F"/>
    <w:rsid w:val="00C1249E"/>
    <w:rsid w:val="00C12C14"/>
    <w:rsid w:val="00C13537"/>
    <w:rsid w:val="00C1462E"/>
    <w:rsid w:val="00C14ACC"/>
    <w:rsid w:val="00C15664"/>
    <w:rsid w:val="00C15F04"/>
    <w:rsid w:val="00C17625"/>
    <w:rsid w:val="00C179B3"/>
    <w:rsid w:val="00C17E3F"/>
    <w:rsid w:val="00C200AA"/>
    <w:rsid w:val="00C20C8D"/>
    <w:rsid w:val="00C2114A"/>
    <w:rsid w:val="00C21576"/>
    <w:rsid w:val="00C219BC"/>
    <w:rsid w:val="00C230AE"/>
    <w:rsid w:val="00C237ED"/>
    <w:rsid w:val="00C243D0"/>
    <w:rsid w:val="00C24632"/>
    <w:rsid w:val="00C25418"/>
    <w:rsid w:val="00C2552B"/>
    <w:rsid w:val="00C25D9C"/>
    <w:rsid w:val="00C2778B"/>
    <w:rsid w:val="00C31649"/>
    <w:rsid w:val="00C31A7A"/>
    <w:rsid w:val="00C32444"/>
    <w:rsid w:val="00C328A9"/>
    <w:rsid w:val="00C33EF7"/>
    <w:rsid w:val="00C3434C"/>
    <w:rsid w:val="00C4031B"/>
    <w:rsid w:val="00C40385"/>
    <w:rsid w:val="00C41768"/>
    <w:rsid w:val="00C41C24"/>
    <w:rsid w:val="00C41CCD"/>
    <w:rsid w:val="00C42A7C"/>
    <w:rsid w:val="00C443DC"/>
    <w:rsid w:val="00C475AA"/>
    <w:rsid w:val="00C529BA"/>
    <w:rsid w:val="00C52D2C"/>
    <w:rsid w:val="00C53C98"/>
    <w:rsid w:val="00C54541"/>
    <w:rsid w:val="00C55BFC"/>
    <w:rsid w:val="00C567C4"/>
    <w:rsid w:val="00C56842"/>
    <w:rsid w:val="00C56FCF"/>
    <w:rsid w:val="00C57B6C"/>
    <w:rsid w:val="00C60596"/>
    <w:rsid w:val="00C60E83"/>
    <w:rsid w:val="00C611EC"/>
    <w:rsid w:val="00C628A6"/>
    <w:rsid w:val="00C632ED"/>
    <w:rsid w:val="00C64344"/>
    <w:rsid w:val="00C65108"/>
    <w:rsid w:val="00C65576"/>
    <w:rsid w:val="00C65DF5"/>
    <w:rsid w:val="00C66165"/>
    <w:rsid w:val="00C669A0"/>
    <w:rsid w:val="00C7060A"/>
    <w:rsid w:val="00C7151A"/>
    <w:rsid w:val="00C715B6"/>
    <w:rsid w:val="00C717E3"/>
    <w:rsid w:val="00C71F60"/>
    <w:rsid w:val="00C72241"/>
    <w:rsid w:val="00C73270"/>
    <w:rsid w:val="00C750C8"/>
    <w:rsid w:val="00C7560F"/>
    <w:rsid w:val="00C8094E"/>
    <w:rsid w:val="00C80A0E"/>
    <w:rsid w:val="00C81158"/>
    <w:rsid w:val="00C8213F"/>
    <w:rsid w:val="00C833EF"/>
    <w:rsid w:val="00C85154"/>
    <w:rsid w:val="00C85261"/>
    <w:rsid w:val="00C855B9"/>
    <w:rsid w:val="00C8797A"/>
    <w:rsid w:val="00C900B8"/>
    <w:rsid w:val="00C90C71"/>
    <w:rsid w:val="00C90D55"/>
    <w:rsid w:val="00C91FD1"/>
    <w:rsid w:val="00C931CF"/>
    <w:rsid w:val="00C93245"/>
    <w:rsid w:val="00C938CF"/>
    <w:rsid w:val="00C94053"/>
    <w:rsid w:val="00C948C7"/>
    <w:rsid w:val="00C94E36"/>
    <w:rsid w:val="00C9624D"/>
    <w:rsid w:val="00C969DA"/>
    <w:rsid w:val="00C975E4"/>
    <w:rsid w:val="00C9760D"/>
    <w:rsid w:val="00C97A82"/>
    <w:rsid w:val="00CA0564"/>
    <w:rsid w:val="00CA09EB"/>
    <w:rsid w:val="00CA0DCC"/>
    <w:rsid w:val="00CA2A8B"/>
    <w:rsid w:val="00CA2C77"/>
    <w:rsid w:val="00CA2EAC"/>
    <w:rsid w:val="00CA3FF6"/>
    <w:rsid w:val="00CA444F"/>
    <w:rsid w:val="00CA4688"/>
    <w:rsid w:val="00CA5245"/>
    <w:rsid w:val="00CA57A1"/>
    <w:rsid w:val="00CA703C"/>
    <w:rsid w:val="00CA71F4"/>
    <w:rsid w:val="00CA7B09"/>
    <w:rsid w:val="00CA7DCF"/>
    <w:rsid w:val="00CB116F"/>
    <w:rsid w:val="00CB12A5"/>
    <w:rsid w:val="00CB12D1"/>
    <w:rsid w:val="00CB1CAC"/>
    <w:rsid w:val="00CB2B5D"/>
    <w:rsid w:val="00CB2F2A"/>
    <w:rsid w:val="00CB3DAA"/>
    <w:rsid w:val="00CB3FE9"/>
    <w:rsid w:val="00CB5B1A"/>
    <w:rsid w:val="00CB5B55"/>
    <w:rsid w:val="00CB6B22"/>
    <w:rsid w:val="00CB7F5F"/>
    <w:rsid w:val="00CC0DCB"/>
    <w:rsid w:val="00CC1B39"/>
    <w:rsid w:val="00CC35EA"/>
    <w:rsid w:val="00CC3848"/>
    <w:rsid w:val="00CC6B09"/>
    <w:rsid w:val="00CD0C64"/>
    <w:rsid w:val="00CD152A"/>
    <w:rsid w:val="00CD240A"/>
    <w:rsid w:val="00CD299E"/>
    <w:rsid w:val="00CD3F77"/>
    <w:rsid w:val="00CD48CA"/>
    <w:rsid w:val="00CD6ADC"/>
    <w:rsid w:val="00CD7193"/>
    <w:rsid w:val="00CD7942"/>
    <w:rsid w:val="00CE100A"/>
    <w:rsid w:val="00CE15B4"/>
    <w:rsid w:val="00CE1EE1"/>
    <w:rsid w:val="00CE355A"/>
    <w:rsid w:val="00CE38C8"/>
    <w:rsid w:val="00CE53E1"/>
    <w:rsid w:val="00CE6274"/>
    <w:rsid w:val="00CE7700"/>
    <w:rsid w:val="00CE77B6"/>
    <w:rsid w:val="00CE7EDB"/>
    <w:rsid w:val="00CF20B4"/>
    <w:rsid w:val="00CF2B8D"/>
    <w:rsid w:val="00CF456B"/>
    <w:rsid w:val="00CF5728"/>
    <w:rsid w:val="00CF5A22"/>
    <w:rsid w:val="00CF5B6B"/>
    <w:rsid w:val="00CF6950"/>
    <w:rsid w:val="00CF6CDB"/>
    <w:rsid w:val="00CF7818"/>
    <w:rsid w:val="00D0073E"/>
    <w:rsid w:val="00D0262E"/>
    <w:rsid w:val="00D0530F"/>
    <w:rsid w:val="00D05D32"/>
    <w:rsid w:val="00D05E3D"/>
    <w:rsid w:val="00D06139"/>
    <w:rsid w:val="00D073F4"/>
    <w:rsid w:val="00D110BD"/>
    <w:rsid w:val="00D1151F"/>
    <w:rsid w:val="00D13153"/>
    <w:rsid w:val="00D13675"/>
    <w:rsid w:val="00D141E1"/>
    <w:rsid w:val="00D146C0"/>
    <w:rsid w:val="00D15314"/>
    <w:rsid w:val="00D15911"/>
    <w:rsid w:val="00D17789"/>
    <w:rsid w:val="00D17D6C"/>
    <w:rsid w:val="00D213D6"/>
    <w:rsid w:val="00D2155B"/>
    <w:rsid w:val="00D21802"/>
    <w:rsid w:val="00D22F0C"/>
    <w:rsid w:val="00D23D11"/>
    <w:rsid w:val="00D244B6"/>
    <w:rsid w:val="00D2577B"/>
    <w:rsid w:val="00D2754D"/>
    <w:rsid w:val="00D278D2"/>
    <w:rsid w:val="00D27B27"/>
    <w:rsid w:val="00D326B7"/>
    <w:rsid w:val="00D3285C"/>
    <w:rsid w:val="00D331FE"/>
    <w:rsid w:val="00D33BE9"/>
    <w:rsid w:val="00D33F93"/>
    <w:rsid w:val="00D341FA"/>
    <w:rsid w:val="00D357FF"/>
    <w:rsid w:val="00D37437"/>
    <w:rsid w:val="00D4036D"/>
    <w:rsid w:val="00D424C7"/>
    <w:rsid w:val="00D425DC"/>
    <w:rsid w:val="00D42BD7"/>
    <w:rsid w:val="00D437E0"/>
    <w:rsid w:val="00D43B2A"/>
    <w:rsid w:val="00D43D83"/>
    <w:rsid w:val="00D441C6"/>
    <w:rsid w:val="00D44876"/>
    <w:rsid w:val="00D455C6"/>
    <w:rsid w:val="00D455CF"/>
    <w:rsid w:val="00D473AC"/>
    <w:rsid w:val="00D47575"/>
    <w:rsid w:val="00D47668"/>
    <w:rsid w:val="00D47F3C"/>
    <w:rsid w:val="00D5243B"/>
    <w:rsid w:val="00D533EC"/>
    <w:rsid w:val="00D533FC"/>
    <w:rsid w:val="00D53907"/>
    <w:rsid w:val="00D53947"/>
    <w:rsid w:val="00D544EB"/>
    <w:rsid w:val="00D55738"/>
    <w:rsid w:val="00D56A95"/>
    <w:rsid w:val="00D60662"/>
    <w:rsid w:val="00D61DB9"/>
    <w:rsid w:val="00D62166"/>
    <w:rsid w:val="00D62619"/>
    <w:rsid w:val="00D62AA9"/>
    <w:rsid w:val="00D6332F"/>
    <w:rsid w:val="00D646F3"/>
    <w:rsid w:val="00D65092"/>
    <w:rsid w:val="00D67423"/>
    <w:rsid w:val="00D7033B"/>
    <w:rsid w:val="00D703D9"/>
    <w:rsid w:val="00D70F16"/>
    <w:rsid w:val="00D71D62"/>
    <w:rsid w:val="00D72F57"/>
    <w:rsid w:val="00D76A44"/>
    <w:rsid w:val="00D76FB1"/>
    <w:rsid w:val="00D7771E"/>
    <w:rsid w:val="00D8138D"/>
    <w:rsid w:val="00D815EF"/>
    <w:rsid w:val="00D8189E"/>
    <w:rsid w:val="00D81F26"/>
    <w:rsid w:val="00D844E0"/>
    <w:rsid w:val="00D86231"/>
    <w:rsid w:val="00D87949"/>
    <w:rsid w:val="00D91923"/>
    <w:rsid w:val="00D92116"/>
    <w:rsid w:val="00D92E52"/>
    <w:rsid w:val="00D93285"/>
    <w:rsid w:val="00D93753"/>
    <w:rsid w:val="00D9480F"/>
    <w:rsid w:val="00D97E00"/>
    <w:rsid w:val="00DA1E2E"/>
    <w:rsid w:val="00DA1EA0"/>
    <w:rsid w:val="00DA3167"/>
    <w:rsid w:val="00DA320C"/>
    <w:rsid w:val="00DA33CC"/>
    <w:rsid w:val="00DA4DC3"/>
    <w:rsid w:val="00DA65A0"/>
    <w:rsid w:val="00DA6684"/>
    <w:rsid w:val="00DA7565"/>
    <w:rsid w:val="00DA77A5"/>
    <w:rsid w:val="00DA78C3"/>
    <w:rsid w:val="00DB0D0C"/>
    <w:rsid w:val="00DB3DBF"/>
    <w:rsid w:val="00DB47D3"/>
    <w:rsid w:val="00DB484F"/>
    <w:rsid w:val="00DB4DC8"/>
    <w:rsid w:val="00DB672B"/>
    <w:rsid w:val="00DB7B44"/>
    <w:rsid w:val="00DC04F6"/>
    <w:rsid w:val="00DC0690"/>
    <w:rsid w:val="00DC1118"/>
    <w:rsid w:val="00DC1D65"/>
    <w:rsid w:val="00DC254A"/>
    <w:rsid w:val="00DC3C57"/>
    <w:rsid w:val="00DC43A8"/>
    <w:rsid w:val="00DC5501"/>
    <w:rsid w:val="00DC6B28"/>
    <w:rsid w:val="00DC6EDE"/>
    <w:rsid w:val="00DC7154"/>
    <w:rsid w:val="00DC7B2E"/>
    <w:rsid w:val="00DC7E8A"/>
    <w:rsid w:val="00DD0F78"/>
    <w:rsid w:val="00DD1004"/>
    <w:rsid w:val="00DD18BF"/>
    <w:rsid w:val="00DD1961"/>
    <w:rsid w:val="00DD273C"/>
    <w:rsid w:val="00DD3F28"/>
    <w:rsid w:val="00DD3F69"/>
    <w:rsid w:val="00DD4191"/>
    <w:rsid w:val="00DD4537"/>
    <w:rsid w:val="00DD4E15"/>
    <w:rsid w:val="00DD5738"/>
    <w:rsid w:val="00DE11D4"/>
    <w:rsid w:val="00DE16E5"/>
    <w:rsid w:val="00DE2304"/>
    <w:rsid w:val="00DE3138"/>
    <w:rsid w:val="00DE37F8"/>
    <w:rsid w:val="00DE3A76"/>
    <w:rsid w:val="00DE3FCA"/>
    <w:rsid w:val="00DE4FCB"/>
    <w:rsid w:val="00DE58FB"/>
    <w:rsid w:val="00DE5D07"/>
    <w:rsid w:val="00DE67A3"/>
    <w:rsid w:val="00DE72A7"/>
    <w:rsid w:val="00DE7832"/>
    <w:rsid w:val="00DF0DF8"/>
    <w:rsid w:val="00DF18FC"/>
    <w:rsid w:val="00DF1D3E"/>
    <w:rsid w:val="00DF23CF"/>
    <w:rsid w:val="00DF313E"/>
    <w:rsid w:val="00DF401F"/>
    <w:rsid w:val="00DF5D2B"/>
    <w:rsid w:val="00DF6532"/>
    <w:rsid w:val="00DF68AB"/>
    <w:rsid w:val="00DF70D7"/>
    <w:rsid w:val="00E00186"/>
    <w:rsid w:val="00E00E8E"/>
    <w:rsid w:val="00E01409"/>
    <w:rsid w:val="00E01E87"/>
    <w:rsid w:val="00E05630"/>
    <w:rsid w:val="00E0674B"/>
    <w:rsid w:val="00E06DBB"/>
    <w:rsid w:val="00E075F5"/>
    <w:rsid w:val="00E07E5E"/>
    <w:rsid w:val="00E07F96"/>
    <w:rsid w:val="00E10149"/>
    <w:rsid w:val="00E1094F"/>
    <w:rsid w:val="00E10B6C"/>
    <w:rsid w:val="00E11340"/>
    <w:rsid w:val="00E122A1"/>
    <w:rsid w:val="00E12AEF"/>
    <w:rsid w:val="00E12BDF"/>
    <w:rsid w:val="00E13438"/>
    <w:rsid w:val="00E13501"/>
    <w:rsid w:val="00E138E7"/>
    <w:rsid w:val="00E1460A"/>
    <w:rsid w:val="00E14AF4"/>
    <w:rsid w:val="00E1619F"/>
    <w:rsid w:val="00E16372"/>
    <w:rsid w:val="00E17404"/>
    <w:rsid w:val="00E17641"/>
    <w:rsid w:val="00E17C95"/>
    <w:rsid w:val="00E20432"/>
    <w:rsid w:val="00E20E4D"/>
    <w:rsid w:val="00E20ED6"/>
    <w:rsid w:val="00E21358"/>
    <w:rsid w:val="00E215C9"/>
    <w:rsid w:val="00E216DF"/>
    <w:rsid w:val="00E2249B"/>
    <w:rsid w:val="00E2273F"/>
    <w:rsid w:val="00E22A0D"/>
    <w:rsid w:val="00E231FF"/>
    <w:rsid w:val="00E23DC3"/>
    <w:rsid w:val="00E244F6"/>
    <w:rsid w:val="00E24654"/>
    <w:rsid w:val="00E26404"/>
    <w:rsid w:val="00E26A2F"/>
    <w:rsid w:val="00E26C27"/>
    <w:rsid w:val="00E26F9F"/>
    <w:rsid w:val="00E2742B"/>
    <w:rsid w:val="00E2746F"/>
    <w:rsid w:val="00E2771E"/>
    <w:rsid w:val="00E311EF"/>
    <w:rsid w:val="00E314D5"/>
    <w:rsid w:val="00E31632"/>
    <w:rsid w:val="00E32121"/>
    <w:rsid w:val="00E32180"/>
    <w:rsid w:val="00E33E28"/>
    <w:rsid w:val="00E3467A"/>
    <w:rsid w:val="00E34948"/>
    <w:rsid w:val="00E34FE6"/>
    <w:rsid w:val="00E36FA7"/>
    <w:rsid w:val="00E37569"/>
    <w:rsid w:val="00E401B2"/>
    <w:rsid w:val="00E40EE6"/>
    <w:rsid w:val="00E41E30"/>
    <w:rsid w:val="00E4217F"/>
    <w:rsid w:val="00E42F73"/>
    <w:rsid w:val="00E43D70"/>
    <w:rsid w:val="00E46290"/>
    <w:rsid w:val="00E466F3"/>
    <w:rsid w:val="00E47B2C"/>
    <w:rsid w:val="00E503D8"/>
    <w:rsid w:val="00E50659"/>
    <w:rsid w:val="00E50B04"/>
    <w:rsid w:val="00E51560"/>
    <w:rsid w:val="00E517DB"/>
    <w:rsid w:val="00E52140"/>
    <w:rsid w:val="00E526AE"/>
    <w:rsid w:val="00E53FC8"/>
    <w:rsid w:val="00E54347"/>
    <w:rsid w:val="00E5523B"/>
    <w:rsid w:val="00E55424"/>
    <w:rsid w:val="00E55915"/>
    <w:rsid w:val="00E55B6D"/>
    <w:rsid w:val="00E55BB5"/>
    <w:rsid w:val="00E563C3"/>
    <w:rsid w:val="00E5656B"/>
    <w:rsid w:val="00E56894"/>
    <w:rsid w:val="00E56EB4"/>
    <w:rsid w:val="00E57134"/>
    <w:rsid w:val="00E63445"/>
    <w:rsid w:val="00E65E79"/>
    <w:rsid w:val="00E6653C"/>
    <w:rsid w:val="00E66BA2"/>
    <w:rsid w:val="00E67416"/>
    <w:rsid w:val="00E67F9E"/>
    <w:rsid w:val="00E7075B"/>
    <w:rsid w:val="00E714D8"/>
    <w:rsid w:val="00E718B6"/>
    <w:rsid w:val="00E723BA"/>
    <w:rsid w:val="00E72547"/>
    <w:rsid w:val="00E72B0B"/>
    <w:rsid w:val="00E73581"/>
    <w:rsid w:val="00E747FE"/>
    <w:rsid w:val="00E759DF"/>
    <w:rsid w:val="00E762EF"/>
    <w:rsid w:val="00E76A1B"/>
    <w:rsid w:val="00E77C7A"/>
    <w:rsid w:val="00E818F7"/>
    <w:rsid w:val="00E81A32"/>
    <w:rsid w:val="00E833F7"/>
    <w:rsid w:val="00E83BDF"/>
    <w:rsid w:val="00E83ECA"/>
    <w:rsid w:val="00E8586E"/>
    <w:rsid w:val="00E85F99"/>
    <w:rsid w:val="00E87A1D"/>
    <w:rsid w:val="00E9094A"/>
    <w:rsid w:val="00E90FE7"/>
    <w:rsid w:val="00E91D35"/>
    <w:rsid w:val="00E926A5"/>
    <w:rsid w:val="00E928E8"/>
    <w:rsid w:val="00E92C7C"/>
    <w:rsid w:val="00E944CF"/>
    <w:rsid w:val="00E965E7"/>
    <w:rsid w:val="00E9667E"/>
    <w:rsid w:val="00E9791D"/>
    <w:rsid w:val="00EA0280"/>
    <w:rsid w:val="00EA17C3"/>
    <w:rsid w:val="00EA2CAA"/>
    <w:rsid w:val="00EA3864"/>
    <w:rsid w:val="00EA3E8B"/>
    <w:rsid w:val="00EA51DE"/>
    <w:rsid w:val="00EA6C1B"/>
    <w:rsid w:val="00EA7F1C"/>
    <w:rsid w:val="00EB15B6"/>
    <w:rsid w:val="00EB2291"/>
    <w:rsid w:val="00EB2DB2"/>
    <w:rsid w:val="00EB3D06"/>
    <w:rsid w:val="00EB4916"/>
    <w:rsid w:val="00EB5598"/>
    <w:rsid w:val="00EB6931"/>
    <w:rsid w:val="00EB699B"/>
    <w:rsid w:val="00EC00C9"/>
    <w:rsid w:val="00EC0DD9"/>
    <w:rsid w:val="00EC1F5A"/>
    <w:rsid w:val="00EC2649"/>
    <w:rsid w:val="00EC2A4D"/>
    <w:rsid w:val="00EC31ED"/>
    <w:rsid w:val="00EC3395"/>
    <w:rsid w:val="00EC4C5F"/>
    <w:rsid w:val="00EC521C"/>
    <w:rsid w:val="00EC5836"/>
    <w:rsid w:val="00EC688C"/>
    <w:rsid w:val="00EC76F6"/>
    <w:rsid w:val="00EC7C5C"/>
    <w:rsid w:val="00ED0EBE"/>
    <w:rsid w:val="00ED31B5"/>
    <w:rsid w:val="00ED50E0"/>
    <w:rsid w:val="00ED57EA"/>
    <w:rsid w:val="00ED5BD4"/>
    <w:rsid w:val="00EE07D3"/>
    <w:rsid w:val="00EE0DB6"/>
    <w:rsid w:val="00EE170C"/>
    <w:rsid w:val="00EE18A1"/>
    <w:rsid w:val="00EE1996"/>
    <w:rsid w:val="00EE1C01"/>
    <w:rsid w:val="00EE20F9"/>
    <w:rsid w:val="00EE22AF"/>
    <w:rsid w:val="00EE29E7"/>
    <w:rsid w:val="00EE325B"/>
    <w:rsid w:val="00EE40D7"/>
    <w:rsid w:val="00EE5200"/>
    <w:rsid w:val="00EE5312"/>
    <w:rsid w:val="00EF0171"/>
    <w:rsid w:val="00EF17B5"/>
    <w:rsid w:val="00EF1B25"/>
    <w:rsid w:val="00EF1DA0"/>
    <w:rsid w:val="00EF3A7E"/>
    <w:rsid w:val="00EF3AB5"/>
    <w:rsid w:val="00EF404F"/>
    <w:rsid w:val="00EF4747"/>
    <w:rsid w:val="00EF4BF8"/>
    <w:rsid w:val="00F00FE6"/>
    <w:rsid w:val="00F02253"/>
    <w:rsid w:val="00F03C2E"/>
    <w:rsid w:val="00F04A66"/>
    <w:rsid w:val="00F04B4B"/>
    <w:rsid w:val="00F0516C"/>
    <w:rsid w:val="00F065C1"/>
    <w:rsid w:val="00F067A2"/>
    <w:rsid w:val="00F07493"/>
    <w:rsid w:val="00F07B9E"/>
    <w:rsid w:val="00F10CA6"/>
    <w:rsid w:val="00F1116F"/>
    <w:rsid w:val="00F11B52"/>
    <w:rsid w:val="00F1263A"/>
    <w:rsid w:val="00F12D7A"/>
    <w:rsid w:val="00F152FF"/>
    <w:rsid w:val="00F15B77"/>
    <w:rsid w:val="00F174CB"/>
    <w:rsid w:val="00F176E4"/>
    <w:rsid w:val="00F17E4E"/>
    <w:rsid w:val="00F20CCA"/>
    <w:rsid w:val="00F21118"/>
    <w:rsid w:val="00F226FA"/>
    <w:rsid w:val="00F24837"/>
    <w:rsid w:val="00F2575F"/>
    <w:rsid w:val="00F2697D"/>
    <w:rsid w:val="00F27565"/>
    <w:rsid w:val="00F27D02"/>
    <w:rsid w:val="00F310D4"/>
    <w:rsid w:val="00F312E2"/>
    <w:rsid w:val="00F312FA"/>
    <w:rsid w:val="00F31D1E"/>
    <w:rsid w:val="00F31D5A"/>
    <w:rsid w:val="00F3241D"/>
    <w:rsid w:val="00F33975"/>
    <w:rsid w:val="00F33DE9"/>
    <w:rsid w:val="00F342F5"/>
    <w:rsid w:val="00F34B68"/>
    <w:rsid w:val="00F34FF0"/>
    <w:rsid w:val="00F35D76"/>
    <w:rsid w:val="00F35E6D"/>
    <w:rsid w:val="00F3619A"/>
    <w:rsid w:val="00F36AAC"/>
    <w:rsid w:val="00F40032"/>
    <w:rsid w:val="00F40AAA"/>
    <w:rsid w:val="00F40BA7"/>
    <w:rsid w:val="00F40F9D"/>
    <w:rsid w:val="00F41ACD"/>
    <w:rsid w:val="00F41CD3"/>
    <w:rsid w:val="00F42BBF"/>
    <w:rsid w:val="00F43419"/>
    <w:rsid w:val="00F43493"/>
    <w:rsid w:val="00F44D69"/>
    <w:rsid w:val="00F46072"/>
    <w:rsid w:val="00F46CB6"/>
    <w:rsid w:val="00F47100"/>
    <w:rsid w:val="00F4756D"/>
    <w:rsid w:val="00F4784F"/>
    <w:rsid w:val="00F47DE8"/>
    <w:rsid w:val="00F52B0E"/>
    <w:rsid w:val="00F537EB"/>
    <w:rsid w:val="00F5423C"/>
    <w:rsid w:val="00F542C1"/>
    <w:rsid w:val="00F55E73"/>
    <w:rsid w:val="00F55EDA"/>
    <w:rsid w:val="00F56C80"/>
    <w:rsid w:val="00F57970"/>
    <w:rsid w:val="00F57CB8"/>
    <w:rsid w:val="00F60092"/>
    <w:rsid w:val="00F61C18"/>
    <w:rsid w:val="00F62870"/>
    <w:rsid w:val="00F646A8"/>
    <w:rsid w:val="00F65F4B"/>
    <w:rsid w:val="00F67A69"/>
    <w:rsid w:val="00F70BFF"/>
    <w:rsid w:val="00F70C9D"/>
    <w:rsid w:val="00F72284"/>
    <w:rsid w:val="00F72FBE"/>
    <w:rsid w:val="00F7446D"/>
    <w:rsid w:val="00F74BE3"/>
    <w:rsid w:val="00F74CD9"/>
    <w:rsid w:val="00F74F03"/>
    <w:rsid w:val="00F76D76"/>
    <w:rsid w:val="00F77198"/>
    <w:rsid w:val="00F80A7B"/>
    <w:rsid w:val="00F80E5D"/>
    <w:rsid w:val="00F81333"/>
    <w:rsid w:val="00F81E78"/>
    <w:rsid w:val="00F81F49"/>
    <w:rsid w:val="00F83FEE"/>
    <w:rsid w:val="00F846FA"/>
    <w:rsid w:val="00F851CE"/>
    <w:rsid w:val="00F85B38"/>
    <w:rsid w:val="00F85EAD"/>
    <w:rsid w:val="00F86D1B"/>
    <w:rsid w:val="00F87ABC"/>
    <w:rsid w:val="00F90BB7"/>
    <w:rsid w:val="00F90BE4"/>
    <w:rsid w:val="00F91219"/>
    <w:rsid w:val="00F916FC"/>
    <w:rsid w:val="00F92444"/>
    <w:rsid w:val="00F92997"/>
    <w:rsid w:val="00F9321C"/>
    <w:rsid w:val="00F937BE"/>
    <w:rsid w:val="00F9393E"/>
    <w:rsid w:val="00F96FD0"/>
    <w:rsid w:val="00F97A78"/>
    <w:rsid w:val="00FA0B20"/>
    <w:rsid w:val="00FA24E7"/>
    <w:rsid w:val="00FA2CFE"/>
    <w:rsid w:val="00FA5EE6"/>
    <w:rsid w:val="00FA7956"/>
    <w:rsid w:val="00FA7BA3"/>
    <w:rsid w:val="00FB1087"/>
    <w:rsid w:val="00FB122A"/>
    <w:rsid w:val="00FB12E3"/>
    <w:rsid w:val="00FB2FCB"/>
    <w:rsid w:val="00FB5CC4"/>
    <w:rsid w:val="00FB6CBA"/>
    <w:rsid w:val="00FB7808"/>
    <w:rsid w:val="00FB7C55"/>
    <w:rsid w:val="00FC1026"/>
    <w:rsid w:val="00FC1074"/>
    <w:rsid w:val="00FC1884"/>
    <w:rsid w:val="00FC29B5"/>
    <w:rsid w:val="00FC2EE7"/>
    <w:rsid w:val="00FC337F"/>
    <w:rsid w:val="00FC371D"/>
    <w:rsid w:val="00FC4DD4"/>
    <w:rsid w:val="00FC5F0B"/>
    <w:rsid w:val="00FD09EE"/>
    <w:rsid w:val="00FD1327"/>
    <w:rsid w:val="00FD2100"/>
    <w:rsid w:val="00FD2556"/>
    <w:rsid w:val="00FD33D9"/>
    <w:rsid w:val="00FD390A"/>
    <w:rsid w:val="00FD436C"/>
    <w:rsid w:val="00FD446D"/>
    <w:rsid w:val="00FD4A1C"/>
    <w:rsid w:val="00FD4F2C"/>
    <w:rsid w:val="00FD5F53"/>
    <w:rsid w:val="00FD6394"/>
    <w:rsid w:val="00FE0E6C"/>
    <w:rsid w:val="00FE162C"/>
    <w:rsid w:val="00FE1CDC"/>
    <w:rsid w:val="00FE27D8"/>
    <w:rsid w:val="00FE281D"/>
    <w:rsid w:val="00FE3F14"/>
    <w:rsid w:val="00FE52EE"/>
    <w:rsid w:val="00FE54CE"/>
    <w:rsid w:val="00FE6F54"/>
    <w:rsid w:val="00FE70C3"/>
    <w:rsid w:val="00FF05FE"/>
    <w:rsid w:val="00FF07CF"/>
    <w:rsid w:val="00FF14EE"/>
    <w:rsid w:val="00FF1AF8"/>
    <w:rsid w:val="00FF2003"/>
    <w:rsid w:val="00FF2AD9"/>
    <w:rsid w:val="00FF359F"/>
    <w:rsid w:val="00FF3BF2"/>
    <w:rsid w:val="00FF3DCF"/>
    <w:rsid w:val="00FF492C"/>
    <w:rsid w:val="00FF4A21"/>
    <w:rsid w:val="00FF5AA3"/>
    <w:rsid w:val="00FF5AD8"/>
    <w:rsid w:val="00FF7D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1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Lash Style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basedOn w:val="Normal"/>
    <w:link w:val="HeaderChar"/>
    <w:uiPriority w:val="99"/>
    <w:unhideWhenUsed/>
    <w:qFormat/>
    <w:rsid w:val="00A069D8"/>
    <w:pPr>
      <w:tabs>
        <w:tab w:val="center" w:pos="4513"/>
        <w:tab w:val="right" w:pos="9026"/>
      </w:tabs>
    </w:pPr>
  </w:style>
  <w:style w:type="character" w:customStyle="1" w:styleId="HeaderChar">
    <w:name w:val="Header Char"/>
    <w:basedOn w:val="DefaultParagraphFont"/>
    <w:link w:val="Header"/>
    <w:uiPriority w:val="99"/>
    <w:rsid w:val="00A069D8"/>
    <w:rPr>
      <w:rFonts w:ascii="Calibri" w:hAnsi="Calibri" w:cs="Arial"/>
      <w:sz w:val="24"/>
      <w:szCs w:val="24"/>
    </w:rPr>
  </w:style>
  <w:style w:type="paragraph" w:styleId="Footer">
    <w:name w:val="footer"/>
    <w:basedOn w:val="Normal"/>
    <w:link w:val="FooterChar"/>
    <w:uiPriority w:val="99"/>
    <w:unhideWhenUsed/>
    <w:rsid w:val="00A069D8"/>
    <w:pPr>
      <w:tabs>
        <w:tab w:val="center" w:pos="4513"/>
        <w:tab w:val="right" w:pos="9026"/>
      </w:tabs>
    </w:pPr>
  </w:style>
  <w:style w:type="character" w:customStyle="1" w:styleId="FooterChar">
    <w:name w:val="Footer Char"/>
    <w:basedOn w:val="DefaultParagraphFont"/>
    <w:link w:val="Footer"/>
    <w:uiPriority w:val="99"/>
    <w:rsid w:val="00A069D8"/>
    <w:rPr>
      <w:rFonts w:ascii="Calibri" w:hAnsi="Calibri" w:cs="Arial"/>
      <w:sz w:val="24"/>
      <w:szCs w:val="24"/>
    </w:rPr>
  </w:style>
  <w:style w:type="paragraph" w:customStyle="1" w:styleId="TableText0">
    <w:name w:val="TableText"/>
    <w:link w:val="TableTextChar0"/>
    <w:uiPriority w:val="99"/>
    <w:qFormat/>
    <w:rsid w:val="00B44189"/>
    <w:pPr>
      <w:spacing w:before="60" w:after="60"/>
    </w:pPr>
    <w:rPr>
      <w:rFonts w:ascii="Arial Narrow" w:eastAsia="Arial" w:hAnsi="Arial Narrow" w:cs="Arial"/>
      <w:sz w:val="18"/>
      <w:szCs w:val="18"/>
      <w:lang w:val="en-US" w:eastAsia="en-US"/>
    </w:rPr>
  </w:style>
  <w:style w:type="character" w:customStyle="1" w:styleId="TableTextChar0">
    <w:name w:val="TableText Char"/>
    <w:link w:val="TableText0"/>
    <w:uiPriority w:val="99"/>
    <w:rsid w:val="00B44189"/>
    <w:rPr>
      <w:rFonts w:ascii="Arial Narrow" w:eastAsia="Arial" w:hAnsi="Arial Narrow" w:cs="Arial"/>
      <w:sz w:val="18"/>
      <w:szCs w:val="18"/>
      <w:lang w:val="en-US" w:eastAsia="en-US"/>
    </w:rPr>
  </w:style>
  <w:style w:type="paragraph" w:customStyle="1" w:styleId="Section">
    <w:name w:val="Section"/>
    <w:basedOn w:val="Normal"/>
    <w:rsid w:val="00B44189"/>
    <w:pPr>
      <w:keepNext/>
      <w:tabs>
        <w:tab w:val="right" w:pos="9000"/>
      </w:tabs>
      <w:spacing w:after="160" w:line="259" w:lineRule="auto"/>
      <w:jc w:val="left"/>
      <w:outlineLvl w:val="0"/>
    </w:pPr>
    <w:rPr>
      <w:rFonts w:ascii="Arial Bold" w:eastAsiaTheme="minorHAnsi" w:hAnsi="Arial Bold" w:cstheme="minorBidi"/>
      <w:b/>
      <w:caps/>
      <w:sz w:val="32"/>
      <w:szCs w:val="32"/>
      <w:lang w:eastAsia="en-US"/>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basedOn w:val="Normal"/>
    <w:link w:val="ListParagraphChar"/>
    <w:uiPriority w:val="34"/>
    <w:qFormat/>
    <w:rsid w:val="00D67423"/>
    <w:pPr>
      <w:ind w:left="720"/>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1307E1"/>
    <w:rPr>
      <w:rFonts w:ascii="Calibri" w:hAnsi="Calibri" w:cs="Arial"/>
      <w:sz w:val="24"/>
      <w:szCs w:val="24"/>
    </w:rPr>
  </w:style>
  <w:style w:type="paragraph" w:customStyle="1" w:styleId="headinganchor">
    <w:name w:val="headinganchor"/>
    <w:basedOn w:val="Normal"/>
    <w:rsid w:val="00D326B7"/>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D326B7"/>
  </w:style>
  <w:style w:type="character" w:customStyle="1" w:styleId="headingendmark">
    <w:name w:val="headingendmark"/>
    <w:basedOn w:val="DefaultParagraphFont"/>
    <w:rsid w:val="00D326B7"/>
  </w:style>
  <w:style w:type="paragraph" w:styleId="NormalWeb">
    <w:name w:val="Normal (Web)"/>
    <w:basedOn w:val="Normal"/>
    <w:uiPriority w:val="99"/>
    <w:unhideWhenUsed/>
    <w:rsid w:val="00D326B7"/>
    <w:pPr>
      <w:spacing w:before="100" w:beforeAutospacing="1" w:after="100" w:afterAutospacing="1"/>
      <w:jc w:val="left"/>
    </w:pPr>
    <w:rPr>
      <w:rFonts w:ascii="Times New Roman" w:hAnsi="Times New Roman" w:cs="Times New Roman"/>
    </w:rPr>
  </w:style>
  <w:style w:type="character" w:styleId="CommentReference">
    <w:name w:val="annotation reference"/>
    <w:aliases w:val="Table Title"/>
    <w:basedOn w:val="DefaultParagraphFont"/>
    <w:uiPriority w:val="99"/>
    <w:unhideWhenUsed/>
    <w:qFormat/>
    <w:rsid w:val="00EB5598"/>
    <w:rPr>
      <w:sz w:val="16"/>
      <w:szCs w:val="16"/>
    </w:rPr>
  </w:style>
  <w:style w:type="paragraph" w:styleId="CommentText">
    <w:name w:val="annotation text"/>
    <w:basedOn w:val="Normal"/>
    <w:link w:val="CommentTextChar"/>
    <w:unhideWhenUsed/>
    <w:rsid w:val="00EB5598"/>
    <w:rPr>
      <w:sz w:val="20"/>
      <w:szCs w:val="20"/>
    </w:rPr>
  </w:style>
  <w:style w:type="character" w:customStyle="1" w:styleId="CommentTextChar">
    <w:name w:val="Comment Text Char"/>
    <w:basedOn w:val="DefaultParagraphFont"/>
    <w:link w:val="CommentText"/>
    <w:rsid w:val="00EB5598"/>
    <w:rPr>
      <w:rFonts w:ascii="Calibri" w:hAnsi="Calibri" w:cs="Arial"/>
    </w:rPr>
  </w:style>
  <w:style w:type="paragraph" w:styleId="CommentSubject">
    <w:name w:val="annotation subject"/>
    <w:basedOn w:val="CommentText"/>
    <w:next w:val="CommentText"/>
    <w:link w:val="CommentSubjectChar"/>
    <w:semiHidden/>
    <w:unhideWhenUsed/>
    <w:rsid w:val="00EB5598"/>
    <w:rPr>
      <w:b/>
      <w:bCs/>
    </w:rPr>
  </w:style>
  <w:style w:type="character" w:customStyle="1" w:styleId="CommentSubjectChar">
    <w:name w:val="Comment Subject Char"/>
    <w:basedOn w:val="CommentTextChar"/>
    <w:link w:val="CommentSubject"/>
    <w:semiHidden/>
    <w:rsid w:val="00EB5598"/>
    <w:rPr>
      <w:rFonts w:ascii="Calibri" w:hAnsi="Calibri" w:cs="Arial"/>
      <w:b/>
      <w:bCs/>
    </w:rPr>
  </w:style>
  <w:style w:type="paragraph" w:customStyle="1" w:styleId="Default">
    <w:name w:val="Default"/>
    <w:rsid w:val="00F00FE6"/>
    <w:pPr>
      <w:autoSpaceDE w:val="0"/>
      <w:autoSpaceDN w:val="0"/>
      <w:adjustRightInd w:val="0"/>
    </w:pPr>
    <w:rPr>
      <w:rFonts w:ascii="Arial" w:hAnsi="Arial" w:cs="Arial"/>
      <w:color w:val="000000"/>
      <w:sz w:val="24"/>
      <w:szCs w:val="24"/>
    </w:rPr>
  </w:style>
  <w:style w:type="paragraph" w:customStyle="1" w:styleId="TableFooter">
    <w:name w:val="Table Footer"/>
    <w:basedOn w:val="Normal"/>
    <w:link w:val="TableFooterChar"/>
    <w:qFormat/>
    <w:rsid w:val="009E0E71"/>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9E0E71"/>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2058B1"/>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2058B1"/>
    <w:rPr>
      <w:rFonts w:ascii="Arial Narrow" w:eastAsiaTheme="minorHAnsi" w:hAnsi="Arial Narrow" w:cstheme="minorBidi"/>
      <w:b/>
      <w:szCs w:val="22"/>
      <w:lang w:eastAsia="en-US"/>
    </w:rPr>
  </w:style>
  <w:style w:type="paragraph" w:styleId="BodyText">
    <w:name w:val="Body Text"/>
    <w:basedOn w:val="Normal"/>
    <w:link w:val="BodyTextChar"/>
    <w:uiPriority w:val="1"/>
    <w:qFormat/>
    <w:rsid w:val="00CB3FE9"/>
    <w:pPr>
      <w:autoSpaceDE w:val="0"/>
      <w:autoSpaceDN w:val="0"/>
      <w:adjustRightInd w:val="0"/>
      <w:jc w:val="left"/>
    </w:pPr>
    <w:rPr>
      <w:rFonts w:ascii="Times New Roman" w:hAnsi="Times New Roman" w:cs="Times New Roman"/>
      <w:b/>
      <w:bCs/>
    </w:rPr>
  </w:style>
  <w:style w:type="character" w:customStyle="1" w:styleId="BodyTextChar">
    <w:name w:val="Body Text Char"/>
    <w:basedOn w:val="DefaultParagraphFont"/>
    <w:link w:val="BodyText"/>
    <w:uiPriority w:val="1"/>
    <w:rsid w:val="00CB3FE9"/>
    <w:rPr>
      <w:b/>
      <w:bCs/>
      <w:sz w:val="24"/>
      <w:szCs w:val="24"/>
    </w:rPr>
  </w:style>
  <w:style w:type="paragraph" w:customStyle="1" w:styleId="MainBodyText">
    <w:name w:val="Main Body Text"/>
    <w:basedOn w:val="Normal"/>
    <w:link w:val="MainBodyTextChar"/>
    <w:rsid w:val="00880043"/>
    <w:pPr>
      <w:spacing w:after="200" w:line="276" w:lineRule="auto"/>
    </w:pPr>
    <w:rPr>
      <w:rFonts w:ascii="Arial" w:eastAsia="TimesNewRoman" w:hAnsi="Arial" w:cs="Times New Roman"/>
      <w:sz w:val="22"/>
      <w:szCs w:val="22"/>
    </w:rPr>
  </w:style>
  <w:style w:type="character" w:customStyle="1" w:styleId="MainBodyTextChar">
    <w:name w:val="Main Body Text Char"/>
    <w:link w:val="MainBodyText"/>
    <w:rsid w:val="00880043"/>
    <w:rPr>
      <w:rFonts w:ascii="Arial" w:eastAsia="TimesNewRoman" w:hAnsi="Arial"/>
      <w:sz w:val="22"/>
      <w:szCs w:val="22"/>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
    <w:basedOn w:val="Normal"/>
    <w:next w:val="MainBodyText"/>
    <w:link w:val="CaptionChar"/>
    <w:uiPriority w:val="35"/>
    <w:qFormat/>
    <w:rsid w:val="00880043"/>
    <w:pPr>
      <w:keepNext/>
      <w:tabs>
        <w:tab w:val="left" w:pos="1701"/>
      </w:tabs>
      <w:spacing w:before="180" w:after="120" w:line="276" w:lineRule="auto"/>
      <w:ind w:left="1701" w:hanging="1701"/>
      <w:jc w:val="left"/>
      <w:outlineLvl w:val="2"/>
    </w:pPr>
    <w:rPr>
      <w:rFonts w:ascii="Arial" w:eastAsia="TimesNewRoman" w:hAnsi="Arial" w:cs="Times New Roman"/>
      <w:b/>
      <w:bCs/>
      <w:sz w:val="22"/>
      <w:szCs w:val="20"/>
    </w:rPr>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
    <w:link w:val="Caption"/>
    <w:uiPriority w:val="35"/>
    <w:rsid w:val="00880043"/>
    <w:rPr>
      <w:rFonts w:ascii="Arial" w:eastAsia="TimesNewRoman" w:hAnsi="Arial"/>
      <w:b/>
      <w:bCs/>
      <w:sz w:val="22"/>
    </w:rPr>
  </w:style>
  <w:style w:type="paragraph" w:customStyle="1" w:styleId="TableParagraph">
    <w:name w:val="Table Paragraph"/>
    <w:basedOn w:val="Normal"/>
    <w:uiPriority w:val="1"/>
    <w:qFormat/>
    <w:rsid w:val="009F7D7D"/>
    <w:pPr>
      <w:widowControl w:val="0"/>
      <w:jc w:val="left"/>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28348D"/>
    <w:rPr>
      <w:b/>
      <w:bCs/>
    </w:rPr>
  </w:style>
  <w:style w:type="character" w:customStyle="1" w:styleId="a">
    <w:name w:val="_"/>
    <w:basedOn w:val="DefaultParagraphFont"/>
    <w:rsid w:val="00A171C0"/>
  </w:style>
  <w:style w:type="paragraph" w:customStyle="1" w:styleId="Tabletext1">
    <w:name w:val="Table text"/>
    <w:basedOn w:val="Normal"/>
    <w:link w:val="TabletextChar1"/>
    <w:uiPriority w:val="99"/>
    <w:qFormat/>
    <w:rsid w:val="00FF07CF"/>
    <w:pPr>
      <w:jc w:val="left"/>
    </w:pPr>
    <w:rPr>
      <w:rFonts w:ascii="Arial Narrow" w:hAnsi="Arial Narrow" w:cs="Times New Roman"/>
      <w:sz w:val="20"/>
      <w:szCs w:val="22"/>
      <w:lang w:eastAsia="en-US"/>
    </w:rPr>
  </w:style>
  <w:style w:type="character" w:customStyle="1" w:styleId="TabletextChar1">
    <w:name w:val="Table text Char"/>
    <w:link w:val="Tabletext1"/>
    <w:uiPriority w:val="99"/>
    <w:rsid w:val="00FF07CF"/>
    <w:rPr>
      <w:rFonts w:ascii="Arial Narrow" w:hAnsi="Arial Narrow"/>
      <w:szCs w:val="22"/>
      <w:lang w:eastAsia="en-US"/>
    </w:rPr>
  </w:style>
  <w:style w:type="paragraph" w:customStyle="1" w:styleId="TableFootnotetext">
    <w:name w:val="Table Footnote text"/>
    <w:basedOn w:val="Normal"/>
    <w:autoRedefine/>
    <w:unhideWhenUsed/>
    <w:qFormat/>
    <w:rsid w:val="00280265"/>
    <w:pPr>
      <w:spacing w:after="240"/>
      <w:contextualSpacing/>
      <w:jc w:val="left"/>
    </w:pPr>
    <w:rPr>
      <w:rFonts w:ascii="Arial Narrow" w:hAnsi="Arial Narrow" w:cstheme="minorHAnsi"/>
      <w:sz w:val="18"/>
      <w:szCs w:val="18"/>
      <w:lang w:eastAsia="en-US"/>
    </w:rPr>
  </w:style>
  <w:style w:type="paragraph" w:styleId="FootnoteText">
    <w:name w:val="footnote text"/>
    <w:basedOn w:val="Normal"/>
    <w:link w:val="FootnoteTextChar"/>
    <w:uiPriority w:val="99"/>
    <w:semiHidden/>
    <w:unhideWhenUsed/>
    <w:rsid w:val="009A7F2C"/>
    <w:pPr>
      <w:jc w:val="left"/>
    </w:pPr>
    <w:rPr>
      <w:rFonts w:ascii="Times New Roman" w:eastAsiaTheme="minorHAnsi"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A7F2C"/>
    <w:rPr>
      <w:rFonts w:eastAsiaTheme="minorHAnsi"/>
      <w:lang w:eastAsia="en-US"/>
    </w:rPr>
  </w:style>
  <w:style w:type="character" w:styleId="FootnoteReference">
    <w:name w:val="footnote reference"/>
    <w:basedOn w:val="DefaultParagraphFont"/>
    <w:uiPriority w:val="99"/>
    <w:semiHidden/>
    <w:unhideWhenUsed/>
    <w:rsid w:val="009A7F2C"/>
    <w:rPr>
      <w:vertAlign w:val="superscript"/>
    </w:rPr>
  </w:style>
  <w:style w:type="table" w:customStyle="1" w:styleId="TableGrid1">
    <w:name w:val="Table Grid1"/>
    <w:basedOn w:val="TableNormal"/>
    <w:next w:val="TableGrid"/>
    <w:uiPriority w:val="39"/>
    <w:rsid w:val="009A7F2C"/>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504D74"/>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2C753B"/>
    <w:rPr>
      <w:rFonts w:ascii="Times New Roman" w:hAnsi="Times New Roman" w:cs="Times New Roman"/>
      <w:b/>
      <w:szCs w:val="20"/>
    </w:rPr>
  </w:style>
  <w:style w:type="character" w:customStyle="1" w:styleId="SubtitleChar">
    <w:name w:val="Subtitle Char"/>
    <w:basedOn w:val="DefaultParagraphFont"/>
    <w:link w:val="Subtitle"/>
    <w:rsid w:val="002C753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148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3939606">
      <w:bodyDiv w:val="1"/>
      <w:marLeft w:val="0"/>
      <w:marRight w:val="0"/>
      <w:marTop w:val="0"/>
      <w:marBottom w:val="0"/>
      <w:divBdr>
        <w:top w:val="none" w:sz="0" w:space="0" w:color="auto"/>
        <w:left w:val="none" w:sz="0" w:space="0" w:color="auto"/>
        <w:bottom w:val="none" w:sz="0" w:space="0" w:color="auto"/>
        <w:right w:val="none" w:sz="0" w:space="0" w:color="auto"/>
      </w:divBdr>
      <w:divsChild>
        <w:div w:id="2117361673">
          <w:marLeft w:val="0"/>
          <w:marRight w:val="0"/>
          <w:marTop w:val="0"/>
          <w:marBottom w:val="0"/>
          <w:divBdr>
            <w:top w:val="none" w:sz="0" w:space="0" w:color="auto"/>
            <w:left w:val="none" w:sz="0" w:space="0" w:color="auto"/>
            <w:bottom w:val="none" w:sz="0" w:space="0" w:color="auto"/>
            <w:right w:val="none" w:sz="0" w:space="0" w:color="auto"/>
          </w:divBdr>
        </w:div>
        <w:div w:id="1514146206">
          <w:marLeft w:val="0"/>
          <w:marRight w:val="0"/>
          <w:marTop w:val="0"/>
          <w:marBottom w:val="0"/>
          <w:divBdr>
            <w:top w:val="none" w:sz="0" w:space="0" w:color="auto"/>
            <w:left w:val="none" w:sz="0" w:space="0" w:color="auto"/>
            <w:bottom w:val="none" w:sz="0" w:space="0" w:color="auto"/>
            <w:right w:val="none" w:sz="0" w:space="0" w:color="auto"/>
          </w:divBdr>
        </w:div>
      </w:divsChild>
    </w:div>
    <w:div w:id="26026589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5541159">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733436124">
      <w:bodyDiv w:val="1"/>
      <w:marLeft w:val="0"/>
      <w:marRight w:val="0"/>
      <w:marTop w:val="0"/>
      <w:marBottom w:val="0"/>
      <w:divBdr>
        <w:top w:val="none" w:sz="0" w:space="0" w:color="auto"/>
        <w:left w:val="none" w:sz="0" w:space="0" w:color="auto"/>
        <w:bottom w:val="none" w:sz="0" w:space="0" w:color="auto"/>
        <w:right w:val="none" w:sz="0" w:space="0" w:color="auto"/>
      </w:divBdr>
    </w:div>
    <w:div w:id="761487927">
      <w:bodyDiv w:val="1"/>
      <w:marLeft w:val="0"/>
      <w:marRight w:val="0"/>
      <w:marTop w:val="0"/>
      <w:marBottom w:val="0"/>
      <w:divBdr>
        <w:top w:val="none" w:sz="0" w:space="0" w:color="auto"/>
        <w:left w:val="none" w:sz="0" w:space="0" w:color="auto"/>
        <w:bottom w:val="none" w:sz="0" w:space="0" w:color="auto"/>
        <w:right w:val="none" w:sz="0" w:space="0" w:color="auto"/>
      </w:divBdr>
    </w:div>
    <w:div w:id="770977122">
      <w:bodyDiv w:val="1"/>
      <w:marLeft w:val="0"/>
      <w:marRight w:val="0"/>
      <w:marTop w:val="0"/>
      <w:marBottom w:val="0"/>
      <w:divBdr>
        <w:top w:val="none" w:sz="0" w:space="0" w:color="auto"/>
        <w:left w:val="none" w:sz="0" w:space="0" w:color="auto"/>
        <w:bottom w:val="none" w:sz="0" w:space="0" w:color="auto"/>
        <w:right w:val="none" w:sz="0" w:space="0" w:color="auto"/>
      </w:divBdr>
    </w:div>
    <w:div w:id="825165481">
      <w:bodyDiv w:val="1"/>
      <w:marLeft w:val="0"/>
      <w:marRight w:val="0"/>
      <w:marTop w:val="0"/>
      <w:marBottom w:val="0"/>
      <w:divBdr>
        <w:top w:val="none" w:sz="0" w:space="0" w:color="auto"/>
        <w:left w:val="none" w:sz="0" w:space="0" w:color="auto"/>
        <w:bottom w:val="none" w:sz="0" w:space="0" w:color="auto"/>
        <w:right w:val="none" w:sz="0" w:space="0" w:color="auto"/>
      </w:divBdr>
      <w:divsChild>
        <w:div w:id="543714689">
          <w:marLeft w:val="0"/>
          <w:marRight w:val="0"/>
          <w:marTop w:val="0"/>
          <w:marBottom w:val="0"/>
          <w:divBdr>
            <w:top w:val="none" w:sz="0" w:space="0" w:color="auto"/>
            <w:left w:val="none" w:sz="0" w:space="0" w:color="auto"/>
            <w:bottom w:val="none" w:sz="0" w:space="0" w:color="auto"/>
            <w:right w:val="none" w:sz="0" w:space="0" w:color="auto"/>
          </w:divBdr>
        </w:div>
        <w:div w:id="181239309">
          <w:marLeft w:val="0"/>
          <w:marRight w:val="0"/>
          <w:marTop w:val="0"/>
          <w:marBottom w:val="0"/>
          <w:divBdr>
            <w:top w:val="none" w:sz="0" w:space="0" w:color="auto"/>
            <w:left w:val="none" w:sz="0" w:space="0" w:color="auto"/>
            <w:bottom w:val="none" w:sz="0" w:space="0" w:color="auto"/>
            <w:right w:val="none" w:sz="0" w:space="0" w:color="auto"/>
          </w:divBdr>
        </w:div>
        <w:div w:id="1855267066">
          <w:marLeft w:val="0"/>
          <w:marRight w:val="0"/>
          <w:marTop w:val="0"/>
          <w:marBottom w:val="0"/>
          <w:divBdr>
            <w:top w:val="none" w:sz="0" w:space="0" w:color="auto"/>
            <w:left w:val="none" w:sz="0" w:space="0" w:color="auto"/>
            <w:bottom w:val="none" w:sz="0" w:space="0" w:color="auto"/>
            <w:right w:val="none" w:sz="0" w:space="0" w:color="auto"/>
          </w:divBdr>
        </w:div>
        <w:div w:id="863901480">
          <w:marLeft w:val="0"/>
          <w:marRight w:val="0"/>
          <w:marTop w:val="0"/>
          <w:marBottom w:val="0"/>
          <w:divBdr>
            <w:top w:val="none" w:sz="0" w:space="0" w:color="auto"/>
            <w:left w:val="none" w:sz="0" w:space="0" w:color="auto"/>
            <w:bottom w:val="none" w:sz="0" w:space="0" w:color="auto"/>
            <w:right w:val="none" w:sz="0" w:space="0" w:color="auto"/>
          </w:divBdr>
        </w:div>
        <w:div w:id="1605188093">
          <w:marLeft w:val="0"/>
          <w:marRight w:val="0"/>
          <w:marTop w:val="0"/>
          <w:marBottom w:val="0"/>
          <w:divBdr>
            <w:top w:val="none" w:sz="0" w:space="0" w:color="auto"/>
            <w:left w:val="none" w:sz="0" w:space="0" w:color="auto"/>
            <w:bottom w:val="none" w:sz="0" w:space="0" w:color="auto"/>
            <w:right w:val="none" w:sz="0" w:space="0" w:color="auto"/>
          </w:divBdr>
        </w:div>
      </w:divsChild>
    </w:div>
    <w:div w:id="845482719">
      <w:bodyDiv w:val="1"/>
      <w:marLeft w:val="0"/>
      <w:marRight w:val="0"/>
      <w:marTop w:val="0"/>
      <w:marBottom w:val="0"/>
      <w:divBdr>
        <w:top w:val="none" w:sz="0" w:space="0" w:color="auto"/>
        <w:left w:val="none" w:sz="0" w:space="0" w:color="auto"/>
        <w:bottom w:val="none" w:sz="0" w:space="0" w:color="auto"/>
        <w:right w:val="none" w:sz="0" w:space="0" w:color="auto"/>
      </w:divBdr>
    </w:div>
    <w:div w:id="958947510">
      <w:bodyDiv w:val="1"/>
      <w:marLeft w:val="0"/>
      <w:marRight w:val="0"/>
      <w:marTop w:val="0"/>
      <w:marBottom w:val="0"/>
      <w:divBdr>
        <w:top w:val="none" w:sz="0" w:space="0" w:color="auto"/>
        <w:left w:val="none" w:sz="0" w:space="0" w:color="auto"/>
        <w:bottom w:val="none" w:sz="0" w:space="0" w:color="auto"/>
        <w:right w:val="none" w:sz="0" w:space="0" w:color="auto"/>
      </w:divBdr>
      <w:divsChild>
        <w:div w:id="1167138129">
          <w:marLeft w:val="274"/>
          <w:marRight w:val="0"/>
          <w:marTop w:val="120"/>
          <w:marBottom w:val="0"/>
          <w:divBdr>
            <w:top w:val="none" w:sz="0" w:space="0" w:color="auto"/>
            <w:left w:val="none" w:sz="0" w:space="0" w:color="auto"/>
            <w:bottom w:val="none" w:sz="0" w:space="0" w:color="auto"/>
            <w:right w:val="none" w:sz="0" w:space="0" w:color="auto"/>
          </w:divBdr>
        </w:div>
      </w:divsChild>
    </w:div>
    <w:div w:id="101338440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716">
      <w:bodyDiv w:val="1"/>
      <w:marLeft w:val="0"/>
      <w:marRight w:val="0"/>
      <w:marTop w:val="0"/>
      <w:marBottom w:val="0"/>
      <w:divBdr>
        <w:top w:val="none" w:sz="0" w:space="0" w:color="auto"/>
        <w:left w:val="none" w:sz="0" w:space="0" w:color="auto"/>
        <w:bottom w:val="none" w:sz="0" w:space="0" w:color="auto"/>
        <w:right w:val="none" w:sz="0" w:space="0" w:color="auto"/>
      </w:divBdr>
      <w:divsChild>
        <w:div w:id="976448380">
          <w:marLeft w:val="0"/>
          <w:marRight w:val="0"/>
          <w:marTop w:val="0"/>
          <w:marBottom w:val="0"/>
          <w:divBdr>
            <w:top w:val="none" w:sz="0" w:space="0" w:color="auto"/>
            <w:left w:val="none" w:sz="0" w:space="0" w:color="auto"/>
            <w:bottom w:val="none" w:sz="0" w:space="0" w:color="auto"/>
            <w:right w:val="none" w:sz="0" w:space="0" w:color="auto"/>
          </w:divBdr>
        </w:div>
        <w:div w:id="203948501">
          <w:marLeft w:val="0"/>
          <w:marRight w:val="0"/>
          <w:marTop w:val="0"/>
          <w:marBottom w:val="0"/>
          <w:divBdr>
            <w:top w:val="none" w:sz="0" w:space="0" w:color="auto"/>
            <w:left w:val="none" w:sz="0" w:space="0" w:color="auto"/>
            <w:bottom w:val="none" w:sz="0" w:space="0" w:color="auto"/>
            <w:right w:val="none" w:sz="0" w:space="0" w:color="auto"/>
          </w:divBdr>
        </w:div>
      </w:divsChild>
    </w:div>
    <w:div w:id="1285036690">
      <w:bodyDiv w:val="1"/>
      <w:marLeft w:val="0"/>
      <w:marRight w:val="0"/>
      <w:marTop w:val="0"/>
      <w:marBottom w:val="0"/>
      <w:divBdr>
        <w:top w:val="none" w:sz="0" w:space="0" w:color="auto"/>
        <w:left w:val="none" w:sz="0" w:space="0" w:color="auto"/>
        <w:bottom w:val="none" w:sz="0" w:space="0" w:color="auto"/>
        <w:right w:val="none" w:sz="0" w:space="0" w:color="auto"/>
      </w:divBdr>
    </w:div>
    <w:div w:id="1372143808">
      <w:bodyDiv w:val="1"/>
      <w:marLeft w:val="0"/>
      <w:marRight w:val="0"/>
      <w:marTop w:val="0"/>
      <w:marBottom w:val="0"/>
      <w:divBdr>
        <w:top w:val="none" w:sz="0" w:space="0" w:color="auto"/>
        <w:left w:val="none" w:sz="0" w:space="0" w:color="auto"/>
        <w:bottom w:val="none" w:sz="0" w:space="0" w:color="auto"/>
        <w:right w:val="none" w:sz="0" w:space="0" w:color="auto"/>
      </w:divBdr>
    </w:div>
    <w:div w:id="1399325325">
      <w:bodyDiv w:val="1"/>
      <w:marLeft w:val="0"/>
      <w:marRight w:val="0"/>
      <w:marTop w:val="0"/>
      <w:marBottom w:val="0"/>
      <w:divBdr>
        <w:top w:val="none" w:sz="0" w:space="0" w:color="auto"/>
        <w:left w:val="none" w:sz="0" w:space="0" w:color="auto"/>
        <w:bottom w:val="none" w:sz="0" w:space="0" w:color="auto"/>
        <w:right w:val="none" w:sz="0" w:space="0" w:color="auto"/>
      </w:divBdr>
    </w:div>
    <w:div w:id="1401517037">
      <w:bodyDiv w:val="1"/>
      <w:marLeft w:val="0"/>
      <w:marRight w:val="0"/>
      <w:marTop w:val="0"/>
      <w:marBottom w:val="0"/>
      <w:divBdr>
        <w:top w:val="none" w:sz="0" w:space="0" w:color="auto"/>
        <w:left w:val="none" w:sz="0" w:space="0" w:color="auto"/>
        <w:bottom w:val="none" w:sz="0" w:space="0" w:color="auto"/>
        <w:right w:val="none" w:sz="0" w:space="0" w:color="auto"/>
      </w:divBdr>
    </w:div>
    <w:div w:id="1411581724">
      <w:bodyDiv w:val="1"/>
      <w:marLeft w:val="0"/>
      <w:marRight w:val="0"/>
      <w:marTop w:val="0"/>
      <w:marBottom w:val="0"/>
      <w:divBdr>
        <w:top w:val="none" w:sz="0" w:space="0" w:color="auto"/>
        <w:left w:val="none" w:sz="0" w:space="0" w:color="auto"/>
        <w:bottom w:val="none" w:sz="0" w:space="0" w:color="auto"/>
        <w:right w:val="none" w:sz="0" w:space="0" w:color="auto"/>
      </w:divBdr>
    </w:div>
    <w:div w:id="1457871287">
      <w:bodyDiv w:val="1"/>
      <w:marLeft w:val="0"/>
      <w:marRight w:val="0"/>
      <w:marTop w:val="0"/>
      <w:marBottom w:val="0"/>
      <w:divBdr>
        <w:top w:val="none" w:sz="0" w:space="0" w:color="auto"/>
        <w:left w:val="none" w:sz="0" w:space="0" w:color="auto"/>
        <w:bottom w:val="none" w:sz="0" w:space="0" w:color="auto"/>
        <w:right w:val="none" w:sz="0" w:space="0" w:color="auto"/>
      </w:divBdr>
    </w:div>
    <w:div w:id="1764573545">
      <w:bodyDiv w:val="1"/>
      <w:marLeft w:val="0"/>
      <w:marRight w:val="0"/>
      <w:marTop w:val="0"/>
      <w:marBottom w:val="0"/>
      <w:divBdr>
        <w:top w:val="none" w:sz="0" w:space="0" w:color="auto"/>
        <w:left w:val="none" w:sz="0" w:space="0" w:color="auto"/>
        <w:bottom w:val="none" w:sz="0" w:space="0" w:color="auto"/>
        <w:right w:val="none" w:sz="0" w:space="0" w:color="auto"/>
      </w:divBdr>
      <w:divsChild>
        <w:div w:id="2107844471">
          <w:marLeft w:val="1080"/>
          <w:marRight w:val="0"/>
          <w:marTop w:val="100"/>
          <w:marBottom w:val="0"/>
          <w:divBdr>
            <w:top w:val="none" w:sz="0" w:space="0" w:color="auto"/>
            <w:left w:val="none" w:sz="0" w:space="0" w:color="auto"/>
            <w:bottom w:val="none" w:sz="0" w:space="0" w:color="auto"/>
            <w:right w:val="none" w:sz="0" w:space="0" w:color="auto"/>
          </w:divBdr>
        </w:div>
        <w:div w:id="318853068">
          <w:marLeft w:val="1080"/>
          <w:marRight w:val="0"/>
          <w:marTop w:val="100"/>
          <w:marBottom w:val="0"/>
          <w:divBdr>
            <w:top w:val="none" w:sz="0" w:space="0" w:color="auto"/>
            <w:left w:val="none" w:sz="0" w:space="0" w:color="auto"/>
            <w:bottom w:val="none" w:sz="0" w:space="0" w:color="auto"/>
            <w:right w:val="none" w:sz="0" w:space="0" w:color="auto"/>
          </w:divBdr>
        </w:div>
        <w:div w:id="232468539">
          <w:marLeft w:val="1080"/>
          <w:marRight w:val="0"/>
          <w:marTop w:val="100"/>
          <w:marBottom w:val="0"/>
          <w:divBdr>
            <w:top w:val="none" w:sz="0" w:space="0" w:color="auto"/>
            <w:left w:val="none" w:sz="0" w:space="0" w:color="auto"/>
            <w:bottom w:val="none" w:sz="0" w:space="0" w:color="auto"/>
            <w:right w:val="none" w:sz="0" w:space="0" w:color="auto"/>
          </w:divBdr>
        </w:div>
        <w:div w:id="1247612319">
          <w:marLeft w:val="1080"/>
          <w:marRight w:val="0"/>
          <w:marTop w:val="100"/>
          <w:marBottom w:val="0"/>
          <w:divBdr>
            <w:top w:val="none" w:sz="0" w:space="0" w:color="auto"/>
            <w:left w:val="none" w:sz="0" w:space="0" w:color="auto"/>
            <w:bottom w:val="none" w:sz="0" w:space="0" w:color="auto"/>
            <w:right w:val="none" w:sz="0" w:space="0" w:color="auto"/>
          </w:divBdr>
        </w:div>
        <w:div w:id="2052225726">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035012">
      <w:bodyDiv w:val="1"/>
      <w:marLeft w:val="0"/>
      <w:marRight w:val="0"/>
      <w:marTop w:val="0"/>
      <w:marBottom w:val="0"/>
      <w:divBdr>
        <w:top w:val="none" w:sz="0" w:space="0" w:color="auto"/>
        <w:left w:val="none" w:sz="0" w:space="0" w:color="auto"/>
        <w:bottom w:val="none" w:sz="0" w:space="0" w:color="auto"/>
        <w:right w:val="none" w:sz="0" w:space="0" w:color="auto"/>
      </w:divBdr>
    </w:div>
    <w:div w:id="2002614296">
      <w:bodyDiv w:val="1"/>
      <w:marLeft w:val="0"/>
      <w:marRight w:val="0"/>
      <w:marTop w:val="0"/>
      <w:marBottom w:val="0"/>
      <w:divBdr>
        <w:top w:val="none" w:sz="0" w:space="0" w:color="auto"/>
        <w:left w:val="none" w:sz="0" w:space="0" w:color="auto"/>
        <w:bottom w:val="none" w:sz="0" w:space="0" w:color="auto"/>
        <w:right w:val="none" w:sz="0" w:space="0" w:color="auto"/>
      </w:divBdr>
    </w:div>
    <w:div w:id="2002804966">
      <w:bodyDiv w:val="1"/>
      <w:marLeft w:val="0"/>
      <w:marRight w:val="0"/>
      <w:marTop w:val="0"/>
      <w:marBottom w:val="0"/>
      <w:divBdr>
        <w:top w:val="none" w:sz="0" w:space="0" w:color="auto"/>
        <w:left w:val="none" w:sz="0" w:space="0" w:color="auto"/>
        <w:bottom w:val="none" w:sz="0" w:space="0" w:color="auto"/>
        <w:right w:val="none" w:sz="0" w:space="0" w:color="auto"/>
      </w:divBdr>
    </w:div>
    <w:div w:id="2041739788">
      <w:bodyDiv w:val="1"/>
      <w:marLeft w:val="0"/>
      <w:marRight w:val="0"/>
      <w:marTop w:val="0"/>
      <w:marBottom w:val="0"/>
      <w:divBdr>
        <w:top w:val="none" w:sz="0" w:space="0" w:color="auto"/>
        <w:left w:val="none" w:sz="0" w:space="0" w:color="auto"/>
        <w:bottom w:val="none" w:sz="0" w:space="0" w:color="auto"/>
        <w:right w:val="none" w:sz="0" w:space="0" w:color="auto"/>
      </w:divBdr>
    </w:div>
    <w:div w:id="21017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Tafamidis alive</c:v>
                </c:pt>
              </c:strCache>
            </c:strRef>
          </c:tx>
          <c:spPr>
            <a:ln w="28575" cap="rnd">
              <a:solidFill>
                <a:schemeClr val="accent1"/>
              </a:solidFill>
              <a:round/>
            </a:ln>
            <a:effectLst/>
          </c:spPr>
          <c:marker>
            <c:symbol val="none"/>
          </c:marker>
          <c:cat>
            <c:numRef>
              <c:f>Sheet1!$A$2:$A$42</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cat>
          <c:val>
            <c:numRef>
              <c:f>Sheet1!$B$2:$B$42</c:f>
              <c:numCache>
                <c:formatCode>General</c:formatCode>
                <c:ptCount val="41"/>
                <c:pt idx="0">
                  <c:v>1</c:v>
                </c:pt>
                <c:pt idx="1">
                  <c:v>0.95957547968163814</c:v>
                </c:pt>
                <c:pt idx="2">
                  <c:v>0.90666301395333759</c:v>
                </c:pt>
                <c:pt idx="3">
                  <c:v>0.85091982379677944</c:v>
                </c:pt>
                <c:pt idx="4">
                  <c:v>0.79514795371650449</c:v>
                </c:pt>
                <c:pt idx="5">
                  <c:v>0.74070595706651454</c:v>
                </c:pt>
                <c:pt idx="6">
                  <c:v>0.68832928712364472</c:v>
                </c:pt>
                <c:pt idx="7">
                  <c:v>0.63842171216981736</c:v>
                </c:pt>
                <c:pt idx="8">
                  <c:v>0.59119075047305947</c:v>
                </c:pt>
                <c:pt idx="9">
                  <c:v>0.54672071111023601</c:v>
                </c:pt>
                <c:pt idx="10">
                  <c:v>0.50501597917715546</c:v>
                </c:pt>
                <c:pt idx="11">
                  <c:v>0.46602835427277922</c:v>
                </c:pt>
                <c:pt idx="12">
                  <c:v>0.42967510184465196</c:v>
                </c:pt>
                <c:pt idx="13">
                  <c:v>0.3958512512671043</c:v>
                </c:pt>
                <c:pt idx="14">
                  <c:v>0.3644381580036814</c:v>
                </c:pt>
                <c:pt idx="15">
                  <c:v>0.33530954969619386</c:v>
                </c:pt>
                <c:pt idx="16">
                  <c:v>0.30833582872534848</c:v>
                </c:pt>
                <c:pt idx="17">
                  <c:v>0.28338713933272319</c:v>
                </c:pt>
                <c:pt idx="18">
                  <c:v>0.26033554402393155</c:v>
                </c:pt>
                <c:pt idx="19">
                  <c:v>0.2390565492422474</c:v>
                </c:pt>
                <c:pt idx="20">
                  <c:v>0.21943015101257435</c:v>
                </c:pt>
                <c:pt idx="21">
                  <c:v>0.20134152415757489</c:v>
                </c:pt>
                <c:pt idx="22">
                  <c:v>0.18468144591943769</c:v>
                </c:pt>
                <c:pt idx="23">
                  <c:v>0.16934652155851038</c:v>
                </c:pt>
                <c:pt idx="24">
                  <c:v>0.15523926269582489</c:v>
                </c:pt>
                <c:pt idx="25">
                  <c:v>0.14226805684295429</c:v>
                </c:pt>
                <c:pt idx="26">
                  <c:v>0.13034705740626784</c:v>
                </c:pt>
                <c:pt idx="27">
                  <c:v>0.11939601657262211</c:v>
                </c:pt>
                <c:pt idx="28">
                  <c:v>0.10934007826385705</c:v>
                </c:pt>
                <c:pt idx="29">
                  <c:v>0.10010954435494923</c:v>
                </c:pt>
                <c:pt idx="30">
                  <c:v>9.1639624275720366E-2</c:v>
                </c:pt>
                <c:pt idx="31">
                  <c:v>8.3870175734366059E-2</c:v>
                </c:pt>
                <c:pt idx="32">
                  <c:v>7.6745442448098888E-2</c:v>
                </c:pt>
                <c:pt idx="33">
                  <c:v>7.0213793319622075E-2</c:v>
                </c:pt>
                <c:pt idx="34">
                  <c:v>6.4227466366260644E-2</c:v>
                </c:pt>
                <c:pt idx="35">
                  <c:v>5.8742319821779687E-2</c:v>
                </c:pt>
                <c:pt idx="36">
                  <c:v>5.3717592136128256E-2</c:v>
                </c:pt>
                <c:pt idx="37">
                  <c:v>4.9115672054583115E-2</c:v>
                </c:pt>
                <c:pt idx="38">
                  <c:v>4.4901879533268074E-2</c:v>
                </c:pt>
                <c:pt idx="39">
                  <c:v>4.1044257918007143E-2</c:v>
                </c:pt>
                <c:pt idx="40">
                  <c:v>3.7513377558416883E-2</c:v>
                </c:pt>
              </c:numCache>
            </c:numRef>
          </c:val>
          <c:smooth val="0"/>
          <c:extLst>
            <c:ext xmlns:c16="http://schemas.microsoft.com/office/drawing/2014/chart" uri="{C3380CC4-5D6E-409C-BE32-E72D297353CC}">
              <c16:uniqueId val="{00000000-C832-483C-8BF5-2C4821D1B905}"/>
            </c:ext>
          </c:extLst>
        </c:ser>
        <c:ser>
          <c:idx val="1"/>
          <c:order val="1"/>
          <c:tx>
            <c:strRef>
              <c:f>Sheet1!$C$1</c:f>
              <c:strCache>
                <c:ptCount val="1"/>
                <c:pt idx="0">
                  <c:v>Tafamidis dead</c:v>
                </c:pt>
              </c:strCache>
            </c:strRef>
          </c:tx>
          <c:spPr>
            <a:ln w="28575" cap="rnd">
              <a:solidFill>
                <a:schemeClr val="accent1"/>
              </a:solidFill>
              <a:prstDash val="dash"/>
              <a:round/>
            </a:ln>
            <a:effectLst/>
          </c:spPr>
          <c:marker>
            <c:symbol val="none"/>
          </c:marker>
          <c:cat>
            <c:numRef>
              <c:f>Sheet1!$A$2:$A$42</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cat>
          <c:val>
            <c:numRef>
              <c:f>Sheet1!$C$2:$C$42</c:f>
              <c:numCache>
                <c:formatCode>General</c:formatCode>
                <c:ptCount val="41"/>
                <c:pt idx="0">
                  <c:v>0</c:v>
                </c:pt>
                <c:pt idx="1">
                  <c:v>4.0424520318361856E-2</c:v>
                </c:pt>
                <c:pt idx="2">
                  <c:v>9.3336986046662421E-2</c:v>
                </c:pt>
                <c:pt idx="3">
                  <c:v>0.14908017620322059</c:v>
                </c:pt>
                <c:pt idx="4">
                  <c:v>0.20485204628349546</c:v>
                </c:pt>
                <c:pt idx="5">
                  <c:v>0.25929404293348546</c:v>
                </c:pt>
                <c:pt idx="6">
                  <c:v>0.31167071287635528</c:v>
                </c:pt>
                <c:pt idx="7">
                  <c:v>0.36157828783018264</c:v>
                </c:pt>
                <c:pt idx="8">
                  <c:v>0.40880924952694053</c:v>
                </c:pt>
                <c:pt idx="9">
                  <c:v>0.45327928888976399</c:v>
                </c:pt>
                <c:pt idx="10">
                  <c:v>0.49498402082284454</c:v>
                </c:pt>
                <c:pt idx="11">
                  <c:v>0.53397164572722078</c:v>
                </c:pt>
                <c:pt idx="12">
                  <c:v>0.57032489815534804</c:v>
                </c:pt>
                <c:pt idx="13">
                  <c:v>0.6041487487328957</c:v>
                </c:pt>
                <c:pt idx="14">
                  <c:v>0.6355618419963186</c:v>
                </c:pt>
                <c:pt idx="15">
                  <c:v>0.66469045030380614</c:v>
                </c:pt>
                <c:pt idx="16">
                  <c:v>0.69166417127465152</c:v>
                </c:pt>
                <c:pt idx="17">
                  <c:v>0.71661286066727681</c:v>
                </c:pt>
                <c:pt idx="18">
                  <c:v>0.73966445597606845</c:v>
                </c:pt>
                <c:pt idx="19">
                  <c:v>0.7609434507577526</c:v>
                </c:pt>
                <c:pt idx="20">
                  <c:v>0.78056984898742565</c:v>
                </c:pt>
                <c:pt idx="21">
                  <c:v>0.79865847584242511</c:v>
                </c:pt>
                <c:pt idx="22">
                  <c:v>0.81531855408056231</c:v>
                </c:pt>
                <c:pt idx="23">
                  <c:v>0.83065347844148962</c:v>
                </c:pt>
                <c:pt idx="24">
                  <c:v>0.84476073730417511</c:v>
                </c:pt>
                <c:pt idx="25">
                  <c:v>0.85773194315704571</c:v>
                </c:pt>
                <c:pt idx="26">
                  <c:v>0.86965294259373216</c:v>
                </c:pt>
                <c:pt idx="27">
                  <c:v>0.88060398342737789</c:v>
                </c:pt>
                <c:pt idx="28">
                  <c:v>0.89065992173614295</c:v>
                </c:pt>
                <c:pt idx="29">
                  <c:v>0.89989045564505077</c:v>
                </c:pt>
                <c:pt idx="30">
                  <c:v>0.90836037572427963</c:v>
                </c:pt>
                <c:pt idx="31">
                  <c:v>0.91612982426563394</c:v>
                </c:pt>
                <c:pt idx="32">
                  <c:v>0.92325455755190111</c:v>
                </c:pt>
                <c:pt idx="33">
                  <c:v>0.92978620668037792</c:v>
                </c:pt>
                <c:pt idx="34">
                  <c:v>0.93577253363373936</c:v>
                </c:pt>
                <c:pt idx="35">
                  <c:v>0.94125768017822031</c:v>
                </c:pt>
                <c:pt idx="36">
                  <c:v>0.94628240786387174</c:v>
                </c:pt>
                <c:pt idx="37">
                  <c:v>0.95088432794541689</c:v>
                </c:pt>
                <c:pt idx="38">
                  <c:v>0.95509812046673193</c:v>
                </c:pt>
                <c:pt idx="39">
                  <c:v>0.95895574208199286</c:v>
                </c:pt>
                <c:pt idx="40">
                  <c:v>0.96248662244158312</c:v>
                </c:pt>
              </c:numCache>
            </c:numRef>
          </c:val>
          <c:smooth val="0"/>
          <c:extLst>
            <c:ext xmlns:c16="http://schemas.microsoft.com/office/drawing/2014/chart" uri="{C3380CC4-5D6E-409C-BE32-E72D297353CC}">
              <c16:uniqueId val="{00000001-C832-483C-8BF5-2C4821D1B905}"/>
            </c:ext>
          </c:extLst>
        </c:ser>
        <c:ser>
          <c:idx val="2"/>
          <c:order val="2"/>
          <c:tx>
            <c:strRef>
              <c:f>Sheet1!$D$1</c:f>
              <c:strCache>
                <c:ptCount val="1"/>
                <c:pt idx="0">
                  <c:v>BSC alive</c:v>
                </c:pt>
              </c:strCache>
            </c:strRef>
          </c:tx>
          <c:spPr>
            <a:ln w="28575" cap="rnd">
              <a:solidFill>
                <a:schemeClr val="accent2"/>
              </a:solidFill>
              <a:round/>
            </a:ln>
            <a:effectLst/>
          </c:spPr>
          <c:marker>
            <c:symbol val="none"/>
          </c:marker>
          <c:cat>
            <c:numRef>
              <c:f>Sheet1!$A$2:$A$42</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cat>
          <c:val>
            <c:numRef>
              <c:f>Sheet1!$D$2:$D$42</c:f>
              <c:numCache>
                <c:formatCode>General</c:formatCode>
                <c:ptCount val="41"/>
                <c:pt idx="0">
                  <c:v>1</c:v>
                </c:pt>
                <c:pt idx="1">
                  <c:v>0.95350515818949999</c:v>
                </c:pt>
                <c:pt idx="2">
                  <c:v>0.89146421515498486</c:v>
                </c:pt>
                <c:pt idx="3">
                  <c:v>0.8106130858175542</c:v>
                </c:pt>
                <c:pt idx="4">
                  <c:v>0.70870455440859415</c:v>
                </c:pt>
                <c:pt idx="5">
                  <c:v>0.58615385277287424</c:v>
                </c:pt>
                <c:pt idx="6">
                  <c:v>0.44822319806449584</c:v>
                </c:pt>
                <c:pt idx="7">
                  <c:v>0.30678968755094216</c:v>
                </c:pt>
                <c:pt idx="8">
                  <c:v>0.17954138686717647</c:v>
                </c:pt>
                <c:pt idx="9">
                  <c:v>8.4210045725359728E-2</c:v>
                </c:pt>
                <c:pt idx="10">
                  <c:v>2.8888650212907097E-2</c:v>
                </c:pt>
                <c:pt idx="11">
                  <c:v>6.3699686404796729E-3</c:v>
                </c:pt>
                <c:pt idx="12">
                  <c:v>7.521305133696421E-4</c:v>
                </c:pt>
                <c:pt idx="13">
                  <c:v>3.6739476353964129E-5</c:v>
                </c:pt>
                <c:pt idx="14">
                  <c:v>5.1558328761913685E-7</c:v>
                </c:pt>
                <c:pt idx="15">
                  <c:v>1.2416848660379287E-9</c:v>
                </c:pt>
                <c:pt idx="16">
                  <c:v>2.4757973449140991E-13</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mooth val="0"/>
          <c:extLst>
            <c:ext xmlns:c16="http://schemas.microsoft.com/office/drawing/2014/chart" uri="{C3380CC4-5D6E-409C-BE32-E72D297353CC}">
              <c16:uniqueId val="{00000002-C832-483C-8BF5-2C4821D1B905}"/>
            </c:ext>
          </c:extLst>
        </c:ser>
        <c:ser>
          <c:idx val="3"/>
          <c:order val="3"/>
          <c:tx>
            <c:strRef>
              <c:f>Sheet1!$E$1</c:f>
              <c:strCache>
                <c:ptCount val="1"/>
                <c:pt idx="0">
                  <c:v>BSC dead</c:v>
                </c:pt>
              </c:strCache>
            </c:strRef>
          </c:tx>
          <c:spPr>
            <a:ln w="28575" cap="rnd">
              <a:solidFill>
                <a:schemeClr val="accent2"/>
              </a:solidFill>
              <a:prstDash val="dash"/>
              <a:round/>
            </a:ln>
            <a:effectLst/>
          </c:spPr>
          <c:marker>
            <c:symbol val="none"/>
          </c:marker>
          <c:cat>
            <c:numRef>
              <c:f>Sheet1!$A$2:$A$42</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cat>
          <c:val>
            <c:numRef>
              <c:f>Sheet1!$E$2:$E$42</c:f>
              <c:numCache>
                <c:formatCode>General</c:formatCode>
                <c:ptCount val="41"/>
                <c:pt idx="0">
                  <c:v>0</c:v>
                </c:pt>
                <c:pt idx="1">
                  <c:v>4.6494841810500009E-2</c:v>
                </c:pt>
                <c:pt idx="2">
                  <c:v>0.10853578484501517</c:v>
                </c:pt>
                <c:pt idx="3">
                  <c:v>0.18938691418244574</c:v>
                </c:pt>
                <c:pt idx="4">
                  <c:v>0.2912954455914058</c:v>
                </c:pt>
                <c:pt idx="5">
                  <c:v>0.4138461472271257</c:v>
                </c:pt>
                <c:pt idx="6">
                  <c:v>0.55177680193550416</c:v>
                </c:pt>
                <c:pt idx="7">
                  <c:v>0.69321031244905784</c:v>
                </c:pt>
                <c:pt idx="8">
                  <c:v>0.82045861313282353</c:v>
                </c:pt>
                <c:pt idx="9">
                  <c:v>0.91578995427464027</c:v>
                </c:pt>
                <c:pt idx="10">
                  <c:v>0.9711113497870929</c:v>
                </c:pt>
                <c:pt idx="11">
                  <c:v>0.99363003135952033</c:v>
                </c:pt>
                <c:pt idx="12">
                  <c:v>0.99924786948663036</c:v>
                </c:pt>
                <c:pt idx="13">
                  <c:v>0.99996326052364604</c:v>
                </c:pt>
                <c:pt idx="14">
                  <c:v>0.99999948441671238</c:v>
                </c:pt>
                <c:pt idx="15">
                  <c:v>0.99999999875831513</c:v>
                </c:pt>
                <c:pt idx="16">
                  <c:v>0.99999999999975242</c:v>
                </c:pt>
                <c:pt idx="17">
                  <c:v>1.0000000000000002</c:v>
                </c:pt>
                <c:pt idx="18">
                  <c:v>1.0000000000000002</c:v>
                </c:pt>
                <c:pt idx="19">
                  <c:v>1.0000000000000002</c:v>
                </c:pt>
                <c:pt idx="20">
                  <c:v>1.0000000000000002</c:v>
                </c:pt>
                <c:pt idx="21">
                  <c:v>1.0000000000000002</c:v>
                </c:pt>
                <c:pt idx="22">
                  <c:v>1.0000000000000002</c:v>
                </c:pt>
                <c:pt idx="23">
                  <c:v>1.0000000000000002</c:v>
                </c:pt>
                <c:pt idx="24">
                  <c:v>1.0000000000000002</c:v>
                </c:pt>
                <c:pt idx="25">
                  <c:v>1.0000000000000002</c:v>
                </c:pt>
                <c:pt idx="26">
                  <c:v>1.0000000000000002</c:v>
                </c:pt>
                <c:pt idx="27">
                  <c:v>1.0000000000000002</c:v>
                </c:pt>
                <c:pt idx="28">
                  <c:v>1.0000000000000002</c:v>
                </c:pt>
                <c:pt idx="29">
                  <c:v>1.0000000000000002</c:v>
                </c:pt>
                <c:pt idx="30">
                  <c:v>1.0000000000000002</c:v>
                </c:pt>
                <c:pt idx="31">
                  <c:v>1.0000000000000002</c:v>
                </c:pt>
                <c:pt idx="32">
                  <c:v>1.0000000000000002</c:v>
                </c:pt>
                <c:pt idx="33">
                  <c:v>1.0000000000000002</c:v>
                </c:pt>
                <c:pt idx="34">
                  <c:v>1.0000000000000002</c:v>
                </c:pt>
                <c:pt idx="35">
                  <c:v>1.0000000000000002</c:v>
                </c:pt>
                <c:pt idx="36">
                  <c:v>1.0000000000000002</c:v>
                </c:pt>
                <c:pt idx="37">
                  <c:v>1.0000000000000002</c:v>
                </c:pt>
                <c:pt idx="38">
                  <c:v>1.0000000000000002</c:v>
                </c:pt>
                <c:pt idx="39">
                  <c:v>1.0000000000000002</c:v>
                </c:pt>
                <c:pt idx="40">
                  <c:v>1.0000000000000002</c:v>
                </c:pt>
              </c:numCache>
            </c:numRef>
          </c:val>
          <c:smooth val="0"/>
          <c:extLst>
            <c:ext xmlns:c16="http://schemas.microsoft.com/office/drawing/2014/chart" uri="{C3380CC4-5D6E-409C-BE32-E72D297353CC}">
              <c16:uniqueId val="{00000003-C832-483C-8BF5-2C4821D1B905}"/>
            </c:ext>
          </c:extLst>
        </c:ser>
        <c:dLbls>
          <c:showLegendKey val="0"/>
          <c:showVal val="0"/>
          <c:showCatName val="0"/>
          <c:showSerName val="0"/>
          <c:showPercent val="0"/>
          <c:showBubbleSize val="0"/>
        </c:dLbls>
        <c:smooth val="0"/>
        <c:axId val="749357344"/>
        <c:axId val="749357672"/>
      </c:lineChart>
      <c:catAx>
        <c:axId val="74935734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r>
                  <a:rPr lang="en-US" sz="1050">
                    <a:latin typeface="Arial Narrow" panose="020B0606020202030204" pitchFamily="34" charset="0"/>
                  </a:rPr>
                  <a:t>Time (years)</a:t>
                </a:r>
              </a:p>
            </c:rich>
          </c:tx>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749357672"/>
        <c:crosses val="autoZero"/>
        <c:auto val="1"/>
        <c:lblAlgn val="ctr"/>
        <c:lblOffset val="100"/>
        <c:tickLblSkip val="2"/>
        <c:noMultiLvlLbl val="0"/>
      </c:catAx>
      <c:valAx>
        <c:axId val="74935767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r>
                  <a:rPr lang="en-US" sz="1050">
                    <a:latin typeface="Arial Narrow" panose="020B0606020202030204" pitchFamily="34" charset="0"/>
                  </a:rPr>
                  <a:t>Proportion of patients</a:t>
                </a:r>
              </a:p>
            </c:rich>
          </c:tx>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74935734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5B0B-6146-4663-BB3C-C7962541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16249</Words>
  <Characters>95973</Characters>
  <Application>Microsoft Office Word</Application>
  <DocSecurity>0</DocSecurity>
  <Lines>799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2020-10-28T02:34:00Z</dcterms:created>
  <dcterms:modified xsi:type="dcterms:W3CDTF">2020-10-28T02:34:00Z</dcterms:modified>
</cp:coreProperties>
</file>